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AFE" w:rsidRDefault="00FF5AFE" w:rsidP="00013A2F">
      <w:pPr>
        <w:spacing w:line="276" w:lineRule="auto"/>
        <w:jc w:val="right"/>
        <w:rPr>
          <w:rFonts w:ascii="Arial" w:hAnsi="Arial" w:cs="Arial"/>
        </w:rPr>
      </w:pPr>
      <w:r>
        <w:rPr>
          <w:rFonts w:ascii="Arial" w:hAnsi="Arial" w:cs="Arial"/>
        </w:rPr>
        <w:t>Original research article</w:t>
      </w:r>
    </w:p>
    <w:p w:rsidR="00FF5AFE" w:rsidRPr="0047265B" w:rsidRDefault="00FF5AFE" w:rsidP="00013A2F">
      <w:pPr>
        <w:spacing w:line="276" w:lineRule="auto"/>
        <w:jc w:val="right"/>
        <w:rPr>
          <w:rFonts w:ascii="Arial" w:hAnsi="Arial" w:cs="Arial"/>
          <w:sz w:val="36"/>
        </w:rPr>
      </w:pPr>
    </w:p>
    <w:p w:rsidR="00FF5AFE" w:rsidRDefault="00FF5AFE" w:rsidP="00013A2F">
      <w:pPr>
        <w:jc w:val="right"/>
        <w:rPr>
          <w:color w:val="000000" w:themeColor="text1"/>
          <w:szCs w:val="24"/>
        </w:rPr>
      </w:pPr>
      <w:r w:rsidRPr="00582D1D">
        <w:rPr>
          <w:rFonts w:ascii="Arial" w:hAnsi="Arial" w:cs="Arial"/>
          <w:b/>
          <w:sz w:val="36"/>
        </w:rPr>
        <w:t>Neurological disorders, oral health, and bullying: A cross-sectional analysis in pediatric patients</w:t>
      </w:r>
    </w:p>
    <w:p w:rsidR="00FF5AFE" w:rsidRDefault="00FF5AFE" w:rsidP="00013A2F">
      <w:pPr>
        <w:rPr>
          <w:color w:val="000000" w:themeColor="text1"/>
          <w:szCs w:val="24"/>
        </w:rPr>
      </w:pPr>
    </w:p>
    <w:p w:rsidR="00FF5AFE" w:rsidRDefault="00FF5AFE" w:rsidP="00013A2F">
      <w:pPr>
        <w:spacing w:line="360" w:lineRule="auto"/>
        <w:jc w:val="right"/>
        <w:rPr>
          <w:rFonts w:ascii="Arial" w:hAnsi="Arial" w:cs="Arial"/>
          <w:color w:val="000000" w:themeColor="text1"/>
          <w:sz w:val="20"/>
        </w:rPr>
      </w:pPr>
    </w:p>
    <w:p w:rsidR="00FF5AFE" w:rsidRPr="00C04AB1" w:rsidRDefault="00FF5AFE" w:rsidP="00013A2F">
      <w:pPr>
        <w:rPr>
          <w:color w:val="000000" w:themeColor="text1"/>
          <w:szCs w:val="24"/>
        </w:rPr>
      </w:pPr>
    </w:p>
    <w:p w:rsidR="00FF5AFE" w:rsidRPr="00D44F36" w:rsidRDefault="00FF5AFE" w:rsidP="00013A2F">
      <w:pPr>
        <w:pStyle w:val="Heading2"/>
        <w:spacing w:line="276" w:lineRule="auto"/>
        <w:jc w:val="both"/>
        <w:rPr>
          <w:rFonts w:cs="Arial"/>
          <w:caps w:val="0"/>
          <w:color w:val="000000" w:themeColor="text1"/>
          <w:sz w:val="20"/>
          <w:shd w:val="clear" w:color="auto" w:fill="FFFFFF"/>
        </w:rPr>
      </w:pPr>
      <w:r w:rsidRPr="00D44F36">
        <w:rPr>
          <w:rFonts w:cs="Arial"/>
          <w:caps w:val="0"/>
          <w:color w:val="000000" w:themeColor="text1"/>
          <w:sz w:val="20"/>
          <w:shd w:val="clear" w:color="auto" w:fill="FFFFFF"/>
        </w:rPr>
        <w:t>Abstract</w:t>
      </w:r>
    </w:p>
    <w:p w:rsidR="00FF5AFE" w:rsidRPr="00D44F36" w:rsidRDefault="00FF5AFE" w:rsidP="00013A2F">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Aim</w:t>
      </w:r>
      <w:r w:rsidRPr="00D44F36">
        <w:rPr>
          <w:rFonts w:cs="Arial"/>
          <w:bCs/>
          <w:color w:val="000000" w:themeColor="text1"/>
          <w:sz w:val="20"/>
        </w:rPr>
        <w:t>:</w:t>
      </w:r>
      <w:r w:rsidRPr="00D44F36">
        <w:rPr>
          <w:rFonts w:cs="Arial"/>
          <w:color w:val="000000" w:themeColor="text1"/>
          <w:sz w:val="20"/>
        </w:rPr>
        <w:t xml:space="preserve"> </w:t>
      </w:r>
      <w:r w:rsidRPr="00D44F36">
        <w:rPr>
          <w:rFonts w:cs="Arial"/>
          <w:b w:val="0"/>
          <w:caps w:val="0"/>
          <w:color w:val="000000" w:themeColor="text1"/>
          <w:sz w:val="20"/>
          <w:shd w:val="clear" w:color="auto" w:fill="FFFFFF"/>
        </w:rPr>
        <w:t xml:space="preserve">This cross-sectional study aimed to assess the prevalence of bullying and </w:t>
      </w:r>
      <w:r>
        <w:rPr>
          <w:rFonts w:cs="Arial"/>
          <w:b w:val="0"/>
          <w:caps w:val="0"/>
          <w:color w:val="000000" w:themeColor="text1"/>
          <w:sz w:val="20"/>
          <w:shd w:val="clear" w:color="auto" w:fill="FFFFFF"/>
        </w:rPr>
        <w:t xml:space="preserve">to </w:t>
      </w:r>
      <w:r w:rsidRPr="00D44F36">
        <w:rPr>
          <w:rFonts w:cs="Arial"/>
          <w:b w:val="0"/>
          <w:caps w:val="0"/>
          <w:color w:val="000000" w:themeColor="text1"/>
          <w:sz w:val="20"/>
          <w:shd w:val="clear" w:color="auto" w:fill="FFFFFF"/>
        </w:rPr>
        <w:t>identify sociodemographic and oral health</w:t>
      </w:r>
      <w:r>
        <w:rPr>
          <w:rFonts w:cs="Arial"/>
          <w:b w:val="0"/>
          <w:caps w:val="0"/>
          <w:color w:val="000000" w:themeColor="text1"/>
          <w:sz w:val="20"/>
          <w:shd w:val="clear" w:color="auto" w:fill="FFFFFF"/>
        </w:rPr>
        <w:t>-related</w:t>
      </w:r>
      <w:r w:rsidRPr="004D3CBC">
        <w:t xml:space="preserve"> </w:t>
      </w:r>
      <w:r w:rsidRPr="00D44F36">
        <w:rPr>
          <w:rFonts w:cs="Arial"/>
          <w:b w:val="0"/>
          <w:caps w:val="0"/>
          <w:color w:val="000000" w:themeColor="text1"/>
          <w:sz w:val="20"/>
          <w:shd w:val="clear" w:color="auto" w:fill="FFFFFF"/>
        </w:rPr>
        <w:t xml:space="preserve">factors </w:t>
      </w:r>
      <w:r w:rsidRPr="004D3CBC">
        <w:rPr>
          <w:rFonts w:cs="Arial"/>
          <w:b w:val="0"/>
          <w:caps w:val="0"/>
          <w:color w:val="000000" w:themeColor="text1"/>
          <w:sz w:val="20"/>
          <w:shd w:val="clear" w:color="auto" w:fill="FFFFFF"/>
        </w:rPr>
        <w:t>independently</w:t>
      </w:r>
      <w:r w:rsidRPr="00D44F36">
        <w:rPr>
          <w:rFonts w:cs="Arial"/>
          <w:b w:val="0"/>
          <w:caps w:val="0"/>
          <w:color w:val="000000" w:themeColor="text1"/>
          <w:sz w:val="20"/>
          <w:shd w:val="clear" w:color="auto" w:fill="FFFFFF"/>
        </w:rPr>
        <w:t xml:space="preserve"> associated with bullying among children with neurological disorders. </w:t>
      </w:r>
    </w:p>
    <w:p w:rsidR="00FF5AFE" w:rsidRPr="00D44F36" w:rsidRDefault="00FF5AFE" w:rsidP="00013A2F">
      <w:pPr>
        <w:spacing w:line="276" w:lineRule="auto"/>
        <w:jc w:val="both"/>
        <w:rPr>
          <w:rFonts w:ascii="Arial" w:hAnsi="Arial" w:cs="Arial"/>
          <w:color w:val="000000" w:themeColor="text1"/>
          <w:sz w:val="20"/>
        </w:rPr>
      </w:pPr>
      <w:r w:rsidRPr="00D44F36">
        <w:rPr>
          <w:rFonts w:ascii="Arial" w:eastAsia="Calibri" w:hAnsi="Arial" w:cs="Arial"/>
          <w:b/>
          <w:sz w:val="20"/>
        </w:rPr>
        <w:t>Study design:</w:t>
      </w:r>
      <w:r w:rsidRPr="00D44F36">
        <w:rPr>
          <w:rFonts w:ascii="Arial" w:eastAsia="Calibri" w:hAnsi="Arial" w:cs="Arial"/>
          <w:sz w:val="20"/>
        </w:rPr>
        <w:t xml:space="preserve">  </w:t>
      </w:r>
      <w:r>
        <w:rPr>
          <w:rFonts w:ascii="Arial" w:eastAsia="Calibri" w:hAnsi="Arial" w:cs="Arial"/>
          <w:sz w:val="20"/>
        </w:rPr>
        <w:t>C</w:t>
      </w:r>
      <w:r w:rsidRPr="005E3DEA">
        <w:rPr>
          <w:rFonts w:ascii="Arial" w:hAnsi="Arial" w:cs="Arial"/>
          <w:color w:val="000000" w:themeColor="text1"/>
          <w:sz w:val="20"/>
        </w:rPr>
        <w:t xml:space="preserve">ross-sectional observational </w:t>
      </w:r>
      <w:r>
        <w:rPr>
          <w:rFonts w:ascii="Arial" w:hAnsi="Arial" w:cs="Arial"/>
          <w:color w:val="000000" w:themeColor="text1"/>
          <w:sz w:val="20"/>
        </w:rPr>
        <w:t xml:space="preserve"> study.</w:t>
      </w:r>
    </w:p>
    <w:p w:rsidR="00FF5AFE" w:rsidRDefault="00FF5AFE" w:rsidP="00013A2F">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Methodology</w:t>
      </w:r>
      <w:r w:rsidRPr="00D44F36">
        <w:rPr>
          <w:rFonts w:cs="Arial"/>
          <w:bCs/>
          <w:color w:val="000000" w:themeColor="text1"/>
          <w:sz w:val="20"/>
        </w:rPr>
        <w:t>:</w:t>
      </w:r>
      <w:r w:rsidRPr="00D44F36">
        <w:rPr>
          <w:rFonts w:cs="Arial"/>
          <w:color w:val="000000" w:themeColor="text1"/>
          <w:sz w:val="20"/>
        </w:rPr>
        <w:t xml:space="preserve"> </w:t>
      </w:r>
      <w:r w:rsidRPr="00D44F36">
        <w:rPr>
          <w:rFonts w:cs="Arial"/>
          <w:b w:val="0"/>
          <w:caps w:val="0"/>
          <w:color w:val="000000" w:themeColor="text1"/>
          <w:sz w:val="20"/>
          <w:shd w:val="clear" w:color="auto" w:fill="FFFFFF"/>
        </w:rPr>
        <w:t>The study included 196 children aged 3 to 14 years</w:t>
      </w:r>
      <w:r>
        <w:rPr>
          <w:rFonts w:cs="Arial"/>
          <w:b w:val="0"/>
          <w:caps w:val="0"/>
          <w:color w:val="000000" w:themeColor="text1"/>
          <w:sz w:val="20"/>
          <w:shd w:val="clear" w:color="auto" w:fill="FFFFFF"/>
        </w:rPr>
        <w:t xml:space="preserve"> </w:t>
      </w:r>
      <w:r w:rsidRPr="004D3CBC">
        <w:rPr>
          <w:rFonts w:cs="Arial"/>
          <w:b w:val="0"/>
          <w:caps w:val="0"/>
          <w:color w:val="000000" w:themeColor="text1"/>
          <w:sz w:val="20"/>
          <w:shd w:val="clear" w:color="auto" w:fill="FFFFFF"/>
        </w:rPr>
        <w:t>with clinically</w:t>
      </w:r>
      <w:r>
        <w:rPr>
          <w:rFonts w:cs="Arial"/>
          <w:b w:val="0"/>
          <w:caps w:val="0"/>
          <w:color w:val="000000" w:themeColor="text1"/>
          <w:sz w:val="20"/>
          <w:shd w:val="clear" w:color="auto" w:fill="FFFFFF"/>
        </w:rPr>
        <w:t xml:space="preserve"> </w:t>
      </w:r>
      <w:r w:rsidRPr="00D44F36">
        <w:rPr>
          <w:rFonts w:cs="Arial"/>
          <w:b w:val="0"/>
          <w:caps w:val="0"/>
          <w:color w:val="000000" w:themeColor="text1"/>
          <w:sz w:val="20"/>
          <w:shd w:val="clear" w:color="auto" w:fill="FFFFFF"/>
        </w:rPr>
        <w:t xml:space="preserve">diagnosed neurological </w:t>
      </w:r>
      <w:r>
        <w:rPr>
          <w:rFonts w:cs="Arial"/>
          <w:b w:val="0"/>
          <w:caps w:val="0"/>
          <w:color w:val="000000" w:themeColor="text1"/>
          <w:sz w:val="20"/>
          <w:shd w:val="clear" w:color="auto" w:fill="FFFFFF"/>
        </w:rPr>
        <w:t>disorders</w:t>
      </w:r>
      <w:r w:rsidRPr="00D44F36">
        <w:rPr>
          <w:rFonts w:cs="Arial"/>
          <w:b w:val="0"/>
          <w:caps w:val="0"/>
          <w:color w:val="000000" w:themeColor="text1"/>
          <w:sz w:val="20"/>
          <w:shd w:val="clear" w:color="auto" w:fill="FFFFFF"/>
        </w:rPr>
        <w:t>. Data were collected through caregiver-</w:t>
      </w:r>
      <w:r w:rsidRPr="004D3CBC">
        <w:t xml:space="preserve"> </w:t>
      </w:r>
      <w:r w:rsidRPr="004D3CBC">
        <w:rPr>
          <w:rFonts w:cs="Arial"/>
          <w:b w:val="0"/>
          <w:caps w:val="0"/>
          <w:color w:val="000000" w:themeColor="text1"/>
          <w:sz w:val="20"/>
          <w:shd w:val="clear" w:color="auto" w:fill="FFFFFF"/>
        </w:rPr>
        <w:t>reported</w:t>
      </w:r>
      <w:r>
        <w:rPr>
          <w:rFonts w:cs="Arial"/>
          <w:b w:val="0"/>
          <w:caps w:val="0"/>
          <w:color w:val="000000" w:themeColor="text1"/>
          <w:sz w:val="20"/>
          <w:shd w:val="clear" w:color="auto" w:fill="FFFFFF"/>
        </w:rPr>
        <w:t xml:space="preserve"> </w:t>
      </w:r>
      <w:r w:rsidRPr="00D44F36">
        <w:rPr>
          <w:rFonts w:cs="Arial"/>
          <w:b w:val="0"/>
          <w:caps w:val="0"/>
          <w:color w:val="000000" w:themeColor="text1"/>
          <w:sz w:val="20"/>
          <w:shd w:val="clear" w:color="auto" w:fill="FFFFFF"/>
        </w:rPr>
        <w:t xml:space="preserve">questionnaires, which </w:t>
      </w:r>
      <w:r w:rsidRPr="004D3CBC">
        <w:rPr>
          <w:rFonts w:cs="Arial"/>
          <w:b w:val="0"/>
          <w:caps w:val="0"/>
          <w:color w:val="000000" w:themeColor="text1"/>
          <w:sz w:val="20"/>
          <w:shd w:val="clear" w:color="auto" w:fill="FFFFFF"/>
        </w:rPr>
        <w:t>assessed exposure to bullying, sociodemographic characteristics, the presence of dental caries experience (caries and/or restorations), and the caregiver-perceived need for orthodontic treatment. Descriptive statistics and multivariable logistic regression analyses were performed to investigate associations between bullying and the explanatory variables.</w:t>
      </w:r>
    </w:p>
    <w:p w:rsidR="00FF5AFE" w:rsidRDefault="00FF5AFE" w:rsidP="00013A2F">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Results</w:t>
      </w:r>
      <w:r w:rsidRPr="00D44F36">
        <w:rPr>
          <w:rFonts w:cs="Arial"/>
          <w:color w:val="000000" w:themeColor="text1"/>
          <w:sz w:val="20"/>
        </w:rPr>
        <w:t xml:space="preserve">: </w:t>
      </w:r>
      <w:r w:rsidRPr="00D44F36">
        <w:rPr>
          <w:rFonts w:cs="Arial"/>
          <w:b w:val="0"/>
          <w:caps w:val="0"/>
          <w:color w:val="000000" w:themeColor="text1"/>
          <w:sz w:val="20"/>
          <w:shd w:val="clear" w:color="auto" w:fill="FFFFFF"/>
        </w:rPr>
        <w:t xml:space="preserve">The findings revealed a high prevalence of bullying </w:t>
      </w:r>
      <w:r>
        <w:rPr>
          <w:rFonts w:cs="Arial"/>
          <w:b w:val="0"/>
          <w:caps w:val="0"/>
          <w:color w:val="000000" w:themeColor="text1"/>
          <w:sz w:val="20"/>
          <w:shd w:val="clear" w:color="auto" w:fill="FFFFFF"/>
        </w:rPr>
        <w:t>(</w:t>
      </w:r>
      <w:r w:rsidRPr="00D44F36">
        <w:rPr>
          <w:rFonts w:cs="Arial"/>
          <w:b w:val="0"/>
          <w:caps w:val="0"/>
          <w:color w:val="000000" w:themeColor="text1"/>
          <w:sz w:val="20"/>
          <w:shd w:val="clear" w:color="auto" w:fill="FFFFFF"/>
        </w:rPr>
        <w:t>71.9%</w:t>
      </w:r>
      <w:r>
        <w:rPr>
          <w:rFonts w:cs="Arial"/>
          <w:b w:val="0"/>
          <w:caps w:val="0"/>
          <w:color w:val="000000" w:themeColor="text1"/>
          <w:sz w:val="20"/>
          <w:shd w:val="clear" w:color="auto" w:fill="FFFFFF"/>
        </w:rPr>
        <w:t>)</w:t>
      </w:r>
      <w:r w:rsidRPr="00D44F36">
        <w:rPr>
          <w:rFonts w:cs="Arial"/>
          <w:b w:val="0"/>
          <w:caps w:val="0"/>
          <w:color w:val="000000" w:themeColor="text1"/>
          <w:sz w:val="20"/>
          <w:shd w:val="clear" w:color="auto" w:fill="FFFFFF"/>
        </w:rPr>
        <w:t xml:space="preserve"> </w:t>
      </w:r>
      <w:r>
        <w:rPr>
          <w:rFonts w:cs="Arial"/>
          <w:b w:val="0"/>
          <w:caps w:val="0"/>
          <w:color w:val="000000" w:themeColor="text1"/>
          <w:sz w:val="20"/>
          <w:shd w:val="clear" w:color="auto" w:fill="FFFFFF"/>
        </w:rPr>
        <w:t>among</w:t>
      </w:r>
      <w:r w:rsidRPr="00D44F36">
        <w:rPr>
          <w:rFonts w:cs="Arial"/>
          <w:b w:val="0"/>
          <w:caps w:val="0"/>
          <w:color w:val="000000" w:themeColor="text1"/>
          <w:sz w:val="20"/>
          <w:shd w:val="clear" w:color="auto" w:fill="FFFFFF"/>
        </w:rPr>
        <w:t xml:space="preserve"> children </w:t>
      </w:r>
      <w:r>
        <w:rPr>
          <w:rFonts w:cs="Arial"/>
          <w:b w:val="0"/>
          <w:caps w:val="0"/>
          <w:color w:val="000000" w:themeColor="text1"/>
          <w:sz w:val="20"/>
          <w:shd w:val="clear" w:color="auto" w:fill="FFFFFF"/>
        </w:rPr>
        <w:t>with neurological disorders</w:t>
      </w:r>
      <w:r w:rsidRPr="00D44F36">
        <w:rPr>
          <w:rFonts w:cs="Arial"/>
          <w:b w:val="0"/>
          <w:caps w:val="0"/>
          <w:color w:val="000000" w:themeColor="text1"/>
          <w:sz w:val="20"/>
          <w:shd w:val="clear" w:color="auto" w:fill="FFFFFF"/>
        </w:rPr>
        <w:t xml:space="preserve">. </w:t>
      </w:r>
      <w:r w:rsidRPr="004D3CBC">
        <w:rPr>
          <w:rFonts w:cs="Arial"/>
          <w:b w:val="0"/>
          <w:caps w:val="0"/>
          <w:color w:val="000000" w:themeColor="text1"/>
          <w:sz w:val="20"/>
          <w:shd w:val="clear" w:color="auto" w:fill="FFFFFF"/>
        </w:rPr>
        <w:t>Bullying was significantly associated with reduced daily time spent with caregivers (&lt;12 hours; p = 0.003, and 12–18 hours; p = 0.011), older age groups (6–10 years; p = 0.017, and 11–14 years; p = 0.014), and diagnoses of Autism Spectrum Disorder (p = 0.012), Attention-Deficit/Hyperactivity Disorder (p = 0.026), and Intellectual Disability (p = 0.023). In addition, a history of dental caries treatment was independently associated with a higher likelihood of bullying (p = 0.037).</w:t>
      </w:r>
    </w:p>
    <w:p w:rsidR="00FF5AFE" w:rsidRPr="008972D8" w:rsidRDefault="00FF5AFE" w:rsidP="00013A2F">
      <w:pPr>
        <w:pStyle w:val="Heading2"/>
        <w:spacing w:line="276" w:lineRule="auto"/>
        <w:jc w:val="both"/>
      </w:pPr>
      <w:r w:rsidRPr="00D44F36">
        <w:rPr>
          <w:rFonts w:cs="Arial"/>
          <w:caps w:val="0"/>
          <w:color w:val="000000" w:themeColor="text1"/>
          <w:sz w:val="20"/>
        </w:rPr>
        <w:t xml:space="preserve">Conclusion: </w:t>
      </w:r>
      <w:r w:rsidRPr="00D44F36">
        <w:rPr>
          <w:rFonts w:cs="Arial"/>
          <w:b w:val="0"/>
          <w:caps w:val="0"/>
          <w:color w:val="000000" w:themeColor="text1"/>
          <w:sz w:val="20"/>
          <w:shd w:val="clear" w:color="auto" w:fill="FFFFFF"/>
        </w:rPr>
        <w:t xml:space="preserve">These findings </w:t>
      </w:r>
      <w:r>
        <w:rPr>
          <w:rFonts w:cs="Arial"/>
          <w:b w:val="0"/>
          <w:caps w:val="0"/>
          <w:color w:val="000000" w:themeColor="text1"/>
          <w:sz w:val="20"/>
          <w:shd w:val="clear" w:color="auto" w:fill="FFFFFF"/>
        </w:rPr>
        <w:t>demonstrated</w:t>
      </w:r>
      <w:r w:rsidRPr="00D44F36">
        <w:rPr>
          <w:rFonts w:cs="Arial"/>
          <w:b w:val="0"/>
          <w:caps w:val="0"/>
          <w:color w:val="000000" w:themeColor="text1"/>
          <w:sz w:val="20"/>
          <w:shd w:val="clear" w:color="auto" w:fill="FFFFFF"/>
        </w:rPr>
        <w:t xml:space="preserve"> a substantial </w:t>
      </w:r>
      <w:r>
        <w:rPr>
          <w:rFonts w:cs="Arial"/>
          <w:b w:val="0"/>
          <w:caps w:val="0"/>
          <w:color w:val="000000" w:themeColor="text1"/>
          <w:sz w:val="20"/>
          <w:shd w:val="clear" w:color="auto" w:fill="FFFFFF"/>
        </w:rPr>
        <w:t>burden</w:t>
      </w:r>
      <w:r w:rsidRPr="00D44F36">
        <w:rPr>
          <w:rFonts w:cs="Arial"/>
          <w:b w:val="0"/>
          <w:caps w:val="0"/>
          <w:color w:val="000000" w:themeColor="text1"/>
          <w:sz w:val="20"/>
          <w:shd w:val="clear" w:color="auto" w:fill="FFFFFF"/>
        </w:rPr>
        <w:t xml:space="preserve"> of bullying among children with neurological disorders and </w:t>
      </w:r>
      <w:r>
        <w:rPr>
          <w:rFonts w:cs="Arial"/>
          <w:b w:val="0"/>
          <w:caps w:val="0"/>
          <w:color w:val="000000" w:themeColor="text1"/>
          <w:sz w:val="20"/>
          <w:shd w:val="clear" w:color="auto" w:fill="FFFFFF"/>
        </w:rPr>
        <w:t>identify</w:t>
      </w:r>
      <w:r w:rsidRPr="00D44F36">
        <w:rPr>
          <w:rFonts w:cs="Arial"/>
          <w:b w:val="0"/>
          <w:caps w:val="0"/>
          <w:color w:val="000000" w:themeColor="text1"/>
          <w:sz w:val="20"/>
          <w:shd w:val="clear" w:color="auto" w:fill="FFFFFF"/>
        </w:rPr>
        <w:t xml:space="preserve"> specific </w:t>
      </w:r>
      <w:r w:rsidRPr="004D3CBC">
        <w:rPr>
          <w:rFonts w:cs="Arial"/>
          <w:b w:val="0"/>
          <w:caps w:val="0"/>
          <w:color w:val="000000" w:themeColor="text1"/>
          <w:sz w:val="20"/>
          <w:shd w:val="clear" w:color="auto" w:fill="FFFFFF"/>
        </w:rPr>
        <w:t>sociodemographic, clinical, and oral health–related factors that increase vulnerability. The results reinforce the need for integrated, multidisciplinary strategies</w:t>
      </w:r>
      <w:r>
        <w:rPr>
          <w:rFonts w:cs="Arial"/>
          <w:b w:val="0"/>
          <w:caps w:val="0"/>
          <w:color w:val="000000" w:themeColor="text1"/>
          <w:sz w:val="20"/>
          <w:shd w:val="clear" w:color="auto" w:fill="FFFFFF"/>
        </w:rPr>
        <w:t xml:space="preserve">, </w:t>
      </w:r>
      <w:r w:rsidRPr="004D3CBC">
        <w:rPr>
          <w:rFonts w:cs="Arial"/>
          <w:b w:val="0"/>
          <w:caps w:val="0"/>
          <w:color w:val="000000" w:themeColor="text1"/>
          <w:sz w:val="20"/>
          <w:shd w:val="clear" w:color="auto" w:fill="FFFFFF"/>
        </w:rPr>
        <w:t>encompassing family support, healthcare, and educational settings—to prevent bullying and promote psychosocial well-being in this high-risk population.</w:t>
      </w:r>
    </w:p>
    <w:p w:rsidR="00FF5AFE" w:rsidRPr="00D44F36" w:rsidRDefault="00FF5AFE" w:rsidP="00013A2F">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Keywords:</w:t>
      </w:r>
      <w:r w:rsidRPr="00D44F36">
        <w:rPr>
          <w:rFonts w:cs="Arial"/>
          <w:color w:val="000000" w:themeColor="text1"/>
          <w:sz w:val="20"/>
        </w:rPr>
        <w:t xml:space="preserve"> </w:t>
      </w:r>
      <w:r w:rsidRPr="00D44F36">
        <w:rPr>
          <w:rFonts w:cs="Arial"/>
          <w:b w:val="0"/>
          <w:caps w:val="0"/>
          <w:color w:val="000000" w:themeColor="text1"/>
          <w:sz w:val="20"/>
          <w:shd w:val="clear" w:color="auto" w:fill="FFFFFF"/>
        </w:rPr>
        <w:t>Bullying, Neurological Disorders, Oral Health, Sociodemographic Factors, Pediatric Dentistry</w:t>
      </w:r>
    </w:p>
    <w:p w:rsidR="00FF5AFE" w:rsidRPr="002119BD" w:rsidRDefault="00FF5AFE" w:rsidP="00013A2F">
      <w:pPr>
        <w:pStyle w:val="Heading2"/>
        <w:spacing w:line="276" w:lineRule="auto"/>
        <w:rPr>
          <w:rFonts w:cs="Arial"/>
          <w:caps w:val="0"/>
          <w:color w:val="000000" w:themeColor="text1"/>
          <w:sz w:val="20"/>
          <w:szCs w:val="24"/>
          <w:shd w:val="clear" w:color="auto" w:fill="FFFFFF"/>
        </w:rPr>
      </w:pPr>
    </w:p>
    <w:p w:rsidR="00FF5AFE" w:rsidRPr="002119BD" w:rsidRDefault="00FF5AFE" w:rsidP="00013A2F">
      <w:pPr>
        <w:pStyle w:val="Heading2"/>
        <w:spacing w:before="120"/>
        <w:rPr>
          <w:rFonts w:cs="Arial"/>
          <w:color w:val="000000" w:themeColor="text1"/>
          <w:sz w:val="20"/>
          <w:shd w:val="clear" w:color="auto" w:fill="FFFFFF"/>
        </w:rPr>
      </w:pPr>
      <w:bookmarkStart w:id="0" w:name="_Toc146665975"/>
      <w:r w:rsidRPr="002119BD">
        <w:rPr>
          <w:rFonts w:cs="Arial"/>
          <w:caps w:val="0"/>
          <w:color w:val="000000" w:themeColor="text1"/>
          <w:sz w:val="20"/>
          <w:shd w:val="clear" w:color="auto" w:fill="FFFFFF"/>
        </w:rPr>
        <w:t>INTRODUCTION</w:t>
      </w:r>
    </w:p>
    <w:p w:rsidR="00FF5AFE" w:rsidRDefault="00FF5AFE" w:rsidP="00013A2F">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Children with neurological disorders are at a higher risk of experiencing bullying compared to their typically developing peers, with a higher prevalence observed in this group.</w:t>
      </w:r>
      <w:r w:rsidRPr="00F814E4">
        <w:rPr>
          <w:rFonts w:ascii="Arial" w:hAnsi="Arial" w:cs="Arial"/>
          <w:noProof/>
          <w:color w:val="000000" w:themeColor="text1"/>
          <w:sz w:val="20"/>
        </w:rPr>
        <w:t>(Iyanda 2022)</w:t>
      </w:r>
      <w:r w:rsidRPr="00F814E4">
        <w:rPr>
          <w:rFonts w:ascii="Arial" w:hAnsi="Arial" w:cs="Arial"/>
          <w:color w:val="000000" w:themeColor="text1"/>
          <w:sz w:val="20"/>
        </w:rPr>
        <w:t xml:space="preserve"> This vulnerability is particularly evident in children diagnosed with Autism Spectrum Disorder (ASD), which is often associated with difficulties in social interaction,</w:t>
      </w:r>
      <w:r w:rsidRPr="00F814E4">
        <w:rPr>
          <w:rFonts w:ascii="Arial" w:hAnsi="Arial" w:cs="Arial"/>
          <w:noProof/>
          <w:color w:val="000000" w:themeColor="text1"/>
          <w:sz w:val="20"/>
        </w:rPr>
        <w:t>(Maïano, Normand et al. 2016, Lung, Shu et al. 2019)</w:t>
      </w:r>
      <w:r w:rsidRPr="00F814E4">
        <w:rPr>
          <w:rFonts w:ascii="Arial" w:hAnsi="Arial" w:cs="Arial"/>
          <w:color w:val="000000" w:themeColor="text1"/>
          <w:sz w:val="20"/>
        </w:rPr>
        <w:t xml:space="preserve"> as well as those with Attention Deficit Hyperactivity Disorder (ADHD),</w:t>
      </w:r>
      <w:r w:rsidRPr="00F814E4">
        <w:rPr>
          <w:rFonts w:ascii="Arial" w:hAnsi="Arial" w:cs="Arial"/>
          <w:noProof/>
          <w:color w:val="000000" w:themeColor="text1"/>
          <w:sz w:val="20"/>
        </w:rPr>
        <w:t>(Fredrick, Nickerson et al. 2023)</w:t>
      </w:r>
      <w:r w:rsidRPr="00F814E4">
        <w:rPr>
          <w:rFonts w:ascii="Arial" w:hAnsi="Arial" w:cs="Arial"/>
          <w:color w:val="000000" w:themeColor="text1"/>
          <w:sz w:val="20"/>
        </w:rPr>
        <w:t xml:space="preserve"> and motor coordination problems.</w:t>
      </w:r>
      <w:r w:rsidRPr="00F814E4">
        <w:rPr>
          <w:rFonts w:ascii="Arial" w:hAnsi="Arial" w:cs="Arial"/>
          <w:noProof/>
          <w:color w:val="000000" w:themeColor="text1"/>
          <w:sz w:val="20"/>
        </w:rPr>
        <w:t>(Hennig, Jaya et al. 2017)</w:t>
      </w:r>
      <w:r w:rsidRPr="002119BD">
        <w:rPr>
          <w:rFonts w:ascii="Arial" w:hAnsi="Arial" w:cs="Arial"/>
          <w:color w:val="000000" w:themeColor="text1"/>
          <w:sz w:val="20"/>
        </w:rPr>
        <w:t xml:space="preserve"> These neurodevelopmental challenges amplify the risk of bullying, leading to significant emotional and social consequences.</w:t>
      </w:r>
    </w:p>
    <w:p w:rsidR="00FF5AFE" w:rsidRPr="002119BD" w:rsidRDefault="00FF5AFE" w:rsidP="00013A2F">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 xml:space="preserve">The impact of bullying extends beyond the individual, profoundly affecting families and social dynamics. Effective prevention strategies involve understanding the child's developmental processes, identifying risk factors, and providing training for caregivers </w:t>
      </w:r>
      <w:r w:rsidRPr="002119BD">
        <w:rPr>
          <w:rFonts w:ascii="Arial" w:hAnsi="Arial" w:cs="Arial"/>
          <w:noProof/>
          <w:color w:val="000000" w:themeColor="text1"/>
          <w:sz w:val="20"/>
        </w:rPr>
        <w:t xml:space="preserve">(Törn, Pettersson et al. </w:t>
      </w:r>
      <w:r w:rsidRPr="002119BD">
        <w:rPr>
          <w:rFonts w:ascii="Arial" w:hAnsi="Arial" w:cs="Arial"/>
          <w:noProof/>
          <w:color w:val="000000" w:themeColor="text1"/>
          <w:sz w:val="20"/>
        </w:rPr>
        <w:lastRenderedPageBreak/>
        <w:t>2015)</w:t>
      </w:r>
      <w:r w:rsidRPr="002119BD">
        <w:rPr>
          <w:rFonts w:ascii="Arial" w:hAnsi="Arial" w:cs="Arial"/>
          <w:color w:val="000000" w:themeColor="text1"/>
          <w:sz w:val="20"/>
        </w:rPr>
        <w:t>7]. Since the manifestation of bullying varies by social context and individual characteristics, addressing neurodevelopmental and social interaction challenges through medical treatment and specialized therapies is critical for mitigating these risks.</w:t>
      </w:r>
      <w:r w:rsidRPr="002119BD">
        <w:rPr>
          <w:rFonts w:ascii="Arial" w:hAnsi="Arial" w:cs="Arial"/>
          <w:noProof/>
          <w:color w:val="000000" w:themeColor="text1"/>
          <w:sz w:val="20"/>
        </w:rPr>
        <w:t>(Törn, Pettersson et al. 2015, Rizeq, Kennedy et al. 2022)</w:t>
      </w:r>
    </w:p>
    <w:p w:rsidR="00FF5AFE" w:rsidRPr="002119BD" w:rsidRDefault="00FF5AFE" w:rsidP="00013A2F">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In addition to neurodevelopmental factors, oral health issues such as malocclusion and visible dental anomalies can predispose children to bullying, significantly impacting their quality of life, self-esteem, and confidence. These challenges often lead to long-term repercussions, affecting both social interactions and academic performance.</w:t>
      </w:r>
      <w:r w:rsidRPr="002119BD">
        <w:rPr>
          <w:rFonts w:ascii="Arial" w:hAnsi="Arial" w:cs="Arial"/>
          <w:noProof/>
          <w:color w:val="000000" w:themeColor="text1"/>
          <w:sz w:val="20"/>
        </w:rPr>
        <w:t>(Törn, Pettersson et al. 2015, DiBiase, Cox et al. 2024)</w:t>
      </w:r>
      <w:r w:rsidRPr="002119BD">
        <w:rPr>
          <w:rFonts w:ascii="Arial" w:hAnsi="Arial" w:cs="Arial"/>
          <w:color w:val="000000" w:themeColor="text1"/>
          <w:sz w:val="20"/>
        </w:rPr>
        <w:t xml:space="preserve"> Factors such as the color, shape, and position of teeth, bone structures, and facial characteristics (e.g., texture, size, and shape of the lips, nose, and chin) associated with malocclusions can provoke verbal aggression. This verbal aggression significantly lowers self-esteem, reduces social-emotional quality of life, and leads to both immediate and lasting psychological issues.</w:t>
      </w:r>
      <w:r w:rsidRPr="002119BD">
        <w:rPr>
          <w:rFonts w:ascii="Arial" w:hAnsi="Arial" w:cs="Arial"/>
          <w:noProof/>
          <w:color w:val="000000" w:themeColor="text1"/>
          <w:sz w:val="20"/>
        </w:rPr>
        <w:t>(Rizeq, Kennedy et al. 2022)</w:t>
      </w:r>
    </w:p>
    <w:p w:rsidR="00FF5AFE" w:rsidRPr="002119BD" w:rsidRDefault="00FF5AFE" w:rsidP="00013A2F">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Children and adolescents with neurological disorders often exhibit poorer oral health, including higher dental plaque scores, more severe periodontal conditions, and a greater incidence of caries in permanent teeth than their neurotypical peers.</w:t>
      </w:r>
      <w:r w:rsidRPr="002119BD">
        <w:rPr>
          <w:rFonts w:ascii="Arial" w:hAnsi="Arial" w:cs="Arial"/>
          <w:noProof/>
          <w:color w:val="000000" w:themeColor="text1"/>
          <w:sz w:val="20"/>
        </w:rPr>
        <w:t>(Zhou, Wong et al. 2017)</w:t>
      </w:r>
      <w:r w:rsidRPr="002119BD">
        <w:rPr>
          <w:rFonts w:ascii="Arial" w:hAnsi="Arial" w:cs="Arial"/>
          <w:color w:val="000000" w:themeColor="text1"/>
          <w:sz w:val="20"/>
        </w:rPr>
        <w:t xml:space="preserve"> For example, children with ASD frequently show resistance to dental treatments due to interaction difficulties,</w:t>
      </w:r>
      <w:r w:rsidRPr="002119BD">
        <w:rPr>
          <w:rFonts w:ascii="Arial" w:hAnsi="Arial" w:cs="Arial"/>
          <w:noProof/>
          <w:color w:val="000000" w:themeColor="text1"/>
          <w:sz w:val="20"/>
        </w:rPr>
        <w:t>(Seehra, Fleming et al. 2011)</w:t>
      </w:r>
      <w:r w:rsidRPr="002119BD">
        <w:rPr>
          <w:rFonts w:ascii="Arial" w:hAnsi="Arial" w:cs="Arial"/>
          <w:color w:val="000000" w:themeColor="text1"/>
          <w:sz w:val="20"/>
        </w:rPr>
        <w:t xml:space="preserve"> while those with Cerebral Palsy (CP) may experience neuromuscular dysfunction, hypotonia, and other conditions that impair oral hygiene and contribute to oral health problems.</w:t>
      </w:r>
      <w:r w:rsidRPr="002119BD">
        <w:rPr>
          <w:rFonts w:ascii="Arial" w:hAnsi="Arial" w:cs="Arial"/>
          <w:noProof/>
          <w:color w:val="000000" w:themeColor="text1"/>
          <w:sz w:val="20"/>
        </w:rPr>
        <w:t>(Moreira, Alcântara et al. 2012)</w:t>
      </w:r>
    </w:p>
    <w:p w:rsidR="00FF5AFE" w:rsidRPr="002119BD" w:rsidRDefault="00FF5AFE" w:rsidP="00013A2F">
      <w:pPr>
        <w:spacing w:before="120" w:line="360" w:lineRule="auto"/>
        <w:ind w:firstLine="567"/>
        <w:jc w:val="both"/>
        <w:rPr>
          <w:rFonts w:ascii="Arial" w:hAnsi="Arial" w:cs="Arial"/>
          <w:i/>
          <w:color w:val="000000" w:themeColor="text1"/>
          <w:sz w:val="20"/>
        </w:rPr>
      </w:pPr>
      <w:r w:rsidRPr="002119BD">
        <w:rPr>
          <w:rFonts w:ascii="Arial" w:hAnsi="Arial" w:cs="Arial"/>
          <w:color w:val="000000" w:themeColor="text1"/>
          <w:sz w:val="20"/>
        </w:rPr>
        <w:t>Bullying, bruxism, and emotional factors like sadness and cyberbullying are significantly linked, especially in adolescents with visible oral health issues, emphasizing the need for early social and dental health interventions.</w:t>
      </w:r>
      <w:r w:rsidRPr="002119BD">
        <w:rPr>
          <w:rFonts w:ascii="Arial" w:hAnsi="Arial" w:cs="Arial"/>
          <w:noProof/>
          <w:color w:val="000000" w:themeColor="text1"/>
          <w:sz w:val="20"/>
        </w:rPr>
        <w:t>(Figueirôa, Raposo et al. 2024)</w:t>
      </w:r>
    </w:p>
    <w:p w:rsidR="00013A2F" w:rsidRDefault="00013A2F" w:rsidP="00013A2F">
      <w:pPr>
        <w:spacing w:before="120" w:line="360" w:lineRule="auto"/>
        <w:ind w:firstLine="567"/>
        <w:jc w:val="both"/>
        <w:rPr>
          <w:rFonts w:ascii="Arial" w:hAnsi="Arial" w:cs="Arial"/>
          <w:color w:val="000000" w:themeColor="text1"/>
          <w:sz w:val="20"/>
        </w:rPr>
      </w:pPr>
      <w:r w:rsidRPr="00942B8C">
        <w:rPr>
          <w:rFonts w:ascii="Arial" w:hAnsi="Arial" w:cs="Arial"/>
          <w:color w:val="C00000"/>
          <w:sz w:val="20"/>
        </w:rPr>
        <w:t>To date, no studies have definitively examined the relationships between factors such as family and social context, the presence of dental caries, malocclusion, and the incidence of bullying in children with neurological disorders. Therefore, this study aimed to assess the prevalence of bullying and its association with sociodemographic and oral health factors, including the need for orthodontic treatment and the presence of dental caries, among children with neurological disorders. Accordingly, this study addressed the following research questions: (1) What is the prevalence of bullying among children with neurological disorders? (2) Are sociodemographic characteristics associated with bullying victimization in this population? (3) Are oral health conditions, including dental caries experience and perceived orthodontic treatment need, associated with bullying prevalence? (4) Does bullying prevalence differ according to neurological diagnosis? The null hypothesis tested was that no significant differences exist between sociodemographic data, oral conditions, and diagnosis groups regarding the prevalence of bullying.</w:t>
      </w:r>
    </w:p>
    <w:p w:rsidR="00FF5AFE" w:rsidRPr="002119BD" w:rsidRDefault="00FF5AFE" w:rsidP="00013A2F">
      <w:pPr>
        <w:spacing w:before="120" w:line="360" w:lineRule="auto"/>
        <w:ind w:firstLine="567"/>
        <w:jc w:val="both"/>
        <w:rPr>
          <w:rFonts w:ascii="Arial" w:hAnsi="Arial" w:cs="Arial"/>
          <w:color w:val="000000" w:themeColor="text1"/>
          <w:sz w:val="20"/>
        </w:rPr>
      </w:pPr>
    </w:p>
    <w:p w:rsidR="00FF5AFE" w:rsidRPr="00B45F8A" w:rsidRDefault="00FF5AFE" w:rsidP="00013A2F">
      <w:pPr>
        <w:spacing w:before="100" w:beforeAutospacing="1" w:line="360" w:lineRule="auto"/>
        <w:jc w:val="both"/>
        <w:rPr>
          <w:rFonts w:ascii="Arial" w:hAnsi="Arial" w:cs="Arial"/>
          <w:b/>
          <w:bCs/>
          <w:color w:val="000000" w:themeColor="text1"/>
          <w:sz w:val="22"/>
          <w:szCs w:val="22"/>
        </w:rPr>
      </w:pPr>
      <w:bookmarkStart w:id="1" w:name="_Toc146665976"/>
      <w:bookmarkEnd w:id="0"/>
      <w:r w:rsidRPr="00B45F8A">
        <w:rPr>
          <w:rFonts w:ascii="Arial" w:hAnsi="Arial" w:cs="Arial"/>
          <w:b/>
          <w:bCs/>
          <w:color w:val="000000" w:themeColor="text1"/>
          <w:sz w:val="22"/>
          <w:szCs w:val="22"/>
        </w:rPr>
        <w:t>MATERIAL AND METHODS</w:t>
      </w:r>
    </w:p>
    <w:p w:rsidR="00FF5AFE" w:rsidRPr="00B45F8A" w:rsidRDefault="00FF5AFE" w:rsidP="00013A2F">
      <w:pPr>
        <w:spacing w:before="100" w:beforeAutospacing="1" w:line="360" w:lineRule="auto"/>
        <w:jc w:val="both"/>
        <w:rPr>
          <w:rFonts w:ascii="Arial" w:hAnsi="Arial" w:cs="Arial"/>
          <w:b/>
          <w:bCs/>
          <w:color w:val="000000" w:themeColor="text1"/>
          <w:sz w:val="20"/>
        </w:rPr>
      </w:pPr>
      <w:r w:rsidRPr="00B45F8A">
        <w:rPr>
          <w:rFonts w:ascii="Arial" w:hAnsi="Arial" w:cs="Arial"/>
          <w:b/>
          <w:bCs/>
          <w:color w:val="000000" w:themeColor="text1"/>
          <w:sz w:val="20"/>
        </w:rPr>
        <w:lastRenderedPageBreak/>
        <w:t>Study design and ethical aspects</w:t>
      </w:r>
    </w:p>
    <w:p w:rsidR="00FF5AFE" w:rsidRPr="005E3DEA" w:rsidRDefault="00FF5AFE" w:rsidP="00013A2F">
      <w:pPr>
        <w:spacing w:before="100" w:beforeAutospacing="1" w:line="480" w:lineRule="auto"/>
        <w:ind w:firstLine="567"/>
        <w:jc w:val="both"/>
        <w:rPr>
          <w:rFonts w:ascii="Arial" w:hAnsi="Arial" w:cs="Arial"/>
          <w:color w:val="000000" w:themeColor="text1"/>
          <w:sz w:val="20"/>
        </w:rPr>
      </w:pPr>
      <w:r w:rsidRPr="005E3DEA">
        <w:rPr>
          <w:rFonts w:ascii="Arial" w:hAnsi="Arial" w:cs="Arial"/>
          <w:color w:val="000000" w:themeColor="text1"/>
          <w:sz w:val="20"/>
        </w:rPr>
        <w:t xml:space="preserve">This study was approved by the Human Research Ethics Committee of the University under protocol no. 64150722.3.0000.0020. A cross-sectional observational </w:t>
      </w:r>
      <w:r>
        <w:rPr>
          <w:rFonts w:ascii="Arial" w:hAnsi="Arial" w:cs="Arial"/>
          <w:color w:val="000000" w:themeColor="text1"/>
          <w:sz w:val="20"/>
        </w:rPr>
        <w:t>study was conducted</w:t>
      </w:r>
      <w:r w:rsidRPr="005E3DEA">
        <w:rPr>
          <w:rFonts w:ascii="Arial" w:hAnsi="Arial" w:cs="Arial"/>
          <w:color w:val="000000" w:themeColor="text1"/>
          <w:sz w:val="20"/>
        </w:rPr>
        <w:t>, adhering to the Strengthening the Reporting of Observational Studies in Epidemiology (STROBE) guidelines.</w:t>
      </w:r>
    </w:p>
    <w:p w:rsidR="00FF5AFE" w:rsidRDefault="00FF5AFE" w:rsidP="00013A2F">
      <w:pPr>
        <w:spacing w:line="480" w:lineRule="auto"/>
        <w:ind w:firstLine="567"/>
        <w:jc w:val="both"/>
        <w:rPr>
          <w:rFonts w:ascii="Arial" w:hAnsi="Arial" w:cs="Arial"/>
          <w:color w:val="000000" w:themeColor="text1"/>
          <w:sz w:val="20"/>
        </w:rPr>
      </w:pPr>
      <w:r w:rsidRPr="005E3DEA">
        <w:rPr>
          <w:rFonts w:ascii="Arial" w:hAnsi="Arial" w:cs="Arial"/>
          <w:color w:val="000000" w:themeColor="text1"/>
          <w:sz w:val="20"/>
        </w:rPr>
        <w:t>The sample size was calculated using the proportion sampling method with a 95% confidence interval (CI), assuming P</w:t>
      </w:r>
      <w:r>
        <w:rPr>
          <w:rFonts w:ascii="Arial" w:hAnsi="Arial" w:cs="Arial"/>
          <w:color w:val="000000" w:themeColor="text1"/>
          <w:sz w:val="20"/>
        </w:rPr>
        <w:t xml:space="preserve"> </w:t>
      </w:r>
      <w:r w:rsidRPr="005E3DEA">
        <w:rPr>
          <w:rFonts w:ascii="Arial" w:hAnsi="Arial" w:cs="Arial"/>
          <w:color w:val="000000" w:themeColor="text1"/>
          <w:sz w:val="20"/>
        </w:rPr>
        <w:t>=</w:t>
      </w:r>
      <w:r>
        <w:rPr>
          <w:rFonts w:ascii="Arial" w:hAnsi="Arial" w:cs="Arial"/>
          <w:color w:val="000000" w:themeColor="text1"/>
          <w:sz w:val="20"/>
        </w:rPr>
        <w:t xml:space="preserve"> </w:t>
      </w:r>
      <w:r w:rsidRPr="005E3DEA">
        <w:rPr>
          <w:rFonts w:ascii="Arial" w:hAnsi="Arial" w:cs="Arial"/>
          <w:color w:val="000000" w:themeColor="text1"/>
          <w:sz w:val="20"/>
        </w:rPr>
        <w:t>Q</w:t>
      </w:r>
      <w:r>
        <w:rPr>
          <w:rFonts w:ascii="Arial" w:hAnsi="Arial" w:cs="Arial"/>
          <w:color w:val="000000" w:themeColor="text1"/>
          <w:sz w:val="20"/>
        </w:rPr>
        <w:t xml:space="preserve"> </w:t>
      </w:r>
      <w:r w:rsidRPr="005E3DEA">
        <w:rPr>
          <w:rFonts w:ascii="Arial" w:hAnsi="Arial" w:cs="Arial"/>
          <w:color w:val="000000" w:themeColor="text1"/>
          <w:sz w:val="20"/>
        </w:rPr>
        <w:t>=</w:t>
      </w:r>
      <w:r>
        <w:rPr>
          <w:rFonts w:ascii="Arial" w:hAnsi="Arial" w:cs="Arial"/>
          <w:color w:val="000000" w:themeColor="text1"/>
          <w:sz w:val="20"/>
        </w:rPr>
        <w:t xml:space="preserve"> </w:t>
      </w:r>
      <w:r w:rsidRPr="005E3DEA">
        <w:rPr>
          <w:rFonts w:ascii="Arial" w:hAnsi="Arial" w:cs="Arial"/>
          <w:color w:val="000000" w:themeColor="text1"/>
          <w:sz w:val="20"/>
        </w:rPr>
        <w:t>0.5</w:t>
      </w:r>
      <w:r>
        <w:rPr>
          <w:rFonts w:ascii="Arial" w:hAnsi="Arial" w:cs="Arial"/>
          <w:color w:val="000000" w:themeColor="text1"/>
          <w:sz w:val="20"/>
        </w:rPr>
        <w:t xml:space="preserve"> </w:t>
      </w:r>
      <w:r w:rsidRPr="005E3DEA">
        <w:rPr>
          <w:rFonts w:ascii="Arial" w:hAnsi="Arial" w:cs="Arial"/>
          <w:color w:val="000000" w:themeColor="text1"/>
          <w:sz w:val="20"/>
        </w:rPr>
        <w:t xml:space="preserve">due to a lack of prior data on the proportion of favorable outcomes. </w:t>
      </w:r>
    </w:p>
    <w:p w:rsidR="00FF5AFE" w:rsidRPr="002B4637" w:rsidRDefault="00FF5AFE" w:rsidP="00013A2F">
      <w:pPr>
        <w:spacing w:line="480" w:lineRule="auto"/>
        <w:ind w:firstLine="567"/>
        <w:jc w:val="both"/>
        <w:rPr>
          <w:rFonts w:ascii="Arial" w:hAnsi="Arial" w:cs="Arial"/>
          <w:color w:val="000000" w:themeColor="text1"/>
          <w:sz w:val="20"/>
        </w:rPr>
      </w:pPr>
      <w:r w:rsidRPr="002B4637">
        <w:rPr>
          <w:rFonts w:ascii="Arial" w:hAnsi="Arial" w:cs="Arial"/>
          <w:color w:val="000000" w:themeColor="text1"/>
          <w:sz w:val="20"/>
        </w:rPr>
        <w:t xml:space="preserve">The final sample included 196 children aged 3–14 years, receiving care at child neurology outpatient clinics </w:t>
      </w:r>
      <w:r w:rsidR="006156DA" w:rsidRPr="006156DA">
        <w:rPr>
          <w:rFonts w:ascii="Arial" w:hAnsi="Arial" w:cs="Arial"/>
          <w:color w:val="C00000"/>
          <w:sz w:val="20"/>
        </w:rPr>
        <w:t>at the Waldemar Monastier Children’s Hospital and the Wallace Thadeu de Mello e Silva Regional University Hospital, Paraná, Brazil.</w:t>
      </w:r>
      <w:r w:rsidR="006156DA">
        <w:rPr>
          <w:rFonts w:ascii="Arial" w:hAnsi="Arial" w:cs="Arial"/>
          <w:color w:val="C00000"/>
          <w:sz w:val="20"/>
        </w:rPr>
        <w:t xml:space="preserve"> </w:t>
      </w:r>
      <w:r w:rsidRPr="002B4637">
        <w:rPr>
          <w:rFonts w:ascii="Arial" w:hAnsi="Arial" w:cs="Arial"/>
          <w:color w:val="000000" w:themeColor="text1"/>
          <w:sz w:val="20"/>
        </w:rPr>
        <w:t>Both institutions provide free services through the Unified Health System (SUS) and are state reference centers for child neurology. Participants had at least one of the following diagnoses: Autism Spectrum Disorder (ASD), Attention Deficit Hyperactivity Disorder (ADHD), epilepsy, Cerebral Palsy (CP), Intellectual Disability (ID), or Oppositional Defiant Disorder (ODD).</w:t>
      </w:r>
    </w:p>
    <w:p w:rsidR="00FF5AFE" w:rsidRDefault="00FF5AFE" w:rsidP="00013A2F">
      <w:pPr>
        <w:spacing w:before="120" w:line="480" w:lineRule="auto"/>
        <w:ind w:firstLine="567"/>
        <w:jc w:val="both"/>
        <w:rPr>
          <w:rFonts w:ascii="Arial" w:hAnsi="Arial" w:cs="Arial"/>
          <w:color w:val="000000" w:themeColor="text1"/>
          <w:sz w:val="20"/>
        </w:rPr>
      </w:pPr>
      <w:r w:rsidRPr="00942478">
        <w:rPr>
          <w:rFonts w:ascii="Arial" w:hAnsi="Arial" w:cs="Arial"/>
          <w:color w:val="000000" w:themeColor="text1"/>
          <w:sz w:val="20"/>
        </w:rPr>
        <w:t xml:space="preserve">Exclusion criteria included caregivers with significant cognitive impairment, children receiving enteral feeding, </w:t>
      </w:r>
      <w:r w:rsidRPr="007D5C5A">
        <w:rPr>
          <w:rFonts w:ascii="Arial" w:hAnsi="Arial" w:cs="Arial"/>
          <w:color w:val="FF0000"/>
          <w:sz w:val="20"/>
        </w:rPr>
        <w:t xml:space="preserve">and cases in which informed consent was not obtained from caregivers. </w:t>
      </w:r>
      <w:r w:rsidRPr="002B4637">
        <w:rPr>
          <w:rFonts w:ascii="Arial" w:hAnsi="Arial" w:cs="Arial"/>
          <w:color w:val="000000" w:themeColor="text1"/>
          <w:sz w:val="20"/>
        </w:rPr>
        <w:t>Caregivers completed a questionnaire electronically via</w:t>
      </w:r>
      <w:r>
        <w:rPr>
          <w:rFonts w:ascii="Arial" w:hAnsi="Arial" w:cs="Arial"/>
          <w:color w:val="000000" w:themeColor="text1"/>
          <w:sz w:val="20"/>
        </w:rPr>
        <w:t xml:space="preserve"> </w:t>
      </w:r>
      <w:r w:rsidRPr="002B4637">
        <w:rPr>
          <w:rFonts w:ascii="Arial" w:hAnsi="Arial" w:cs="Arial"/>
          <w:color w:val="000000" w:themeColor="text1"/>
          <w:sz w:val="20"/>
        </w:rPr>
        <w:t>Google Forms after providing written informed consent.</w:t>
      </w:r>
    </w:p>
    <w:p w:rsidR="00FF5AFE" w:rsidRPr="002B4637" w:rsidRDefault="00FF5AFE" w:rsidP="00013A2F">
      <w:pPr>
        <w:spacing w:before="120" w:line="480" w:lineRule="auto"/>
        <w:jc w:val="both"/>
        <w:rPr>
          <w:rFonts w:ascii="Arial" w:hAnsi="Arial" w:cs="Arial"/>
          <w:color w:val="000000" w:themeColor="text1"/>
          <w:sz w:val="20"/>
        </w:rPr>
      </w:pPr>
      <w:r w:rsidRPr="002B4637">
        <w:rPr>
          <w:rFonts w:ascii="Arial" w:hAnsi="Arial" w:cs="Arial"/>
          <w:b/>
          <w:bCs/>
          <w:color w:val="000000" w:themeColor="text1"/>
          <w:sz w:val="20"/>
        </w:rPr>
        <w:t>Sociodemographic Data</w:t>
      </w:r>
    </w:p>
    <w:p w:rsidR="00FF5AFE" w:rsidRDefault="00FF5AFE" w:rsidP="00013A2F">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 xml:space="preserve">The </w:t>
      </w:r>
      <w:r w:rsidRPr="007D5C5A">
        <w:rPr>
          <w:rFonts w:ascii="Arial" w:hAnsi="Arial" w:cs="Arial"/>
          <w:color w:val="FF0000"/>
          <w:sz w:val="20"/>
        </w:rPr>
        <w:t xml:space="preserve">questionnaire </w:t>
      </w:r>
      <w:r w:rsidRPr="002B4637">
        <w:rPr>
          <w:rFonts w:ascii="Arial" w:hAnsi="Arial" w:cs="Arial"/>
          <w:color w:val="000000" w:themeColor="text1"/>
          <w:sz w:val="20"/>
        </w:rPr>
        <w:t>included 18 structured</w:t>
      </w:r>
      <w:r>
        <w:rPr>
          <w:rFonts w:ascii="Arial" w:hAnsi="Arial" w:cs="Arial"/>
          <w:color w:val="000000" w:themeColor="text1"/>
          <w:sz w:val="20"/>
        </w:rPr>
        <w:t xml:space="preserve"> </w:t>
      </w:r>
      <w:r w:rsidRPr="002B4637">
        <w:rPr>
          <w:rFonts w:ascii="Arial" w:hAnsi="Arial" w:cs="Arial"/>
          <w:color w:val="000000" w:themeColor="text1"/>
          <w:sz w:val="20"/>
        </w:rPr>
        <w:t xml:space="preserve">items covering caregiver-related characteristics (bond with the child, age, time spent with the child, education level, and family income), child </w:t>
      </w:r>
      <w:r>
        <w:rPr>
          <w:rFonts w:ascii="Arial" w:hAnsi="Arial" w:cs="Arial"/>
          <w:color w:val="000000" w:themeColor="text1"/>
          <w:sz w:val="20"/>
        </w:rPr>
        <w:t>related variables</w:t>
      </w:r>
      <w:r w:rsidRPr="002B4637">
        <w:rPr>
          <w:rFonts w:ascii="Arial" w:hAnsi="Arial" w:cs="Arial"/>
          <w:color w:val="000000" w:themeColor="text1"/>
          <w:sz w:val="20"/>
        </w:rPr>
        <w:t xml:space="preserve"> (sex, age, ethnicity, housing type, and neurological diagnosis), </w:t>
      </w:r>
      <w:r w:rsidRPr="00A1352E">
        <w:rPr>
          <w:rFonts w:ascii="Arial" w:hAnsi="Arial" w:cs="Arial"/>
          <w:color w:val="000000" w:themeColor="text1"/>
          <w:sz w:val="20"/>
        </w:rPr>
        <w:t xml:space="preserve">as well as caregiver-reported bullying experiences, oral health conditions, and perceived orthodontic treatment need. </w:t>
      </w:r>
      <w:r w:rsidR="007C2904" w:rsidRPr="007D5C5A">
        <w:rPr>
          <w:rFonts w:ascii="Arial" w:hAnsi="Arial" w:cs="Arial"/>
          <w:color w:val="FF0000"/>
          <w:sz w:val="20"/>
        </w:rPr>
        <w:t xml:space="preserve">(Du, </w:t>
      </w:r>
      <w:r w:rsidR="007C2904" w:rsidRPr="007D5C5A">
        <w:rPr>
          <w:color w:val="FF0000"/>
        </w:rPr>
        <w:t>Yiu et al 2020)</w:t>
      </w:r>
      <w:r w:rsidR="007C2904" w:rsidRPr="007D5C5A">
        <w:rPr>
          <w:rFonts w:ascii="Arial" w:hAnsi="Arial" w:cs="Arial"/>
          <w:color w:val="FF0000"/>
          <w:sz w:val="20"/>
        </w:rPr>
        <w:t xml:space="preserve"> </w:t>
      </w:r>
      <w:r w:rsidRPr="00A1352E">
        <w:rPr>
          <w:rFonts w:ascii="Arial" w:hAnsi="Arial" w:cs="Arial"/>
          <w:color w:val="000000" w:themeColor="text1"/>
          <w:sz w:val="20"/>
        </w:rPr>
        <w:t>The average completion time was approximately 10 minutes.</w:t>
      </w:r>
    </w:p>
    <w:p w:rsidR="00FF5AFE" w:rsidRPr="002B4637" w:rsidRDefault="00FF5AFE" w:rsidP="00013A2F">
      <w:pPr>
        <w:spacing w:before="120" w:line="480" w:lineRule="auto"/>
        <w:jc w:val="both"/>
        <w:rPr>
          <w:rFonts w:ascii="Arial" w:hAnsi="Arial" w:cs="Arial"/>
          <w:color w:val="000000" w:themeColor="text1"/>
          <w:sz w:val="20"/>
        </w:rPr>
      </w:pPr>
      <w:r w:rsidRPr="002B4637">
        <w:rPr>
          <w:rFonts w:ascii="Arial" w:hAnsi="Arial" w:cs="Arial"/>
          <w:b/>
          <w:bCs/>
          <w:color w:val="000000" w:themeColor="text1"/>
          <w:sz w:val="20"/>
        </w:rPr>
        <w:t>Bullying</w:t>
      </w:r>
    </w:p>
    <w:p w:rsidR="00FF5AFE" w:rsidRDefault="00FF5AFE" w:rsidP="00013A2F">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 xml:space="preserve">Bullying was assessed using three items adapted from the teasing/bullying </w:t>
      </w:r>
      <w:r>
        <w:rPr>
          <w:rFonts w:ascii="Arial" w:hAnsi="Arial" w:cs="Arial"/>
          <w:color w:val="000000" w:themeColor="text1"/>
          <w:sz w:val="20"/>
        </w:rPr>
        <w:t>domain</w:t>
      </w:r>
      <w:r w:rsidRPr="002B4637">
        <w:rPr>
          <w:rFonts w:ascii="Arial" w:hAnsi="Arial" w:cs="Arial"/>
          <w:color w:val="000000" w:themeColor="text1"/>
          <w:sz w:val="20"/>
        </w:rPr>
        <w:t xml:space="preserve"> of the validated Brazilian version of the Kidscreen-52.(Guedes and Guedes 2011) Responses on a 5-</w:t>
      </w:r>
      <w:r w:rsidRPr="002B4637">
        <w:rPr>
          <w:rFonts w:ascii="Arial" w:hAnsi="Arial" w:cs="Arial"/>
          <w:color w:val="000000" w:themeColor="text1"/>
          <w:sz w:val="20"/>
        </w:rPr>
        <w:lastRenderedPageBreak/>
        <w:t xml:space="preserve">point Likert scale were dichotomized (Ramos, Nabarrette et al. 2022)[18], with bullying considered present </w:t>
      </w:r>
      <w:r w:rsidRPr="00A1352E">
        <w:rPr>
          <w:rFonts w:ascii="Arial" w:hAnsi="Arial" w:cs="Arial"/>
          <w:color w:val="000000" w:themeColor="text1"/>
          <w:sz w:val="20"/>
        </w:rPr>
        <w:t>when at least one item received a positive response.</w:t>
      </w:r>
    </w:p>
    <w:p w:rsidR="00FF5AFE" w:rsidRPr="00A1352E" w:rsidRDefault="00FF5AFE" w:rsidP="00013A2F">
      <w:pPr>
        <w:spacing w:before="120" w:line="480" w:lineRule="auto"/>
        <w:jc w:val="both"/>
        <w:rPr>
          <w:rFonts w:ascii="Arial" w:hAnsi="Arial" w:cs="Arial"/>
          <w:b/>
          <w:color w:val="000000" w:themeColor="text1"/>
          <w:sz w:val="20"/>
        </w:rPr>
      </w:pPr>
      <w:r w:rsidRPr="00A1352E">
        <w:rPr>
          <w:rFonts w:ascii="Arial" w:hAnsi="Arial" w:cs="Arial"/>
          <w:b/>
          <w:bCs/>
          <w:color w:val="000000" w:themeColor="text1"/>
          <w:sz w:val="20"/>
        </w:rPr>
        <w:t>Oral Health</w:t>
      </w:r>
      <w:r w:rsidRPr="00A1352E">
        <w:rPr>
          <w:rFonts w:ascii="Arial" w:hAnsi="Arial" w:cs="Arial"/>
          <w:b/>
          <w:color w:val="000000" w:themeColor="text1"/>
          <w:sz w:val="20"/>
        </w:rPr>
        <w:t xml:space="preserve"> variables</w:t>
      </w:r>
    </w:p>
    <w:p w:rsidR="00FF5AFE" w:rsidRDefault="00FF5AFE" w:rsidP="00013A2F">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 xml:space="preserve">Dental caries were assessed using two </w:t>
      </w:r>
      <w:r w:rsidRPr="00A1352E">
        <w:rPr>
          <w:rFonts w:ascii="Arial" w:hAnsi="Arial" w:cs="Arial"/>
          <w:color w:val="000000" w:themeColor="text1"/>
          <w:sz w:val="20"/>
        </w:rPr>
        <w:t>caregiver-reported</w:t>
      </w:r>
      <w:r>
        <w:rPr>
          <w:rFonts w:ascii="Arial" w:hAnsi="Arial" w:cs="Arial"/>
          <w:color w:val="000000" w:themeColor="text1"/>
          <w:sz w:val="20"/>
        </w:rPr>
        <w:t xml:space="preserve"> </w:t>
      </w:r>
      <w:r w:rsidRPr="002B4637">
        <w:rPr>
          <w:rFonts w:ascii="Arial" w:hAnsi="Arial" w:cs="Arial"/>
          <w:color w:val="000000" w:themeColor="text1"/>
          <w:sz w:val="20"/>
        </w:rPr>
        <w:t xml:space="preserve">questions about prior history and treatment. The need for orthodontic treatment was evaluated using questions </w:t>
      </w:r>
      <w:r w:rsidRPr="00A1352E">
        <w:rPr>
          <w:rFonts w:ascii="Arial" w:hAnsi="Arial" w:cs="Arial"/>
          <w:color w:val="000000" w:themeColor="text1"/>
          <w:sz w:val="20"/>
        </w:rPr>
        <w:t>addressing previous history of dental caries and receipt of restorative treatment. The perceived need for orthodontic treatment was evaluated through questions regarding prior orthodontic treatment, caregiver-perceived need for braces, and chewing discomfort.</w:t>
      </w:r>
    </w:p>
    <w:p w:rsidR="00FF5AFE" w:rsidRPr="002B4637" w:rsidRDefault="00FF5AFE" w:rsidP="00013A2F">
      <w:pPr>
        <w:spacing w:before="120" w:line="480" w:lineRule="auto"/>
        <w:jc w:val="both"/>
        <w:rPr>
          <w:rFonts w:ascii="Arial" w:hAnsi="Arial" w:cs="Arial"/>
          <w:color w:val="000000" w:themeColor="text1"/>
          <w:sz w:val="20"/>
        </w:rPr>
      </w:pPr>
      <w:r w:rsidRPr="002B4637">
        <w:rPr>
          <w:rFonts w:ascii="Arial" w:hAnsi="Arial" w:cs="Arial"/>
          <w:b/>
          <w:bCs/>
          <w:color w:val="000000" w:themeColor="text1"/>
          <w:sz w:val="20"/>
        </w:rPr>
        <w:t>Statistical Analysis</w:t>
      </w:r>
      <w:r w:rsidRPr="002B4637">
        <w:rPr>
          <w:rFonts w:ascii="Arial" w:hAnsi="Arial" w:cs="Arial"/>
          <w:color w:val="000000" w:themeColor="text1"/>
          <w:sz w:val="20"/>
        </w:rPr>
        <w:t xml:space="preserve"> </w:t>
      </w:r>
    </w:p>
    <w:p w:rsidR="00FF5AFE" w:rsidRPr="002B4637" w:rsidRDefault="00FF5AFE" w:rsidP="00013A2F">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Associations between bullying and independent variables were tested using the Chi-square test and bivariate Poisson regression with robust variance. Variables with p&lt;0.20p in the bivariate analysis were included in a multivariate</w:t>
      </w:r>
      <w:r>
        <w:rPr>
          <w:rFonts w:ascii="Arial" w:hAnsi="Arial" w:cs="Arial"/>
          <w:color w:val="000000" w:themeColor="text1"/>
          <w:sz w:val="20"/>
        </w:rPr>
        <w:t xml:space="preserve"> regression</w:t>
      </w:r>
      <w:r w:rsidRPr="002B4637">
        <w:rPr>
          <w:rFonts w:ascii="Arial" w:hAnsi="Arial" w:cs="Arial"/>
          <w:color w:val="000000" w:themeColor="text1"/>
          <w:sz w:val="20"/>
        </w:rPr>
        <w:t xml:space="preserve"> model, </w:t>
      </w:r>
      <w:r w:rsidRPr="00A1352E">
        <w:rPr>
          <w:rFonts w:ascii="Arial" w:hAnsi="Arial" w:cs="Arial"/>
          <w:color w:val="000000" w:themeColor="text1"/>
          <w:sz w:val="20"/>
        </w:rPr>
        <w:t>following a hierarchical analytical framework.</w:t>
      </w:r>
      <w:r>
        <w:rPr>
          <w:rFonts w:ascii="Arial" w:hAnsi="Arial" w:cs="Arial"/>
          <w:color w:val="000000" w:themeColor="text1"/>
          <w:sz w:val="20"/>
        </w:rPr>
        <w:t xml:space="preserve"> V</w:t>
      </w:r>
      <w:r w:rsidRPr="002B4637">
        <w:rPr>
          <w:rFonts w:ascii="Arial" w:hAnsi="Arial" w:cs="Arial"/>
          <w:color w:val="000000" w:themeColor="text1"/>
          <w:sz w:val="20"/>
        </w:rPr>
        <w:t>ariables with p&lt;0.05p were retained. A</w:t>
      </w:r>
      <w:r>
        <w:rPr>
          <w:rFonts w:ascii="Arial" w:hAnsi="Arial" w:cs="Arial"/>
          <w:color w:val="000000" w:themeColor="text1"/>
          <w:sz w:val="20"/>
        </w:rPr>
        <w:t>ll a</w:t>
      </w:r>
      <w:r w:rsidRPr="002B4637">
        <w:rPr>
          <w:rFonts w:ascii="Arial" w:hAnsi="Arial" w:cs="Arial"/>
          <w:color w:val="000000" w:themeColor="text1"/>
          <w:sz w:val="20"/>
        </w:rPr>
        <w:t xml:space="preserve">nalyses were performed using SPSS </w:t>
      </w:r>
      <w:r>
        <w:rPr>
          <w:rFonts w:ascii="Arial" w:hAnsi="Arial" w:cs="Arial"/>
          <w:color w:val="000000" w:themeColor="text1"/>
          <w:sz w:val="20"/>
        </w:rPr>
        <w:t xml:space="preserve">software (version 25.0; </w:t>
      </w:r>
      <w:r w:rsidRPr="002B4637">
        <w:rPr>
          <w:rFonts w:ascii="Arial" w:hAnsi="Arial" w:cs="Arial"/>
          <w:color w:val="000000" w:themeColor="text1"/>
          <w:sz w:val="20"/>
        </w:rPr>
        <w:t>SPSS Inc., Chicago, IL, USA).</w:t>
      </w:r>
    </w:p>
    <w:p w:rsidR="00FF5AFE" w:rsidRPr="005E3DEA" w:rsidRDefault="00FF5AFE" w:rsidP="00013A2F">
      <w:pPr>
        <w:pStyle w:val="Heading2"/>
        <w:spacing w:before="120" w:line="480" w:lineRule="auto"/>
        <w:jc w:val="both"/>
        <w:rPr>
          <w:rFonts w:cs="Arial"/>
          <w:caps w:val="0"/>
          <w:color w:val="000000" w:themeColor="text1"/>
          <w:sz w:val="20"/>
          <w:shd w:val="clear" w:color="auto" w:fill="FFFFFF"/>
        </w:rPr>
      </w:pPr>
      <w:bookmarkStart w:id="2" w:name="_Toc146665977"/>
      <w:bookmarkEnd w:id="1"/>
      <w:r w:rsidRPr="005E3DEA">
        <w:rPr>
          <w:rFonts w:cs="Arial"/>
          <w:caps w:val="0"/>
          <w:color w:val="000000" w:themeColor="text1"/>
          <w:sz w:val="20"/>
          <w:shd w:val="clear" w:color="auto" w:fill="FFFFFF"/>
        </w:rPr>
        <w:t>RESULTS</w:t>
      </w:r>
    </w:p>
    <w:p w:rsidR="00FF5AFE" w:rsidRPr="005E3DEA" w:rsidRDefault="00FF5AFE" w:rsidP="00013A2F">
      <w:pPr>
        <w:pStyle w:val="Heading2"/>
        <w:spacing w:before="120"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Sociodemographic Data</w:t>
      </w:r>
    </w:p>
    <w:p w:rsidR="00FF5AFE" w:rsidRPr="005E3DEA" w:rsidRDefault="00013A2F" w:rsidP="00013A2F">
      <w:pPr>
        <w:pStyle w:val="Heading2"/>
        <w:spacing w:before="120" w:line="480" w:lineRule="auto"/>
        <w:ind w:firstLine="708"/>
        <w:jc w:val="both"/>
        <w:rPr>
          <w:rFonts w:cs="Arial"/>
          <w:b w:val="0"/>
          <w:caps w:val="0"/>
          <w:color w:val="000000" w:themeColor="text1"/>
          <w:sz w:val="20"/>
          <w:shd w:val="clear" w:color="auto" w:fill="FFFFFF"/>
        </w:rPr>
      </w:pPr>
      <w:r w:rsidRPr="00013A2F">
        <w:rPr>
          <w:rFonts w:cs="Arial"/>
          <w:b w:val="0"/>
          <w:caps w:val="0"/>
          <w:color w:val="C00000"/>
          <w:sz w:val="20"/>
          <w:shd w:val="clear" w:color="auto" w:fill="FFFFFF"/>
        </w:rPr>
        <w:t xml:space="preserve">Regarding the first research question (prevalence), bullying was reported in 71.9% of children with neurological disorders. </w:t>
      </w:r>
      <w:r w:rsidR="00FF5AFE" w:rsidRPr="005E3DEA">
        <w:rPr>
          <w:rFonts w:cs="Arial"/>
          <w:b w:val="0"/>
          <w:caps w:val="0"/>
          <w:color w:val="000000" w:themeColor="text1"/>
          <w:sz w:val="20"/>
          <w:shd w:val="clear" w:color="auto" w:fill="FFFFFF"/>
        </w:rPr>
        <w:t>Parents or caregivers of 196 children participated, with 141 (71.9%) reporting bullying (Table 1). Caregivers were predominantly mothers (80.1%), aged 18–44 years (77.6%), and spent 18–24 hours daily with the child (64.3%). Most caregivers had completed elementary or high school (43.4%), and family income ranged between one and three minimum wages (61.2%). The children were predominantly male (67.3%), aged 6–10 years (39.3%), and Caucasian (74%).</w:t>
      </w:r>
    </w:p>
    <w:p w:rsidR="00FF5AFE" w:rsidRDefault="00FF5AFE" w:rsidP="00013A2F">
      <w:pPr>
        <w:pStyle w:val="Heading2"/>
        <w:spacing w:line="480" w:lineRule="auto"/>
        <w:jc w:val="both"/>
        <w:rPr>
          <w:rFonts w:cs="Arial"/>
          <w:b w:val="0"/>
          <w:caps w:val="0"/>
          <w:color w:val="000000" w:themeColor="text1"/>
          <w:sz w:val="20"/>
          <w:shd w:val="clear" w:color="auto" w:fill="FFFFFF"/>
        </w:rPr>
      </w:pPr>
    </w:p>
    <w:tbl>
      <w:tblPr>
        <w:tblW w:w="9612" w:type="dxa"/>
        <w:tblCellMar>
          <w:left w:w="70" w:type="dxa"/>
          <w:right w:w="70" w:type="dxa"/>
        </w:tblCellMar>
        <w:tblLook w:val="04A0" w:firstRow="1" w:lastRow="0" w:firstColumn="1" w:lastColumn="0" w:noHBand="0" w:noVBand="1"/>
      </w:tblPr>
      <w:tblGrid>
        <w:gridCol w:w="2127"/>
        <w:gridCol w:w="992"/>
        <w:gridCol w:w="992"/>
        <w:gridCol w:w="850"/>
        <w:gridCol w:w="800"/>
        <w:gridCol w:w="618"/>
        <w:gridCol w:w="447"/>
        <w:gridCol w:w="766"/>
        <w:gridCol w:w="744"/>
        <w:gridCol w:w="442"/>
        <w:gridCol w:w="834"/>
      </w:tblGrid>
      <w:tr w:rsidR="00FF5AFE" w:rsidRPr="007E1D4B" w:rsidTr="00013A2F">
        <w:trPr>
          <w:trHeight w:val="300"/>
        </w:trPr>
        <w:tc>
          <w:tcPr>
            <w:tcW w:w="9612" w:type="dxa"/>
            <w:gridSpan w:val="11"/>
            <w:tcBorders>
              <w:top w:val="nil"/>
              <w:left w:val="nil"/>
              <w:bottom w:val="single" w:sz="4" w:space="0" w:color="auto"/>
              <w:right w:val="nil"/>
            </w:tcBorders>
            <w:noWrap/>
            <w:vAlign w:val="bottom"/>
            <w:hideMark/>
          </w:tcPr>
          <w:p w:rsidR="00FF5AFE" w:rsidRPr="007E1D4B" w:rsidRDefault="00FF5AFE" w:rsidP="00013A2F">
            <w:pPr>
              <w:tabs>
                <w:tab w:val="left" w:pos="5417"/>
              </w:tabs>
              <w:rPr>
                <w:b/>
                <w:bCs/>
                <w:color w:val="000000"/>
                <w:sz w:val="18"/>
              </w:rPr>
            </w:pPr>
            <w:r w:rsidRPr="007E1D4B">
              <w:rPr>
                <w:b/>
                <w:bCs/>
                <w:color w:val="000000"/>
                <w:sz w:val="20"/>
              </w:rPr>
              <w:t xml:space="preserve">Table 1 </w:t>
            </w:r>
            <w:r w:rsidR="00571DE2" w:rsidRPr="00571DE2">
              <w:rPr>
                <w:color w:val="C00000"/>
                <w:sz w:val="20"/>
              </w:rPr>
              <w:t>Associations between bullying and sociodemographic, oral health, and neurological variables.</w:t>
            </w:r>
          </w:p>
        </w:tc>
      </w:tr>
      <w:tr w:rsidR="00FF5AFE" w:rsidRPr="007E1D4B" w:rsidTr="00013A2F">
        <w:trPr>
          <w:trHeight w:val="510"/>
        </w:trPr>
        <w:tc>
          <w:tcPr>
            <w:tcW w:w="2127" w:type="dxa"/>
            <w:tcBorders>
              <w:top w:val="single"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Variable</w:t>
            </w:r>
          </w:p>
        </w:tc>
        <w:tc>
          <w:tcPr>
            <w:tcW w:w="992" w:type="dxa"/>
            <w:tcBorders>
              <w:top w:val="single"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Frequency n (% total)</w:t>
            </w:r>
          </w:p>
        </w:tc>
        <w:tc>
          <w:tcPr>
            <w:tcW w:w="1842" w:type="dxa"/>
            <w:gridSpan w:val="2"/>
            <w:tcBorders>
              <w:top w:val="single"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Bullying</w:t>
            </w:r>
          </w:p>
        </w:tc>
        <w:tc>
          <w:tcPr>
            <w:tcW w:w="800" w:type="dxa"/>
            <w:tcBorders>
              <w:top w:val="single"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Chi-square test p-value</w:t>
            </w:r>
          </w:p>
        </w:tc>
        <w:tc>
          <w:tcPr>
            <w:tcW w:w="1831" w:type="dxa"/>
            <w:gridSpan w:val="3"/>
            <w:tcBorders>
              <w:top w:val="single"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Bivariate</w:t>
            </w:r>
          </w:p>
        </w:tc>
        <w:tc>
          <w:tcPr>
            <w:tcW w:w="2020" w:type="dxa"/>
            <w:gridSpan w:val="3"/>
            <w:tcBorders>
              <w:top w:val="single"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Multivariate</w:t>
            </w: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jc w:val="center"/>
              <w:rPr>
                <w:b/>
                <w:bCs/>
                <w:color w:val="000000"/>
                <w:sz w:val="18"/>
              </w:rPr>
            </w:pP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rPr>
                <w:sz w:val="18"/>
              </w:rPr>
            </w:pPr>
          </w:p>
        </w:tc>
        <w:tc>
          <w:tcPr>
            <w:tcW w:w="992" w:type="dxa"/>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Present n (%)</w:t>
            </w:r>
          </w:p>
        </w:tc>
        <w:tc>
          <w:tcPr>
            <w:tcW w:w="850" w:type="dxa"/>
            <w:tcBorders>
              <w:top w:val="nil"/>
              <w:left w:val="nil"/>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Absent n (%)</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p>
        </w:tc>
        <w:tc>
          <w:tcPr>
            <w:tcW w:w="1831" w:type="dxa"/>
            <w:gridSpan w:val="3"/>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Unadjusted</w:t>
            </w:r>
          </w:p>
        </w:tc>
        <w:tc>
          <w:tcPr>
            <w:tcW w:w="2020" w:type="dxa"/>
            <w:gridSpan w:val="3"/>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Adjusted</w:t>
            </w: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jc w:val="center"/>
              <w:rPr>
                <w:b/>
                <w:bCs/>
                <w:color w:val="000000"/>
                <w:sz w:val="18"/>
              </w:rPr>
            </w:pP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rPr>
                <w:sz w:val="18"/>
              </w:rPr>
            </w:pPr>
          </w:p>
        </w:tc>
        <w:tc>
          <w:tcPr>
            <w:tcW w:w="992" w:type="dxa"/>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c>
          <w:tcPr>
            <w:tcW w:w="850" w:type="dxa"/>
            <w:tcBorders>
              <w:top w:val="nil"/>
              <w:left w:val="nil"/>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831" w:type="dxa"/>
            <w:gridSpan w:val="3"/>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PR*</w:t>
            </w:r>
          </w:p>
        </w:tc>
        <w:tc>
          <w:tcPr>
            <w:tcW w:w="2020" w:type="dxa"/>
            <w:gridSpan w:val="3"/>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PR+</w:t>
            </w: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jc w:val="center"/>
              <w:rPr>
                <w:b/>
                <w:bCs/>
                <w:color w:val="000000"/>
                <w:sz w:val="18"/>
              </w:rPr>
            </w:pP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rPr>
                <w:sz w:val="18"/>
              </w:rPr>
            </w:pPr>
          </w:p>
        </w:tc>
        <w:tc>
          <w:tcPr>
            <w:tcW w:w="992" w:type="dxa"/>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c>
          <w:tcPr>
            <w:tcW w:w="850" w:type="dxa"/>
            <w:tcBorders>
              <w:top w:val="nil"/>
              <w:left w:val="nil"/>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065"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rPr>
                <w:b/>
                <w:bCs/>
                <w:color w:val="000000"/>
                <w:sz w:val="18"/>
              </w:rPr>
            </w:pPr>
            <w:r w:rsidRPr="007E1D4B">
              <w:rPr>
                <w:b/>
                <w:bCs/>
                <w:color w:val="000000"/>
                <w:sz w:val="18"/>
              </w:rPr>
              <w:t>p-value</w:t>
            </w:r>
          </w:p>
        </w:tc>
        <w:tc>
          <w:tcPr>
            <w:tcW w:w="766" w:type="dxa"/>
            <w:tcBorders>
              <w:top w:val="nil"/>
              <w:left w:val="nil"/>
              <w:bottom w:val="nil"/>
              <w:right w:val="single" w:sz="4" w:space="0" w:color="auto"/>
            </w:tcBorders>
            <w:vAlign w:val="center"/>
          </w:tcPr>
          <w:p w:rsidR="00FF5AFE" w:rsidRPr="007E1D4B" w:rsidRDefault="00FF5AFE" w:rsidP="00013A2F">
            <w:pPr>
              <w:tabs>
                <w:tab w:val="left" w:pos="5417"/>
              </w:tabs>
              <w:rPr>
                <w:b/>
                <w:bCs/>
                <w:color w:val="000000"/>
                <w:sz w:val="18"/>
              </w:rPr>
            </w:pPr>
            <w:r w:rsidRPr="007E1D4B">
              <w:rPr>
                <w:b/>
                <w:bCs/>
                <w:color w:val="000000"/>
                <w:sz w:val="18"/>
              </w:rPr>
              <w:t>(95% CI)</w:t>
            </w:r>
          </w:p>
        </w:tc>
        <w:tc>
          <w:tcPr>
            <w:tcW w:w="118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rPr>
                <w:b/>
                <w:bCs/>
                <w:color w:val="000000"/>
                <w:sz w:val="18"/>
              </w:rPr>
            </w:pPr>
            <w:r w:rsidRPr="007E1D4B">
              <w:rPr>
                <w:b/>
                <w:bCs/>
                <w:color w:val="000000"/>
                <w:sz w:val="18"/>
              </w:rPr>
              <w:t>p-value</w:t>
            </w:r>
          </w:p>
        </w:tc>
        <w:tc>
          <w:tcPr>
            <w:tcW w:w="834" w:type="dxa"/>
            <w:tcBorders>
              <w:top w:val="nil"/>
              <w:left w:val="nil"/>
              <w:bottom w:val="nil"/>
              <w:right w:val="nil"/>
            </w:tcBorders>
            <w:vAlign w:val="center"/>
          </w:tcPr>
          <w:p w:rsidR="00FF5AFE" w:rsidRPr="007E1D4B" w:rsidRDefault="00FF5AFE" w:rsidP="00013A2F">
            <w:pPr>
              <w:tabs>
                <w:tab w:val="left" w:pos="5417"/>
              </w:tabs>
              <w:rPr>
                <w:b/>
                <w:bCs/>
                <w:color w:val="000000"/>
                <w:sz w:val="18"/>
              </w:rPr>
            </w:pPr>
            <w:r w:rsidRPr="007E1D4B">
              <w:rPr>
                <w:b/>
                <w:bCs/>
                <w:color w:val="000000"/>
                <w:sz w:val="18"/>
              </w:rPr>
              <w:t>(95% CI)</w:t>
            </w:r>
          </w:p>
        </w:tc>
      </w:tr>
      <w:tr w:rsidR="00FF5AFE" w:rsidRPr="007E1D4B" w:rsidTr="00013A2F">
        <w:trPr>
          <w:trHeight w:val="55"/>
        </w:trPr>
        <w:tc>
          <w:tcPr>
            <w:tcW w:w="2127" w:type="dxa"/>
            <w:tcBorders>
              <w:top w:val="nil"/>
              <w:left w:val="nil"/>
              <w:bottom w:val="single" w:sz="4" w:space="0" w:color="auto"/>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 </w:t>
            </w:r>
          </w:p>
        </w:tc>
        <w:tc>
          <w:tcPr>
            <w:tcW w:w="992"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 </w:t>
            </w:r>
          </w:p>
        </w:tc>
        <w:tc>
          <w:tcPr>
            <w:tcW w:w="992" w:type="dxa"/>
            <w:tcBorders>
              <w:top w:val="nil"/>
              <w:left w:val="single" w:sz="4" w:space="0" w:color="auto"/>
              <w:bottom w:val="single" w:sz="4" w:space="0" w:color="auto"/>
              <w:right w:val="nil"/>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 </w:t>
            </w:r>
          </w:p>
        </w:tc>
        <w:tc>
          <w:tcPr>
            <w:tcW w:w="850" w:type="dxa"/>
            <w:tcBorders>
              <w:top w:val="nil"/>
              <w:left w:val="nil"/>
              <w:bottom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 </w:t>
            </w:r>
          </w:p>
        </w:tc>
        <w:tc>
          <w:tcPr>
            <w:tcW w:w="800"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 </w:t>
            </w:r>
          </w:p>
        </w:tc>
        <w:tc>
          <w:tcPr>
            <w:tcW w:w="1831" w:type="dxa"/>
            <w:gridSpan w:val="3"/>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p>
        </w:tc>
        <w:tc>
          <w:tcPr>
            <w:tcW w:w="2020" w:type="dxa"/>
            <w:gridSpan w:val="3"/>
            <w:tcBorders>
              <w:top w:val="nil"/>
              <w:left w:val="single" w:sz="4" w:space="0" w:color="auto"/>
              <w:bottom w:val="single" w:sz="4" w:space="0" w:color="auto"/>
              <w:right w:val="nil"/>
            </w:tcBorders>
            <w:noWrap/>
            <w:vAlign w:val="center"/>
          </w:tcPr>
          <w:p w:rsidR="00FF5AFE" w:rsidRPr="007E1D4B" w:rsidRDefault="00FF5AFE" w:rsidP="00013A2F">
            <w:pPr>
              <w:tabs>
                <w:tab w:val="left" w:pos="5417"/>
              </w:tabs>
              <w:jc w:val="center"/>
              <w:rPr>
                <w:b/>
                <w:bCs/>
                <w:color w:val="000000"/>
                <w:sz w:val="18"/>
              </w:rPr>
            </w:pPr>
          </w:p>
        </w:tc>
      </w:tr>
      <w:tr w:rsidR="00FF5AFE" w:rsidRPr="007E1D4B" w:rsidTr="00013A2F">
        <w:trPr>
          <w:trHeight w:val="300"/>
        </w:trPr>
        <w:tc>
          <w:tcPr>
            <w:tcW w:w="2127" w:type="dxa"/>
            <w:tcBorders>
              <w:top w:val="single" w:sz="4" w:space="0" w:color="auto"/>
              <w:left w:val="nil"/>
              <w:bottom w:val="dashSmallGap" w:sz="4" w:space="0" w:color="auto"/>
              <w:right w:val="single" w:sz="4" w:space="0" w:color="auto"/>
            </w:tcBorders>
            <w:vAlign w:val="center"/>
          </w:tcPr>
          <w:p w:rsidR="00FF5AFE" w:rsidRPr="007E1D4B" w:rsidRDefault="00FF5AFE" w:rsidP="00013A2F">
            <w:pPr>
              <w:tabs>
                <w:tab w:val="left" w:pos="5417"/>
              </w:tabs>
              <w:rPr>
                <w:b/>
                <w:bCs/>
                <w:color w:val="000000"/>
                <w:sz w:val="18"/>
              </w:rPr>
            </w:pPr>
            <w:r w:rsidRPr="007E1D4B">
              <w:rPr>
                <w:b/>
                <w:bCs/>
                <w:color w:val="000000"/>
                <w:sz w:val="18"/>
              </w:rPr>
              <w:t>Total</w:t>
            </w:r>
          </w:p>
        </w:tc>
        <w:tc>
          <w:tcPr>
            <w:tcW w:w="992" w:type="dxa"/>
            <w:tcBorders>
              <w:top w:val="single" w:sz="4" w:space="0" w:color="auto"/>
              <w:left w:val="single" w:sz="4" w:space="0" w:color="auto"/>
              <w:bottom w:val="dashSmallGap" w:sz="4" w:space="0" w:color="auto"/>
              <w:right w:val="single" w:sz="4" w:space="0" w:color="auto"/>
            </w:tcBorders>
            <w:noWrap/>
            <w:vAlign w:val="center"/>
          </w:tcPr>
          <w:p w:rsidR="00FF5AFE" w:rsidRPr="007E1D4B" w:rsidRDefault="00FF5AFE" w:rsidP="00013A2F">
            <w:pPr>
              <w:tabs>
                <w:tab w:val="left" w:pos="5417"/>
              </w:tabs>
              <w:jc w:val="center"/>
              <w:rPr>
                <w:color w:val="000000"/>
                <w:sz w:val="18"/>
              </w:rPr>
            </w:pPr>
            <w:r w:rsidRPr="007E1D4B">
              <w:rPr>
                <w:color w:val="000000"/>
                <w:sz w:val="18"/>
              </w:rPr>
              <w:t>196 (100)</w:t>
            </w:r>
          </w:p>
        </w:tc>
        <w:tc>
          <w:tcPr>
            <w:tcW w:w="992" w:type="dxa"/>
            <w:tcBorders>
              <w:top w:val="single" w:sz="4" w:space="0" w:color="auto"/>
              <w:left w:val="single" w:sz="4" w:space="0" w:color="auto"/>
              <w:bottom w:val="dashSmallGap" w:sz="4" w:space="0" w:color="auto"/>
              <w:right w:val="single" w:sz="4" w:space="0" w:color="auto"/>
            </w:tcBorders>
            <w:noWrap/>
            <w:vAlign w:val="center"/>
          </w:tcPr>
          <w:p w:rsidR="00FF5AFE" w:rsidRPr="007E1D4B" w:rsidRDefault="00FF5AFE" w:rsidP="00013A2F">
            <w:pPr>
              <w:tabs>
                <w:tab w:val="left" w:pos="5417"/>
              </w:tabs>
              <w:jc w:val="center"/>
              <w:rPr>
                <w:color w:val="000000"/>
                <w:sz w:val="18"/>
              </w:rPr>
            </w:pPr>
            <w:r w:rsidRPr="007E1D4B">
              <w:rPr>
                <w:color w:val="000000"/>
                <w:sz w:val="18"/>
              </w:rPr>
              <w:t>141 (71.9)</w:t>
            </w:r>
          </w:p>
        </w:tc>
        <w:tc>
          <w:tcPr>
            <w:tcW w:w="850" w:type="dxa"/>
            <w:tcBorders>
              <w:top w:val="single" w:sz="4" w:space="0" w:color="auto"/>
              <w:left w:val="single" w:sz="4" w:space="0" w:color="auto"/>
              <w:bottom w:val="dashSmallGap" w:sz="4" w:space="0" w:color="auto"/>
              <w:right w:val="single" w:sz="4" w:space="0" w:color="auto"/>
            </w:tcBorders>
            <w:noWrap/>
            <w:vAlign w:val="center"/>
          </w:tcPr>
          <w:p w:rsidR="00FF5AFE" w:rsidRPr="007E1D4B" w:rsidRDefault="00FF5AFE" w:rsidP="00013A2F">
            <w:pPr>
              <w:tabs>
                <w:tab w:val="left" w:pos="5417"/>
              </w:tabs>
              <w:jc w:val="center"/>
              <w:rPr>
                <w:color w:val="000000"/>
                <w:sz w:val="18"/>
              </w:rPr>
            </w:pPr>
            <w:r w:rsidRPr="007E1D4B">
              <w:rPr>
                <w:color w:val="000000"/>
                <w:sz w:val="18"/>
              </w:rPr>
              <w:t>55 (28.1)</w:t>
            </w:r>
          </w:p>
        </w:tc>
        <w:tc>
          <w:tcPr>
            <w:tcW w:w="800" w:type="dxa"/>
            <w:tcBorders>
              <w:top w:val="single" w:sz="4" w:space="0" w:color="auto"/>
              <w:left w:val="single" w:sz="4" w:space="0" w:color="auto"/>
              <w:bottom w:val="dashSmallGap" w:sz="4" w:space="0" w:color="auto"/>
              <w:right w:val="single" w:sz="4" w:space="0" w:color="auto"/>
            </w:tcBorders>
            <w:noWrap/>
            <w:vAlign w:val="center"/>
          </w:tcPr>
          <w:p w:rsidR="00FF5AFE" w:rsidRPr="007E1D4B" w:rsidRDefault="00FF5AFE" w:rsidP="00013A2F">
            <w:pPr>
              <w:tabs>
                <w:tab w:val="left" w:pos="5417"/>
              </w:tabs>
              <w:jc w:val="center"/>
              <w:rPr>
                <w:b/>
                <w:bCs/>
                <w:color w:val="000000"/>
                <w:sz w:val="18"/>
              </w:rPr>
            </w:pPr>
          </w:p>
        </w:tc>
        <w:tc>
          <w:tcPr>
            <w:tcW w:w="618" w:type="dxa"/>
            <w:tcBorders>
              <w:top w:val="single" w:sz="4" w:space="0" w:color="auto"/>
              <w:left w:val="single" w:sz="4" w:space="0" w:color="auto"/>
              <w:bottom w:val="dashSmallGap" w:sz="4" w:space="0" w:color="auto"/>
              <w:right w:val="single" w:sz="4" w:space="0" w:color="auto"/>
            </w:tcBorders>
            <w:noWrap/>
            <w:vAlign w:val="center"/>
          </w:tcPr>
          <w:p w:rsidR="00FF5AFE" w:rsidRPr="007E1D4B" w:rsidRDefault="00FF5AFE" w:rsidP="00013A2F">
            <w:pPr>
              <w:tabs>
                <w:tab w:val="left" w:pos="5417"/>
              </w:tabs>
              <w:jc w:val="center"/>
              <w:rPr>
                <w:b/>
                <w:bCs/>
                <w:color w:val="000000"/>
                <w:sz w:val="18"/>
              </w:rPr>
            </w:pPr>
          </w:p>
        </w:tc>
        <w:tc>
          <w:tcPr>
            <w:tcW w:w="1213" w:type="dxa"/>
            <w:gridSpan w:val="2"/>
            <w:tcBorders>
              <w:top w:val="single" w:sz="4" w:space="0" w:color="auto"/>
              <w:left w:val="single" w:sz="4" w:space="0" w:color="auto"/>
              <w:bottom w:val="dashSmallGap" w:sz="4" w:space="0" w:color="auto"/>
              <w:right w:val="single" w:sz="4" w:space="0" w:color="auto"/>
            </w:tcBorders>
            <w:vAlign w:val="center"/>
          </w:tcPr>
          <w:p w:rsidR="00FF5AFE" w:rsidRPr="007E1D4B" w:rsidRDefault="00FF5AFE" w:rsidP="00013A2F">
            <w:pPr>
              <w:tabs>
                <w:tab w:val="left" w:pos="5417"/>
              </w:tabs>
              <w:jc w:val="center"/>
              <w:rPr>
                <w:b/>
                <w:bCs/>
                <w:color w:val="000000"/>
                <w:sz w:val="18"/>
              </w:rPr>
            </w:pPr>
          </w:p>
        </w:tc>
        <w:tc>
          <w:tcPr>
            <w:tcW w:w="744" w:type="dxa"/>
            <w:tcBorders>
              <w:top w:val="single" w:sz="4" w:space="0" w:color="auto"/>
              <w:left w:val="single" w:sz="4" w:space="0" w:color="auto"/>
              <w:bottom w:val="dashSmallGap" w:sz="4" w:space="0" w:color="auto"/>
              <w:right w:val="nil"/>
            </w:tcBorders>
            <w:noWrap/>
            <w:vAlign w:val="center"/>
          </w:tcPr>
          <w:p w:rsidR="00FF5AFE" w:rsidRPr="007E1D4B" w:rsidRDefault="00FF5AFE" w:rsidP="00013A2F">
            <w:pPr>
              <w:tabs>
                <w:tab w:val="left" w:pos="5417"/>
              </w:tabs>
              <w:jc w:val="center"/>
              <w:rPr>
                <w:b/>
                <w:bCs/>
                <w:color w:val="000000"/>
                <w:sz w:val="18"/>
              </w:rPr>
            </w:pPr>
          </w:p>
        </w:tc>
        <w:tc>
          <w:tcPr>
            <w:tcW w:w="1276" w:type="dxa"/>
            <w:gridSpan w:val="2"/>
            <w:tcBorders>
              <w:top w:val="single" w:sz="4" w:space="0" w:color="auto"/>
              <w:left w:val="single" w:sz="4" w:space="0" w:color="auto"/>
              <w:bottom w:val="dashSmallGap" w:sz="4" w:space="0" w:color="auto"/>
              <w:right w:val="nil"/>
            </w:tcBorders>
            <w:vAlign w:val="center"/>
          </w:tcPr>
          <w:p w:rsidR="00FF5AFE" w:rsidRPr="007E1D4B" w:rsidRDefault="00FF5AFE" w:rsidP="00013A2F">
            <w:pPr>
              <w:tabs>
                <w:tab w:val="left" w:pos="5417"/>
              </w:tabs>
              <w:jc w:val="center"/>
              <w:rPr>
                <w:b/>
                <w:bCs/>
                <w:color w:val="000000"/>
                <w:sz w:val="18"/>
              </w:rPr>
            </w:pP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Caregiver bond with the child</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0.016</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Relatives (Grandmother/aunt)</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24 (12.2)</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18 (75)</w:t>
            </w:r>
          </w:p>
        </w:tc>
        <w:tc>
          <w:tcPr>
            <w:tcW w:w="85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 (25)</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0.960</w:t>
            </w:r>
          </w:p>
        </w:tc>
        <w:tc>
          <w:tcPr>
            <w:tcW w:w="1213" w:type="dxa"/>
            <w:gridSpan w:val="2"/>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1.006 (0.785-1.290)</w:t>
            </w:r>
          </w:p>
        </w:tc>
        <w:tc>
          <w:tcPr>
            <w:tcW w:w="744"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0.506</w:t>
            </w:r>
          </w:p>
        </w:tc>
        <w:tc>
          <w:tcPr>
            <w:tcW w:w="127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1.084 (0.854-1.377)</w:t>
            </w: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Father</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15 (7.7)</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 (40)</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9 (60)</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0.052</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0.537 (0.287-1.004)</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0.033</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0.525 (0.290-0.949)</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Mother</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157 (80.1)</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117 (74.5)</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40 (25.5)</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Caregiver’s age</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0.371</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525"/>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Middle-aged or elderly adults (≥45 years)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44 (22.4)</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34 (77.3)</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 (22.7)</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0.338</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1.098 (0.907-1.328)</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Young adults (18-44 years)</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152 (77.6)</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107 (70.4)</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45 (29.6)</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78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How much time do you spend with the child each day?</w:t>
            </w:r>
          </w:p>
        </w:tc>
        <w:tc>
          <w:tcPr>
            <w:tcW w:w="992" w:type="dxa"/>
            <w:tcBorders>
              <w:top w:val="dashSmallGap"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0.038</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Less than 12 hours a day</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 (4.1)</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 (87.5)</w:t>
            </w:r>
          </w:p>
        </w:tc>
        <w:tc>
          <w:tcPr>
            <w:tcW w:w="85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 (12.5)</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0.055</w:t>
            </w:r>
          </w:p>
        </w:tc>
        <w:tc>
          <w:tcPr>
            <w:tcW w:w="1213" w:type="dxa"/>
            <w:gridSpan w:val="2"/>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1.328 (0.993-1.776)</w:t>
            </w:r>
          </w:p>
        </w:tc>
        <w:tc>
          <w:tcPr>
            <w:tcW w:w="744"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0.003</w:t>
            </w:r>
          </w:p>
        </w:tc>
        <w:tc>
          <w:tcPr>
            <w:tcW w:w="127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1.527 (1.154-2.020)</w:t>
            </w: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&gt;12 and &lt;18 hours a day</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62 (31.6)</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51 (82.3)</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 (17.7)</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0.011</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1.249 (1.053-1.481)</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0.182</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1.122 (0.947-1.328)</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≥18 to 24 hours a day</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126 (64.3)</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83 (65.9)</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43 (34.1)</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Caregiver’s education</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0.675</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&gt; High school</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28 (14.3)</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22 (78.6)</w:t>
            </w:r>
          </w:p>
        </w:tc>
        <w:tc>
          <w:tcPr>
            <w:tcW w:w="85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 (21.4)</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0.337</w:t>
            </w:r>
          </w:p>
        </w:tc>
        <w:tc>
          <w:tcPr>
            <w:tcW w:w="1213" w:type="dxa"/>
            <w:gridSpan w:val="2"/>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1.124 (0.885-1.429)</w:t>
            </w:r>
          </w:p>
        </w:tc>
        <w:tc>
          <w:tcPr>
            <w:tcW w:w="744"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525"/>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&gt; Primary education to ≤ High school</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85 (43.4)</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61 (71.8)</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24 (28.2)</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0.788</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1.027 (0.846-1.247)</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Primary education or less</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83 (42.3)</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58 (69.9)</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25 (30.1)</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Family income (minimum wage = BRL $1,212.00)</w:t>
            </w:r>
          </w:p>
        </w:tc>
        <w:tc>
          <w:tcPr>
            <w:tcW w:w="992" w:type="dxa"/>
            <w:tcBorders>
              <w:top w:val="dashSmallGap"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0.279</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525"/>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Equal or more than 3 minimum wages</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35 (17.9)</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29 (82.9)</w:t>
            </w:r>
          </w:p>
        </w:tc>
        <w:tc>
          <w:tcPr>
            <w:tcW w:w="85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 (17.1)</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0.211</w:t>
            </w:r>
          </w:p>
        </w:tc>
        <w:tc>
          <w:tcPr>
            <w:tcW w:w="1213" w:type="dxa"/>
            <w:gridSpan w:val="2"/>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1.171 (0.914-1.501)</w:t>
            </w:r>
          </w:p>
        </w:tc>
        <w:tc>
          <w:tcPr>
            <w:tcW w:w="744"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525"/>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Between 1 and less than 3 minimum wages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120 (61.2)</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83 (69.2)</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37 (30.8)</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0.849</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0.978 (0.777-1.231)</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Less than 1 minimum wage</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41 (20.9)</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29 (70.7)</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 (29.3)</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Child’s sex</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0.989</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Male</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132 (67.3)</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95 (72)</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37 (28)</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0.989</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1.001 (0.831-1.207)</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Female</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64 (32.7)</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46 (71.9)</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18 (28.1)</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Child’s age</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0.012</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Between 11 and 14 years</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54 (27.6)</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43 (79.6)</w:t>
            </w:r>
          </w:p>
        </w:tc>
        <w:tc>
          <w:tcPr>
            <w:tcW w:w="85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 (20.4)</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0.014</w:t>
            </w:r>
          </w:p>
        </w:tc>
        <w:tc>
          <w:tcPr>
            <w:tcW w:w="1213" w:type="dxa"/>
            <w:gridSpan w:val="2"/>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1.362 (1.066-1.741)</w:t>
            </w:r>
          </w:p>
        </w:tc>
        <w:tc>
          <w:tcPr>
            <w:tcW w:w="744"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Between 6 and 10 years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77 (39.3)</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60 (77.9)</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17 (22.1)</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0.017</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1.333 (1.052-1.689)</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Between 3 and 5 years</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65 (33.2)</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38 (58.5)</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27 (41.5)</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Child’s ethnicity</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0.803</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Non-White (Hispanic/African)</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51 (26)</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36 (70.6)</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15 (29.4)</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0.806</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0.975 (0.795-1.195)</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White (Caucasian)</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145 (74)</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105 (72.4)</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40 (27.6)</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Who does the child live with?</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0.473</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525"/>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Relatives (grandmother, uncles, brothers)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23 (11.7)</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18 (78.3)</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 (21.7)</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0.424</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1.101 (0.870-1.393)</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lastRenderedPageBreak/>
              <w:t>Parents</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173 (88.3)</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123 (71.1)</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50 (28.9)</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78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Has the child ever had any orthodontic treatment?</w:t>
            </w:r>
          </w:p>
        </w:tc>
        <w:tc>
          <w:tcPr>
            <w:tcW w:w="992" w:type="dxa"/>
            <w:tcBorders>
              <w:top w:val="dashSmallGap"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0.560</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 (5.1)</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 (80)</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 (20)</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0.496</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1.119 (0.810-1.545)</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186 (94.9)</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133 (71.5)</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53 (28.5)</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Do you think the child needs braces?</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0.177</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93 (51.1)</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72 (77.4)</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21 (22.6)</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0.181</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1.130 (0.945-1.350)</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89 (48.9)</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61 (68.5)</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28 (31.5)</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78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Has the child ever felt discomfort when chewing?</w:t>
            </w:r>
          </w:p>
        </w:tc>
        <w:tc>
          <w:tcPr>
            <w:tcW w:w="992" w:type="dxa"/>
            <w:tcBorders>
              <w:top w:val="dashSmallGap"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0.497</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65 (33.3)</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45 (69.2)</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20 (30.8)</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0.509</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0.938 (0.774-1.136)</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130 (66.7)</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96 (73.8)</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34 (26.2)</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Has the child ever had dental caries?</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0.047</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113 (59.8)</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89 (78.8)</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24 (21.2)</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0.061</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1.197 (0.992-1.445)</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76 (40.2)</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50 (65.8)</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26 (34.2)</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78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Has the child ever been to the dentist for any restoration or procedure to treat caries?</w:t>
            </w:r>
          </w:p>
        </w:tc>
        <w:tc>
          <w:tcPr>
            <w:tcW w:w="992" w:type="dxa"/>
            <w:tcBorders>
              <w:top w:val="dashSmallGap"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0.008</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84 (43.1)</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69 (82.1)</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15 (17.9)</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0.006</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1.266 (1.069-1.500)</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0.037</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1.188 (1.010-1.397)</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111 (56.9)</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72 (64.9)</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39 (35.1)</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Autism Spectrum Disorder (ASD)</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0.074</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69 (35.2)</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55 (79.7)</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14 (20.3)</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0.059</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1.177 (0.994-1.394)</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0.012</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1.253 (1.051-1.495)</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127 (64.8)</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86 (67.7)</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41 (32.3)</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Epilepsy</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0.013</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104 (53.1)</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67 (64.4)</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37 (35.6)</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0.013</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0.801 (0.672-0.954)</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92 (46.9)</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74 (80.4)</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18 (19.6)</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Cerebral Palsy (CP)</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0.058</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25 (12.8)</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14 (56)</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 (44)</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0.123</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0.754 (0.527-1.079)</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171 (87.2)</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127 (74.3)</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44 (25.7)</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525"/>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Oppositional defiant disorder (ODD)</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0.690</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9 (4.6)</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7 (77.8)</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 (22.2)</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0.656</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1.085 (0.757-1557)</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187 (95.4)</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134 (71.7)</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53 (28.3)</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w:t>
            </w:r>
          </w:p>
        </w:tc>
      </w:tr>
      <w:tr w:rsidR="00FF5AFE" w:rsidRPr="007E1D4B" w:rsidTr="00013A2F">
        <w:trPr>
          <w:trHeight w:val="78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Attention Deficit Hyperactivity Disorder (ADHD)</w:t>
            </w:r>
          </w:p>
        </w:tc>
        <w:tc>
          <w:tcPr>
            <w:tcW w:w="992" w:type="dxa"/>
            <w:tcBorders>
              <w:top w:val="dashSmallGap" w:sz="4" w:space="0" w:color="auto"/>
              <w:left w:val="single" w:sz="4" w:space="0" w:color="auto"/>
              <w:bottom w:val="nil"/>
              <w:right w:val="single" w:sz="4" w:space="0" w:color="auto"/>
            </w:tcBorders>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0.016</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35 (17.9)</w:t>
            </w:r>
          </w:p>
        </w:tc>
        <w:tc>
          <w:tcPr>
            <w:tcW w:w="992"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31 (88.6)</w:t>
            </w:r>
          </w:p>
        </w:tc>
        <w:tc>
          <w:tcPr>
            <w:tcW w:w="85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 (11.4)</w:t>
            </w:r>
          </w:p>
        </w:tc>
        <w:tc>
          <w:tcPr>
            <w:tcW w:w="800"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0.001</w:t>
            </w:r>
          </w:p>
        </w:tc>
        <w:tc>
          <w:tcPr>
            <w:tcW w:w="1213" w:type="dxa"/>
            <w:gridSpan w:val="2"/>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1.296 (1.106-1.520)</w:t>
            </w:r>
          </w:p>
        </w:tc>
        <w:tc>
          <w:tcPr>
            <w:tcW w:w="744" w:type="dxa"/>
            <w:tcBorders>
              <w:top w:val="nil"/>
              <w:left w:val="single" w:sz="4" w:space="0" w:color="auto"/>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0.026</w:t>
            </w:r>
          </w:p>
        </w:tc>
        <w:tc>
          <w:tcPr>
            <w:tcW w:w="1276" w:type="dxa"/>
            <w:gridSpan w:val="2"/>
            <w:tcBorders>
              <w:top w:val="nil"/>
              <w:left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1.232 (1.026-1.481)</w:t>
            </w:r>
          </w:p>
        </w:tc>
      </w:tr>
      <w:tr w:rsidR="00FF5AFE" w:rsidRPr="007E1D4B" w:rsidTr="00013A2F">
        <w:trPr>
          <w:trHeight w:val="300"/>
        </w:trPr>
        <w:tc>
          <w:tcPr>
            <w:tcW w:w="2127" w:type="dxa"/>
            <w:tcBorders>
              <w:top w:val="nil"/>
              <w:left w:val="nil"/>
              <w:bottom w:val="dashSmallGap"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161 (82.1)</w:t>
            </w:r>
          </w:p>
        </w:tc>
        <w:tc>
          <w:tcPr>
            <w:tcW w:w="992"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110 (68.3)</w:t>
            </w:r>
          </w:p>
        </w:tc>
        <w:tc>
          <w:tcPr>
            <w:tcW w:w="85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51 (31.7)</w:t>
            </w:r>
          </w:p>
        </w:tc>
        <w:tc>
          <w:tcPr>
            <w:tcW w:w="800"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r>
      <w:tr w:rsidR="00FF5AFE" w:rsidRPr="007E1D4B" w:rsidTr="00013A2F">
        <w:trPr>
          <w:trHeight w:val="300"/>
        </w:trPr>
        <w:tc>
          <w:tcPr>
            <w:tcW w:w="2127" w:type="dxa"/>
            <w:tcBorders>
              <w:top w:val="dashSmallGap" w:sz="4" w:space="0" w:color="auto"/>
              <w:left w:val="nil"/>
              <w:bottom w:val="nil"/>
              <w:right w:val="single" w:sz="4" w:space="0" w:color="auto"/>
            </w:tcBorders>
            <w:vAlign w:val="bottom"/>
            <w:hideMark/>
          </w:tcPr>
          <w:p w:rsidR="00FF5AFE" w:rsidRPr="007E1D4B" w:rsidRDefault="00FF5AFE" w:rsidP="00013A2F">
            <w:pPr>
              <w:tabs>
                <w:tab w:val="left" w:pos="5417"/>
              </w:tabs>
              <w:rPr>
                <w:b/>
                <w:bCs/>
                <w:color w:val="000000"/>
                <w:sz w:val="18"/>
              </w:rPr>
            </w:pPr>
            <w:r w:rsidRPr="007E1D4B">
              <w:rPr>
                <w:b/>
                <w:bCs/>
                <w:color w:val="000000"/>
                <w:sz w:val="18"/>
              </w:rPr>
              <w:t>Intellectual Disability (ID)</w:t>
            </w: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0.151</w:t>
            </w:r>
          </w:p>
        </w:tc>
        <w:tc>
          <w:tcPr>
            <w:tcW w:w="618"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sz w:val="18"/>
              </w:rPr>
            </w:pPr>
          </w:p>
        </w:tc>
        <w:tc>
          <w:tcPr>
            <w:tcW w:w="1276" w:type="dxa"/>
            <w:gridSpan w:val="2"/>
            <w:tcBorders>
              <w:top w:val="dashSmallGap" w:sz="4" w:space="0" w:color="auto"/>
              <w:left w:val="single" w:sz="4" w:space="0" w:color="auto"/>
              <w:bottom w:val="nil"/>
              <w:right w:val="nil"/>
            </w:tcBorders>
            <w:noWrap/>
            <w:vAlign w:val="center"/>
            <w:hideMark/>
          </w:tcPr>
          <w:p w:rsidR="00FF5AFE" w:rsidRPr="007E1D4B" w:rsidRDefault="00FF5AFE" w:rsidP="00013A2F">
            <w:pPr>
              <w:tabs>
                <w:tab w:val="left" w:pos="5417"/>
              </w:tabs>
              <w:jc w:val="center"/>
              <w:rPr>
                <w:sz w:val="18"/>
              </w:rPr>
            </w:pPr>
          </w:p>
        </w:tc>
      </w:tr>
      <w:tr w:rsidR="00FF5AFE" w:rsidRPr="007E1D4B" w:rsidTr="00013A2F">
        <w:trPr>
          <w:trHeight w:val="300"/>
        </w:trPr>
        <w:tc>
          <w:tcPr>
            <w:tcW w:w="2127" w:type="dxa"/>
            <w:tcBorders>
              <w:top w:val="nil"/>
              <w:left w:val="nil"/>
              <w:bottom w:val="nil"/>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lastRenderedPageBreak/>
              <w:t>Yes</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25 (12.8)</w:t>
            </w:r>
          </w:p>
        </w:tc>
        <w:tc>
          <w:tcPr>
            <w:tcW w:w="992"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21 (84)</w:t>
            </w:r>
          </w:p>
        </w:tc>
        <w:tc>
          <w:tcPr>
            <w:tcW w:w="85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4 (16)</w:t>
            </w:r>
          </w:p>
        </w:tc>
        <w:tc>
          <w:tcPr>
            <w:tcW w:w="800"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p>
        </w:tc>
        <w:tc>
          <w:tcPr>
            <w:tcW w:w="618"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0.074</w:t>
            </w:r>
          </w:p>
        </w:tc>
        <w:tc>
          <w:tcPr>
            <w:tcW w:w="1213" w:type="dxa"/>
            <w:gridSpan w:val="2"/>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1.197 (0.983-1.458)</w:t>
            </w:r>
          </w:p>
        </w:tc>
        <w:tc>
          <w:tcPr>
            <w:tcW w:w="744" w:type="dxa"/>
            <w:tcBorders>
              <w:top w:val="nil"/>
              <w:left w:val="single" w:sz="4" w:space="0" w:color="auto"/>
              <w:bottom w:val="nil"/>
              <w:right w:val="single" w:sz="4" w:space="0" w:color="auto"/>
            </w:tcBorders>
            <w:noWrap/>
            <w:vAlign w:val="center"/>
            <w:hideMark/>
          </w:tcPr>
          <w:p w:rsidR="00FF5AFE" w:rsidRPr="007E1D4B" w:rsidRDefault="00FF5AFE" w:rsidP="00013A2F">
            <w:pPr>
              <w:tabs>
                <w:tab w:val="left" w:pos="5417"/>
              </w:tabs>
              <w:jc w:val="center"/>
              <w:rPr>
                <w:b/>
                <w:bCs/>
                <w:color w:val="000000"/>
                <w:sz w:val="18"/>
              </w:rPr>
            </w:pPr>
            <w:r w:rsidRPr="007E1D4B">
              <w:rPr>
                <w:b/>
                <w:bCs/>
                <w:color w:val="000000"/>
                <w:sz w:val="18"/>
              </w:rPr>
              <w:t>0.023</w:t>
            </w:r>
          </w:p>
        </w:tc>
        <w:tc>
          <w:tcPr>
            <w:tcW w:w="1276" w:type="dxa"/>
            <w:gridSpan w:val="2"/>
            <w:tcBorders>
              <w:top w:val="nil"/>
              <w:left w:val="single" w:sz="4" w:space="0" w:color="auto"/>
              <w:bottom w:val="nil"/>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1.243 (1.030-1.500)</w:t>
            </w:r>
          </w:p>
        </w:tc>
      </w:tr>
      <w:tr w:rsidR="00FF5AFE" w:rsidRPr="007E1D4B" w:rsidTr="00013A2F">
        <w:trPr>
          <w:trHeight w:val="300"/>
        </w:trPr>
        <w:tc>
          <w:tcPr>
            <w:tcW w:w="2127" w:type="dxa"/>
            <w:tcBorders>
              <w:top w:val="nil"/>
              <w:left w:val="nil"/>
              <w:bottom w:val="single" w:sz="4" w:space="0" w:color="auto"/>
              <w:right w:val="single" w:sz="4" w:space="0" w:color="auto"/>
            </w:tcBorders>
            <w:vAlign w:val="bottom"/>
            <w:hideMark/>
          </w:tcPr>
          <w:p w:rsidR="00FF5AFE" w:rsidRPr="007E1D4B" w:rsidRDefault="00FF5AFE" w:rsidP="00013A2F">
            <w:pPr>
              <w:tabs>
                <w:tab w:val="left" w:pos="5417"/>
              </w:tabs>
              <w:rPr>
                <w:color w:val="000000"/>
                <w:sz w:val="18"/>
              </w:rPr>
            </w:pPr>
            <w:r w:rsidRPr="007E1D4B">
              <w:rPr>
                <w:color w:val="000000"/>
                <w:sz w:val="18"/>
              </w:rPr>
              <w:t>No</w:t>
            </w:r>
          </w:p>
        </w:tc>
        <w:tc>
          <w:tcPr>
            <w:tcW w:w="992"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171 (87.2)</w:t>
            </w:r>
          </w:p>
        </w:tc>
        <w:tc>
          <w:tcPr>
            <w:tcW w:w="992"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120 (70.2)</w:t>
            </w:r>
          </w:p>
        </w:tc>
        <w:tc>
          <w:tcPr>
            <w:tcW w:w="850"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51 (29.8)</w:t>
            </w:r>
          </w:p>
        </w:tc>
        <w:tc>
          <w:tcPr>
            <w:tcW w:w="800"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 </w:t>
            </w:r>
          </w:p>
        </w:tc>
        <w:tc>
          <w:tcPr>
            <w:tcW w:w="618"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 </w:t>
            </w:r>
          </w:p>
        </w:tc>
        <w:tc>
          <w:tcPr>
            <w:tcW w:w="1213" w:type="dxa"/>
            <w:gridSpan w:val="2"/>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single" w:sz="4" w:space="0" w:color="auto"/>
              <w:right w:val="single" w:sz="4" w:space="0" w:color="auto"/>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 </w:t>
            </w:r>
          </w:p>
        </w:tc>
        <w:tc>
          <w:tcPr>
            <w:tcW w:w="1276" w:type="dxa"/>
            <w:gridSpan w:val="2"/>
            <w:tcBorders>
              <w:top w:val="nil"/>
              <w:left w:val="single" w:sz="4" w:space="0" w:color="auto"/>
              <w:bottom w:val="single" w:sz="4" w:space="0" w:color="auto"/>
              <w:right w:val="nil"/>
            </w:tcBorders>
            <w:noWrap/>
            <w:vAlign w:val="center"/>
            <w:hideMark/>
          </w:tcPr>
          <w:p w:rsidR="00FF5AFE" w:rsidRPr="007E1D4B" w:rsidRDefault="00FF5AFE" w:rsidP="00013A2F">
            <w:pPr>
              <w:tabs>
                <w:tab w:val="left" w:pos="5417"/>
              </w:tabs>
              <w:jc w:val="center"/>
              <w:rPr>
                <w:color w:val="000000"/>
                <w:sz w:val="18"/>
              </w:rPr>
            </w:pPr>
            <w:r w:rsidRPr="007E1D4B">
              <w:rPr>
                <w:color w:val="000000"/>
                <w:sz w:val="18"/>
              </w:rPr>
              <w:t>1.00</w:t>
            </w:r>
          </w:p>
        </w:tc>
      </w:tr>
      <w:tr w:rsidR="00FF5AFE" w:rsidRPr="007E1D4B" w:rsidTr="00013A2F">
        <w:trPr>
          <w:trHeight w:val="360"/>
        </w:trPr>
        <w:tc>
          <w:tcPr>
            <w:tcW w:w="9612" w:type="dxa"/>
            <w:gridSpan w:val="11"/>
            <w:tcBorders>
              <w:top w:val="single" w:sz="4" w:space="0" w:color="auto"/>
              <w:left w:val="nil"/>
              <w:bottom w:val="nil"/>
              <w:right w:val="nil"/>
            </w:tcBorders>
            <w:hideMark/>
          </w:tcPr>
          <w:p w:rsidR="00FF5AFE" w:rsidRPr="007E1D4B" w:rsidRDefault="00FF5AFE" w:rsidP="00013A2F">
            <w:pPr>
              <w:tabs>
                <w:tab w:val="left" w:pos="5417"/>
              </w:tabs>
              <w:rPr>
                <w:color w:val="000000"/>
                <w:sz w:val="20"/>
              </w:rPr>
            </w:pPr>
            <w:r w:rsidRPr="007E1D4B">
              <w:rPr>
                <w:color w:val="000000"/>
                <w:sz w:val="20"/>
              </w:rPr>
              <w:t xml:space="preserve">*Unadjusted Poisson regression for independent variables and impact on the presence of </w:t>
            </w:r>
            <w:r w:rsidRPr="007E1D4B">
              <w:rPr>
                <w:i/>
                <w:iCs/>
                <w:color w:val="000000"/>
                <w:sz w:val="20"/>
              </w:rPr>
              <w:t>bullying</w:t>
            </w:r>
            <w:r w:rsidRPr="007E1D4B">
              <w:rPr>
                <w:color w:val="000000"/>
                <w:sz w:val="20"/>
              </w:rPr>
              <w:t>.</w:t>
            </w:r>
          </w:p>
        </w:tc>
      </w:tr>
      <w:tr w:rsidR="00FF5AFE" w:rsidRPr="007E1D4B" w:rsidTr="00013A2F">
        <w:trPr>
          <w:trHeight w:val="1020"/>
        </w:trPr>
        <w:tc>
          <w:tcPr>
            <w:tcW w:w="9612" w:type="dxa"/>
            <w:gridSpan w:val="11"/>
            <w:tcBorders>
              <w:top w:val="nil"/>
              <w:left w:val="nil"/>
              <w:bottom w:val="nil"/>
              <w:right w:val="nil"/>
            </w:tcBorders>
            <w:hideMark/>
          </w:tcPr>
          <w:p w:rsidR="00FF5AFE" w:rsidRPr="007E1D4B" w:rsidRDefault="00FF5AFE" w:rsidP="00013A2F">
            <w:pPr>
              <w:tabs>
                <w:tab w:val="left" w:pos="5417"/>
              </w:tabs>
              <w:rPr>
                <w:color w:val="000000"/>
                <w:sz w:val="20"/>
              </w:rPr>
            </w:pPr>
            <w:r w:rsidRPr="007E1D4B">
              <w:rPr>
                <w:b/>
                <w:bCs/>
                <w:color w:val="000000"/>
                <w:sz w:val="20"/>
              </w:rPr>
              <w:t>+</w:t>
            </w:r>
            <w:r w:rsidRPr="007E1D4B">
              <w:rPr>
                <w:color w:val="000000"/>
                <w:sz w:val="20"/>
              </w:rPr>
              <w:t>Variables incorporated in the multivariate model (p &lt; 0.20): “Caregiver bond with the child”; “How much time do you spend with the child each day?”; “Child’s age”; “Do you think the child needs braces?”; “Has the child ever had dental caries?”; “Has the child ever been to the dentist for caries treatment?”; “Autism Spectrum Disorder (ASD)”; “Epilepsy”; “Cerebral Palsy (CP)”; “Attention Deficit Hyperactivity Disorder (ADHD)” and “Intellectual Disability (ID).”</w:t>
            </w:r>
          </w:p>
          <w:p w:rsidR="00FF5AFE" w:rsidRPr="007E1D4B" w:rsidRDefault="00FF5AFE" w:rsidP="00013A2F">
            <w:pPr>
              <w:tabs>
                <w:tab w:val="left" w:pos="5417"/>
              </w:tabs>
              <w:rPr>
                <w:color w:val="000000"/>
                <w:sz w:val="20"/>
              </w:rPr>
            </w:pPr>
            <w:r w:rsidRPr="007E1D4B">
              <w:rPr>
                <w:color w:val="000000"/>
                <w:sz w:val="20"/>
              </w:rPr>
              <w:t>CI: Confidence Interval</w:t>
            </w:r>
          </w:p>
        </w:tc>
      </w:tr>
    </w:tbl>
    <w:p w:rsidR="00FF5AFE" w:rsidRDefault="00FF5AFE" w:rsidP="00013A2F"/>
    <w:p w:rsidR="00FF5AFE" w:rsidRDefault="00FF5AFE" w:rsidP="00013A2F"/>
    <w:p w:rsidR="00FF5AFE" w:rsidRPr="005E3DEA" w:rsidRDefault="00FF5AFE" w:rsidP="00013A2F">
      <w:pPr>
        <w:pStyle w:val="Heading2"/>
        <w:spacing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Oral Health</w:t>
      </w:r>
    </w:p>
    <w:p w:rsidR="00FF5AFE" w:rsidRPr="005E3DEA" w:rsidRDefault="00FF5AFE" w:rsidP="00013A2F">
      <w:pPr>
        <w:pStyle w:val="Heading2"/>
        <w:spacing w:line="480" w:lineRule="auto"/>
        <w:ind w:firstLine="708"/>
        <w:jc w:val="both"/>
        <w:rPr>
          <w:rFonts w:cs="Arial"/>
          <w:b w:val="0"/>
          <w:caps w:val="0"/>
          <w:color w:val="000000" w:themeColor="text1"/>
          <w:sz w:val="20"/>
          <w:shd w:val="clear" w:color="auto" w:fill="FFFFFF"/>
        </w:rPr>
      </w:pPr>
      <w:r w:rsidRPr="005E3DEA">
        <w:rPr>
          <w:rFonts w:cs="Arial"/>
          <w:b w:val="0"/>
          <w:caps w:val="0"/>
          <w:color w:val="000000" w:themeColor="text1"/>
          <w:sz w:val="20"/>
          <w:shd w:val="clear" w:color="auto" w:fill="FFFFFF"/>
        </w:rPr>
        <w:t>Most children (94.9%) had never undergone orthodontic treatment, while 51.1% were perceived to need braces, and 33.3% reported chewing discomfort. Regarding oral health, 59.8% had dental caries, and 56.9% had not received dental treatment. Diagnoses included epilepsy (53.1%), ASD (35.2%), ADHD (17.9%), CP (12.8%), ID (12.8%), and ODD (4.6%).</w:t>
      </w:r>
    </w:p>
    <w:p w:rsidR="00FF5AFE" w:rsidRPr="005E3DEA" w:rsidRDefault="00FF5AFE" w:rsidP="00013A2F">
      <w:pPr>
        <w:pStyle w:val="Heading2"/>
        <w:spacing w:line="480" w:lineRule="auto"/>
        <w:jc w:val="both"/>
        <w:rPr>
          <w:rFonts w:cs="Arial"/>
          <w:b w:val="0"/>
          <w:caps w:val="0"/>
          <w:color w:val="000000" w:themeColor="text1"/>
          <w:sz w:val="20"/>
          <w:shd w:val="clear" w:color="auto" w:fill="FFFFFF"/>
        </w:rPr>
      </w:pPr>
    </w:p>
    <w:p w:rsidR="00FF5AFE" w:rsidRPr="005E3DEA" w:rsidRDefault="00FF5AFE" w:rsidP="00013A2F">
      <w:pPr>
        <w:pStyle w:val="Heading2"/>
        <w:spacing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Bivariate Analysis</w:t>
      </w:r>
    </w:p>
    <w:p w:rsidR="00FF5AFE" w:rsidRPr="005E3DEA" w:rsidRDefault="00F9485B" w:rsidP="00013A2F">
      <w:pPr>
        <w:pStyle w:val="Heading2"/>
        <w:spacing w:line="480" w:lineRule="auto"/>
        <w:ind w:firstLine="708"/>
        <w:jc w:val="both"/>
        <w:rPr>
          <w:rFonts w:cs="Arial"/>
          <w:b w:val="0"/>
          <w:caps w:val="0"/>
          <w:color w:val="000000" w:themeColor="text1"/>
          <w:sz w:val="20"/>
          <w:shd w:val="clear" w:color="auto" w:fill="FFFFFF"/>
        </w:rPr>
      </w:pPr>
      <w:r w:rsidRPr="00F9485B">
        <w:rPr>
          <w:rFonts w:cs="Arial"/>
          <w:b w:val="0"/>
          <w:caps w:val="0"/>
          <w:color w:val="C00000"/>
          <w:sz w:val="20"/>
          <w:shd w:val="clear" w:color="auto" w:fill="FFFFFF"/>
        </w:rPr>
        <w:t xml:space="preserve">Addressing the second and third research questions, bivariate analyses evaluated associations between bullying and sociodemographic characteristics as well as oral health conditions. </w:t>
      </w:r>
      <w:r w:rsidR="00FF5AFE" w:rsidRPr="005E3DEA">
        <w:rPr>
          <w:rFonts w:cs="Arial"/>
          <w:b w:val="0"/>
          <w:caps w:val="0"/>
          <w:color w:val="000000" w:themeColor="text1"/>
          <w:sz w:val="20"/>
          <w:shd w:val="clear" w:color="auto" w:fill="FFFFFF"/>
        </w:rPr>
        <w:t>Bivariate Poisson regression revealed higher bullying prevalence among children spending 12–18 hours daily with caregivers versus 18–24 hours (p = 0.011). Bullying was more frequent in children aged 6–10 and 11–14 years compared to 3–5 years (p = 0.017, p = 0.014). ADHD was associated with higher bullying prevalence (p = 0.001), while epilepsy was linked to lower prevalence (p = 0.013).</w:t>
      </w:r>
    </w:p>
    <w:p w:rsidR="00FF5AFE" w:rsidRPr="005E3DEA" w:rsidRDefault="00FF5AFE" w:rsidP="00013A2F">
      <w:pPr>
        <w:pStyle w:val="Heading2"/>
        <w:spacing w:line="480" w:lineRule="auto"/>
        <w:jc w:val="both"/>
        <w:rPr>
          <w:rFonts w:cs="Arial"/>
          <w:b w:val="0"/>
          <w:caps w:val="0"/>
          <w:color w:val="000000" w:themeColor="text1"/>
          <w:sz w:val="20"/>
          <w:shd w:val="clear" w:color="auto" w:fill="FFFFFF"/>
        </w:rPr>
      </w:pPr>
    </w:p>
    <w:p w:rsidR="00FF5AFE" w:rsidRPr="005E3DEA" w:rsidRDefault="00FF5AFE" w:rsidP="00013A2F">
      <w:pPr>
        <w:pStyle w:val="Heading2"/>
        <w:spacing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Multivariate Analysis</w:t>
      </w:r>
    </w:p>
    <w:p w:rsidR="00FF5AFE" w:rsidRPr="005E3DEA" w:rsidRDefault="00F9485B" w:rsidP="00013A2F">
      <w:pPr>
        <w:pStyle w:val="Heading2"/>
        <w:spacing w:line="480" w:lineRule="auto"/>
        <w:ind w:firstLine="708"/>
        <w:jc w:val="both"/>
        <w:rPr>
          <w:rFonts w:cs="Arial"/>
          <w:b w:val="0"/>
          <w:caps w:val="0"/>
          <w:color w:val="000000" w:themeColor="text1"/>
          <w:sz w:val="20"/>
          <w:shd w:val="clear" w:color="auto" w:fill="FFFFFF"/>
        </w:rPr>
      </w:pPr>
      <w:r w:rsidRPr="00F9485B">
        <w:rPr>
          <w:rFonts w:cs="Arial"/>
          <w:b w:val="0"/>
          <w:caps w:val="0"/>
          <w:color w:val="C00000"/>
          <w:sz w:val="20"/>
          <w:shd w:val="clear" w:color="auto" w:fill="FFFFFF"/>
        </w:rPr>
        <w:t>With respect to the fourth research question, bullying prevalence differed according to neurological diagnosis after adjustment for sociodemographic and oral health variables</w:t>
      </w:r>
      <w:r>
        <w:rPr>
          <w:rFonts w:cs="Arial"/>
          <w:b w:val="0"/>
          <w:caps w:val="0"/>
          <w:color w:val="000000" w:themeColor="text1"/>
          <w:sz w:val="20"/>
          <w:shd w:val="clear" w:color="auto" w:fill="FFFFFF"/>
        </w:rPr>
        <w:t xml:space="preserve">. </w:t>
      </w:r>
      <w:r w:rsidR="00FF5AFE" w:rsidRPr="005E3DEA">
        <w:rPr>
          <w:rFonts w:cs="Arial"/>
          <w:b w:val="0"/>
          <w:caps w:val="0"/>
          <w:color w:val="000000" w:themeColor="text1"/>
          <w:sz w:val="20"/>
          <w:shd w:val="clear" w:color="auto" w:fill="FFFFFF"/>
        </w:rPr>
        <w:t>Fathers reported less bullying compared to mothers (p = 0.033). Children spending less than 12 hours daily with caregivers experienced a 52.7% higher bullying prevalence than those spending 18–24 hours (p = 0.003). Children treated for dental caries had an 18.8% higher bullying prevalence (p = 0.037). Among diagnoses, ASD (p = 0.012), ADHD (p = 0.026), and ID (p = 0.023) were associated with a 25.3%, 23.2%, and 24.3% higher bullying prevalence, respectively.</w:t>
      </w:r>
    </w:p>
    <w:p w:rsidR="00FF5AFE" w:rsidRPr="005E3DEA" w:rsidRDefault="00FF5AFE" w:rsidP="00013A2F">
      <w:pPr>
        <w:rPr>
          <w:rFonts w:ascii="Arial" w:hAnsi="Arial" w:cs="Arial"/>
          <w:sz w:val="20"/>
        </w:rPr>
      </w:pPr>
    </w:p>
    <w:bookmarkEnd w:id="2"/>
    <w:p w:rsidR="00FF5AFE" w:rsidRPr="005E3DEA" w:rsidRDefault="00FF5AFE" w:rsidP="00013A2F">
      <w:pPr>
        <w:pStyle w:val="Standardunter5"/>
        <w:spacing w:before="0" w:after="0" w:line="480" w:lineRule="auto"/>
        <w:ind w:left="0"/>
        <w:jc w:val="both"/>
        <w:rPr>
          <w:rFonts w:ascii="Arial" w:hAnsi="Arial" w:cs="Arial"/>
          <w:b/>
          <w:color w:val="000000" w:themeColor="text1"/>
          <w:sz w:val="20"/>
          <w:szCs w:val="20"/>
        </w:rPr>
      </w:pPr>
      <w:r w:rsidRPr="005E3DEA">
        <w:rPr>
          <w:rFonts w:ascii="Arial" w:hAnsi="Arial" w:cs="Arial"/>
          <w:b/>
          <w:color w:val="000000" w:themeColor="text1"/>
          <w:sz w:val="20"/>
          <w:szCs w:val="20"/>
        </w:rPr>
        <w:lastRenderedPageBreak/>
        <w:t>DISCUSSION</w:t>
      </w:r>
    </w:p>
    <w:p w:rsidR="00942B8C" w:rsidRPr="00942B8C" w:rsidRDefault="00942B8C" w:rsidP="00013A2F">
      <w:pPr>
        <w:pStyle w:val="Standardunter5"/>
        <w:spacing w:before="0" w:after="0" w:line="480" w:lineRule="auto"/>
        <w:ind w:left="0" w:firstLine="708"/>
        <w:jc w:val="both"/>
        <w:rPr>
          <w:rFonts w:ascii="Arial" w:hAnsi="Arial" w:cs="Arial"/>
          <w:color w:val="C00000"/>
          <w:sz w:val="20"/>
          <w:szCs w:val="20"/>
        </w:rPr>
      </w:pPr>
      <w:r w:rsidRPr="00942B8C">
        <w:rPr>
          <w:rFonts w:ascii="Arial" w:hAnsi="Arial" w:cs="Arial"/>
          <w:color w:val="C00000"/>
          <w:sz w:val="20"/>
          <w:szCs w:val="20"/>
        </w:rPr>
        <w:t>In relation to the tested null hypothesis, the findings of this study indicate that the hypothesis was rejected, as significant differences in bullying prevalence were observed according to sociodemographic characteristics, oral health conditions, and neurological diagnoses.</w:t>
      </w:r>
    </w:p>
    <w:p w:rsidR="00FF5AFE"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B431F1">
        <w:rPr>
          <w:rFonts w:ascii="Arial" w:hAnsi="Arial" w:cs="Arial"/>
          <w:color w:val="000000" w:themeColor="text1"/>
          <w:sz w:val="20"/>
          <w:szCs w:val="20"/>
        </w:rPr>
        <w:t>This cross-sectional observational study investigated bullying victimization and its association with sociodemographic characteristics and oral health factors among preschool and school-aged children diagnosed with neurological disorders in a hospital outpatient setting.</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eastAsia="Times New Roman" w:hAnsi="Arial" w:cs="Arial"/>
          <w:color w:val="000000" w:themeColor="text1"/>
          <w:sz w:val="20"/>
          <w:szCs w:val="20"/>
          <w:lang w:eastAsia="pt-BR"/>
        </w:rPr>
        <w:t xml:space="preserve">The findings revealed that </w:t>
      </w:r>
      <w:r w:rsidRPr="005E3DEA">
        <w:rPr>
          <w:rFonts w:ascii="Arial" w:eastAsia="Times New Roman" w:hAnsi="Arial" w:cs="Arial"/>
          <w:bCs/>
          <w:color w:val="000000" w:themeColor="text1"/>
          <w:sz w:val="20"/>
          <w:szCs w:val="20"/>
          <w:lang w:eastAsia="pt-BR"/>
        </w:rPr>
        <w:t>71.9%</w:t>
      </w:r>
      <w:r w:rsidRPr="005E3DEA">
        <w:rPr>
          <w:rFonts w:ascii="Arial" w:eastAsia="Times New Roman" w:hAnsi="Arial" w:cs="Arial"/>
          <w:color w:val="000000" w:themeColor="text1"/>
          <w:sz w:val="20"/>
          <w:szCs w:val="20"/>
          <w:lang w:eastAsia="pt-BR"/>
        </w:rPr>
        <w:t xml:space="preserve"> of children experienced bullying, aligning with other studies that reported </w:t>
      </w:r>
      <w:r w:rsidRPr="005E3DEA">
        <w:rPr>
          <w:rFonts w:ascii="Arial" w:eastAsia="Times New Roman" w:hAnsi="Arial" w:cs="Arial"/>
          <w:bCs/>
          <w:color w:val="000000" w:themeColor="text1"/>
          <w:sz w:val="20"/>
          <w:szCs w:val="20"/>
          <w:lang w:eastAsia="pt-BR"/>
        </w:rPr>
        <w:t>67%</w:t>
      </w:r>
      <w:r w:rsidRPr="005E3DEA">
        <w:rPr>
          <w:rFonts w:ascii="Arial" w:eastAsia="Times New Roman" w:hAnsi="Arial" w:cs="Arial"/>
          <w:color w:val="000000" w:themeColor="text1"/>
          <w:sz w:val="20"/>
          <w:szCs w:val="20"/>
          <w:lang w:eastAsia="pt-BR"/>
        </w:rPr>
        <w:t xml:space="preserve"> of schoolchildren with Autism Spectrum Disorder (ASD),</w:t>
      </w:r>
      <w:r w:rsidRPr="005E3DEA">
        <w:rPr>
          <w:rFonts w:ascii="Arial" w:hAnsi="Arial" w:cs="Arial"/>
          <w:noProof/>
          <w:color w:val="000000" w:themeColor="text1"/>
          <w:sz w:val="20"/>
          <w:szCs w:val="20"/>
        </w:rPr>
        <w:t>(Park, Gong et al. 2020)</w:t>
      </w:r>
      <w:r w:rsidRPr="005E3DEA">
        <w:rPr>
          <w:rFonts w:ascii="Arial" w:hAnsi="Arial" w:cs="Arial"/>
          <w:color w:val="000000" w:themeColor="text1"/>
          <w:sz w:val="20"/>
          <w:szCs w:val="20"/>
        </w:rPr>
        <w:t xml:space="preserve"> </w:t>
      </w:r>
      <w:r w:rsidRPr="005E3DEA">
        <w:rPr>
          <w:rFonts w:ascii="Arial" w:eastAsia="Times New Roman" w:hAnsi="Arial" w:cs="Arial"/>
          <w:bCs/>
          <w:color w:val="000000" w:themeColor="text1"/>
          <w:sz w:val="20"/>
          <w:szCs w:val="20"/>
          <w:lang w:eastAsia="pt-BR"/>
        </w:rPr>
        <w:t>42%</w:t>
      </w:r>
      <w:r w:rsidRPr="005E3DEA">
        <w:rPr>
          <w:rFonts w:ascii="Arial" w:eastAsia="Times New Roman" w:hAnsi="Arial" w:cs="Arial"/>
          <w:color w:val="000000" w:themeColor="text1"/>
          <w:sz w:val="20"/>
          <w:szCs w:val="20"/>
          <w:lang w:eastAsia="pt-BR"/>
        </w:rPr>
        <w:t xml:space="preserve"> with epilepsy</w:t>
      </w:r>
      <w:r w:rsidRPr="005E3DEA">
        <w:rPr>
          <w:rFonts w:ascii="Arial" w:hAnsi="Arial" w:cs="Arial"/>
          <w:color w:val="000000" w:themeColor="text1"/>
          <w:sz w:val="20"/>
          <w:szCs w:val="20"/>
        </w:rPr>
        <w:t xml:space="preserve"> </w:t>
      </w:r>
      <w:r w:rsidRPr="005E3DEA">
        <w:rPr>
          <w:rFonts w:ascii="Arial" w:hAnsi="Arial" w:cs="Arial"/>
          <w:noProof/>
          <w:color w:val="000000" w:themeColor="text1"/>
          <w:sz w:val="20"/>
          <w:szCs w:val="20"/>
        </w:rPr>
        <w:t>(Hamiwka, Yu et al. 2009)</w:t>
      </w:r>
      <w:r w:rsidRPr="005E3DEA">
        <w:rPr>
          <w:rFonts w:ascii="Arial" w:hAnsi="Arial" w:cs="Arial"/>
          <w:color w:val="000000" w:themeColor="text1"/>
          <w:sz w:val="20"/>
          <w:szCs w:val="20"/>
        </w:rPr>
        <w:t xml:space="preserve">[20], 55% </w:t>
      </w:r>
      <w:r w:rsidRPr="005E3DEA">
        <w:rPr>
          <w:rFonts w:ascii="Arial" w:eastAsia="Times New Roman" w:hAnsi="Arial" w:cs="Arial"/>
          <w:color w:val="000000" w:themeColor="text1"/>
          <w:sz w:val="20"/>
          <w:szCs w:val="20"/>
          <w:lang w:eastAsia="pt-BR"/>
        </w:rPr>
        <w:t>with Cerebral Palsy (CP),</w:t>
      </w:r>
      <w:r w:rsidRPr="005E3DEA">
        <w:rPr>
          <w:rFonts w:ascii="Arial" w:hAnsi="Arial" w:cs="Arial"/>
          <w:noProof/>
          <w:color w:val="000000" w:themeColor="text1"/>
          <w:sz w:val="20"/>
          <w:szCs w:val="20"/>
        </w:rPr>
        <w:t>(Whitney, Peterson et al. 2019)</w:t>
      </w:r>
      <w:r w:rsidRPr="005E3DEA">
        <w:rPr>
          <w:rFonts w:ascii="Arial" w:hAnsi="Arial" w:cs="Arial"/>
          <w:color w:val="000000" w:themeColor="text1"/>
          <w:sz w:val="20"/>
          <w:szCs w:val="20"/>
        </w:rPr>
        <w:t xml:space="preserve"> and 46.9% </w:t>
      </w:r>
      <w:r w:rsidRPr="005E3DEA">
        <w:rPr>
          <w:rFonts w:ascii="Arial" w:eastAsia="Times New Roman" w:hAnsi="Arial" w:cs="Arial"/>
          <w:color w:val="000000" w:themeColor="text1"/>
          <w:sz w:val="20"/>
          <w:szCs w:val="20"/>
          <w:lang w:eastAsia="pt-BR"/>
        </w:rPr>
        <w:t>with Attention Deficit Hyperactivity Disorder (ADHD) also faced bullying.</w:t>
      </w:r>
      <w:r w:rsidRPr="005E3DEA">
        <w:rPr>
          <w:rFonts w:ascii="Arial" w:hAnsi="Arial" w:cs="Arial"/>
          <w:noProof/>
          <w:color w:val="000000" w:themeColor="text1"/>
          <w:sz w:val="20"/>
          <w:szCs w:val="20"/>
        </w:rPr>
        <w:t>(Cuba Bustinza, Adams et al. 2022)</w:t>
      </w:r>
      <w:r w:rsidRPr="005E3DEA">
        <w:rPr>
          <w:rFonts w:ascii="Arial" w:hAnsi="Arial" w:cs="Arial"/>
          <w:color w:val="000000" w:themeColor="text1"/>
          <w:sz w:val="20"/>
          <w:szCs w:val="20"/>
        </w:rPr>
        <w:t xml:space="preserve"> </w:t>
      </w:r>
      <w:r w:rsidRPr="005E3DEA">
        <w:rPr>
          <w:rFonts w:ascii="Arial" w:eastAsia="Times New Roman" w:hAnsi="Arial" w:cs="Arial"/>
          <w:color w:val="000000" w:themeColor="text1"/>
          <w:sz w:val="20"/>
          <w:szCs w:val="20"/>
          <w:lang w:eastAsia="pt-BR"/>
        </w:rPr>
        <w:t xml:space="preserve">This indicates a significantly higher prevalence of bullying victimization among these children compared to the average </w:t>
      </w:r>
      <w:r w:rsidRPr="005E3DEA">
        <w:rPr>
          <w:rFonts w:ascii="Arial" w:eastAsia="Times New Roman" w:hAnsi="Arial" w:cs="Arial"/>
          <w:bCs/>
          <w:color w:val="000000" w:themeColor="text1"/>
          <w:sz w:val="20"/>
          <w:szCs w:val="20"/>
          <w:lang w:eastAsia="pt-BR"/>
        </w:rPr>
        <w:t>20%</w:t>
      </w:r>
      <w:r w:rsidRPr="005E3DEA">
        <w:rPr>
          <w:rFonts w:ascii="Arial" w:eastAsia="Times New Roman" w:hAnsi="Arial" w:cs="Arial"/>
          <w:color w:val="000000" w:themeColor="text1"/>
          <w:sz w:val="20"/>
          <w:szCs w:val="20"/>
          <w:lang w:eastAsia="pt-BR"/>
        </w:rPr>
        <w:t xml:space="preserve"> occurrence in those.</w:t>
      </w:r>
      <w:r w:rsidRPr="005E3DEA">
        <w:rPr>
          <w:rFonts w:ascii="Arial" w:hAnsi="Arial" w:cs="Arial"/>
          <w:noProof/>
          <w:color w:val="000000" w:themeColor="text1"/>
          <w:sz w:val="20"/>
          <w:szCs w:val="20"/>
        </w:rPr>
        <w:t>(Hamiwka, Yu et al. 2009, Whitney, Peterson et al. 2019)</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The relationship between sociodemographic factors and bullying shows that the amount of time children spend with their parents significantly impacts victimization. Children who spend more than 18 hours daily with their parents are less likely to experience bullying compared to those with less parental presence. Age also plays a role, as school-age children are more prone to bullying due to increased social interactions during adolescence, when peer relationships gain importance and family time decreases.</w:t>
      </w:r>
      <w:r w:rsidRPr="005E3DEA">
        <w:rPr>
          <w:rFonts w:ascii="Arial" w:hAnsi="Arial" w:cs="Arial"/>
          <w:noProof/>
          <w:color w:val="000000" w:themeColor="text1"/>
          <w:sz w:val="20"/>
          <w:szCs w:val="20"/>
        </w:rPr>
        <w:t>(Törn, Pettersson et al. 2015)</w:t>
      </w:r>
      <w:r w:rsidRPr="005E3DEA">
        <w:rPr>
          <w:rFonts w:ascii="Arial" w:hAnsi="Arial" w:cs="Arial"/>
          <w:color w:val="000000" w:themeColor="text1"/>
          <w:sz w:val="20"/>
          <w:szCs w:val="20"/>
        </w:rPr>
        <w:t xml:space="preserve"> This shift can lead to academic, behavioral, and socio-emotional difficulties for victims. Social skills problems are directly associated with bullying victimization.</w:t>
      </w:r>
      <w:r w:rsidRPr="005E3DEA">
        <w:rPr>
          <w:rFonts w:ascii="Arial" w:hAnsi="Arial" w:cs="Arial"/>
          <w:noProof/>
          <w:color w:val="000000" w:themeColor="text1"/>
          <w:sz w:val="20"/>
          <w:szCs w:val="20"/>
        </w:rPr>
        <w:t>(Törn, Pettersson et al. 2015, Morgan, Farkas et al. 2023)</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Oral health is a critical factor in child development and social interactions, especially in children with neurological disorders who often exhibit worse oral health indices, including dental plaque, periodontal issues, and cavities.</w:t>
      </w:r>
      <w:r w:rsidRPr="005E3DEA">
        <w:rPr>
          <w:rFonts w:ascii="Arial" w:hAnsi="Arial" w:cs="Arial"/>
          <w:noProof/>
          <w:color w:val="000000" w:themeColor="text1"/>
          <w:sz w:val="20"/>
          <w:szCs w:val="20"/>
        </w:rPr>
        <w:t>(Zhou, Wong et al. 2017)</w:t>
      </w:r>
      <w:r w:rsidRPr="005E3DEA">
        <w:rPr>
          <w:rFonts w:ascii="Arial" w:hAnsi="Arial" w:cs="Arial"/>
          <w:color w:val="000000" w:themeColor="text1"/>
          <w:sz w:val="20"/>
          <w:szCs w:val="20"/>
        </w:rPr>
        <w:t xml:space="preserve"> These conditions result in a poorer oral health-related quality of life compared to peers with typical development.</w:t>
      </w:r>
      <w:r w:rsidRPr="005E3DEA">
        <w:rPr>
          <w:rFonts w:ascii="Arial" w:hAnsi="Arial" w:cs="Arial"/>
          <w:noProof/>
          <w:color w:val="000000" w:themeColor="text1"/>
          <w:sz w:val="20"/>
          <w:szCs w:val="20"/>
        </w:rPr>
        <w:t>(Du, Yiu et al. 2020, de Castelo Branco Araújo, Nogueira et al. 2022)</w:t>
      </w:r>
      <w:r w:rsidRPr="005E3DEA">
        <w:rPr>
          <w:rFonts w:ascii="Arial" w:hAnsi="Arial" w:cs="Arial"/>
          <w:color w:val="000000" w:themeColor="text1"/>
          <w:sz w:val="20"/>
          <w:szCs w:val="20"/>
        </w:rPr>
        <w:t xml:space="preserve"> Children with ADHD, regardless of age, pacifier use, or mouth breathing, show a higher prevalence of malocclusion than those without </w:t>
      </w:r>
      <w:r w:rsidRPr="005E3DEA">
        <w:rPr>
          <w:rFonts w:ascii="Arial" w:hAnsi="Arial" w:cs="Arial"/>
          <w:color w:val="000000" w:themeColor="text1"/>
          <w:sz w:val="20"/>
          <w:szCs w:val="20"/>
        </w:rPr>
        <w:lastRenderedPageBreak/>
        <w:t>neurodevelopmental disorders.</w:t>
      </w:r>
      <w:r w:rsidRPr="005E3DEA">
        <w:rPr>
          <w:rFonts w:ascii="Arial" w:hAnsi="Arial" w:cs="Arial"/>
          <w:noProof/>
          <w:color w:val="000000" w:themeColor="text1"/>
          <w:sz w:val="20"/>
          <w:szCs w:val="20"/>
        </w:rPr>
        <w:t>(Mota-Veloso, Ramos-Jorge et al. 2021)</w:t>
      </w:r>
      <w:r w:rsidRPr="005E3DEA">
        <w:rPr>
          <w:rFonts w:ascii="Arial" w:hAnsi="Arial" w:cs="Arial"/>
          <w:color w:val="000000" w:themeColor="text1"/>
          <w:sz w:val="20"/>
          <w:szCs w:val="20"/>
        </w:rPr>
        <w:t xml:space="preserve"> Additionally, Angle Class II malocclusions, anterior open bites, and increased overjet are more common in individuals with ASD and CP.</w:t>
      </w:r>
      <w:r w:rsidRPr="005E3DEA">
        <w:rPr>
          <w:rFonts w:ascii="Arial" w:hAnsi="Arial" w:cs="Arial"/>
          <w:noProof/>
          <w:color w:val="000000" w:themeColor="text1"/>
          <w:sz w:val="20"/>
          <w:szCs w:val="20"/>
        </w:rPr>
        <w:t>(Bensi, Costacurta et al. 2020, da Motta, Owens et al. 2022)</w:t>
      </w:r>
      <w:r w:rsidRPr="005E3DEA">
        <w:rPr>
          <w:rFonts w:ascii="Arial" w:hAnsi="Arial" w:cs="Arial"/>
          <w:color w:val="000000" w:themeColor="text1"/>
          <w:sz w:val="20"/>
          <w:szCs w:val="20"/>
        </w:rPr>
        <w:t xml:space="preserve"> Bullying is closely linked to oral health issues, with increased overjet and orthodontic needs identified as significant risk factors. These traits negatively impact self-esteem and quality of life, increasing vulnerability to verbal aggression and social exclusion.</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In this study, 59.8% of children reported having cavities, but only 43.1% sought dental treatment, with those seeking care experiencing higher rates of bullying victimization. This suggests a difference in perceptions between individuals who seek specialized care and those who do not, with care-seekers potentially being more sensitive to bullying. Santos et al.,</w:t>
      </w:r>
      <w:r w:rsidRPr="005E3DEA">
        <w:rPr>
          <w:rFonts w:ascii="Arial" w:hAnsi="Arial" w:cs="Arial"/>
          <w:noProof/>
          <w:color w:val="000000" w:themeColor="text1"/>
          <w:sz w:val="20"/>
          <w:szCs w:val="20"/>
        </w:rPr>
        <w:t>(Santos, Evangelista et al. 2023)</w:t>
      </w:r>
      <w:r w:rsidRPr="005E3DEA">
        <w:rPr>
          <w:rFonts w:ascii="Arial" w:hAnsi="Arial" w:cs="Arial"/>
          <w:color w:val="000000" w:themeColor="text1"/>
          <w:sz w:val="20"/>
          <w:szCs w:val="20"/>
        </w:rPr>
        <w:t xml:space="preserve"> found that untreated dental caries contributed to verbal bullying, highlighting the need to further explore family perceptions of oral health and its association with bullying in different social contexts.</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Oral health changes in children with neurological disorders can compromise general health and quality of life, affecting physical, social, and psychological well-being.</w:t>
      </w:r>
      <w:r w:rsidRPr="005E3DEA">
        <w:rPr>
          <w:rFonts w:ascii="Arial" w:hAnsi="Arial" w:cs="Arial"/>
          <w:noProof/>
          <w:color w:val="000000" w:themeColor="text1"/>
          <w:sz w:val="20"/>
          <w:szCs w:val="20"/>
        </w:rPr>
        <w:t>(Murray 2010, Du, Yiu et al. 2020)</w:t>
      </w:r>
      <w:r w:rsidRPr="005E3DEA">
        <w:rPr>
          <w:rFonts w:ascii="Arial" w:hAnsi="Arial" w:cs="Arial"/>
          <w:color w:val="000000" w:themeColor="text1"/>
          <w:sz w:val="20"/>
          <w:szCs w:val="20"/>
        </w:rPr>
        <w:t xml:space="preserve"> Studies often rely on parental assessments due to communication challenges with neurodevelopmentally disordered children.</w:t>
      </w:r>
      <w:r w:rsidRPr="005E3DEA">
        <w:rPr>
          <w:rFonts w:ascii="Arial" w:hAnsi="Arial" w:cs="Arial"/>
          <w:noProof/>
          <w:color w:val="000000" w:themeColor="text1"/>
          <w:sz w:val="20"/>
          <w:szCs w:val="20"/>
        </w:rPr>
        <w:t>(Cuba Bustinza, Adams et al. 2022, de Castelo Branco Araújo, Nogueira et al. 2022)</w:t>
      </w:r>
      <w:r w:rsidRPr="005E3DEA">
        <w:rPr>
          <w:rFonts w:ascii="Arial" w:hAnsi="Arial" w:cs="Arial"/>
          <w:color w:val="000000" w:themeColor="text1"/>
          <w:sz w:val="20"/>
          <w:szCs w:val="20"/>
        </w:rPr>
        <w:t xml:space="preserve"> This study used self-administered questionnaires for caregivers, capturing their perceptions alongside sociodemographic and family context data.</w:t>
      </w:r>
    </w:p>
    <w:p w:rsidR="00FF5AFE" w:rsidRPr="005E3DEA" w:rsidRDefault="00FF5AFE" w:rsidP="00013A2F">
      <w:pPr>
        <w:pStyle w:val="NormalWeb"/>
        <w:spacing w:before="0" w:beforeAutospacing="0" w:after="0" w:afterAutospacing="0" w:line="480" w:lineRule="auto"/>
        <w:ind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Individuals with multiple neurodevelopmental problems, although categorized as distinct conditions in the </w:t>
      </w:r>
      <w:r w:rsidRPr="005E3DEA">
        <w:rPr>
          <w:rStyle w:val="Emphasis"/>
          <w:rFonts w:ascii="Arial" w:hAnsi="Arial" w:cs="Arial"/>
          <w:color w:val="000000" w:themeColor="text1"/>
          <w:sz w:val="20"/>
          <w:szCs w:val="20"/>
        </w:rPr>
        <w:t>Diagnostic and Statistical Manual of Mental Disorders</w:t>
      </w:r>
      <w:r w:rsidRPr="005E3DEA">
        <w:rPr>
          <w:rFonts w:ascii="Arial" w:hAnsi="Arial" w:cs="Arial"/>
          <w:color w:val="000000" w:themeColor="text1"/>
          <w:sz w:val="20"/>
          <w:szCs w:val="20"/>
        </w:rPr>
        <w:t xml:space="preserve"> (DSM-5), frequently exhibit a high degree of symptom overlap. This overlap means that many children present with a combination of characteristics that span multiple diagnostic categories, making "pure" or isolated conditions relatively uncommon.</w:t>
      </w:r>
      <w:r w:rsidRPr="005E3DEA">
        <w:rPr>
          <w:rFonts w:ascii="Arial" w:hAnsi="Arial" w:cs="Arial"/>
          <w:noProof/>
          <w:color w:val="000000" w:themeColor="text1"/>
          <w:sz w:val="20"/>
          <w:szCs w:val="20"/>
        </w:rPr>
        <w:t>(Murray 2010, Hatch, Kadlaskar et al. 2023)</w:t>
      </w:r>
      <w:r w:rsidRPr="005E3DEA">
        <w:rPr>
          <w:rFonts w:ascii="Arial" w:hAnsi="Arial" w:cs="Arial"/>
          <w:color w:val="000000" w:themeColor="text1"/>
          <w:sz w:val="20"/>
          <w:szCs w:val="20"/>
        </w:rPr>
        <w:t xml:space="preserve"> For example, a child diagnosed with ADHD may also exhibit traits associated with autism spectrum disorder (ASD) or intellectual disability (ID), complicating the diagnostic process.</w:t>
      </w:r>
    </w:p>
    <w:p w:rsidR="00FF5AFE" w:rsidRPr="005E3DEA" w:rsidRDefault="00FF5AFE" w:rsidP="00013A2F">
      <w:pPr>
        <w:pStyle w:val="NormalWeb"/>
        <w:spacing w:before="0" w:beforeAutospacing="0" w:after="0" w:afterAutospacing="0" w:line="480" w:lineRule="auto"/>
        <w:ind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Research indicates that these overlaps necessitate a more integrated approach to assessment and treatment. Traditional diagnostic systems, which often focus on identifying a singular condition, may fail to address the complexities of co-occurring symptoms. Instead, studies advocate for a comprehensive framework that considers the broad spectrum of </w:t>
      </w:r>
      <w:r w:rsidRPr="005E3DEA">
        <w:rPr>
          <w:rFonts w:ascii="Arial" w:hAnsi="Arial" w:cs="Arial"/>
          <w:color w:val="000000" w:themeColor="text1"/>
          <w:sz w:val="20"/>
          <w:szCs w:val="20"/>
        </w:rPr>
        <w:lastRenderedPageBreak/>
        <w:t>challenges faced by children with multiple neurodevelopmental disorders, enabling more effective and individualized interventions.</w:t>
      </w:r>
      <w:r w:rsidRPr="005E3DEA">
        <w:rPr>
          <w:rFonts w:ascii="Arial" w:hAnsi="Arial" w:cs="Arial"/>
          <w:noProof/>
          <w:color w:val="000000" w:themeColor="text1"/>
          <w:sz w:val="20"/>
          <w:szCs w:val="20"/>
        </w:rPr>
        <w:t>(Gillberg 2010, Törn, Pettersson et al. 2015)</w:t>
      </w:r>
    </w:p>
    <w:p w:rsidR="00FF5AFE" w:rsidRPr="005E3DEA" w:rsidRDefault="00FF5AFE" w:rsidP="00013A2F">
      <w:pPr>
        <w:pStyle w:val="NormalWeb"/>
        <w:spacing w:before="0" w:beforeAutospacing="0" w:after="0" w:afterAutospacing="0" w:line="480" w:lineRule="auto"/>
        <w:jc w:val="both"/>
        <w:rPr>
          <w:rFonts w:ascii="Arial" w:hAnsi="Arial" w:cs="Arial"/>
          <w:color w:val="000000" w:themeColor="text1"/>
          <w:sz w:val="20"/>
          <w:szCs w:val="20"/>
        </w:rPr>
      </w:pPr>
      <w:r w:rsidRPr="005E3DEA">
        <w:rPr>
          <w:rFonts w:ascii="Arial" w:hAnsi="Arial" w:cs="Arial"/>
          <w:color w:val="000000" w:themeColor="text1"/>
          <w:sz w:val="20"/>
          <w:szCs w:val="20"/>
        </w:rPr>
        <w:t>Moreover, children with multiple overlapping neurological, social, and motor difficulties are at a significantly higher risk of bullying victimization than those with isolated conditions. This heightened vulnerability is likely due to the combined effects of their challenges, which may impede social interactions, reduce their ability to defend against bullying, and make them more visible targets for peer aggression. Consequently, addressing bullying among these children requires an understanding that goes beyond a single diagnosis, focusing on the interplay between various neurodevelopmental, social, and behavioral factors.</w:t>
      </w:r>
      <w:r w:rsidRPr="005E3DEA">
        <w:rPr>
          <w:rFonts w:ascii="Arial" w:hAnsi="Arial" w:cs="Arial"/>
          <w:noProof/>
          <w:color w:val="000000" w:themeColor="text1"/>
          <w:sz w:val="20"/>
          <w:szCs w:val="20"/>
        </w:rPr>
        <w:t>(Törn, Pettersson et al. 2015)</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Some children in this study were prescribed anticonvulsant medications, which are generally well tolerated at therapeutic doses. However, these drugs can cause systemic and neurological side effects, including significant toxicity in some cases. One common side effect of anticonvulsants is gingival hypertrophy, a condition also associated with other systemic medications, such as calcium channel blockers and immunosuppressants.</w:t>
      </w:r>
      <w:r w:rsidRPr="005E3DEA">
        <w:rPr>
          <w:rFonts w:ascii="Arial" w:hAnsi="Arial" w:cs="Arial"/>
          <w:noProof/>
          <w:color w:val="000000" w:themeColor="text1"/>
          <w:sz w:val="20"/>
          <w:szCs w:val="20"/>
        </w:rPr>
        <w:t>(Gallo, Bonvento et al. 2021)</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This study also explored the relationship between neurological diagnoses and bullying prevalence. Interestingly, children with epilepsy experienced less bullying compared to those with other neurological conditions. This difference may be attributed to the fact that epilepsy, while treated with outpatient care and medication, is often less visibly apparent to peers compared to conditions like autism spectrum disorder (ASD), attention-deficit/hyperactivity disorder (ADHD), or intellectual disability (ID). Children diagnosed with ASD, ADHD, or ID reported significantly higher rates of bullying victimization, aligning with findings from previous studies.</w:t>
      </w:r>
      <w:r w:rsidRPr="005E3DEA">
        <w:rPr>
          <w:rFonts w:ascii="Arial" w:hAnsi="Arial" w:cs="Arial"/>
          <w:noProof/>
          <w:color w:val="000000" w:themeColor="text1"/>
          <w:sz w:val="20"/>
          <w:szCs w:val="20"/>
        </w:rPr>
        <w:t>(Christensen, Fraynt et al. 2012, Rizeq, Kennedy et al. 2022, Fredrick, Nickerson et al. 2023)</w:t>
      </w:r>
    </w:p>
    <w:p w:rsidR="00FF5AFE" w:rsidRPr="005E3DEA" w:rsidRDefault="00942B8C" w:rsidP="00013A2F">
      <w:pPr>
        <w:pStyle w:val="Standardunter5"/>
        <w:spacing w:before="0" w:after="0" w:line="480" w:lineRule="auto"/>
        <w:ind w:left="0" w:firstLine="708"/>
        <w:jc w:val="both"/>
        <w:rPr>
          <w:rFonts w:ascii="Arial" w:hAnsi="Arial" w:cs="Arial"/>
          <w:color w:val="000000" w:themeColor="text1"/>
          <w:sz w:val="20"/>
          <w:szCs w:val="20"/>
        </w:rPr>
      </w:pPr>
      <w:r w:rsidRPr="00942B8C">
        <w:rPr>
          <w:rFonts w:ascii="Arial" w:hAnsi="Arial" w:cs="Arial"/>
          <w:color w:val="C00000"/>
          <w:sz w:val="20"/>
          <w:szCs w:val="20"/>
        </w:rPr>
        <w:t xml:space="preserve">Overall, the rejection of the null hypothesis reinforces that bullying victimization in children with neurological disorders is not randomly distributed, but rather patterned according to social context, oral health status, and specific neurodevelopmental diagnoses. </w:t>
      </w:r>
      <w:r w:rsidR="00FF5AFE" w:rsidRPr="005E3DEA">
        <w:rPr>
          <w:rFonts w:ascii="Arial" w:hAnsi="Arial" w:cs="Arial"/>
          <w:color w:val="000000" w:themeColor="text1"/>
          <w:sz w:val="20"/>
          <w:szCs w:val="20"/>
        </w:rPr>
        <w:t>These results suggest that while a specific diagnosis plays a role in vulnerability to bullying, it is not the sole factor. The visibility of symptoms, social perceptions, and broader contextual elements also contribute to the likelihood of victimization. These findings emphasize the need for comprehensive strategies that address both the medical and social challenges faced by children with neurological conditions.</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lastRenderedPageBreak/>
        <w:t xml:space="preserve">This study has some limitations that should be acknowledged. First, the setting in a child neurology outpatient clinic may constrain the generalizability of the findings to broader populations. The presence of multiple neurological diagnoses in some children introduces complexity in attributing bullying experiences to specific conditions. Moreover, variations in the severity of neurological disorders were not systematically considered, which may influence the observed outcomes. </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The study's reliance on caregiver-reported data introduces potential bias, as caregivers' perceptions may not fully align with the child's lived experiences. The inclusion of preschool-aged children and those not attending school further limits the ability to comprehensively assess bullying within educational environments. </w:t>
      </w:r>
    </w:p>
    <w:p w:rsidR="00FF5AFE" w:rsidRDefault="00FF5AFE" w:rsidP="00013A2F">
      <w:pPr>
        <w:pStyle w:val="Standardunter5"/>
        <w:spacing w:before="0" w:after="0" w:line="480" w:lineRule="auto"/>
        <w:ind w:left="0" w:firstLine="709"/>
        <w:jc w:val="both"/>
        <w:rPr>
          <w:rFonts w:ascii="Arial" w:hAnsi="Arial" w:cs="Arial"/>
          <w:color w:val="000000" w:themeColor="text1"/>
          <w:sz w:val="20"/>
          <w:szCs w:val="20"/>
        </w:rPr>
      </w:pPr>
      <w:r w:rsidRPr="00CE0F06">
        <w:rPr>
          <w:rFonts w:ascii="Arial" w:hAnsi="Arial" w:cs="Arial"/>
          <w:color w:val="000000" w:themeColor="text1"/>
          <w:sz w:val="20"/>
          <w:szCs w:val="20"/>
        </w:rPr>
        <w:t xml:space="preserve">Given the cross-sectional design, causal inferences between </w:t>
      </w:r>
      <w:r>
        <w:rPr>
          <w:rFonts w:ascii="Arial" w:hAnsi="Arial" w:cs="Arial"/>
          <w:color w:val="000000" w:themeColor="text1"/>
          <w:sz w:val="20"/>
          <w:szCs w:val="20"/>
        </w:rPr>
        <w:t xml:space="preserve">bullying and associated factors </w:t>
      </w:r>
      <w:r w:rsidRPr="00CE0F06">
        <w:rPr>
          <w:rFonts w:ascii="Arial" w:hAnsi="Arial" w:cs="Arial"/>
          <w:color w:val="000000" w:themeColor="text1"/>
          <w:sz w:val="20"/>
          <w:szCs w:val="20"/>
        </w:rPr>
        <w:t>cannot be established. To address these limitations, future research should incorporate child self-reports whenever developmentally appropriate, systematically account for neurological disorder severity, and employ longitudinal designs to clarify the temporal pathways and causal mechanisms underlying bullying victimization in this vulnerable population.</w:t>
      </w:r>
    </w:p>
    <w:p w:rsidR="00FF5AFE" w:rsidRDefault="00FF5AFE" w:rsidP="00013A2F">
      <w:pPr>
        <w:pStyle w:val="Standardunter5"/>
        <w:spacing w:before="0" w:after="0" w:line="480" w:lineRule="auto"/>
        <w:ind w:left="0" w:firstLine="709"/>
        <w:jc w:val="both"/>
        <w:rPr>
          <w:rFonts w:ascii="Arial" w:hAnsi="Arial" w:cs="Arial"/>
          <w:color w:val="000000" w:themeColor="text1"/>
          <w:sz w:val="20"/>
          <w:szCs w:val="20"/>
        </w:rPr>
      </w:pPr>
    </w:p>
    <w:p w:rsidR="00FF5AFE" w:rsidRPr="005E3DEA" w:rsidRDefault="00FF5AFE" w:rsidP="00013A2F">
      <w:pPr>
        <w:pStyle w:val="Standardunter5"/>
        <w:spacing w:before="0" w:after="0" w:line="480" w:lineRule="auto"/>
        <w:ind w:hanging="709"/>
        <w:jc w:val="both"/>
        <w:rPr>
          <w:rFonts w:ascii="Arial" w:hAnsi="Arial" w:cs="Arial"/>
          <w:b/>
          <w:color w:val="000000" w:themeColor="text1"/>
          <w:sz w:val="20"/>
          <w:szCs w:val="20"/>
        </w:rPr>
      </w:pPr>
      <w:r w:rsidRPr="005E3DEA">
        <w:rPr>
          <w:rFonts w:ascii="Arial" w:hAnsi="Arial" w:cs="Arial"/>
          <w:b/>
          <w:color w:val="000000" w:themeColor="text1"/>
          <w:sz w:val="20"/>
          <w:szCs w:val="20"/>
        </w:rPr>
        <w:t>CONCLUSIONS</w:t>
      </w:r>
    </w:p>
    <w:p w:rsidR="00FF5AFE"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This study identifies a high prevalence of bullying among children with neurological disorders, particularly</w:t>
      </w:r>
      <w:r>
        <w:rPr>
          <w:rFonts w:ascii="Arial" w:hAnsi="Arial" w:cs="Arial"/>
          <w:color w:val="000000" w:themeColor="text1"/>
          <w:sz w:val="20"/>
          <w:szCs w:val="20"/>
        </w:rPr>
        <w:t xml:space="preserve"> among</w:t>
      </w:r>
      <w:r w:rsidRPr="005E3DEA">
        <w:rPr>
          <w:rFonts w:ascii="Arial" w:hAnsi="Arial" w:cs="Arial"/>
          <w:color w:val="000000" w:themeColor="text1"/>
          <w:sz w:val="20"/>
          <w:szCs w:val="20"/>
        </w:rPr>
        <w:t xml:space="preserve"> those diagnosed with </w:t>
      </w:r>
      <w:r w:rsidRPr="005A2516">
        <w:rPr>
          <w:rFonts w:ascii="Arial" w:hAnsi="Arial" w:cs="Arial"/>
          <w:color w:val="000000" w:themeColor="text1"/>
          <w:sz w:val="20"/>
          <w:szCs w:val="20"/>
        </w:rPr>
        <w:t>Autism Spectrum Disorder (ASD), Attention-Deficit/Hyperactivity Disorder (ADHD), a</w:t>
      </w:r>
      <w:r>
        <w:rPr>
          <w:rFonts w:ascii="Arial" w:hAnsi="Arial" w:cs="Arial"/>
          <w:color w:val="000000" w:themeColor="text1"/>
          <w:sz w:val="20"/>
          <w:szCs w:val="20"/>
        </w:rPr>
        <w:t>nd Intellectual Disability (ID)</w:t>
      </w:r>
      <w:r w:rsidRPr="005E3DEA">
        <w:rPr>
          <w:rFonts w:ascii="Arial" w:hAnsi="Arial" w:cs="Arial"/>
          <w:color w:val="000000" w:themeColor="text1"/>
          <w:sz w:val="20"/>
          <w:szCs w:val="20"/>
        </w:rPr>
        <w:t xml:space="preserve">. </w:t>
      </w:r>
      <w:r>
        <w:rPr>
          <w:rFonts w:ascii="Arial" w:hAnsi="Arial" w:cs="Arial"/>
          <w:color w:val="000000" w:themeColor="text1"/>
          <w:sz w:val="20"/>
          <w:szCs w:val="20"/>
        </w:rPr>
        <w:t>Greater caregiver presence,</w:t>
      </w:r>
      <w:r w:rsidRPr="005A2516">
        <w:rPr>
          <w:rFonts w:ascii="Arial" w:hAnsi="Arial" w:cs="Arial"/>
          <w:color w:val="000000" w:themeColor="text1"/>
          <w:sz w:val="20"/>
          <w:szCs w:val="20"/>
        </w:rPr>
        <w:t xml:space="preserve"> exceeding 18 hours per day, was associated with a lower likelihood of bullying, whereas school-aged children demonstrated increased vulnerability, likely due to greater exposure to peer interactions.</w:t>
      </w:r>
    </w:p>
    <w:p w:rsidR="00FF5AFE" w:rsidRDefault="00FF5AFE" w:rsidP="00013A2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Children with </w:t>
      </w:r>
      <w:r>
        <w:rPr>
          <w:rFonts w:ascii="Arial" w:hAnsi="Arial" w:cs="Arial"/>
          <w:color w:val="000000" w:themeColor="text1"/>
          <w:sz w:val="20"/>
          <w:szCs w:val="20"/>
        </w:rPr>
        <w:t xml:space="preserve">a history of </w:t>
      </w:r>
      <w:r w:rsidRPr="005E3DEA">
        <w:rPr>
          <w:rFonts w:ascii="Arial" w:hAnsi="Arial" w:cs="Arial"/>
          <w:color w:val="000000" w:themeColor="text1"/>
          <w:sz w:val="20"/>
          <w:szCs w:val="20"/>
        </w:rPr>
        <w:t>treated dental caries report higher bullying rates</w:t>
      </w:r>
      <w:r>
        <w:rPr>
          <w:rFonts w:ascii="Arial" w:hAnsi="Arial" w:cs="Arial"/>
          <w:color w:val="000000" w:themeColor="text1"/>
          <w:sz w:val="20"/>
          <w:szCs w:val="20"/>
        </w:rPr>
        <w:t xml:space="preserve"> of bullying</w:t>
      </w:r>
      <w:r w:rsidRPr="005E3DEA">
        <w:rPr>
          <w:rFonts w:ascii="Arial" w:hAnsi="Arial" w:cs="Arial"/>
          <w:color w:val="000000" w:themeColor="text1"/>
          <w:sz w:val="20"/>
          <w:szCs w:val="20"/>
        </w:rPr>
        <w:t xml:space="preserve">, highlighting the </w:t>
      </w:r>
      <w:r>
        <w:rPr>
          <w:rFonts w:ascii="Arial" w:hAnsi="Arial" w:cs="Arial"/>
          <w:color w:val="000000" w:themeColor="text1"/>
          <w:sz w:val="20"/>
          <w:szCs w:val="20"/>
        </w:rPr>
        <w:t>interrelationship</w:t>
      </w:r>
      <w:r w:rsidRPr="005E3DEA">
        <w:rPr>
          <w:rFonts w:ascii="Arial" w:hAnsi="Arial" w:cs="Arial"/>
          <w:color w:val="000000" w:themeColor="text1"/>
          <w:sz w:val="20"/>
          <w:szCs w:val="20"/>
        </w:rPr>
        <w:t xml:space="preserve"> between oral health </w:t>
      </w:r>
      <w:r>
        <w:rPr>
          <w:rFonts w:ascii="Arial" w:hAnsi="Arial" w:cs="Arial"/>
          <w:color w:val="000000" w:themeColor="text1"/>
          <w:sz w:val="20"/>
          <w:szCs w:val="20"/>
        </w:rPr>
        <w:t xml:space="preserve">conditions </w:t>
      </w:r>
      <w:r w:rsidRPr="005E3DEA">
        <w:rPr>
          <w:rFonts w:ascii="Arial" w:hAnsi="Arial" w:cs="Arial"/>
          <w:color w:val="000000" w:themeColor="text1"/>
          <w:sz w:val="20"/>
          <w:szCs w:val="20"/>
        </w:rPr>
        <w:t xml:space="preserve">and psychosocial well-being. These findings underscore the vital need for comprehensive healthcare approaches that address both medical and social challenges. Customized strategies targeting the specific needs of this vulnerable population are </w:t>
      </w:r>
      <w:r>
        <w:rPr>
          <w:rFonts w:ascii="Arial" w:hAnsi="Arial" w:cs="Arial"/>
          <w:color w:val="000000" w:themeColor="text1"/>
          <w:sz w:val="20"/>
          <w:szCs w:val="20"/>
        </w:rPr>
        <w:t>essential</w:t>
      </w:r>
      <w:r w:rsidRPr="005E3DEA">
        <w:rPr>
          <w:rFonts w:ascii="Arial" w:hAnsi="Arial" w:cs="Arial"/>
          <w:color w:val="000000" w:themeColor="text1"/>
          <w:sz w:val="20"/>
          <w:szCs w:val="20"/>
        </w:rPr>
        <w:t xml:space="preserve"> to reduce bullying </w:t>
      </w:r>
      <w:r w:rsidRPr="005A2516">
        <w:rPr>
          <w:rFonts w:ascii="Arial" w:hAnsi="Arial" w:cs="Arial"/>
          <w:color w:val="000000" w:themeColor="text1"/>
          <w:sz w:val="20"/>
          <w:szCs w:val="20"/>
        </w:rPr>
        <w:t>victimization and mitigate its adverse impact on quality of life.</w:t>
      </w:r>
    </w:p>
    <w:p w:rsidR="00FF5AFE" w:rsidRPr="005E3DEA" w:rsidRDefault="00FF5AFE" w:rsidP="00013A2F">
      <w:pPr>
        <w:pStyle w:val="Standardunter5"/>
        <w:spacing w:before="0" w:after="0" w:line="480" w:lineRule="auto"/>
        <w:ind w:left="0" w:firstLine="708"/>
        <w:jc w:val="both"/>
        <w:rPr>
          <w:rFonts w:ascii="Arial" w:hAnsi="Arial" w:cs="Arial"/>
          <w:color w:val="000000" w:themeColor="text1"/>
          <w:sz w:val="20"/>
          <w:szCs w:val="20"/>
        </w:rPr>
      </w:pPr>
    </w:p>
    <w:p w:rsidR="00FF5AFE" w:rsidRPr="005E3DEA" w:rsidRDefault="00FF5AFE" w:rsidP="00013A2F">
      <w:pPr>
        <w:spacing w:before="120" w:line="480" w:lineRule="auto"/>
        <w:jc w:val="both"/>
        <w:rPr>
          <w:rFonts w:ascii="Arial" w:hAnsi="Arial" w:cs="Arial"/>
          <w:b/>
          <w:color w:val="000000" w:themeColor="text1"/>
          <w:sz w:val="20"/>
          <w:shd w:val="clear" w:color="auto" w:fill="FFFFFF"/>
        </w:rPr>
      </w:pPr>
      <w:r w:rsidRPr="005E3DEA">
        <w:rPr>
          <w:rFonts w:ascii="Arial" w:hAnsi="Arial" w:cs="Arial"/>
          <w:b/>
          <w:color w:val="000000" w:themeColor="text1"/>
          <w:sz w:val="20"/>
          <w:shd w:val="clear" w:color="auto" w:fill="FFFFFF"/>
        </w:rPr>
        <w:lastRenderedPageBreak/>
        <w:t>Data Availability</w:t>
      </w:r>
    </w:p>
    <w:p w:rsidR="00FF5AFE" w:rsidRPr="005E3DEA" w:rsidRDefault="00FF5AFE" w:rsidP="00013A2F">
      <w:pPr>
        <w:spacing w:before="120" w:line="480" w:lineRule="auto"/>
        <w:ind w:firstLine="709"/>
        <w:jc w:val="both"/>
        <w:rPr>
          <w:rFonts w:ascii="Arial" w:hAnsi="Arial" w:cs="Arial"/>
          <w:color w:val="000000" w:themeColor="text1"/>
          <w:sz w:val="20"/>
          <w:shd w:val="clear" w:color="auto" w:fill="FFFFFF"/>
        </w:rPr>
      </w:pPr>
      <w:r w:rsidRPr="005E3DEA">
        <w:rPr>
          <w:rFonts w:ascii="Arial" w:hAnsi="Arial" w:cs="Arial"/>
          <w:color w:val="000000" w:themeColor="text1"/>
          <w:sz w:val="20"/>
          <w:shd w:val="clear" w:color="auto" w:fill="FFFFFF"/>
        </w:rPr>
        <w:t>Raw data are available upon request from the corresponding author. This article includes the pertinent raw data generated and/or analyzed during the study, encompassing files that detail the analyses, as well as either the complete database or other relevant raw data. Ethics approval, participant permissions, and all necessary approvals were obtained for the sharing of this data.</w:t>
      </w:r>
    </w:p>
    <w:p w:rsidR="00FF5AFE" w:rsidRPr="005E3DEA" w:rsidRDefault="00FF5AFE" w:rsidP="00013A2F">
      <w:pPr>
        <w:spacing w:before="120" w:line="480" w:lineRule="auto"/>
        <w:jc w:val="both"/>
        <w:rPr>
          <w:rFonts w:ascii="Arial" w:eastAsia="Cambria" w:hAnsi="Arial" w:cs="Arial"/>
          <w:b/>
          <w:color w:val="000000" w:themeColor="text1"/>
          <w:sz w:val="20"/>
          <w:lang w:eastAsia="de-CH"/>
        </w:rPr>
      </w:pPr>
      <w:bookmarkStart w:id="3" w:name="_Toc472330565"/>
      <w:r w:rsidRPr="005E3DEA">
        <w:rPr>
          <w:rFonts w:ascii="Arial" w:eastAsia="Cambria" w:hAnsi="Arial" w:cs="Arial"/>
          <w:b/>
          <w:color w:val="000000" w:themeColor="text1"/>
          <w:sz w:val="20"/>
          <w:lang w:eastAsia="de-CH"/>
        </w:rPr>
        <w:t>Conflict of Interest Statement</w:t>
      </w:r>
      <w:bookmarkEnd w:id="3"/>
    </w:p>
    <w:p w:rsidR="00FF5AFE" w:rsidRDefault="00FF5AFE" w:rsidP="00013A2F">
      <w:pPr>
        <w:pStyle w:val="Standardunter5"/>
        <w:spacing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The authors have no conflicts of interest to declare.</w:t>
      </w:r>
    </w:p>
    <w:p w:rsidR="00393844" w:rsidRPr="00393844" w:rsidRDefault="00393844" w:rsidP="00393844">
      <w:pPr>
        <w:spacing w:after="200" w:line="276" w:lineRule="auto"/>
        <w:rPr>
          <w:rFonts w:ascii="Calibri" w:eastAsia="Calibri" w:hAnsi="Calibri"/>
          <w:kern w:val="2"/>
          <w:sz w:val="22"/>
          <w:szCs w:val="22"/>
          <w:highlight w:val="yellow"/>
          <w:lang w:eastAsia="en-US"/>
          <w14:ligatures w14:val="standardContextual"/>
        </w:rPr>
      </w:pPr>
      <w:r w:rsidRPr="00393844">
        <w:rPr>
          <w:rFonts w:ascii="Calibri" w:eastAsia="Calibri" w:hAnsi="Calibri"/>
          <w:kern w:val="2"/>
          <w:sz w:val="22"/>
          <w:szCs w:val="22"/>
          <w:highlight w:val="yellow"/>
          <w:lang w:eastAsia="en-US"/>
          <w14:ligatures w14:val="standardContextual"/>
        </w:rPr>
        <w:t>Disclaimer (Artificial intelligence)</w:t>
      </w:r>
    </w:p>
    <w:p w:rsidR="00393844" w:rsidRPr="00393844" w:rsidRDefault="00393844" w:rsidP="00393844">
      <w:pPr>
        <w:spacing w:after="200" w:line="276" w:lineRule="auto"/>
        <w:rPr>
          <w:rFonts w:ascii="Calibri" w:eastAsia="Calibri" w:hAnsi="Calibri"/>
          <w:kern w:val="2"/>
          <w:sz w:val="22"/>
          <w:szCs w:val="22"/>
          <w:highlight w:val="yellow"/>
          <w:lang w:eastAsia="en-US"/>
          <w14:ligatures w14:val="standardContextual"/>
        </w:rPr>
      </w:pPr>
      <w:r w:rsidRPr="00393844">
        <w:rPr>
          <w:rFonts w:ascii="Calibri" w:eastAsia="Calibri" w:hAnsi="Calibri"/>
          <w:kern w:val="2"/>
          <w:sz w:val="22"/>
          <w:szCs w:val="22"/>
          <w:highlight w:val="yellow"/>
          <w:lang w:eastAsia="en-US"/>
          <w14:ligatures w14:val="standardContextual"/>
        </w:rPr>
        <w:t xml:space="preserve">Option 1: </w:t>
      </w:r>
    </w:p>
    <w:p w:rsidR="00393844" w:rsidRPr="00393844" w:rsidRDefault="00393844" w:rsidP="00393844">
      <w:pPr>
        <w:spacing w:after="200" w:line="276" w:lineRule="auto"/>
        <w:rPr>
          <w:rFonts w:ascii="Calibri" w:eastAsia="Calibri" w:hAnsi="Calibri"/>
          <w:kern w:val="2"/>
          <w:sz w:val="22"/>
          <w:szCs w:val="22"/>
          <w:highlight w:val="yellow"/>
          <w:lang w:eastAsia="en-US"/>
          <w14:ligatures w14:val="standardContextual"/>
        </w:rPr>
      </w:pPr>
      <w:r w:rsidRPr="00393844">
        <w:rPr>
          <w:rFonts w:ascii="Calibri" w:eastAsia="Calibri" w:hAnsi="Calibri"/>
          <w:kern w:val="2"/>
          <w:sz w:val="22"/>
          <w:szCs w:val="22"/>
          <w:highlight w:val="yellow"/>
          <w:lang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rsidR="00393844" w:rsidRPr="005E3DEA" w:rsidRDefault="00393844" w:rsidP="00013A2F">
      <w:pPr>
        <w:pStyle w:val="Standardunter5"/>
        <w:spacing w:after="0" w:line="480" w:lineRule="auto"/>
        <w:ind w:left="0" w:firstLine="708"/>
        <w:jc w:val="both"/>
        <w:rPr>
          <w:rFonts w:ascii="Arial" w:hAnsi="Arial" w:cs="Arial"/>
          <w:color w:val="000000" w:themeColor="text1"/>
          <w:sz w:val="20"/>
          <w:szCs w:val="20"/>
        </w:rPr>
      </w:pPr>
      <w:bookmarkStart w:id="4" w:name="_GoBack"/>
      <w:bookmarkEnd w:id="4"/>
    </w:p>
    <w:p w:rsidR="00FF5AFE" w:rsidRPr="00163D2E" w:rsidRDefault="00FF5AFE" w:rsidP="00013A2F">
      <w:pPr>
        <w:spacing w:line="480" w:lineRule="auto"/>
        <w:rPr>
          <w:rFonts w:ascii="Arial" w:hAnsi="Arial" w:cs="Arial"/>
          <w:b/>
          <w:bCs/>
          <w:color w:val="000000" w:themeColor="text1"/>
          <w:sz w:val="22"/>
          <w:szCs w:val="24"/>
        </w:rPr>
      </w:pPr>
    </w:p>
    <w:p w:rsidR="00FF5AFE" w:rsidRPr="005E3DEA" w:rsidRDefault="00FF5AFE" w:rsidP="00013A2F">
      <w:pPr>
        <w:spacing w:line="480" w:lineRule="auto"/>
        <w:rPr>
          <w:rFonts w:ascii="Arial" w:hAnsi="Arial" w:cs="Arial"/>
          <w:b/>
          <w:bCs/>
          <w:color w:val="000000" w:themeColor="text1"/>
          <w:sz w:val="22"/>
          <w:szCs w:val="24"/>
          <w:lang w:val="pt-BR"/>
        </w:rPr>
      </w:pPr>
      <w:r w:rsidRPr="005E3DEA">
        <w:rPr>
          <w:rFonts w:ascii="Arial" w:hAnsi="Arial" w:cs="Arial"/>
          <w:b/>
          <w:bCs/>
          <w:color w:val="000000" w:themeColor="text1"/>
          <w:sz w:val="22"/>
          <w:szCs w:val="24"/>
          <w:lang w:val="pt-BR"/>
        </w:rPr>
        <w:t>REFERENCES</w:t>
      </w:r>
    </w:p>
    <w:p w:rsidR="00FF5AFE" w:rsidRPr="00B431F1" w:rsidRDefault="00FF5AFE" w:rsidP="00013A2F">
      <w:pPr>
        <w:pStyle w:val="EndNoteBibliography"/>
        <w:rPr>
          <w:lang w:val="en-US"/>
        </w:rPr>
      </w:pPr>
      <w:bookmarkStart w:id="5" w:name="_ENREF_1"/>
      <w:r w:rsidRPr="00B431F1">
        <w:t xml:space="preserve">Bensi, C., M. Costacurta and R. Docimo (2020). </w:t>
      </w:r>
      <w:r w:rsidRPr="00B431F1">
        <w:rPr>
          <w:lang w:val="en-US"/>
        </w:rPr>
        <w:t xml:space="preserve">"Oral health in children with cerebral palsy: A systematic review and meta-analysis." </w:t>
      </w:r>
      <w:r w:rsidRPr="00B431F1">
        <w:rPr>
          <w:u w:val="single"/>
          <w:lang w:val="en-US"/>
        </w:rPr>
        <w:t>Spec Care Dentist</w:t>
      </w:r>
      <w:r w:rsidRPr="00B431F1">
        <w:rPr>
          <w:lang w:val="en-US"/>
        </w:rPr>
        <w:t xml:space="preserve"> </w:t>
      </w:r>
      <w:r w:rsidRPr="00B431F1">
        <w:rPr>
          <w:b/>
          <w:lang w:val="en-US"/>
        </w:rPr>
        <w:t>40</w:t>
      </w:r>
      <w:r w:rsidRPr="00B431F1">
        <w:rPr>
          <w:lang w:val="en-US"/>
        </w:rPr>
        <w:t>(5): 401-411.</w:t>
      </w:r>
      <w:bookmarkEnd w:id="5"/>
    </w:p>
    <w:p w:rsidR="00FF5AFE" w:rsidRPr="00B431F1" w:rsidRDefault="00FF5AFE" w:rsidP="00013A2F">
      <w:pPr>
        <w:pStyle w:val="EndNoteBibliography"/>
        <w:rPr>
          <w:lang w:val="en-US"/>
        </w:rPr>
      </w:pPr>
      <w:bookmarkStart w:id="6" w:name="_ENREF_2"/>
      <w:r w:rsidRPr="00B431F1">
        <w:rPr>
          <w:lang w:val="en-US"/>
        </w:rPr>
        <w:t xml:space="preserve">Christensen, L., R. Fraynt, C. Neece and B. Baker (2012). "Bullying Adolescents With Intellectual Disability." </w:t>
      </w:r>
      <w:r w:rsidRPr="00B431F1">
        <w:rPr>
          <w:u w:val="single"/>
          <w:lang w:val="en-US"/>
        </w:rPr>
        <w:t>Journal of Mental Health Research in Intellectual Disabilities</w:t>
      </w:r>
      <w:r w:rsidRPr="00B431F1">
        <w:rPr>
          <w:lang w:val="en-US"/>
        </w:rPr>
        <w:t xml:space="preserve"> </w:t>
      </w:r>
      <w:r w:rsidRPr="00B431F1">
        <w:rPr>
          <w:b/>
          <w:lang w:val="en-US"/>
        </w:rPr>
        <w:t>5</w:t>
      </w:r>
      <w:r w:rsidRPr="00B431F1">
        <w:rPr>
          <w:lang w:val="en-US"/>
        </w:rPr>
        <w:t>: 49-65.</w:t>
      </w:r>
      <w:bookmarkEnd w:id="6"/>
    </w:p>
    <w:p w:rsidR="00FF5AFE" w:rsidRPr="00B431F1" w:rsidRDefault="00FF5AFE" w:rsidP="00013A2F">
      <w:pPr>
        <w:pStyle w:val="EndNoteBibliography"/>
        <w:rPr>
          <w:lang w:val="en-US"/>
        </w:rPr>
      </w:pPr>
      <w:bookmarkStart w:id="7" w:name="_ENREF_3"/>
      <w:r w:rsidRPr="00B431F1">
        <w:rPr>
          <w:lang w:val="en-US"/>
        </w:rPr>
        <w:t xml:space="preserve">Cuba Bustinza, C., R. E. Adams, A. H. Claussen, D. Vitucci, M. L. Danielson, J. R. Holbrook, S. N. Charania, K. Yamamoto, N. Nidey and T. E. Froehlich (2022). "Factors Associated With Bullying Victimization and Bullying Perpetration in Children and Adolescents With ADHD: 2016 to 2017 National Survey of Children's Health." </w:t>
      </w:r>
      <w:r w:rsidRPr="00B431F1">
        <w:rPr>
          <w:u w:val="single"/>
          <w:lang w:val="en-US"/>
        </w:rPr>
        <w:t>J Atten Disord</w:t>
      </w:r>
      <w:r w:rsidRPr="00B431F1">
        <w:rPr>
          <w:lang w:val="en-US"/>
        </w:rPr>
        <w:t xml:space="preserve"> </w:t>
      </w:r>
      <w:r w:rsidRPr="00B431F1">
        <w:rPr>
          <w:b/>
          <w:lang w:val="en-US"/>
        </w:rPr>
        <w:t>26</w:t>
      </w:r>
      <w:r w:rsidRPr="00B431F1">
        <w:rPr>
          <w:lang w:val="en-US"/>
        </w:rPr>
        <w:t>(12): 1535-1548.</w:t>
      </w:r>
      <w:bookmarkEnd w:id="7"/>
    </w:p>
    <w:p w:rsidR="00FF5AFE" w:rsidRPr="00B431F1" w:rsidRDefault="00FF5AFE" w:rsidP="00013A2F">
      <w:pPr>
        <w:pStyle w:val="EndNoteBibliography"/>
      </w:pPr>
      <w:bookmarkStart w:id="8" w:name="_ENREF_4"/>
      <w:r w:rsidRPr="00B431F1">
        <w:rPr>
          <w:lang w:val="en-US"/>
        </w:rPr>
        <w:t xml:space="preserve">da Motta, T. P., J. Owens, L. G. Abreu, S. A. T. Debossan, F. Vargas-Ferreira and M. V. Vettore (2022). "Malocclusion characteristics amongst individuals with autism spectrum disorder: a systematic review and meta-analysis." </w:t>
      </w:r>
      <w:r w:rsidRPr="00B431F1">
        <w:rPr>
          <w:u w:val="single"/>
        </w:rPr>
        <w:t>BMC Oral Health</w:t>
      </w:r>
      <w:r w:rsidRPr="00B431F1">
        <w:t xml:space="preserve"> </w:t>
      </w:r>
      <w:r w:rsidRPr="00B431F1">
        <w:rPr>
          <w:b/>
        </w:rPr>
        <w:t>22</w:t>
      </w:r>
      <w:r w:rsidRPr="00B431F1">
        <w:t>(1): 341.</w:t>
      </w:r>
      <w:bookmarkEnd w:id="8"/>
    </w:p>
    <w:p w:rsidR="00FF5AFE" w:rsidRPr="00B431F1" w:rsidRDefault="00FF5AFE" w:rsidP="00013A2F">
      <w:pPr>
        <w:pStyle w:val="EndNoteBibliography"/>
        <w:rPr>
          <w:lang w:val="en-US"/>
        </w:rPr>
      </w:pPr>
      <w:bookmarkStart w:id="9" w:name="_ENREF_5"/>
      <w:r w:rsidRPr="00B431F1">
        <w:t xml:space="preserve">de Castelo Branco Araújo, T., B. R. Nogueira, R. F. Mendes and R. R. P. Júnior (2022). </w:t>
      </w:r>
      <w:r w:rsidRPr="00B431F1">
        <w:rPr>
          <w:lang w:val="en-US"/>
        </w:rPr>
        <w:t xml:space="preserve">"Oral health-related quality of life in children and adolescents with cerebral palsy: paired cross-sectional study." </w:t>
      </w:r>
      <w:r w:rsidRPr="00B431F1">
        <w:rPr>
          <w:u w:val="single"/>
          <w:lang w:val="en-US"/>
        </w:rPr>
        <w:t>Eur Arch Paediatr Dent</w:t>
      </w:r>
      <w:r w:rsidRPr="00B431F1">
        <w:rPr>
          <w:lang w:val="en-US"/>
        </w:rPr>
        <w:t xml:space="preserve"> </w:t>
      </w:r>
      <w:r w:rsidRPr="00B431F1">
        <w:rPr>
          <w:b/>
          <w:lang w:val="en-US"/>
        </w:rPr>
        <w:t>23</w:t>
      </w:r>
      <w:r w:rsidRPr="00B431F1">
        <w:rPr>
          <w:lang w:val="en-US"/>
        </w:rPr>
        <w:t>(3): 391-398.</w:t>
      </w:r>
      <w:bookmarkEnd w:id="9"/>
    </w:p>
    <w:p w:rsidR="00FF5AFE" w:rsidRPr="00B431F1" w:rsidRDefault="00FF5AFE" w:rsidP="00013A2F">
      <w:pPr>
        <w:pStyle w:val="EndNoteBibliography"/>
        <w:rPr>
          <w:lang w:val="en-US"/>
        </w:rPr>
      </w:pPr>
      <w:bookmarkStart w:id="10" w:name="_ENREF_6"/>
      <w:r w:rsidRPr="00B431F1">
        <w:rPr>
          <w:lang w:val="en-US"/>
        </w:rPr>
        <w:t xml:space="preserve">DiBiase, A., Z. Cox, M. Rea, L. Gonidis, L. Cameron and A. Rutland (2024). "Prevalence and nature of bullying in schoolchildren aged 10-14 years and its association with malocclusion: A cross-sectional study in the South East of the UK." </w:t>
      </w:r>
      <w:r w:rsidRPr="00B431F1">
        <w:rPr>
          <w:u w:val="single"/>
          <w:lang w:val="en-US"/>
        </w:rPr>
        <w:t>J Orthod</w:t>
      </w:r>
      <w:r w:rsidRPr="00B431F1">
        <w:rPr>
          <w:lang w:val="en-US"/>
        </w:rPr>
        <w:t xml:space="preserve"> </w:t>
      </w:r>
      <w:r w:rsidRPr="00B431F1">
        <w:rPr>
          <w:b/>
          <w:lang w:val="en-US"/>
        </w:rPr>
        <w:t>51</w:t>
      </w:r>
      <w:r w:rsidRPr="00B431F1">
        <w:rPr>
          <w:lang w:val="en-US"/>
        </w:rPr>
        <w:t>(3): 258-269.</w:t>
      </w:r>
      <w:bookmarkEnd w:id="10"/>
    </w:p>
    <w:p w:rsidR="00FF5AFE" w:rsidRPr="00B431F1" w:rsidRDefault="00FF5AFE" w:rsidP="00013A2F">
      <w:pPr>
        <w:pStyle w:val="EndNoteBibliography"/>
      </w:pPr>
      <w:bookmarkStart w:id="11" w:name="_ENREF_7"/>
      <w:r w:rsidRPr="00B431F1">
        <w:rPr>
          <w:lang w:val="en-US"/>
        </w:rPr>
        <w:t xml:space="preserve">Du, R. Y., C. K. Y. Yiu and N. M. King (2020). "Health- and oral health-related quality of life among preschool children with autism spectrum disorders." </w:t>
      </w:r>
      <w:r w:rsidRPr="00B431F1">
        <w:rPr>
          <w:u w:val="single"/>
        </w:rPr>
        <w:t>Eur Arch Paediatr Dent</w:t>
      </w:r>
      <w:r w:rsidRPr="00B431F1">
        <w:t xml:space="preserve"> </w:t>
      </w:r>
      <w:r w:rsidRPr="00B431F1">
        <w:rPr>
          <w:b/>
        </w:rPr>
        <w:t>21</w:t>
      </w:r>
      <w:r w:rsidRPr="00B431F1">
        <w:t>(3): 363-371.</w:t>
      </w:r>
      <w:bookmarkEnd w:id="11"/>
    </w:p>
    <w:p w:rsidR="00FF5AFE" w:rsidRPr="00B431F1" w:rsidRDefault="00FF5AFE" w:rsidP="00013A2F">
      <w:pPr>
        <w:pStyle w:val="EndNoteBibliography"/>
        <w:rPr>
          <w:lang w:val="en-US"/>
        </w:rPr>
      </w:pPr>
      <w:bookmarkStart w:id="12" w:name="_ENREF_8"/>
      <w:r w:rsidRPr="00B431F1">
        <w:lastRenderedPageBreak/>
        <w:t xml:space="preserve">Figueirôa, T., J. Raposo, L. Soares, L. Oliveira, V. Menezes and V. Colares (2024). </w:t>
      </w:r>
      <w:r w:rsidRPr="00B431F1">
        <w:rPr>
          <w:lang w:val="en-US"/>
        </w:rPr>
        <w:t>"Association between bullying and both awake and sleep bruxism in school adolescents: A cross-sectional study</w:t>
      </w:r>
    </w:p>
    <w:p w:rsidR="00FF5AFE" w:rsidRPr="00B431F1" w:rsidRDefault="00FF5AFE" w:rsidP="00013A2F">
      <w:pPr>
        <w:pStyle w:val="EndNoteBibliography"/>
      </w:pPr>
      <w:r w:rsidRPr="00B431F1">
        <w:t xml:space="preserve">24:." </w:t>
      </w:r>
      <w:r w:rsidRPr="00B431F1">
        <w:rPr>
          <w:u w:val="single"/>
        </w:rPr>
        <w:t>Pesqui Bras Odontopediatria Clín Integr</w:t>
      </w:r>
      <w:r w:rsidRPr="00B431F1">
        <w:t xml:space="preserve"> </w:t>
      </w:r>
      <w:r w:rsidRPr="00B431F1">
        <w:rPr>
          <w:b/>
        </w:rPr>
        <w:t>24</w:t>
      </w:r>
      <w:r w:rsidRPr="00B431F1">
        <w:t>: e230157.</w:t>
      </w:r>
      <w:bookmarkEnd w:id="12"/>
    </w:p>
    <w:p w:rsidR="00FF5AFE" w:rsidRPr="00B431F1" w:rsidRDefault="00FF5AFE" w:rsidP="00013A2F">
      <w:pPr>
        <w:pStyle w:val="EndNoteBibliography"/>
        <w:rPr>
          <w:lang w:val="en-US"/>
        </w:rPr>
      </w:pPr>
      <w:bookmarkStart w:id="13" w:name="_ENREF_9"/>
      <w:r w:rsidRPr="00B431F1">
        <w:rPr>
          <w:lang w:val="en-US"/>
        </w:rPr>
        <w:t xml:space="preserve">Fredrick, S. S., A. B. Nickerson, L. Sun, J. D. Rodgers, M. L. Thomeer, C. Lopata and F. Todd (2023). "ASD Symptoms, Social Skills, and Comorbidity: Predictors of Bullying Perpetration." </w:t>
      </w:r>
      <w:r w:rsidRPr="00B431F1">
        <w:rPr>
          <w:u w:val="single"/>
          <w:lang w:val="en-US"/>
        </w:rPr>
        <w:t>J Autism Dev Disord</w:t>
      </w:r>
      <w:r w:rsidRPr="00B431F1">
        <w:rPr>
          <w:lang w:val="en-US"/>
        </w:rPr>
        <w:t xml:space="preserve"> </w:t>
      </w:r>
      <w:r w:rsidRPr="00B431F1">
        <w:rPr>
          <w:b/>
          <w:lang w:val="en-US"/>
        </w:rPr>
        <w:t>53</w:t>
      </w:r>
      <w:r w:rsidRPr="00B431F1">
        <w:rPr>
          <w:lang w:val="en-US"/>
        </w:rPr>
        <w:t>(8): 3092-3102.</w:t>
      </w:r>
      <w:bookmarkEnd w:id="13"/>
    </w:p>
    <w:p w:rsidR="00FF5AFE" w:rsidRPr="00B431F1" w:rsidRDefault="00FF5AFE" w:rsidP="00013A2F">
      <w:pPr>
        <w:pStyle w:val="EndNoteBibliography"/>
        <w:rPr>
          <w:lang w:val="en-US"/>
        </w:rPr>
      </w:pPr>
      <w:bookmarkStart w:id="14" w:name="_ENREF_10"/>
      <w:r w:rsidRPr="00B431F1">
        <w:rPr>
          <w:lang w:val="en-US"/>
        </w:rPr>
        <w:t xml:space="preserve">Gallo, C., G. Bonvento, G. Zagotto and C. Mucignat-Caretta (2021). "Gingival overgrowth induced by anticonvulsant drugs: A cross-sectional study on epileptic patients." </w:t>
      </w:r>
      <w:r w:rsidRPr="00B431F1">
        <w:rPr>
          <w:u w:val="single"/>
          <w:lang w:val="en-US"/>
        </w:rPr>
        <w:t>J Periodontal Res</w:t>
      </w:r>
      <w:r w:rsidRPr="00B431F1">
        <w:rPr>
          <w:lang w:val="en-US"/>
        </w:rPr>
        <w:t xml:space="preserve"> </w:t>
      </w:r>
      <w:r w:rsidRPr="00B431F1">
        <w:rPr>
          <w:b/>
          <w:lang w:val="en-US"/>
        </w:rPr>
        <w:t>56</w:t>
      </w:r>
      <w:r w:rsidRPr="00B431F1">
        <w:rPr>
          <w:lang w:val="en-US"/>
        </w:rPr>
        <w:t>(2): 363-369.</w:t>
      </w:r>
      <w:bookmarkEnd w:id="14"/>
    </w:p>
    <w:p w:rsidR="00FF5AFE" w:rsidRPr="00B431F1" w:rsidRDefault="00FF5AFE" w:rsidP="00013A2F">
      <w:pPr>
        <w:pStyle w:val="EndNoteBibliography"/>
        <w:rPr>
          <w:lang w:val="en-US"/>
        </w:rPr>
      </w:pPr>
      <w:bookmarkStart w:id="15" w:name="_ENREF_11"/>
      <w:r w:rsidRPr="00B431F1">
        <w:rPr>
          <w:lang w:val="en-US"/>
        </w:rPr>
        <w:t xml:space="preserve">Gillberg, C. (2010). "The ESSENCE in child psychiatry: Early Symptomatic Syndromes Eliciting Neurodevelopmental Clinical Examinations." </w:t>
      </w:r>
      <w:r w:rsidRPr="00B431F1">
        <w:rPr>
          <w:u w:val="single"/>
          <w:lang w:val="en-US"/>
        </w:rPr>
        <w:t>Res Dev Disabil</w:t>
      </w:r>
      <w:r w:rsidRPr="00B431F1">
        <w:rPr>
          <w:lang w:val="en-US"/>
        </w:rPr>
        <w:t xml:space="preserve"> </w:t>
      </w:r>
      <w:r w:rsidRPr="00B431F1">
        <w:rPr>
          <w:b/>
          <w:lang w:val="en-US"/>
        </w:rPr>
        <w:t>31</w:t>
      </w:r>
      <w:r w:rsidRPr="00B431F1">
        <w:rPr>
          <w:lang w:val="en-US"/>
        </w:rPr>
        <w:t>(6): 1543-1551.</w:t>
      </w:r>
      <w:bookmarkEnd w:id="15"/>
    </w:p>
    <w:p w:rsidR="00FF5AFE" w:rsidRPr="00B431F1" w:rsidRDefault="00FF5AFE" w:rsidP="00013A2F">
      <w:pPr>
        <w:pStyle w:val="EndNoteBibliography"/>
        <w:rPr>
          <w:lang w:val="en-US"/>
        </w:rPr>
      </w:pPr>
      <w:bookmarkStart w:id="16" w:name="_ENREF_12"/>
      <w:r w:rsidRPr="00B431F1">
        <w:rPr>
          <w:lang w:val="en-US"/>
        </w:rPr>
        <w:t xml:space="preserve">Guedes, D. P. and J. E. R. P. Guedes (2011). </w:t>
      </w:r>
      <w:r w:rsidRPr="00B431F1">
        <w:t xml:space="preserve">"Tradução, adaptação transcultural e propriedades psicométricas do KIDSCREEN-52 para a população brasileira." </w:t>
      </w:r>
      <w:r w:rsidRPr="00B431F1">
        <w:rPr>
          <w:u w:val="single"/>
          <w:lang w:val="en-US"/>
        </w:rPr>
        <w:t>Revista Paulista de Pediatria</w:t>
      </w:r>
      <w:r w:rsidRPr="00B431F1">
        <w:rPr>
          <w:lang w:val="en-US"/>
        </w:rPr>
        <w:t xml:space="preserve"> </w:t>
      </w:r>
      <w:r w:rsidRPr="00B431F1">
        <w:rPr>
          <w:b/>
          <w:lang w:val="en-US"/>
        </w:rPr>
        <w:t>29</w:t>
      </w:r>
      <w:r w:rsidRPr="00B431F1">
        <w:rPr>
          <w:lang w:val="en-US"/>
        </w:rPr>
        <w:t>(3): 364-371.</w:t>
      </w:r>
      <w:bookmarkEnd w:id="16"/>
    </w:p>
    <w:p w:rsidR="00FF5AFE" w:rsidRPr="00B431F1" w:rsidRDefault="00FF5AFE" w:rsidP="00013A2F">
      <w:pPr>
        <w:pStyle w:val="EndNoteBibliography"/>
        <w:rPr>
          <w:lang w:val="en-US"/>
        </w:rPr>
      </w:pPr>
      <w:bookmarkStart w:id="17" w:name="_ENREF_13"/>
      <w:r w:rsidRPr="00B431F1">
        <w:rPr>
          <w:lang w:val="en-US"/>
        </w:rPr>
        <w:t xml:space="preserve">Hamiwka, L. D., C. G. Yu, L. A. Hamiwka, E. M. Sherman, B. Anderson and E. Wirrell (2009). "Are children with epilepsy at greater risk for bullying than their peers?" </w:t>
      </w:r>
      <w:r w:rsidRPr="00B431F1">
        <w:rPr>
          <w:u w:val="single"/>
          <w:lang w:val="en-US"/>
        </w:rPr>
        <w:t>Epilepsy Behav</w:t>
      </w:r>
      <w:r w:rsidRPr="00B431F1">
        <w:rPr>
          <w:lang w:val="en-US"/>
        </w:rPr>
        <w:t xml:space="preserve"> </w:t>
      </w:r>
      <w:r w:rsidRPr="00B431F1">
        <w:rPr>
          <w:b/>
          <w:lang w:val="en-US"/>
        </w:rPr>
        <w:t>15</w:t>
      </w:r>
      <w:r w:rsidRPr="00B431F1">
        <w:rPr>
          <w:lang w:val="en-US"/>
        </w:rPr>
        <w:t>(4): 500-505.</w:t>
      </w:r>
      <w:bookmarkEnd w:id="17"/>
    </w:p>
    <w:p w:rsidR="00FF5AFE" w:rsidRPr="00B431F1" w:rsidRDefault="00FF5AFE" w:rsidP="00013A2F">
      <w:pPr>
        <w:pStyle w:val="EndNoteBibliography"/>
        <w:rPr>
          <w:lang w:val="en-US"/>
        </w:rPr>
      </w:pPr>
      <w:bookmarkStart w:id="18" w:name="_ENREF_14"/>
      <w:r w:rsidRPr="00B431F1">
        <w:rPr>
          <w:lang w:val="en-US"/>
        </w:rPr>
        <w:t xml:space="preserve">Hatch, B., G. Kadlaskar and M. Miller (2023). "Diagnosis and treatment of children and adolescents with autism and ADHD." </w:t>
      </w:r>
      <w:r w:rsidRPr="00B431F1">
        <w:rPr>
          <w:u w:val="single"/>
          <w:lang w:val="en-US"/>
        </w:rPr>
        <w:t>Psychol Sch</w:t>
      </w:r>
      <w:r w:rsidRPr="00B431F1">
        <w:rPr>
          <w:lang w:val="en-US"/>
        </w:rPr>
        <w:t xml:space="preserve"> </w:t>
      </w:r>
      <w:r w:rsidRPr="00B431F1">
        <w:rPr>
          <w:b/>
          <w:lang w:val="en-US"/>
        </w:rPr>
        <w:t>60</w:t>
      </w:r>
      <w:r w:rsidRPr="00B431F1">
        <w:rPr>
          <w:lang w:val="en-US"/>
        </w:rPr>
        <w:t>(2): 295-311.</w:t>
      </w:r>
      <w:bookmarkEnd w:id="18"/>
    </w:p>
    <w:p w:rsidR="00FF5AFE" w:rsidRPr="00B431F1" w:rsidRDefault="00FF5AFE" w:rsidP="00013A2F">
      <w:pPr>
        <w:pStyle w:val="EndNoteBibliography"/>
        <w:rPr>
          <w:lang w:val="en-US"/>
        </w:rPr>
      </w:pPr>
      <w:bookmarkStart w:id="19" w:name="_ENREF_15"/>
      <w:r w:rsidRPr="00B431F1">
        <w:rPr>
          <w:lang w:val="en-US"/>
        </w:rPr>
        <w:t xml:space="preserve">Hennig, T., E. S. Jaya and T. M. Lincoln (2017). "Bullying Mediates Between Attention-Deficit/Hyperactivity Disorder in Childhood and Psychotic Experiences in Early Adolescence." </w:t>
      </w:r>
      <w:r w:rsidRPr="00B431F1">
        <w:rPr>
          <w:u w:val="single"/>
          <w:lang w:val="en-US"/>
        </w:rPr>
        <w:t>Schizophr Bull</w:t>
      </w:r>
      <w:r w:rsidRPr="00B431F1">
        <w:rPr>
          <w:lang w:val="en-US"/>
        </w:rPr>
        <w:t xml:space="preserve"> </w:t>
      </w:r>
      <w:r w:rsidRPr="00B431F1">
        <w:rPr>
          <w:b/>
          <w:lang w:val="en-US"/>
        </w:rPr>
        <w:t>43</w:t>
      </w:r>
      <w:r w:rsidRPr="00B431F1">
        <w:rPr>
          <w:lang w:val="en-US"/>
        </w:rPr>
        <w:t>(5): 1036-1044.</w:t>
      </w:r>
      <w:bookmarkEnd w:id="19"/>
    </w:p>
    <w:p w:rsidR="00FF5AFE" w:rsidRPr="00B431F1" w:rsidRDefault="00FF5AFE" w:rsidP="00013A2F">
      <w:pPr>
        <w:pStyle w:val="EndNoteBibliography"/>
        <w:rPr>
          <w:lang w:val="en-US"/>
        </w:rPr>
      </w:pPr>
      <w:bookmarkStart w:id="20" w:name="_ENREF_16"/>
      <w:r w:rsidRPr="00B431F1">
        <w:rPr>
          <w:lang w:val="en-US"/>
        </w:rPr>
        <w:t xml:space="preserve">Iyanda, A. E. (2022). "Bullying Victimization of Children with Mental, Emotional, and Developmental or Behavioral (MEDB) Disorders in the United States." </w:t>
      </w:r>
      <w:r w:rsidRPr="00B431F1">
        <w:rPr>
          <w:u w:val="single"/>
          <w:lang w:val="en-US"/>
        </w:rPr>
        <w:t>J Child Adolesc Trauma</w:t>
      </w:r>
      <w:r w:rsidRPr="00B431F1">
        <w:rPr>
          <w:lang w:val="en-US"/>
        </w:rPr>
        <w:t xml:space="preserve"> </w:t>
      </w:r>
      <w:r w:rsidRPr="00B431F1">
        <w:rPr>
          <w:b/>
          <w:lang w:val="en-US"/>
        </w:rPr>
        <w:t>15</w:t>
      </w:r>
      <w:r w:rsidRPr="00B431F1">
        <w:rPr>
          <w:lang w:val="en-US"/>
        </w:rPr>
        <w:t>(2): 221-233.</w:t>
      </w:r>
      <w:bookmarkEnd w:id="20"/>
    </w:p>
    <w:p w:rsidR="00FF5AFE" w:rsidRPr="00B431F1" w:rsidRDefault="00FF5AFE" w:rsidP="00013A2F">
      <w:pPr>
        <w:pStyle w:val="EndNoteBibliography"/>
        <w:rPr>
          <w:lang w:val="en-US"/>
        </w:rPr>
      </w:pPr>
      <w:bookmarkStart w:id="21" w:name="_ENREF_17"/>
      <w:r w:rsidRPr="00B431F1">
        <w:rPr>
          <w:lang w:val="en-US"/>
        </w:rPr>
        <w:t xml:space="preserve">Lung, F. W., B. C. Shu, T. L. Chiang and S. J. Lin (2019). "Prevalence of bullying and perceived happiness in adolescents with learning disability, intellectual disability, ADHD, and autism spectrum disorder: In the Taiwan Birth Cohort Pilot Study." </w:t>
      </w:r>
      <w:r w:rsidRPr="00B431F1">
        <w:rPr>
          <w:u w:val="single"/>
          <w:lang w:val="en-US"/>
        </w:rPr>
        <w:t>Medicine (Baltimore)</w:t>
      </w:r>
      <w:r w:rsidRPr="00B431F1">
        <w:rPr>
          <w:lang w:val="en-US"/>
        </w:rPr>
        <w:t xml:space="preserve"> </w:t>
      </w:r>
      <w:r w:rsidRPr="00B431F1">
        <w:rPr>
          <w:b/>
          <w:lang w:val="en-US"/>
        </w:rPr>
        <w:t>98</w:t>
      </w:r>
      <w:r w:rsidRPr="00B431F1">
        <w:rPr>
          <w:lang w:val="en-US"/>
        </w:rPr>
        <w:t>(6): e14483.</w:t>
      </w:r>
      <w:bookmarkEnd w:id="21"/>
    </w:p>
    <w:p w:rsidR="00FF5AFE" w:rsidRPr="00B431F1" w:rsidRDefault="00FF5AFE" w:rsidP="00013A2F">
      <w:pPr>
        <w:pStyle w:val="EndNoteBibliography"/>
      </w:pPr>
      <w:bookmarkStart w:id="22" w:name="_ENREF_18"/>
      <w:r w:rsidRPr="00B431F1">
        <w:rPr>
          <w:lang w:val="en-US"/>
        </w:rPr>
        <w:t xml:space="preserve">Maïano, C., C. L. Normand, M. C. Salvas, G. Moullec and A. Aimé (2016). "Prevalence of School Bullying Among Youth with Autism Spectrum Disorders: A Systematic Review and Meta-Analysis." </w:t>
      </w:r>
      <w:r w:rsidRPr="00B431F1">
        <w:rPr>
          <w:u w:val="single"/>
        </w:rPr>
        <w:t>Autism Res</w:t>
      </w:r>
      <w:r w:rsidRPr="00B431F1">
        <w:t xml:space="preserve"> </w:t>
      </w:r>
      <w:r w:rsidRPr="00B431F1">
        <w:rPr>
          <w:b/>
        </w:rPr>
        <w:t>9</w:t>
      </w:r>
      <w:r w:rsidRPr="00B431F1">
        <w:t>(6): 601-615.</w:t>
      </w:r>
      <w:bookmarkEnd w:id="22"/>
    </w:p>
    <w:p w:rsidR="00FF5AFE" w:rsidRPr="00B431F1" w:rsidRDefault="00FF5AFE" w:rsidP="00013A2F">
      <w:pPr>
        <w:pStyle w:val="EndNoteBibliography"/>
        <w:rPr>
          <w:lang w:val="en-US"/>
        </w:rPr>
      </w:pPr>
      <w:bookmarkStart w:id="23" w:name="_ENREF_19"/>
      <w:r w:rsidRPr="00B431F1">
        <w:t xml:space="preserve">Moreira, R. N., C. E. Alcântara, I. Mota-Veloso, S. A. Marinho, M. L. Ramos-Jorge and F. Oliveira-Ferreira (2012). </w:t>
      </w:r>
      <w:r w:rsidRPr="00B431F1">
        <w:rPr>
          <w:lang w:val="en-US"/>
        </w:rPr>
        <w:t xml:space="preserve">"Does intellectual disability affect the development of dental caries in patients with cerebral palsy?" </w:t>
      </w:r>
      <w:r w:rsidRPr="00B431F1">
        <w:rPr>
          <w:u w:val="single"/>
          <w:lang w:val="en-US"/>
        </w:rPr>
        <w:t>Res Dev Disabil</w:t>
      </w:r>
      <w:r w:rsidRPr="00B431F1">
        <w:rPr>
          <w:lang w:val="en-US"/>
        </w:rPr>
        <w:t xml:space="preserve"> </w:t>
      </w:r>
      <w:r w:rsidRPr="00B431F1">
        <w:rPr>
          <w:b/>
          <w:lang w:val="en-US"/>
        </w:rPr>
        <w:t>33</w:t>
      </w:r>
      <w:r w:rsidRPr="00B431F1">
        <w:rPr>
          <w:lang w:val="en-US"/>
        </w:rPr>
        <w:t>(5): 1503-1507.</w:t>
      </w:r>
      <w:bookmarkEnd w:id="23"/>
    </w:p>
    <w:p w:rsidR="00FF5AFE" w:rsidRPr="00B431F1" w:rsidRDefault="00FF5AFE" w:rsidP="00013A2F">
      <w:pPr>
        <w:pStyle w:val="EndNoteBibliography"/>
      </w:pPr>
      <w:bookmarkStart w:id="24" w:name="_ENREF_20"/>
      <w:r w:rsidRPr="00B431F1">
        <w:rPr>
          <w:lang w:val="en-US"/>
        </w:rPr>
        <w:t xml:space="preserve">Morgan, P. L., G. Farkas, A. D. Woods, Y. Wang, M. M. Hillemeier and Y. Oh (2023). "Factors Predictive of Being Bullies or Victims of Bullies in US Elementary Schools." </w:t>
      </w:r>
      <w:r w:rsidRPr="00B431F1">
        <w:rPr>
          <w:u w:val="single"/>
        </w:rPr>
        <w:t>School Ment Health</w:t>
      </w:r>
      <w:r w:rsidRPr="00B431F1">
        <w:t xml:space="preserve"> </w:t>
      </w:r>
      <w:r w:rsidRPr="00B431F1">
        <w:rPr>
          <w:b/>
        </w:rPr>
        <w:t>15</w:t>
      </w:r>
      <w:r w:rsidRPr="00B431F1">
        <w:t>(2): 566-582.</w:t>
      </w:r>
      <w:bookmarkEnd w:id="24"/>
    </w:p>
    <w:p w:rsidR="00FF5AFE" w:rsidRPr="00B431F1" w:rsidRDefault="00FF5AFE" w:rsidP="00013A2F">
      <w:pPr>
        <w:pStyle w:val="EndNoteBibliography"/>
        <w:rPr>
          <w:lang w:val="en-US"/>
        </w:rPr>
      </w:pPr>
      <w:bookmarkStart w:id="25" w:name="_ENREF_21"/>
      <w:r w:rsidRPr="00B431F1">
        <w:t xml:space="preserve">Mota-Veloso, I., J. Ramos-Jorge, L. R. P. Freitas, F. O. Ferreira, M. L. Ramos-Jorge, S. M. Paiva and R. V. Soares (2021). </w:t>
      </w:r>
      <w:r w:rsidRPr="00B431F1">
        <w:rPr>
          <w:lang w:val="en-US"/>
        </w:rPr>
        <w:t xml:space="preserve">"The prevalence of malocclusion is higher in schoolchildren with signs of hyperactivity." </w:t>
      </w:r>
      <w:r w:rsidRPr="00B431F1">
        <w:rPr>
          <w:u w:val="single"/>
          <w:lang w:val="en-US"/>
        </w:rPr>
        <w:t>Am J Orthod Dentofacial Orthop</w:t>
      </w:r>
      <w:r w:rsidRPr="00B431F1">
        <w:rPr>
          <w:lang w:val="en-US"/>
        </w:rPr>
        <w:t xml:space="preserve"> </w:t>
      </w:r>
      <w:r w:rsidRPr="00B431F1">
        <w:rPr>
          <w:b/>
          <w:lang w:val="en-US"/>
        </w:rPr>
        <w:t>159</w:t>
      </w:r>
      <w:r w:rsidRPr="00B431F1">
        <w:rPr>
          <w:lang w:val="en-US"/>
        </w:rPr>
        <w:t>(5): 653-659.</w:t>
      </w:r>
      <w:bookmarkEnd w:id="25"/>
    </w:p>
    <w:p w:rsidR="00FF5AFE" w:rsidRPr="00B431F1" w:rsidRDefault="00FF5AFE" w:rsidP="00013A2F">
      <w:pPr>
        <w:pStyle w:val="EndNoteBibliography"/>
        <w:rPr>
          <w:lang w:val="en-US"/>
        </w:rPr>
      </w:pPr>
      <w:bookmarkStart w:id="26" w:name="_ENREF_22"/>
      <w:r w:rsidRPr="00B431F1">
        <w:rPr>
          <w:lang w:val="en-US"/>
        </w:rPr>
        <w:t xml:space="preserve">Murray, M. J. (2010). "Attention-deficit/Hyperactivity Disorder in the context of Autism spectrum disorders." </w:t>
      </w:r>
      <w:r w:rsidRPr="00B431F1">
        <w:rPr>
          <w:u w:val="single"/>
          <w:lang w:val="en-US"/>
        </w:rPr>
        <w:t>Curr Psychiatry Rep</w:t>
      </w:r>
      <w:r w:rsidRPr="00B431F1">
        <w:rPr>
          <w:lang w:val="en-US"/>
        </w:rPr>
        <w:t xml:space="preserve"> </w:t>
      </w:r>
      <w:r w:rsidRPr="00B431F1">
        <w:rPr>
          <w:b/>
          <w:lang w:val="en-US"/>
        </w:rPr>
        <w:t>12</w:t>
      </w:r>
      <w:r w:rsidRPr="00B431F1">
        <w:rPr>
          <w:lang w:val="en-US"/>
        </w:rPr>
        <w:t>(5): 382-388.</w:t>
      </w:r>
      <w:bookmarkEnd w:id="26"/>
    </w:p>
    <w:p w:rsidR="00FF5AFE" w:rsidRPr="00B431F1" w:rsidRDefault="00FF5AFE" w:rsidP="00013A2F">
      <w:pPr>
        <w:pStyle w:val="EndNoteBibliography"/>
      </w:pPr>
      <w:bookmarkStart w:id="27" w:name="_ENREF_23"/>
      <w:r w:rsidRPr="00B431F1">
        <w:rPr>
          <w:lang w:val="en-US"/>
        </w:rPr>
        <w:t xml:space="preserve">Park, I., J. Gong, G. L. Lyons, T. Hirota, M. Takahashi, B. Kim, S. Y. Lee, Y. S. Kim, J. Lee and B. L. Leventhal (2020). "Prevalence of and Factors Associated with School Bullying in Students with Autism Spectrum Disorder: A Cross-Cultural Meta-Analysis." </w:t>
      </w:r>
      <w:r w:rsidRPr="00B431F1">
        <w:rPr>
          <w:u w:val="single"/>
        </w:rPr>
        <w:t>Yonsei Med J</w:t>
      </w:r>
      <w:r w:rsidRPr="00B431F1">
        <w:t xml:space="preserve"> </w:t>
      </w:r>
      <w:r w:rsidRPr="00B431F1">
        <w:rPr>
          <w:b/>
        </w:rPr>
        <w:t>61</w:t>
      </w:r>
      <w:r w:rsidRPr="00B431F1">
        <w:t>(11): 909-922.</w:t>
      </w:r>
      <w:bookmarkEnd w:id="27"/>
    </w:p>
    <w:p w:rsidR="00FF5AFE" w:rsidRPr="00B431F1" w:rsidRDefault="00FF5AFE" w:rsidP="00013A2F">
      <w:pPr>
        <w:pStyle w:val="EndNoteBibliography"/>
        <w:rPr>
          <w:lang w:val="en-US"/>
        </w:rPr>
      </w:pPr>
      <w:bookmarkStart w:id="28" w:name="_ENREF_24"/>
      <w:r w:rsidRPr="00B431F1">
        <w:lastRenderedPageBreak/>
        <w:t xml:space="preserve">Ramos, I. T. M., M. Nabarrette, M. Vedovello-Filho, C. C. de Menezes, C. M. M. de and S. A. S. Vedovello (2022). </w:t>
      </w:r>
      <w:r w:rsidRPr="00B431F1">
        <w:rPr>
          <w:lang w:val="en-US"/>
        </w:rPr>
        <w:t xml:space="preserve">"Correlation between malocclusion and history of bullying in vulnerable adolescents." </w:t>
      </w:r>
      <w:r w:rsidRPr="00B431F1">
        <w:rPr>
          <w:u w:val="single"/>
          <w:lang w:val="en-US"/>
        </w:rPr>
        <w:t>Angle Orthod</w:t>
      </w:r>
      <w:r w:rsidRPr="00B431F1">
        <w:rPr>
          <w:lang w:val="en-US"/>
        </w:rPr>
        <w:t xml:space="preserve"> </w:t>
      </w:r>
      <w:r w:rsidRPr="00B431F1">
        <w:rPr>
          <w:b/>
          <w:lang w:val="en-US"/>
        </w:rPr>
        <w:t>92</w:t>
      </w:r>
      <w:r w:rsidRPr="00B431F1">
        <w:rPr>
          <w:lang w:val="en-US"/>
        </w:rPr>
        <w:t>(5): 677-682.</w:t>
      </w:r>
      <w:bookmarkEnd w:id="28"/>
    </w:p>
    <w:p w:rsidR="00FF5AFE" w:rsidRPr="00B431F1" w:rsidRDefault="00FF5AFE" w:rsidP="00013A2F">
      <w:pPr>
        <w:pStyle w:val="EndNoteBibliography"/>
      </w:pPr>
      <w:bookmarkStart w:id="29" w:name="_ENREF_25"/>
      <w:r w:rsidRPr="00B431F1">
        <w:rPr>
          <w:lang w:val="en-US"/>
        </w:rPr>
        <w:t xml:space="preserve">Rizeq, J., M. Kennedy, J. Kreppner, B. Maughan and E. Sonuga-Barke (2022). "Understanding the prospective associations between neuro-developmental problems, bullying victimization, and mental health: Lessons from a longitudinal study of institutional deprivation." </w:t>
      </w:r>
      <w:r w:rsidRPr="00B431F1">
        <w:rPr>
          <w:u w:val="single"/>
        </w:rPr>
        <w:t>Dev Psychopathol</w:t>
      </w:r>
      <w:r w:rsidRPr="00B431F1">
        <w:t>: 1-10.</w:t>
      </w:r>
      <w:bookmarkEnd w:id="29"/>
    </w:p>
    <w:p w:rsidR="00FF5AFE" w:rsidRPr="00B431F1" w:rsidRDefault="00FF5AFE" w:rsidP="00013A2F">
      <w:pPr>
        <w:pStyle w:val="EndNoteBibliography"/>
        <w:rPr>
          <w:lang w:val="en-US"/>
        </w:rPr>
      </w:pPr>
      <w:bookmarkStart w:id="30" w:name="_ENREF_26"/>
      <w:r w:rsidRPr="00B431F1">
        <w:t xml:space="preserve">Santos, P. S., M. E. Evangelista, G. P. Brancher, J. da Silva Moro, A. F. Borgatto, C. M. Santana, M. Bolan and M. Cardoso (2023). </w:t>
      </w:r>
      <w:r w:rsidRPr="00B431F1">
        <w:rPr>
          <w:lang w:val="en-US"/>
        </w:rPr>
        <w:t xml:space="preserve">"Pathways between verbal bullying and oral conditions among school children." </w:t>
      </w:r>
      <w:r w:rsidRPr="00B431F1">
        <w:rPr>
          <w:u w:val="single"/>
          <w:lang w:val="en-US"/>
        </w:rPr>
        <w:t>Eur Arch Paediatr Dent</w:t>
      </w:r>
      <w:r w:rsidRPr="00B431F1">
        <w:rPr>
          <w:lang w:val="en-US"/>
        </w:rPr>
        <w:t xml:space="preserve"> </w:t>
      </w:r>
      <w:r w:rsidRPr="00B431F1">
        <w:rPr>
          <w:b/>
          <w:lang w:val="en-US"/>
        </w:rPr>
        <w:t>24</w:t>
      </w:r>
      <w:r w:rsidRPr="00B431F1">
        <w:rPr>
          <w:lang w:val="en-US"/>
        </w:rPr>
        <w:t>(4): 499-505.</w:t>
      </w:r>
      <w:bookmarkEnd w:id="30"/>
    </w:p>
    <w:p w:rsidR="00FF5AFE" w:rsidRPr="00B431F1" w:rsidRDefault="00FF5AFE" w:rsidP="00013A2F">
      <w:pPr>
        <w:pStyle w:val="EndNoteBibliography"/>
        <w:rPr>
          <w:lang w:val="en-US"/>
        </w:rPr>
      </w:pPr>
      <w:bookmarkStart w:id="31" w:name="_ENREF_27"/>
      <w:r w:rsidRPr="00B431F1">
        <w:rPr>
          <w:lang w:val="en-US"/>
        </w:rPr>
        <w:t xml:space="preserve">Seehra, J., P. S. Fleming, T. Newton and A. T. DiBiase (2011). "Bullying in orthodontic patients and its relationship to malocclusion,self-esteem and oral health-related quality of life." </w:t>
      </w:r>
      <w:r w:rsidRPr="00B431F1">
        <w:rPr>
          <w:u w:val="single"/>
          <w:lang w:val="en-US"/>
        </w:rPr>
        <w:t>J Orthod</w:t>
      </w:r>
      <w:r w:rsidRPr="00B431F1">
        <w:rPr>
          <w:lang w:val="en-US"/>
        </w:rPr>
        <w:t xml:space="preserve"> </w:t>
      </w:r>
      <w:r w:rsidRPr="00B431F1">
        <w:rPr>
          <w:b/>
          <w:lang w:val="en-US"/>
        </w:rPr>
        <w:t>38</w:t>
      </w:r>
      <w:r w:rsidRPr="00B431F1">
        <w:rPr>
          <w:lang w:val="en-US"/>
        </w:rPr>
        <w:t>(4): 247-256; quiz 294.</w:t>
      </w:r>
      <w:bookmarkEnd w:id="31"/>
    </w:p>
    <w:p w:rsidR="00FF5AFE" w:rsidRPr="00B431F1" w:rsidRDefault="00FF5AFE" w:rsidP="00013A2F">
      <w:pPr>
        <w:pStyle w:val="EndNoteBibliography"/>
        <w:rPr>
          <w:lang w:val="en-US"/>
        </w:rPr>
      </w:pPr>
      <w:bookmarkStart w:id="32" w:name="_ENREF_28"/>
      <w:r w:rsidRPr="00B431F1">
        <w:rPr>
          <w:lang w:val="en-US"/>
        </w:rPr>
        <w:t xml:space="preserve">Törn, P., E. Pettersson, P. Lichtenstein, H. Anckarsäter, S. Lundström, C. Hellner Gumpert, H. Larsson, L. Kollberg, N. Långström and L. Halldner (2015). "Childhood neurodevelopmental problems and adolescent bully victimization: population-based, prospective twin study in Sweden." </w:t>
      </w:r>
      <w:r w:rsidRPr="00B431F1">
        <w:rPr>
          <w:u w:val="single"/>
          <w:lang w:val="en-US"/>
        </w:rPr>
        <w:t>Eur Child Adolesc Psychiatry</w:t>
      </w:r>
      <w:r w:rsidRPr="00B431F1">
        <w:rPr>
          <w:lang w:val="en-US"/>
        </w:rPr>
        <w:t xml:space="preserve"> </w:t>
      </w:r>
      <w:r w:rsidRPr="00B431F1">
        <w:rPr>
          <w:b/>
          <w:lang w:val="en-US"/>
        </w:rPr>
        <w:t>24</w:t>
      </w:r>
      <w:r w:rsidRPr="00B431F1">
        <w:rPr>
          <w:lang w:val="en-US"/>
        </w:rPr>
        <w:t>(9): 1049-1059.</w:t>
      </w:r>
      <w:bookmarkEnd w:id="32"/>
    </w:p>
    <w:p w:rsidR="00FF5AFE" w:rsidRPr="00B431F1" w:rsidRDefault="00FF5AFE" w:rsidP="00013A2F">
      <w:pPr>
        <w:pStyle w:val="EndNoteBibliography"/>
        <w:rPr>
          <w:lang w:val="en-US"/>
        </w:rPr>
      </w:pPr>
      <w:bookmarkStart w:id="33" w:name="_ENREF_29"/>
      <w:r w:rsidRPr="00B431F1">
        <w:rPr>
          <w:lang w:val="en-US"/>
        </w:rPr>
        <w:t xml:space="preserve">Whitney, D. G., M. D. Peterson and S. A. Warschausky (2019). "Mental health disorders, participation, and bullying in children with cerebral palsy." </w:t>
      </w:r>
      <w:r w:rsidRPr="00B431F1">
        <w:rPr>
          <w:u w:val="single"/>
          <w:lang w:val="en-US"/>
        </w:rPr>
        <w:t>Dev Med Child Neurol</w:t>
      </w:r>
      <w:r w:rsidRPr="00B431F1">
        <w:rPr>
          <w:lang w:val="en-US"/>
        </w:rPr>
        <w:t xml:space="preserve"> </w:t>
      </w:r>
      <w:r w:rsidRPr="00B431F1">
        <w:rPr>
          <w:b/>
          <w:lang w:val="en-US"/>
        </w:rPr>
        <w:t>61</w:t>
      </w:r>
      <w:r w:rsidRPr="00B431F1">
        <w:rPr>
          <w:lang w:val="en-US"/>
        </w:rPr>
        <w:t>(8): 937-942.</w:t>
      </w:r>
      <w:bookmarkEnd w:id="33"/>
    </w:p>
    <w:p w:rsidR="00FF5AFE" w:rsidRPr="00B431F1" w:rsidRDefault="00FF5AFE" w:rsidP="00013A2F">
      <w:pPr>
        <w:pStyle w:val="EndNoteBibliography"/>
      </w:pPr>
      <w:bookmarkStart w:id="34" w:name="_ENREF_30"/>
      <w:r w:rsidRPr="00B431F1">
        <w:rPr>
          <w:lang w:val="en-US"/>
        </w:rPr>
        <w:t xml:space="preserve">Zhou, N., H. M. Wong, Y. F. Wen and C. McGrath (2017). "Oral health status of children and adolescents with intellectual disabilities: a systematic review and meta-analysis." </w:t>
      </w:r>
      <w:r w:rsidRPr="00B431F1">
        <w:rPr>
          <w:u w:val="single"/>
        </w:rPr>
        <w:t>Dev Med Child Neurol</w:t>
      </w:r>
      <w:r w:rsidRPr="00B431F1">
        <w:t xml:space="preserve"> </w:t>
      </w:r>
      <w:r w:rsidRPr="00B431F1">
        <w:rPr>
          <w:b/>
        </w:rPr>
        <w:t>59</w:t>
      </w:r>
      <w:r w:rsidRPr="00B431F1">
        <w:t>(10): 1019-1026.</w:t>
      </w:r>
      <w:bookmarkEnd w:id="34"/>
    </w:p>
    <w:p w:rsidR="00FF5AFE" w:rsidRDefault="00FF5AFE" w:rsidP="00013A2F">
      <w:pPr>
        <w:spacing w:line="480" w:lineRule="auto"/>
        <w:jc w:val="both"/>
        <w:rPr>
          <w:szCs w:val="24"/>
        </w:rPr>
      </w:pPr>
    </w:p>
    <w:p w:rsidR="00FF5AFE" w:rsidRPr="00C04AB1" w:rsidRDefault="00FF5AFE" w:rsidP="00013A2F">
      <w:pPr>
        <w:spacing w:line="480" w:lineRule="auto"/>
        <w:jc w:val="both"/>
        <w:rPr>
          <w:szCs w:val="24"/>
        </w:rPr>
      </w:pPr>
    </w:p>
    <w:p w:rsidR="005E71D3" w:rsidRDefault="005E71D3"/>
    <w:sectPr w:rsidR="005E71D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371" w:rsidRDefault="00623371">
      <w:r>
        <w:separator/>
      </w:r>
    </w:p>
  </w:endnote>
  <w:endnote w:type="continuationSeparator" w:id="0">
    <w:p w:rsidR="00623371" w:rsidRDefault="0062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2F" w:rsidRDefault="0001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2F" w:rsidRDefault="00013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2F" w:rsidRDefault="0001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371" w:rsidRDefault="00623371">
      <w:r>
        <w:separator/>
      </w:r>
    </w:p>
  </w:footnote>
  <w:footnote w:type="continuationSeparator" w:id="0">
    <w:p w:rsidR="00623371" w:rsidRDefault="0062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2F" w:rsidRDefault="00623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518954" o:spid="_x0000_s2050" type="#_x0000_t136" style="position:absolute;left:0;text-align:left;margin-left:0;margin-top:0;width:538.65pt;height:60.7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2F" w:rsidRDefault="00623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518955" o:spid="_x0000_s2051" type="#_x0000_t136" style="position:absolute;left:0;text-align:left;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2F" w:rsidRDefault="006233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518953" o:spid="_x0000_s2049" type="#_x0000_t136" style="position:absolute;left:0;text-align:left;margin-left:0;margin-top:0;width:538.65pt;height:60.7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834"/>
    <w:multiLevelType w:val="multilevel"/>
    <w:tmpl w:val="A9F0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3AE9"/>
    <w:multiLevelType w:val="multilevel"/>
    <w:tmpl w:val="8B62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127A8"/>
    <w:multiLevelType w:val="hybridMultilevel"/>
    <w:tmpl w:val="18BE8B00"/>
    <w:lvl w:ilvl="0" w:tplc="E10C2C8C">
      <w:start w:val="1"/>
      <w:numFmt w:val="lowerLetter"/>
      <w:lvlText w:val="%1)"/>
      <w:lvlJc w:val="left"/>
      <w:pPr>
        <w:ind w:left="720" w:hanging="360"/>
      </w:pPr>
    </w:lvl>
    <w:lvl w:ilvl="1" w:tplc="6F6E2EE4" w:tentative="1">
      <w:start w:val="1"/>
      <w:numFmt w:val="lowerLetter"/>
      <w:lvlText w:val="%2."/>
      <w:lvlJc w:val="left"/>
      <w:pPr>
        <w:ind w:left="1440" w:hanging="360"/>
      </w:pPr>
    </w:lvl>
    <w:lvl w:ilvl="2" w:tplc="5C42BBB8" w:tentative="1">
      <w:start w:val="1"/>
      <w:numFmt w:val="lowerRoman"/>
      <w:lvlText w:val="%3."/>
      <w:lvlJc w:val="right"/>
      <w:pPr>
        <w:ind w:left="2160" w:hanging="180"/>
      </w:pPr>
    </w:lvl>
    <w:lvl w:ilvl="3" w:tplc="3858DDF2" w:tentative="1">
      <w:start w:val="1"/>
      <w:numFmt w:val="decimal"/>
      <w:lvlText w:val="%4."/>
      <w:lvlJc w:val="left"/>
      <w:pPr>
        <w:ind w:left="2880" w:hanging="360"/>
      </w:pPr>
    </w:lvl>
    <w:lvl w:ilvl="4" w:tplc="42924F16" w:tentative="1">
      <w:start w:val="1"/>
      <w:numFmt w:val="lowerLetter"/>
      <w:lvlText w:val="%5."/>
      <w:lvlJc w:val="left"/>
      <w:pPr>
        <w:ind w:left="3600" w:hanging="360"/>
      </w:pPr>
    </w:lvl>
    <w:lvl w:ilvl="5" w:tplc="8CDC5490" w:tentative="1">
      <w:start w:val="1"/>
      <w:numFmt w:val="lowerRoman"/>
      <w:lvlText w:val="%6."/>
      <w:lvlJc w:val="right"/>
      <w:pPr>
        <w:ind w:left="4320" w:hanging="180"/>
      </w:pPr>
    </w:lvl>
    <w:lvl w:ilvl="6" w:tplc="73363FF8" w:tentative="1">
      <w:start w:val="1"/>
      <w:numFmt w:val="decimal"/>
      <w:lvlText w:val="%7."/>
      <w:lvlJc w:val="left"/>
      <w:pPr>
        <w:ind w:left="5040" w:hanging="360"/>
      </w:pPr>
    </w:lvl>
    <w:lvl w:ilvl="7" w:tplc="5C467AB6" w:tentative="1">
      <w:start w:val="1"/>
      <w:numFmt w:val="lowerLetter"/>
      <w:lvlText w:val="%8."/>
      <w:lvlJc w:val="left"/>
      <w:pPr>
        <w:ind w:left="5760" w:hanging="360"/>
      </w:pPr>
    </w:lvl>
    <w:lvl w:ilvl="8" w:tplc="1A4C49DA" w:tentative="1">
      <w:start w:val="1"/>
      <w:numFmt w:val="lowerRoman"/>
      <w:lvlText w:val="%9."/>
      <w:lvlJc w:val="right"/>
      <w:pPr>
        <w:ind w:left="6480" w:hanging="180"/>
      </w:pPr>
    </w:lvl>
  </w:abstractNum>
  <w:abstractNum w:abstractNumId="3" w15:restartNumberingAfterBreak="0">
    <w:nsid w:val="06EC2D18"/>
    <w:multiLevelType w:val="multilevel"/>
    <w:tmpl w:val="5B56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9C7"/>
    <w:multiLevelType w:val="multilevel"/>
    <w:tmpl w:val="E35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A5A1C"/>
    <w:multiLevelType w:val="multilevel"/>
    <w:tmpl w:val="390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928E5"/>
    <w:multiLevelType w:val="multilevel"/>
    <w:tmpl w:val="3BA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7592C"/>
    <w:multiLevelType w:val="multilevel"/>
    <w:tmpl w:val="55A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D3A84"/>
    <w:multiLevelType w:val="multilevel"/>
    <w:tmpl w:val="1D7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D1911"/>
    <w:multiLevelType w:val="multilevel"/>
    <w:tmpl w:val="887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61746"/>
    <w:multiLevelType w:val="multilevel"/>
    <w:tmpl w:val="0CC4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A4DFC"/>
    <w:multiLevelType w:val="multilevel"/>
    <w:tmpl w:val="F66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1343E"/>
    <w:multiLevelType w:val="multilevel"/>
    <w:tmpl w:val="DB9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0362D"/>
    <w:multiLevelType w:val="multilevel"/>
    <w:tmpl w:val="38C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26327"/>
    <w:multiLevelType w:val="multilevel"/>
    <w:tmpl w:val="590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74D34"/>
    <w:multiLevelType w:val="multilevel"/>
    <w:tmpl w:val="F2F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20009"/>
    <w:multiLevelType w:val="multilevel"/>
    <w:tmpl w:val="32B0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73609"/>
    <w:multiLevelType w:val="multilevel"/>
    <w:tmpl w:val="4A1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A499E"/>
    <w:multiLevelType w:val="multilevel"/>
    <w:tmpl w:val="0A0A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F194E"/>
    <w:multiLevelType w:val="multilevel"/>
    <w:tmpl w:val="F3E4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BB056E"/>
    <w:multiLevelType w:val="multilevel"/>
    <w:tmpl w:val="ECF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90D8A"/>
    <w:multiLevelType w:val="multilevel"/>
    <w:tmpl w:val="4C2C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51315"/>
    <w:multiLevelType w:val="multilevel"/>
    <w:tmpl w:val="5BF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932A1"/>
    <w:multiLevelType w:val="multilevel"/>
    <w:tmpl w:val="18EC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B4009F"/>
    <w:multiLevelType w:val="multilevel"/>
    <w:tmpl w:val="137C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00AC8"/>
    <w:multiLevelType w:val="multilevel"/>
    <w:tmpl w:val="B9C6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42123"/>
    <w:multiLevelType w:val="multilevel"/>
    <w:tmpl w:val="FD5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5035D"/>
    <w:multiLevelType w:val="multilevel"/>
    <w:tmpl w:val="85C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C51B7"/>
    <w:multiLevelType w:val="multilevel"/>
    <w:tmpl w:val="4A3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E0166"/>
    <w:multiLevelType w:val="multilevel"/>
    <w:tmpl w:val="CB7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1027A"/>
    <w:multiLevelType w:val="multilevel"/>
    <w:tmpl w:val="413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5D1400"/>
    <w:multiLevelType w:val="multilevel"/>
    <w:tmpl w:val="008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33651"/>
    <w:multiLevelType w:val="multilevel"/>
    <w:tmpl w:val="0D7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304A89"/>
    <w:multiLevelType w:val="multilevel"/>
    <w:tmpl w:val="8138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634E9"/>
    <w:multiLevelType w:val="hybridMultilevel"/>
    <w:tmpl w:val="128E26DA"/>
    <w:lvl w:ilvl="0" w:tplc="D25A7E24">
      <w:start w:val="1"/>
      <w:numFmt w:val="bullet"/>
      <w:lvlText w:val=""/>
      <w:lvlJc w:val="left"/>
      <w:pPr>
        <w:ind w:left="360" w:hanging="360"/>
      </w:pPr>
      <w:rPr>
        <w:rFonts w:ascii="Symbol" w:hAnsi="Symbol" w:hint="default"/>
      </w:rPr>
    </w:lvl>
    <w:lvl w:ilvl="1" w:tplc="A37EB208" w:tentative="1">
      <w:start w:val="1"/>
      <w:numFmt w:val="bullet"/>
      <w:lvlText w:val="o"/>
      <w:lvlJc w:val="left"/>
      <w:pPr>
        <w:ind w:left="1080" w:hanging="360"/>
      </w:pPr>
      <w:rPr>
        <w:rFonts w:ascii="Courier New" w:hAnsi="Courier New" w:cs="Courier New" w:hint="default"/>
      </w:rPr>
    </w:lvl>
    <w:lvl w:ilvl="2" w:tplc="86C49D8A" w:tentative="1">
      <w:start w:val="1"/>
      <w:numFmt w:val="bullet"/>
      <w:lvlText w:val=""/>
      <w:lvlJc w:val="left"/>
      <w:pPr>
        <w:ind w:left="1800" w:hanging="360"/>
      </w:pPr>
      <w:rPr>
        <w:rFonts w:ascii="Wingdings" w:hAnsi="Wingdings" w:hint="default"/>
      </w:rPr>
    </w:lvl>
    <w:lvl w:ilvl="3" w:tplc="1DFA5DD8" w:tentative="1">
      <w:start w:val="1"/>
      <w:numFmt w:val="bullet"/>
      <w:lvlText w:val=""/>
      <w:lvlJc w:val="left"/>
      <w:pPr>
        <w:ind w:left="2520" w:hanging="360"/>
      </w:pPr>
      <w:rPr>
        <w:rFonts w:ascii="Symbol" w:hAnsi="Symbol" w:hint="default"/>
      </w:rPr>
    </w:lvl>
    <w:lvl w:ilvl="4" w:tplc="B2560614" w:tentative="1">
      <w:start w:val="1"/>
      <w:numFmt w:val="bullet"/>
      <w:lvlText w:val="o"/>
      <w:lvlJc w:val="left"/>
      <w:pPr>
        <w:ind w:left="3240" w:hanging="360"/>
      </w:pPr>
      <w:rPr>
        <w:rFonts w:ascii="Courier New" w:hAnsi="Courier New" w:cs="Courier New" w:hint="default"/>
      </w:rPr>
    </w:lvl>
    <w:lvl w:ilvl="5" w:tplc="981A8B20" w:tentative="1">
      <w:start w:val="1"/>
      <w:numFmt w:val="bullet"/>
      <w:lvlText w:val=""/>
      <w:lvlJc w:val="left"/>
      <w:pPr>
        <w:ind w:left="3960" w:hanging="360"/>
      </w:pPr>
      <w:rPr>
        <w:rFonts w:ascii="Wingdings" w:hAnsi="Wingdings" w:hint="default"/>
      </w:rPr>
    </w:lvl>
    <w:lvl w:ilvl="6" w:tplc="E216FE6C" w:tentative="1">
      <w:start w:val="1"/>
      <w:numFmt w:val="bullet"/>
      <w:lvlText w:val=""/>
      <w:lvlJc w:val="left"/>
      <w:pPr>
        <w:ind w:left="4680" w:hanging="360"/>
      </w:pPr>
      <w:rPr>
        <w:rFonts w:ascii="Symbol" w:hAnsi="Symbol" w:hint="default"/>
      </w:rPr>
    </w:lvl>
    <w:lvl w:ilvl="7" w:tplc="3536B5C8" w:tentative="1">
      <w:start w:val="1"/>
      <w:numFmt w:val="bullet"/>
      <w:lvlText w:val="o"/>
      <w:lvlJc w:val="left"/>
      <w:pPr>
        <w:ind w:left="5400" w:hanging="360"/>
      </w:pPr>
      <w:rPr>
        <w:rFonts w:ascii="Courier New" w:hAnsi="Courier New" w:cs="Courier New" w:hint="default"/>
      </w:rPr>
    </w:lvl>
    <w:lvl w:ilvl="8" w:tplc="326CE686" w:tentative="1">
      <w:start w:val="1"/>
      <w:numFmt w:val="bullet"/>
      <w:lvlText w:val=""/>
      <w:lvlJc w:val="left"/>
      <w:pPr>
        <w:ind w:left="6120" w:hanging="360"/>
      </w:pPr>
      <w:rPr>
        <w:rFonts w:ascii="Wingdings" w:hAnsi="Wingdings" w:hint="default"/>
      </w:rPr>
    </w:lvl>
  </w:abstractNum>
  <w:abstractNum w:abstractNumId="35" w15:restartNumberingAfterBreak="0">
    <w:nsid w:val="5E8D1078"/>
    <w:multiLevelType w:val="multilevel"/>
    <w:tmpl w:val="092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A46FE8"/>
    <w:multiLevelType w:val="hybridMultilevel"/>
    <w:tmpl w:val="E8DE16CA"/>
    <w:lvl w:ilvl="0" w:tplc="01C42AC4">
      <w:start w:val="1"/>
      <w:numFmt w:val="bullet"/>
      <w:lvlText w:val=""/>
      <w:lvlJc w:val="left"/>
      <w:pPr>
        <w:ind w:left="360" w:hanging="360"/>
      </w:pPr>
      <w:rPr>
        <w:rFonts w:ascii="Symbol" w:hAnsi="Symbol" w:hint="default"/>
      </w:rPr>
    </w:lvl>
    <w:lvl w:ilvl="1" w:tplc="11428D58" w:tentative="1">
      <w:start w:val="1"/>
      <w:numFmt w:val="bullet"/>
      <w:lvlText w:val="o"/>
      <w:lvlJc w:val="left"/>
      <w:pPr>
        <w:ind w:left="1080" w:hanging="360"/>
      </w:pPr>
      <w:rPr>
        <w:rFonts w:ascii="Courier New" w:hAnsi="Courier New" w:cs="Courier New" w:hint="default"/>
      </w:rPr>
    </w:lvl>
    <w:lvl w:ilvl="2" w:tplc="F6D030CA" w:tentative="1">
      <w:start w:val="1"/>
      <w:numFmt w:val="bullet"/>
      <w:lvlText w:val=""/>
      <w:lvlJc w:val="left"/>
      <w:pPr>
        <w:ind w:left="1800" w:hanging="360"/>
      </w:pPr>
      <w:rPr>
        <w:rFonts w:ascii="Wingdings" w:hAnsi="Wingdings" w:hint="default"/>
      </w:rPr>
    </w:lvl>
    <w:lvl w:ilvl="3" w:tplc="2346BCB4" w:tentative="1">
      <w:start w:val="1"/>
      <w:numFmt w:val="bullet"/>
      <w:lvlText w:val=""/>
      <w:lvlJc w:val="left"/>
      <w:pPr>
        <w:ind w:left="2520" w:hanging="360"/>
      </w:pPr>
      <w:rPr>
        <w:rFonts w:ascii="Symbol" w:hAnsi="Symbol" w:hint="default"/>
      </w:rPr>
    </w:lvl>
    <w:lvl w:ilvl="4" w:tplc="E952AB04" w:tentative="1">
      <w:start w:val="1"/>
      <w:numFmt w:val="bullet"/>
      <w:lvlText w:val="o"/>
      <w:lvlJc w:val="left"/>
      <w:pPr>
        <w:ind w:left="3240" w:hanging="360"/>
      </w:pPr>
      <w:rPr>
        <w:rFonts w:ascii="Courier New" w:hAnsi="Courier New" w:cs="Courier New" w:hint="default"/>
      </w:rPr>
    </w:lvl>
    <w:lvl w:ilvl="5" w:tplc="528C3C3C" w:tentative="1">
      <w:start w:val="1"/>
      <w:numFmt w:val="bullet"/>
      <w:lvlText w:val=""/>
      <w:lvlJc w:val="left"/>
      <w:pPr>
        <w:ind w:left="3960" w:hanging="360"/>
      </w:pPr>
      <w:rPr>
        <w:rFonts w:ascii="Wingdings" w:hAnsi="Wingdings" w:hint="default"/>
      </w:rPr>
    </w:lvl>
    <w:lvl w:ilvl="6" w:tplc="3042D3A6" w:tentative="1">
      <w:start w:val="1"/>
      <w:numFmt w:val="bullet"/>
      <w:lvlText w:val=""/>
      <w:lvlJc w:val="left"/>
      <w:pPr>
        <w:ind w:left="4680" w:hanging="360"/>
      </w:pPr>
      <w:rPr>
        <w:rFonts w:ascii="Symbol" w:hAnsi="Symbol" w:hint="default"/>
      </w:rPr>
    </w:lvl>
    <w:lvl w:ilvl="7" w:tplc="20E42B46" w:tentative="1">
      <w:start w:val="1"/>
      <w:numFmt w:val="bullet"/>
      <w:lvlText w:val="o"/>
      <w:lvlJc w:val="left"/>
      <w:pPr>
        <w:ind w:left="5400" w:hanging="360"/>
      </w:pPr>
      <w:rPr>
        <w:rFonts w:ascii="Courier New" w:hAnsi="Courier New" w:cs="Courier New" w:hint="default"/>
      </w:rPr>
    </w:lvl>
    <w:lvl w:ilvl="8" w:tplc="92A8B23A" w:tentative="1">
      <w:start w:val="1"/>
      <w:numFmt w:val="bullet"/>
      <w:lvlText w:val=""/>
      <w:lvlJc w:val="left"/>
      <w:pPr>
        <w:ind w:left="6120" w:hanging="360"/>
      </w:pPr>
      <w:rPr>
        <w:rFonts w:ascii="Wingdings" w:hAnsi="Wingdings" w:hint="default"/>
      </w:rPr>
    </w:lvl>
  </w:abstractNum>
  <w:abstractNum w:abstractNumId="37" w15:restartNumberingAfterBreak="0">
    <w:nsid w:val="611660E4"/>
    <w:multiLevelType w:val="multilevel"/>
    <w:tmpl w:val="A95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15F73"/>
    <w:multiLevelType w:val="multilevel"/>
    <w:tmpl w:val="1BD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8D755A"/>
    <w:multiLevelType w:val="multilevel"/>
    <w:tmpl w:val="9112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794034"/>
    <w:multiLevelType w:val="multilevel"/>
    <w:tmpl w:val="7ED6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20C5B"/>
    <w:multiLevelType w:val="multilevel"/>
    <w:tmpl w:val="5102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81104"/>
    <w:multiLevelType w:val="multilevel"/>
    <w:tmpl w:val="052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7E"/>
    <w:multiLevelType w:val="multilevel"/>
    <w:tmpl w:val="B590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2F4BF6"/>
    <w:multiLevelType w:val="multilevel"/>
    <w:tmpl w:val="DAFA6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2A7C67"/>
    <w:multiLevelType w:val="multilevel"/>
    <w:tmpl w:val="BFB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F65002"/>
    <w:multiLevelType w:val="multilevel"/>
    <w:tmpl w:val="5AB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F2AF2"/>
    <w:multiLevelType w:val="multilevel"/>
    <w:tmpl w:val="9A6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651E07"/>
    <w:multiLevelType w:val="multilevel"/>
    <w:tmpl w:val="5B9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37241"/>
    <w:multiLevelType w:val="multilevel"/>
    <w:tmpl w:val="D0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34"/>
  </w:num>
  <w:num w:numId="4">
    <w:abstractNumId w:val="19"/>
  </w:num>
  <w:num w:numId="5">
    <w:abstractNumId w:val="11"/>
  </w:num>
  <w:num w:numId="6">
    <w:abstractNumId w:val="44"/>
  </w:num>
  <w:num w:numId="7">
    <w:abstractNumId w:val="3"/>
  </w:num>
  <w:num w:numId="8">
    <w:abstractNumId w:val="49"/>
  </w:num>
  <w:num w:numId="9">
    <w:abstractNumId w:val="6"/>
  </w:num>
  <w:num w:numId="10">
    <w:abstractNumId w:val="39"/>
  </w:num>
  <w:num w:numId="11">
    <w:abstractNumId w:val="43"/>
  </w:num>
  <w:num w:numId="12">
    <w:abstractNumId w:val="15"/>
  </w:num>
  <w:num w:numId="13">
    <w:abstractNumId w:val="37"/>
  </w:num>
  <w:num w:numId="14">
    <w:abstractNumId w:val="46"/>
  </w:num>
  <w:num w:numId="15">
    <w:abstractNumId w:val="9"/>
  </w:num>
  <w:num w:numId="16">
    <w:abstractNumId w:val="16"/>
  </w:num>
  <w:num w:numId="17">
    <w:abstractNumId w:val="14"/>
  </w:num>
  <w:num w:numId="18">
    <w:abstractNumId w:val="29"/>
  </w:num>
  <w:num w:numId="19">
    <w:abstractNumId w:val="25"/>
  </w:num>
  <w:num w:numId="20">
    <w:abstractNumId w:val="30"/>
  </w:num>
  <w:num w:numId="21">
    <w:abstractNumId w:val="5"/>
  </w:num>
  <w:num w:numId="22">
    <w:abstractNumId w:val="8"/>
  </w:num>
  <w:num w:numId="23">
    <w:abstractNumId w:val="45"/>
  </w:num>
  <w:num w:numId="24">
    <w:abstractNumId w:val="21"/>
  </w:num>
  <w:num w:numId="25">
    <w:abstractNumId w:val="18"/>
  </w:num>
  <w:num w:numId="26">
    <w:abstractNumId w:val="35"/>
  </w:num>
  <w:num w:numId="27">
    <w:abstractNumId w:val="23"/>
  </w:num>
  <w:num w:numId="28">
    <w:abstractNumId w:val="1"/>
  </w:num>
  <w:num w:numId="29">
    <w:abstractNumId w:val="47"/>
  </w:num>
  <w:num w:numId="30">
    <w:abstractNumId w:val="31"/>
  </w:num>
  <w:num w:numId="31">
    <w:abstractNumId w:val="33"/>
  </w:num>
  <w:num w:numId="32">
    <w:abstractNumId w:val="38"/>
  </w:num>
  <w:num w:numId="33">
    <w:abstractNumId w:val="4"/>
  </w:num>
  <w:num w:numId="34">
    <w:abstractNumId w:val="26"/>
  </w:num>
  <w:num w:numId="35">
    <w:abstractNumId w:val="12"/>
  </w:num>
  <w:num w:numId="36">
    <w:abstractNumId w:val="0"/>
  </w:num>
  <w:num w:numId="37">
    <w:abstractNumId w:val="48"/>
  </w:num>
  <w:num w:numId="38">
    <w:abstractNumId w:val="41"/>
  </w:num>
  <w:num w:numId="39">
    <w:abstractNumId w:val="42"/>
  </w:num>
  <w:num w:numId="40">
    <w:abstractNumId w:val="20"/>
  </w:num>
  <w:num w:numId="41">
    <w:abstractNumId w:val="22"/>
  </w:num>
  <w:num w:numId="42">
    <w:abstractNumId w:val="27"/>
  </w:num>
  <w:num w:numId="43">
    <w:abstractNumId w:val="13"/>
  </w:num>
  <w:num w:numId="44">
    <w:abstractNumId w:val="7"/>
  </w:num>
  <w:num w:numId="45">
    <w:abstractNumId w:val="40"/>
  </w:num>
  <w:num w:numId="46">
    <w:abstractNumId w:val="10"/>
  </w:num>
  <w:num w:numId="47">
    <w:abstractNumId w:val="28"/>
  </w:num>
  <w:num w:numId="48">
    <w:abstractNumId w:val="24"/>
  </w:num>
  <w:num w:numId="49">
    <w:abstractNumId w:val="1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F5AFE"/>
    <w:rsid w:val="00013A2F"/>
    <w:rsid w:val="00343053"/>
    <w:rsid w:val="00393844"/>
    <w:rsid w:val="00427733"/>
    <w:rsid w:val="004C01F7"/>
    <w:rsid w:val="005417B2"/>
    <w:rsid w:val="00571DE2"/>
    <w:rsid w:val="005B2883"/>
    <w:rsid w:val="005E71D3"/>
    <w:rsid w:val="006156DA"/>
    <w:rsid w:val="00623371"/>
    <w:rsid w:val="007C2904"/>
    <w:rsid w:val="007D5C5A"/>
    <w:rsid w:val="00942B8C"/>
    <w:rsid w:val="00C4268B"/>
    <w:rsid w:val="00F11486"/>
    <w:rsid w:val="00F9485B"/>
    <w:rsid w:val="00FF5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7EE7A"/>
  <w15:chartTrackingRefBased/>
  <w15:docId w15:val="{CF010DE9-399E-40E4-A87D-2B58BEF8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AFE"/>
    <w:pPr>
      <w:spacing w:after="0" w:line="240" w:lineRule="auto"/>
    </w:pPr>
    <w:rPr>
      <w:rFonts w:ascii="Times New Roman" w:eastAsia="Times New Roman" w:hAnsi="Times New Roman" w:cs="Times New Roman"/>
      <w:sz w:val="24"/>
      <w:szCs w:val="20"/>
      <w:lang w:val="en-US" w:eastAsia="pt-BR"/>
    </w:rPr>
  </w:style>
  <w:style w:type="paragraph" w:styleId="Heading1">
    <w:name w:val="heading 1"/>
    <w:basedOn w:val="Normal"/>
    <w:next w:val="Normal"/>
    <w:link w:val="Heading1Char"/>
    <w:qFormat/>
    <w:rsid w:val="00FF5AFE"/>
    <w:pPr>
      <w:keepNext/>
      <w:pageBreakBefore/>
      <w:spacing w:line="360" w:lineRule="auto"/>
      <w:outlineLvl w:val="0"/>
    </w:pPr>
    <w:rPr>
      <w:rFonts w:ascii="Arial" w:hAnsi="Arial" w:cs="Arial"/>
      <w:b/>
      <w:caps/>
      <w:sz w:val="28"/>
    </w:rPr>
  </w:style>
  <w:style w:type="paragraph" w:styleId="Heading2">
    <w:name w:val="heading 2"/>
    <w:basedOn w:val="Normal"/>
    <w:next w:val="Normal"/>
    <w:link w:val="Heading2Char"/>
    <w:uiPriority w:val="9"/>
    <w:qFormat/>
    <w:rsid w:val="00FF5AFE"/>
    <w:pPr>
      <w:keepNext/>
      <w:spacing w:line="360" w:lineRule="auto"/>
      <w:outlineLvl w:val="1"/>
    </w:pPr>
    <w:rPr>
      <w:rFonts w:ascii="Arial" w:hAnsi="Arial"/>
      <w:b/>
      <w:caps/>
      <w:sz w:val="26"/>
    </w:rPr>
  </w:style>
  <w:style w:type="paragraph" w:styleId="Heading3">
    <w:name w:val="heading 3"/>
    <w:basedOn w:val="Normal"/>
    <w:next w:val="Normal"/>
    <w:link w:val="Heading3Char"/>
    <w:uiPriority w:val="9"/>
    <w:qFormat/>
    <w:rsid w:val="00FF5AFE"/>
    <w:pPr>
      <w:keepNext/>
      <w:jc w:val="center"/>
      <w:outlineLvl w:val="2"/>
    </w:pPr>
    <w:rPr>
      <w:rFonts w:ascii="Arial" w:hAnsi="Arial" w:cs="Arial"/>
      <w:b/>
      <w:sz w:val="22"/>
    </w:rPr>
  </w:style>
  <w:style w:type="paragraph" w:styleId="Heading4">
    <w:name w:val="heading 4"/>
    <w:basedOn w:val="Normal"/>
    <w:next w:val="Normal"/>
    <w:link w:val="Heading4Char"/>
    <w:uiPriority w:val="9"/>
    <w:qFormat/>
    <w:rsid w:val="00FF5AFE"/>
    <w:pPr>
      <w:keepNext/>
      <w:spacing w:line="480" w:lineRule="auto"/>
      <w:jc w:val="center"/>
      <w:outlineLvl w:val="3"/>
    </w:pPr>
    <w:rPr>
      <w:rFonts w:ascii="Arial" w:hAnsi="Arial" w:cs="Arial"/>
      <w:b/>
      <w:u w:val="single"/>
    </w:rPr>
  </w:style>
  <w:style w:type="paragraph" w:styleId="Heading5">
    <w:name w:val="heading 5"/>
    <w:basedOn w:val="Normal"/>
    <w:next w:val="Normal"/>
    <w:link w:val="Heading5Char"/>
    <w:qFormat/>
    <w:rsid w:val="00FF5AFE"/>
    <w:pPr>
      <w:keepNext/>
      <w:spacing w:line="480" w:lineRule="auto"/>
      <w:jc w:val="center"/>
      <w:outlineLvl w:val="4"/>
    </w:pPr>
    <w:rPr>
      <w:rFonts w:ascii="Arial" w:hAnsi="Arial" w:cs="Arial"/>
      <w:b/>
      <w:sz w:val="28"/>
    </w:rPr>
  </w:style>
  <w:style w:type="paragraph" w:styleId="Heading6">
    <w:name w:val="heading 6"/>
    <w:basedOn w:val="Normal"/>
    <w:next w:val="Normal"/>
    <w:link w:val="Heading6Char"/>
    <w:uiPriority w:val="9"/>
    <w:unhideWhenUsed/>
    <w:qFormat/>
    <w:rsid w:val="00FF5AF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AFE"/>
    <w:rPr>
      <w:rFonts w:ascii="Arial" w:eastAsia="Times New Roman" w:hAnsi="Arial" w:cs="Arial"/>
      <w:b/>
      <w:caps/>
      <w:sz w:val="28"/>
      <w:szCs w:val="20"/>
      <w:lang w:val="en-US" w:eastAsia="pt-BR"/>
    </w:rPr>
  </w:style>
  <w:style w:type="character" w:customStyle="1" w:styleId="Heading2Char">
    <w:name w:val="Heading 2 Char"/>
    <w:basedOn w:val="DefaultParagraphFont"/>
    <w:link w:val="Heading2"/>
    <w:uiPriority w:val="9"/>
    <w:rsid w:val="00FF5AFE"/>
    <w:rPr>
      <w:rFonts w:ascii="Arial" w:eastAsia="Times New Roman" w:hAnsi="Arial" w:cs="Times New Roman"/>
      <w:b/>
      <w:caps/>
      <w:sz w:val="26"/>
      <w:szCs w:val="20"/>
      <w:lang w:val="en-US" w:eastAsia="pt-BR"/>
    </w:rPr>
  </w:style>
  <w:style w:type="character" w:customStyle="1" w:styleId="Heading3Char">
    <w:name w:val="Heading 3 Char"/>
    <w:basedOn w:val="DefaultParagraphFont"/>
    <w:link w:val="Heading3"/>
    <w:uiPriority w:val="9"/>
    <w:rsid w:val="00FF5AFE"/>
    <w:rPr>
      <w:rFonts w:ascii="Arial" w:eastAsia="Times New Roman" w:hAnsi="Arial" w:cs="Arial"/>
      <w:b/>
      <w:szCs w:val="20"/>
      <w:lang w:val="en-US" w:eastAsia="pt-BR"/>
    </w:rPr>
  </w:style>
  <w:style w:type="character" w:customStyle="1" w:styleId="Heading4Char">
    <w:name w:val="Heading 4 Char"/>
    <w:basedOn w:val="DefaultParagraphFont"/>
    <w:link w:val="Heading4"/>
    <w:uiPriority w:val="9"/>
    <w:rsid w:val="00FF5AFE"/>
    <w:rPr>
      <w:rFonts w:ascii="Arial" w:eastAsia="Times New Roman" w:hAnsi="Arial" w:cs="Arial"/>
      <w:b/>
      <w:sz w:val="24"/>
      <w:szCs w:val="20"/>
      <w:u w:val="single"/>
      <w:lang w:val="en-US" w:eastAsia="pt-BR"/>
    </w:rPr>
  </w:style>
  <w:style w:type="character" w:customStyle="1" w:styleId="Heading5Char">
    <w:name w:val="Heading 5 Char"/>
    <w:basedOn w:val="DefaultParagraphFont"/>
    <w:link w:val="Heading5"/>
    <w:rsid w:val="00FF5AFE"/>
    <w:rPr>
      <w:rFonts w:ascii="Arial" w:eastAsia="Times New Roman" w:hAnsi="Arial" w:cs="Arial"/>
      <w:b/>
      <w:sz w:val="28"/>
      <w:szCs w:val="20"/>
      <w:lang w:val="en-US" w:eastAsia="pt-BR"/>
    </w:rPr>
  </w:style>
  <w:style w:type="character" w:customStyle="1" w:styleId="Heading6Char">
    <w:name w:val="Heading 6 Char"/>
    <w:basedOn w:val="DefaultParagraphFont"/>
    <w:link w:val="Heading6"/>
    <w:uiPriority w:val="9"/>
    <w:rsid w:val="00FF5AFE"/>
    <w:rPr>
      <w:rFonts w:asciiTheme="majorHAnsi" w:eastAsiaTheme="majorEastAsia" w:hAnsiTheme="majorHAnsi" w:cstheme="majorBidi"/>
      <w:color w:val="1F4D78" w:themeColor="accent1" w:themeShade="7F"/>
      <w:sz w:val="24"/>
      <w:szCs w:val="20"/>
      <w:lang w:val="en-US" w:eastAsia="pt-BR"/>
    </w:rPr>
  </w:style>
  <w:style w:type="paragraph" w:styleId="Header">
    <w:name w:val="header"/>
    <w:basedOn w:val="Normal"/>
    <w:link w:val="HeaderChar"/>
    <w:uiPriority w:val="99"/>
    <w:rsid w:val="00FF5AFE"/>
    <w:pPr>
      <w:tabs>
        <w:tab w:val="center" w:pos="4419"/>
        <w:tab w:val="right" w:pos="8838"/>
      </w:tabs>
      <w:jc w:val="right"/>
    </w:pPr>
    <w:rPr>
      <w:rFonts w:ascii="Arial" w:hAnsi="Arial"/>
      <w:b/>
    </w:rPr>
  </w:style>
  <w:style w:type="character" w:customStyle="1" w:styleId="HeaderChar">
    <w:name w:val="Header Char"/>
    <w:basedOn w:val="DefaultParagraphFont"/>
    <w:link w:val="Header"/>
    <w:uiPriority w:val="99"/>
    <w:rsid w:val="00FF5AFE"/>
    <w:rPr>
      <w:rFonts w:ascii="Arial" w:eastAsia="Times New Roman" w:hAnsi="Arial" w:cs="Times New Roman"/>
      <w:b/>
      <w:sz w:val="24"/>
      <w:szCs w:val="20"/>
      <w:lang w:val="en-US" w:eastAsia="pt-BR"/>
    </w:rPr>
  </w:style>
  <w:style w:type="paragraph" w:styleId="Footer">
    <w:name w:val="footer"/>
    <w:basedOn w:val="Normal"/>
    <w:link w:val="FooterChar"/>
    <w:uiPriority w:val="99"/>
    <w:rsid w:val="00FF5AFE"/>
    <w:pPr>
      <w:tabs>
        <w:tab w:val="center" w:pos="4419"/>
        <w:tab w:val="right" w:pos="8838"/>
      </w:tabs>
    </w:pPr>
  </w:style>
  <w:style w:type="character" w:customStyle="1" w:styleId="FooterChar">
    <w:name w:val="Footer Char"/>
    <w:basedOn w:val="DefaultParagraphFont"/>
    <w:link w:val="Footer"/>
    <w:uiPriority w:val="99"/>
    <w:rsid w:val="00FF5AFE"/>
    <w:rPr>
      <w:rFonts w:ascii="Times New Roman" w:eastAsia="Times New Roman" w:hAnsi="Times New Roman" w:cs="Times New Roman"/>
      <w:sz w:val="24"/>
      <w:szCs w:val="20"/>
      <w:lang w:val="en-US" w:eastAsia="pt-BR"/>
    </w:rPr>
  </w:style>
  <w:style w:type="character" w:styleId="PageNumber">
    <w:name w:val="page number"/>
    <w:basedOn w:val="DefaultParagraphFont"/>
    <w:rsid w:val="00FF5AFE"/>
  </w:style>
  <w:style w:type="paragraph" w:styleId="TableofFigures">
    <w:name w:val="table of figures"/>
    <w:basedOn w:val="Normal"/>
    <w:next w:val="Normal"/>
    <w:semiHidden/>
    <w:rsid w:val="00FF5AFE"/>
    <w:pPr>
      <w:ind w:left="480" w:hanging="480"/>
    </w:pPr>
  </w:style>
  <w:style w:type="paragraph" w:styleId="BodyText">
    <w:name w:val="Body Text"/>
    <w:basedOn w:val="Normal"/>
    <w:link w:val="BodyTextChar"/>
    <w:rsid w:val="00FF5AFE"/>
    <w:pPr>
      <w:jc w:val="both"/>
    </w:pPr>
    <w:rPr>
      <w:rFonts w:ascii="Arial" w:hAnsi="Arial"/>
    </w:rPr>
  </w:style>
  <w:style w:type="character" w:customStyle="1" w:styleId="BodyTextChar">
    <w:name w:val="Body Text Char"/>
    <w:basedOn w:val="DefaultParagraphFont"/>
    <w:link w:val="BodyText"/>
    <w:rsid w:val="00FF5AFE"/>
    <w:rPr>
      <w:rFonts w:ascii="Arial" w:eastAsia="Times New Roman" w:hAnsi="Arial" w:cs="Times New Roman"/>
      <w:sz w:val="24"/>
      <w:szCs w:val="20"/>
      <w:lang w:val="en-US" w:eastAsia="pt-BR"/>
    </w:rPr>
  </w:style>
  <w:style w:type="character" w:styleId="Hyperlink">
    <w:name w:val="Hyperlink"/>
    <w:uiPriority w:val="99"/>
    <w:rsid w:val="00FF5AFE"/>
    <w:rPr>
      <w:color w:val="0000FF"/>
      <w:u w:val="single"/>
    </w:rPr>
  </w:style>
  <w:style w:type="paragraph" w:styleId="Caption">
    <w:name w:val="caption"/>
    <w:basedOn w:val="Normal"/>
    <w:next w:val="Normal"/>
    <w:qFormat/>
    <w:rsid w:val="00FF5AFE"/>
    <w:pPr>
      <w:spacing w:before="120" w:after="120"/>
    </w:pPr>
    <w:rPr>
      <w:b/>
    </w:rPr>
  </w:style>
  <w:style w:type="paragraph" w:styleId="BodyText2">
    <w:name w:val="Body Text 2"/>
    <w:basedOn w:val="Normal"/>
    <w:link w:val="BodyText2Char"/>
    <w:rsid w:val="00FF5AFE"/>
    <w:pPr>
      <w:spacing w:before="240"/>
      <w:jc w:val="center"/>
    </w:pPr>
    <w:rPr>
      <w:rFonts w:ascii="Arial" w:hAnsi="Arial" w:cs="Arial"/>
      <w:b/>
      <w:sz w:val="20"/>
    </w:rPr>
  </w:style>
  <w:style w:type="character" w:customStyle="1" w:styleId="BodyText2Char">
    <w:name w:val="Body Text 2 Char"/>
    <w:basedOn w:val="DefaultParagraphFont"/>
    <w:link w:val="BodyText2"/>
    <w:rsid w:val="00FF5AFE"/>
    <w:rPr>
      <w:rFonts w:ascii="Arial" w:eastAsia="Times New Roman" w:hAnsi="Arial" w:cs="Arial"/>
      <w:b/>
      <w:sz w:val="20"/>
      <w:szCs w:val="20"/>
      <w:lang w:val="en-US" w:eastAsia="pt-BR"/>
    </w:rPr>
  </w:style>
  <w:style w:type="paragraph" w:styleId="FootnoteText">
    <w:name w:val="footnote text"/>
    <w:basedOn w:val="Normal"/>
    <w:link w:val="FootnoteTextChar"/>
    <w:rsid w:val="00FF5AFE"/>
    <w:rPr>
      <w:sz w:val="20"/>
    </w:rPr>
  </w:style>
  <w:style w:type="character" w:customStyle="1" w:styleId="FootnoteTextChar">
    <w:name w:val="Footnote Text Char"/>
    <w:basedOn w:val="DefaultParagraphFont"/>
    <w:link w:val="FootnoteText"/>
    <w:rsid w:val="00FF5AFE"/>
    <w:rPr>
      <w:rFonts w:ascii="Times New Roman" w:eastAsia="Times New Roman" w:hAnsi="Times New Roman" w:cs="Times New Roman"/>
      <w:sz w:val="20"/>
      <w:szCs w:val="20"/>
      <w:lang w:val="en-US" w:eastAsia="pt-BR"/>
    </w:rPr>
  </w:style>
  <w:style w:type="character" w:styleId="FootnoteReference">
    <w:name w:val="footnote reference"/>
    <w:rsid w:val="00FF5AFE"/>
    <w:rPr>
      <w:vertAlign w:val="superscript"/>
    </w:rPr>
  </w:style>
  <w:style w:type="paragraph" w:customStyle="1" w:styleId="TabeladeGrade5Escura-nfase11">
    <w:name w:val="Tabela de Grade 5 Escura - Ênfase 11"/>
    <w:basedOn w:val="Heading1"/>
    <w:next w:val="Normal"/>
    <w:uiPriority w:val="39"/>
    <w:unhideWhenUsed/>
    <w:qFormat/>
    <w:rsid w:val="00FF5AFE"/>
    <w:pPr>
      <w:keepLines/>
      <w:pageBreakBefore w:val="0"/>
      <w:spacing w:before="240" w:line="259" w:lineRule="auto"/>
      <w:outlineLvl w:val="9"/>
    </w:pPr>
    <w:rPr>
      <w:rFonts w:ascii="Calibri Light" w:hAnsi="Calibri Light" w:cs="Times New Roman"/>
      <w:b w:val="0"/>
      <w:caps w:val="0"/>
      <w:color w:val="2E74B5"/>
      <w:sz w:val="32"/>
      <w:szCs w:val="32"/>
    </w:rPr>
  </w:style>
  <w:style w:type="paragraph" w:styleId="TOC1">
    <w:name w:val="toc 1"/>
    <w:basedOn w:val="Normal"/>
    <w:next w:val="Normal"/>
    <w:autoRedefine/>
    <w:uiPriority w:val="39"/>
    <w:rsid w:val="00FF5AFE"/>
    <w:pPr>
      <w:tabs>
        <w:tab w:val="right" w:leader="dot" w:pos="9062"/>
      </w:tabs>
      <w:spacing w:line="360" w:lineRule="auto"/>
    </w:pPr>
  </w:style>
  <w:style w:type="paragraph" w:styleId="TOC2">
    <w:name w:val="toc 2"/>
    <w:basedOn w:val="Normal"/>
    <w:next w:val="Normal"/>
    <w:autoRedefine/>
    <w:uiPriority w:val="39"/>
    <w:rsid w:val="00FF5AFE"/>
    <w:pPr>
      <w:tabs>
        <w:tab w:val="right" w:leader="dot" w:pos="9062"/>
      </w:tabs>
      <w:spacing w:line="360" w:lineRule="auto"/>
      <w:ind w:left="240"/>
    </w:pPr>
  </w:style>
  <w:style w:type="paragraph" w:customStyle="1" w:styleId="FolhaAprov-BancaExaminadora">
    <w:name w:val="Folha Aprov-Banca Examinadora"/>
    <w:basedOn w:val="Normal"/>
    <w:qFormat/>
    <w:rsid w:val="00FF5AFE"/>
    <w:pPr>
      <w:spacing w:line="360" w:lineRule="auto"/>
      <w:jc w:val="center"/>
    </w:pPr>
    <w:rPr>
      <w:rFonts w:ascii="Arial" w:eastAsia="Calibri" w:hAnsi="Arial"/>
      <w:szCs w:val="22"/>
      <w:lang w:eastAsia="en-US"/>
    </w:rPr>
  </w:style>
  <w:style w:type="paragraph" w:customStyle="1" w:styleId="Resumo-Texto">
    <w:name w:val="Resumo-Texto"/>
    <w:basedOn w:val="Normal"/>
    <w:qFormat/>
    <w:rsid w:val="00FF5AFE"/>
    <w:pPr>
      <w:jc w:val="both"/>
    </w:pPr>
    <w:rPr>
      <w:rFonts w:ascii="Arial" w:eastAsia="Calibri" w:hAnsi="Arial"/>
      <w:szCs w:val="22"/>
      <w:lang w:eastAsia="en-US"/>
    </w:rPr>
  </w:style>
  <w:style w:type="paragraph" w:styleId="ListParagraph">
    <w:name w:val="List Paragraph"/>
    <w:basedOn w:val="Normal"/>
    <w:uiPriority w:val="63"/>
    <w:qFormat/>
    <w:rsid w:val="00FF5AFE"/>
    <w:pPr>
      <w:ind w:left="720"/>
      <w:contextualSpacing/>
    </w:pPr>
  </w:style>
  <w:style w:type="character" w:customStyle="1" w:styleId="MenoPendente1">
    <w:name w:val="Menção Pendente1"/>
    <w:basedOn w:val="DefaultParagraphFont"/>
    <w:uiPriority w:val="52"/>
    <w:rsid w:val="00FF5AFE"/>
    <w:rPr>
      <w:color w:val="605E5C"/>
      <w:shd w:val="clear" w:color="auto" w:fill="E1DFDD"/>
    </w:rPr>
  </w:style>
  <w:style w:type="table" w:styleId="TableGrid">
    <w:name w:val="Table Grid"/>
    <w:basedOn w:val="TableNormal"/>
    <w:uiPriority w:val="39"/>
    <w:rsid w:val="00FF5A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AFE"/>
    <w:pPr>
      <w:spacing w:before="100" w:beforeAutospacing="1" w:after="100" w:afterAutospacing="1"/>
    </w:pPr>
    <w:rPr>
      <w:szCs w:val="24"/>
    </w:rPr>
  </w:style>
  <w:style w:type="character" w:customStyle="1" w:styleId="MenoPendente2">
    <w:name w:val="Menção Pendente2"/>
    <w:basedOn w:val="DefaultParagraphFont"/>
    <w:uiPriority w:val="99"/>
    <w:semiHidden/>
    <w:unhideWhenUsed/>
    <w:rsid w:val="00FF5AFE"/>
    <w:rPr>
      <w:color w:val="605E5C"/>
      <w:shd w:val="clear" w:color="auto" w:fill="E1DFDD"/>
    </w:rPr>
  </w:style>
  <w:style w:type="paragraph" w:styleId="NoSpacing">
    <w:name w:val="No Spacing"/>
    <w:uiPriority w:val="1"/>
    <w:qFormat/>
    <w:rsid w:val="00FF5AFE"/>
    <w:pPr>
      <w:spacing w:after="0" w:line="240" w:lineRule="auto"/>
    </w:pPr>
    <w:rPr>
      <w:rFonts w:ascii="Times New Roman" w:eastAsia="Times New Roman" w:hAnsi="Times New Roman" w:cs="Times New Roman"/>
      <w:sz w:val="24"/>
      <w:szCs w:val="24"/>
      <w:lang w:eastAsia="pt-BR"/>
    </w:rPr>
  </w:style>
  <w:style w:type="paragraph" w:styleId="Revision">
    <w:name w:val="Revision"/>
    <w:hidden/>
    <w:uiPriority w:val="62"/>
    <w:semiHidden/>
    <w:rsid w:val="00FF5AFE"/>
    <w:pPr>
      <w:spacing w:after="0" w:line="240" w:lineRule="auto"/>
    </w:pPr>
    <w:rPr>
      <w:rFonts w:ascii="Times New Roman" w:eastAsia="Times New Roman" w:hAnsi="Times New Roman" w:cs="Times New Roman"/>
      <w:sz w:val="24"/>
      <w:szCs w:val="20"/>
      <w:lang w:eastAsia="pt-BR"/>
    </w:rPr>
  </w:style>
  <w:style w:type="paragraph" w:styleId="BalloonText">
    <w:name w:val="Balloon Text"/>
    <w:basedOn w:val="Normal"/>
    <w:link w:val="BalloonTextChar"/>
    <w:semiHidden/>
    <w:unhideWhenUsed/>
    <w:rsid w:val="00FF5AFE"/>
    <w:rPr>
      <w:rFonts w:ascii="Segoe UI" w:hAnsi="Segoe UI" w:cs="Segoe UI"/>
      <w:sz w:val="18"/>
      <w:szCs w:val="18"/>
    </w:rPr>
  </w:style>
  <w:style w:type="character" w:customStyle="1" w:styleId="BalloonTextChar">
    <w:name w:val="Balloon Text Char"/>
    <w:basedOn w:val="DefaultParagraphFont"/>
    <w:link w:val="BalloonText"/>
    <w:semiHidden/>
    <w:rsid w:val="00FF5AFE"/>
    <w:rPr>
      <w:rFonts w:ascii="Segoe UI" w:eastAsia="Times New Roman" w:hAnsi="Segoe UI" w:cs="Segoe UI"/>
      <w:sz w:val="18"/>
      <w:szCs w:val="18"/>
      <w:lang w:val="en-US" w:eastAsia="pt-BR"/>
    </w:rPr>
  </w:style>
  <w:style w:type="character" w:styleId="LineNumber">
    <w:name w:val="line number"/>
    <w:basedOn w:val="DefaultParagraphFont"/>
    <w:rsid w:val="00FF5AFE"/>
  </w:style>
  <w:style w:type="character" w:customStyle="1" w:styleId="MenoPendente3">
    <w:name w:val="Menção Pendente3"/>
    <w:basedOn w:val="DefaultParagraphFont"/>
    <w:uiPriority w:val="99"/>
    <w:semiHidden/>
    <w:unhideWhenUsed/>
    <w:rsid w:val="00FF5AFE"/>
    <w:rPr>
      <w:color w:val="605E5C"/>
      <w:shd w:val="clear" w:color="auto" w:fill="E1DFDD"/>
    </w:rPr>
  </w:style>
  <w:style w:type="paragraph" w:customStyle="1" w:styleId="msonormal0">
    <w:name w:val="msonormal"/>
    <w:basedOn w:val="Normal"/>
    <w:rsid w:val="00FF5AFE"/>
    <w:pPr>
      <w:spacing w:before="100" w:beforeAutospacing="1" w:after="100" w:afterAutospacing="1"/>
    </w:pPr>
    <w:rPr>
      <w:szCs w:val="24"/>
    </w:rPr>
  </w:style>
  <w:style w:type="character" w:styleId="Emphasis">
    <w:name w:val="Emphasis"/>
    <w:basedOn w:val="DefaultParagraphFont"/>
    <w:uiPriority w:val="20"/>
    <w:qFormat/>
    <w:rsid w:val="00FF5AFE"/>
    <w:rPr>
      <w:i/>
      <w:iCs/>
    </w:rPr>
  </w:style>
  <w:style w:type="character" w:styleId="FollowedHyperlink">
    <w:name w:val="FollowedHyperlink"/>
    <w:basedOn w:val="DefaultParagraphFont"/>
    <w:uiPriority w:val="99"/>
    <w:unhideWhenUsed/>
    <w:rsid w:val="00FF5AFE"/>
    <w:rPr>
      <w:color w:val="800080"/>
      <w:u w:val="single"/>
    </w:rPr>
  </w:style>
  <w:style w:type="character" w:styleId="Strong">
    <w:name w:val="Strong"/>
    <w:basedOn w:val="DefaultParagraphFont"/>
    <w:uiPriority w:val="22"/>
    <w:qFormat/>
    <w:rsid w:val="00FF5AFE"/>
    <w:rPr>
      <w:b/>
      <w:bCs/>
    </w:rPr>
  </w:style>
  <w:style w:type="character" w:customStyle="1" w:styleId="baec5a81-e4d6-4674-97f3-e9220f0136c1">
    <w:name w:val="baec5a81-e4d6-4674-97f3-e9220f0136c1"/>
    <w:basedOn w:val="DefaultParagraphFont"/>
    <w:rsid w:val="00FF5AFE"/>
  </w:style>
  <w:style w:type="table" w:customStyle="1" w:styleId="Tabelacomgrade1">
    <w:name w:val="Tabela com grade1"/>
    <w:basedOn w:val="TableNormal"/>
    <w:next w:val="TableGrid"/>
    <w:uiPriority w:val="39"/>
    <w:rsid w:val="00FF5A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F5AFE"/>
    <w:pPr>
      <w:keepLines/>
      <w:pageBreakBefore w:val="0"/>
      <w:spacing w:before="240" w:line="259" w:lineRule="auto"/>
      <w:outlineLvl w:val="9"/>
    </w:pPr>
    <w:rPr>
      <w:rFonts w:asciiTheme="majorHAnsi" w:eastAsiaTheme="majorEastAsia" w:hAnsiTheme="majorHAnsi" w:cstheme="majorBidi"/>
      <w:b w:val="0"/>
      <w:caps w:val="0"/>
      <w:color w:val="2E74B5" w:themeColor="accent1" w:themeShade="BF"/>
      <w:sz w:val="32"/>
      <w:szCs w:val="32"/>
    </w:rPr>
  </w:style>
  <w:style w:type="paragraph" w:styleId="TOC3">
    <w:name w:val="toc 3"/>
    <w:basedOn w:val="Normal"/>
    <w:next w:val="Normal"/>
    <w:autoRedefine/>
    <w:uiPriority w:val="39"/>
    <w:rsid w:val="00FF5AFE"/>
    <w:pPr>
      <w:spacing w:after="100"/>
      <w:ind w:left="480"/>
    </w:pPr>
  </w:style>
  <w:style w:type="character" w:styleId="CommentReference">
    <w:name w:val="annotation reference"/>
    <w:basedOn w:val="DefaultParagraphFont"/>
    <w:rsid w:val="00FF5AFE"/>
    <w:rPr>
      <w:sz w:val="16"/>
      <w:szCs w:val="16"/>
    </w:rPr>
  </w:style>
  <w:style w:type="paragraph" w:styleId="CommentText">
    <w:name w:val="annotation text"/>
    <w:basedOn w:val="Normal"/>
    <w:link w:val="CommentTextChar"/>
    <w:rsid w:val="00FF5AFE"/>
    <w:rPr>
      <w:sz w:val="20"/>
    </w:rPr>
  </w:style>
  <w:style w:type="character" w:customStyle="1" w:styleId="CommentTextChar">
    <w:name w:val="Comment Text Char"/>
    <w:basedOn w:val="DefaultParagraphFont"/>
    <w:link w:val="CommentText"/>
    <w:rsid w:val="00FF5AFE"/>
    <w:rPr>
      <w:rFonts w:ascii="Times New Roman" w:eastAsia="Times New Roman" w:hAnsi="Times New Roman" w:cs="Times New Roman"/>
      <w:sz w:val="20"/>
      <w:szCs w:val="20"/>
      <w:lang w:val="en-US" w:eastAsia="pt-BR"/>
    </w:rPr>
  </w:style>
  <w:style w:type="paragraph" w:styleId="CommentSubject">
    <w:name w:val="annotation subject"/>
    <w:basedOn w:val="CommentText"/>
    <w:next w:val="CommentText"/>
    <w:link w:val="CommentSubjectChar"/>
    <w:semiHidden/>
    <w:unhideWhenUsed/>
    <w:rsid w:val="00FF5AFE"/>
    <w:rPr>
      <w:b/>
      <w:bCs/>
    </w:rPr>
  </w:style>
  <w:style w:type="character" w:customStyle="1" w:styleId="CommentSubjectChar">
    <w:name w:val="Comment Subject Char"/>
    <w:basedOn w:val="CommentTextChar"/>
    <w:link w:val="CommentSubject"/>
    <w:semiHidden/>
    <w:rsid w:val="00FF5AFE"/>
    <w:rPr>
      <w:rFonts w:ascii="Times New Roman" w:eastAsia="Times New Roman" w:hAnsi="Times New Roman" w:cs="Times New Roman"/>
      <w:b/>
      <w:bCs/>
      <w:sz w:val="20"/>
      <w:szCs w:val="20"/>
      <w:lang w:val="en-US" w:eastAsia="pt-BR"/>
    </w:rPr>
  </w:style>
  <w:style w:type="character" w:customStyle="1" w:styleId="MenoPendente4">
    <w:name w:val="Menção Pendente4"/>
    <w:basedOn w:val="DefaultParagraphFont"/>
    <w:uiPriority w:val="99"/>
    <w:semiHidden/>
    <w:unhideWhenUsed/>
    <w:rsid w:val="00FF5AFE"/>
    <w:rPr>
      <w:color w:val="605E5C"/>
      <w:shd w:val="clear" w:color="auto" w:fill="E1DFDD"/>
    </w:rPr>
  </w:style>
  <w:style w:type="character" w:customStyle="1" w:styleId="UnresolvedMention1">
    <w:name w:val="Unresolved Mention1"/>
    <w:basedOn w:val="DefaultParagraphFont"/>
    <w:uiPriority w:val="99"/>
    <w:semiHidden/>
    <w:unhideWhenUsed/>
    <w:rsid w:val="00FF5AFE"/>
    <w:rPr>
      <w:color w:val="605E5C"/>
      <w:shd w:val="clear" w:color="auto" w:fill="E1DFDD"/>
    </w:rPr>
  </w:style>
  <w:style w:type="paragraph" w:customStyle="1" w:styleId="Standardunter5">
    <w:name w:val="Standard unter Ü5"/>
    <w:basedOn w:val="Normal"/>
    <w:qFormat/>
    <w:rsid w:val="00FF5AFE"/>
    <w:pPr>
      <w:spacing w:before="120" w:after="120" w:line="276" w:lineRule="auto"/>
      <w:ind w:left="709"/>
    </w:pPr>
    <w:rPr>
      <w:rFonts w:ascii="Calibri" w:eastAsia="Calibri" w:hAnsi="Calibri"/>
      <w:sz w:val="22"/>
      <w:szCs w:val="22"/>
      <w:lang w:eastAsia="en-US"/>
    </w:rPr>
  </w:style>
  <w:style w:type="character" w:customStyle="1" w:styleId="cf01">
    <w:name w:val="cf01"/>
    <w:basedOn w:val="DefaultParagraphFont"/>
    <w:rsid w:val="00FF5AFE"/>
    <w:rPr>
      <w:rFonts w:ascii="Segoe UI" w:hAnsi="Segoe UI" w:cs="Segoe UI" w:hint="default"/>
      <w:sz w:val="18"/>
      <w:szCs w:val="18"/>
    </w:rPr>
  </w:style>
  <w:style w:type="character" w:customStyle="1" w:styleId="MenoPendente5">
    <w:name w:val="Menção Pendente5"/>
    <w:basedOn w:val="DefaultParagraphFont"/>
    <w:uiPriority w:val="99"/>
    <w:semiHidden/>
    <w:unhideWhenUsed/>
    <w:rsid w:val="00FF5AFE"/>
    <w:rPr>
      <w:color w:val="605E5C"/>
      <w:shd w:val="clear" w:color="auto" w:fill="E1DFDD"/>
    </w:rPr>
  </w:style>
  <w:style w:type="character" w:customStyle="1" w:styleId="UnresolvedMention2">
    <w:name w:val="Unresolved Mention2"/>
    <w:basedOn w:val="DefaultParagraphFont"/>
    <w:uiPriority w:val="99"/>
    <w:semiHidden/>
    <w:unhideWhenUsed/>
    <w:rsid w:val="00FF5AFE"/>
    <w:rPr>
      <w:color w:val="605E5C"/>
      <w:shd w:val="clear" w:color="auto" w:fill="E1DFDD"/>
    </w:rPr>
  </w:style>
  <w:style w:type="character" w:customStyle="1" w:styleId="katex-mathml">
    <w:name w:val="katex-mathml"/>
    <w:basedOn w:val="DefaultParagraphFont"/>
    <w:rsid w:val="00FF5AFE"/>
  </w:style>
  <w:style w:type="character" w:customStyle="1" w:styleId="mord">
    <w:name w:val="mord"/>
    <w:basedOn w:val="DefaultParagraphFont"/>
    <w:rsid w:val="00FF5AFE"/>
  </w:style>
  <w:style w:type="character" w:customStyle="1" w:styleId="mrel">
    <w:name w:val="mrel"/>
    <w:basedOn w:val="DefaultParagraphFont"/>
    <w:rsid w:val="00FF5AFE"/>
  </w:style>
  <w:style w:type="paragraph" w:customStyle="1" w:styleId="EndNoteBibliographyTitle">
    <w:name w:val="EndNote Bibliography Title"/>
    <w:basedOn w:val="Normal"/>
    <w:link w:val="EndNoteBibliographyTitleChar"/>
    <w:rsid w:val="00FF5AFE"/>
    <w:pPr>
      <w:jc w:val="center"/>
    </w:pPr>
    <w:rPr>
      <w:noProof/>
      <w:lang w:val="pt-BR"/>
    </w:rPr>
  </w:style>
  <w:style w:type="character" w:customStyle="1" w:styleId="EndNoteBibliographyTitleChar">
    <w:name w:val="EndNote Bibliography Title Char"/>
    <w:basedOn w:val="DefaultParagraphFont"/>
    <w:link w:val="EndNoteBibliographyTitle"/>
    <w:rsid w:val="00FF5AFE"/>
    <w:rPr>
      <w:rFonts w:ascii="Times New Roman" w:eastAsia="Times New Roman" w:hAnsi="Times New Roman" w:cs="Times New Roman"/>
      <w:noProof/>
      <w:sz w:val="24"/>
      <w:szCs w:val="20"/>
      <w:lang w:eastAsia="pt-BR"/>
    </w:rPr>
  </w:style>
  <w:style w:type="paragraph" w:customStyle="1" w:styleId="EndNoteBibliography">
    <w:name w:val="EndNote Bibliography"/>
    <w:basedOn w:val="Normal"/>
    <w:link w:val="EndNoteBibliographyChar"/>
    <w:rsid w:val="00FF5AFE"/>
    <w:pPr>
      <w:jc w:val="both"/>
    </w:pPr>
    <w:rPr>
      <w:noProof/>
      <w:lang w:val="pt-BR"/>
    </w:rPr>
  </w:style>
  <w:style w:type="character" w:customStyle="1" w:styleId="EndNoteBibliographyChar">
    <w:name w:val="EndNote Bibliography Char"/>
    <w:basedOn w:val="DefaultParagraphFont"/>
    <w:link w:val="EndNoteBibliography"/>
    <w:rsid w:val="00FF5AFE"/>
    <w:rPr>
      <w:rFonts w:ascii="Times New Roman" w:eastAsia="Times New Roman" w:hAnsi="Times New Roman" w:cs="Times New Roman"/>
      <w:noProo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5145</Words>
  <Characters>29329</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Tanaka</dc:creator>
  <cp:keywords/>
  <dc:description/>
  <cp:lastModifiedBy>SDI 1022</cp:lastModifiedBy>
  <cp:revision>6</cp:revision>
  <dcterms:created xsi:type="dcterms:W3CDTF">2026-01-31T14:31:00Z</dcterms:created>
  <dcterms:modified xsi:type="dcterms:W3CDTF">2026-02-02T09:28:00Z</dcterms:modified>
</cp:coreProperties>
</file>