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6BCBE" w14:textId="43D6A83E" w:rsidR="00674764" w:rsidRPr="00674764" w:rsidRDefault="00674764" w:rsidP="00674764">
      <w:pPr>
        <w:spacing w:line="360" w:lineRule="auto"/>
        <w:jc w:val="both"/>
        <w:rPr>
          <w:rFonts w:ascii="Times New Roman" w:hAnsi="Times New Roman" w:cs="Times New Roman"/>
          <w:sz w:val="24"/>
          <w:szCs w:val="24"/>
        </w:rPr>
      </w:pPr>
      <w:r w:rsidRPr="00674764">
        <w:rPr>
          <w:rFonts w:ascii="Times New Roman" w:hAnsi="Times New Roman" w:cs="Times New Roman"/>
          <w:b/>
          <w:sz w:val="24"/>
          <w:szCs w:val="24"/>
        </w:rPr>
        <w:t>Study of the microbiological quality of artisanal soft drinks (Bissap, Gnamankoudji) produced in the Haut Sassandra region</w:t>
      </w:r>
      <w:r w:rsidR="00326BE0">
        <w:rPr>
          <w:rFonts w:ascii="Times New Roman" w:hAnsi="Times New Roman" w:cs="Times New Roman"/>
          <w:b/>
          <w:sz w:val="24"/>
          <w:szCs w:val="24"/>
        </w:rPr>
        <w:t xml:space="preserve">, </w:t>
      </w:r>
      <w:r w:rsidRPr="00674764">
        <w:rPr>
          <w:rFonts w:ascii="Times New Roman" w:hAnsi="Times New Roman" w:cs="Times New Roman"/>
          <w:b/>
          <w:sz w:val="24"/>
          <w:szCs w:val="24"/>
        </w:rPr>
        <w:t>Daloa department</w:t>
      </w:r>
      <w:r w:rsidR="00326BE0">
        <w:rPr>
          <w:rFonts w:ascii="Times New Roman" w:hAnsi="Times New Roman" w:cs="Times New Roman"/>
          <w:b/>
          <w:sz w:val="24"/>
          <w:szCs w:val="24"/>
        </w:rPr>
        <w:t xml:space="preserve">, </w:t>
      </w:r>
      <w:r w:rsidR="00326BE0" w:rsidRPr="00326BE0">
        <w:rPr>
          <w:rFonts w:ascii="Times New Roman" w:hAnsi="Times New Roman" w:cs="Times New Roman"/>
          <w:b/>
          <w:sz w:val="24"/>
          <w:szCs w:val="24"/>
        </w:rPr>
        <w:t>Ivory Coast</w:t>
      </w:r>
    </w:p>
    <w:p w14:paraId="2D6AD5D5" w14:textId="77777777" w:rsidR="00326BE0" w:rsidRDefault="00326BE0" w:rsidP="00674764">
      <w:pPr>
        <w:spacing w:line="360" w:lineRule="auto"/>
        <w:jc w:val="both"/>
        <w:rPr>
          <w:rFonts w:ascii="Times New Roman" w:hAnsi="Times New Roman" w:cs="Times New Roman"/>
          <w:b/>
          <w:sz w:val="24"/>
        </w:rPr>
      </w:pPr>
      <w:r>
        <w:rPr>
          <w:rFonts w:ascii="Times New Roman" w:hAnsi="Times New Roman" w:cs="Times New Roman"/>
          <w:b/>
          <w:sz w:val="24"/>
        </w:rPr>
        <w:t xml:space="preserve">Abstract : </w:t>
      </w:r>
    </w:p>
    <w:p w14:paraId="55F5F407" w14:textId="769A0818" w:rsidR="00674764" w:rsidRDefault="00993D43" w:rsidP="00674764">
      <w:pPr>
        <w:spacing w:line="360" w:lineRule="auto"/>
        <w:jc w:val="both"/>
        <w:rPr>
          <w:rFonts w:ascii="Times New Roman" w:hAnsi="Times New Roman" w:cs="Times New Roman"/>
          <w:sz w:val="24"/>
        </w:rPr>
      </w:pPr>
      <w:r>
        <w:rPr>
          <w:rFonts w:ascii="Times New Roman" w:hAnsi="Times New Roman" w:cs="Times New Roman"/>
          <w:sz w:val="24"/>
        </w:rPr>
        <w:t>The consumption of non-alcoholic artisanal beverages is increasing rapidly in African cities</w:t>
      </w:r>
      <w:r w:rsidR="00674764" w:rsidRPr="00674764">
        <w:rPr>
          <w:rFonts w:ascii="Times New Roman" w:hAnsi="Times New Roman" w:cs="Times New Roman"/>
          <w:sz w:val="24"/>
        </w:rPr>
        <w:t>. This study aimed to investigate the microbiological quality of the artisanal beverages Bissap and Gnamankoudji, produced and sold in the Daloa health district. The results revealed that the pH of Gnamankoudji varies, reaching a value of 10.6. The pH of Bissap, on the other hand, reaches a value of 9.1. The loss of acidity, combined with high sugar content (17.35° Brix), creates an environment conducive to microbial growth. Microbiological analyses revealed a high level of contamination. The bissap from Zaibo showed the highest concentration of mesophilic aerobic bacteria (12,570 CFU/mL), while the Gnamankoudji from Bediala exhibited the highest concentrations of psychrophilic bacteria (8,478 CFU/mL) and yeasts/molds in Gboguhe (1,150 CFU/mL). Thermotolerant coliform and enterobacteria counts reached 539 CFU/mL and 4,278 CFU/mL, respectively, in the Gnamankoudji from Gadouan. The analysis also revealed a scattered presence of Bacillus cereus at some study sites. In contrast, Listeria monocytogenes was detected at the majority of study sites. These results confirm the urgent need for corrective measures, including training producers in good hygiene practices and strengthening quality controls to ensure consumer safety.</w:t>
      </w:r>
    </w:p>
    <w:p w14:paraId="0E357802" w14:textId="31AE6BF8" w:rsidR="00326BE0" w:rsidRPr="00674764" w:rsidRDefault="00326BE0" w:rsidP="00674764">
      <w:pPr>
        <w:spacing w:line="360" w:lineRule="auto"/>
        <w:jc w:val="both"/>
        <w:rPr>
          <w:rFonts w:ascii="Times New Roman" w:hAnsi="Times New Roman" w:cs="Times New Roman"/>
          <w:sz w:val="24"/>
        </w:rPr>
      </w:pPr>
      <w:r>
        <w:rPr>
          <w:rFonts w:ascii="Times New Roman" w:hAnsi="Times New Roman" w:cs="Times New Roman"/>
          <w:sz w:val="24"/>
        </w:rPr>
        <w:t>Keywords : M</w:t>
      </w:r>
      <w:r w:rsidRPr="00326BE0">
        <w:rPr>
          <w:rFonts w:ascii="Times New Roman" w:hAnsi="Times New Roman" w:cs="Times New Roman"/>
          <w:sz w:val="24"/>
        </w:rPr>
        <w:t>icrobiological quality</w:t>
      </w:r>
      <w:r>
        <w:rPr>
          <w:rFonts w:ascii="Times New Roman" w:hAnsi="Times New Roman" w:cs="Times New Roman"/>
          <w:sz w:val="24"/>
        </w:rPr>
        <w:t>, S</w:t>
      </w:r>
      <w:r w:rsidRPr="00326BE0">
        <w:rPr>
          <w:rFonts w:ascii="Times New Roman" w:hAnsi="Times New Roman" w:cs="Times New Roman"/>
          <w:sz w:val="24"/>
        </w:rPr>
        <w:t>oft drinks</w:t>
      </w:r>
      <w:r>
        <w:rPr>
          <w:rFonts w:ascii="Times New Roman" w:hAnsi="Times New Roman" w:cs="Times New Roman"/>
          <w:sz w:val="24"/>
        </w:rPr>
        <w:t xml:space="preserve">, </w:t>
      </w:r>
      <w:r w:rsidRPr="00326BE0">
        <w:rPr>
          <w:rFonts w:ascii="Times New Roman" w:hAnsi="Times New Roman" w:cs="Times New Roman"/>
          <w:sz w:val="24"/>
        </w:rPr>
        <w:t>good hygiene practices</w:t>
      </w:r>
      <w:r>
        <w:rPr>
          <w:rFonts w:ascii="Times New Roman" w:hAnsi="Times New Roman" w:cs="Times New Roman"/>
          <w:sz w:val="24"/>
        </w:rPr>
        <w:t xml:space="preserve">, </w:t>
      </w:r>
      <w:r w:rsidRPr="00326BE0">
        <w:rPr>
          <w:rFonts w:ascii="Times New Roman" w:hAnsi="Times New Roman" w:cs="Times New Roman"/>
          <w:sz w:val="24"/>
        </w:rPr>
        <w:t>quality control</w:t>
      </w:r>
      <w:r>
        <w:rPr>
          <w:rFonts w:ascii="Times New Roman" w:hAnsi="Times New Roman" w:cs="Times New Roman"/>
          <w:sz w:val="24"/>
        </w:rPr>
        <w:t xml:space="preserve">, </w:t>
      </w:r>
      <w:r w:rsidRPr="00326BE0">
        <w:rPr>
          <w:rFonts w:ascii="Times New Roman" w:hAnsi="Times New Roman" w:cs="Times New Roman"/>
          <w:sz w:val="24"/>
        </w:rPr>
        <w:t>Daloa health district</w:t>
      </w:r>
    </w:p>
    <w:p w14:paraId="579F9EC3" w14:textId="77777777" w:rsidR="00674764" w:rsidRP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sz w:val="24"/>
        </w:rPr>
        <w:br w:type="page"/>
      </w:r>
    </w:p>
    <w:p w14:paraId="219A8019" w14:textId="77777777" w:rsidR="00674764" w:rsidRPr="00674764" w:rsidRDefault="00674764" w:rsidP="00674764">
      <w:pPr>
        <w:numPr>
          <w:ilvl w:val="0"/>
          <w:numId w:val="4"/>
        </w:numPr>
        <w:spacing w:line="360" w:lineRule="auto"/>
        <w:contextualSpacing/>
        <w:jc w:val="both"/>
        <w:rPr>
          <w:rFonts w:ascii="Times New Roman" w:hAnsi="Times New Roman" w:cs="Times New Roman"/>
          <w:b/>
          <w:sz w:val="24"/>
        </w:rPr>
      </w:pPr>
      <w:r w:rsidRPr="00674764">
        <w:rPr>
          <w:rFonts w:ascii="Times New Roman" w:hAnsi="Times New Roman" w:cs="Times New Roman"/>
          <w:b/>
          <w:sz w:val="24"/>
        </w:rPr>
        <w:lastRenderedPageBreak/>
        <w:t>INTRODUCTION</w:t>
      </w:r>
    </w:p>
    <w:p w14:paraId="3F311014" w14:textId="5A513D81" w:rsidR="00674764" w:rsidRP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sz w:val="24"/>
        </w:rPr>
        <w:t xml:space="preserve">The consumption of refreshing artisanal drinks such as Bissap (Hibiscus sabdariffa) and Gnamankoudji (Zingiber officinale) is experiencing considerable growth in the Haut </w:t>
      </w:r>
      <w:r w:rsidR="00993D43">
        <w:rPr>
          <w:rFonts w:ascii="Times New Roman" w:hAnsi="Times New Roman" w:cs="Times New Roman"/>
          <w:sz w:val="24"/>
        </w:rPr>
        <w:t xml:space="preserve">Sassandra region of Ivory Coast </w:t>
      </w:r>
      <w:r w:rsidRPr="00674764">
        <w:rPr>
          <w:rFonts w:ascii="Times New Roman" w:hAnsi="Times New Roman" w:cs="Times New Roman"/>
          <w:sz w:val="24"/>
        </w:rPr>
        <w:fldChar w:fldCharType="begin"/>
      </w:r>
      <w:r w:rsidRPr="00674764">
        <w:rPr>
          <w:rFonts w:ascii="Times New Roman" w:hAnsi="Times New Roman" w:cs="Times New Roman"/>
          <w:sz w:val="24"/>
        </w:rPr>
        <w:instrText xml:space="preserve"> ADDIN ZOTERO_ITEM CSL_CITATION {"citationID":"PNZhSjld","properties":{"formattedCitation":"({\\i0{}Kouame {\\i{}et al.}}, 2024)","plainCitation":"(Kouame et al., 2024)","noteIndex":0},"citationItems":[{"id":1039,"uris":["http://zotero.org/users/17472374/items/M8G3JQS3"],"itemData":{"id":1039,"type":"article-journal","abstract":"Introduction: The production and consumption of artisanal refreshing drinks (Bissap, Gnamankoudji) in the Haut Sassandra region are anchored in local culture. These artisanal drinks are experiencing considerable growth despite their artisanal and unstable production.\nObjective: The objective of this study is to diagnose the production of these artisanal drinks and to assess the potential risks associated with their consumption in the Haut Sassandra region.\nMethodology: A cross-sectional and retrospective survey was carried out with producers to make the diagnosis and with consumers to identify some main conditions linked to the consumption of these drinks. 52 producers were investigated, and 780 consumers were submitted to a questionnaire, for a total of 832 people audited.\nResults: Bissap and Gnamankoudji have many similar unit operations. In addition, Bissap undergoes heat treatment. The drinks are mostly packaged in used pots. The main conditions encountered were diarrhea (8.3% and 8.7%), belly bloating (2.4% and 2.8%), fever (1.80% and 2.30%), nausea (1.80% and 1.90%), vomiting (0.90% and 1%) respectively after consumption of Gnamankoudji and Bissap.\nConclusion: The study collected data on the production of artisanal drinks and the risks incurred by consumers. The consumption of these drinks represents a major risk for public health.","container-title":"International Journal of TROPICAL DISEASE &amp; Health","DOI":"10.9734/ijtdh/2024/v45i61547","ISSN":"2278-1005","issue":"6","journalAbbreviation":"IJTDH","page":"139-153","source":"DOI.org (Crossref)","title":"Assessment of Production and Risks of Consumption of Artisanal Refreshing Drinks (Bissap, Gnamankoudji) in Haut Sassandra (Daloa-Côte d'Ivoire)","volume":"45","author":[{"family":"Kouame","given":"Christelle Aya Bah Marie-Ange"},{"family":"Clement","given":"Kouassi Kouassi"},{"family":"Athanase","given":"Kouassi Kra"},{"family":"Ibrahim","given":"Konate"}],"issued":{"date-parts":[["2024",5,8]]}}}],"schema":"https://github.com/citation-style-language/schema/raw/master/csl-citation.json"}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(Kouame et al., 2024)</w:t>
      </w:r>
      <w:r w:rsidRPr="00674764">
        <w:rPr>
          <w:rFonts w:ascii="Times New Roman" w:hAnsi="Times New Roman" w:cs="Times New Roman"/>
          <w:sz w:val="24"/>
        </w:rPr>
        <w:fldChar w:fldCharType="end"/>
      </w:r>
      <w:r w:rsidR="00993D43">
        <w:rPr>
          <w:rFonts w:ascii="Times New Roman" w:hAnsi="Times New Roman" w:cs="Times New Roman"/>
          <w:sz w:val="24"/>
        </w:rPr>
        <w:t>.</w:t>
      </w:r>
      <w:r w:rsidRPr="00674764">
        <w:rPr>
          <w:rFonts w:ascii="Times New Roman" w:hAnsi="Times New Roman" w:cs="Times New Roman"/>
          <w:sz w:val="24"/>
        </w:rPr>
        <w:t>This enthusiasm stems from consumers' perception of these products as nutritious, healthy, a</w:t>
      </w:r>
      <w:r w:rsidR="00430E0A">
        <w:rPr>
          <w:rFonts w:ascii="Times New Roman" w:hAnsi="Times New Roman" w:cs="Times New Roman"/>
          <w:sz w:val="24"/>
        </w:rPr>
        <w:t xml:space="preserve">nd socially appealing beverages </w:t>
      </w:r>
      <w:r w:rsidRPr="00674764">
        <w:rPr>
          <w:rFonts w:ascii="Times New Roman" w:hAnsi="Times New Roman" w:cs="Times New Roman"/>
          <w:sz w:val="24"/>
        </w:rPr>
        <w:fldChar w:fldCharType="begin"/>
      </w:r>
      <w:r w:rsidRPr="00674764">
        <w:rPr>
          <w:rFonts w:ascii="Times New Roman" w:hAnsi="Times New Roman" w:cs="Times New Roman"/>
          <w:sz w:val="24"/>
        </w:rPr>
        <w:instrText xml:space="preserve"> ADDIN ZOTERO_ITEM CSL_CITATION {"citationID":"gkbdAr69","properties":{"formattedCitation":"({\\i0{}Aka {\\i{}et al.}}, 2020)","plainCitation":"(Aka et al., 2020)","noteIndex":0},"citationItems":[{"id":1035,"uris":["http://zotero.org/users/17472374/items/AA22EWC6"],"itemData":{"id":1035,"type":"article-journal","container-title":"International Journal of Food Microbiology","DOI":"10.1016/j.ijfoodmicro.2020.108547","ISSN":"01681605","journalAbbreviation":"International Journal of Food Microbiology","language":"en","page":"108547","source":"DOI.org (Crossref)","title":"Characterization of lactic acid bacteria isolated from a traditional Ivoirian beer process to develop starter cultures for safe sorghum-based beverages","volume":"322","author":[{"family":"Aka","given":"Solange"},{"family":"Dridi","given":"Bedis"},{"family":"Bolotin","given":"Alexandre"},{"family":"Yapo","given":"Elysée Armel"},{"family":"Koussemon-Camara","given":"Marina"},{"family":"Bonfoh","given":"Bassirou"},{"family":"Renault","given":"Pierre"}],"issued":{"date-parts":[["2020",6]]}}}],"schema":"https://github.com/citation-style-language/schema/raw/master/csl-citation.json"}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(Aka et al., 2020)</w:t>
      </w:r>
      <w:r w:rsidRPr="00674764">
        <w:rPr>
          <w:rFonts w:ascii="Times New Roman" w:hAnsi="Times New Roman" w:cs="Times New Roman"/>
          <w:sz w:val="24"/>
        </w:rPr>
        <w:fldChar w:fldCharType="end"/>
      </w:r>
      <w:r w:rsidR="00430E0A">
        <w:rPr>
          <w:rFonts w:ascii="Times New Roman" w:hAnsi="Times New Roman" w:cs="Times New Roman"/>
          <w:sz w:val="24"/>
        </w:rPr>
        <w:t xml:space="preserve">. </w:t>
      </w:r>
      <w:r w:rsidRPr="00674764">
        <w:rPr>
          <w:rFonts w:ascii="Times New Roman" w:hAnsi="Times New Roman" w:cs="Times New Roman"/>
          <w:sz w:val="24"/>
        </w:rPr>
        <w:t>Furthermore, the accessibility and low cost of these drinks allow a large majority of the population of the Daloa district (students, civil servants, employees, the unemployed, and shopkeeper</w:t>
      </w:r>
      <w:r w:rsidR="00993D43">
        <w:rPr>
          <w:rFonts w:ascii="Times New Roman" w:hAnsi="Times New Roman" w:cs="Times New Roman"/>
          <w:sz w:val="24"/>
        </w:rPr>
        <w:t xml:space="preserve">s) to easily refresh themselves </w:t>
      </w:r>
      <w:r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{"citationID":"qcxOcIgj","properties":{"formattedCitation":"({\\i0{}Kouassi {\\i{}et al.}}, 2018a)","plainCitation":"(Kouassi et al., 2018a)","dontUpdate":true,"noteIndex":0},"citationItems":[{"id":68,"uris":["http://zotero.org/users/17472374/items/IVL9LJHY"],"itemData":{"id":68,"type":"article-journal","abstract":"PDF | On Sep 21, 2018, Kouassi Clément KOUASSI and others published Microbial contamination of the non-alcoholic beverage Gnamakoudji made from Zingiber officinale in Daloa, Cte dIvoire | Find, read and cite all the research you need on ResearchGate","container-title":"ResearchGate","DOI":"10.5897/AJMR2018.8951","language":"fr","source":"www.researchgate.net","title":"(PDF) Microbial contamination of the non-alcoholic beverage Gnamakoudji made from Zingiber officinale in Daloa, Cte dIvoire","URL":"https://www.researchgate.net/publication/328533443_Microbial_contamination_of_the_non-alcoholic_beverage_Gnamakoudji_made_from_Zingiber_officinale_in_Daloa_Cte_dIvoire","author":[{"family":"Kouassi","given":"Kouassi Clément"},{"family":"Voko Bi","given":"Don-Rodrigue Rosin"},{"family":"Koffi","given":"Affoué Carole"},{"family":"KOUAME","given":"Konan Bekanti Eric-Bienvenue"}],"accessed":{"date-parts":[["2025",6,29]]},"issued":{"date-parts":[["2018"]]}}}],"schema":"https://github.com/citation-style-language/schema/raw/master/csl-citation.json"}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(Kouassi et al., 2018)</w:t>
      </w:r>
      <w:r w:rsidRPr="00674764">
        <w:rPr>
          <w:rFonts w:ascii="Times New Roman" w:hAnsi="Times New Roman" w:cs="Times New Roman"/>
          <w:sz w:val="24"/>
        </w:rPr>
        <w:fldChar w:fldCharType="end"/>
      </w:r>
      <w:r w:rsidR="00993D43">
        <w:rPr>
          <w:rFonts w:ascii="Times New Roman" w:hAnsi="Times New Roman" w:cs="Times New Roman"/>
          <w:sz w:val="24"/>
        </w:rPr>
        <w:t xml:space="preserve">. </w:t>
      </w:r>
      <w:r w:rsidRPr="00674764">
        <w:rPr>
          <w:rFonts w:ascii="Times New Roman" w:hAnsi="Times New Roman" w:cs="Times New Roman"/>
          <w:sz w:val="24"/>
        </w:rPr>
        <w:t>However, the safety of these drinks, sold along roadsides, in markets and densely populated areas, is not always guaranteed.</w:t>
      </w:r>
      <w:r w:rsidRPr="00674764">
        <w:rPr>
          <w:rFonts w:ascii="Times New Roman" w:hAnsi="Times New Roman" w:cs="Times New Roman"/>
          <w:sz w:val="24"/>
        </w:rPr>
        <w:fldChar w:fldCharType="begin"/>
      </w:r>
      <w:r w:rsidRPr="00674764">
        <w:rPr>
          <w:rFonts w:ascii="Times New Roman" w:hAnsi="Times New Roman" w:cs="Times New Roman"/>
          <w:sz w:val="24"/>
        </w:rPr>
        <w:instrText xml:space="preserve"> ADDIN ZOTERO_ITEM CSL_CITATION {"citationID":"cGYqV7aG","properties":{"formattedCitation":"({\\i0{}Attchelouwa {\\i{}et al.}}, 2017)","plainCitation":"(Attchelouwa et al., 2017)","noteIndex":0},"citationItems":[{"id":1043,"uris":["http://zotero.org/users/17472374/items/2BZRJ8Z2"],"itemData":{"id":1043,"type":"article-journal","abstract":"In order to extend shelf life of traditional sorghum beers, it is of importance to evaluate their spoilage characteristics. Therefore, the microbiological, biochemical, and sensory changes of the Ivorian sorghum beer tchapalo during storage at ambient temperature (28 to 30 °C) for four days and at 4 °C for six days were assessed. The aerobic mesophilic bacteria and the yeast counts remained stable during the storage time. However, variations were observed in the lactic acid bacteria and acetic acid bacteria counts. The deteriorating tchapalo acidity did not show significant variations. In contrast, the total soluble solids decreased at ambient temperature and remained stable at 4 °C. Lactic acid was a major compound during storage, and acetic acid was found at a detectable level of 1.26 mg/mL after the third day at ambient temperature. The ethanol contents increased significantly at ambient temperature after two days and then decreased but showed a fair decrease at 4 °C. Evaluating the beer’s appearance, odor, and taste, a panel considered the beers to be spoiled after two days when stored at 28 to 30 °C and after three days when stored at 4 °C.","container-title":"Beverages","DOI":"10.3390/beverages3030043","ISSN":"2306-5710","issue":"3","journalAbbreviation":"Beverages","language":"en","page":"43","source":"DOI.org (Crossref)","title":"Biochemical and Microbiological Changes during the Ivorian Sorghum Beer Deterioration at Different Storage Temperatures","volume":"3","author":[{"family":"Attchelouwa","given":"Constant"},{"family":"Aka-Gbézo","given":"Solange"},{"family":"N’guessan","given":"Florent"},{"family":"Kouakou","given":"Clémentine"},{"family":"Djè","given":"Marcellin"}],"issued":{"date-parts":[["2017",8,28]]}}}],"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(Attchelouwa et al., 2017)</w:t>
      </w:r>
      <w:r w:rsidRPr="00674764">
        <w:rPr>
          <w:rFonts w:ascii="Times New Roman" w:hAnsi="Times New Roman" w:cs="Times New Roman"/>
          <w:sz w:val="24"/>
        </w:rPr>
        <w:fldChar w:fldCharType="end"/>
      </w:r>
      <w:r w:rsidRPr="00674764">
        <w:rPr>
          <w:rFonts w:ascii="Times New Roman" w:hAnsi="Times New Roman" w:cs="Times New Roman"/>
          <w:sz w:val="24"/>
        </w:rPr>
        <w:t>Indeed, their production method is based on artisanal processes that require little te</w:t>
      </w:r>
      <w:r w:rsidR="00993D43">
        <w:rPr>
          <w:rFonts w:ascii="Times New Roman" w:hAnsi="Times New Roman" w:cs="Times New Roman"/>
          <w:sz w:val="24"/>
        </w:rPr>
        <w:t xml:space="preserve">chnical expertise and equipment </w:t>
      </w:r>
      <w:r w:rsidRPr="00674764">
        <w:rPr>
          <w:rFonts w:ascii="Times New Roman" w:hAnsi="Times New Roman" w:cs="Times New Roman"/>
          <w:sz w:val="24"/>
        </w:rPr>
        <w:fldChar w:fldCharType="begin"/>
      </w:r>
      <w:r w:rsidRPr="00674764">
        <w:rPr>
          <w:rFonts w:ascii="Times New Roman" w:hAnsi="Times New Roman" w:cs="Times New Roman"/>
          <w:sz w:val="24"/>
        </w:rPr>
        <w:instrText xml:space="preserve"> ADDIN ZOTERO_ITEM CSL_CITATION {"citationID":"j4KO5Cte","properties":{"formattedCitation":"({\\i0{}Attchelouwa {\\i{}et al.}}, 2017)","plainCitation":"(Attchelouwa et al., 2017)","noteIndex":0},"citationItems":[{"id":1043,"uris":["http://zotero.org/users/17472374/items/2BZRJ8Z2"],"itemData":{"id":1043,"type":"article-journal","abstract":"In order to extend shelf life of traditional sorghum beers, it is of importance to evaluate their spoilage characteristics. Therefore, the microbiological, biochemical, and sensory changes of the Ivorian sorghum beer tchapalo during storage at ambient temperature (28 to 30 °C) for four days and at 4 °C for six days were assessed. The aerobic mesophilic bacteria and the yeast counts remained stable during the storage time. However, variations were observed in the lactic acid bacteria and acetic acid bacteria counts. The deteriorating tchapalo acidity did not show significant variations. In contrast, the total soluble solids decreased at ambient temperature and remained stable at 4 °C. Lactic acid was a major compound during storage, and acetic acid was found at a detectable level of 1.26 mg/mL after the third day at ambient temperature. The ethanol contents increased significantly at ambient temperature after two days and then decreased but showed a fair decrease at 4 °C. Evaluating the beer’s appearance, odor, and taste, a panel considered the beers to be spoiled after two days when stored at 28 to 30 °C and after three days when stored at 4 °C.","container-title":"Beverages","DOI":"10.3390/beverages3030043","ISSN":"2306-5710","issue":"3","journalAbbreviation":"Beverages","language":"en","page":"43","source":"DOI.org (Crossref)","title":"Biochemical and Microbiological Changes during the Ivorian Sorghum Beer Deterioration at Different Storage Temperatures","volume":"3","author":[{"family":"Attchelouwa","given":"Constant"},{"family":"Aka-Gbézo","given":"Solange"},{"family":"N’guessan","given":"Florent"},{"family":"Kouakou","given":"Clémentine"},{"family":"Djè","given":"Marcellin"}],"issued":{"date-parts":[["2017",8,28]]}}}],"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(Attchelouwa et al., 2017)</w:t>
      </w:r>
      <w:r w:rsidRPr="00674764">
        <w:rPr>
          <w:rFonts w:ascii="Times New Roman" w:hAnsi="Times New Roman" w:cs="Times New Roman"/>
          <w:sz w:val="24"/>
        </w:rPr>
        <w:fldChar w:fldCharType="end"/>
      </w:r>
      <w:r w:rsidR="00993D43">
        <w:rPr>
          <w:rFonts w:ascii="Times New Roman" w:hAnsi="Times New Roman" w:cs="Times New Roman"/>
          <w:sz w:val="24"/>
        </w:rPr>
        <w:t xml:space="preserve">. </w:t>
      </w:r>
      <w:r w:rsidRPr="00674764">
        <w:rPr>
          <w:rFonts w:ascii="Times New Roman" w:hAnsi="Times New Roman" w:cs="Times New Roman"/>
          <w:sz w:val="24"/>
        </w:rPr>
        <w:t>The preparation kit, staff hygiene, and the condition of the production site are major causes of contamination of these beverages, negatively influencin</w:t>
      </w:r>
      <w:r w:rsidR="00993D43">
        <w:rPr>
          <w:rFonts w:ascii="Times New Roman" w:hAnsi="Times New Roman" w:cs="Times New Roman"/>
          <w:sz w:val="24"/>
        </w:rPr>
        <w:t xml:space="preserve">g their microbiological quality </w:t>
      </w:r>
      <w:r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{"citationID":"k7SO58yH","properties":{"formattedCitation":"({\\i0{}Ahon {\\i{}et al.}}, 2022)","plainCitation":"(Ahon et al., 2022)","noteIndex":0},"citationItems":[{"id":"0cqukldy/b9So9SjO","uris":["http://zotero.org/users/17472374/items/3ED6AWSH"],"itemData":{"id":1032,"type":"article-journal","container-title":"Open Journal of Applied Sciences","DOI":"10.4236/ojapps.2022.126066","ISSN":"2165-3917, 2165-3925","issue":"06","journalAbbreviation":"OJAppS","page":"964-976","source":"DOI.org (Crossref)","title":"Physicochemical and Microbiological Properties of Bissap (&amp;lt;i&amp;gt;Hibiscus sabdariffa&amp;lt;/i&amp;gt;) and Ginger (&amp;lt;i&amp;gt;Zingiber officinale&amp;lt;/i&amp;gt; (L) Rose) Juices Sold in the Western Part of Abidjan (C&amp;#244;te d’Ivoire)","volume":"12","author":[{"family":"Ahon","given":"Gnamien Marcel"},{"family":"Bolou","given":"Gbouhoury Eric-Kévin"},{"family":"Fofana","given":"Mamadou"},{"family":"Amoikon","given":"Kouakou Ernest"}],"issued":{"date-parts":[["2022"]]}}}],"schema":"https://github.com/citation-style-language/schema/raw/master/csl-citation.json"}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(Ahon et al., 2022)</w:t>
      </w:r>
      <w:r w:rsidRPr="00674764">
        <w:rPr>
          <w:rFonts w:ascii="Times New Roman" w:hAnsi="Times New Roman" w:cs="Times New Roman"/>
          <w:sz w:val="24"/>
        </w:rPr>
        <w:fldChar w:fldCharType="end"/>
      </w:r>
      <w:r w:rsidR="00993D43">
        <w:rPr>
          <w:rFonts w:ascii="Times New Roman" w:hAnsi="Times New Roman" w:cs="Times New Roman"/>
          <w:sz w:val="24"/>
        </w:rPr>
        <w:t xml:space="preserve">. </w:t>
      </w:r>
      <w:r w:rsidRPr="00674764">
        <w:rPr>
          <w:rFonts w:ascii="Times New Roman" w:hAnsi="Times New Roman" w:cs="Times New Roman"/>
          <w:sz w:val="24"/>
        </w:rPr>
        <w:t>Studies conducted in Daloa revealed the presence of spoilage and contamination microbial flora, including thermotolerant colifo</w:t>
      </w:r>
      <w:r w:rsidR="00993D43">
        <w:rPr>
          <w:rFonts w:ascii="Times New Roman" w:hAnsi="Times New Roman" w:cs="Times New Roman"/>
          <w:sz w:val="24"/>
        </w:rPr>
        <w:t xml:space="preserve">rms, in samples of Bissap juice </w:t>
      </w:r>
      <w:r w:rsidRPr="00674764">
        <w:rPr>
          <w:rFonts w:ascii="Times New Roman" w:hAnsi="Times New Roman" w:cs="Times New Roman"/>
          <w:sz w:val="24"/>
        </w:rPr>
        <w:fldChar w:fldCharType="begin"/>
      </w:r>
      <w:r w:rsidRPr="00674764">
        <w:rPr>
          <w:rFonts w:ascii="Times New Roman" w:hAnsi="Times New Roman" w:cs="Times New Roman"/>
          <w:sz w:val="24"/>
        </w:rPr>
        <w:instrText xml:space="preserve"> ADDIN ZOTERO_ITEM CSL_CITATION {"citationID":"GGmXnJqP","properties":{"formattedCitation":"({\\i0{}Sangare-Tigori {\\i{}et al.}}, 2006)","plainCitation":"(Sangare-Tigori et al., 2006)","noteIndex":0},"citationItems":[{"id":1048,"uris":["http://zotero.org/users/17472374/items/RDXI6E2N"],"itemData":{"id":1048,"type":"article-journal","abstract":"In a preliminary study, samples of millet (n=33) maize (n=41), rice (n=10) and peanuts (n=10) from Côte d'Ivoire were analysed for ochratoxin A (OTA) by HPLC with fluorimetric detection, followed by confirmation by cleavage of the OTA molecule using carboxypeptidase with HPLC separation and fluorimetric quantification of the released ochratoxin alpha (OTα). With the exception of four samples of peanuts, all samples showed OTA contamination, ranging from 3 to 1738 μg/kg. All cereals were contaminated and the OTA concentrations were in the range of 17-204 μg/kg for millet, 3-1738 μg/kg for maize, 9-92 μg/kg for rice and 0.6-64 μg/kg for peanuts, depending on the year of harvest.\n            Most of the samples would not be accepted according to the EU regulatory limits for this mycotoxin. Following this survey, research for other mycotoxins and the evaluation of the exposure of the population is under-way.","container-title":"Human &amp; Experimental Toxicology","DOI":"10.1191/0960327106ht605oa","ISSN":"0960-3271, 1477-0903","issue":"4","journalAbbreviation":"Hum Exp Toxicol","language":"en","license":"https://journals.sagepub.com/page/policies/text-and-data-mining-license","page":"211-216","source":"DOI.org (Crossref)","title":"Preliminary survey of ochratoxin A in millet, maize, rice and peanuts in Côte d'Ivoire from 1998 to 2002","volume":"25","author":[{"family":"Sangare-Tigori","given":"B"},{"family":"Dem","given":"A A"},{"family":"Kouadio","given":"H J"},{"family":"Betbeder","given":"A-M"},{"family":"Dano","given":"D S"},{"family":"Moukha","given":"S"},{"family":"Creppy","given":"E E"}],"issued":{"date-parts":[["2006",4]]}}}],"schema":"https://github.com/citation-style-language/schema/raw/master/csl-citation.json"}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(Sangare-Tigori et al., 2006)</w:t>
      </w:r>
      <w:r w:rsidRPr="00674764">
        <w:rPr>
          <w:rFonts w:ascii="Times New Roman" w:hAnsi="Times New Roman" w:cs="Times New Roman"/>
          <w:sz w:val="24"/>
        </w:rPr>
        <w:fldChar w:fldCharType="end"/>
      </w:r>
      <w:r w:rsidR="00993D43">
        <w:rPr>
          <w:rFonts w:ascii="Times New Roman" w:hAnsi="Times New Roman" w:cs="Times New Roman"/>
          <w:sz w:val="24"/>
        </w:rPr>
        <w:t xml:space="preserve">. </w:t>
      </w:r>
      <w:r w:rsidRPr="00674764">
        <w:rPr>
          <w:rFonts w:ascii="Times New Roman" w:hAnsi="Times New Roman" w:cs="Times New Roman"/>
          <w:sz w:val="24"/>
        </w:rPr>
        <w:t>Similarly, studies on Gnamankoudji and Bissap have r</w:t>
      </w:r>
      <w:r w:rsidR="00993D43">
        <w:rPr>
          <w:rFonts w:ascii="Times New Roman" w:hAnsi="Times New Roman" w:cs="Times New Roman"/>
          <w:sz w:val="24"/>
        </w:rPr>
        <w:t xml:space="preserve">evealed mycotoxin contamination </w:t>
      </w:r>
      <w:r w:rsidRPr="00674764">
        <w:rPr>
          <w:rFonts w:ascii="Times New Roman" w:hAnsi="Times New Roman" w:cs="Times New Roman"/>
          <w:sz w:val="24"/>
        </w:rPr>
        <w:fldChar w:fldCharType="begin"/>
      </w:r>
      <w:r w:rsidRPr="00674764">
        <w:rPr>
          <w:rFonts w:ascii="Times New Roman" w:hAnsi="Times New Roman" w:cs="Times New Roman"/>
          <w:sz w:val="24"/>
        </w:rPr>
        <w:instrText xml:space="preserve"> ADDIN ZOTERO_ITEM CSL_CITATION {"citationID":"iSOR9Mzg","properties":{"formattedCitation":"({\\i0{}Sangare-Tigori {\\i{}et al.}}, 2006)","plainCitation":"(Sangare-Tigori et al., 2006)","noteIndex":0},"citationItems":[{"id":1048,"uris":["http://zotero.org/users/17472374/items/RDXI6E2N"],"itemData":{"id":1048,"type":"article-journal","abstract":"In a preliminary study, samples of millet (n=33) maize (n=41), rice (n=10) and peanuts (n=10) from Côte d'Ivoire were analysed for ochratoxin A (OTA) by HPLC with fluorimetric detection, followed by confirmation by cleavage of the OTA molecule using carboxypeptidase with HPLC separation and fluorimetric quantification of the released ochratoxin alpha (OTα). With the exception of four samples of peanuts, all samples showed OTA contamination, ranging from 3 to 1738 μg/kg. All cereals were contaminated and the OTA concentrations were in the range of 17-204 μg/kg for millet, 3-1738 μg/kg for maize, 9-92 μg/kg for rice and 0.6-64 μg/kg for peanuts, depending on the year of harvest.\n            Most of the samples would not be accepted according to the EU regulatory limits for this mycotoxin. Following this survey, research for other mycotoxins and the evaluation of the exposure of the population is under-way.","container-title":"Human &amp; Experimental Toxicology","DOI":"10.1191/0960327106ht605oa","ISSN":"0960-3271, 1477-0903","issue":"4","journalAbbreviation":"Hum Exp Toxicol","language":"en","license":"https://journals.sagepub.com/page/policies/text-and-data-mining-license","page":"211-216","source":"DOI.org (Crossref)","title":"Preliminary survey of ochratoxin A in millet, maize, rice and peanuts in Côte d'Ivoire from 1998 to 2002","volume":"25","author":[{"family":"Sangare-Tigori","given":"B"},{"family":"Dem","given":"A A"},{"family":"Kouadio","given":"H J"},{"family":"Betbeder","given":"A-M"},{"family":"Dano","given":"D S"},{"family":"Moukha","given":"S"},{"family":"Creppy","given":"E E"}],"issued":{"date-parts":[["2006",4]]}}}],"schema":"https://github.com/citation-style-language/schema/raw/master/csl-citation.json"}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(Sangare-Tigori et al., 2006)</w:t>
      </w:r>
      <w:r w:rsidRPr="00674764">
        <w:rPr>
          <w:rFonts w:ascii="Times New Roman" w:hAnsi="Times New Roman" w:cs="Times New Roman"/>
          <w:sz w:val="24"/>
        </w:rPr>
        <w:fldChar w:fldCharType="end"/>
      </w:r>
      <w:r w:rsidR="00993D43">
        <w:rPr>
          <w:rFonts w:ascii="Times New Roman" w:hAnsi="Times New Roman" w:cs="Times New Roman"/>
          <w:sz w:val="24"/>
        </w:rPr>
        <w:t>.</w:t>
      </w:r>
      <w:r w:rsidRPr="00674764">
        <w:rPr>
          <w:rFonts w:ascii="Times New Roman" w:hAnsi="Times New Roman" w:cs="Times New Roman"/>
          <w:sz w:val="24"/>
        </w:rPr>
        <w:t>The levels of these beverages, which sometimes exceed European recommendations, pose a risk to consumer health. They constitute a veritable reservoir of pathogenic microorganisms, causing</w:t>
      </w:r>
      <w:r w:rsidR="00741D64">
        <w:rPr>
          <w:rFonts w:ascii="Times New Roman" w:hAnsi="Times New Roman" w:cs="Times New Roman"/>
          <w:sz w:val="24"/>
        </w:rPr>
        <w:t xml:space="preserve"> various illnesses in consumers </w:t>
      </w:r>
      <w:r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{"citationID":"YWY57B0B","properties":{"formattedCitation":"({\\i0{}Ahon {\\i{}et al.}}, 2022)","plainCitation":"(Ahon et al., 2022)","noteIndex":0},"citationItems":[{"id":"0cqukldy/b9So9SjO","uris":["http://zotero.org/users/17472374/items/3ED6AWSH"],"itemData":{"id":1032,"type":"article-journal","container-title":"Open Journal of Applied Sciences","DOI":"10.4236/ojapps.2022.126066","ISSN":"2165-3917, 2165-3925","issue":"06","journalAbbreviation":"OJAppS","page":"964-976","source":"DOI.org (Crossref)","title":"Physicochemical and Microbiological Properties of Bissap (&amp;lt;i&amp;gt;Hibiscus sabdariffa&amp;lt;/i&amp;gt;) and Ginger (&amp;lt;i&amp;gt;Zingiber officinale&amp;lt;/i&amp;gt; (L) Rose) Juices Sold in the Western Part of Abidjan (C&amp;#244;te d’Ivoire)","volume":"12","author":[{"family":"Ahon","given":"Gnamien Marcel"},{"family":"Bolou","given":"Gbouhoury Eric-Kévin"},{"family":"Fofana","given":"Mamadou"},{"family":"Amoikon","given":"Kouakou Ernest"}],"issued":{"date-parts":[["2022"]]}}}],"schema":"https://github.com/citation-style-language/schema/raw/master/csl-citation.json"}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(Ahon et al., 2022)</w:t>
      </w:r>
      <w:r w:rsidRPr="00674764">
        <w:rPr>
          <w:rFonts w:ascii="Times New Roman" w:hAnsi="Times New Roman" w:cs="Times New Roman"/>
          <w:sz w:val="24"/>
        </w:rPr>
        <w:fldChar w:fldCharType="end"/>
      </w:r>
      <w:r w:rsidR="00741D64">
        <w:rPr>
          <w:rFonts w:ascii="Times New Roman" w:hAnsi="Times New Roman" w:cs="Times New Roman"/>
          <w:sz w:val="24"/>
        </w:rPr>
        <w:t xml:space="preserve">. </w:t>
      </w:r>
      <w:r w:rsidRPr="00674764">
        <w:rPr>
          <w:rFonts w:ascii="Times New Roman" w:hAnsi="Times New Roman" w:cs="Times New Roman"/>
          <w:sz w:val="24"/>
        </w:rPr>
        <w:t>Foodborne illnesses (FBIs) are a major cause of morbidity and mortality worldwide, and par</w:t>
      </w:r>
      <w:r w:rsidR="00993D43">
        <w:rPr>
          <w:rFonts w:ascii="Times New Roman" w:hAnsi="Times New Roman" w:cs="Times New Roman"/>
          <w:sz w:val="24"/>
        </w:rPr>
        <w:t xml:space="preserve">ticularly in sub-Saharan Africa </w:t>
      </w:r>
      <w:r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{"citationID":"I3U2hZ7y","properties":{"formattedCitation":"(OMS, 2015)","plainCitation":"(OMS, 2015)","dontUpdate":true,"noteIndex":0},"citationItems":[{"id":1052,"uris":["http://zotero.org/users/17472374/items/68APUJ2R"],"itemData":{"id":1052,"type":"webpage","abstract":"The report presents the first global and regional estimates of the burden of foodborne diseases. The large disease burden from food highlights the importance of food safety, particularly in Africa, South-East Asia and other regions.","language":"fr","title":"WHO estimates of the global burden of foodborne diseases: foodborne diseases burden epidemiology reference group 2007-2015","title-short":"WHO estimates of the global burden of foodborne diseases","URL":"https://www.who.int/publications/i/item/9789241565165","author":[{"family":"OMS","given":""}],"accessed":{"date-parts":[["2025",11,30]]},"issued":{"date-parts":[["2015"]]}}}],"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rPr>
        <w:t>(WHO, 2015)</w:t>
      </w:r>
      <w:r w:rsidRPr="00674764">
        <w:rPr>
          <w:rFonts w:ascii="Times New Roman" w:hAnsi="Times New Roman" w:cs="Times New Roman"/>
          <w:sz w:val="24"/>
        </w:rPr>
        <w:fldChar w:fldCharType="end"/>
      </w:r>
      <w:r w:rsidR="00741D64">
        <w:rPr>
          <w:rFonts w:ascii="Times New Roman" w:hAnsi="Times New Roman" w:cs="Times New Roman"/>
          <w:sz w:val="24"/>
        </w:rPr>
        <w:t>.</w:t>
      </w:r>
      <w:r w:rsidRPr="00674764">
        <w:rPr>
          <w:rFonts w:ascii="Times New Roman" w:hAnsi="Times New Roman" w:cs="Times New Roman"/>
          <w:sz w:val="24"/>
        </w:rPr>
        <w:t>The World Health Organization (WHO) estimates that n</w:t>
      </w:r>
      <w:r w:rsidR="00741D64">
        <w:rPr>
          <w:rFonts w:ascii="Times New Roman" w:hAnsi="Times New Roman" w:cs="Times New Roman"/>
          <w:sz w:val="24"/>
        </w:rPr>
        <w:t xml:space="preserve">early a third of deaths from </w:t>
      </w:r>
      <w:r w:rsidR="00741D64" w:rsidRPr="00674764">
        <w:rPr>
          <w:rFonts w:ascii="Times New Roman" w:hAnsi="Times New Roman" w:cs="Times New Roman"/>
          <w:sz w:val="24"/>
        </w:rPr>
        <w:t>FBIs</w:t>
      </w:r>
      <w:r w:rsidRPr="00674764">
        <w:rPr>
          <w:rFonts w:ascii="Times New Roman" w:hAnsi="Times New Roman" w:cs="Times New Roman"/>
          <w:sz w:val="24"/>
        </w:rPr>
        <w:t xml:space="preserve"> occur in Africa, particularl</w:t>
      </w:r>
      <w:r w:rsidR="000E3E17">
        <w:rPr>
          <w:rFonts w:ascii="Times New Roman" w:hAnsi="Times New Roman" w:cs="Times New Roman"/>
          <w:sz w:val="24"/>
        </w:rPr>
        <w:t xml:space="preserve">y affecting children under five </w:t>
      </w:r>
      <w:r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{"citationID":"06YtfaXc","properties":{"formattedCitation":"(OMS, 2024)","plainCitation":"(OMS, 2024)","dontUpdate":true,"noteIndex":0},"citationItems":[{"id":777,"uris":["http://zotero.org/users/17472374/items/QXFK4HZP"],"itemData":{"id":777,"type":"webpage","abstract":"Food safety fact sheet provides key facts and information on major foodborne illnesses, causes, evolving world and food safety and WHO response.","language":"fr","title":"Food safety","URL":"https://www.who.int/news-room/fact-sheets/detail/food-safety","author":[{"family":"OMS","given":""}],"accessed":{"date-parts":[["2025",10,9]]},"issued":{"date-parts":[["2024"]]}}}],"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rPr>
        <w:t>(WHO, 2024)</w:t>
      </w:r>
      <w:r w:rsidRPr="00674764">
        <w:rPr>
          <w:rFonts w:ascii="Times New Roman" w:hAnsi="Times New Roman" w:cs="Times New Roman"/>
          <w:sz w:val="24"/>
        </w:rPr>
        <w:fldChar w:fldCharType="end"/>
      </w:r>
      <w:r w:rsidR="000E3E17">
        <w:rPr>
          <w:rFonts w:ascii="Times New Roman" w:hAnsi="Times New Roman" w:cs="Times New Roman"/>
          <w:sz w:val="24"/>
        </w:rPr>
        <w:t xml:space="preserve">. </w:t>
      </w:r>
      <w:r w:rsidRPr="00674764">
        <w:rPr>
          <w:rFonts w:ascii="Times New Roman" w:hAnsi="Times New Roman" w:cs="Times New Roman"/>
          <w:sz w:val="24"/>
        </w:rPr>
        <w:t>In the specific context of the Daloa district, surveys reported that consumers of artisanal beverages experienced illnesses characterized by diarrhea, vomiti</w:t>
      </w:r>
      <w:r w:rsidR="000E3E17">
        <w:rPr>
          <w:rFonts w:ascii="Times New Roman" w:hAnsi="Times New Roman" w:cs="Times New Roman"/>
          <w:sz w:val="24"/>
        </w:rPr>
        <w:t xml:space="preserve">ng, fever, and stomach bloating </w:t>
      </w:r>
      <w:r w:rsidRPr="00674764">
        <w:rPr>
          <w:rFonts w:ascii="Times New Roman" w:hAnsi="Times New Roman" w:cs="Times New Roman"/>
          <w:sz w:val="24"/>
        </w:rPr>
        <w:fldChar w:fldCharType="begin"/>
      </w:r>
      <w:r w:rsidRPr="00674764">
        <w:rPr>
          <w:rFonts w:ascii="Times New Roman" w:hAnsi="Times New Roman" w:cs="Times New Roman"/>
          <w:sz w:val="24"/>
        </w:rPr>
        <w:instrText xml:space="preserve"> ADDIN ZOTERO_ITEM CSL_CITATION {"citationID":"WgOMLuGL","properties":{"formattedCitation":"({\\i0{}Kouame {\\i{}et al.}}, 2024)","plainCitation":"(Kouame et al., 2024)","noteIndex":0},"citationItems":[{"id":1039,"uris":["http://zotero.org/users/17472374/items/M8G3JQS3"],"itemData":{"id":1039,"type":"article-journal","abstract":"Introduction: The production and consumption of artisanal refreshing drinks (Bissap, Gnamankoudji) in the Haut Sassandra region are anchored in local culture. These artisanal drinks are experiencing considerable growth despite their artisanal and unstable production.\nObjective: The objective of this study is to diagnose the production of these artisanal drinks and to assess the potential risks associated with their consumption in the Haut Sassandra region.\nMethodology: A cross-sectional and retrospective survey was carried out with producers to make the diagnosis and with consumers to identify some main conditions linked to the consumption of these drinks. 52 producers were investigated, and 780 consumers were submitted to a questionnaire, for a total of 832 people audited.\nResults: Bissap and Gnamankoudji have many similar unit operations. In addition, Bissap undergoes heat treatment. The drinks are mostly packaged in used pots. The main conditions encountered were diarrhea (8.3% and 8.7%), belly bloating (2.4% and 2.8%), fever (1.80% and 2.30%), nausea (1.80% and 1.90%), vomiting (0.90% and 1%) respectively after consumption of Gnamankoudji and Bissap.\nConclusion: The study collected data on the production of artisanal drinks and the risks incurred by consumers. The consumption of these drinks represents a major risk for public health.","container-title":"International Journal of TROPICAL DISEASE &amp; Health","DOI":"10.9734/ijtdh/2024/v45i61547","ISSN":"2278-1005","issue":"6","journalAbbreviation":"IJTDH","page":"139-153","source":"DOI.org (Crossref)","title":"Assessment of Production and Risks of Consumption of Artisanal Refreshing Drinks (Bissap, Gnamankoudji) in Haut Sassandra (Daloa-Côte d'Ivoire)","volume":"45","author":[{"family":"Kouame","given":"Christelle Aya Bah Marie-Ange"},{"family":"Clement","given":"Kouassi Kouassi"},{"family":"Athanase","given":"Kouassi Kra"},{"family":"Ibrahim","given":"Konate"}],"issued":{"date-parts":[["2024",5,8]]}}}],"schema":"https://github.com/citation-style-language/schema/raw/master/csl-citation.json"}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szCs w:val="24"/>
        </w:rPr>
        <w:t>(Kouame et al., 2024)</w:t>
      </w:r>
      <w:r w:rsidRPr="00674764">
        <w:rPr>
          <w:rFonts w:ascii="Times New Roman" w:hAnsi="Times New Roman" w:cs="Times New Roman"/>
          <w:sz w:val="24"/>
        </w:rPr>
        <w:fldChar w:fldCharType="end"/>
      </w:r>
      <w:r w:rsidR="000E3E17">
        <w:rPr>
          <w:rFonts w:ascii="Times New Roman" w:hAnsi="Times New Roman" w:cs="Times New Roman"/>
          <w:sz w:val="24"/>
        </w:rPr>
        <w:t>.</w:t>
      </w:r>
      <w:r w:rsidRPr="00674764">
        <w:rPr>
          <w:rFonts w:ascii="Times New Roman" w:hAnsi="Times New Roman" w:cs="Times New Roman"/>
          <w:sz w:val="24"/>
        </w:rPr>
        <w:t>The situation in the Daloa health district illustrates the broader challenges related to the food safety of artisanal beverages in sub-Saharan Africa, particularly in the context of street food. This study therefore aims to identify the microbial flora in Bissap and Gnamankoudji sold in the Daloa health district (Haut Sassandra region).</w:t>
      </w:r>
    </w:p>
    <w:p w14:paraId="5842B6AA" w14:textId="77777777" w:rsidR="00674764" w:rsidRPr="00674764" w:rsidRDefault="00674764" w:rsidP="00674764">
      <w:pPr>
        <w:spacing w:line="360" w:lineRule="auto"/>
        <w:jc w:val="both"/>
        <w:rPr>
          <w:rFonts w:ascii="Times New Roman" w:hAnsi="Times New Roman" w:cs="Times New Roman"/>
          <w:sz w:val="24"/>
        </w:rPr>
      </w:pPr>
    </w:p>
    <w:p w14:paraId="12668B13" w14:textId="77777777" w:rsidR="00674764" w:rsidRPr="00674764" w:rsidRDefault="00674764" w:rsidP="00674764">
      <w:pPr>
        <w:spacing w:line="360" w:lineRule="auto"/>
        <w:jc w:val="both"/>
        <w:rPr>
          <w:rFonts w:ascii="Times New Roman" w:hAnsi="Times New Roman" w:cs="Times New Roman"/>
          <w:sz w:val="24"/>
        </w:rPr>
      </w:pPr>
    </w:p>
    <w:p w14:paraId="02F2204A" w14:textId="77777777" w:rsidR="00674764" w:rsidRPr="00674764" w:rsidRDefault="00674764" w:rsidP="00674764">
      <w:pPr>
        <w:spacing w:line="360" w:lineRule="auto"/>
        <w:jc w:val="both"/>
        <w:rPr>
          <w:rFonts w:ascii="Times New Roman" w:hAnsi="Times New Roman" w:cs="Times New Roman"/>
          <w:sz w:val="24"/>
        </w:rPr>
      </w:pPr>
    </w:p>
    <w:p w14:paraId="1DCD55D5" w14:textId="77777777" w:rsidR="00674764" w:rsidRPr="00674764" w:rsidRDefault="00674764" w:rsidP="00674764">
      <w:pPr>
        <w:numPr>
          <w:ilvl w:val="0"/>
          <w:numId w:val="4"/>
        </w:numPr>
        <w:spacing w:line="360" w:lineRule="auto"/>
        <w:contextualSpacing/>
        <w:jc w:val="both"/>
        <w:rPr>
          <w:rFonts w:ascii="Times New Roman" w:hAnsi="Times New Roman" w:cs="Times New Roman"/>
          <w:sz w:val="24"/>
        </w:rPr>
      </w:pPr>
      <w:r w:rsidRPr="00674764">
        <w:rPr>
          <w:rFonts w:ascii="Times New Roman" w:hAnsi="Times New Roman" w:cs="Times New Roman"/>
          <w:b/>
          <w:sz w:val="24"/>
        </w:rPr>
        <w:lastRenderedPageBreak/>
        <w:t>MATERIALS AND METHODS</w:t>
      </w:r>
    </w:p>
    <w:p w14:paraId="69628087" w14:textId="61BCD18C" w:rsidR="00674764" w:rsidRPr="00674764" w:rsidRDefault="00D426AD" w:rsidP="00674764">
      <w:pPr>
        <w:keepNext/>
        <w:numPr>
          <w:ilvl w:val="1"/>
          <w:numId w:val="4"/>
        </w:numPr>
        <w:tabs>
          <w:tab w:val="left" w:pos="600"/>
        </w:tabs>
        <w:spacing w:after="60" w:line="360" w:lineRule="auto"/>
        <w:jc w:val="both"/>
        <w:outlineLvl w:val="1"/>
        <w:rPr>
          <w:rFonts w:ascii="Times New Roman" w:hAnsi="Times New Roman" w:cs="Times New Roman"/>
          <w:b/>
          <w:sz w:val="24"/>
          <w:szCs w:val="20"/>
          <w:lang w:val="en-US"/>
        </w:rPr>
      </w:pPr>
      <w:bookmarkStart w:id="0" w:name="_Toc128740971"/>
      <w:r>
        <w:rPr>
          <w:rFonts w:ascii="Times New Roman" w:hAnsi="Times New Roman" w:cs="Times New Roman"/>
          <w:b/>
          <w:sz w:val="24"/>
          <w:szCs w:val="20"/>
          <w:lang w:val="en-US"/>
        </w:rPr>
        <w:t xml:space="preserve"> </w:t>
      </w:r>
      <w:r w:rsidR="00674764" w:rsidRPr="00674764">
        <w:rPr>
          <w:rFonts w:ascii="Times New Roman" w:hAnsi="Times New Roman" w:cs="Times New Roman"/>
          <w:b/>
          <w:sz w:val="24"/>
          <w:szCs w:val="20"/>
          <w:lang w:val="en-US"/>
        </w:rPr>
        <w:t>Raw material</w:t>
      </w:r>
    </w:p>
    <w:p w14:paraId="02E9BC13" w14:textId="77777777" w:rsidR="00674764" w:rsidRPr="00674764" w:rsidRDefault="00674764" w:rsidP="00674764">
      <w:pPr>
        <w:spacing w:line="360" w:lineRule="auto"/>
        <w:jc w:val="both"/>
        <w:rPr>
          <w:rFonts w:ascii="Times New Roman" w:hAnsi="Times New Roman" w:cs="Times New Roman"/>
          <w:i/>
          <w:sz w:val="24"/>
          <w:szCs w:val="20"/>
          <w:lang w:val="en-US"/>
        </w:rPr>
      </w:pPr>
      <w:r w:rsidRPr="00674764">
        <w:rPr>
          <w:rFonts w:ascii="Times New Roman" w:hAnsi="Times New Roman" w:cs="Times New Roman"/>
          <w:sz w:val="24"/>
          <w:lang w:val="en-US"/>
        </w:rPr>
        <w:t>This experimental study focused on artisanal non-alcoholic beverages sold in the Daloa health district (Ivory Coast), namely Bissap and Gnamankoudji.</w:t>
      </w:r>
      <w:r w:rsidRPr="00674764">
        <w:rPr>
          <w:rFonts w:ascii="Times New Roman" w:hAnsi="Times New Roman" w:cs="Times New Roman"/>
          <w:b/>
          <w:sz w:val="24"/>
          <w:szCs w:val="20"/>
          <w:lang w:val="en-US"/>
        </w:rPr>
        <w:t xml:space="preserve">                                   </w:t>
      </w:r>
    </w:p>
    <w:p w14:paraId="5BE0D022" w14:textId="77777777" w:rsidR="00674764" w:rsidRPr="00674764" w:rsidRDefault="00674764" w:rsidP="00674764">
      <w:pPr>
        <w:keepNext/>
        <w:spacing w:after="0" w:line="360" w:lineRule="auto"/>
        <w:ind w:left="10" w:right="-15"/>
        <w:jc w:val="both"/>
      </w:pPr>
      <w:r w:rsidRPr="00674764">
        <w:rPr>
          <w:noProof/>
          <w:lang w:eastAsia="fr-FR"/>
        </w:rPr>
        <w:drawing>
          <wp:inline distT="0" distB="0" distL="0" distR="0" wp14:anchorId="3CE11055" wp14:editId="213C5496">
            <wp:extent cx="4865915" cy="2543449"/>
            <wp:effectExtent l="0" t="0" r="0" b="0"/>
            <wp:docPr id="1" name="Image 1" descr="Boissons Bissap et Gnamankoudji avec couleur de Gnamankoudji harmoni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Boissons Bissap et Gnamankoudji avec couleur de Gnamankoudji harmonisé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77425" cy="2549466"/>
                    </a:xfrm>
                    <a:prstGeom prst="rect">
                      <a:avLst/>
                    </a:prstGeom>
                    <a:noFill/>
                    <a:ln>
                      <a:noFill/>
                    </a:ln>
                  </pic:spPr>
                </pic:pic>
              </a:graphicData>
            </a:graphic>
          </wp:inline>
        </w:drawing>
      </w:r>
    </w:p>
    <w:p w14:paraId="5A9DA123" w14:textId="77777777" w:rsidR="00674764" w:rsidRPr="00674764" w:rsidRDefault="00674764" w:rsidP="00674764">
      <w:pPr>
        <w:spacing w:after="200" w:line="360" w:lineRule="auto"/>
        <w:jc w:val="both"/>
        <w:rPr>
          <w:rFonts w:ascii="Times New Roman" w:eastAsia="Times New Roman" w:hAnsi="Times New Roman" w:cs="Times New Roman"/>
          <w:iCs/>
          <w:sz w:val="36"/>
          <w:szCs w:val="18"/>
          <w:lang w:eastAsia="fr-FR"/>
        </w:rPr>
      </w:pPr>
      <w:r w:rsidRPr="00674764">
        <w:rPr>
          <w:rFonts w:ascii="Times New Roman" w:eastAsia="Times New Roman" w:hAnsi="Times New Roman" w:cs="Times New Roman"/>
          <w:iCs/>
          <w:sz w:val="24"/>
          <w:szCs w:val="18"/>
          <w:lang w:eastAsia="fr-FR"/>
        </w:rPr>
        <w:t xml:space="preserve">Figure </w:t>
      </w:r>
      <w:r w:rsidRPr="00674764">
        <w:rPr>
          <w:rFonts w:ascii="Times New Roman" w:eastAsia="Times New Roman" w:hAnsi="Times New Roman" w:cs="Times New Roman"/>
          <w:iCs/>
          <w:sz w:val="24"/>
          <w:szCs w:val="18"/>
          <w:lang w:eastAsia="fr-FR"/>
        </w:rPr>
        <w:fldChar w:fldCharType="begin"/>
      </w:r>
      <w:r w:rsidRPr="00674764">
        <w:rPr>
          <w:rFonts w:ascii="Times New Roman" w:eastAsia="Times New Roman" w:hAnsi="Times New Roman" w:cs="Times New Roman"/>
          <w:iCs/>
          <w:sz w:val="24"/>
          <w:szCs w:val="18"/>
          <w:lang w:eastAsia="fr-FR"/>
        </w:rPr>
        <w:instrText xml:space="preserve"> SEQ Figure \* ARABIC </w:instrText>
      </w:r>
      <w:r w:rsidRPr="00674764">
        <w:rPr>
          <w:rFonts w:ascii="Times New Roman" w:eastAsia="Times New Roman" w:hAnsi="Times New Roman" w:cs="Times New Roman"/>
          <w:iCs/>
          <w:sz w:val="24"/>
          <w:szCs w:val="18"/>
          <w:lang w:eastAsia="fr-FR"/>
        </w:rPr>
        <w:fldChar w:fldCharType="separate"/>
      </w:r>
      <w:r w:rsidRPr="00674764">
        <w:rPr>
          <w:rFonts w:ascii="Times New Roman" w:eastAsia="Times New Roman" w:hAnsi="Times New Roman" w:cs="Times New Roman"/>
          <w:iCs/>
          <w:noProof/>
          <w:sz w:val="24"/>
          <w:szCs w:val="18"/>
          <w:lang w:eastAsia="fr-FR"/>
        </w:rPr>
        <w:t>1</w:t>
      </w:r>
      <w:r w:rsidRPr="00674764">
        <w:rPr>
          <w:rFonts w:ascii="Times New Roman" w:eastAsia="Times New Roman" w:hAnsi="Times New Roman" w:cs="Times New Roman"/>
          <w:iCs/>
          <w:sz w:val="24"/>
          <w:szCs w:val="18"/>
          <w:lang w:eastAsia="fr-FR"/>
        </w:rPr>
        <w:fldChar w:fldCharType="end"/>
      </w:r>
      <w:r w:rsidRPr="00674764">
        <w:rPr>
          <w:rFonts w:ascii="Times New Roman" w:eastAsia="Times New Roman" w:hAnsi="Times New Roman" w:cs="Times New Roman"/>
          <w:iCs/>
          <w:sz w:val="24"/>
          <w:szCs w:val="18"/>
          <w:lang w:eastAsia="fr-FR"/>
        </w:rPr>
        <w:t>: Samples of artisanal beverages (A:</w:t>
      </w:r>
      <w:r w:rsidRPr="00674764">
        <w:rPr>
          <w:rFonts w:ascii="Times New Roman" w:eastAsia="Times New Roman" w:hAnsi="Times New Roman" w:cs="Times New Roman"/>
          <w:i/>
          <w:iCs/>
          <w:sz w:val="24"/>
          <w:szCs w:val="18"/>
          <w:lang w:eastAsia="fr-FR"/>
        </w:rPr>
        <w:t>Gnamankoudji; B: Bissap)</w:t>
      </w:r>
    </w:p>
    <w:p w14:paraId="6C3BA510" w14:textId="77777777" w:rsidR="00674764" w:rsidRPr="00674764" w:rsidRDefault="00674764" w:rsidP="00674764">
      <w:pPr>
        <w:numPr>
          <w:ilvl w:val="1"/>
          <w:numId w:val="4"/>
        </w:numPr>
        <w:spacing w:after="0" w:line="360" w:lineRule="auto"/>
        <w:ind w:right="901"/>
        <w:contextualSpacing/>
        <w:jc w:val="both"/>
        <w:rPr>
          <w:rFonts w:ascii="Times New Roman" w:hAnsi="Times New Roman" w:cs="Times New Roman"/>
          <w:b/>
          <w:sz w:val="24"/>
        </w:rPr>
      </w:pPr>
      <w:r w:rsidRPr="00674764">
        <w:rPr>
          <w:rFonts w:ascii="Times New Roman" w:hAnsi="Times New Roman" w:cs="Times New Roman"/>
          <w:sz w:val="24"/>
        </w:rPr>
        <w:t xml:space="preserve"> </w:t>
      </w:r>
      <w:r w:rsidRPr="00674764">
        <w:rPr>
          <w:rFonts w:ascii="Times New Roman" w:hAnsi="Times New Roman" w:cs="Times New Roman"/>
          <w:b/>
          <w:sz w:val="24"/>
        </w:rPr>
        <w:t>Study area</w:t>
      </w:r>
    </w:p>
    <w:p w14:paraId="47383F7D" w14:textId="3E34D6D4" w:rsidR="00674764" w:rsidRPr="00674764" w:rsidRDefault="00674764" w:rsidP="00674764">
      <w:pPr>
        <w:spacing w:before="240" w:after="0" w:line="360" w:lineRule="auto"/>
        <w:ind w:right="901"/>
        <w:jc w:val="both"/>
        <w:rPr>
          <w:rFonts w:ascii="Times New Roman" w:hAnsi="Times New Roman" w:cs="Times New Roman"/>
          <w:sz w:val="24"/>
        </w:rPr>
      </w:pPr>
      <w:r w:rsidRPr="00674764">
        <w:rPr>
          <w:rFonts w:ascii="Segoe UI" w:hAnsi="Segoe UI" w:cs="Segoe UI"/>
          <w:color w:val="0F1115"/>
          <w:shd w:val="clear" w:color="auto" w:fill="FFFFFF"/>
        </w:rPr>
        <w:t xml:space="preserve"> </w:t>
      </w:r>
      <w:r w:rsidRPr="00674764">
        <w:rPr>
          <w:rFonts w:ascii="Times New Roman" w:hAnsi="Times New Roman" w:cs="Times New Roman"/>
          <w:sz w:val="24"/>
        </w:rPr>
        <w:t>The Daloa health district, in west-central Côte d'Ivoire, was selected as the study area (Fig. 2) due to reports of foodborne illnesses potentially linked to the consumption of artisanal beverages. This densely populated regio</w:t>
      </w:r>
      <w:r w:rsidR="000D09F5">
        <w:rPr>
          <w:rFonts w:ascii="Times New Roman" w:hAnsi="Times New Roman" w:cs="Times New Roman"/>
          <w:sz w:val="24"/>
        </w:rPr>
        <w:t xml:space="preserve">n has a population of 1,430,960 </w:t>
      </w:r>
      <w:r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{"citationID":"fVtDUVJT","properties":{"formattedCitation":"(RGPH, 2015)","plainCitation":"(RGPH, 2015)","dontUpdate":true,"noteIndex":0},"citationItems":[{"id":448,"uris":["http://zotero.org/users/17472374/items/WFIZGASB"],"itemData":{"id":448,"type":"report","genre":"RAPPORT","page":"47","publisher":"INSTITUT NATIONAL DE LA STATISTIQUE (INS-SODE)","publisher-place":"COTE d'Ivoire","title":"Répertoire des localités  RÉGION DU HAUTSASSANDRA","author":[{"family":"RGPH","given":""}],"issued":{"date-parts":[["2015"]]}}}],"schema":"https://github.com/citation-style-language/schema/raw/master/csl-citation.json"} </w:instrText>
      </w:r>
      <w:r w:rsidRPr="00674764">
        <w:rPr>
          <w:rFonts w:ascii="Times New Roman" w:hAnsi="Times New Roman" w:cs="Times New Roman"/>
          <w:sz w:val="24"/>
        </w:rPr>
        <w:fldChar w:fldCharType="separate"/>
      </w:r>
      <w:r w:rsidRPr="00674764">
        <w:rPr>
          <w:rFonts w:ascii="Times New Roman" w:hAnsi="Times New Roman" w:cs="Times New Roman"/>
          <w:sz w:val="24"/>
        </w:rPr>
        <w:t>(</w:t>
      </w:r>
      <w:r w:rsidR="00777CC1">
        <w:rPr>
          <w:rFonts w:ascii="Times New Roman" w:hAnsi="Times New Roman" w:cs="Times New Roman"/>
          <w:sz w:val="24"/>
        </w:rPr>
        <w:t>INS</w:t>
      </w:r>
      <w:r w:rsidRPr="00674764">
        <w:rPr>
          <w:rFonts w:ascii="Times New Roman" w:hAnsi="Times New Roman" w:cs="Times New Roman"/>
          <w:sz w:val="24"/>
        </w:rPr>
        <w:t>, 2015)</w:t>
      </w:r>
      <w:r w:rsidRPr="00674764">
        <w:rPr>
          <w:rFonts w:ascii="Times New Roman" w:hAnsi="Times New Roman" w:cs="Times New Roman"/>
          <w:sz w:val="24"/>
        </w:rPr>
        <w:fldChar w:fldCharType="end"/>
      </w:r>
      <w:r w:rsidR="000D09F5">
        <w:rPr>
          <w:rFonts w:ascii="Times New Roman" w:hAnsi="Times New Roman" w:cs="Times New Roman"/>
          <w:sz w:val="24"/>
        </w:rPr>
        <w:t xml:space="preserve">. </w:t>
      </w:r>
      <w:r w:rsidRPr="00674764">
        <w:rPr>
          <w:rFonts w:ascii="Times New Roman" w:hAnsi="Times New Roman" w:cs="Times New Roman"/>
          <w:sz w:val="24"/>
        </w:rPr>
        <w:t>The region's capital is the city of Daloa, the third largest urban area in the country in terms of population, area, and density. These characteristics make it a relevant area of ​​investigation for studying the food safety of traditional beverages.</w:t>
      </w:r>
    </w:p>
    <w:p w14:paraId="53E86ECF" w14:textId="77777777" w:rsidR="00674764" w:rsidRPr="00674764" w:rsidRDefault="00674764" w:rsidP="00674764">
      <w:pPr>
        <w:keepNext/>
        <w:numPr>
          <w:ilvl w:val="1"/>
          <w:numId w:val="4"/>
        </w:numPr>
        <w:tabs>
          <w:tab w:val="left" w:pos="600"/>
        </w:tabs>
        <w:spacing w:after="60" w:line="360" w:lineRule="auto"/>
        <w:jc w:val="both"/>
        <w:outlineLvl w:val="1"/>
        <w:rPr>
          <w:rFonts w:ascii="Times New Roman" w:hAnsi="Times New Roman" w:cs="Times New Roman"/>
          <w:b/>
          <w:sz w:val="24"/>
          <w:szCs w:val="20"/>
          <w:lang w:val="en-US"/>
        </w:rPr>
      </w:pPr>
      <w:r w:rsidRPr="00674764">
        <w:rPr>
          <w:rFonts w:ascii="Times New Roman" w:hAnsi="Times New Roman" w:cs="Times New Roman"/>
          <w:b/>
          <w:sz w:val="24"/>
          <w:szCs w:val="20"/>
          <w:lang w:val="en-US"/>
        </w:rPr>
        <w:t xml:space="preserve">  Sampling</w:t>
      </w:r>
      <w:bookmarkEnd w:id="0"/>
    </w:p>
    <w:p w14:paraId="16EFD138" w14:textId="77777777" w:rsidR="00674764" w:rsidRPr="00674764" w:rsidRDefault="00674764" w:rsidP="00674764">
      <w:pPr>
        <w:tabs>
          <w:tab w:val="left" w:pos="360"/>
        </w:tabs>
        <w:spacing w:before="40" w:line="360" w:lineRule="auto"/>
        <w:jc w:val="both"/>
        <w:rPr>
          <w:rFonts w:ascii="Times New Roman" w:hAnsi="Times New Roman" w:cs="Times New Roman"/>
          <w:sz w:val="24"/>
          <w:szCs w:val="24"/>
        </w:rPr>
      </w:pPr>
      <w:r w:rsidRPr="00674764">
        <w:rPr>
          <w:rFonts w:ascii="Times New Roman" w:hAnsi="Times New Roman" w:cs="Times New Roman"/>
          <w:sz w:val="24"/>
          <w:szCs w:val="24"/>
        </w:rPr>
        <w:t>The study focused on the non-alcoholic artisanal beverages Bissap and Gnamankoudji, with systematic sampling covering 26 sites across the six sub-prefectures of the Daloa department: Daloa, Zaibo, Gonaté, Bédiala, Gboguhé, and Gadouan. The sampling strategy consisted of collecting three samples of each beverage type at each site, for a total of 156 samples. Each sample was uniquely identified before being placed in coolers with ice packs, thus maintaining the cold chain during transport to the laboratory and ensuring analytical reliability.</w:t>
      </w:r>
    </w:p>
    <w:p w14:paraId="093A18E7" w14:textId="77777777" w:rsidR="00674764" w:rsidRPr="00674764" w:rsidRDefault="00674764" w:rsidP="00674764">
      <w:pPr>
        <w:keepNext/>
        <w:tabs>
          <w:tab w:val="left" w:pos="360"/>
        </w:tabs>
        <w:spacing w:before="40" w:line="360" w:lineRule="auto"/>
        <w:jc w:val="both"/>
      </w:pPr>
      <w:r w:rsidRPr="00674764">
        <w:rPr>
          <w:noProof/>
          <w:lang w:eastAsia="fr-FR"/>
        </w:rPr>
        <w:lastRenderedPageBreak/>
        <w:drawing>
          <wp:inline distT="0" distB="0" distL="0" distR="0" wp14:anchorId="2285D1D1" wp14:editId="02CEF1CE">
            <wp:extent cx="5761355" cy="370431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4758"/>
                    <a:stretch/>
                  </pic:blipFill>
                  <pic:spPr bwMode="auto">
                    <a:xfrm>
                      <a:off x="0" y="0"/>
                      <a:ext cx="5761355" cy="3704318"/>
                    </a:xfrm>
                    <a:prstGeom prst="rect">
                      <a:avLst/>
                    </a:prstGeom>
                    <a:noFill/>
                    <a:ln>
                      <a:noFill/>
                    </a:ln>
                    <a:extLst>
                      <a:ext uri="{53640926-AAD7-44D8-BBD7-CCE9431645EC}">
                        <a14:shadowObscured xmlns:a14="http://schemas.microsoft.com/office/drawing/2010/main"/>
                      </a:ext>
                    </a:extLst>
                  </pic:spPr>
                </pic:pic>
              </a:graphicData>
            </a:graphic>
          </wp:inline>
        </w:drawing>
      </w:r>
    </w:p>
    <w:p w14:paraId="14DA1B4E" w14:textId="77777777" w:rsidR="00674764" w:rsidRPr="00674764" w:rsidRDefault="00674764" w:rsidP="00674764">
      <w:pPr>
        <w:spacing w:after="200" w:line="360" w:lineRule="auto"/>
        <w:jc w:val="both"/>
        <w:rPr>
          <w:rFonts w:ascii="Times New Roman" w:eastAsia="Times New Roman" w:hAnsi="Times New Roman" w:cs="Times New Roman"/>
          <w:iCs/>
          <w:sz w:val="36"/>
          <w:szCs w:val="24"/>
          <w:lang w:eastAsia="fr-FR"/>
        </w:rPr>
      </w:pPr>
      <w:r w:rsidRPr="00674764">
        <w:rPr>
          <w:rFonts w:ascii="Times New Roman" w:eastAsia="Times New Roman" w:hAnsi="Times New Roman" w:cs="Times New Roman"/>
          <w:iCs/>
          <w:sz w:val="24"/>
          <w:szCs w:val="18"/>
          <w:lang w:eastAsia="fr-FR"/>
        </w:rPr>
        <w:t xml:space="preserve">         Figure </w:t>
      </w:r>
      <w:r w:rsidRPr="00674764">
        <w:rPr>
          <w:rFonts w:ascii="Times New Roman" w:eastAsia="Times New Roman" w:hAnsi="Times New Roman" w:cs="Times New Roman"/>
          <w:iCs/>
          <w:sz w:val="24"/>
          <w:szCs w:val="18"/>
          <w:lang w:eastAsia="fr-FR"/>
        </w:rPr>
        <w:fldChar w:fldCharType="begin"/>
      </w:r>
      <w:r w:rsidRPr="00674764">
        <w:rPr>
          <w:rFonts w:ascii="Times New Roman" w:eastAsia="Times New Roman" w:hAnsi="Times New Roman" w:cs="Times New Roman"/>
          <w:iCs/>
          <w:sz w:val="24"/>
          <w:szCs w:val="18"/>
          <w:lang w:eastAsia="fr-FR"/>
        </w:rPr>
        <w:instrText xml:space="preserve"> SEQ Figure \* ARABIC </w:instrText>
      </w:r>
      <w:r w:rsidRPr="00674764">
        <w:rPr>
          <w:rFonts w:ascii="Times New Roman" w:eastAsia="Times New Roman" w:hAnsi="Times New Roman" w:cs="Times New Roman"/>
          <w:iCs/>
          <w:sz w:val="24"/>
          <w:szCs w:val="18"/>
          <w:lang w:eastAsia="fr-FR"/>
        </w:rPr>
        <w:fldChar w:fldCharType="separate"/>
      </w:r>
      <w:r w:rsidRPr="00674764">
        <w:rPr>
          <w:rFonts w:ascii="Times New Roman" w:eastAsia="Times New Roman" w:hAnsi="Times New Roman" w:cs="Times New Roman"/>
          <w:iCs/>
          <w:noProof/>
          <w:sz w:val="24"/>
          <w:szCs w:val="18"/>
          <w:lang w:eastAsia="fr-FR"/>
        </w:rPr>
        <w:t>2</w:t>
      </w:r>
      <w:r w:rsidRPr="00674764">
        <w:rPr>
          <w:rFonts w:ascii="Times New Roman" w:eastAsia="Times New Roman" w:hAnsi="Times New Roman" w:cs="Times New Roman"/>
          <w:iCs/>
          <w:sz w:val="24"/>
          <w:szCs w:val="18"/>
          <w:lang w:eastAsia="fr-FR"/>
        </w:rPr>
        <w:fldChar w:fldCharType="end"/>
      </w:r>
      <w:r w:rsidRPr="00674764">
        <w:rPr>
          <w:rFonts w:ascii="Times New Roman" w:eastAsia="Times New Roman" w:hAnsi="Times New Roman" w:cs="Times New Roman"/>
          <w:iCs/>
          <w:sz w:val="24"/>
          <w:szCs w:val="18"/>
          <w:lang w:eastAsia="fr-FR"/>
        </w:rPr>
        <w:t> : Map of the study area</w:t>
      </w:r>
    </w:p>
    <w:p w14:paraId="0E563A75" w14:textId="77777777" w:rsidR="00674764" w:rsidRPr="00674764" w:rsidRDefault="00674764" w:rsidP="00674764">
      <w:pPr>
        <w:numPr>
          <w:ilvl w:val="1"/>
          <w:numId w:val="4"/>
        </w:numPr>
        <w:tabs>
          <w:tab w:val="left" w:pos="360"/>
        </w:tabs>
        <w:spacing w:before="40" w:line="360" w:lineRule="auto"/>
        <w:contextualSpacing/>
        <w:jc w:val="both"/>
        <w:rPr>
          <w:rFonts w:ascii="Times New Roman" w:hAnsi="Times New Roman" w:cs="Times New Roman"/>
          <w:b/>
          <w:noProof/>
          <w:sz w:val="24"/>
          <w:szCs w:val="24"/>
        </w:rPr>
      </w:pPr>
      <w:bookmarkStart w:id="1" w:name="_Toc128740972"/>
      <w:r w:rsidRPr="00674764">
        <w:rPr>
          <w:rFonts w:ascii="Times New Roman" w:hAnsi="Times New Roman" w:cs="Times New Roman"/>
          <w:b/>
          <w:sz w:val="24"/>
          <w:szCs w:val="20"/>
          <w:lang w:val="en-US"/>
        </w:rPr>
        <w:t>Physicochemical analyses</w:t>
      </w:r>
      <w:bookmarkEnd w:id="1"/>
    </w:p>
    <w:p w14:paraId="1D0D5A0C" w14:textId="77777777" w:rsidR="00674764" w:rsidRPr="00674764" w:rsidRDefault="00674764" w:rsidP="00674764">
      <w:pPr>
        <w:spacing w:after="0" w:line="360" w:lineRule="auto"/>
        <w:jc w:val="both"/>
        <w:rPr>
          <w:rFonts w:ascii="Times New Roman" w:hAnsi="Times New Roman" w:cs="Times New Roman"/>
          <w:color w:val="000000"/>
          <w:sz w:val="24"/>
          <w:szCs w:val="24"/>
          <w:lang w:val="fr-CI"/>
        </w:rPr>
      </w:pPr>
      <w:r w:rsidRPr="00674764">
        <w:rPr>
          <w:rFonts w:ascii="Times New Roman" w:hAnsi="Times New Roman" w:cs="Times New Roman"/>
          <w:color w:val="000000"/>
          <w:sz w:val="24"/>
          <w:szCs w:val="24"/>
          <w:lang w:val="fr-CI"/>
        </w:rPr>
        <w:t>The physicochemical analyses concerned two parameters, namely pH and sugar content, according to standard methods.</w:t>
      </w:r>
      <w:r w:rsidRPr="00674764">
        <w:rPr>
          <w:rFonts w:ascii="Times New Roman" w:hAnsi="Times New Roman" w:cs="Times New Roman"/>
          <w:sz w:val="24"/>
          <w:shd w:val="clear" w:color="auto" w:fill="FFFFFF"/>
        </w:rPr>
        <w:t>The sugar content was calculated using the following formula:</w:t>
      </w:r>
    </w:p>
    <w:p w14:paraId="24443309" w14:textId="77777777" w:rsidR="00674764" w:rsidRPr="00674764" w:rsidRDefault="00674764" w:rsidP="00674764">
      <w:pPr>
        <w:spacing w:after="0" w:line="360" w:lineRule="auto"/>
        <w:jc w:val="both"/>
        <w:rPr>
          <w:rFonts w:ascii="Times New Roman" w:eastAsiaTheme="minorEastAsia" w:hAnsi="Times New Roman" w:cs="Times New Roman"/>
          <w:b/>
          <w:sz w:val="24"/>
          <w:shd w:val="clear" w:color="auto" w:fill="FFFFFF"/>
        </w:rPr>
      </w:pPr>
      <m:oMathPara>
        <m:oMath>
          <m:r>
            <m:rPr>
              <m:sty m:val="b"/>
            </m:rPr>
            <w:rPr>
              <w:rFonts w:ascii="Cambria Math" w:hAnsi="Cambria Math" w:cs="Times New Roman"/>
              <w:sz w:val="24"/>
              <w:shd w:val="clear" w:color="auto" w:fill="FFFFFF"/>
            </w:rPr>
            <m:t xml:space="preserve"> sugar content= M x f</m:t>
          </m:r>
          <m:r>
            <m:rPr>
              <m:sty m:val="bi"/>
            </m:rPr>
            <w:rPr>
              <w:rFonts w:ascii="Cambria Math" w:hAnsi="Cambria Math" w:cs="Times New Roman"/>
              <w:sz w:val="24"/>
              <w:shd w:val="clear" w:color="auto" w:fill="FFFFFF"/>
            </w:rPr>
            <m:t xml:space="preserve">  </m:t>
          </m:r>
        </m:oMath>
      </m:oMathPara>
    </w:p>
    <w:p w14:paraId="6766AE58" w14:textId="7AC54B61" w:rsidR="00674764" w:rsidRPr="00674764" w:rsidRDefault="00674764" w:rsidP="00674764">
      <w:pPr>
        <w:spacing w:after="0" w:line="360" w:lineRule="auto"/>
        <w:jc w:val="both"/>
        <w:rPr>
          <w:rFonts w:ascii="Times New Roman" w:eastAsiaTheme="minorEastAsia" w:hAnsi="Times New Roman" w:cs="Times New Roman"/>
          <w:b/>
          <w:sz w:val="24"/>
          <w:shd w:val="clear" w:color="auto" w:fill="FFFFFF"/>
        </w:rPr>
      </w:pPr>
      <w:r w:rsidRPr="00674764">
        <w:rPr>
          <w:rFonts w:ascii="Times New Roman" w:eastAsiaTheme="minorEastAsia" w:hAnsi="Times New Roman" w:cs="Times New Roman"/>
          <w:b/>
          <w:sz w:val="24"/>
          <w:shd w:val="clear" w:color="auto" w:fill="FFFFFF"/>
        </w:rPr>
        <w:t>M:</w:t>
      </w:r>
      <w:r w:rsidR="000D09F5">
        <w:rPr>
          <w:rFonts w:ascii="Times New Roman" w:eastAsiaTheme="minorEastAsia" w:hAnsi="Times New Roman" w:cs="Times New Roman"/>
          <w:b/>
          <w:sz w:val="24"/>
          <w:shd w:val="clear" w:color="auto" w:fill="FFFFFF"/>
        </w:rPr>
        <w:t xml:space="preserve"> </w:t>
      </w:r>
      <w:r w:rsidRPr="00674764">
        <w:rPr>
          <w:rFonts w:ascii="Times New Roman" w:eastAsiaTheme="minorEastAsia" w:hAnsi="Times New Roman" w:cs="Times New Roman"/>
          <w:sz w:val="24"/>
          <w:shd w:val="clear" w:color="auto" w:fill="FFFFFF"/>
        </w:rPr>
        <w:t>value read on the refractometer</w:t>
      </w:r>
    </w:p>
    <w:p w14:paraId="693B4A25" w14:textId="7DE9CC7C" w:rsidR="00674764" w:rsidRPr="00674764" w:rsidRDefault="00674764" w:rsidP="00674764">
      <w:pPr>
        <w:spacing w:after="0" w:line="360" w:lineRule="auto"/>
        <w:jc w:val="both"/>
        <w:rPr>
          <w:rFonts w:ascii="Times New Roman" w:hAnsi="Times New Roman" w:cs="Times New Roman"/>
          <w:b/>
          <w:sz w:val="24"/>
          <w:shd w:val="clear" w:color="auto" w:fill="FFFFFF"/>
        </w:rPr>
      </w:pPr>
      <w:proofErr w:type="gramStart"/>
      <w:r w:rsidRPr="00674764">
        <w:rPr>
          <w:rFonts w:ascii="Times New Roman" w:eastAsiaTheme="minorEastAsia" w:hAnsi="Times New Roman" w:cs="Times New Roman"/>
          <w:b/>
          <w:sz w:val="24"/>
          <w:shd w:val="clear" w:color="auto" w:fill="FFFFFF"/>
        </w:rPr>
        <w:t>f:</w:t>
      </w:r>
      <w:proofErr w:type="gramEnd"/>
      <w:r w:rsidR="000D09F5">
        <w:rPr>
          <w:rFonts w:ascii="Times New Roman" w:eastAsiaTheme="minorEastAsia" w:hAnsi="Times New Roman" w:cs="Times New Roman"/>
          <w:b/>
          <w:sz w:val="24"/>
          <w:shd w:val="clear" w:color="auto" w:fill="FFFFFF"/>
        </w:rPr>
        <w:t xml:space="preserve"> </w:t>
      </w:r>
      <w:r w:rsidRPr="00674764">
        <w:rPr>
          <w:rFonts w:ascii="Times New Roman" w:eastAsiaTheme="minorEastAsia" w:hAnsi="Times New Roman" w:cs="Times New Roman"/>
          <w:sz w:val="24"/>
          <w:shd w:val="clear" w:color="auto" w:fill="FFFFFF"/>
        </w:rPr>
        <w:t>dilution factor</w:t>
      </w:r>
    </w:p>
    <w:p w14:paraId="22986807" w14:textId="77777777" w:rsidR="00674764" w:rsidRPr="00674764" w:rsidRDefault="00674764" w:rsidP="00674764">
      <w:pPr>
        <w:numPr>
          <w:ilvl w:val="1"/>
          <w:numId w:val="4"/>
        </w:numPr>
        <w:spacing w:line="360" w:lineRule="auto"/>
        <w:contextualSpacing/>
        <w:jc w:val="both"/>
        <w:rPr>
          <w:rFonts w:ascii="Times New Roman" w:hAnsi="Times New Roman" w:cs="Times New Roman"/>
          <w:b/>
          <w:sz w:val="24"/>
          <w:szCs w:val="24"/>
          <w:lang w:val="en-US"/>
        </w:rPr>
      </w:pPr>
      <w:bookmarkStart w:id="2" w:name="_Toc128740974"/>
      <w:r w:rsidRPr="00674764">
        <w:rPr>
          <w:rFonts w:ascii="Times New Roman" w:hAnsi="Times New Roman" w:cs="Times New Roman"/>
          <w:b/>
          <w:sz w:val="24"/>
          <w:szCs w:val="20"/>
          <w:lang w:val="en-US"/>
        </w:rPr>
        <w:t>Microbiological analyses</w:t>
      </w:r>
      <w:bookmarkEnd w:id="2"/>
    </w:p>
    <w:p w14:paraId="4BDB8E50" w14:textId="77777777" w:rsidR="00674764" w:rsidRPr="00674764" w:rsidRDefault="00674764" w:rsidP="00674764">
      <w:pPr>
        <w:numPr>
          <w:ilvl w:val="2"/>
          <w:numId w:val="4"/>
        </w:numPr>
        <w:spacing w:line="360" w:lineRule="auto"/>
        <w:contextualSpacing/>
        <w:jc w:val="both"/>
        <w:rPr>
          <w:rFonts w:ascii="Times New Roman" w:hAnsi="Times New Roman" w:cs="Times New Roman"/>
          <w:b/>
          <w:sz w:val="24"/>
          <w:szCs w:val="24"/>
        </w:rPr>
      </w:pPr>
      <w:r w:rsidRPr="00674764">
        <w:rPr>
          <w:rFonts w:ascii="Times New Roman" w:hAnsi="Times New Roman" w:cs="Times New Roman"/>
          <w:b/>
          <w:sz w:val="24"/>
          <w:szCs w:val="24"/>
        </w:rPr>
        <w:t>Preparation of the stock solution and decimal dilutions</w:t>
      </w:r>
    </w:p>
    <w:p w14:paraId="40EF6EA0" w14:textId="77777777" w:rsidR="00674764" w:rsidRPr="00674764" w:rsidRDefault="00674764" w:rsidP="00674764">
      <w:pPr>
        <w:autoSpaceDE w:val="0"/>
        <w:autoSpaceDN w:val="0"/>
        <w:adjustRightInd w:val="0"/>
        <w:spacing w:after="0" w:line="360" w:lineRule="auto"/>
        <w:jc w:val="both"/>
        <w:rPr>
          <w:rFonts w:ascii="Times New Roman" w:hAnsi="Times New Roman" w:cs="Times New Roman"/>
          <w:sz w:val="24"/>
          <w:szCs w:val="24"/>
        </w:rPr>
      </w:pPr>
      <w:r w:rsidRPr="00674764">
        <w:rPr>
          <w:rFonts w:ascii="Times New Roman" w:hAnsi="Times New Roman" w:cs="Times New Roman"/>
          <w:sz w:val="24"/>
          <w:szCs w:val="24"/>
        </w:rPr>
        <w:t>Microbiological analyses followed a standardized protocol to quantify and identify microorganisms. A stock suspension was prepared by mixing 25 mL of each sample with 225 mL of buffered peptone water. Successive decimal dilutions were then performed on this suspension.</w:t>
      </w:r>
    </w:p>
    <w:p w14:paraId="3C73C89E" w14:textId="77777777" w:rsidR="00674764" w:rsidRPr="00674764" w:rsidRDefault="00674764" w:rsidP="00674764">
      <w:pPr>
        <w:numPr>
          <w:ilvl w:val="2"/>
          <w:numId w:val="4"/>
        </w:numPr>
        <w:tabs>
          <w:tab w:val="left" w:pos="360"/>
        </w:tabs>
        <w:spacing w:before="40" w:line="360" w:lineRule="auto"/>
        <w:contextualSpacing/>
        <w:jc w:val="both"/>
        <w:rPr>
          <w:rFonts w:ascii="Times New Roman" w:hAnsi="Times New Roman" w:cs="Times New Roman"/>
          <w:b/>
          <w:i/>
          <w:sz w:val="24"/>
        </w:rPr>
      </w:pPr>
      <w:r w:rsidRPr="00C063A6">
        <w:rPr>
          <w:rFonts w:ascii="Times New Roman" w:hAnsi="Times New Roman" w:cs="Times New Roman"/>
          <w:b/>
          <w:i/>
          <w:sz w:val="24"/>
        </w:rPr>
        <w:t xml:space="preserve">Listeria monocytogenes </w:t>
      </w:r>
      <w:r w:rsidRPr="00674764">
        <w:rPr>
          <w:rFonts w:ascii="Times New Roman" w:hAnsi="Times New Roman" w:cs="Times New Roman"/>
          <w:b/>
          <w:sz w:val="24"/>
        </w:rPr>
        <w:t xml:space="preserve">testing  </w:t>
      </w:r>
    </w:p>
    <w:p w14:paraId="40E41CBB" w14:textId="77777777" w:rsidR="00674764" w:rsidRPr="00674764" w:rsidRDefault="00674764" w:rsidP="00674764">
      <w:pPr>
        <w:tabs>
          <w:tab w:val="left" w:pos="360"/>
          <w:tab w:val="left" w:pos="4902"/>
        </w:tabs>
        <w:spacing w:before="40" w:line="360" w:lineRule="auto"/>
        <w:jc w:val="both"/>
        <w:rPr>
          <w:rFonts w:ascii="Times New Roman" w:hAnsi="Times New Roman" w:cs="Times New Roman"/>
          <w:sz w:val="24"/>
        </w:rPr>
      </w:pPr>
      <w:r w:rsidRPr="00674764">
        <w:rPr>
          <w:rFonts w:ascii="Times New Roman" w:hAnsi="Times New Roman" w:cs="Times New Roman"/>
          <w:sz w:val="24"/>
        </w:rPr>
        <w:t xml:space="preserve">The isolation of Listeria monocytogenes followed a three-step protocol, in accordance with current standards. An initial 24-hour pre-enrichment at 30°C in 1/2 Fraser broth was performed. This was followed by a 48-hour secondary enrichment at 37°C in Fraser broth. The final isolation on Palcam agar, after 24 hours of incubation at 37°C, revealed characteristic Listeria </w:t>
      </w:r>
      <w:r w:rsidRPr="00674764">
        <w:rPr>
          <w:rFonts w:ascii="Times New Roman" w:hAnsi="Times New Roman" w:cs="Times New Roman"/>
          <w:sz w:val="24"/>
        </w:rPr>
        <w:lastRenderedPageBreak/>
        <w:t>monocytogenes colonies. These colonies exhibited a typical olive-green coloration with a distinctive black halo, facilitating their identification.</w:t>
      </w:r>
      <w:r w:rsidRPr="00674764">
        <w:rPr>
          <w:rFonts w:ascii="Times New Roman" w:hAnsi="Times New Roman" w:cs="Times New Roman"/>
          <w:i/>
          <w:sz w:val="24"/>
        </w:rPr>
        <w:tab/>
        <w:t xml:space="preserve"> </w:t>
      </w:r>
    </w:p>
    <w:p w14:paraId="0A2F08C7" w14:textId="77777777" w:rsidR="00674764" w:rsidRPr="00674764" w:rsidRDefault="00674764" w:rsidP="00674764">
      <w:pPr>
        <w:numPr>
          <w:ilvl w:val="2"/>
          <w:numId w:val="4"/>
        </w:numPr>
        <w:tabs>
          <w:tab w:val="left" w:pos="360"/>
        </w:tabs>
        <w:spacing w:before="40" w:line="360" w:lineRule="auto"/>
        <w:contextualSpacing/>
        <w:jc w:val="both"/>
        <w:rPr>
          <w:rFonts w:ascii="Times New Roman" w:hAnsi="Times New Roman" w:cs="Times New Roman"/>
          <w:b/>
          <w:sz w:val="24"/>
          <w:szCs w:val="20"/>
          <w:lang w:val="en-US"/>
        </w:rPr>
      </w:pPr>
      <w:r w:rsidRPr="00674764">
        <w:rPr>
          <w:rFonts w:ascii="Times New Roman" w:hAnsi="Times New Roman" w:cs="Times New Roman"/>
          <w:b/>
          <w:i/>
          <w:sz w:val="24"/>
          <w:szCs w:val="20"/>
          <w:lang w:val="en-US"/>
        </w:rPr>
        <w:t>Bacillus cereus</w:t>
      </w:r>
      <w:r w:rsidRPr="00674764">
        <w:rPr>
          <w:rFonts w:ascii="Times New Roman" w:hAnsi="Times New Roman" w:cs="Times New Roman"/>
          <w:b/>
          <w:sz w:val="24"/>
          <w:szCs w:val="20"/>
          <w:lang w:val="en-US"/>
        </w:rPr>
        <w:t xml:space="preserve"> testing</w:t>
      </w:r>
    </w:p>
    <w:p w14:paraId="497081C6" w14:textId="77777777" w:rsidR="00674764" w:rsidRPr="00674764" w:rsidRDefault="00674764" w:rsidP="00674764">
      <w:pPr>
        <w:tabs>
          <w:tab w:val="left" w:pos="360"/>
        </w:tabs>
        <w:spacing w:before="40" w:line="360" w:lineRule="auto"/>
        <w:jc w:val="both"/>
        <w:rPr>
          <w:rFonts w:ascii="Times New Roman" w:hAnsi="Times New Roman" w:cs="Times New Roman"/>
          <w:sz w:val="24"/>
          <w:szCs w:val="20"/>
          <w:lang w:val="en-US"/>
        </w:rPr>
      </w:pPr>
      <w:r w:rsidRPr="00674764">
        <w:rPr>
          <w:rFonts w:ascii="Times New Roman" w:hAnsi="Times New Roman" w:cs="Times New Roman"/>
          <w:sz w:val="24"/>
          <w:szCs w:val="20"/>
          <w:lang w:val="en-US"/>
        </w:rPr>
        <w:t>A 0.1 mL aliquot, taken from the stock suspension and each decimal dilution, was surface-plated onto solid culture media. These Petri dishes contained 15 mL of pre-prepared, poured, and dried Mossel agar (according to ISO 7932 protocol). After inoculation, the dishes were incubated at 30°C for 24 to 48 hours.</w:t>
      </w:r>
    </w:p>
    <w:p w14:paraId="7C2F6DB4" w14:textId="77777777" w:rsidR="00674764" w:rsidRPr="00674764" w:rsidRDefault="00674764" w:rsidP="00674764">
      <w:pPr>
        <w:numPr>
          <w:ilvl w:val="2"/>
          <w:numId w:val="4"/>
        </w:numPr>
        <w:tabs>
          <w:tab w:val="left" w:pos="360"/>
        </w:tabs>
        <w:spacing w:before="40" w:line="360" w:lineRule="auto"/>
        <w:contextualSpacing/>
        <w:jc w:val="both"/>
        <w:rPr>
          <w:rFonts w:ascii="Times New Roman" w:hAnsi="Times New Roman" w:cs="Times New Roman"/>
          <w:b/>
          <w:sz w:val="24"/>
          <w:szCs w:val="20"/>
          <w:lang w:val="en-US"/>
        </w:rPr>
      </w:pPr>
      <w:bookmarkStart w:id="3" w:name="_Toc87881308"/>
      <w:bookmarkStart w:id="4" w:name="_Toc128740976"/>
      <w:r w:rsidRPr="00674764">
        <w:rPr>
          <w:rFonts w:ascii="Times New Roman" w:hAnsi="Times New Roman" w:cs="Times New Roman"/>
          <w:b/>
          <w:sz w:val="24"/>
          <w:szCs w:val="20"/>
          <w:lang w:val="en-US"/>
        </w:rPr>
        <w:t>Expression of the results of the count</w:t>
      </w:r>
    </w:p>
    <w:p w14:paraId="42909E5B" w14:textId="77777777" w:rsidR="00674764" w:rsidRPr="00674764" w:rsidRDefault="00674764" w:rsidP="00674764">
      <w:pPr>
        <w:tabs>
          <w:tab w:val="left" w:pos="360"/>
        </w:tabs>
        <w:spacing w:before="40" w:line="360" w:lineRule="auto"/>
        <w:jc w:val="both"/>
        <w:rPr>
          <w:rFonts w:ascii="Times New Roman" w:hAnsi="Times New Roman" w:cs="Times New Roman"/>
          <w:sz w:val="24"/>
          <w:szCs w:val="20"/>
          <w:lang w:val="en-US"/>
        </w:rPr>
      </w:pPr>
      <w:r w:rsidRPr="00674764">
        <w:rPr>
          <w:rFonts w:ascii="Times New Roman" w:hAnsi="Times New Roman" w:cs="Times New Roman"/>
          <w:sz w:val="24"/>
          <w:szCs w:val="20"/>
          <w:lang w:val="en-US"/>
        </w:rPr>
        <w:t>The number N, which represents the estimated microbial population, was calculated using the following equation:</w:t>
      </w:r>
    </w:p>
    <w:p w14:paraId="4117EE96" w14:textId="77777777" w:rsidR="00674764" w:rsidRPr="00674764" w:rsidRDefault="00674764" w:rsidP="00674764">
      <w:pPr>
        <w:tabs>
          <w:tab w:val="left" w:pos="360"/>
        </w:tabs>
        <w:spacing w:before="40" w:line="360" w:lineRule="auto"/>
        <w:jc w:val="both"/>
        <w:rPr>
          <w:rFonts w:ascii="Times New Roman" w:hAnsi="Times New Roman" w:cs="Times New Roman"/>
          <w:sz w:val="24"/>
          <w:szCs w:val="20"/>
          <w:lang w:val="en-US"/>
        </w:rPr>
      </w:pPr>
      <m:oMathPara>
        <m:oMath>
          <m:r>
            <m:rPr>
              <m:sty m:val="bi"/>
            </m:rPr>
            <w:rPr>
              <w:rFonts w:ascii="Cambria Math" w:hAnsi="Cambria Math"/>
            </w:rPr>
            <m:t>N=</m:t>
          </m:r>
          <m:f>
            <m:fPr>
              <m:ctrlPr>
                <w:rPr>
                  <w:rFonts w:ascii="Cambria Math" w:hAnsi="Cambria Math"/>
                  <w:b/>
                  <w:i/>
                </w:rPr>
              </m:ctrlPr>
            </m:fPr>
            <m:num>
              <m:nary>
                <m:naryPr>
                  <m:chr m:val="∑"/>
                  <m:limLoc m:val="undOvr"/>
                  <m:subHide m:val="1"/>
                  <m:supHide m:val="1"/>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i</m:t>
                      </m:r>
                    </m:sub>
                  </m:sSub>
                </m:e>
              </m:nary>
            </m:num>
            <m:den>
              <m:d>
                <m:dPr>
                  <m:ctrlPr>
                    <w:rPr>
                      <w:rFonts w:ascii="Cambria Math" w:hAnsi="Cambria Math"/>
                      <w:b/>
                      <w:i/>
                    </w:rPr>
                  </m:ctrlPr>
                </m:dPr>
                <m:e>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 xml:space="preserve">1 </m:t>
                      </m:r>
                    </m:sub>
                  </m:sSub>
                  <m:r>
                    <m:rPr>
                      <m:sty m:val="bi"/>
                    </m:rPr>
                    <w:rPr>
                      <w:rFonts w:ascii="Cambria Math" w:hAnsi="Cambria Math"/>
                    </w:rPr>
                    <m:t>+0,1</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2</m:t>
                      </m:r>
                    </m:sub>
                  </m:sSub>
                </m:e>
              </m:d>
              <m:r>
                <m:rPr>
                  <m:sty m:val="bi"/>
                </m:rPr>
                <w:rPr>
                  <w:rFonts w:ascii="Cambria Math" w:hAnsi="Cambria Math"/>
                </w:rPr>
                <m:t>d.V)</m:t>
              </m:r>
            </m:den>
          </m:f>
        </m:oMath>
      </m:oMathPara>
    </w:p>
    <w:p w14:paraId="4E28CF0D" w14:textId="77777777" w:rsidR="00674764" w:rsidRPr="00674764" w:rsidRDefault="00674764" w:rsidP="00674764">
      <w:pPr>
        <w:tabs>
          <w:tab w:val="left" w:pos="360"/>
        </w:tabs>
        <w:spacing w:before="40" w:after="0" w:line="360" w:lineRule="auto"/>
        <w:jc w:val="both"/>
        <w:rPr>
          <w:rFonts w:ascii="Times New Roman" w:hAnsi="Times New Roman" w:cs="Times New Roman"/>
          <w:sz w:val="24"/>
          <w:szCs w:val="20"/>
        </w:rPr>
      </w:pPr>
      <w:r w:rsidRPr="00674764">
        <w:rPr>
          <w:rFonts w:ascii="Times New Roman" w:hAnsi="Times New Roman" w:cs="Times New Roman"/>
          <w:b/>
          <w:sz w:val="24"/>
          <w:szCs w:val="20"/>
        </w:rPr>
        <w:t>N (CFU/mL):</w:t>
      </w:r>
      <w:r w:rsidRPr="00674764">
        <w:rPr>
          <w:rFonts w:ascii="Times New Roman" w:hAnsi="Times New Roman" w:cs="Times New Roman"/>
          <w:sz w:val="24"/>
          <w:szCs w:val="20"/>
        </w:rPr>
        <w:t>Number of germs per millilitre of non-alcoholic artisanal beverages;</w:t>
      </w:r>
    </w:p>
    <w:p w14:paraId="0E9C0868" w14:textId="77777777" w:rsidR="00674764" w:rsidRPr="00674764" w:rsidRDefault="00674764" w:rsidP="00674764">
      <w:pPr>
        <w:tabs>
          <w:tab w:val="left" w:pos="360"/>
        </w:tabs>
        <w:spacing w:before="40" w:after="0" w:line="360" w:lineRule="auto"/>
        <w:jc w:val="both"/>
        <w:rPr>
          <w:rFonts w:ascii="Times New Roman" w:hAnsi="Times New Roman" w:cs="Times New Roman"/>
          <w:sz w:val="24"/>
          <w:szCs w:val="20"/>
        </w:rPr>
      </w:pPr>
      <w:r w:rsidRPr="00674764">
        <w:rPr>
          <w:rFonts w:ascii="Times New Roman" w:hAnsi="Times New Roman" w:cs="Times New Roman"/>
          <w:b/>
          <w:sz w:val="24"/>
          <w:szCs w:val="20"/>
        </w:rPr>
        <w:t>∑Ci</w:t>
      </w:r>
      <w:r w:rsidRPr="00674764">
        <w:rPr>
          <w:rFonts w:ascii="Times New Roman" w:hAnsi="Times New Roman" w:cs="Times New Roman"/>
          <w:sz w:val="24"/>
          <w:szCs w:val="20"/>
        </w:rPr>
        <w:t>: Sum of colonies counted on all the retained boxes of successive dilutions;</w:t>
      </w:r>
    </w:p>
    <w:p w14:paraId="12FB39BA" w14:textId="77777777" w:rsidR="00674764" w:rsidRPr="00674764" w:rsidRDefault="00674764" w:rsidP="00674764">
      <w:pPr>
        <w:tabs>
          <w:tab w:val="left" w:pos="360"/>
        </w:tabs>
        <w:spacing w:before="40" w:after="0" w:line="360" w:lineRule="auto"/>
        <w:jc w:val="both"/>
        <w:rPr>
          <w:rFonts w:ascii="Times New Roman" w:hAnsi="Times New Roman" w:cs="Times New Roman"/>
          <w:sz w:val="24"/>
          <w:szCs w:val="20"/>
        </w:rPr>
      </w:pPr>
      <w:r w:rsidRPr="00674764">
        <w:rPr>
          <w:rFonts w:ascii="Times New Roman" w:hAnsi="Times New Roman" w:cs="Times New Roman"/>
          <w:b/>
          <w:sz w:val="24"/>
          <w:szCs w:val="20"/>
        </w:rPr>
        <w:t>V</w:t>
      </w:r>
      <w:r w:rsidRPr="00674764">
        <w:rPr>
          <w:rFonts w:ascii="Times New Roman" w:hAnsi="Times New Roman" w:cs="Times New Roman"/>
          <w:sz w:val="24"/>
          <w:szCs w:val="20"/>
        </w:rPr>
        <w:t>: Volume of inoculum applied to each box (in mL);</w:t>
      </w:r>
    </w:p>
    <w:p w14:paraId="4AE25409" w14:textId="77777777" w:rsidR="00674764" w:rsidRPr="00674764" w:rsidRDefault="00674764" w:rsidP="00674764">
      <w:pPr>
        <w:tabs>
          <w:tab w:val="left" w:pos="360"/>
        </w:tabs>
        <w:spacing w:before="40" w:after="0" w:line="360" w:lineRule="auto"/>
        <w:jc w:val="both"/>
        <w:rPr>
          <w:rFonts w:ascii="Times New Roman" w:hAnsi="Times New Roman" w:cs="Times New Roman"/>
          <w:sz w:val="24"/>
          <w:szCs w:val="20"/>
        </w:rPr>
      </w:pPr>
      <w:r w:rsidRPr="00674764">
        <w:rPr>
          <w:rFonts w:ascii="Times New Roman" w:hAnsi="Times New Roman" w:cs="Times New Roman"/>
          <w:b/>
          <w:sz w:val="24"/>
          <w:szCs w:val="20"/>
        </w:rPr>
        <w:t>N1</w:t>
      </w:r>
      <w:r w:rsidRPr="00674764">
        <w:rPr>
          <w:rFonts w:ascii="Times New Roman" w:hAnsi="Times New Roman" w:cs="Times New Roman"/>
          <w:sz w:val="24"/>
          <w:szCs w:val="20"/>
        </w:rPr>
        <w:t>: Number of boxes retained at the first dilution considered;</w:t>
      </w:r>
    </w:p>
    <w:p w14:paraId="67BEB156" w14:textId="77777777" w:rsidR="00674764" w:rsidRPr="00674764" w:rsidRDefault="00674764" w:rsidP="00674764">
      <w:pPr>
        <w:tabs>
          <w:tab w:val="left" w:pos="360"/>
        </w:tabs>
        <w:spacing w:before="40" w:after="0" w:line="360" w:lineRule="auto"/>
        <w:jc w:val="both"/>
        <w:rPr>
          <w:rFonts w:ascii="Times New Roman" w:hAnsi="Times New Roman" w:cs="Times New Roman"/>
          <w:sz w:val="24"/>
          <w:szCs w:val="20"/>
        </w:rPr>
      </w:pPr>
      <w:r w:rsidRPr="00674764">
        <w:rPr>
          <w:rFonts w:ascii="Times New Roman" w:hAnsi="Times New Roman" w:cs="Times New Roman"/>
          <w:b/>
          <w:sz w:val="24"/>
          <w:szCs w:val="20"/>
        </w:rPr>
        <w:t>N2</w:t>
      </w:r>
      <w:r w:rsidRPr="00674764">
        <w:rPr>
          <w:rFonts w:ascii="Times New Roman" w:hAnsi="Times New Roman" w:cs="Times New Roman"/>
          <w:sz w:val="24"/>
          <w:szCs w:val="20"/>
        </w:rPr>
        <w:t>Number of boxes retained at the second dilution considered;</w:t>
      </w:r>
    </w:p>
    <w:p w14:paraId="19A628CE" w14:textId="77777777" w:rsidR="00674764" w:rsidRPr="00674764" w:rsidRDefault="00674764" w:rsidP="00674764">
      <w:pPr>
        <w:tabs>
          <w:tab w:val="left" w:pos="360"/>
        </w:tabs>
        <w:spacing w:before="40" w:after="0" w:line="360" w:lineRule="auto"/>
        <w:jc w:val="both"/>
        <w:rPr>
          <w:rFonts w:ascii="Times New Roman" w:hAnsi="Times New Roman" w:cs="Times New Roman"/>
          <w:sz w:val="24"/>
          <w:szCs w:val="20"/>
          <w:lang w:val="en-US"/>
        </w:rPr>
      </w:pPr>
      <w:proofErr w:type="gramStart"/>
      <w:r w:rsidRPr="00674764">
        <w:rPr>
          <w:rFonts w:ascii="Times New Roman" w:hAnsi="Times New Roman" w:cs="Times New Roman"/>
          <w:b/>
          <w:sz w:val="24"/>
          <w:szCs w:val="20"/>
        </w:rPr>
        <w:t>d</w:t>
      </w:r>
      <w:r w:rsidRPr="00674764">
        <w:rPr>
          <w:rFonts w:ascii="Times New Roman" w:hAnsi="Times New Roman" w:cs="Times New Roman"/>
          <w:sz w:val="24"/>
          <w:szCs w:val="20"/>
        </w:rPr>
        <w:t>:</w:t>
      </w:r>
      <w:proofErr w:type="gramEnd"/>
      <w:r w:rsidRPr="00674764">
        <w:rPr>
          <w:rFonts w:ascii="Times New Roman" w:hAnsi="Times New Roman" w:cs="Times New Roman"/>
          <w:sz w:val="24"/>
          <w:szCs w:val="20"/>
        </w:rPr>
        <w:t xml:space="preserve"> Dilution factor corresponding to the first dilution retained.</w:t>
      </w:r>
    </w:p>
    <w:bookmarkEnd w:id="3"/>
    <w:bookmarkEnd w:id="4"/>
    <w:p w14:paraId="16782448" w14:textId="77777777" w:rsidR="00674764" w:rsidRPr="00674764" w:rsidRDefault="00674764" w:rsidP="00674764">
      <w:pPr>
        <w:numPr>
          <w:ilvl w:val="2"/>
          <w:numId w:val="4"/>
        </w:numPr>
        <w:tabs>
          <w:tab w:val="left" w:pos="360"/>
        </w:tabs>
        <w:spacing w:before="40" w:line="360" w:lineRule="auto"/>
        <w:contextualSpacing/>
        <w:jc w:val="both"/>
        <w:rPr>
          <w:rFonts w:ascii="Times New Roman" w:hAnsi="Times New Roman" w:cs="Times New Roman"/>
          <w:b/>
          <w:sz w:val="24"/>
          <w:szCs w:val="20"/>
          <w:lang w:val="en-US"/>
        </w:rPr>
      </w:pPr>
      <w:r w:rsidRPr="00674764">
        <w:rPr>
          <w:rFonts w:ascii="Times New Roman" w:hAnsi="Times New Roman" w:cs="Times New Roman"/>
          <w:b/>
          <w:sz w:val="24"/>
          <w:szCs w:val="20"/>
          <w:lang w:val="en-US"/>
        </w:rPr>
        <w:t>Statistical analyses</w:t>
      </w:r>
    </w:p>
    <w:p w14:paraId="1A148F89" w14:textId="11DBA285" w:rsidR="00674764" w:rsidRPr="00674764" w:rsidRDefault="00674764" w:rsidP="00674764">
      <w:pPr>
        <w:tabs>
          <w:tab w:val="left" w:pos="360"/>
        </w:tabs>
        <w:spacing w:before="40" w:line="360" w:lineRule="auto"/>
        <w:jc w:val="both"/>
        <w:rPr>
          <w:rFonts w:ascii="Times New Roman" w:hAnsi="Times New Roman" w:cs="Times New Roman"/>
          <w:sz w:val="24"/>
          <w:szCs w:val="20"/>
        </w:rPr>
      </w:pPr>
      <w:r w:rsidRPr="00674764">
        <w:rPr>
          <w:rFonts w:ascii="Times New Roman" w:hAnsi="Times New Roman" w:cs="Times New Roman"/>
          <w:sz w:val="24"/>
          <w:szCs w:val="20"/>
        </w:rPr>
        <w:t>The da</w:t>
      </w:r>
      <w:r w:rsidR="000D09F5">
        <w:rPr>
          <w:rFonts w:ascii="Times New Roman" w:hAnsi="Times New Roman" w:cs="Times New Roman"/>
          <w:sz w:val="24"/>
          <w:szCs w:val="20"/>
        </w:rPr>
        <w:t>ta were analyzed using one-way a</w:t>
      </w:r>
      <w:r w:rsidRPr="00674764">
        <w:rPr>
          <w:rFonts w:ascii="Times New Roman" w:hAnsi="Times New Roman" w:cs="Times New Roman"/>
          <w:sz w:val="24"/>
          <w:szCs w:val="20"/>
        </w:rPr>
        <w:t>nalysis of variance (ANOVA) to assess variability between samples. Duncan's test was then used to identify significant differences between groups. The threshold for statistical significance was set at p &lt; 0.05 for all analyses.</w:t>
      </w:r>
      <w:r w:rsidRPr="00674764">
        <w:rPr>
          <w:rFonts w:ascii="Times New Roman" w:hAnsi="Times New Roman" w:cs="Times New Roman"/>
          <w:sz w:val="24"/>
          <w:szCs w:val="20"/>
        </w:rPr>
        <w:tab/>
      </w:r>
    </w:p>
    <w:p w14:paraId="21D34926" w14:textId="77777777" w:rsidR="00674764" w:rsidRPr="00674764" w:rsidRDefault="00674764" w:rsidP="00674764">
      <w:pPr>
        <w:numPr>
          <w:ilvl w:val="0"/>
          <w:numId w:val="4"/>
        </w:numPr>
        <w:spacing w:line="360" w:lineRule="auto"/>
        <w:contextualSpacing/>
        <w:jc w:val="both"/>
        <w:rPr>
          <w:rFonts w:ascii="Times New Roman" w:hAnsi="Times New Roman" w:cs="Times New Roman"/>
          <w:b/>
          <w:sz w:val="24"/>
        </w:rPr>
      </w:pPr>
      <w:r w:rsidRPr="00674764">
        <w:rPr>
          <w:rFonts w:ascii="Times New Roman" w:hAnsi="Times New Roman" w:cs="Times New Roman"/>
          <w:b/>
          <w:sz w:val="24"/>
        </w:rPr>
        <w:t>RESULTS</w:t>
      </w:r>
    </w:p>
    <w:p w14:paraId="41A9EA21" w14:textId="77777777" w:rsidR="00674764" w:rsidRPr="00674764" w:rsidRDefault="00674764" w:rsidP="00674764">
      <w:pPr>
        <w:numPr>
          <w:ilvl w:val="1"/>
          <w:numId w:val="4"/>
        </w:numPr>
        <w:spacing w:line="360" w:lineRule="auto"/>
        <w:contextualSpacing/>
        <w:jc w:val="both"/>
        <w:rPr>
          <w:rFonts w:ascii="Times New Roman" w:hAnsi="Times New Roman" w:cs="Times New Roman"/>
          <w:b/>
          <w:sz w:val="24"/>
        </w:rPr>
      </w:pPr>
      <w:r w:rsidRPr="00674764">
        <w:rPr>
          <w:rFonts w:ascii="Times New Roman" w:hAnsi="Times New Roman" w:cs="Times New Roman"/>
          <w:b/>
          <w:sz w:val="24"/>
        </w:rPr>
        <w:t>Physicochemical analyses</w:t>
      </w:r>
    </w:p>
    <w:p w14:paraId="2E87DE17" w14:textId="77777777" w:rsidR="00674764" w:rsidRP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sz w:val="24"/>
        </w:rPr>
        <w:t xml:space="preserve">Physicochemical analyses revealed significant variations in pH and sugar content depending on the beverage and location. </w:t>
      </w:r>
      <w:proofErr w:type="gramStart"/>
      <w:r w:rsidRPr="00674764">
        <w:rPr>
          <w:rFonts w:ascii="Times New Roman" w:hAnsi="Times New Roman" w:cs="Times New Roman"/>
          <w:sz w:val="24"/>
        </w:rPr>
        <w:t>pH</w:t>
      </w:r>
      <w:proofErr w:type="gramEnd"/>
      <w:r w:rsidRPr="00674764">
        <w:rPr>
          <w:rFonts w:ascii="Times New Roman" w:hAnsi="Times New Roman" w:cs="Times New Roman"/>
          <w:sz w:val="24"/>
        </w:rPr>
        <w:t xml:space="preserve"> ranged from 5.18 (Bissap, Daloa School Health Service) to 10.6 (Gnamankoudji, Daloa Antilope Clinic). Gnamankoudji exhibited the highest pH levels, with values ​​such as 10.6 at the Antil</w:t>
      </w:r>
      <w:bookmarkStart w:id="5" w:name="_GoBack"/>
      <w:bookmarkEnd w:id="5"/>
      <w:r w:rsidRPr="00674764">
        <w:rPr>
          <w:rFonts w:ascii="Times New Roman" w:hAnsi="Times New Roman" w:cs="Times New Roman"/>
          <w:sz w:val="24"/>
        </w:rPr>
        <w:t>ope Clinic and 9.25 at the Daloa Regional Hospital. Bissap showed the highest sugar content, notably 17.35 at Zepreguhe (Daloa) and 16.37 at Zaibo, for Gnamankoudji. These significant variations reflect considerable heterogeneity in the beverages' composition depending on their production site.</w:t>
      </w:r>
    </w:p>
    <w:p w14:paraId="2D5FD3A0" w14:textId="16AD74BC" w:rsidR="00674764" w:rsidRP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b/>
          <w:sz w:val="24"/>
        </w:rPr>
        <w:lastRenderedPageBreak/>
        <w:t xml:space="preserve">Table </w:t>
      </w:r>
      <w:proofErr w:type="gramStart"/>
      <w:r w:rsidR="00326BE0">
        <w:rPr>
          <w:rFonts w:ascii="Times New Roman" w:hAnsi="Times New Roman" w:cs="Times New Roman"/>
          <w:b/>
          <w:sz w:val="24"/>
        </w:rPr>
        <w:t>1</w:t>
      </w:r>
      <w:r w:rsidRPr="00674764">
        <w:rPr>
          <w:rFonts w:ascii="Times New Roman" w:hAnsi="Times New Roman" w:cs="Times New Roman"/>
          <w:b/>
          <w:sz w:val="24"/>
        </w:rPr>
        <w:t>:</w:t>
      </w:r>
      <w:proofErr w:type="gramEnd"/>
      <w:r w:rsidR="00326BE0">
        <w:rPr>
          <w:rFonts w:ascii="Times New Roman" w:hAnsi="Times New Roman" w:cs="Times New Roman"/>
          <w:b/>
          <w:sz w:val="24"/>
        </w:rPr>
        <w:t xml:space="preserve"> </w:t>
      </w:r>
      <w:r w:rsidRPr="00674764">
        <w:rPr>
          <w:rFonts w:ascii="Times New Roman" w:hAnsi="Times New Roman" w:cs="Times New Roman"/>
          <w:sz w:val="24"/>
        </w:rPr>
        <w:t>Physico-chemical characteristics of Bissap and Gnamankoudji drinks sold in the Daloa health district.</w:t>
      </w:r>
    </w:p>
    <w:p w14:paraId="50466E9A" w14:textId="77777777" w:rsidR="00674764" w:rsidRPr="00674764" w:rsidRDefault="00674764" w:rsidP="00674764">
      <w:pPr>
        <w:numPr>
          <w:ilvl w:val="0"/>
          <w:numId w:val="7"/>
        </w:numPr>
        <w:spacing w:line="360" w:lineRule="auto"/>
        <w:contextualSpacing/>
        <w:jc w:val="both"/>
        <w:rPr>
          <w:rFonts w:ascii="Times New Roman" w:hAnsi="Times New Roman" w:cs="Times New Roman"/>
          <w:b/>
          <w:i/>
          <w:sz w:val="24"/>
        </w:rPr>
      </w:pPr>
      <w:r w:rsidRPr="00674764">
        <w:rPr>
          <w:rFonts w:ascii="Times New Roman" w:hAnsi="Times New Roman" w:cs="Times New Roman"/>
          <w:b/>
          <w:i/>
          <w:sz w:val="24"/>
        </w:rPr>
        <w:t>Bissap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871"/>
        <w:gridCol w:w="90"/>
        <w:gridCol w:w="2244"/>
        <w:gridCol w:w="615"/>
        <w:gridCol w:w="1716"/>
        <w:gridCol w:w="158"/>
        <w:gridCol w:w="2358"/>
        <w:gridCol w:w="10"/>
      </w:tblGrid>
      <w:tr w:rsidR="00674764" w:rsidRPr="00674764" w14:paraId="11E2101D" w14:textId="77777777" w:rsidTr="00993D43">
        <w:trPr>
          <w:gridAfter w:val="1"/>
          <w:wAfter w:w="10" w:type="dxa"/>
        </w:trPr>
        <w:tc>
          <w:tcPr>
            <w:tcW w:w="1971" w:type="dxa"/>
            <w:gridSpan w:val="3"/>
            <w:tcBorders>
              <w:top w:val="single" w:sz="18" w:space="0" w:color="auto"/>
              <w:bottom w:val="single" w:sz="18" w:space="0" w:color="auto"/>
            </w:tcBorders>
          </w:tcPr>
          <w:p w14:paraId="390DDCBE"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Study areas</w:t>
            </w:r>
          </w:p>
        </w:tc>
        <w:tc>
          <w:tcPr>
            <w:tcW w:w="2859" w:type="dxa"/>
            <w:gridSpan w:val="2"/>
            <w:tcBorders>
              <w:top w:val="single" w:sz="18" w:space="0" w:color="auto"/>
              <w:bottom w:val="single" w:sz="18" w:space="0" w:color="auto"/>
            </w:tcBorders>
          </w:tcPr>
          <w:p w14:paraId="63DA33D9"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Sites</w:t>
            </w:r>
          </w:p>
        </w:tc>
        <w:tc>
          <w:tcPr>
            <w:tcW w:w="1874" w:type="dxa"/>
            <w:gridSpan w:val="2"/>
            <w:tcBorders>
              <w:top w:val="single" w:sz="18" w:space="0" w:color="auto"/>
              <w:bottom w:val="single" w:sz="18" w:space="0" w:color="auto"/>
            </w:tcBorders>
          </w:tcPr>
          <w:p w14:paraId="4503E8F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pH</w:t>
            </w:r>
          </w:p>
        </w:tc>
        <w:tc>
          <w:tcPr>
            <w:tcW w:w="2358" w:type="dxa"/>
            <w:tcBorders>
              <w:top w:val="single" w:sz="18" w:space="0" w:color="auto"/>
              <w:bottom w:val="single" w:sz="18" w:space="0" w:color="auto"/>
            </w:tcBorders>
          </w:tcPr>
          <w:p w14:paraId="420D437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Brix degree</w:t>
            </w:r>
          </w:p>
        </w:tc>
      </w:tr>
      <w:tr w:rsidR="00674764" w:rsidRPr="00674764" w14:paraId="7FD3D121" w14:textId="77777777" w:rsidTr="00993D43">
        <w:trPr>
          <w:gridAfter w:val="1"/>
          <w:wAfter w:w="10" w:type="dxa"/>
        </w:trPr>
        <w:tc>
          <w:tcPr>
            <w:tcW w:w="1971" w:type="dxa"/>
            <w:gridSpan w:val="3"/>
            <w:tcBorders>
              <w:top w:val="single" w:sz="18" w:space="0" w:color="auto"/>
            </w:tcBorders>
          </w:tcPr>
          <w:p w14:paraId="2890E0E2"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Borders>
              <w:top w:val="single" w:sz="18" w:space="0" w:color="auto"/>
            </w:tcBorders>
          </w:tcPr>
          <w:p w14:paraId="5910085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Sanitary district</w:t>
            </w:r>
          </w:p>
        </w:tc>
        <w:tc>
          <w:tcPr>
            <w:tcW w:w="1874" w:type="dxa"/>
            <w:gridSpan w:val="2"/>
            <w:tcBorders>
              <w:top w:val="single" w:sz="18" w:space="0" w:color="auto"/>
            </w:tcBorders>
          </w:tcPr>
          <w:p w14:paraId="571D651F"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8.61 ± 0.22ab</w:t>
            </w:r>
          </w:p>
        </w:tc>
        <w:tc>
          <w:tcPr>
            <w:tcW w:w="2358" w:type="dxa"/>
            <w:tcBorders>
              <w:top w:val="single" w:sz="18" w:space="0" w:color="auto"/>
            </w:tcBorders>
          </w:tcPr>
          <w:p w14:paraId="1DBD3CD7"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12.15±0.05bcdefg</w:t>
            </w:r>
          </w:p>
        </w:tc>
      </w:tr>
      <w:tr w:rsidR="00674764" w:rsidRPr="00674764" w14:paraId="2D3E2F49" w14:textId="77777777" w:rsidTr="00993D43">
        <w:trPr>
          <w:gridAfter w:val="1"/>
          <w:wAfter w:w="10" w:type="dxa"/>
        </w:trPr>
        <w:tc>
          <w:tcPr>
            <w:tcW w:w="1971" w:type="dxa"/>
            <w:gridSpan w:val="3"/>
          </w:tcPr>
          <w:p w14:paraId="7C0AD4B3"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468EBEA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dispensary</w:t>
            </w:r>
          </w:p>
        </w:tc>
        <w:tc>
          <w:tcPr>
            <w:tcW w:w="1874" w:type="dxa"/>
            <w:gridSpan w:val="2"/>
          </w:tcPr>
          <w:p w14:paraId="6D34EE99"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8.77 ± 0.04ab</w:t>
            </w:r>
          </w:p>
        </w:tc>
        <w:tc>
          <w:tcPr>
            <w:tcW w:w="2358" w:type="dxa"/>
          </w:tcPr>
          <w:p w14:paraId="22B24CEF"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10.9±0.1abcdefg</w:t>
            </w:r>
          </w:p>
        </w:tc>
      </w:tr>
      <w:tr w:rsidR="00674764" w:rsidRPr="00674764" w14:paraId="70D2AD93" w14:textId="77777777" w:rsidTr="00993D43">
        <w:trPr>
          <w:gridAfter w:val="1"/>
          <w:wAfter w:w="10" w:type="dxa"/>
        </w:trPr>
        <w:tc>
          <w:tcPr>
            <w:tcW w:w="1971" w:type="dxa"/>
            <w:gridSpan w:val="3"/>
          </w:tcPr>
          <w:p w14:paraId="45A8E1C8"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7AEA7C76"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Maternal and Child Protection</w:t>
            </w:r>
          </w:p>
        </w:tc>
        <w:tc>
          <w:tcPr>
            <w:tcW w:w="1874" w:type="dxa"/>
            <w:gridSpan w:val="2"/>
          </w:tcPr>
          <w:p w14:paraId="10B5ADA9"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9.1±1.89ab</w:t>
            </w:r>
          </w:p>
        </w:tc>
        <w:tc>
          <w:tcPr>
            <w:tcW w:w="2358" w:type="dxa"/>
          </w:tcPr>
          <w:p w14:paraId="24D3EA5D"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9.61 ± 0.46 abcdef</w:t>
            </w:r>
          </w:p>
        </w:tc>
      </w:tr>
      <w:tr w:rsidR="00674764" w:rsidRPr="00674764" w14:paraId="3FE97ADA" w14:textId="77777777" w:rsidTr="00993D43">
        <w:trPr>
          <w:gridAfter w:val="1"/>
          <w:wAfter w:w="10" w:type="dxa"/>
        </w:trPr>
        <w:tc>
          <w:tcPr>
            <w:tcW w:w="1971" w:type="dxa"/>
            <w:gridSpan w:val="3"/>
          </w:tcPr>
          <w:p w14:paraId="5D59DEA8"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5BBFAF6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Civil Prison Infirmary</w:t>
            </w:r>
          </w:p>
        </w:tc>
        <w:tc>
          <w:tcPr>
            <w:tcW w:w="1874" w:type="dxa"/>
            <w:gridSpan w:val="2"/>
          </w:tcPr>
          <w:p w14:paraId="63B97449"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8.08 ± 0.08ab</w:t>
            </w:r>
          </w:p>
        </w:tc>
        <w:tc>
          <w:tcPr>
            <w:tcW w:w="2358" w:type="dxa"/>
          </w:tcPr>
          <w:p w14:paraId="5CAEFB3F"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5.88 ± 3.21ab</w:t>
            </w:r>
          </w:p>
        </w:tc>
      </w:tr>
      <w:tr w:rsidR="00674764" w:rsidRPr="00674764" w14:paraId="325029CC" w14:textId="77777777" w:rsidTr="00993D43">
        <w:trPr>
          <w:gridAfter w:val="1"/>
          <w:wAfter w:w="10" w:type="dxa"/>
        </w:trPr>
        <w:tc>
          <w:tcPr>
            <w:tcW w:w="1971" w:type="dxa"/>
            <w:gridSpan w:val="3"/>
          </w:tcPr>
          <w:p w14:paraId="7B1AC44D"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4CE9A646"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INHP Antenna</w:t>
            </w:r>
          </w:p>
        </w:tc>
        <w:tc>
          <w:tcPr>
            <w:tcW w:w="1874" w:type="dxa"/>
            <w:gridSpan w:val="2"/>
          </w:tcPr>
          <w:p w14:paraId="3A9C9F46"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5.83 ± 3.17a</w:t>
            </w:r>
          </w:p>
        </w:tc>
        <w:tc>
          <w:tcPr>
            <w:tcW w:w="2358" w:type="dxa"/>
          </w:tcPr>
          <w:p w14:paraId="25972416"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9.91 ± 0.08 abcdef</w:t>
            </w:r>
          </w:p>
        </w:tc>
      </w:tr>
      <w:tr w:rsidR="00674764" w:rsidRPr="00674764" w14:paraId="3A63FD38" w14:textId="77777777" w:rsidTr="00993D43">
        <w:trPr>
          <w:gridAfter w:val="1"/>
          <w:wAfter w:w="10" w:type="dxa"/>
        </w:trPr>
        <w:tc>
          <w:tcPr>
            <w:tcW w:w="1971" w:type="dxa"/>
            <w:gridSpan w:val="3"/>
          </w:tcPr>
          <w:p w14:paraId="48604DBA"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3192B183"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School and University Health Service</w:t>
            </w:r>
          </w:p>
        </w:tc>
        <w:tc>
          <w:tcPr>
            <w:tcW w:w="1874" w:type="dxa"/>
            <w:gridSpan w:val="2"/>
          </w:tcPr>
          <w:p w14:paraId="63B0B95E"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5.18±2.67a</w:t>
            </w:r>
          </w:p>
        </w:tc>
        <w:tc>
          <w:tcPr>
            <w:tcW w:w="2358" w:type="dxa"/>
          </w:tcPr>
          <w:p w14:paraId="0DC42FA1"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8.33 ± 1.67abcde</w:t>
            </w:r>
          </w:p>
        </w:tc>
      </w:tr>
      <w:tr w:rsidR="00674764" w:rsidRPr="00674764" w14:paraId="7AFBCAE2" w14:textId="77777777" w:rsidTr="00993D43">
        <w:trPr>
          <w:gridAfter w:val="1"/>
          <w:wAfter w:w="10" w:type="dxa"/>
        </w:trPr>
        <w:tc>
          <w:tcPr>
            <w:tcW w:w="1971" w:type="dxa"/>
            <w:gridSpan w:val="3"/>
          </w:tcPr>
          <w:p w14:paraId="28F61CFF"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04C3195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Leprosarium</w:t>
            </w:r>
          </w:p>
        </w:tc>
        <w:tc>
          <w:tcPr>
            <w:tcW w:w="1874" w:type="dxa"/>
            <w:gridSpan w:val="2"/>
          </w:tcPr>
          <w:p w14:paraId="4BAFC2A5"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5.22 ± 2.65a</w:t>
            </w:r>
          </w:p>
        </w:tc>
        <w:tc>
          <w:tcPr>
            <w:tcW w:w="2358" w:type="dxa"/>
          </w:tcPr>
          <w:p w14:paraId="30CB1BF1"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7.73 ± 2.27abcde</w:t>
            </w:r>
          </w:p>
        </w:tc>
      </w:tr>
      <w:tr w:rsidR="00674764" w:rsidRPr="00674764" w14:paraId="58AC5E60" w14:textId="77777777" w:rsidTr="00993D43">
        <w:trPr>
          <w:gridAfter w:val="1"/>
          <w:wAfter w:w="10" w:type="dxa"/>
        </w:trPr>
        <w:tc>
          <w:tcPr>
            <w:tcW w:w="1971" w:type="dxa"/>
            <w:gridSpan w:val="3"/>
          </w:tcPr>
          <w:p w14:paraId="28A3343E"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1817F6F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Regional Hospital Center</w:t>
            </w:r>
          </w:p>
        </w:tc>
        <w:tc>
          <w:tcPr>
            <w:tcW w:w="1874" w:type="dxa"/>
            <w:gridSpan w:val="2"/>
          </w:tcPr>
          <w:p w14:paraId="6A6AC775"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6.63 ± 1.63ab</w:t>
            </w:r>
          </w:p>
        </w:tc>
        <w:tc>
          <w:tcPr>
            <w:tcW w:w="2358" w:type="dxa"/>
          </w:tcPr>
          <w:p w14:paraId="1D72D04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13±2cdefg</w:t>
            </w:r>
          </w:p>
        </w:tc>
      </w:tr>
      <w:tr w:rsidR="00674764" w:rsidRPr="00674764" w14:paraId="735B495A" w14:textId="77777777" w:rsidTr="00993D43">
        <w:trPr>
          <w:gridAfter w:val="1"/>
          <w:wAfter w:w="10" w:type="dxa"/>
        </w:trPr>
        <w:tc>
          <w:tcPr>
            <w:tcW w:w="1971" w:type="dxa"/>
            <w:gridSpan w:val="3"/>
          </w:tcPr>
          <w:p w14:paraId="67AD6004"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01495CD0"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Antilope Clinic</w:t>
            </w:r>
          </w:p>
        </w:tc>
        <w:tc>
          <w:tcPr>
            <w:tcW w:w="1874" w:type="dxa"/>
            <w:gridSpan w:val="2"/>
          </w:tcPr>
          <w:p w14:paraId="767A457E"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7.82 ± 0.53ab</w:t>
            </w:r>
          </w:p>
        </w:tc>
        <w:tc>
          <w:tcPr>
            <w:tcW w:w="2358" w:type="dxa"/>
          </w:tcPr>
          <w:p w14:paraId="4BC8D9E0"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9.33±1.23abcde</w:t>
            </w:r>
          </w:p>
        </w:tc>
      </w:tr>
      <w:tr w:rsidR="00674764" w:rsidRPr="00674764" w14:paraId="491CAE95" w14:textId="77777777" w:rsidTr="00993D43">
        <w:trPr>
          <w:gridAfter w:val="1"/>
          <w:wAfter w:w="10" w:type="dxa"/>
        </w:trPr>
        <w:tc>
          <w:tcPr>
            <w:tcW w:w="1971" w:type="dxa"/>
            <w:gridSpan w:val="3"/>
          </w:tcPr>
          <w:p w14:paraId="1019FFE1"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Daloa</w:t>
            </w:r>
          </w:p>
        </w:tc>
        <w:tc>
          <w:tcPr>
            <w:tcW w:w="2859" w:type="dxa"/>
            <w:gridSpan w:val="2"/>
          </w:tcPr>
          <w:p w14:paraId="507A09B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Maternity Ward - Groguhe</w:t>
            </w:r>
          </w:p>
        </w:tc>
        <w:tc>
          <w:tcPr>
            <w:tcW w:w="1874" w:type="dxa"/>
            <w:gridSpan w:val="2"/>
          </w:tcPr>
          <w:p w14:paraId="74D3AD69"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6.73 ± 0.03ab</w:t>
            </w:r>
          </w:p>
        </w:tc>
        <w:tc>
          <w:tcPr>
            <w:tcW w:w="2358" w:type="dxa"/>
          </w:tcPr>
          <w:p w14:paraId="77B07F9D"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10.07±0.95abcdef</w:t>
            </w:r>
          </w:p>
        </w:tc>
      </w:tr>
      <w:tr w:rsidR="00674764" w:rsidRPr="00674764" w14:paraId="3A2C5B6C" w14:textId="77777777" w:rsidTr="00993D43">
        <w:trPr>
          <w:gridAfter w:val="1"/>
          <w:wAfter w:w="10" w:type="dxa"/>
        </w:trPr>
        <w:tc>
          <w:tcPr>
            <w:tcW w:w="1971" w:type="dxa"/>
            <w:gridSpan w:val="3"/>
          </w:tcPr>
          <w:p w14:paraId="6C627067"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177F1D4D"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 - Zepreguhe</w:t>
            </w:r>
          </w:p>
        </w:tc>
        <w:tc>
          <w:tcPr>
            <w:tcW w:w="1874" w:type="dxa"/>
            <w:gridSpan w:val="2"/>
          </w:tcPr>
          <w:p w14:paraId="0293CC7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7.2 ± 0.7ab</w:t>
            </w:r>
          </w:p>
        </w:tc>
        <w:tc>
          <w:tcPr>
            <w:tcW w:w="2358" w:type="dxa"/>
          </w:tcPr>
          <w:p w14:paraId="7B16F11A"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17.35±0.35g</w:t>
            </w:r>
          </w:p>
        </w:tc>
      </w:tr>
      <w:tr w:rsidR="00674764" w:rsidRPr="00674764" w14:paraId="369541F8" w14:textId="77777777" w:rsidTr="00993D43">
        <w:trPr>
          <w:gridAfter w:val="1"/>
          <w:wAfter w:w="10" w:type="dxa"/>
        </w:trPr>
        <w:tc>
          <w:tcPr>
            <w:tcW w:w="1971" w:type="dxa"/>
            <w:gridSpan w:val="3"/>
          </w:tcPr>
          <w:p w14:paraId="52BC1B12"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15675D6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Zokoguhe Rural Health Center</w:t>
            </w:r>
          </w:p>
        </w:tc>
        <w:tc>
          <w:tcPr>
            <w:tcW w:w="1874" w:type="dxa"/>
            <w:gridSpan w:val="2"/>
          </w:tcPr>
          <w:p w14:paraId="3977066B"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8.55 ± 0.95ab</w:t>
            </w:r>
          </w:p>
        </w:tc>
        <w:tc>
          <w:tcPr>
            <w:tcW w:w="2358" w:type="dxa"/>
          </w:tcPr>
          <w:p w14:paraId="263E1415"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6.59 ± 0.20 abc</w:t>
            </w:r>
          </w:p>
        </w:tc>
      </w:tr>
      <w:tr w:rsidR="00674764" w:rsidRPr="00674764" w14:paraId="2EAA510C" w14:textId="77777777" w:rsidTr="00993D43">
        <w:trPr>
          <w:gridAfter w:val="1"/>
          <w:wAfter w:w="10" w:type="dxa"/>
        </w:trPr>
        <w:tc>
          <w:tcPr>
            <w:tcW w:w="1971" w:type="dxa"/>
            <w:gridSpan w:val="3"/>
          </w:tcPr>
          <w:p w14:paraId="1710A6DB"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74DDD84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dispensary-Tagoura</w:t>
            </w:r>
          </w:p>
        </w:tc>
        <w:tc>
          <w:tcPr>
            <w:tcW w:w="1874" w:type="dxa"/>
            <w:gridSpan w:val="2"/>
          </w:tcPr>
          <w:p w14:paraId="7DBF08E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6.4±00ab</w:t>
            </w:r>
          </w:p>
        </w:tc>
        <w:tc>
          <w:tcPr>
            <w:tcW w:w="2358" w:type="dxa"/>
          </w:tcPr>
          <w:p w14:paraId="24C4D84A"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7.75±2.75abcde</w:t>
            </w:r>
          </w:p>
        </w:tc>
      </w:tr>
      <w:tr w:rsidR="00674764" w:rsidRPr="00674764" w14:paraId="7E8A2DD6" w14:textId="77777777" w:rsidTr="00993D43">
        <w:trPr>
          <w:gridAfter w:val="1"/>
          <w:wAfter w:w="10" w:type="dxa"/>
        </w:trPr>
        <w:tc>
          <w:tcPr>
            <w:tcW w:w="1971" w:type="dxa"/>
            <w:gridSpan w:val="3"/>
          </w:tcPr>
          <w:p w14:paraId="56F3FBBF"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690DA5AD"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dispensary-Tahiraguhe</w:t>
            </w:r>
          </w:p>
        </w:tc>
        <w:tc>
          <w:tcPr>
            <w:tcW w:w="1874" w:type="dxa"/>
            <w:gridSpan w:val="2"/>
          </w:tcPr>
          <w:p w14:paraId="4B99CF24"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8.03 ± 1.26ab</w:t>
            </w:r>
          </w:p>
        </w:tc>
        <w:tc>
          <w:tcPr>
            <w:tcW w:w="2358" w:type="dxa"/>
          </w:tcPr>
          <w:p w14:paraId="66AC6421"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9.04 ± 1.055abcde</w:t>
            </w:r>
          </w:p>
        </w:tc>
      </w:tr>
      <w:tr w:rsidR="00674764" w:rsidRPr="00674764" w14:paraId="4EB24BFA" w14:textId="77777777" w:rsidTr="00993D43">
        <w:trPr>
          <w:gridAfter w:val="1"/>
          <w:wAfter w:w="10" w:type="dxa"/>
        </w:trPr>
        <w:tc>
          <w:tcPr>
            <w:tcW w:w="1971" w:type="dxa"/>
            <w:gridSpan w:val="3"/>
          </w:tcPr>
          <w:p w14:paraId="160D6182"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1A6267F5"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 - Niouboua</w:t>
            </w:r>
          </w:p>
        </w:tc>
        <w:tc>
          <w:tcPr>
            <w:tcW w:w="1874" w:type="dxa"/>
            <w:gridSpan w:val="2"/>
          </w:tcPr>
          <w:p w14:paraId="4C3AF087"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6.44 ± 0.02ab</w:t>
            </w:r>
          </w:p>
        </w:tc>
        <w:tc>
          <w:tcPr>
            <w:tcW w:w="2358" w:type="dxa"/>
          </w:tcPr>
          <w:p w14:paraId="0C2A52AC"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4.57±1.92a</w:t>
            </w:r>
          </w:p>
        </w:tc>
      </w:tr>
      <w:tr w:rsidR="00674764" w:rsidRPr="00674764" w14:paraId="0C3F7EBD" w14:textId="77777777" w:rsidTr="00993D43">
        <w:trPr>
          <w:gridAfter w:val="1"/>
          <w:wAfter w:w="10" w:type="dxa"/>
        </w:trPr>
        <w:tc>
          <w:tcPr>
            <w:tcW w:w="1971" w:type="dxa"/>
            <w:gridSpan w:val="3"/>
          </w:tcPr>
          <w:p w14:paraId="29199834"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55F0C95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Dispensary-Seria</w:t>
            </w:r>
          </w:p>
        </w:tc>
        <w:tc>
          <w:tcPr>
            <w:tcW w:w="1874" w:type="dxa"/>
            <w:gridSpan w:val="2"/>
          </w:tcPr>
          <w:p w14:paraId="1168451B"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7.6±0.5ab</w:t>
            </w:r>
          </w:p>
        </w:tc>
        <w:tc>
          <w:tcPr>
            <w:tcW w:w="2358" w:type="dxa"/>
          </w:tcPr>
          <w:p w14:paraId="682FC904"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10.22 ± 1.77 abcdef</w:t>
            </w:r>
          </w:p>
        </w:tc>
      </w:tr>
      <w:tr w:rsidR="00674764" w:rsidRPr="00674764" w14:paraId="5F104A6E" w14:textId="77777777" w:rsidTr="00993D43">
        <w:trPr>
          <w:gridAfter w:val="1"/>
          <w:wAfter w:w="10" w:type="dxa"/>
        </w:trPr>
        <w:tc>
          <w:tcPr>
            <w:tcW w:w="1971" w:type="dxa"/>
            <w:gridSpan w:val="3"/>
          </w:tcPr>
          <w:p w14:paraId="7AEDDBCB"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1215F15C"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Medical and Social Center</w:t>
            </w:r>
          </w:p>
        </w:tc>
        <w:tc>
          <w:tcPr>
            <w:tcW w:w="1874" w:type="dxa"/>
            <w:gridSpan w:val="2"/>
          </w:tcPr>
          <w:p w14:paraId="6ED91E9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5.49 ± 2.96a</w:t>
            </w:r>
          </w:p>
        </w:tc>
        <w:tc>
          <w:tcPr>
            <w:tcW w:w="2358" w:type="dxa"/>
          </w:tcPr>
          <w:p w14:paraId="1A76EA89"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5.94±2.61ab</w:t>
            </w:r>
          </w:p>
        </w:tc>
      </w:tr>
      <w:tr w:rsidR="00674764" w:rsidRPr="00674764" w14:paraId="327EEBDD" w14:textId="77777777" w:rsidTr="00993D43">
        <w:trPr>
          <w:gridAfter w:val="1"/>
          <w:wAfter w:w="10" w:type="dxa"/>
        </w:trPr>
        <w:tc>
          <w:tcPr>
            <w:tcW w:w="1971" w:type="dxa"/>
            <w:gridSpan w:val="3"/>
            <w:tcBorders>
              <w:top w:val="single" w:sz="18" w:space="0" w:color="auto"/>
            </w:tcBorders>
          </w:tcPr>
          <w:p w14:paraId="0F0454CD"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Gboguhe</w:t>
            </w:r>
          </w:p>
        </w:tc>
        <w:tc>
          <w:tcPr>
            <w:tcW w:w="2859" w:type="dxa"/>
            <w:gridSpan w:val="2"/>
            <w:tcBorders>
              <w:top w:val="single" w:sz="18" w:space="0" w:color="auto"/>
            </w:tcBorders>
          </w:tcPr>
          <w:p w14:paraId="3435F319"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 - Bribouo</w:t>
            </w:r>
          </w:p>
        </w:tc>
        <w:tc>
          <w:tcPr>
            <w:tcW w:w="1874" w:type="dxa"/>
            <w:gridSpan w:val="2"/>
            <w:tcBorders>
              <w:top w:val="single" w:sz="18" w:space="0" w:color="auto"/>
            </w:tcBorders>
          </w:tcPr>
          <w:p w14:paraId="14BBC985"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8.65 ± 0.65ab</w:t>
            </w:r>
          </w:p>
        </w:tc>
        <w:tc>
          <w:tcPr>
            <w:tcW w:w="2358" w:type="dxa"/>
            <w:tcBorders>
              <w:top w:val="single" w:sz="18" w:space="0" w:color="auto"/>
            </w:tcBorders>
          </w:tcPr>
          <w:p w14:paraId="032EB914"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10.17±0.82abcdef</w:t>
            </w:r>
          </w:p>
        </w:tc>
      </w:tr>
      <w:tr w:rsidR="00674764" w:rsidRPr="00674764" w14:paraId="0D15C538" w14:textId="77777777" w:rsidTr="00993D43">
        <w:trPr>
          <w:gridAfter w:val="1"/>
          <w:wAfter w:w="10" w:type="dxa"/>
          <w:trHeight w:val="1197"/>
        </w:trPr>
        <w:tc>
          <w:tcPr>
            <w:tcW w:w="1971" w:type="dxa"/>
            <w:gridSpan w:val="3"/>
          </w:tcPr>
          <w:p w14:paraId="4A2B4E96"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Pr>
          <w:p w14:paraId="7A729E0A"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Digbapia Integrated Health Center Type 2</w:t>
            </w:r>
          </w:p>
          <w:p w14:paraId="1A25E5C3"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1874" w:type="dxa"/>
            <w:gridSpan w:val="2"/>
          </w:tcPr>
          <w:p w14:paraId="3AEC34B2"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8.03 ± 0.23ab</w:t>
            </w:r>
          </w:p>
          <w:p w14:paraId="12AE55C0" w14:textId="77777777" w:rsidR="00674764" w:rsidRPr="00674764" w:rsidRDefault="00674764" w:rsidP="00674764">
            <w:pPr>
              <w:spacing w:line="360" w:lineRule="auto"/>
              <w:jc w:val="both"/>
              <w:rPr>
                <w:rFonts w:ascii="Times New Roman" w:hAnsi="Times New Roman" w:cs="Times New Roman"/>
                <w:iCs/>
                <w:sz w:val="20"/>
                <w:szCs w:val="20"/>
              </w:rPr>
            </w:pPr>
          </w:p>
          <w:p w14:paraId="451C6C5C"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7.21 ± 0.66ab</w:t>
            </w:r>
          </w:p>
        </w:tc>
        <w:tc>
          <w:tcPr>
            <w:tcW w:w="2358" w:type="dxa"/>
          </w:tcPr>
          <w:p w14:paraId="6E75D571"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10.82 ± 0.97 abcdefg</w:t>
            </w:r>
          </w:p>
          <w:p w14:paraId="398A4FF4"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 xml:space="preserve">    </w:t>
            </w:r>
          </w:p>
          <w:p w14:paraId="0A2A1FE2"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11.5±2.5abcdefg</w:t>
            </w:r>
          </w:p>
        </w:tc>
      </w:tr>
      <w:tr w:rsidR="00674764" w:rsidRPr="00674764" w14:paraId="1962DE34" w14:textId="77777777" w:rsidTr="00993D43">
        <w:trPr>
          <w:gridAfter w:val="1"/>
          <w:wAfter w:w="10" w:type="dxa"/>
        </w:trPr>
        <w:tc>
          <w:tcPr>
            <w:tcW w:w="1971" w:type="dxa"/>
            <w:gridSpan w:val="3"/>
            <w:tcBorders>
              <w:top w:val="single" w:sz="18" w:space="0" w:color="auto"/>
            </w:tcBorders>
          </w:tcPr>
          <w:p w14:paraId="173BBDF4"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9" w:type="dxa"/>
            <w:gridSpan w:val="2"/>
            <w:tcBorders>
              <w:top w:val="single" w:sz="18" w:space="0" w:color="auto"/>
            </w:tcBorders>
          </w:tcPr>
          <w:p w14:paraId="69F2ED7D"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1874" w:type="dxa"/>
            <w:gridSpan w:val="2"/>
            <w:tcBorders>
              <w:top w:val="single" w:sz="18" w:space="0" w:color="auto"/>
            </w:tcBorders>
          </w:tcPr>
          <w:p w14:paraId="278DC8ED"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7.69 ± 1.16ab</w:t>
            </w:r>
          </w:p>
        </w:tc>
        <w:tc>
          <w:tcPr>
            <w:tcW w:w="2358" w:type="dxa"/>
            <w:tcBorders>
              <w:top w:val="single" w:sz="18" w:space="0" w:color="auto"/>
            </w:tcBorders>
          </w:tcPr>
          <w:p w14:paraId="0561F0E3"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7±0.29abc</w:t>
            </w:r>
          </w:p>
        </w:tc>
      </w:tr>
      <w:tr w:rsidR="00674764" w:rsidRPr="00674764" w14:paraId="14DAED78" w14:textId="77777777" w:rsidTr="00993D43">
        <w:trPr>
          <w:gridAfter w:val="1"/>
          <w:wAfter w:w="10" w:type="dxa"/>
        </w:trPr>
        <w:tc>
          <w:tcPr>
            <w:tcW w:w="1971" w:type="dxa"/>
            <w:gridSpan w:val="3"/>
          </w:tcPr>
          <w:p w14:paraId="00F32B0A"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Bediala</w:t>
            </w:r>
          </w:p>
        </w:tc>
        <w:tc>
          <w:tcPr>
            <w:tcW w:w="2859" w:type="dxa"/>
            <w:gridSpan w:val="2"/>
          </w:tcPr>
          <w:p w14:paraId="0BC6D050"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w:t>
            </w:r>
          </w:p>
        </w:tc>
        <w:tc>
          <w:tcPr>
            <w:tcW w:w="1874" w:type="dxa"/>
            <w:gridSpan w:val="2"/>
          </w:tcPr>
          <w:p w14:paraId="653250F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7.46 ± 0.98ab</w:t>
            </w:r>
          </w:p>
        </w:tc>
        <w:tc>
          <w:tcPr>
            <w:tcW w:w="2358" w:type="dxa"/>
          </w:tcPr>
          <w:p w14:paraId="56584EFC"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10.81 ± 4.43 abcdefg</w:t>
            </w:r>
          </w:p>
        </w:tc>
      </w:tr>
      <w:tr w:rsidR="00674764" w:rsidRPr="00674764" w14:paraId="2F87560D" w14:textId="77777777" w:rsidTr="00993D43">
        <w:trPr>
          <w:gridBefore w:val="1"/>
          <w:wBefore w:w="10" w:type="dxa"/>
        </w:trPr>
        <w:tc>
          <w:tcPr>
            <w:tcW w:w="1871" w:type="dxa"/>
            <w:tcBorders>
              <w:top w:val="single" w:sz="18" w:space="0" w:color="auto"/>
              <w:bottom w:val="single" w:sz="18" w:space="0" w:color="auto"/>
            </w:tcBorders>
          </w:tcPr>
          <w:p w14:paraId="2DD4D8D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Zaibo</w:t>
            </w:r>
          </w:p>
        </w:tc>
        <w:tc>
          <w:tcPr>
            <w:tcW w:w="2334" w:type="dxa"/>
            <w:gridSpan w:val="2"/>
            <w:tcBorders>
              <w:top w:val="single" w:sz="18" w:space="0" w:color="auto"/>
              <w:bottom w:val="single" w:sz="18" w:space="0" w:color="auto"/>
            </w:tcBorders>
          </w:tcPr>
          <w:p w14:paraId="59900F3E"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2331" w:type="dxa"/>
            <w:gridSpan w:val="2"/>
            <w:tcBorders>
              <w:top w:val="single" w:sz="18" w:space="0" w:color="auto"/>
              <w:bottom w:val="single" w:sz="18" w:space="0" w:color="auto"/>
            </w:tcBorders>
          </w:tcPr>
          <w:p w14:paraId="06A59485"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6.20 ± 0.4ab</w:t>
            </w:r>
          </w:p>
        </w:tc>
        <w:tc>
          <w:tcPr>
            <w:tcW w:w="2526" w:type="dxa"/>
            <w:gridSpan w:val="3"/>
            <w:tcBorders>
              <w:top w:val="single" w:sz="18" w:space="0" w:color="auto"/>
              <w:bottom w:val="single" w:sz="18" w:space="0" w:color="auto"/>
            </w:tcBorders>
          </w:tcPr>
          <w:p w14:paraId="193F6160"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11.22 ± 2.57 abcdefg</w:t>
            </w:r>
          </w:p>
        </w:tc>
      </w:tr>
      <w:tr w:rsidR="00674764" w:rsidRPr="00674764" w14:paraId="5CAE09D9" w14:textId="77777777" w:rsidTr="00993D43">
        <w:trPr>
          <w:gridBefore w:val="1"/>
          <w:wBefore w:w="10" w:type="dxa"/>
        </w:trPr>
        <w:tc>
          <w:tcPr>
            <w:tcW w:w="1871" w:type="dxa"/>
            <w:tcBorders>
              <w:top w:val="single" w:sz="18" w:space="0" w:color="auto"/>
              <w:bottom w:val="single" w:sz="18" w:space="0" w:color="auto"/>
            </w:tcBorders>
          </w:tcPr>
          <w:p w14:paraId="75FCF0B5"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Gadouan</w:t>
            </w:r>
          </w:p>
        </w:tc>
        <w:tc>
          <w:tcPr>
            <w:tcW w:w="2334" w:type="dxa"/>
            <w:gridSpan w:val="2"/>
            <w:tcBorders>
              <w:top w:val="single" w:sz="18" w:space="0" w:color="auto"/>
              <w:bottom w:val="single" w:sz="18" w:space="0" w:color="auto"/>
            </w:tcBorders>
          </w:tcPr>
          <w:p w14:paraId="03AB549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2331" w:type="dxa"/>
            <w:gridSpan w:val="2"/>
            <w:tcBorders>
              <w:top w:val="single" w:sz="18" w:space="0" w:color="auto"/>
              <w:bottom w:val="single" w:sz="18" w:space="0" w:color="auto"/>
            </w:tcBorders>
          </w:tcPr>
          <w:p w14:paraId="5ED973B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8.3±0.2ab</w:t>
            </w:r>
          </w:p>
        </w:tc>
        <w:tc>
          <w:tcPr>
            <w:tcW w:w="2526" w:type="dxa"/>
            <w:gridSpan w:val="3"/>
            <w:tcBorders>
              <w:top w:val="single" w:sz="18" w:space="0" w:color="auto"/>
              <w:bottom w:val="single" w:sz="18" w:space="0" w:color="auto"/>
            </w:tcBorders>
          </w:tcPr>
          <w:p w14:paraId="5739BA54"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11.85±0.95bcdef</w:t>
            </w:r>
          </w:p>
        </w:tc>
      </w:tr>
      <w:tr w:rsidR="00674764" w:rsidRPr="00674764" w14:paraId="70FB19E4" w14:textId="77777777" w:rsidTr="00993D43">
        <w:trPr>
          <w:gridBefore w:val="1"/>
          <w:wBefore w:w="10" w:type="dxa"/>
        </w:trPr>
        <w:tc>
          <w:tcPr>
            <w:tcW w:w="1871" w:type="dxa"/>
            <w:tcBorders>
              <w:top w:val="single" w:sz="18" w:space="0" w:color="auto"/>
            </w:tcBorders>
          </w:tcPr>
          <w:p w14:paraId="1BBCA1CD"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Gonate</w:t>
            </w:r>
          </w:p>
        </w:tc>
        <w:tc>
          <w:tcPr>
            <w:tcW w:w="2334" w:type="dxa"/>
            <w:gridSpan w:val="2"/>
            <w:tcBorders>
              <w:top w:val="single" w:sz="18" w:space="0" w:color="auto"/>
            </w:tcBorders>
          </w:tcPr>
          <w:p w14:paraId="2E97F264"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w:t>
            </w:r>
          </w:p>
        </w:tc>
        <w:tc>
          <w:tcPr>
            <w:tcW w:w="2331" w:type="dxa"/>
            <w:gridSpan w:val="2"/>
            <w:tcBorders>
              <w:top w:val="single" w:sz="18" w:space="0" w:color="auto"/>
            </w:tcBorders>
          </w:tcPr>
          <w:p w14:paraId="163AB3A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7.14±0.52ab</w:t>
            </w:r>
          </w:p>
        </w:tc>
        <w:tc>
          <w:tcPr>
            <w:tcW w:w="2526" w:type="dxa"/>
            <w:gridSpan w:val="3"/>
            <w:tcBorders>
              <w:top w:val="single" w:sz="18" w:space="0" w:color="auto"/>
            </w:tcBorders>
          </w:tcPr>
          <w:p w14:paraId="650AF8E3"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10.97±5.02abcdefg</w:t>
            </w:r>
          </w:p>
        </w:tc>
      </w:tr>
      <w:tr w:rsidR="00674764" w:rsidRPr="00674764" w14:paraId="40E821DE" w14:textId="77777777" w:rsidTr="00993D43">
        <w:trPr>
          <w:gridBefore w:val="1"/>
          <w:wBefore w:w="10" w:type="dxa"/>
        </w:trPr>
        <w:tc>
          <w:tcPr>
            <w:tcW w:w="1871" w:type="dxa"/>
            <w:tcBorders>
              <w:bottom w:val="single" w:sz="18" w:space="0" w:color="auto"/>
            </w:tcBorders>
          </w:tcPr>
          <w:p w14:paraId="6C1D4293" w14:textId="77777777" w:rsidR="00674764" w:rsidRPr="00674764" w:rsidRDefault="00674764" w:rsidP="00674764">
            <w:pPr>
              <w:spacing w:line="360" w:lineRule="auto"/>
              <w:jc w:val="both"/>
              <w:rPr>
                <w:rFonts w:ascii="Times New Roman" w:hAnsi="Times New Roman" w:cs="Times New Roman"/>
                <w:iCs/>
                <w:sz w:val="20"/>
                <w:szCs w:val="20"/>
              </w:rPr>
            </w:pPr>
          </w:p>
        </w:tc>
        <w:tc>
          <w:tcPr>
            <w:tcW w:w="2334" w:type="dxa"/>
            <w:gridSpan w:val="2"/>
            <w:tcBorders>
              <w:bottom w:val="single" w:sz="18" w:space="0" w:color="auto"/>
            </w:tcBorders>
          </w:tcPr>
          <w:p w14:paraId="3990004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Health Center</w:t>
            </w:r>
          </w:p>
        </w:tc>
        <w:tc>
          <w:tcPr>
            <w:tcW w:w="2331" w:type="dxa"/>
            <w:gridSpan w:val="2"/>
            <w:tcBorders>
              <w:bottom w:val="single" w:sz="18" w:space="0" w:color="auto"/>
            </w:tcBorders>
          </w:tcPr>
          <w:p w14:paraId="6466AB6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6.51 ± 1.48ab</w:t>
            </w:r>
          </w:p>
        </w:tc>
        <w:tc>
          <w:tcPr>
            <w:tcW w:w="2526" w:type="dxa"/>
            <w:gridSpan w:val="3"/>
            <w:tcBorders>
              <w:bottom w:val="single" w:sz="18" w:space="0" w:color="auto"/>
            </w:tcBorders>
          </w:tcPr>
          <w:p w14:paraId="51C9AC69"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11±1abcdefg</w:t>
            </w:r>
          </w:p>
        </w:tc>
      </w:tr>
    </w:tbl>
    <w:p w14:paraId="246826CE" w14:textId="77777777" w:rsidR="00674764" w:rsidRPr="00674764" w:rsidRDefault="00674764" w:rsidP="00674764">
      <w:pPr>
        <w:spacing w:after="0" w:line="360" w:lineRule="auto"/>
        <w:jc w:val="both"/>
        <w:rPr>
          <w:rFonts w:ascii="Times New Roman" w:hAnsi="Times New Roman" w:cs="Times New Roman"/>
          <w:sz w:val="24"/>
        </w:rPr>
      </w:pPr>
    </w:p>
    <w:p w14:paraId="4AA5688E" w14:textId="77777777" w:rsidR="00674764" w:rsidRPr="00674764" w:rsidRDefault="00674764" w:rsidP="00674764">
      <w:pPr>
        <w:numPr>
          <w:ilvl w:val="0"/>
          <w:numId w:val="7"/>
        </w:numPr>
        <w:spacing w:after="0" w:line="360" w:lineRule="auto"/>
        <w:contextualSpacing/>
        <w:jc w:val="both"/>
        <w:rPr>
          <w:rFonts w:ascii="Times New Roman" w:hAnsi="Times New Roman" w:cs="Times New Roman"/>
          <w:i/>
          <w:sz w:val="24"/>
        </w:rPr>
      </w:pPr>
      <w:r w:rsidRPr="00674764">
        <w:rPr>
          <w:rFonts w:ascii="Times New Roman" w:hAnsi="Times New Roman" w:cs="Times New Roman"/>
          <w:i/>
          <w:sz w:val="24"/>
        </w:rPr>
        <w:t>Gnamankoudji</w:t>
      </w:r>
    </w:p>
    <w:tbl>
      <w:tblPr>
        <w:tblStyle w:val="TableGrid"/>
        <w:tblW w:w="9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857"/>
        <w:gridCol w:w="1873"/>
        <w:gridCol w:w="2358"/>
      </w:tblGrid>
      <w:tr w:rsidR="00674764" w:rsidRPr="00674764" w14:paraId="4D819EC6" w14:textId="77777777" w:rsidTr="00993D43">
        <w:tc>
          <w:tcPr>
            <w:tcW w:w="1975" w:type="dxa"/>
            <w:tcBorders>
              <w:top w:val="single" w:sz="18" w:space="0" w:color="auto"/>
              <w:bottom w:val="single" w:sz="18" w:space="0" w:color="auto"/>
            </w:tcBorders>
          </w:tcPr>
          <w:p w14:paraId="46A8E08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Study areas</w:t>
            </w:r>
          </w:p>
        </w:tc>
        <w:tc>
          <w:tcPr>
            <w:tcW w:w="2857" w:type="dxa"/>
            <w:tcBorders>
              <w:top w:val="single" w:sz="18" w:space="0" w:color="auto"/>
              <w:bottom w:val="single" w:sz="18" w:space="0" w:color="auto"/>
            </w:tcBorders>
          </w:tcPr>
          <w:p w14:paraId="57B9BBA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Sites</w:t>
            </w:r>
          </w:p>
        </w:tc>
        <w:tc>
          <w:tcPr>
            <w:tcW w:w="1873" w:type="dxa"/>
            <w:tcBorders>
              <w:top w:val="single" w:sz="18" w:space="0" w:color="auto"/>
              <w:bottom w:val="single" w:sz="18" w:space="0" w:color="auto"/>
            </w:tcBorders>
          </w:tcPr>
          <w:p w14:paraId="0B61137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pH</w:t>
            </w:r>
          </w:p>
        </w:tc>
        <w:tc>
          <w:tcPr>
            <w:tcW w:w="2358" w:type="dxa"/>
            <w:tcBorders>
              <w:top w:val="single" w:sz="18" w:space="0" w:color="auto"/>
              <w:bottom w:val="single" w:sz="18" w:space="0" w:color="auto"/>
            </w:tcBorders>
          </w:tcPr>
          <w:p w14:paraId="2634AA9A"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Brix degree</w:t>
            </w:r>
          </w:p>
        </w:tc>
      </w:tr>
      <w:tr w:rsidR="00674764" w:rsidRPr="00674764" w14:paraId="2E2BC68A" w14:textId="77777777" w:rsidTr="00993D43">
        <w:tc>
          <w:tcPr>
            <w:tcW w:w="1975" w:type="dxa"/>
            <w:tcBorders>
              <w:top w:val="single" w:sz="18" w:space="0" w:color="auto"/>
            </w:tcBorders>
          </w:tcPr>
          <w:p w14:paraId="00B5010D"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Borders>
              <w:top w:val="single" w:sz="18" w:space="0" w:color="auto"/>
            </w:tcBorders>
          </w:tcPr>
          <w:p w14:paraId="3AF61183"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Sanitary district</w:t>
            </w:r>
          </w:p>
        </w:tc>
        <w:tc>
          <w:tcPr>
            <w:tcW w:w="1873" w:type="dxa"/>
            <w:tcBorders>
              <w:top w:val="single" w:sz="18" w:space="0" w:color="auto"/>
            </w:tcBorders>
          </w:tcPr>
          <w:p w14:paraId="0D0A9481"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7.92 ± 0.07ab</w:t>
            </w:r>
          </w:p>
        </w:tc>
        <w:tc>
          <w:tcPr>
            <w:tcW w:w="2358" w:type="dxa"/>
            <w:tcBorders>
              <w:top w:val="single" w:sz="18" w:space="0" w:color="auto"/>
            </w:tcBorders>
          </w:tcPr>
          <w:p w14:paraId="69EFC37F"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7.42 ± 0.12 abcd</w:t>
            </w:r>
          </w:p>
        </w:tc>
      </w:tr>
      <w:tr w:rsidR="00674764" w:rsidRPr="00674764" w14:paraId="1BE71A85" w14:textId="77777777" w:rsidTr="00993D43">
        <w:tc>
          <w:tcPr>
            <w:tcW w:w="1975" w:type="dxa"/>
          </w:tcPr>
          <w:p w14:paraId="606C6915"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3A083960"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dispensary</w:t>
            </w:r>
          </w:p>
        </w:tc>
        <w:tc>
          <w:tcPr>
            <w:tcW w:w="1873" w:type="dxa"/>
          </w:tcPr>
          <w:p w14:paraId="688DDD2E"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8.54 ± 0.01ab</w:t>
            </w:r>
          </w:p>
        </w:tc>
        <w:tc>
          <w:tcPr>
            <w:tcW w:w="2358" w:type="dxa"/>
          </w:tcPr>
          <w:p w14:paraId="256B2E97"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10.25±0.25abcdef</w:t>
            </w:r>
          </w:p>
        </w:tc>
      </w:tr>
      <w:tr w:rsidR="00674764" w:rsidRPr="00674764" w14:paraId="0EE5657E" w14:textId="77777777" w:rsidTr="00993D43">
        <w:tc>
          <w:tcPr>
            <w:tcW w:w="1975" w:type="dxa"/>
          </w:tcPr>
          <w:p w14:paraId="0BF1149F"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3AB0C2FF"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Maternal and Child Protection</w:t>
            </w:r>
          </w:p>
        </w:tc>
        <w:tc>
          <w:tcPr>
            <w:tcW w:w="1873" w:type="dxa"/>
          </w:tcPr>
          <w:p w14:paraId="2A35830F"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7.99±0.01ab</w:t>
            </w:r>
          </w:p>
        </w:tc>
        <w:tc>
          <w:tcPr>
            <w:tcW w:w="2358" w:type="dxa"/>
          </w:tcPr>
          <w:p w14:paraId="61F1A8CB"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10.8±0.59abcdefg</w:t>
            </w:r>
          </w:p>
        </w:tc>
      </w:tr>
      <w:tr w:rsidR="00674764" w:rsidRPr="00674764" w14:paraId="16005008" w14:textId="77777777" w:rsidTr="00993D43">
        <w:tc>
          <w:tcPr>
            <w:tcW w:w="1975" w:type="dxa"/>
          </w:tcPr>
          <w:p w14:paraId="11733BEA"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0CCE28C6"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Civil Prison Infirmary</w:t>
            </w:r>
          </w:p>
        </w:tc>
        <w:tc>
          <w:tcPr>
            <w:tcW w:w="1873" w:type="dxa"/>
          </w:tcPr>
          <w:p w14:paraId="5BFEE036"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5.97±1.62a</w:t>
            </w:r>
          </w:p>
        </w:tc>
        <w:tc>
          <w:tcPr>
            <w:tcW w:w="2358" w:type="dxa"/>
          </w:tcPr>
          <w:p w14:paraId="5BEC5EDE"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8.87 ± 0.12 abcde</w:t>
            </w:r>
          </w:p>
        </w:tc>
      </w:tr>
      <w:tr w:rsidR="00674764" w:rsidRPr="00674764" w14:paraId="45616852" w14:textId="77777777" w:rsidTr="00993D43">
        <w:tc>
          <w:tcPr>
            <w:tcW w:w="1975" w:type="dxa"/>
          </w:tcPr>
          <w:p w14:paraId="250AED2B"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2F394F2F"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INHP Antenna</w:t>
            </w:r>
          </w:p>
        </w:tc>
        <w:tc>
          <w:tcPr>
            <w:tcW w:w="1873" w:type="dxa"/>
          </w:tcPr>
          <w:p w14:paraId="449F7945"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6.26 ± 2.4ab</w:t>
            </w:r>
          </w:p>
        </w:tc>
        <w:tc>
          <w:tcPr>
            <w:tcW w:w="2358" w:type="dxa"/>
          </w:tcPr>
          <w:p w14:paraId="34FC129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11±00abcdefg</w:t>
            </w:r>
          </w:p>
        </w:tc>
      </w:tr>
      <w:tr w:rsidR="00674764" w:rsidRPr="00674764" w14:paraId="3DDD940D" w14:textId="77777777" w:rsidTr="00993D43">
        <w:tc>
          <w:tcPr>
            <w:tcW w:w="1975" w:type="dxa"/>
          </w:tcPr>
          <w:p w14:paraId="44EBE03D"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280664D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School and University Health Service</w:t>
            </w:r>
          </w:p>
        </w:tc>
        <w:tc>
          <w:tcPr>
            <w:tcW w:w="1873" w:type="dxa"/>
          </w:tcPr>
          <w:p w14:paraId="18568BE8"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5.58±2.26a</w:t>
            </w:r>
          </w:p>
        </w:tc>
        <w:tc>
          <w:tcPr>
            <w:tcW w:w="2358" w:type="dxa"/>
          </w:tcPr>
          <w:p w14:paraId="4B41FEEC"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7.96±5.03abcde</w:t>
            </w:r>
          </w:p>
        </w:tc>
      </w:tr>
      <w:tr w:rsidR="00674764" w:rsidRPr="00674764" w14:paraId="3EA7FBEB" w14:textId="77777777" w:rsidTr="00993D43">
        <w:tc>
          <w:tcPr>
            <w:tcW w:w="1975" w:type="dxa"/>
          </w:tcPr>
          <w:p w14:paraId="78859B46"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38A2C37E"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Leprosarium</w:t>
            </w:r>
          </w:p>
        </w:tc>
        <w:tc>
          <w:tcPr>
            <w:tcW w:w="1873" w:type="dxa"/>
          </w:tcPr>
          <w:p w14:paraId="57328460"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5.84±2.43a</w:t>
            </w:r>
          </w:p>
        </w:tc>
        <w:tc>
          <w:tcPr>
            <w:tcW w:w="2358" w:type="dxa"/>
          </w:tcPr>
          <w:p w14:paraId="480D3B4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6.26 ± 0.73 abc</w:t>
            </w:r>
          </w:p>
        </w:tc>
      </w:tr>
      <w:tr w:rsidR="00674764" w:rsidRPr="00674764" w14:paraId="5A324FE5" w14:textId="77777777" w:rsidTr="00993D43">
        <w:tc>
          <w:tcPr>
            <w:tcW w:w="1975" w:type="dxa"/>
          </w:tcPr>
          <w:p w14:paraId="4D783A24"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185B53C4"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Regional Hospital Center</w:t>
            </w:r>
          </w:p>
        </w:tc>
        <w:tc>
          <w:tcPr>
            <w:tcW w:w="1873" w:type="dxa"/>
          </w:tcPr>
          <w:p w14:paraId="02A95422"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9.25 ± 0.75ab</w:t>
            </w:r>
          </w:p>
        </w:tc>
        <w:tc>
          <w:tcPr>
            <w:tcW w:w="2358" w:type="dxa"/>
          </w:tcPr>
          <w:p w14:paraId="350D4C3B"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12.05±0.05bcdefg</w:t>
            </w:r>
          </w:p>
        </w:tc>
      </w:tr>
      <w:tr w:rsidR="00674764" w:rsidRPr="00674764" w14:paraId="731E52D0" w14:textId="77777777" w:rsidTr="00993D43">
        <w:tc>
          <w:tcPr>
            <w:tcW w:w="1975" w:type="dxa"/>
          </w:tcPr>
          <w:p w14:paraId="572FFA94"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66ACD94E"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Antilope Clinic</w:t>
            </w:r>
          </w:p>
        </w:tc>
        <w:tc>
          <w:tcPr>
            <w:tcW w:w="1873" w:type="dxa"/>
          </w:tcPr>
          <w:p w14:paraId="10196180"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10.6±2.4b</w:t>
            </w:r>
          </w:p>
        </w:tc>
        <w:tc>
          <w:tcPr>
            <w:tcW w:w="2358" w:type="dxa"/>
          </w:tcPr>
          <w:p w14:paraId="38BE2F0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10.68±0.32abcdefg</w:t>
            </w:r>
          </w:p>
        </w:tc>
      </w:tr>
      <w:tr w:rsidR="00674764" w:rsidRPr="00674764" w14:paraId="545F69AD" w14:textId="77777777" w:rsidTr="00993D43">
        <w:tc>
          <w:tcPr>
            <w:tcW w:w="1975" w:type="dxa"/>
          </w:tcPr>
          <w:p w14:paraId="6D5BF5C3"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Daloa</w:t>
            </w:r>
          </w:p>
        </w:tc>
        <w:tc>
          <w:tcPr>
            <w:tcW w:w="2857" w:type="dxa"/>
          </w:tcPr>
          <w:p w14:paraId="7BF031F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Maternity Ward - Groguhe</w:t>
            </w:r>
          </w:p>
        </w:tc>
        <w:tc>
          <w:tcPr>
            <w:tcW w:w="1873" w:type="dxa"/>
          </w:tcPr>
          <w:p w14:paraId="48B917B6"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7.68 ± 1.32ab</w:t>
            </w:r>
          </w:p>
        </w:tc>
        <w:tc>
          <w:tcPr>
            <w:tcW w:w="2358" w:type="dxa"/>
          </w:tcPr>
          <w:p w14:paraId="7FCF724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9.92 ± 2.07 abcdef</w:t>
            </w:r>
          </w:p>
        </w:tc>
      </w:tr>
      <w:tr w:rsidR="00674764" w:rsidRPr="00674764" w14:paraId="7CAD8AC5" w14:textId="77777777" w:rsidTr="00993D43">
        <w:tc>
          <w:tcPr>
            <w:tcW w:w="1975" w:type="dxa"/>
          </w:tcPr>
          <w:p w14:paraId="6B65FD11"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42AA729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 - Zepreguhe</w:t>
            </w:r>
          </w:p>
        </w:tc>
        <w:tc>
          <w:tcPr>
            <w:tcW w:w="1873" w:type="dxa"/>
          </w:tcPr>
          <w:p w14:paraId="1FFB80D9"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7.39 ± 0.95ab</w:t>
            </w:r>
          </w:p>
        </w:tc>
        <w:tc>
          <w:tcPr>
            <w:tcW w:w="2358" w:type="dxa"/>
          </w:tcPr>
          <w:p w14:paraId="0E8AC4D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8.72 ± 5.47 abcdefg</w:t>
            </w:r>
          </w:p>
        </w:tc>
      </w:tr>
      <w:tr w:rsidR="00674764" w:rsidRPr="00674764" w14:paraId="4CB391C1" w14:textId="77777777" w:rsidTr="00993D43">
        <w:tc>
          <w:tcPr>
            <w:tcW w:w="1975" w:type="dxa"/>
          </w:tcPr>
          <w:p w14:paraId="28B1A9A5"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42C5DF01"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Zokoguhe Rural Health Center</w:t>
            </w:r>
          </w:p>
        </w:tc>
        <w:tc>
          <w:tcPr>
            <w:tcW w:w="1873" w:type="dxa"/>
          </w:tcPr>
          <w:p w14:paraId="3C090ED1"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6.85 ± 0.39ab</w:t>
            </w:r>
          </w:p>
        </w:tc>
        <w:tc>
          <w:tcPr>
            <w:tcW w:w="2358" w:type="dxa"/>
          </w:tcPr>
          <w:p w14:paraId="428A3F84"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10.9±2.35abcdefg</w:t>
            </w:r>
          </w:p>
        </w:tc>
      </w:tr>
      <w:tr w:rsidR="00674764" w:rsidRPr="00674764" w14:paraId="6F282FC0" w14:textId="77777777" w:rsidTr="00993D43">
        <w:tc>
          <w:tcPr>
            <w:tcW w:w="1975" w:type="dxa"/>
          </w:tcPr>
          <w:p w14:paraId="1FEB7B0C"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27DC3E59"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dispensary-Tagoura</w:t>
            </w:r>
          </w:p>
        </w:tc>
        <w:tc>
          <w:tcPr>
            <w:tcW w:w="1873" w:type="dxa"/>
          </w:tcPr>
          <w:p w14:paraId="47509EA5"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6.71 ± 0.21ab</w:t>
            </w:r>
          </w:p>
        </w:tc>
        <w:tc>
          <w:tcPr>
            <w:tcW w:w="2358" w:type="dxa"/>
          </w:tcPr>
          <w:p w14:paraId="7AE2F04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11±4abcdefg</w:t>
            </w:r>
          </w:p>
        </w:tc>
      </w:tr>
      <w:tr w:rsidR="00674764" w:rsidRPr="00674764" w14:paraId="24C02AA0" w14:textId="77777777" w:rsidTr="00993D43">
        <w:tc>
          <w:tcPr>
            <w:tcW w:w="1975" w:type="dxa"/>
          </w:tcPr>
          <w:p w14:paraId="73BCCADD"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2CBF72B4"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dispensary-Tahiraguhe</w:t>
            </w:r>
          </w:p>
        </w:tc>
        <w:tc>
          <w:tcPr>
            <w:tcW w:w="1873" w:type="dxa"/>
          </w:tcPr>
          <w:p w14:paraId="47A024F4"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6.91 ± 0.43ab</w:t>
            </w:r>
          </w:p>
        </w:tc>
        <w:tc>
          <w:tcPr>
            <w:tcW w:w="2358" w:type="dxa"/>
          </w:tcPr>
          <w:p w14:paraId="65B67C01"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14.02±1.47defg</w:t>
            </w:r>
          </w:p>
        </w:tc>
      </w:tr>
      <w:tr w:rsidR="00674764" w:rsidRPr="00674764" w14:paraId="2BECD6EC" w14:textId="77777777" w:rsidTr="00993D43">
        <w:tc>
          <w:tcPr>
            <w:tcW w:w="1975" w:type="dxa"/>
          </w:tcPr>
          <w:p w14:paraId="7B30040E"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7C18754F"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 - Niouboua</w:t>
            </w:r>
          </w:p>
        </w:tc>
        <w:tc>
          <w:tcPr>
            <w:tcW w:w="1873" w:type="dxa"/>
          </w:tcPr>
          <w:p w14:paraId="51594B0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6.57 ± 0.03ab</w:t>
            </w:r>
          </w:p>
        </w:tc>
        <w:tc>
          <w:tcPr>
            <w:tcW w:w="2358" w:type="dxa"/>
          </w:tcPr>
          <w:p w14:paraId="699FA0E8"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6.7 ± 0.6 abc</w:t>
            </w:r>
          </w:p>
        </w:tc>
      </w:tr>
      <w:tr w:rsidR="00674764" w:rsidRPr="00674764" w14:paraId="17713DBD" w14:textId="77777777" w:rsidTr="00993D43">
        <w:tc>
          <w:tcPr>
            <w:tcW w:w="1975" w:type="dxa"/>
          </w:tcPr>
          <w:p w14:paraId="37FDF221"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243EA006"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Dispensary-Seria</w:t>
            </w:r>
          </w:p>
        </w:tc>
        <w:tc>
          <w:tcPr>
            <w:tcW w:w="1873" w:type="dxa"/>
          </w:tcPr>
          <w:p w14:paraId="118DDD5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7.25 ± 0.05ab</w:t>
            </w:r>
          </w:p>
        </w:tc>
        <w:tc>
          <w:tcPr>
            <w:tcW w:w="2358" w:type="dxa"/>
          </w:tcPr>
          <w:p w14:paraId="0A707626"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14.5±0.5efg</w:t>
            </w:r>
          </w:p>
        </w:tc>
      </w:tr>
      <w:tr w:rsidR="00674764" w:rsidRPr="00674764" w14:paraId="3A16C55F" w14:textId="77777777" w:rsidTr="00993D43">
        <w:tc>
          <w:tcPr>
            <w:tcW w:w="1975" w:type="dxa"/>
          </w:tcPr>
          <w:p w14:paraId="6E5A3C65"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16CBEC80"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Medical and Social Center</w:t>
            </w:r>
          </w:p>
        </w:tc>
        <w:tc>
          <w:tcPr>
            <w:tcW w:w="1873" w:type="dxa"/>
            <w:vMerge w:val="restart"/>
          </w:tcPr>
          <w:p w14:paraId="283C9D14"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6.18±2.52a</w:t>
            </w:r>
          </w:p>
          <w:p w14:paraId="3862D30B"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7.92 ± 0.07ab</w:t>
            </w:r>
          </w:p>
        </w:tc>
        <w:tc>
          <w:tcPr>
            <w:tcW w:w="2358" w:type="dxa"/>
            <w:vMerge w:val="restart"/>
          </w:tcPr>
          <w:p w14:paraId="4247317A"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5.55 ± 3.15ab</w:t>
            </w:r>
          </w:p>
          <w:p w14:paraId="4041DF0D"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7.42 ± 0.12 abcd</w:t>
            </w:r>
          </w:p>
        </w:tc>
      </w:tr>
      <w:tr w:rsidR="00674764" w:rsidRPr="00674764" w14:paraId="1274520B" w14:textId="77777777" w:rsidTr="00993D43">
        <w:tc>
          <w:tcPr>
            <w:tcW w:w="1975" w:type="dxa"/>
          </w:tcPr>
          <w:p w14:paraId="169EAA93"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Pr>
          <w:p w14:paraId="600293CE"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1873" w:type="dxa"/>
            <w:vMerge/>
          </w:tcPr>
          <w:p w14:paraId="5DED2DD6"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p>
        </w:tc>
        <w:tc>
          <w:tcPr>
            <w:tcW w:w="2358" w:type="dxa"/>
            <w:vMerge/>
          </w:tcPr>
          <w:p w14:paraId="6F044913"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p>
        </w:tc>
      </w:tr>
      <w:tr w:rsidR="00674764" w:rsidRPr="00674764" w14:paraId="3E7E82CD" w14:textId="77777777" w:rsidTr="00993D43">
        <w:trPr>
          <w:trHeight w:val="597"/>
        </w:trPr>
        <w:tc>
          <w:tcPr>
            <w:tcW w:w="1975" w:type="dxa"/>
            <w:tcBorders>
              <w:bottom w:val="single" w:sz="18" w:space="0" w:color="auto"/>
            </w:tcBorders>
          </w:tcPr>
          <w:p w14:paraId="137C3874"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Borders>
              <w:bottom w:val="single" w:sz="18" w:space="0" w:color="auto"/>
            </w:tcBorders>
          </w:tcPr>
          <w:p w14:paraId="1F8E866C"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1873" w:type="dxa"/>
            <w:tcBorders>
              <w:bottom w:val="single" w:sz="18" w:space="0" w:color="auto"/>
            </w:tcBorders>
          </w:tcPr>
          <w:p w14:paraId="39C78D44"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6.94 ± 0.24ab</w:t>
            </w:r>
          </w:p>
        </w:tc>
        <w:tc>
          <w:tcPr>
            <w:tcW w:w="2358" w:type="dxa"/>
            <w:tcBorders>
              <w:bottom w:val="single" w:sz="18" w:space="0" w:color="auto"/>
            </w:tcBorders>
          </w:tcPr>
          <w:p w14:paraId="37832DBD" w14:textId="77777777" w:rsidR="00674764" w:rsidRPr="00674764" w:rsidRDefault="00674764" w:rsidP="00674764">
            <w:pPr>
              <w:spacing w:line="360" w:lineRule="auto"/>
              <w:jc w:val="both"/>
              <w:rPr>
                <w:rFonts w:ascii="Times New Roman" w:hAnsi="Times New Roman" w:cs="Times New Roman"/>
                <w:iCs/>
                <w:sz w:val="20"/>
                <w:szCs w:val="20"/>
                <w:vertAlign w:val="superscript"/>
              </w:rPr>
            </w:pPr>
            <w:r w:rsidRPr="00674764">
              <w:rPr>
                <w:rFonts w:ascii="Times New Roman" w:hAnsi="Times New Roman" w:cs="Times New Roman"/>
                <w:iCs/>
                <w:sz w:val="20"/>
                <w:szCs w:val="20"/>
              </w:rPr>
              <w:t>10.5±0.5abcdefg</w:t>
            </w:r>
          </w:p>
        </w:tc>
      </w:tr>
      <w:tr w:rsidR="00674764" w:rsidRPr="00674764" w14:paraId="312623F3" w14:textId="77777777" w:rsidTr="00993D43">
        <w:trPr>
          <w:trHeight w:val="597"/>
        </w:trPr>
        <w:tc>
          <w:tcPr>
            <w:tcW w:w="1975" w:type="dxa"/>
            <w:tcBorders>
              <w:top w:val="single" w:sz="18" w:space="0" w:color="auto"/>
            </w:tcBorders>
          </w:tcPr>
          <w:p w14:paraId="166CD5D5"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Gboguhe</w:t>
            </w:r>
          </w:p>
        </w:tc>
        <w:tc>
          <w:tcPr>
            <w:tcW w:w="2857" w:type="dxa"/>
            <w:tcBorders>
              <w:top w:val="single" w:sz="18" w:space="0" w:color="auto"/>
            </w:tcBorders>
          </w:tcPr>
          <w:p w14:paraId="6853FA4F"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 - Bribouo</w:t>
            </w:r>
          </w:p>
        </w:tc>
        <w:tc>
          <w:tcPr>
            <w:tcW w:w="1873" w:type="dxa"/>
            <w:tcBorders>
              <w:top w:val="single" w:sz="18" w:space="0" w:color="auto"/>
            </w:tcBorders>
          </w:tcPr>
          <w:p w14:paraId="78B68FCC"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6.3±0.4ab</w:t>
            </w:r>
          </w:p>
        </w:tc>
        <w:tc>
          <w:tcPr>
            <w:tcW w:w="2358" w:type="dxa"/>
            <w:tcBorders>
              <w:top w:val="single" w:sz="18" w:space="0" w:color="auto"/>
            </w:tcBorders>
          </w:tcPr>
          <w:p w14:paraId="0EB782E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10±2abcdef</w:t>
            </w:r>
          </w:p>
        </w:tc>
      </w:tr>
      <w:tr w:rsidR="00674764" w:rsidRPr="00674764" w14:paraId="206E4B19" w14:textId="77777777" w:rsidTr="00993D43">
        <w:trPr>
          <w:trHeight w:val="597"/>
        </w:trPr>
        <w:tc>
          <w:tcPr>
            <w:tcW w:w="1975" w:type="dxa"/>
            <w:tcBorders>
              <w:bottom w:val="single" w:sz="18" w:space="0" w:color="auto"/>
            </w:tcBorders>
          </w:tcPr>
          <w:p w14:paraId="1F3DEC0F"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Borders>
              <w:bottom w:val="single" w:sz="18" w:space="0" w:color="auto"/>
            </w:tcBorders>
          </w:tcPr>
          <w:p w14:paraId="2595B991"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Digbapia Integrated Health Center Type 2</w:t>
            </w:r>
          </w:p>
        </w:tc>
        <w:tc>
          <w:tcPr>
            <w:tcW w:w="1873" w:type="dxa"/>
            <w:tcBorders>
              <w:bottom w:val="single" w:sz="18" w:space="0" w:color="auto"/>
            </w:tcBorders>
          </w:tcPr>
          <w:p w14:paraId="7BFCB96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8.35 ± 0.65ab</w:t>
            </w:r>
          </w:p>
        </w:tc>
        <w:tc>
          <w:tcPr>
            <w:tcW w:w="2358" w:type="dxa"/>
            <w:tcBorders>
              <w:bottom w:val="single" w:sz="18" w:space="0" w:color="auto"/>
            </w:tcBorders>
          </w:tcPr>
          <w:p w14:paraId="29619A6F"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11.4±1.4abcdefg</w:t>
            </w:r>
          </w:p>
        </w:tc>
      </w:tr>
      <w:tr w:rsidR="00674764" w:rsidRPr="00674764" w14:paraId="420381EF" w14:textId="77777777" w:rsidTr="00993D43">
        <w:trPr>
          <w:trHeight w:val="597"/>
        </w:trPr>
        <w:tc>
          <w:tcPr>
            <w:tcW w:w="1975" w:type="dxa"/>
            <w:tcBorders>
              <w:top w:val="single" w:sz="18" w:space="0" w:color="auto"/>
            </w:tcBorders>
          </w:tcPr>
          <w:p w14:paraId="4243CF74"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Bediala</w:t>
            </w:r>
          </w:p>
        </w:tc>
        <w:tc>
          <w:tcPr>
            <w:tcW w:w="2857" w:type="dxa"/>
            <w:tcBorders>
              <w:top w:val="single" w:sz="18" w:space="0" w:color="auto"/>
            </w:tcBorders>
          </w:tcPr>
          <w:p w14:paraId="3E7A7905"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1873" w:type="dxa"/>
            <w:tcBorders>
              <w:top w:val="single" w:sz="18" w:space="0" w:color="auto"/>
            </w:tcBorders>
          </w:tcPr>
          <w:p w14:paraId="7B819386"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6.62 ± 0.28ab</w:t>
            </w:r>
          </w:p>
        </w:tc>
        <w:tc>
          <w:tcPr>
            <w:tcW w:w="2358" w:type="dxa"/>
            <w:tcBorders>
              <w:top w:val="single" w:sz="18" w:space="0" w:color="auto"/>
            </w:tcBorders>
          </w:tcPr>
          <w:p w14:paraId="35056C4C"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8.26±1.73abcde</w:t>
            </w:r>
          </w:p>
          <w:p w14:paraId="2C1879C0" w14:textId="77777777" w:rsidR="00674764" w:rsidRPr="00674764" w:rsidRDefault="00674764" w:rsidP="00674764">
            <w:pPr>
              <w:spacing w:line="360" w:lineRule="auto"/>
              <w:jc w:val="both"/>
              <w:rPr>
                <w:rFonts w:ascii="Times New Roman" w:hAnsi="Times New Roman" w:cs="Times New Roman"/>
                <w:iCs/>
                <w:sz w:val="20"/>
                <w:szCs w:val="20"/>
              </w:rPr>
            </w:pPr>
          </w:p>
        </w:tc>
      </w:tr>
      <w:tr w:rsidR="00674764" w:rsidRPr="00674764" w14:paraId="05F65519" w14:textId="77777777" w:rsidTr="00993D43">
        <w:trPr>
          <w:trHeight w:val="597"/>
        </w:trPr>
        <w:tc>
          <w:tcPr>
            <w:tcW w:w="1975" w:type="dxa"/>
            <w:tcBorders>
              <w:bottom w:val="single" w:sz="18" w:space="0" w:color="auto"/>
            </w:tcBorders>
          </w:tcPr>
          <w:p w14:paraId="1B9C76BB"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Borders>
              <w:bottom w:val="single" w:sz="18" w:space="0" w:color="auto"/>
            </w:tcBorders>
          </w:tcPr>
          <w:p w14:paraId="5C83B3A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w:t>
            </w:r>
          </w:p>
        </w:tc>
        <w:tc>
          <w:tcPr>
            <w:tcW w:w="1873" w:type="dxa"/>
            <w:tcBorders>
              <w:bottom w:val="single" w:sz="18" w:space="0" w:color="auto"/>
            </w:tcBorders>
          </w:tcPr>
          <w:p w14:paraId="43901810"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6.43 ± 0.11ab</w:t>
            </w:r>
          </w:p>
        </w:tc>
        <w:tc>
          <w:tcPr>
            <w:tcW w:w="2358" w:type="dxa"/>
            <w:tcBorders>
              <w:bottom w:val="single" w:sz="18" w:space="0" w:color="auto"/>
            </w:tcBorders>
          </w:tcPr>
          <w:p w14:paraId="09F7E419"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8.1±1.3abcde</w:t>
            </w:r>
          </w:p>
        </w:tc>
      </w:tr>
      <w:tr w:rsidR="00674764" w:rsidRPr="00674764" w14:paraId="5FDCFF3D" w14:textId="77777777" w:rsidTr="00993D43">
        <w:trPr>
          <w:trHeight w:val="597"/>
        </w:trPr>
        <w:tc>
          <w:tcPr>
            <w:tcW w:w="1975" w:type="dxa"/>
            <w:tcBorders>
              <w:top w:val="single" w:sz="18" w:space="0" w:color="auto"/>
              <w:bottom w:val="single" w:sz="18" w:space="0" w:color="auto"/>
            </w:tcBorders>
          </w:tcPr>
          <w:p w14:paraId="562B548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Zaibo</w:t>
            </w:r>
          </w:p>
        </w:tc>
        <w:tc>
          <w:tcPr>
            <w:tcW w:w="2857" w:type="dxa"/>
            <w:tcBorders>
              <w:top w:val="single" w:sz="18" w:space="0" w:color="auto"/>
              <w:bottom w:val="single" w:sz="18" w:space="0" w:color="auto"/>
            </w:tcBorders>
          </w:tcPr>
          <w:p w14:paraId="5756C4F0"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1873" w:type="dxa"/>
            <w:tcBorders>
              <w:top w:val="single" w:sz="18" w:space="0" w:color="auto"/>
              <w:bottom w:val="single" w:sz="18" w:space="0" w:color="auto"/>
            </w:tcBorders>
          </w:tcPr>
          <w:p w14:paraId="36CE1BB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7.87 ± 0.83ab</w:t>
            </w:r>
          </w:p>
        </w:tc>
        <w:tc>
          <w:tcPr>
            <w:tcW w:w="2358" w:type="dxa"/>
            <w:tcBorders>
              <w:top w:val="single" w:sz="18" w:space="0" w:color="auto"/>
              <w:bottom w:val="single" w:sz="18" w:space="0" w:color="auto"/>
            </w:tcBorders>
          </w:tcPr>
          <w:p w14:paraId="1C0AA80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16.37±1.52fg</w:t>
            </w:r>
          </w:p>
        </w:tc>
      </w:tr>
      <w:tr w:rsidR="00674764" w:rsidRPr="00674764" w14:paraId="66716BAE" w14:textId="77777777" w:rsidTr="00993D43">
        <w:trPr>
          <w:trHeight w:val="597"/>
        </w:trPr>
        <w:tc>
          <w:tcPr>
            <w:tcW w:w="1975" w:type="dxa"/>
            <w:tcBorders>
              <w:top w:val="single" w:sz="18" w:space="0" w:color="auto"/>
              <w:bottom w:val="single" w:sz="18" w:space="0" w:color="auto"/>
            </w:tcBorders>
          </w:tcPr>
          <w:p w14:paraId="3C38BA2D"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Gadouan</w:t>
            </w:r>
          </w:p>
        </w:tc>
        <w:tc>
          <w:tcPr>
            <w:tcW w:w="2857" w:type="dxa"/>
            <w:tcBorders>
              <w:top w:val="single" w:sz="18" w:space="0" w:color="auto"/>
              <w:bottom w:val="single" w:sz="18" w:space="0" w:color="auto"/>
            </w:tcBorders>
          </w:tcPr>
          <w:p w14:paraId="674B233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Urban health center</w:t>
            </w:r>
          </w:p>
        </w:tc>
        <w:tc>
          <w:tcPr>
            <w:tcW w:w="1873" w:type="dxa"/>
            <w:tcBorders>
              <w:top w:val="single" w:sz="18" w:space="0" w:color="auto"/>
              <w:bottom w:val="single" w:sz="18" w:space="0" w:color="auto"/>
            </w:tcBorders>
          </w:tcPr>
          <w:p w14:paraId="4892F123"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5.9 ± 0.9a</w:t>
            </w:r>
          </w:p>
        </w:tc>
        <w:tc>
          <w:tcPr>
            <w:tcW w:w="2358" w:type="dxa"/>
            <w:tcBorders>
              <w:top w:val="single" w:sz="18" w:space="0" w:color="auto"/>
              <w:bottom w:val="single" w:sz="18" w:space="0" w:color="auto"/>
            </w:tcBorders>
          </w:tcPr>
          <w:p w14:paraId="4839A4BB"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11.45 ± 0.45 abcdefg</w:t>
            </w:r>
          </w:p>
        </w:tc>
      </w:tr>
      <w:tr w:rsidR="00674764" w:rsidRPr="00674764" w14:paraId="70D95169" w14:textId="77777777" w:rsidTr="00993D43">
        <w:trPr>
          <w:trHeight w:val="597"/>
        </w:trPr>
        <w:tc>
          <w:tcPr>
            <w:tcW w:w="1975" w:type="dxa"/>
            <w:tcBorders>
              <w:top w:val="single" w:sz="18" w:space="0" w:color="auto"/>
            </w:tcBorders>
          </w:tcPr>
          <w:p w14:paraId="283CD292"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Gonate</w:t>
            </w:r>
          </w:p>
        </w:tc>
        <w:tc>
          <w:tcPr>
            <w:tcW w:w="2857" w:type="dxa"/>
            <w:tcBorders>
              <w:top w:val="single" w:sz="18" w:space="0" w:color="auto"/>
            </w:tcBorders>
          </w:tcPr>
          <w:p w14:paraId="4066F525"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dispensary</w:t>
            </w:r>
          </w:p>
        </w:tc>
        <w:tc>
          <w:tcPr>
            <w:tcW w:w="1873" w:type="dxa"/>
            <w:tcBorders>
              <w:top w:val="single" w:sz="18" w:space="0" w:color="auto"/>
            </w:tcBorders>
          </w:tcPr>
          <w:p w14:paraId="48D75891"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6.97±0.5ab</w:t>
            </w:r>
          </w:p>
        </w:tc>
        <w:tc>
          <w:tcPr>
            <w:tcW w:w="2358" w:type="dxa"/>
            <w:tcBorders>
              <w:top w:val="single" w:sz="18" w:space="0" w:color="auto"/>
            </w:tcBorders>
          </w:tcPr>
          <w:p w14:paraId="086DA180"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12.12 ± 0.12 bcdefg</w:t>
            </w:r>
          </w:p>
        </w:tc>
      </w:tr>
      <w:tr w:rsidR="00674764" w:rsidRPr="00674764" w14:paraId="53437C96" w14:textId="77777777" w:rsidTr="00993D43">
        <w:trPr>
          <w:trHeight w:val="597"/>
        </w:trPr>
        <w:tc>
          <w:tcPr>
            <w:tcW w:w="1975" w:type="dxa"/>
            <w:tcBorders>
              <w:bottom w:val="single" w:sz="18" w:space="0" w:color="auto"/>
            </w:tcBorders>
          </w:tcPr>
          <w:p w14:paraId="5C1525E6" w14:textId="77777777" w:rsidR="00674764" w:rsidRPr="00674764" w:rsidRDefault="00674764" w:rsidP="00674764">
            <w:pPr>
              <w:spacing w:line="360" w:lineRule="auto"/>
              <w:jc w:val="both"/>
              <w:rPr>
                <w:rFonts w:ascii="Times New Roman" w:hAnsi="Times New Roman" w:cs="Times New Roman"/>
                <w:iCs/>
                <w:sz w:val="20"/>
                <w:szCs w:val="20"/>
              </w:rPr>
            </w:pPr>
          </w:p>
        </w:tc>
        <w:tc>
          <w:tcPr>
            <w:tcW w:w="2857" w:type="dxa"/>
            <w:tcBorders>
              <w:bottom w:val="single" w:sz="18" w:space="0" w:color="auto"/>
            </w:tcBorders>
          </w:tcPr>
          <w:p w14:paraId="325BD30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Rural Health Center</w:t>
            </w:r>
          </w:p>
        </w:tc>
        <w:tc>
          <w:tcPr>
            <w:tcW w:w="1873" w:type="dxa"/>
            <w:tcBorders>
              <w:bottom w:val="single" w:sz="18" w:space="0" w:color="auto"/>
            </w:tcBorders>
          </w:tcPr>
          <w:p w14:paraId="07BB91A8"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7.31 ± 1.31ab</w:t>
            </w:r>
          </w:p>
        </w:tc>
        <w:tc>
          <w:tcPr>
            <w:tcW w:w="2358" w:type="dxa"/>
            <w:tcBorders>
              <w:bottom w:val="single" w:sz="18" w:space="0" w:color="auto"/>
            </w:tcBorders>
          </w:tcPr>
          <w:p w14:paraId="41CF92E7" w14:textId="77777777" w:rsidR="00674764" w:rsidRPr="00674764" w:rsidRDefault="00674764" w:rsidP="00674764">
            <w:pPr>
              <w:spacing w:line="360" w:lineRule="auto"/>
              <w:jc w:val="both"/>
              <w:rPr>
                <w:rFonts w:ascii="Times New Roman" w:hAnsi="Times New Roman" w:cs="Times New Roman"/>
                <w:iCs/>
                <w:sz w:val="20"/>
                <w:szCs w:val="20"/>
              </w:rPr>
            </w:pPr>
            <w:r w:rsidRPr="00674764">
              <w:rPr>
                <w:rFonts w:ascii="Times New Roman" w:hAnsi="Times New Roman" w:cs="Times New Roman"/>
                <w:iCs/>
                <w:sz w:val="20"/>
                <w:szCs w:val="20"/>
              </w:rPr>
              <w:t>13±2cdefg</w:t>
            </w:r>
          </w:p>
        </w:tc>
      </w:tr>
    </w:tbl>
    <w:p w14:paraId="5F0F6A12" w14:textId="77777777" w:rsidR="00674764" w:rsidRPr="00674764" w:rsidRDefault="00674764" w:rsidP="00674764">
      <w:pPr>
        <w:spacing w:line="240" w:lineRule="auto"/>
        <w:jc w:val="both"/>
        <w:rPr>
          <w:rFonts w:ascii="Times New Roman" w:hAnsi="Times New Roman" w:cs="Times New Roman"/>
          <w:sz w:val="20"/>
        </w:rPr>
      </w:pPr>
      <w:proofErr w:type="gramStart"/>
      <w:r w:rsidRPr="00674764">
        <w:rPr>
          <w:rFonts w:ascii="Times New Roman" w:hAnsi="Times New Roman" w:cs="Times New Roman"/>
          <w:sz w:val="20"/>
        </w:rPr>
        <w:t>pH:</w:t>
      </w:r>
      <w:proofErr w:type="gramEnd"/>
      <w:r w:rsidRPr="00674764">
        <w:rPr>
          <w:rFonts w:ascii="Times New Roman" w:hAnsi="Times New Roman" w:cs="Times New Roman"/>
          <w:sz w:val="20"/>
        </w:rPr>
        <w:t xml:space="preserve"> potential of hydrogen</w:t>
      </w:r>
    </w:p>
    <w:p w14:paraId="6D651DBC" w14:textId="77777777" w:rsidR="00674764" w:rsidRPr="00674764" w:rsidRDefault="00674764" w:rsidP="00674764">
      <w:pPr>
        <w:spacing w:line="240" w:lineRule="auto"/>
        <w:jc w:val="both"/>
        <w:rPr>
          <w:rFonts w:ascii="Times New Roman" w:hAnsi="Times New Roman" w:cs="Times New Roman"/>
          <w:sz w:val="20"/>
        </w:rPr>
      </w:pPr>
      <w:r w:rsidRPr="00674764">
        <w:rPr>
          <w:rFonts w:ascii="Times New Roman" w:hAnsi="Times New Roman" w:cs="Times New Roman"/>
          <w:sz w:val="20"/>
        </w:rPr>
        <w:t>In the columns, the values ​​assigned to the same letter are not significantly different from (P&gt;0.05).</w:t>
      </w:r>
    </w:p>
    <w:p w14:paraId="5B32B666" w14:textId="77777777" w:rsidR="00674764" w:rsidRDefault="00674764" w:rsidP="00674764">
      <w:pPr>
        <w:spacing w:line="360" w:lineRule="auto"/>
        <w:jc w:val="both"/>
        <w:rPr>
          <w:rFonts w:ascii="Times New Roman" w:hAnsi="Times New Roman" w:cs="Times New Roman"/>
          <w:sz w:val="24"/>
        </w:rPr>
      </w:pPr>
    </w:p>
    <w:p w14:paraId="438C3FB2" w14:textId="77777777" w:rsidR="00674764" w:rsidRDefault="00674764" w:rsidP="00674764">
      <w:pPr>
        <w:spacing w:line="360" w:lineRule="auto"/>
        <w:jc w:val="both"/>
        <w:rPr>
          <w:rFonts w:ascii="Times New Roman" w:hAnsi="Times New Roman" w:cs="Times New Roman"/>
          <w:sz w:val="24"/>
        </w:rPr>
      </w:pPr>
    </w:p>
    <w:p w14:paraId="767464EE" w14:textId="77777777" w:rsidR="00674764" w:rsidRPr="00674764" w:rsidRDefault="00674764" w:rsidP="00674764">
      <w:pPr>
        <w:spacing w:line="360" w:lineRule="auto"/>
        <w:jc w:val="both"/>
        <w:rPr>
          <w:rFonts w:ascii="Times New Roman" w:hAnsi="Times New Roman" w:cs="Times New Roman"/>
          <w:sz w:val="24"/>
        </w:rPr>
      </w:pPr>
    </w:p>
    <w:p w14:paraId="6A50F36C" w14:textId="77777777" w:rsidR="00674764" w:rsidRPr="00674764" w:rsidRDefault="00674764" w:rsidP="00674764">
      <w:pPr>
        <w:numPr>
          <w:ilvl w:val="1"/>
          <w:numId w:val="4"/>
        </w:numPr>
        <w:spacing w:line="360" w:lineRule="auto"/>
        <w:contextualSpacing/>
        <w:jc w:val="both"/>
        <w:rPr>
          <w:rFonts w:ascii="Times New Roman" w:hAnsi="Times New Roman" w:cs="Times New Roman"/>
          <w:b/>
          <w:sz w:val="24"/>
        </w:rPr>
      </w:pPr>
      <w:r w:rsidRPr="00674764">
        <w:rPr>
          <w:rFonts w:ascii="Times New Roman" w:hAnsi="Times New Roman" w:cs="Times New Roman"/>
          <w:b/>
          <w:sz w:val="24"/>
        </w:rPr>
        <w:lastRenderedPageBreak/>
        <w:t>Microbiological analyses</w:t>
      </w:r>
    </w:p>
    <w:p w14:paraId="3E9764E7" w14:textId="1B120286" w:rsidR="00674764" w:rsidRP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sz w:val="24"/>
        </w:rPr>
        <w:t>Microbiological analysis revealed distinct contamination profiles between the two beverages and the six zones. Bissap showed its highest microbial load of mesophili</w:t>
      </w:r>
      <w:r w:rsidR="003427CE">
        <w:rPr>
          <w:rFonts w:ascii="Times New Roman" w:hAnsi="Times New Roman" w:cs="Times New Roman"/>
          <w:sz w:val="24"/>
        </w:rPr>
        <w:t>c aerobic bacteria in Zaibo (12</w:t>
      </w:r>
      <w:r w:rsidRPr="00674764">
        <w:rPr>
          <w:rFonts w:ascii="Times New Roman" w:hAnsi="Times New Roman" w:cs="Times New Roman"/>
          <w:sz w:val="24"/>
        </w:rPr>
        <w:t>570 CFU/mL), while Gnamankoudji showed its highest concentrations of psychrophilic</w:t>
      </w:r>
      <w:r w:rsidR="003427CE">
        <w:rPr>
          <w:rFonts w:ascii="Times New Roman" w:hAnsi="Times New Roman" w:cs="Times New Roman"/>
          <w:sz w:val="24"/>
        </w:rPr>
        <w:t xml:space="preserve"> aerobic bacteria in Bediala (8</w:t>
      </w:r>
      <w:r w:rsidRPr="00674764">
        <w:rPr>
          <w:rFonts w:ascii="Times New Roman" w:hAnsi="Times New Roman" w:cs="Times New Roman"/>
          <w:sz w:val="24"/>
        </w:rPr>
        <w:t>478 CFU/mL) and yeasts/molds</w:t>
      </w:r>
      <w:r w:rsidR="003427CE">
        <w:rPr>
          <w:rFonts w:ascii="Times New Roman" w:hAnsi="Times New Roman" w:cs="Times New Roman"/>
          <w:sz w:val="24"/>
        </w:rPr>
        <w:t xml:space="preserve"> in Gboguhe (1</w:t>
      </w:r>
      <w:r w:rsidRPr="00674764">
        <w:rPr>
          <w:rFonts w:ascii="Times New Roman" w:hAnsi="Times New Roman" w:cs="Times New Roman"/>
          <w:sz w:val="24"/>
        </w:rPr>
        <w:t>150 CFU/mL). Fecal contamination was generally more pronounced in Gnamankoudji, with significantly higher values ​​of thermotolerant coliforms (539 CFU/mL in</w:t>
      </w:r>
      <w:r w:rsidR="003427CE">
        <w:rPr>
          <w:rFonts w:ascii="Times New Roman" w:hAnsi="Times New Roman" w:cs="Times New Roman"/>
          <w:sz w:val="24"/>
        </w:rPr>
        <w:t xml:space="preserve"> Gadouan) and enterobacteria (4</w:t>
      </w:r>
      <w:r w:rsidRPr="00674764">
        <w:rPr>
          <w:rFonts w:ascii="Times New Roman" w:hAnsi="Times New Roman" w:cs="Times New Roman"/>
          <w:sz w:val="24"/>
        </w:rPr>
        <w:t>278 CFU/mL in Gadouan). In contrast, Bissap showed more limited fecal contamination, mainly localized in Daloa. Analysis revealed a scattered presence of Bacillus cereus at some study sites, with a distinct distribution in Bissap and Gnamankoudji. In contrast, Listeria monocytogenes showed much more widespread contamination, being detected in the majority of study sites. Its presence was frequently observed in both types of beverages, although some sites showed contamination specific to Bissap or Gnamankoudji. Only a few isolated sites, notably the INHP ​​branch and the Daloa Regional Hospital Center, as well as the Seria Rural Dispensary, showed a complete absence of Listeria monocytogenes.</w:t>
      </w:r>
    </w:p>
    <w:p w14:paraId="5106D69F" w14:textId="77777777" w:rsidR="00674764" w:rsidRP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sz w:val="24"/>
        </w:rPr>
        <w:t>A Principal Component Analysis (PCA) was performed on the sample and microorganism data. Figure 3 shows the first axis, explaining 37.69% of the variation; this axis is related to enterobacteria and coliforms. The second axis, which explains 18.62%, is associated with aerobic bacteria, fecal streptococci, and yeasts. The Gnamankoudji from Daloa (677G) presents a unique profile. The classification of the samples formed two main groups: one group with high contamination by enterobacteria and coliforms, and another with low levels of these bacteria as well as streptococci (Figure 4). Some beverages have similar microbiological profiles, while others show atypical contamination; several samples played a decisive role in structuring the results (Figure 5).</w:t>
      </w:r>
    </w:p>
    <w:p w14:paraId="0E647066" w14:textId="5884156D" w:rsidR="00674764" w:rsidRPr="00674764" w:rsidRDefault="00674764" w:rsidP="00674764">
      <w:pPr>
        <w:spacing w:line="360" w:lineRule="auto"/>
        <w:jc w:val="both"/>
        <w:rPr>
          <w:rFonts w:ascii="Times New Roman" w:hAnsi="Times New Roman" w:cs="Times New Roman"/>
          <w:iCs/>
          <w:sz w:val="24"/>
        </w:rPr>
      </w:pPr>
      <w:bookmarkStart w:id="6" w:name="_Toc209197275"/>
      <w:bookmarkStart w:id="7" w:name="_Toc218542008"/>
      <w:r>
        <w:rPr>
          <w:rFonts w:ascii="Times New Roman" w:hAnsi="Times New Roman" w:cs="Times New Roman"/>
          <w:iCs/>
          <w:sz w:val="24"/>
        </w:rPr>
        <w:t xml:space="preserve">Table </w:t>
      </w:r>
      <w:r w:rsidR="00326BE0">
        <w:rPr>
          <w:rFonts w:ascii="Times New Roman" w:hAnsi="Times New Roman" w:cs="Times New Roman"/>
          <w:iCs/>
          <w:sz w:val="24"/>
        </w:rPr>
        <w:t>2</w:t>
      </w:r>
      <w:r>
        <w:rPr>
          <w:rFonts w:ascii="Times New Roman" w:hAnsi="Times New Roman" w:cs="Times New Roman"/>
          <w:sz w:val="24"/>
        </w:rPr>
        <w:t xml:space="preserve"> : </w:t>
      </w:r>
      <w:r w:rsidRPr="00674764">
        <w:rPr>
          <w:rFonts w:ascii="Times New Roman" w:hAnsi="Times New Roman" w:cs="Times New Roman"/>
          <w:iCs/>
          <w:sz w:val="24"/>
        </w:rPr>
        <w:t>Average loads of germs counted in non-alcoholic artisanal beverages</w:t>
      </w:r>
      <w:bookmarkEnd w:id="6"/>
      <w:bookmarkEnd w:id="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000"/>
        <w:gridCol w:w="1031"/>
        <w:gridCol w:w="1088"/>
        <w:gridCol w:w="992"/>
        <w:gridCol w:w="992"/>
        <w:gridCol w:w="977"/>
        <w:gridCol w:w="1008"/>
        <w:gridCol w:w="992"/>
      </w:tblGrid>
      <w:tr w:rsidR="00674764" w:rsidRPr="00674764" w14:paraId="5C3CDB64" w14:textId="77777777" w:rsidTr="00993D43">
        <w:trPr>
          <w:trHeight w:val="480"/>
        </w:trPr>
        <w:tc>
          <w:tcPr>
            <w:tcW w:w="1134" w:type="dxa"/>
            <w:tcBorders>
              <w:top w:val="single" w:sz="4" w:space="0" w:color="auto"/>
              <w:bottom w:val="single" w:sz="4" w:space="0" w:color="auto"/>
            </w:tcBorders>
            <w:hideMark/>
          </w:tcPr>
          <w:p w14:paraId="3E38BC57" w14:textId="77777777" w:rsidR="00674764" w:rsidRPr="00674764" w:rsidRDefault="00674764" w:rsidP="00674764">
            <w:pPr>
              <w:spacing w:line="360" w:lineRule="auto"/>
              <w:jc w:val="both"/>
              <w:rPr>
                <w:rFonts w:ascii="Times New Roman" w:hAnsi="Times New Roman" w:cs="Times New Roman"/>
                <w:b/>
                <w:bCs/>
                <w:sz w:val="16"/>
                <w:szCs w:val="16"/>
              </w:rPr>
            </w:pPr>
            <w:r w:rsidRPr="00674764">
              <w:rPr>
                <w:rFonts w:ascii="Times New Roman" w:hAnsi="Times New Roman" w:cs="Times New Roman"/>
                <w:b/>
                <w:bCs/>
                <w:sz w:val="16"/>
                <w:szCs w:val="16"/>
              </w:rPr>
              <w:t>Study area</w:t>
            </w:r>
          </w:p>
        </w:tc>
        <w:tc>
          <w:tcPr>
            <w:tcW w:w="1000" w:type="dxa"/>
            <w:tcBorders>
              <w:top w:val="single" w:sz="4" w:space="0" w:color="auto"/>
              <w:bottom w:val="single" w:sz="4" w:space="0" w:color="auto"/>
            </w:tcBorders>
            <w:hideMark/>
          </w:tcPr>
          <w:p w14:paraId="219E33CB" w14:textId="77777777" w:rsidR="00674764" w:rsidRPr="00674764" w:rsidRDefault="00674764" w:rsidP="00674764">
            <w:pPr>
              <w:spacing w:line="360" w:lineRule="auto"/>
              <w:jc w:val="both"/>
              <w:rPr>
                <w:rFonts w:ascii="Times New Roman" w:hAnsi="Times New Roman" w:cs="Times New Roman"/>
                <w:b/>
                <w:bCs/>
                <w:sz w:val="16"/>
                <w:szCs w:val="16"/>
              </w:rPr>
            </w:pPr>
            <w:r w:rsidRPr="00674764">
              <w:rPr>
                <w:rFonts w:ascii="Times New Roman" w:hAnsi="Times New Roman" w:cs="Times New Roman"/>
                <w:b/>
                <w:bCs/>
                <w:sz w:val="16"/>
                <w:szCs w:val="16"/>
              </w:rPr>
              <w:t>GAM (UFC/mL)</w:t>
            </w:r>
          </w:p>
        </w:tc>
        <w:tc>
          <w:tcPr>
            <w:tcW w:w="1031" w:type="dxa"/>
            <w:tcBorders>
              <w:top w:val="single" w:sz="4" w:space="0" w:color="auto"/>
              <w:bottom w:val="single" w:sz="4" w:space="0" w:color="auto"/>
            </w:tcBorders>
            <w:hideMark/>
          </w:tcPr>
          <w:p w14:paraId="4D35B296" w14:textId="77777777" w:rsidR="00674764" w:rsidRPr="00674764" w:rsidRDefault="00674764" w:rsidP="00674764">
            <w:pPr>
              <w:spacing w:line="360" w:lineRule="auto"/>
              <w:jc w:val="both"/>
              <w:rPr>
                <w:rFonts w:ascii="Times New Roman" w:hAnsi="Times New Roman" w:cs="Times New Roman"/>
                <w:b/>
                <w:bCs/>
                <w:sz w:val="16"/>
                <w:szCs w:val="16"/>
              </w:rPr>
            </w:pPr>
            <w:r w:rsidRPr="00674764">
              <w:rPr>
                <w:rFonts w:ascii="Times New Roman" w:hAnsi="Times New Roman" w:cs="Times New Roman"/>
                <w:b/>
                <w:bCs/>
                <w:sz w:val="16"/>
                <w:szCs w:val="16"/>
              </w:rPr>
              <w:t>GAP (UFC/mL)</w:t>
            </w:r>
          </w:p>
        </w:tc>
        <w:tc>
          <w:tcPr>
            <w:tcW w:w="1088" w:type="dxa"/>
            <w:tcBorders>
              <w:top w:val="single" w:sz="4" w:space="0" w:color="auto"/>
              <w:bottom w:val="single" w:sz="4" w:space="0" w:color="auto"/>
            </w:tcBorders>
            <w:hideMark/>
          </w:tcPr>
          <w:p w14:paraId="2010F50B" w14:textId="77777777" w:rsidR="00674764" w:rsidRPr="00674764" w:rsidRDefault="00674764" w:rsidP="00674764">
            <w:pPr>
              <w:spacing w:line="360" w:lineRule="auto"/>
              <w:jc w:val="both"/>
              <w:rPr>
                <w:rFonts w:ascii="Times New Roman" w:hAnsi="Times New Roman" w:cs="Times New Roman"/>
                <w:b/>
                <w:bCs/>
                <w:sz w:val="16"/>
                <w:szCs w:val="16"/>
              </w:rPr>
            </w:pPr>
            <w:r w:rsidRPr="00674764">
              <w:rPr>
                <w:rFonts w:ascii="Times New Roman" w:hAnsi="Times New Roman" w:cs="Times New Roman"/>
                <w:b/>
                <w:bCs/>
                <w:sz w:val="16"/>
                <w:szCs w:val="16"/>
              </w:rPr>
              <w:t>L/M (CFU/mL)</w:t>
            </w:r>
          </w:p>
        </w:tc>
        <w:tc>
          <w:tcPr>
            <w:tcW w:w="992" w:type="dxa"/>
            <w:tcBorders>
              <w:top w:val="single" w:sz="4" w:space="0" w:color="auto"/>
              <w:bottom w:val="single" w:sz="4" w:space="0" w:color="auto"/>
            </w:tcBorders>
            <w:hideMark/>
          </w:tcPr>
          <w:p w14:paraId="45956496" w14:textId="77777777" w:rsidR="00674764" w:rsidRPr="00674764" w:rsidRDefault="00674764" w:rsidP="00674764">
            <w:pPr>
              <w:spacing w:line="360" w:lineRule="auto"/>
              <w:jc w:val="both"/>
              <w:rPr>
                <w:rFonts w:ascii="Times New Roman" w:hAnsi="Times New Roman" w:cs="Times New Roman"/>
                <w:b/>
                <w:bCs/>
                <w:sz w:val="16"/>
                <w:szCs w:val="16"/>
              </w:rPr>
            </w:pPr>
            <w:r w:rsidRPr="00674764">
              <w:rPr>
                <w:rFonts w:ascii="Times New Roman" w:hAnsi="Times New Roman" w:cs="Times New Roman"/>
                <w:b/>
                <w:bCs/>
                <w:sz w:val="16"/>
                <w:szCs w:val="16"/>
              </w:rPr>
              <w:t>Cthe (UFC/mL)</w:t>
            </w:r>
          </w:p>
        </w:tc>
        <w:tc>
          <w:tcPr>
            <w:tcW w:w="992" w:type="dxa"/>
            <w:tcBorders>
              <w:top w:val="single" w:sz="4" w:space="0" w:color="auto"/>
              <w:bottom w:val="single" w:sz="4" w:space="0" w:color="auto"/>
            </w:tcBorders>
            <w:hideMark/>
          </w:tcPr>
          <w:p w14:paraId="0F40B42C" w14:textId="77777777" w:rsidR="00674764" w:rsidRPr="00674764" w:rsidRDefault="00674764" w:rsidP="00674764">
            <w:pPr>
              <w:spacing w:line="360" w:lineRule="auto"/>
              <w:jc w:val="both"/>
              <w:rPr>
                <w:rFonts w:ascii="Times New Roman" w:hAnsi="Times New Roman" w:cs="Times New Roman"/>
                <w:b/>
                <w:bCs/>
                <w:sz w:val="16"/>
                <w:szCs w:val="16"/>
              </w:rPr>
            </w:pPr>
            <w:r w:rsidRPr="00674764">
              <w:rPr>
                <w:rFonts w:ascii="Times New Roman" w:hAnsi="Times New Roman" w:cs="Times New Roman"/>
                <w:b/>
                <w:bCs/>
                <w:sz w:val="16"/>
                <w:szCs w:val="16"/>
              </w:rPr>
              <w:t>CT (CFU/mL)</w:t>
            </w:r>
          </w:p>
        </w:tc>
        <w:tc>
          <w:tcPr>
            <w:tcW w:w="977" w:type="dxa"/>
            <w:tcBorders>
              <w:top w:val="single" w:sz="4" w:space="0" w:color="auto"/>
              <w:bottom w:val="single" w:sz="4" w:space="0" w:color="auto"/>
            </w:tcBorders>
            <w:hideMark/>
          </w:tcPr>
          <w:p w14:paraId="404CC21E" w14:textId="77777777" w:rsidR="00674764" w:rsidRPr="00674764" w:rsidRDefault="00674764" w:rsidP="00674764">
            <w:pPr>
              <w:spacing w:line="360" w:lineRule="auto"/>
              <w:jc w:val="both"/>
              <w:rPr>
                <w:rFonts w:ascii="Times New Roman" w:hAnsi="Times New Roman" w:cs="Times New Roman"/>
                <w:b/>
                <w:bCs/>
                <w:sz w:val="16"/>
                <w:szCs w:val="16"/>
              </w:rPr>
            </w:pPr>
            <w:r w:rsidRPr="00674764">
              <w:rPr>
                <w:rFonts w:ascii="Times New Roman" w:hAnsi="Times New Roman" w:cs="Times New Roman"/>
                <w:b/>
                <w:bCs/>
                <w:sz w:val="16"/>
                <w:szCs w:val="16"/>
              </w:rPr>
              <w:t>Entero (UFC/mL)</w:t>
            </w:r>
          </w:p>
        </w:tc>
        <w:tc>
          <w:tcPr>
            <w:tcW w:w="1008" w:type="dxa"/>
            <w:tcBorders>
              <w:top w:val="single" w:sz="4" w:space="0" w:color="auto"/>
              <w:bottom w:val="single" w:sz="4" w:space="0" w:color="auto"/>
            </w:tcBorders>
            <w:hideMark/>
          </w:tcPr>
          <w:p w14:paraId="5BBFD356" w14:textId="77777777" w:rsidR="00674764" w:rsidRPr="00674764" w:rsidRDefault="00674764" w:rsidP="00674764">
            <w:pPr>
              <w:spacing w:line="360" w:lineRule="auto"/>
              <w:jc w:val="both"/>
              <w:rPr>
                <w:rFonts w:ascii="Times New Roman" w:hAnsi="Times New Roman" w:cs="Times New Roman"/>
                <w:b/>
                <w:bCs/>
                <w:sz w:val="16"/>
                <w:szCs w:val="16"/>
              </w:rPr>
            </w:pPr>
            <w:r w:rsidRPr="00674764">
              <w:rPr>
                <w:rFonts w:ascii="Times New Roman" w:hAnsi="Times New Roman" w:cs="Times New Roman"/>
                <w:b/>
                <w:bCs/>
                <w:sz w:val="16"/>
                <w:szCs w:val="16"/>
              </w:rPr>
              <w:t>SF (CFU/mL)</w:t>
            </w:r>
          </w:p>
        </w:tc>
        <w:tc>
          <w:tcPr>
            <w:tcW w:w="992" w:type="dxa"/>
            <w:tcBorders>
              <w:top w:val="single" w:sz="4" w:space="0" w:color="auto"/>
              <w:bottom w:val="single" w:sz="4" w:space="0" w:color="auto"/>
            </w:tcBorders>
            <w:hideMark/>
          </w:tcPr>
          <w:p w14:paraId="691B6D4C" w14:textId="77777777" w:rsidR="00674764" w:rsidRPr="00674764" w:rsidRDefault="00674764" w:rsidP="00674764">
            <w:pPr>
              <w:spacing w:line="360" w:lineRule="auto"/>
              <w:jc w:val="both"/>
              <w:rPr>
                <w:rFonts w:ascii="Times New Roman" w:hAnsi="Times New Roman" w:cs="Times New Roman"/>
                <w:b/>
                <w:bCs/>
                <w:i/>
                <w:iCs/>
                <w:sz w:val="16"/>
                <w:szCs w:val="16"/>
              </w:rPr>
            </w:pPr>
            <w:r w:rsidRPr="00674764">
              <w:rPr>
                <w:rFonts w:ascii="Times New Roman" w:hAnsi="Times New Roman" w:cs="Times New Roman"/>
                <w:b/>
                <w:bCs/>
                <w:i/>
                <w:iCs/>
                <w:sz w:val="16"/>
                <w:szCs w:val="16"/>
              </w:rPr>
              <w:t xml:space="preserve">E. </w:t>
            </w:r>
            <w:proofErr w:type="gramStart"/>
            <w:r w:rsidRPr="00674764">
              <w:rPr>
                <w:rFonts w:ascii="Times New Roman" w:hAnsi="Times New Roman" w:cs="Times New Roman"/>
                <w:b/>
                <w:bCs/>
                <w:i/>
                <w:iCs/>
                <w:sz w:val="16"/>
                <w:szCs w:val="16"/>
              </w:rPr>
              <w:t>coli</w:t>
            </w:r>
            <w:r w:rsidRPr="00674764">
              <w:rPr>
                <w:rFonts w:ascii="Times New Roman" w:hAnsi="Times New Roman" w:cs="Times New Roman"/>
                <w:b/>
                <w:bCs/>
                <w:sz w:val="16"/>
                <w:szCs w:val="16"/>
              </w:rPr>
              <w:t>(</w:t>
            </w:r>
            <w:proofErr w:type="gramEnd"/>
            <w:r w:rsidRPr="00674764">
              <w:rPr>
                <w:rFonts w:ascii="Times New Roman" w:hAnsi="Times New Roman" w:cs="Times New Roman"/>
                <w:b/>
                <w:bCs/>
                <w:sz w:val="16"/>
                <w:szCs w:val="16"/>
              </w:rPr>
              <w:t>CFU/mL)</w:t>
            </w:r>
          </w:p>
        </w:tc>
      </w:tr>
      <w:tr w:rsidR="00674764" w:rsidRPr="00674764" w14:paraId="15AB5B6A" w14:textId="77777777" w:rsidTr="00993D43">
        <w:tblPrEx>
          <w:jc w:val="center"/>
        </w:tblPrEx>
        <w:trPr>
          <w:trHeight w:val="540"/>
          <w:jc w:val="center"/>
        </w:trPr>
        <w:tc>
          <w:tcPr>
            <w:tcW w:w="1134" w:type="dxa"/>
            <w:tcBorders>
              <w:top w:val="single" w:sz="4" w:space="0" w:color="auto"/>
            </w:tcBorders>
            <w:noWrap/>
          </w:tcPr>
          <w:p w14:paraId="25B982EA"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Bediala B</w:t>
            </w:r>
          </w:p>
        </w:tc>
        <w:tc>
          <w:tcPr>
            <w:tcW w:w="1000" w:type="dxa"/>
            <w:tcBorders>
              <w:top w:val="single" w:sz="4" w:space="0" w:color="auto"/>
            </w:tcBorders>
            <w:noWrap/>
          </w:tcPr>
          <w:p w14:paraId="58E020F3"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1587±392ab</w:t>
            </w:r>
          </w:p>
        </w:tc>
        <w:tc>
          <w:tcPr>
            <w:tcW w:w="1031" w:type="dxa"/>
            <w:tcBorders>
              <w:top w:val="single" w:sz="4" w:space="0" w:color="auto"/>
            </w:tcBorders>
            <w:noWrap/>
          </w:tcPr>
          <w:p w14:paraId="295CF13B"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778±426a</w:t>
            </w:r>
          </w:p>
        </w:tc>
        <w:tc>
          <w:tcPr>
            <w:tcW w:w="1088" w:type="dxa"/>
            <w:tcBorders>
              <w:top w:val="single" w:sz="4" w:space="0" w:color="auto"/>
            </w:tcBorders>
            <w:noWrap/>
          </w:tcPr>
          <w:p w14:paraId="6D9F2DF0"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282±146 ab</w:t>
            </w:r>
          </w:p>
        </w:tc>
        <w:tc>
          <w:tcPr>
            <w:tcW w:w="992" w:type="dxa"/>
            <w:tcBorders>
              <w:top w:val="single" w:sz="4" w:space="0" w:color="auto"/>
            </w:tcBorders>
            <w:noWrap/>
          </w:tcPr>
          <w:p w14:paraId="0EB2314C"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0a</w:t>
            </w:r>
          </w:p>
        </w:tc>
        <w:tc>
          <w:tcPr>
            <w:tcW w:w="992" w:type="dxa"/>
            <w:tcBorders>
              <w:top w:val="single" w:sz="4" w:space="0" w:color="auto"/>
            </w:tcBorders>
            <w:noWrap/>
          </w:tcPr>
          <w:p w14:paraId="6519F3AB"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0a</w:t>
            </w:r>
          </w:p>
        </w:tc>
        <w:tc>
          <w:tcPr>
            <w:tcW w:w="977" w:type="dxa"/>
            <w:tcBorders>
              <w:top w:val="single" w:sz="4" w:space="0" w:color="auto"/>
            </w:tcBorders>
            <w:noWrap/>
          </w:tcPr>
          <w:p w14:paraId="2FA5D6C4"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416±289</w:t>
            </w:r>
          </w:p>
        </w:tc>
        <w:tc>
          <w:tcPr>
            <w:tcW w:w="1008" w:type="dxa"/>
            <w:tcBorders>
              <w:top w:val="single" w:sz="4" w:space="0" w:color="auto"/>
            </w:tcBorders>
            <w:noWrap/>
          </w:tcPr>
          <w:p w14:paraId="082CE969"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0a</w:t>
            </w:r>
          </w:p>
        </w:tc>
        <w:tc>
          <w:tcPr>
            <w:tcW w:w="992" w:type="dxa"/>
            <w:tcBorders>
              <w:top w:val="single" w:sz="4" w:space="0" w:color="auto"/>
            </w:tcBorders>
            <w:noWrap/>
          </w:tcPr>
          <w:p w14:paraId="3E030A35"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0a</w:t>
            </w:r>
          </w:p>
        </w:tc>
      </w:tr>
      <w:tr w:rsidR="00674764" w:rsidRPr="00674764" w14:paraId="436AC43B" w14:textId="77777777" w:rsidTr="00993D43">
        <w:tblPrEx>
          <w:jc w:val="center"/>
        </w:tblPrEx>
        <w:trPr>
          <w:trHeight w:val="540"/>
          <w:jc w:val="center"/>
        </w:trPr>
        <w:tc>
          <w:tcPr>
            <w:tcW w:w="1134" w:type="dxa"/>
            <w:hideMark/>
          </w:tcPr>
          <w:p w14:paraId="69DEA1E9"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Gonate B</w:t>
            </w:r>
          </w:p>
        </w:tc>
        <w:tc>
          <w:tcPr>
            <w:tcW w:w="1000" w:type="dxa"/>
            <w:noWrap/>
            <w:hideMark/>
          </w:tcPr>
          <w:p w14:paraId="1CF64E86"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807±545a</w:t>
            </w:r>
          </w:p>
        </w:tc>
        <w:tc>
          <w:tcPr>
            <w:tcW w:w="1031" w:type="dxa"/>
            <w:noWrap/>
            <w:hideMark/>
          </w:tcPr>
          <w:p w14:paraId="302F2D38"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1046±701a</w:t>
            </w:r>
          </w:p>
        </w:tc>
        <w:tc>
          <w:tcPr>
            <w:tcW w:w="1088" w:type="dxa"/>
            <w:noWrap/>
            <w:hideMark/>
          </w:tcPr>
          <w:p w14:paraId="1CE67C36"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196±97ab</w:t>
            </w:r>
          </w:p>
        </w:tc>
        <w:tc>
          <w:tcPr>
            <w:tcW w:w="992" w:type="dxa"/>
            <w:noWrap/>
            <w:hideMark/>
          </w:tcPr>
          <w:p w14:paraId="5137E64D"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0±0a</w:t>
            </w:r>
          </w:p>
        </w:tc>
        <w:tc>
          <w:tcPr>
            <w:tcW w:w="992" w:type="dxa"/>
            <w:noWrap/>
            <w:hideMark/>
          </w:tcPr>
          <w:p w14:paraId="688B0B23"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0±0a</w:t>
            </w:r>
          </w:p>
        </w:tc>
        <w:tc>
          <w:tcPr>
            <w:tcW w:w="977" w:type="dxa"/>
            <w:noWrap/>
            <w:hideMark/>
          </w:tcPr>
          <w:p w14:paraId="39371E86"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443±240ab</w:t>
            </w:r>
          </w:p>
        </w:tc>
        <w:tc>
          <w:tcPr>
            <w:tcW w:w="1008" w:type="dxa"/>
            <w:noWrap/>
            <w:hideMark/>
          </w:tcPr>
          <w:p w14:paraId="129AC83C"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0±0a</w:t>
            </w:r>
          </w:p>
        </w:tc>
        <w:tc>
          <w:tcPr>
            <w:tcW w:w="992" w:type="dxa"/>
            <w:noWrap/>
            <w:hideMark/>
          </w:tcPr>
          <w:p w14:paraId="57005932"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0±0a</w:t>
            </w:r>
          </w:p>
        </w:tc>
      </w:tr>
      <w:tr w:rsidR="00674764" w:rsidRPr="00674764" w14:paraId="7871A812" w14:textId="77777777" w:rsidTr="00993D43">
        <w:tblPrEx>
          <w:jc w:val="center"/>
        </w:tblPrEx>
        <w:trPr>
          <w:trHeight w:val="300"/>
          <w:jc w:val="center"/>
        </w:trPr>
        <w:tc>
          <w:tcPr>
            <w:tcW w:w="1134" w:type="dxa"/>
            <w:hideMark/>
          </w:tcPr>
          <w:p w14:paraId="71F6E8F1"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Daloa B</w:t>
            </w:r>
          </w:p>
        </w:tc>
        <w:tc>
          <w:tcPr>
            <w:tcW w:w="1000" w:type="dxa"/>
            <w:noWrap/>
            <w:hideMark/>
          </w:tcPr>
          <w:p w14:paraId="285359C4"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4006±2827abc</w:t>
            </w:r>
          </w:p>
        </w:tc>
        <w:tc>
          <w:tcPr>
            <w:tcW w:w="1031" w:type="dxa"/>
            <w:noWrap/>
            <w:hideMark/>
          </w:tcPr>
          <w:p w14:paraId="20A7838E"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3480±1642a</w:t>
            </w:r>
          </w:p>
        </w:tc>
        <w:tc>
          <w:tcPr>
            <w:tcW w:w="1088" w:type="dxa"/>
            <w:noWrap/>
            <w:hideMark/>
          </w:tcPr>
          <w:p w14:paraId="556E9FC6"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306±98ab</w:t>
            </w:r>
          </w:p>
        </w:tc>
        <w:tc>
          <w:tcPr>
            <w:tcW w:w="992" w:type="dxa"/>
            <w:noWrap/>
            <w:hideMark/>
          </w:tcPr>
          <w:p w14:paraId="0FF449D2"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43±5ab</w:t>
            </w:r>
          </w:p>
        </w:tc>
        <w:tc>
          <w:tcPr>
            <w:tcW w:w="992" w:type="dxa"/>
            <w:noWrap/>
            <w:hideMark/>
          </w:tcPr>
          <w:p w14:paraId="29C0BD6E"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7±2a</w:t>
            </w:r>
          </w:p>
        </w:tc>
        <w:tc>
          <w:tcPr>
            <w:tcW w:w="977" w:type="dxa"/>
            <w:noWrap/>
            <w:hideMark/>
          </w:tcPr>
          <w:p w14:paraId="622FEB04"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141±100abc</w:t>
            </w:r>
          </w:p>
        </w:tc>
        <w:tc>
          <w:tcPr>
            <w:tcW w:w="1008" w:type="dxa"/>
            <w:noWrap/>
            <w:hideMark/>
          </w:tcPr>
          <w:p w14:paraId="6357F249"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218±55abd</w:t>
            </w:r>
          </w:p>
        </w:tc>
        <w:tc>
          <w:tcPr>
            <w:tcW w:w="992" w:type="dxa"/>
            <w:noWrap/>
            <w:hideMark/>
          </w:tcPr>
          <w:p w14:paraId="3FF6C1B2"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0±0a</w:t>
            </w:r>
          </w:p>
        </w:tc>
      </w:tr>
      <w:tr w:rsidR="00674764" w:rsidRPr="00674764" w14:paraId="5FF0391F" w14:textId="77777777" w:rsidTr="00993D43">
        <w:tblPrEx>
          <w:jc w:val="center"/>
        </w:tblPrEx>
        <w:trPr>
          <w:jc w:val="center"/>
        </w:trPr>
        <w:tc>
          <w:tcPr>
            <w:tcW w:w="1134" w:type="dxa"/>
          </w:tcPr>
          <w:p w14:paraId="3B49B5A6"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Zaibo B</w:t>
            </w:r>
          </w:p>
        </w:tc>
        <w:tc>
          <w:tcPr>
            <w:tcW w:w="1000" w:type="dxa"/>
          </w:tcPr>
          <w:p w14:paraId="15CA6591" w14:textId="77777777" w:rsidR="00674764" w:rsidRPr="00674764" w:rsidRDefault="00674764" w:rsidP="00674764">
            <w:pPr>
              <w:spacing w:line="360" w:lineRule="auto"/>
              <w:jc w:val="both"/>
              <w:rPr>
                <w:rFonts w:ascii="Times New Roman" w:hAnsi="Times New Roman" w:cs="Times New Roman"/>
                <w:bCs/>
                <w:sz w:val="16"/>
                <w:szCs w:val="16"/>
                <w:vertAlign w:val="superscript"/>
              </w:rPr>
            </w:pPr>
            <w:r w:rsidRPr="00674764">
              <w:rPr>
                <w:rFonts w:ascii="Times New Roman" w:hAnsi="Times New Roman" w:cs="Times New Roman"/>
                <w:bCs/>
                <w:sz w:val="16"/>
                <w:szCs w:val="16"/>
              </w:rPr>
              <w:t>12570±43903bc</w:t>
            </w:r>
          </w:p>
        </w:tc>
        <w:tc>
          <w:tcPr>
            <w:tcW w:w="1031" w:type="dxa"/>
          </w:tcPr>
          <w:p w14:paraId="10A7315D" w14:textId="77777777" w:rsidR="00674764" w:rsidRPr="00674764" w:rsidRDefault="00674764" w:rsidP="00674764">
            <w:pPr>
              <w:spacing w:line="360" w:lineRule="auto"/>
              <w:jc w:val="both"/>
              <w:rPr>
                <w:rFonts w:ascii="Times New Roman" w:hAnsi="Times New Roman" w:cs="Times New Roman"/>
                <w:bCs/>
                <w:sz w:val="16"/>
                <w:szCs w:val="16"/>
                <w:vertAlign w:val="superscript"/>
              </w:rPr>
            </w:pPr>
            <w:r w:rsidRPr="00674764">
              <w:rPr>
                <w:rFonts w:ascii="Times New Roman" w:hAnsi="Times New Roman" w:cs="Times New Roman"/>
                <w:bCs/>
                <w:sz w:val="16"/>
                <w:szCs w:val="16"/>
              </w:rPr>
              <w:t>6818±6000a</w:t>
            </w:r>
          </w:p>
        </w:tc>
        <w:tc>
          <w:tcPr>
            <w:tcW w:w="1088" w:type="dxa"/>
          </w:tcPr>
          <w:p w14:paraId="791D6D69"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248±112ab</w:t>
            </w:r>
          </w:p>
        </w:tc>
        <w:tc>
          <w:tcPr>
            <w:tcW w:w="992" w:type="dxa"/>
          </w:tcPr>
          <w:p w14:paraId="78FB50EC"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tcPr>
          <w:p w14:paraId="5C5C70A2"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77" w:type="dxa"/>
          </w:tcPr>
          <w:p w14:paraId="6159DD47"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1008" w:type="dxa"/>
          </w:tcPr>
          <w:p w14:paraId="4F8AD23F"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tcPr>
          <w:p w14:paraId="1BB0927B"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r>
      <w:tr w:rsidR="00674764" w:rsidRPr="00674764" w14:paraId="0A443B86" w14:textId="77777777" w:rsidTr="00993D43">
        <w:tblPrEx>
          <w:jc w:val="center"/>
        </w:tblPrEx>
        <w:trPr>
          <w:trHeight w:val="540"/>
          <w:jc w:val="center"/>
        </w:trPr>
        <w:tc>
          <w:tcPr>
            <w:tcW w:w="1134" w:type="dxa"/>
            <w:hideMark/>
          </w:tcPr>
          <w:p w14:paraId="1DCC3C32"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lastRenderedPageBreak/>
              <w:t>Gadouan B</w:t>
            </w:r>
          </w:p>
        </w:tc>
        <w:tc>
          <w:tcPr>
            <w:tcW w:w="1000" w:type="dxa"/>
            <w:hideMark/>
          </w:tcPr>
          <w:p w14:paraId="3F2E0D26" w14:textId="77777777" w:rsidR="00674764" w:rsidRPr="00674764" w:rsidRDefault="00674764" w:rsidP="00674764">
            <w:pPr>
              <w:spacing w:line="360" w:lineRule="auto"/>
              <w:jc w:val="both"/>
              <w:rPr>
                <w:rFonts w:ascii="Times New Roman" w:hAnsi="Times New Roman" w:cs="Times New Roman"/>
                <w:bCs/>
                <w:sz w:val="16"/>
                <w:szCs w:val="16"/>
                <w:vertAlign w:val="superscript"/>
              </w:rPr>
            </w:pPr>
            <w:r w:rsidRPr="00674764">
              <w:rPr>
                <w:rFonts w:ascii="Times New Roman" w:hAnsi="Times New Roman" w:cs="Times New Roman"/>
                <w:bCs/>
                <w:sz w:val="16"/>
                <w:szCs w:val="16"/>
              </w:rPr>
              <w:t>2800±2390ab</w:t>
            </w:r>
          </w:p>
        </w:tc>
        <w:tc>
          <w:tcPr>
            <w:tcW w:w="1031" w:type="dxa"/>
            <w:hideMark/>
          </w:tcPr>
          <w:p w14:paraId="64BB537A" w14:textId="77777777" w:rsidR="00674764" w:rsidRPr="00674764" w:rsidRDefault="00674764" w:rsidP="00674764">
            <w:pPr>
              <w:spacing w:line="360" w:lineRule="auto"/>
              <w:jc w:val="both"/>
              <w:rPr>
                <w:rFonts w:ascii="Times New Roman" w:hAnsi="Times New Roman" w:cs="Times New Roman"/>
                <w:bCs/>
                <w:sz w:val="16"/>
                <w:szCs w:val="16"/>
                <w:vertAlign w:val="superscript"/>
              </w:rPr>
            </w:pPr>
            <w:r w:rsidRPr="00674764">
              <w:rPr>
                <w:rFonts w:ascii="Times New Roman" w:hAnsi="Times New Roman" w:cs="Times New Roman"/>
                <w:bCs/>
                <w:sz w:val="16"/>
                <w:szCs w:val="16"/>
              </w:rPr>
              <w:t>1091±182a</w:t>
            </w:r>
          </w:p>
        </w:tc>
        <w:tc>
          <w:tcPr>
            <w:tcW w:w="1088" w:type="dxa"/>
            <w:hideMark/>
          </w:tcPr>
          <w:p w14:paraId="017E6603"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114±22</w:t>
            </w:r>
          </w:p>
        </w:tc>
        <w:tc>
          <w:tcPr>
            <w:tcW w:w="992" w:type="dxa"/>
            <w:hideMark/>
          </w:tcPr>
          <w:p w14:paraId="691C29C6"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hideMark/>
          </w:tcPr>
          <w:p w14:paraId="787B82F8"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77" w:type="dxa"/>
            <w:hideMark/>
          </w:tcPr>
          <w:p w14:paraId="355C5AEE"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1008" w:type="dxa"/>
            <w:hideMark/>
          </w:tcPr>
          <w:p w14:paraId="33193999"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hideMark/>
          </w:tcPr>
          <w:p w14:paraId="69C373F4"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r>
      <w:tr w:rsidR="00674764" w:rsidRPr="00674764" w14:paraId="6B915AC5" w14:textId="77777777" w:rsidTr="00993D43">
        <w:tblPrEx>
          <w:jc w:val="center"/>
        </w:tblPrEx>
        <w:trPr>
          <w:trHeight w:val="540"/>
          <w:jc w:val="center"/>
        </w:trPr>
        <w:tc>
          <w:tcPr>
            <w:tcW w:w="1134" w:type="dxa"/>
            <w:hideMark/>
          </w:tcPr>
          <w:p w14:paraId="76AC3C06"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Gboguhe B</w:t>
            </w:r>
          </w:p>
        </w:tc>
        <w:tc>
          <w:tcPr>
            <w:tcW w:w="1000" w:type="dxa"/>
            <w:noWrap/>
            <w:hideMark/>
          </w:tcPr>
          <w:p w14:paraId="4887A2CC"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2429±2208abc</w:t>
            </w:r>
          </w:p>
        </w:tc>
        <w:tc>
          <w:tcPr>
            <w:tcW w:w="1031" w:type="dxa"/>
            <w:noWrap/>
            <w:hideMark/>
          </w:tcPr>
          <w:p w14:paraId="167D4640"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699±241a</w:t>
            </w:r>
          </w:p>
        </w:tc>
        <w:tc>
          <w:tcPr>
            <w:tcW w:w="1088" w:type="dxa"/>
            <w:noWrap/>
            <w:hideMark/>
          </w:tcPr>
          <w:p w14:paraId="5EFCCC6E" w14:textId="77777777" w:rsidR="00674764" w:rsidRPr="00674764" w:rsidRDefault="00674764" w:rsidP="00674764">
            <w:pPr>
              <w:spacing w:line="360" w:lineRule="auto"/>
              <w:jc w:val="both"/>
              <w:rPr>
                <w:rFonts w:ascii="Times New Roman" w:hAnsi="Times New Roman" w:cs="Times New Roman"/>
                <w:sz w:val="16"/>
                <w:szCs w:val="16"/>
                <w:vertAlign w:val="superscript"/>
              </w:rPr>
            </w:pPr>
            <w:r w:rsidRPr="00674764">
              <w:rPr>
                <w:rFonts w:ascii="Times New Roman" w:hAnsi="Times New Roman" w:cs="Times New Roman"/>
                <w:sz w:val="16"/>
                <w:szCs w:val="16"/>
              </w:rPr>
              <w:t>282±162ab</w:t>
            </w:r>
          </w:p>
        </w:tc>
        <w:tc>
          <w:tcPr>
            <w:tcW w:w="992" w:type="dxa"/>
            <w:noWrap/>
            <w:hideMark/>
          </w:tcPr>
          <w:p w14:paraId="233B873B"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noWrap/>
            <w:hideMark/>
          </w:tcPr>
          <w:p w14:paraId="3DBFB228"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77" w:type="dxa"/>
            <w:noWrap/>
            <w:hideMark/>
          </w:tcPr>
          <w:p w14:paraId="7E228C8F"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1008" w:type="dxa"/>
            <w:noWrap/>
            <w:hideMark/>
          </w:tcPr>
          <w:p w14:paraId="0E773699"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noWrap/>
            <w:hideMark/>
          </w:tcPr>
          <w:p w14:paraId="0E764DBF"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r>
      <w:tr w:rsidR="00674764" w:rsidRPr="00674764" w14:paraId="7DC0255E" w14:textId="77777777" w:rsidTr="00993D43">
        <w:tblPrEx>
          <w:jc w:val="center"/>
        </w:tblPrEx>
        <w:trPr>
          <w:trHeight w:val="540"/>
          <w:jc w:val="center"/>
        </w:trPr>
        <w:tc>
          <w:tcPr>
            <w:tcW w:w="1134" w:type="dxa"/>
          </w:tcPr>
          <w:p w14:paraId="42543539"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Bediala G</w:t>
            </w:r>
          </w:p>
        </w:tc>
        <w:tc>
          <w:tcPr>
            <w:tcW w:w="1000" w:type="dxa"/>
            <w:noWrap/>
          </w:tcPr>
          <w:p w14:paraId="338A96B6"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8329±4101abc</w:t>
            </w:r>
          </w:p>
        </w:tc>
        <w:tc>
          <w:tcPr>
            <w:tcW w:w="1031" w:type="dxa"/>
            <w:noWrap/>
          </w:tcPr>
          <w:p w14:paraId="66C49723"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8478±3205a</w:t>
            </w:r>
          </w:p>
        </w:tc>
        <w:tc>
          <w:tcPr>
            <w:tcW w:w="1088" w:type="dxa"/>
            <w:noWrap/>
          </w:tcPr>
          <w:p w14:paraId="1EE6FD72"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482±188ab</w:t>
            </w:r>
          </w:p>
        </w:tc>
        <w:tc>
          <w:tcPr>
            <w:tcW w:w="992" w:type="dxa"/>
            <w:noWrap/>
          </w:tcPr>
          <w:p w14:paraId="1E95CF30"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0±0a</w:t>
            </w:r>
          </w:p>
        </w:tc>
        <w:tc>
          <w:tcPr>
            <w:tcW w:w="992" w:type="dxa"/>
            <w:noWrap/>
          </w:tcPr>
          <w:p w14:paraId="743A36EE"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100±57a</w:t>
            </w:r>
          </w:p>
        </w:tc>
        <w:tc>
          <w:tcPr>
            <w:tcW w:w="977" w:type="dxa"/>
            <w:noWrap/>
          </w:tcPr>
          <w:p w14:paraId="785A4823"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494±347ab</w:t>
            </w:r>
          </w:p>
        </w:tc>
        <w:tc>
          <w:tcPr>
            <w:tcW w:w="1008" w:type="dxa"/>
            <w:noWrap/>
          </w:tcPr>
          <w:p w14:paraId="3A8E5456"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0±0a</w:t>
            </w:r>
          </w:p>
        </w:tc>
        <w:tc>
          <w:tcPr>
            <w:tcW w:w="992" w:type="dxa"/>
            <w:noWrap/>
          </w:tcPr>
          <w:p w14:paraId="01463732"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0±0a</w:t>
            </w:r>
          </w:p>
        </w:tc>
      </w:tr>
      <w:tr w:rsidR="00674764" w:rsidRPr="00674764" w14:paraId="0151BF1E" w14:textId="77777777" w:rsidTr="00993D43">
        <w:tblPrEx>
          <w:jc w:val="center"/>
        </w:tblPrEx>
        <w:trPr>
          <w:trHeight w:val="540"/>
          <w:jc w:val="center"/>
        </w:trPr>
        <w:tc>
          <w:tcPr>
            <w:tcW w:w="1134" w:type="dxa"/>
          </w:tcPr>
          <w:p w14:paraId="4F668DCC"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Gonate G</w:t>
            </w:r>
          </w:p>
        </w:tc>
        <w:tc>
          <w:tcPr>
            <w:tcW w:w="1000" w:type="dxa"/>
            <w:noWrap/>
          </w:tcPr>
          <w:p w14:paraId="2C5A99DC"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3148±603ab</w:t>
            </w:r>
          </w:p>
        </w:tc>
        <w:tc>
          <w:tcPr>
            <w:tcW w:w="1031" w:type="dxa"/>
            <w:noWrap/>
          </w:tcPr>
          <w:p w14:paraId="2ACD6317"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3148±57a</w:t>
            </w:r>
          </w:p>
        </w:tc>
        <w:tc>
          <w:tcPr>
            <w:tcW w:w="1088" w:type="dxa"/>
            <w:noWrap/>
          </w:tcPr>
          <w:p w14:paraId="245F3EDA"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386± 195ab</w:t>
            </w:r>
          </w:p>
        </w:tc>
        <w:tc>
          <w:tcPr>
            <w:tcW w:w="992" w:type="dxa"/>
            <w:noWrap/>
          </w:tcPr>
          <w:p w14:paraId="74FAEE55"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noWrap/>
          </w:tcPr>
          <w:p w14:paraId="59963B79"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77" w:type="dxa"/>
            <w:noWrap/>
          </w:tcPr>
          <w:p w14:paraId="73746FE3"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1008" w:type="dxa"/>
            <w:noWrap/>
          </w:tcPr>
          <w:p w14:paraId="54F55CFC"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noWrap/>
          </w:tcPr>
          <w:p w14:paraId="63FD23C2"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r>
      <w:tr w:rsidR="00674764" w:rsidRPr="00674764" w14:paraId="7351D0C6" w14:textId="77777777" w:rsidTr="00993D43">
        <w:tblPrEx>
          <w:jc w:val="center"/>
        </w:tblPrEx>
        <w:trPr>
          <w:trHeight w:val="540"/>
          <w:jc w:val="center"/>
        </w:trPr>
        <w:tc>
          <w:tcPr>
            <w:tcW w:w="1134" w:type="dxa"/>
          </w:tcPr>
          <w:p w14:paraId="381D9C1E"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Daloa G</w:t>
            </w:r>
          </w:p>
        </w:tc>
        <w:tc>
          <w:tcPr>
            <w:tcW w:w="1000" w:type="dxa"/>
            <w:noWrap/>
          </w:tcPr>
          <w:p w14:paraId="62FB09E8"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5774±2528abc</w:t>
            </w:r>
          </w:p>
        </w:tc>
        <w:tc>
          <w:tcPr>
            <w:tcW w:w="1031" w:type="dxa"/>
            <w:noWrap/>
          </w:tcPr>
          <w:p w14:paraId="53B7FADF"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7430±4981ab</w:t>
            </w:r>
          </w:p>
        </w:tc>
        <w:tc>
          <w:tcPr>
            <w:tcW w:w="1088" w:type="dxa"/>
            <w:noWrap/>
          </w:tcPr>
          <w:p w14:paraId="542024F0"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430±207ab</w:t>
            </w:r>
          </w:p>
        </w:tc>
        <w:tc>
          <w:tcPr>
            <w:tcW w:w="992" w:type="dxa"/>
            <w:noWrap/>
          </w:tcPr>
          <w:p w14:paraId="7035E28D"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277±270a</w:t>
            </w:r>
          </w:p>
        </w:tc>
        <w:tc>
          <w:tcPr>
            <w:tcW w:w="992" w:type="dxa"/>
            <w:noWrap/>
          </w:tcPr>
          <w:p w14:paraId="5E41337B"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260±31a</w:t>
            </w:r>
          </w:p>
        </w:tc>
        <w:tc>
          <w:tcPr>
            <w:tcW w:w="977" w:type="dxa"/>
            <w:noWrap/>
          </w:tcPr>
          <w:p w14:paraId="0660E40F"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934±270a</w:t>
            </w:r>
          </w:p>
        </w:tc>
        <w:tc>
          <w:tcPr>
            <w:tcW w:w="1008" w:type="dxa"/>
            <w:noWrap/>
          </w:tcPr>
          <w:p w14:paraId="4E19B5EA"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152±61ab</w:t>
            </w:r>
          </w:p>
        </w:tc>
        <w:tc>
          <w:tcPr>
            <w:tcW w:w="992" w:type="dxa"/>
            <w:noWrap/>
          </w:tcPr>
          <w:p w14:paraId="4B64C120"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556±83a</w:t>
            </w:r>
          </w:p>
        </w:tc>
      </w:tr>
      <w:tr w:rsidR="00674764" w:rsidRPr="00674764" w14:paraId="2417509E" w14:textId="77777777" w:rsidTr="00993D43">
        <w:tblPrEx>
          <w:jc w:val="center"/>
        </w:tblPrEx>
        <w:trPr>
          <w:trHeight w:val="540"/>
          <w:jc w:val="center"/>
        </w:trPr>
        <w:tc>
          <w:tcPr>
            <w:tcW w:w="1134" w:type="dxa"/>
          </w:tcPr>
          <w:p w14:paraId="24C32834"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Zaibo G</w:t>
            </w:r>
          </w:p>
        </w:tc>
        <w:tc>
          <w:tcPr>
            <w:tcW w:w="1000" w:type="dxa"/>
            <w:noWrap/>
          </w:tcPr>
          <w:p w14:paraId="6DEA187F"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Cs/>
                <w:sz w:val="16"/>
                <w:szCs w:val="16"/>
              </w:rPr>
              <w:t>3050±545ab</w:t>
            </w:r>
          </w:p>
        </w:tc>
        <w:tc>
          <w:tcPr>
            <w:tcW w:w="1031" w:type="dxa"/>
            <w:noWrap/>
          </w:tcPr>
          <w:p w14:paraId="48BAB686"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Cs/>
                <w:sz w:val="16"/>
                <w:szCs w:val="16"/>
              </w:rPr>
              <w:t>2228±637a</w:t>
            </w:r>
          </w:p>
        </w:tc>
        <w:tc>
          <w:tcPr>
            <w:tcW w:w="1088" w:type="dxa"/>
            <w:noWrap/>
          </w:tcPr>
          <w:p w14:paraId="3DF90C38"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Cs/>
                <w:sz w:val="16"/>
                <w:szCs w:val="16"/>
              </w:rPr>
              <w:t>221±15 a</w:t>
            </w:r>
          </w:p>
        </w:tc>
        <w:tc>
          <w:tcPr>
            <w:tcW w:w="992" w:type="dxa"/>
            <w:noWrap/>
          </w:tcPr>
          <w:p w14:paraId="16569C82"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noWrap/>
          </w:tcPr>
          <w:p w14:paraId="13BEEABD"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77" w:type="dxa"/>
            <w:noWrap/>
          </w:tcPr>
          <w:p w14:paraId="1E402164"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1863±1772 abc</w:t>
            </w:r>
          </w:p>
        </w:tc>
        <w:tc>
          <w:tcPr>
            <w:tcW w:w="1008" w:type="dxa"/>
            <w:noWrap/>
          </w:tcPr>
          <w:p w14:paraId="1D4DACCE"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noWrap/>
          </w:tcPr>
          <w:p w14:paraId="47EB2C82"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r>
      <w:tr w:rsidR="00674764" w:rsidRPr="00674764" w14:paraId="06977719" w14:textId="77777777" w:rsidTr="00993D43">
        <w:tblPrEx>
          <w:jc w:val="center"/>
        </w:tblPrEx>
        <w:trPr>
          <w:trHeight w:val="540"/>
          <w:jc w:val="center"/>
        </w:trPr>
        <w:tc>
          <w:tcPr>
            <w:tcW w:w="1134" w:type="dxa"/>
          </w:tcPr>
          <w:p w14:paraId="2D7C8BA0"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Gadouan G</w:t>
            </w:r>
          </w:p>
        </w:tc>
        <w:tc>
          <w:tcPr>
            <w:tcW w:w="1000" w:type="dxa"/>
            <w:noWrap/>
          </w:tcPr>
          <w:p w14:paraId="1E0544E1"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Cs/>
                <w:sz w:val="16"/>
                <w:szCs w:val="16"/>
              </w:rPr>
              <w:t>7386±4341 abc</w:t>
            </w:r>
          </w:p>
        </w:tc>
        <w:tc>
          <w:tcPr>
            <w:tcW w:w="1031" w:type="dxa"/>
            <w:noWrap/>
          </w:tcPr>
          <w:p w14:paraId="4B3037B7"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Cs/>
                <w:sz w:val="16"/>
                <w:szCs w:val="16"/>
              </w:rPr>
              <w:t>7591±4091a</w:t>
            </w:r>
          </w:p>
        </w:tc>
        <w:tc>
          <w:tcPr>
            <w:tcW w:w="1088" w:type="dxa"/>
            <w:noWrap/>
          </w:tcPr>
          <w:p w14:paraId="13D6485E"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Cs/>
                <w:sz w:val="16"/>
                <w:szCs w:val="16"/>
              </w:rPr>
              <w:t>164±50a</w:t>
            </w:r>
          </w:p>
        </w:tc>
        <w:tc>
          <w:tcPr>
            <w:tcW w:w="992" w:type="dxa"/>
            <w:noWrap/>
          </w:tcPr>
          <w:p w14:paraId="1EA2EC4E"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539±179ab</w:t>
            </w:r>
          </w:p>
        </w:tc>
        <w:tc>
          <w:tcPr>
            <w:tcW w:w="992" w:type="dxa"/>
            <w:noWrap/>
          </w:tcPr>
          <w:p w14:paraId="6B5041FA"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77" w:type="dxa"/>
            <w:noWrap/>
          </w:tcPr>
          <w:p w14:paraId="01000544"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4278±3813cd</w:t>
            </w:r>
          </w:p>
        </w:tc>
        <w:tc>
          <w:tcPr>
            <w:tcW w:w="1008" w:type="dxa"/>
            <w:noWrap/>
          </w:tcPr>
          <w:p w14:paraId="78D6B57A"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c>
          <w:tcPr>
            <w:tcW w:w="992" w:type="dxa"/>
            <w:noWrap/>
          </w:tcPr>
          <w:p w14:paraId="5FFCF6DD"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bCs/>
                <w:sz w:val="16"/>
                <w:szCs w:val="16"/>
              </w:rPr>
              <w:t>00±00 a</w:t>
            </w:r>
          </w:p>
        </w:tc>
      </w:tr>
      <w:tr w:rsidR="00674764" w:rsidRPr="00674764" w14:paraId="65C6A596" w14:textId="77777777" w:rsidTr="00993D43">
        <w:tblPrEx>
          <w:jc w:val="center"/>
        </w:tblPrEx>
        <w:trPr>
          <w:trHeight w:val="540"/>
          <w:jc w:val="center"/>
        </w:trPr>
        <w:tc>
          <w:tcPr>
            <w:tcW w:w="1134" w:type="dxa"/>
          </w:tcPr>
          <w:p w14:paraId="7BC0A264"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sz w:val="16"/>
                <w:szCs w:val="16"/>
              </w:rPr>
              <w:t>Gboguhe G</w:t>
            </w:r>
          </w:p>
        </w:tc>
        <w:tc>
          <w:tcPr>
            <w:tcW w:w="1000" w:type="dxa"/>
            <w:noWrap/>
          </w:tcPr>
          <w:p w14:paraId="2822CBE4"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2762±2224abc</w:t>
            </w:r>
          </w:p>
        </w:tc>
        <w:tc>
          <w:tcPr>
            <w:tcW w:w="1031" w:type="dxa"/>
            <w:noWrap/>
          </w:tcPr>
          <w:p w14:paraId="59F4C384"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2685±2043a</w:t>
            </w:r>
          </w:p>
        </w:tc>
        <w:tc>
          <w:tcPr>
            <w:tcW w:w="1088" w:type="dxa"/>
            <w:noWrap/>
          </w:tcPr>
          <w:p w14:paraId="1DFD890E"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sz w:val="16"/>
                <w:szCs w:val="16"/>
              </w:rPr>
              <w:t>1150±220abc</w:t>
            </w:r>
          </w:p>
        </w:tc>
        <w:tc>
          <w:tcPr>
            <w:tcW w:w="992" w:type="dxa"/>
            <w:noWrap/>
          </w:tcPr>
          <w:p w14:paraId="227F995B"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93±55ab</w:t>
            </w:r>
          </w:p>
        </w:tc>
        <w:tc>
          <w:tcPr>
            <w:tcW w:w="992" w:type="dxa"/>
            <w:noWrap/>
          </w:tcPr>
          <w:p w14:paraId="142B058A"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0±0a</w:t>
            </w:r>
          </w:p>
        </w:tc>
        <w:tc>
          <w:tcPr>
            <w:tcW w:w="977" w:type="dxa"/>
            <w:noWrap/>
          </w:tcPr>
          <w:p w14:paraId="51802B91"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92±2a</w:t>
            </w:r>
          </w:p>
        </w:tc>
        <w:tc>
          <w:tcPr>
            <w:tcW w:w="1008" w:type="dxa"/>
            <w:noWrap/>
          </w:tcPr>
          <w:p w14:paraId="3D142880"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0±0a</w:t>
            </w:r>
          </w:p>
        </w:tc>
        <w:tc>
          <w:tcPr>
            <w:tcW w:w="992" w:type="dxa"/>
            <w:noWrap/>
          </w:tcPr>
          <w:p w14:paraId="496293A3" w14:textId="77777777" w:rsidR="00674764" w:rsidRPr="00674764" w:rsidRDefault="00674764" w:rsidP="00674764">
            <w:pPr>
              <w:spacing w:line="360" w:lineRule="auto"/>
              <w:jc w:val="both"/>
              <w:rPr>
                <w:rFonts w:ascii="Times New Roman" w:hAnsi="Times New Roman" w:cs="Times New Roman"/>
                <w:bCs/>
                <w:sz w:val="16"/>
                <w:szCs w:val="16"/>
              </w:rPr>
            </w:pPr>
            <w:r w:rsidRPr="00674764">
              <w:rPr>
                <w:rFonts w:ascii="Times New Roman" w:hAnsi="Times New Roman" w:cs="Times New Roman"/>
                <w:sz w:val="16"/>
                <w:szCs w:val="16"/>
              </w:rPr>
              <w:t>0±0a</w:t>
            </w:r>
          </w:p>
        </w:tc>
      </w:tr>
      <w:tr w:rsidR="00674764" w:rsidRPr="00674764" w14:paraId="3EFDAEE3" w14:textId="77777777" w:rsidTr="00993D43">
        <w:tblPrEx>
          <w:jc w:val="center"/>
        </w:tblPrEx>
        <w:trPr>
          <w:trHeight w:val="540"/>
          <w:jc w:val="center"/>
        </w:trPr>
        <w:tc>
          <w:tcPr>
            <w:tcW w:w="1134" w:type="dxa"/>
            <w:tcBorders>
              <w:bottom w:val="single" w:sz="18" w:space="0" w:color="auto"/>
            </w:tcBorders>
          </w:tcPr>
          <w:p w14:paraId="10CB4F60" w14:textId="77777777" w:rsidR="00674764" w:rsidRPr="00674764" w:rsidRDefault="00674764" w:rsidP="00674764">
            <w:pPr>
              <w:spacing w:line="360" w:lineRule="auto"/>
              <w:jc w:val="both"/>
              <w:rPr>
                <w:rFonts w:ascii="Times New Roman" w:hAnsi="Times New Roman" w:cs="Times New Roman"/>
                <w:b/>
                <w:sz w:val="16"/>
                <w:szCs w:val="16"/>
              </w:rPr>
            </w:pPr>
            <w:r w:rsidRPr="00674764">
              <w:rPr>
                <w:rFonts w:ascii="Times New Roman" w:hAnsi="Times New Roman" w:cs="Times New Roman"/>
                <w:b/>
                <w:bCs/>
                <w:sz w:val="18"/>
                <w:szCs w:val="18"/>
              </w:rPr>
              <w:t>Criteria</w:t>
            </w:r>
          </w:p>
        </w:tc>
        <w:tc>
          <w:tcPr>
            <w:tcW w:w="1000" w:type="dxa"/>
            <w:tcBorders>
              <w:bottom w:val="single" w:sz="18" w:space="0" w:color="auto"/>
            </w:tcBorders>
            <w:noWrap/>
          </w:tcPr>
          <w:p w14:paraId="62B0CE38"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
                <w:bCs/>
                <w:sz w:val="18"/>
                <w:szCs w:val="18"/>
              </w:rPr>
              <w:t>m = 103 M = 105</w:t>
            </w:r>
          </w:p>
        </w:tc>
        <w:tc>
          <w:tcPr>
            <w:tcW w:w="1031" w:type="dxa"/>
            <w:tcBorders>
              <w:bottom w:val="single" w:sz="18" w:space="0" w:color="auto"/>
            </w:tcBorders>
            <w:noWrap/>
          </w:tcPr>
          <w:p w14:paraId="33E42AF6"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
                <w:bCs/>
                <w:sz w:val="18"/>
                <w:szCs w:val="18"/>
              </w:rPr>
              <w:t>m = 103 M = 105</w:t>
            </w:r>
          </w:p>
        </w:tc>
        <w:tc>
          <w:tcPr>
            <w:tcW w:w="1088" w:type="dxa"/>
            <w:tcBorders>
              <w:bottom w:val="single" w:sz="18" w:space="0" w:color="auto"/>
            </w:tcBorders>
            <w:noWrap/>
          </w:tcPr>
          <w:p w14:paraId="5350F96E"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
                <w:bCs/>
                <w:sz w:val="18"/>
                <w:szCs w:val="18"/>
              </w:rPr>
              <w:t>m = 103 M = 104</w:t>
            </w:r>
          </w:p>
        </w:tc>
        <w:tc>
          <w:tcPr>
            <w:tcW w:w="992" w:type="dxa"/>
            <w:tcBorders>
              <w:bottom w:val="single" w:sz="18" w:space="0" w:color="auto"/>
            </w:tcBorders>
            <w:noWrap/>
          </w:tcPr>
          <w:p w14:paraId="647DD789"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
                <w:bCs/>
                <w:sz w:val="18"/>
                <w:szCs w:val="18"/>
              </w:rPr>
              <w:t>m = 10 M = 102</w:t>
            </w:r>
          </w:p>
        </w:tc>
        <w:tc>
          <w:tcPr>
            <w:tcW w:w="992" w:type="dxa"/>
            <w:tcBorders>
              <w:bottom w:val="single" w:sz="18" w:space="0" w:color="auto"/>
            </w:tcBorders>
            <w:noWrap/>
          </w:tcPr>
          <w:p w14:paraId="4AC29629"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
                <w:bCs/>
                <w:sz w:val="18"/>
                <w:szCs w:val="18"/>
              </w:rPr>
              <w:t>m = 10 M = 102</w:t>
            </w:r>
          </w:p>
        </w:tc>
        <w:tc>
          <w:tcPr>
            <w:tcW w:w="977" w:type="dxa"/>
            <w:tcBorders>
              <w:bottom w:val="single" w:sz="18" w:space="0" w:color="auto"/>
            </w:tcBorders>
            <w:noWrap/>
          </w:tcPr>
          <w:p w14:paraId="2607723F"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
                <w:bCs/>
                <w:sz w:val="18"/>
                <w:szCs w:val="18"/>
              </w:rPr>
              <w:t>m = 102 M = 103</w:t>
            </w:r>
          </w:p>
        </w:tc>
        <w:tc>
          <w:tcPr>
            <w:tcW w:w="1008" w:type="dxa"/>
            <w:tcBorders>
              <w:bottom w:val="single" w:sz="18" w:space="0" w:color="auto"/>
            </w:tcBorders>
            <w:noWrap/>
          </w:tcPr>
          <w:p w14:paraId="06B69C14"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
                <w:bCs/>
                <w:sz w:val="18"/>
                <w:szCs w:val="18"/>
              </w:rPr>
              <w:t>Absence</w:t>
            </w:r>
          </w:p>
        </w:tc>
        <w:tc>
          <w:tcPr>
            <w:tcW w:w="992" w:type="dxa"/>
            <w:tcBorders>
              <w:bottom w:val="single" w:sz="18" w:space="0" w:color="auto"/>
            </w:tcBorders>
            <w:noWrap/>
          </w:tcPr>
          <w:p w14:paraId="268E5FCB" w14:textId="77777777" w:rsidR="00674764" w:rsidRPr="00674764" w:rsidRDefault="00674764" w:rsidP="00674764">
            <w:pPr>
              <w:spacing w:line="360" w:lineRule="auto"/>
              <w:jc w:val="both"/>
              <w:rPr>
                <w:rFonts w:ascii="Times New Roman" w:hAnsi="Times New Roman" w:cs="Times New Roman"/>
                <w:sz w:val="16"/>
                <w:szCs w:val="16"/>
              </w:rPr>
            </w:pPr>
            <w:r w:rsidRPr="00674764">
              <w:rPr>
                <w:rFonts w:ascii="Times New Roman" w:hAnsi="Times New Roman" w:cs="Times New Roman"/>
                <w:b/>
                <w:bCs/>
                <w:sz w:val="18"/>
                <w:szCs w:val="18"/>
              </w:rPr>
              <w:t>m = 1 M = 10</w:t>
            </w:r>
          </w:p>
        </w:tc>
      </w:tr>
    </w:tbl>
    <w:p w14:paraId="252B0086" w14:textId="77777777" w:rsidR="00674764" w:rsidRPr="00674764" w:rsidRDefault="00674764" w:rsidP="00674764">
      <w:pPr>
        <w:spacing w:after="0" w:line="240" w:lineRule="auto"/>
        <w:jc w:val="both"/>
        <w:rPr>
          <w:rFonts w:ascii="Times New Roman" w:hAnsi="Times New Roman" w:cs="Times New Roman"/>
          <w:sz w:val="18"/>
        </w:rPr>
      </w:pPr>
      <w:r w:rsidRPr="00674764">
        <w:rPr>
          <w:rFonts w:ascii="Times New Roman" w:hAnsi="Times New Roman" w:cs="Times New Roman"/>
          <w:sz w:val="18"/>
        </w:rPr>
        <w:t>G: Gnamankoudji</w:t>
      </w:r>
    </w:p>
    <w:p w14:paraId="7DBFE825" w14:textId="77777777" w:rsidR="00674764" w:rsidRPr="00674764" w:rsidRDefault="00674764" w:rsidP="00674764">
      <w:pPr>
        <w:spacing w:after="0" w:line="240" w:lineRule="auto"/>
        <w:jc w:val="both"/>
        <w:rPr>
          <w:rFonts w:ascii="Times New Roman" w:hAnsi="Times New Roman" w:cs="Times New Roman"/>
        </w:rPr>
      </w:pPr>
      <w:r w:rsidRPr="00674764">
        <w:rPr>
          <w:rFonts w:ascii="Times New Roman" w:hAnsi="Times New Roman" w:cs="Times New Roman"/>
          <w:sz w:val="18"/>
        </w:rPr>
        <w:t>B: Bissap</w:t>
      </w:r>
    </w:p>
    <w:p w14:paraId="4639E0FB" w14:textId="77777777" w:rsidR="00674764" w:rsidRPr="00674764" w:rsidRDefault="00674764" w:rsidP="00674764">
      <w:pPr>
        <w:spacing w:line="240" w:lineRule="auto"/>
        <w:jc w:val="both"/>
        <w:rPr>
          <w:rFonts w:ascii="Times New Roman" w:hAnsi="Times New Roman" w:cs="Times New Roman"/>
          <w:sz w:val="24"/>
        </w:rPr>
      </w:pPr>
      <w:r w:rsidRPr="00674764">
        <w:rPr>
          <w:rFonts w:ascii="Times New Roman" w:hAnsi="Times New Roman" w:cs="Times New Roman"/>
        </w:rPr>
        <w:t>Values ​​with the same letters are not significantly different (p&gt;0.05</w:t>
      </w:r>
      <w:r w:rsidRPr="00674764">
        <w:rPr>
          <w:rFonts w:ascii="Times New Roman" w:hAnsi="Times New Roman" w:cs="Times New Roman"/>
          <w:sz w:val="24"/>
        </w:rPr>
        <w:t>).</w:t>
      </w:r>
      <w:bookmarkStart w:id="8" w:name="_Toc218542009"/>
    </w:p>
    <w:p w14:paraId="3578DBAB" w14:textId="64D30B6D" w:rsidR="00674764" w:rsidRPr="00674764" w:rsidRDefault="00674764" w:rsidP="00674764">
      <w:pPr>
        <w:spacing w:line="360" w:lineRule="auto"/>
        <w:jc w:val="both"/>
        <w:rPr>
          <w:rFonts w:ascii="Times New Roman" w:hAnsi="Times New Roman" w:cs="Times New Roman"/>
          <w:iCs/>
          <w:sz w:val="24"/>
        </w:rPr>
      </w:pPr>
      <w:r>
        <w:rPr>
          <w:rFonts w:ascii="Times New Roman" w:hAnsi="Times New Roman" w:cs="Times New Roman"/>
          <w:iCs/>
          <w:sz w:val="24"/>
        </w:rPr>
        <w:t>Table</w:t>
      </w:r>
      <w:r w:rsidR="00326BE0">
        <w:rPr>
          <w:rFonts w:ascii="Times New Roman" w:hAnsi="Times New Roman" w:cs="Times New Roman"/>
          <w:iCs/>
          <w:sz w:val="24"/>
        </w:rPr>
        <w:t xml:space="preserve"> 3</w:t>
      </w:r>
      <w:r>
        <w:rPr>
          <w:rFonts w:ascii="Times New Roman" w:hAnsi="Times New Roman" w:cs="Times New Roman"/>
          <w:sz w:val="24"/>
        </w:rPr>
        <w:t xml:space="preserve"> : </w:t>
      </w:r>
      <w:r w:rsidRPr="00674764">
        <w:rPr>
          <w:rFonts w:ascii="Times New Roman" w:hAnsi="Times New Roman" w:cs="Times New Roman"/>
          <w:iCs/>
          <w:sz w:val="24"/>
        </w:rPr>
        <w:t xml:space="preserve">Presence of suspected strains of </w:t>
      </w:r>
      <w:r w:rsidRPr="00674764">
        <w:rPr>
          <w:rFonts w:ascii="Times New Roman" w:hAnsi="Times New Roman" w:cs="Times New Roman"/>
          <w:i/>
          <w:iCs/>
          <w:sz w:val="24"/>
        </w:rPr>
        <w:t>Listeria monocytogenes</w:t>
      </w:r>
      <w:r w:rsidRPr="00674764">
        <w:rPr>
          <w:rFonts w:ascii="Times New Roman" w:hAnsi="Times New Roman" w:cs="Times New Roman"/>
          <w:iCs/>
          <w:sz w:val="24"/>
        </w:rPr>
        <w:t xml:space="preserve"> and </w:t>
      </w:r>
      <w:r w:rsidRPr="00674764">
        <w:rPr>
          <w:rFonts w:ascii="Times New Roman" w:hAnsi="Times New Roman" w:cs="Times New Roman"/>
          <w:i/>
          <w:iCs/>
          <w:sz w:val="24"/>
        </w:rPr>
        <w:t xml:space="preserve">Bacillus cereus </w:t>
      </w:r>
      <w:r w:rsidRPr="00674764">
        <w:rPr>
          <w:rFonts w:ascii="Times New Roman" w:hAnsi="Times New Roman" w:cs="Times New Roman"/>
          <w:iCs/>
          <w:sz w:val="24"/>
        </w:rPr>
        <w:t>in Gnamankoudji and Bissap</w:t>
      </w:r>
      <w:bookmarkEnd w:id="8"/>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871"/>
        <w:gridCol w:w="90"/>
        <w:gridCol w:w="2859"/>
        <w:gridCol w:w="273"/>
        <w:gridCol w:w="1443"/>
        <w:gridCol w:w="158"/>
        <w:gridCol w:w="2358"/>
        <w:gridCol w:w="10"/>
      </w:tblGrid>
      <w:tr w:rsidR="00674764" w:rsidRPr="00674764" w14:paraId="63C5C1AF" w14:textId="77777777" w:rsidTr="00993D43">
        <w:trPr>
          <w:gridAfter w:val="1"/>
          <w:wAfter w:w="10" w:type="dxa"/>
        </w:trPr>
        <w:tc>
          <w:tcPr>
            <w:tcW w:w="1971" w:type="dxa"/>
            <w:gridSpan w:val="3"/>
            <w:tcBorders>
              <w:top w:val="single" w:sz="18" w:space="0" w:color="auto"/>
              <w:bottom w:val="single" w:sz="18" w:space="0" w:color="auto"/>
            </w:tcBorders>
          </w:tcPr>
          <w:p w14:paraId="78900AD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Study areas</w:t>
            </w:r>
          </w:p>
        </w:tc>
        <w:tc>
          <w:tcPr>
            <w:tcW w:w="2859" w:type="dxa"/>
            <w:tcBorders>
              <w:top w:val="single" w:sz="18" w:space="0" w:color="auto"/>
              <w:bottom w:val="single" w:sz="18" w:space="0" w:color="auto"/>
            </w:tcBorders>
          </w:tcPr>
          <w:p w14:paraId="48FC73CE"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Samples</w:t>
            </w:r>
          </w:p>
        </w:tc>
        <w:tc>
          <w:tcPr>
            <w:tcW w:w="1874" w:type="dxa"/>
            <w:gridSpan w:val="3"/>
            <w:tcBorders>
              <w:top w:val="single" w:sz="18" w:space="0" w:color="auto"/>
              <w:bottom w:val="single" w:sz="18" w:space="0" w:color="auto"/>
            </w:tcBorders>
          </w:tcPr>
          <w:p w14:paraId="17F38B5E"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
                <w:iCs/>
                <w:sz w:val="18"/>
              </w:rPr>
              <w:t>Bacillus cereus</w:t>
            </w:r>
          </w:p>
        </w:tc>
        <w:tc>
          <w:tcPr>
            <w:tcW w:w="2358" w:type="dxa"/>
            <w:tcBorders>
              <w:top w:val="single" w:sz="18" w:space="0" w:color="auto"/>
              <w:bottom w:val="single" w:sz="18" w:space="0" w:color="auto"/>
            </w:tcBorders>
          </w:tcPr>
          <w:p w14:paraId="75364D5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
                <w:iCs/>
                <w:sz w:val="18"/>
              </w:rPr>
              <w:t>Listeria monocytogenes</w:t>
            </w:r>
          </w:p>
          <w:p w14:paraId="3F420BA6" w14:textId="77777777" w:rsidR="00674764" w:rsidRPr="00674764" w:rsidRDefault="00674764" w:rsidP="00674764">
            <w:pPr>
              <w:tabs>
                <w:tab w:val="left" w:pos="7991"/>
              </w:tabs>
              <w:spacing w:line="360" w:lineRule="auto"/>
              <w:jc w:val="both"/>
              <w:rPr>
                <w:rFonts w:ascii="Times New Roman" w:hAnsi="Times New Roman" w:cs="Times New Roman"/>
                <w:i/>
                <w:iCs/>
                <w:sz w:val="18"/>
              </w:rPr>
            </w:pPr>
          </w:p>
        </w:tc>
      </w:tr>
      <w:tr w:rsidR="00674764" w:rsidRPr="00674764" w14:paraId="33D6C1A6" w14:textId="77777777" w:rsidTr="00993D43">
        <w:trPr>
          <w:gridAfter w:val="1"/>
          <w:wAfter w:w="10" w:type="dxa"/>
        </w:trPr>
        <w:tc>
          <w:tcPr>
            <w:tcW w:w="1971" w:type="dxa"/>
            <w:gridSpan w:val="3"/>
            <w:tcBorders>
              <w:top w:val="single" w:sz="18" w:space="0" w:color="auto"/>
            </w:tcBorders>
          </w:tcPr>
          <w:p w14:paraId="34A4435F"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Borders>
              <w:top w:val="single" w:sz="18" w:space="0" w:color="auto"/>
            </w:tcBorders>
          </w:tcPr>
          <w:p w14:paraId="1CB9637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677 B</w:t>
            </w:r>
          </w:p>
          <w:p w14:paraId="0F29787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677 G</w:t>
            </w:r>
          </w:p>
        </w:tc>
        <w:tc>
          <w:tcPr>
            <w:tcW w:w="1874" w:type="dxa"/>
            <w:gridSpan w:val="3"/>
            <w:tcBorders>
              <w:top w:val="single" w:sz="18" w:space="0" w:color="auto"/>
            </w:tcBorders>
          </w:tcPr>
          <w:p w14:paraId="44FE40F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90F539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Borders>
              <w:top w:val="single" w:sz="18" w:space="0" w:color="auto"/>
            </w:tcBorders>
          </w:tcPr>
          <w:p w14:paraId="0C06BE7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9C5C9AC"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vertAlign w:val="superscript"/>
              </w:rPr>
              <w:t>+</w:t>
            </w:r>
          </w:p>
        </w:tc>
      </w:tr>
      <w:tr w:rsidR="00674764" w:rsidRPr="00674764" w14:paraId="75356287" w14:textId="77777777" w:rsidTr="00993D43">
        <w:trPr>
          <w:gridAfter w:val="1"/>
          <w:wAfter w:w="10" w:type="dxa"/>
        </w:trPr>
        <w:tc>
          <w:tcPr>
            <w:tcW w:w="1971" w:type="dxa"/>
            <w:gridSpan w:val="3"/>
          </w:tcPr>
          <w:p w14:paraId="50CFC203"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4D52DC9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672 B</w:t>
            </w:r>
          </w:p>
          <w:p w14:paraId="7EE524C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672 G</w:t>
            </w:r>
          </w:p>
        </w:tc>
        <w:tc>
          <w:tcPr>
            <w:tcW w:w="1874" w:type="dxa"/>
            <w:gridSpan w:val="3"/>
          </w:tcPr>
          <w:p w14:paraId="37BFFE2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B8598F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Pr>
          <w:p w14:paraId="2F4B5A63"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8D7431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r>
      <w:tr w:rsidR="00674764" w:rsidRPr="00674764" w14:paraId="18065A3D" w14:textId="77777777" w:rsidTr="00993D43">
        <w:trPr>
          <w:gridAfter w:val="1"/>
          <w:wAfter w:w="10" w:type="dxa"/>
        </w:trPr>
        <w:tc>
          <w:tcPr>
            <w:tcW w:w="1971" w:type="dxa"/>
            <w:gridSpan w:val="3"/>
          </w:tcPr>
          <w:p w14:paraId="1C11D672"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735CA19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674 B</w:t>
            </w:r>
          </w:p>
          <w:p w14:paraId="43AEFC7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674 G</w:t>
            </w:r>
          </w:p>
        </w:tc>
        <w:tc>
          <w:tcPr>
            <w:tcW w:w="1874" w:type="dxa"/>
            <w:gridSpan w:val="3"/>
          </w:tcPr>
          <w:p w14:paraId="2B180B1E"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46F45FB"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Pr>
          <w:p w14:paraId="4BDC7DFB"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4D9F12E"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57E43079" w14:textId="77777777" w:rsidTr="00993D43">
        <w:trPr>
          <w:gridAfter w:val="1"/>
          <w:wAfter w:w="10" w:type="dxa"/>
        </w:trPr>
        <w:tc>
          <w:tcPr>
            <w:tcW w:w="1971" w:type="dxa"/>
            <w:gridSpan w:val="3"/>
          </w:tcPr>
          <w:p w14:paraId="46C0988C"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65A90A2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920 G</w:t>
            </w:r>
          </w:p>
          <w:p w14:paraId="20F74519"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920 B</w:t>
            </w:r>
          </w:p>
        </w:tc>
        <w:tc>
          <w:tcPr>
            <w:tcW w:w="1874" w:type="dxa"/>
            <w:gridSpan w:val="3"/>
          </w:tcPr>
          <w:p w14:paraId="49229C22"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4FCCAC34"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Pr>
          <w:p w14:paraId="79F71749"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174547E7"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47D649A2" w14:textId="77777777" w:rsidTr="00993D43">
        <w:trPr>
          <w:gridAfter w:val="1"/>
          <w:wAfter w:w="10" w:type="dxa"/>
        </w:trPr>
        <w:tc>
          <w:tcPr>
            <w:tcW w:w="1971" w:type="dxa"/>
            <w:gridSpan w:val="3"/>
          </w:tcPr>
          <w:p w14:paraId="68247DB4"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5AF743D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1575 B</w:t>
            </w:r>
          </w:p>
          <w:p w14:paraId="5AF3A7E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1575 G</w:t>
            </w:r>
          </w:p>
        </w:tc>
        <w:tc>
          <w:tcPr>
            <w:tcW w:w="1874" w:type="dxa"/>
            <w:gridSpan w:val="3"/>
          </w:tcPr>
          <w:p w14:paraId="507D970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D18756E"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Pr>
          <w:p w14:paraId="2E5E078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852B42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r>
      <w:tr w:rsidR="00674764" w:rsidRPr="00674764" w14:paraId="1771EBB6" w14:textId="77777777" w:rsidTr="00993D43">
        <w:trPr>
          <w:gridAfter w:val="1"/>
          <w:wAfter w:w="10" w:type="dxa"/>
        </w:trPr>
        <w:tc>
          <w:tcPr>
            <w:tcW w:w="1971" w:type="dxa"/>
            <w:gridSpan w:val="3"/>
          </w:tcPr>
          <w:p w14:paraId="02D3A34C"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0C2C4D1D"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675 G</w:t>
            </w:r>
          </w:p>
          <w:p w14:paraId="1A97155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675 B</w:t>
            </w:r>
          </w:p>
        </w:tc>
        <w:tc>
          <w:tcPr>
            <w:tcW w:w="1874" w:type="dxa"/>
            <w:gridSpan w:val="3"/>
          </w:tcPr>
          <w:p w14:paraId="311AD09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CBFFBB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Pr>
          <w:p w14:paraId="1C28840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95E7316"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001FF76B" w14:textId="77777777" w:rsidTr="00993D43">
        <w:trPr>
          <w:gridAfter w:val="1"/>
          <w:wAfter w:w="10" w:type="dxa"/>
        </w:trPr>
        <w:tc>
          <w:tcPr>
            <w:tcW w:w="1971" w:type="dxa"/>
            <w:gridSpan w:val="3"/>
          </w:tcPr>
          <w:p w14:paraId="086C5AFF"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3FEB8CC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2532 G</w:t>
            </w:r>
          </w:p>
          <w:p w14:paraId="4A8390B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2532 B</w:t>
            </w:r>
          </w:p>
        </w:tc>
        <w:tc>
          <w:tcPr>
            <w:tcW w:w="1874" w:type="dxa"/>
            <w:gridSpan w:val="3"/>
          </w:tcPr>
          <w:p w14:paraId="3453BD0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0B88B69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Pr>
          <w:p w14:paraId="16D1F6BB"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0FF33409"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r>
      <w:tr w:rsidR="00674764" w:rsidRPr="00674764" w14:paraId="46A451B0" w14:textId="77777777" w:rsidTr="00993D43">
        <w:trPr>
          <w:gridAfter w:val="1"/>
          <w:wAfter w:w="10" w:type="dxa"/>
        </w:trPr>
        <w:tc>
          <w:tcPr>
            <w:tcW w:w="1971" w:type="dxa"/>
            <w:gridSpan w:val="3"/>
          </w:tcPr>
          <w:p w14:paraId="6563758C"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33A1661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294 G</w:t>
            </w:r>
          </w:p>
          <w:p w14:paraId="51D717C3"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294 B</w:t>
            </w:r>
          </w:p>
        </w:tc>
        <w:tc>
          <w:tcPr>
            <w:tcW w:w="1874" w:type="dxa"/>
            <w:gridSpan w:val="3"/>
          </w:tcPr>
          <w:p w14:paraId="43B77AA4"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0E8C782"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2D3AAF94"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3F6E833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0DAD2655"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p>
        </w:tc>
      </w:tr>
      <w:tr w:rsidR="00674764" w:rsidRPr="00674764" w14:paraId="1AD06795" w14:textId="77777777" w:rsidTr="00993D43">
        <w:trPr>
          <w:gridAfter w:val="1"/>
          <w:wAfter w:w="10" w:type="dxa"/>
        </w:trPr>
        <w:tc>
          <w:tcPr>
            <w:tcW w:w="1971" w:type="dxa"/>
            <w:gridSpan w:val="3"/>
          </w:tcPr>
          <w:p w14:paraId="28DE995E"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7EAE691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2790 B</w:t>
            </w:r>
          </w:p>
          <w:p w14:paraId="04035FB2"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2790 G</w:t>
            </w:r>
          </w:p>
        </w:tc>
        <w:tc>
          <w:tcPr>
            <w:tcW w:w="1874" w:type="dxa"/>
            <w:gridSpan w:val="3"/>
          </w:tcPr>
          <w:p w14:paraId="107AE15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523B0DA"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55448AC3"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418C467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3D770A3C"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p>
        </w:tc>
      </w:tr>
      <w:tr w:rsidR="00674764" w:rsidRPr="00674764" w14:paraId="2C2D21D0" w14:textId="77777777" w:rsidTr="00993D43">
        <w:trPr>
          <w:gridAfter w:val="1"/>
          <w:wAfter w:w="10" w:type="dxa"/>
        </w:trPr>
        <w:tc>
          <w:tcPr>
            <w:tcW w:w="1971" w:type="dxa"/>
            <w:gridSpan w:val="3"/>
          </w:tcPr>
          <w:p w14:paraId="4822730E"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lastRenderedPageBreak/>
              <w:t>Daloa</w:t>
            </w:r>
          </w:p>
        </w:tc>
        <w:tc>
          <w:tcPr>
            <w:tcW w:w="2859" w:type="dxa"/>
          </w:tcPr>
          <w:p w14:paraId="6CA4B534"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667 B</w:t>
            </w:r>
          </w:p>
          <w:p w14:paraId="05C872E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667 G</w:t>
            </w:r>
          </w:p>
        </w:tc>
        <w:tc>
          <w:tcPr>
            <w:tcW w:w="1874" w:type="dxa"/>
            <w:gridSpan w:val="3"/>
          </w:tcPr>
          <w:p w14:paraId="75ED71EB"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31382854"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526FDDFB"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28A3BA41"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1373F337" w14:textId="77777777" w:rsidTr="00993D43">
        <w:trPr>
          <w:gridAfter w:val="1"/>
          <w:wAfter w:w="10" w:type="dxa"/>
        </w:trPr>
        <w:tc>
          <w:tcPr>
            <w:tcW w:w="1971" w:type="dxa"/>
            <w:gridSpan w:val="3"/>
          </w:tcPr>
          <w:p w14:paraId="5A76E601"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1E628C1B"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2679 B</w:t>
            </w:r>
          </w:p>
          <w:p w14:paraId="45A5B62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2679 G</w:t>
            </w:r>
          </w:p>
        </w:tc>
        <w:tc>
          <w:tcPr>
            <w:tcW w:w="1874" w:type="dxa"/>
            <w:gridSpan w:val="3"/>
          </w:tcPr>
          <w:p w14:paraId="014B02C4"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35B5DCF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Pr>
          <w:p w14:paraId="1CE9C4D3"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4F30853A"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1D973EFA" w14:textId="77777777" w:rsidTr="00993D43">
        <w:trPr>
          <w:gridAfter w:val="1"/>
          <w:wAfter w:w="10" w:type="dxa"/>
        </w:trPr>
        <w:tc>
          <w:tcPr>
            <w:tcW w:w="1971" w:type="dxa"/>
            <w:gridSpan w:val="3"/>
          </w:tcPr>
          <w:p w14:paraId="62464318"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3C88DFD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2680 B</w:t>
            </w:r>
          </w:p>
          <w:p w14:paraId="69FEFE3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2680 G</w:t>
            </w:r>
          </w:p>
        </w:tc>
        <w:tc>
          <w:tcPr>
            <w:tcW w:w="1874" w:type="dxa"/>
            <w:gridSpan w:val="3"/>
          </w:tcPr>
          <w:p w14:paraId="766B3AAD"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0AB6EF9E"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2713421D"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28DC117A"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614E48ED" w14:textId="77777777" w:rsidTr="00993D43">
        <w:trPr>
          <w:gridAfter w:val="1"/>
          <w:wAfter w:w="10" w:type="dxa"/>
        </w:trPr>
        <w:tc>
          <w:tcPr>
            <w:tcW w:w="1971" w:type="dxa"/>
            <w:gridSpan w:val="3"/>
          </w:tcPr>
          <w:p w14:paraId="4E57C580"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1840A0A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684 B</w:t>
            </w:r>
          </w:p>
          <w:p w14:paraId="0261239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684 G</w:t>
            </w:r>
          </w:p>
        </w:tc>
        <w:tc>
          <w:tcPr>
            <w:tcW w:w="1874" w:type="dxa"/>
            <w:gridSpan w:val="3"/>
          </w:tcPr>
          <w:p w14:paraId="639FB67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0127E62D"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72B608E3"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4C7FE3AD"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2CED95A9" w14:textId="77777777" w:rsidTr="00993D43">
        <w:trPr>
          <w:gridAfter w:val="1"/>
          <w:wAfter w:w="10" w:type="dxa"/>
        </w:trPr>
        <w:tc>
          <w:tcPr>
            <w:tcW w:w="1971" w:type="dxa"/>
            <w:gridSpan w:val="3"/>
          </w:tcPr>
          <w:p w14:paraId="13508737"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135FF7A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214 B</w:t>
            </w:r>
          </w:p>
          <w:p w14:paraId="63ACEE73"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214 G</w:t>
            </w:r>
          </w:p>
        </w:tc>
        <w:tc>
          <w:tcPr>
            <w:tcW w:w="1874" w:type="dxa"/>
            <w:gridSpan w:val="3"/>
          </w:tcPr>
          <w:p w14:paraId="7C44ACBB"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1A384E8"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292EA59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D93DF61"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719B09D6" w14:textId="77777777" w:rsidTr="00993D43">
        <w:trPr>
          <w:gridAfter w:val="1"/>
          <w:wAfter w:w="10" w:type="dxa"/>
        </w:trPr>
        <w:tc>
          <w:tcPr>
            <w:tcW w:w="1971" w:type="dxa"/>
            <w:gridSpan w:val="3"/>
          </w:tcPr>
          <w:p w14:paraId="31932CF7"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7630DEE3"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290 B</w:t>
            </w:r>
          </w:p>
          <w:p w14:paraId="4BE39E8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290 G</w:t>
            </w:r>
          </w:p>
        </w:tc>
        <w:tc>
          <w:tcPr>
            <w:tcW w:w="1874" w:type="dxa"/>
            <w:gridSpan w:val="3"/>
          </w:tcPr>
          <w:p w14:paraId="764588D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49EA9B8"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35E1D1F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334177BB"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0603AC83" w14:textId="77777777" w:rsidTr="00993D43">
        <w:trPr>
          <w:gridAfter w:val="1"/>
          <w:wAfter w:w="10" w:type="dxa"/>
        </w:trPr>
        <w:tc>
          <w:tcPr>
            <w:tcW w:w="1971" w:type="dxa"/>
            <w:gridSpan w:val="3"/>
          </w:tcPr>
          <w:p w14:paraId="63D54CD4"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08F1450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2483 B</w:t>
            </w:r>
          </w:p>
          <w:p w14:paraId="2AF2A3A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2483 G</w:t>
            </w:r>
          </w:p>
        </w:tc>
        <w:tc>
          <w:tcPr>
            <w:tcW w:w="1874" w:type="dxa"/>
            <w:gridSpan w:val="3"/>
          </w:tcPr>
          <w:p w14:paraId="397CB2F4"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FEA1573"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5245E2A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E15D11A"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552F67BA" w14:textId="77777777" w:rsidTr="00993D43">
        <w:trPr>
          <w:gridAfter w:val="1"/>
          <w:wAfter w:w="10" w:type="dxa"/>
        </w:trPr>
        <w:tc>
          <w:tcPr>
            <w:tcW w:w="1971" w:type="dxa"/>
            <w:gridSpan w:val="3"/>
          </w:tcPr>
          <w:p w14:paraId="55FDDDCD"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0732F4DE"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680 B</w:t>
            </w:r>
          </w:p>
          <w:p w14:paraId="48E891A2"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680 G</w:t>
            </w:r>
          </w:p>
        </w:tc>
        <w:tc>
          <w:tcPr>
            <w:tcW w:w="1874" w:type="dxa"/>
            <w:gridSpan w:val="3"/>
          </w:tcPr>
          <w:p w14:paraId="1D27DB6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1D18D94F"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c>
          <w:tcPr>
            <w:tcW w:w="2358" w:type="dxa"/>
          </w:tcPr>
          <w:p w14:paraId="5D556BD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3116DD2A"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3DD391DE" w14:textId="77777777" w:rsidTr="00993D43">
        <w:trPr>
          <w:gridAfter w:val="1"/>
          <w:wAfter w:w="10" w:type="dxa"/>
        </w:trPr>
        <w:tc>
          <w:tcPr>
            <w:tcW w:w="1971" w:type="dxa"/>
            <w:gridSpan w:val="3"/>
            <w:tcBorders>
              <w:top w:val="single" w:sz="18" w:space="0" w:color="auto"/>
            </w:tcBorders>
          </w:tcPr>
          <w:p w14:paraId="16AB31C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Gboguhe</w:t>
            </w:r>
          </w:p>
        </w:tc>
        <w:tc>
          <w:tcPr>
            <w:tcW w:w="2859" w:type="dxa"/>
            <w:tcBorders>
              <w:top w:val="single" w:sz="18" w:space="0" w:color="auto"/>
            </w:tcBorders>
          </w:tcPr>
          <w:p w14:paraId="40A04AC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1663 G</w:t>
            </w:r>
          </w:p>
          <w:p w14:paraId="606248D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1663 B</w:t>
            </w:r>
          </w:p>
          <w:p w14:paraId="3591BDB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300g</w:t>
            </w:r>
          </w:p>
          <w:p w14:paraId="3329071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300 B</w:t>
            </w:r>
          </w:p>
        </w:tc>
        <w:tc>
          <w:tcPr>
            <w:tcW w:w="1874" w:type="dxa"/>
            <w:gridSpan w:val="3"/>
            <w:tcBorders>
              <w:top w:val="single" w:sz="18" w:space="0" w:color="auto"/>
            </w:tcBorders>
          </w:tcPr>
          <w:p w14:paraId="48024B8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1B1981F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3C9CCD5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67E0A79"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0C64A092"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358" w:type="dxa"/>
            <w:tcBorders>
              <w:top w:val="single" w:sz="18" w:space="0" w:color="auto"/>
            </w:tcBorders>
          </w:tcPr>
          <w:p w14:paraId="0B70C80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00B55C0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4897481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EB556E5"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43280CDC" w14:textId="77777777" w:rsidTr="00993D43">
        <w:trPr>
          <w:gridAfter w:val="1"/>
          <w:wAfter w:w="10" w:type="dxa"/>
          <w:trHeight w:val="559"/>
        </w:trPr>
        <w:tc>
          <w:tcPr>
            <w:tcW w:w="1971" w:type="dxa"/>
            <w:gridSpan w:val="3"/>
          </w:tcPr>
          <w:p w14:paraId="788FC318"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Pr>
          <w:p w14:paraId="3E3C5A9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38 G</w:t>
            </w:r>
          </w:p>
          <w:p w14:paraId="2C6B476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38 B</w:t>
            </w:r>
          </w:p>
        </w:tc>
        <w:tc>
          <w:tcPr>
            <w:tcW w:w="1874" w:type="dxa"/>
            <w:gridSpan w:val="3"/>
          </w:tcPr>
          <w:p w14:paraId="2A9F8613" w14:textId="77777777" w:rsidR="00674764" w:rsidRPr="00674764" w:rsidRDefault="00674764" w:rsidP="00674764">
            <w:pPr>
              <w:tabs>
                <w:tab w:val="left" w:pos="795"/>
                <w:tab w:val="center" w:pos="829"/>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vertAlign w:val="superscript"/>
              </w:rPr>
              <w:tab/>
            </w:r>
            <w:r w:rsidRPr="00674764">
              <w:rPr>
                <w:rFonts w:ascii="Times New Roman" w:hAnsi="Times New Roman" w:cs="Times New Roman"/>
                <w:iCs/>
                <w:sz w:val="18"/>
                <w:vertAlign w:val="superscript"/>
              </w:rPr>
              <w:tab/>
            </w:r>
            <w:r w:rsidRPr="00674764">
              <w:rPr>
                <w:rFonts w:ascii="Times New Roman" w:hAnsi="Times New Roman" w:cs="Times New Roman"/>
                <w:iCs/>
                <w:sz w:val="18"/>
              </w:rPr>
              <w:t>-</w:t>
            </w:r>
          </w:p>
          <w:p w14:paraId="44E75534"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9BC7E9C"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p>
        </w:tc>
        <w:tc>
          <w:tcPr>
            <w:tcW w:w="2358" w:type="dxa"/>
          </w:tcPr>
          <w:p w14:paraId="4F5214E4"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1AF8502A"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vertAlign w:val="superscript"/>
              </w:rPr>
              <w:t>-</w:t>
            </w:r>
          </w:p>
        </w:tc>
      </w:tr>
      <w:tr w:rsidR="00674764" w:rsidRPr="00674764" w14:paraId="78F437B6" w14:textId="77777777" w:rsidTr="00993D43">
        <w:trPr>
          <w:gridAfter w:val="1"/>
          <w:wAfter w:w="10" w:type="dxa"/>
        </w:trPr>
        <w:tc>
          <w:tcPr>
            <w:tcW w:w="1971" w:type="dxa"/>
            <w:gridSpan w:val="3"/>
            <w:tcBorders>
              <w:top w:val="single" w:sz="18" w:space="0" w:color="auto"/>
            </w:tcBorders>
          </w:tcPr>
          <w:p w14:paraId="72823733"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859" w:type="dxa"/>
            <w:tcBorders>
              <w:top w:val="single" w:sz="18" w:space="0" w:color="auto"/>
            </w:tcBorders>
          </w:tcPr>
          <w:p w14:paraId="088C933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666 G</w:t>
            </w:r>
          </w:p>
          <w:p w14:paraId="13F8903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666 B</w:t>
            </w:r>
          </w:p>
        </w:tc>
        <w:tc>
          <w:tcPr>
            <w:tcW w:w="1874" w:type="dxa"/>
            <w:gridSpan w:val="3"/>
            <w:tcBorders>
              <w:top w:val="single" w:sz="18" w:space="0" w:color="auto"/>
            </w:tcBorders>
          </w:tcPr>
          <w:p w14:paraId="41C0F1F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220F206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Borders>
              <w:top w:val="single" w:sz="18" w:space="0" w:color="auto"/>
            </w:tcBorders>
          </w:tcPr>
          <w:p w14:paraId="395A74B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E3D83C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r>
      <w:tr w:rsidR="00674764" w:rsidRPr="00674764" w14:paraId="39B5B883" w14:textId="77777777" w:rsidTr="00993D43">
        <w:trPr>
          <w:gridAfter w:val="1"/>
          <w:wAfter w:w="10" w:type="dxa"/>
        </w:trPr>
        <w:tc>
          <w:tcPr>
            <w:tcW w:w="1971" w:type="dxa"/>
            <w:gridSpan w:val="3"/>
          </w:tcPr>
          <w:p w14:paraId="4C0A2E9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Bediala</w:t>
            </w:r>
          </w:p>
        </w:tc>
        <w:tc>
          <w:tcPr>
            <w:tcW w:w="2859" w:type="dxa"/>
          </w:tcPr>
          <w:p w14:paraId="3DAA18DE"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205 G</w:t>
            </w:r>
          </w:p>
          <w:p w14:paraId="4188D77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205 B</w:t>
            </w:r>
          </w:p>
        </w:tc>
        <w:tc>
          <w:tcPr>
            <w:tcW w:w="1874" w:type="dxa"/>
            <w:gridSpan w:val="3"/>
          </w:tcPr>
          <w:p w14:paraId="39BEA96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2759E9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358" w:type="dxa"/>
          </w:tcPr>
          <w:p w14:paraId="555226AD"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4BA2A58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r>
      <w:tr w:rsidR="00674764" w:rsidRPr="00674764" w14:paraId="42169168" w14:textId="77777777" w:rsidTr="00993D43">
        <w:trPr>
          <w:gridBefore w:val="1"/>
          <w:wBefore w:w="10" w:type="dxa"/>
          <w:trHeight w:val="646"/>
        </w:trPr>
        <w:tc>
          <w:tcPr>
            <w:tcW w:w="1871" w:type="dxa"/>
            <w:tcBorders>
              <w:top w:val="single" w:sz="18" w:space="0" w:color="auto"/>
              <w:bottom w:val="single" w:sz="18" w:space="0" w:color="auto"/>
            </w:tcBorders>
          </w:tcPr>
          <w:p w14:paraId="0B744C7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Zaibo</w:t>
            </w:r>
          </w:p>
        </w:tc>
        <w:tc>
          <w:tcPr>
            <w:tcW w:w="3222" w:type="dxa"/>
            <w:gridSpan w:val="3"/>
            <w:tcBorders>
              <w:top w:val="single" w:sz="18" w:space="0" w:color="auto"/>
              <w:bottom w:val="single" w:sz="18" w:space="0" w:color="auto"/>
            </w:tcBorders>
          </w:tcPr>
          <w:p w14:paraId="07A620A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1171 B</w:t>
            </w:r>
          </w:p>
          <w:p w14:paraId="0B3FCC6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1171 G</w:t>
            </w:r>
          </w:p>
        </w:tc>
        <w:tc>
          <w:tcPr>
            <w:tcW w:w="1443" w:type="dxa"/>
            <w:tcBorders>
              <w:top w:val="single" w:sz="18" w:space="0" w:color="auto"/>
              <w:bottom w:val="single" w:sz="18" w:space="0" w:color="auto"/>
            </w:tcBorders>
          </w:tcPr>
          <w:p w14:paraId="2991A9E5"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42F702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3AEFAB8B"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526" w:type="dxa"/>
            <w:gridSpan w:val="3"/>
            <w:tcBorders>
              <w:top w:val="single" w:sz="18" w:space="0" w:color="auto"/>
              <w:bottom w:val="single" w:sz="18" w:space="0" w:color="auto"/>
            </w:tcBorders>
          </w:tcPr>
          <w:p w14:paraId="1794BFA0"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40882595" w14:textId="77777777" w:rsidR="00674764" w:rsidRPr="00674764" w:rsidRDefault="00674764" w:rsidP="00674764">
            <w:pPr>
              <w:tabs>
                <w:tab w:val="left" w:pos="7991"/>
              </w:tabs>
              <w:spacing w:line="360" w:lineRule="auto"/>
              <w:jc w:val="both"/>
              <w:rPr>
                <w:rFonts w:ascii="Times New Roman" w:hAnsi="Times New Roman" w:cs="Times New Roman"/>
                <w:iCs/>
                <w:sz w:val="18"/>
                <w:vertAlign w:val="superscript"/>
              </w:rPr>
            </w:pPr>
            <w:r w:rsidRPr="00674764">
              <w:rPr>
                <w:rFonts w:ascii="Times New Roman" w:hAnsi="Times New Roman" w:cs="Times New Roman"/>
                <w:iCs/>
                <w:sz w:val="18"/>
              </w:rPr>
              <w:t>+</w:t>
            </w:r>
          </w:p>
        </w:tc>
      </w:tr>
      <w:tr w:rsidR="00674764" w:rsidRPr="00674764" w14:paraId="26EF84FD" w14:textId="77777777" w:rsidTr="00993D43">
        <w:trPr>
          <w:gridBefore w:val="1"/>
          <w:wBefore w:w="10" w:type="dxa"/>
        </w:trPr>
        <w:tc>
          <w:tcPr>
            <w:tcW w:w="1871" w:type="dxa"/>
            <w:tcBorders>
              <w:top w:val="single" w:sz="18" w:space="0" w:color="auto"/>
              <w:bottom w:val="single" w:sz="18" w:space="0" w:color="auto"/>
            </w:tcBorders>
          </w:tcPr>
          <w:p w14:paraId="76D5192C"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Gadouan</w:t>
            </w:r>
          </w:p>
        </w:tc>
        <w:tc>
          <w:tcPr>
            <w:tcW w:w="3222" w:type="dxa"/>
            <w:gridSpan w:val="3"/>
            <w:tcBorders>
              <w:top w:val="single" w:sz="18" w:space="0" w:color="auto"/>
              <w:bottom w:val="single" w:sz="18" w:space="0" w:color="auto"/>
            </w:tcBorders>
          </w:tcPr>
          <w:p w14:paraId="6833976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1663 G</w:t>
            </w:r>
          </w:p>
          <w:p w14:paraId="1E4361BF"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1663 B</w:t>
            </w:r>
          </w:p>
        </w:tc>
        <w:tc>
          <w:tcPr>
            <w:tcW w:w="1443" w:type="dxa"/>
            <w:tcBorders>
              <w:top w:val="single" w:sz="18" w:space="0" w:color="auto"/>
              <w:bottom w:val="single" w:sz="18" w:space="0" w:color="auto"/>
            </w:tcBorders>
          </w:tcPr>
          <w:p w14:paraId="1A099962"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D4DF28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526" w:type="dxa"/>
            <w:gridSpan w:val="3"/>
            <w:tcBorders>
              <w:top w:val="single" w:sz="18" w:space="0" w:color="auto"/>
              <w:bottom w:val="single" w:sz="18" w:space="0" w:color="auto"/>
            </w:tcBorders>
          </w:tcPr>
          <w:p w14:paraId="325E3282"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62C47CAB"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r>
      <w:tr w:rsidR="00674764" w:rsidRPr="00674764" w14:paraId="0FC4726B" w14:textId="77777777" w:rsidTr="00993D43">
        <w:trPr>
          <w:gridBefore w:val="1"/>
          <w:wBefore w:w="10" w:type="dxa"/>
        </w:trPr>
        <w:tc>
          <w:tcPr>
            <w:tcW w:w="1871" w:type="dxa"/>
            <w:tcBorders>
              <w:top w:val="single" w:sz="18" w:space="0" w:color="auto"/>
            </w:tcBorders>
          </w:tcPr>
          <w:p w14:paraId="4DCDA1B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Gonate</w:t>
            </w:r>
          </w:p>
        </w:tc>
        <w:tc>
          <w:tcPr>
            <w:tcW w:w="3222" w:type="dxa"/>
            <w:gridSpan w:val="3"/>
            <w:tcBorders>
              <w:top w:val="single" w:sz="18" w:space="0" w:color="auto"/>
            </w:tcBorders>
          </w:tcPr>
          <w:p w14:paraId="64C1F871"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668 G</w:t>
            </w:r>
          </w:p>
          <w:p w14:paraId="0064F6C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668 B</w:t>
            </w:r>
          </w:p>
        </w:tc>
        <w:tc>
          <w:tcPr>
            <w:tcW w:w="1443" w:type="dxa"/>
            <w:tcBorders>
              <w:top w:val="single" w:sz="18" w:space="0" w:color="auto"/>
            </w:tcBorders>
          </w:tcPr>
          <w:p w14:paraId="3C5BB6BD"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257E3BF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76CF49A5"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2526" w:type="dxa"/>
            <w:gridSpan w:val="3"/>
            <w:tcBorders>
              <w:top w:val="single" w:sz="18" w:space="0" w:color="auto"/>
            </w:tcBorders>
          </w:tcPr>
          <w:p w14:paraId="094933C2"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85353D8"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r>
      <w:tr w:rsidR="00674764" w:rsidRPr="00674764" w14:paraId="00F5438F" w14:textId="77777777" w:rsidTr="00993D43">
        <w:trPr>
          <w:gridBefore w:val="1"/>
          <w:wBefore w:w="10" w:type="dxa"/>
        </w:trPr>
        <w:tc>
          <w:tcPr>
            <w:tcW w:w="1871" w:type="dxa"/>
            <w:tcBorders>
              <w:bottom w:val="single" w:sz="18" w:space="0" w:color="auto"/>
            </w:tcBorders>
          </w:tcPr>
          <w:p w14:paraId="7E662A64" w14:textId="77777777" w:rsidR="00674764" w:rsidRPr="00674764" w:rsidRDefault="00674764" w:rsidP="00674764">
            <w:pPr>
              <w:tabs>
                <w:tab w:val="left" w:pos="7991"/>
              </w:tabs>
              <w:spacing w:line="360" w:lineRule="auto"/>
              <w:jc w:val="both"/>
              <w:rPr>
                <w:rFonts w:ascii="Times New Roman" w:hAnsi="Times New Roman" w:cs="Times New Roman"/>
                <w:iCs/>
                <w:sz w:val="18"/>
              </w:rPr>
            </w:pPr>
          </w:p>
        </w:tc>
        <w:tc>
          <w:tcPr>
            <w:tcW w:w="3222" w:type="dxa"/>
            <w:gridSpan w:val="3"/>
            <w:tcBorders>
              <w:bottom w:val="single" w:sz="18" w:space="0" w:color="auto"/>
            </w:tcBorders>
          </w:tcPr>
          <w:p w14:paraId="30752F06"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542 G</w:t>
            </w:r>
          </w:p>
          <w:p w14:paraId="1A99B3D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542 B</w:t>
            </w:r>
          </w:p>
        </w:tc>
        <w:tc>
          <w:tcPr>
            <w:tcW w:w="1443" w:type="dxa"/>
            <w:tcBorders>
              <w:bottom w:val="single" w:sz="18" w:space="0" w:color="auto"/>
            </w:tcBorders>
          </w:tcPr>
          <w:p w14:paraId="15956E4A"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20B4DA49"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c>
          <w:tcPr>
            <w:tcW w:w="2526" w:type="dxa"/>
            <w:gridSpan w:val="3"/>
            <w:tcBorders>
              <w:bottom w:val="single" w:sz="18" w:space="0" w:color="auto"/>
            </w:tcBorders>
          </w:tcPr>
          <w:p w14:paraId="5526EE59"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p w14:paraId="51929F47" w14:textId="77777777" w:rsidR="00674764" w:rsidRPr="00674764" w:rsidRDefault="00674764" w:rsidP="00674764">
            <w:pPr>
              <w:tabs>
                <w:tab w:val="left" w:pos="7991"/>
              </w:tabs>
              <w:spacing w:line="360" w:lineRule="auto"/>
              <w:jc w:val="both"/>
              <w:rPr>
                <w:rFonts w:ascii="Times New Roman" w:hAnsi="Times New Roman" w:cs="Times New Roman"/>
                <w:iCs/>
                <w:sz w:val="18"/>
              </w:rPr>
            </w:pPr>
            <w:r w:rsidRPr="00674764">
              <w:rPr>
                <w:rFonts w:ascii="Times New Roman" w:hAnsi="Times New Roman" w:cs="Times New Roman"/>
                <w:iCs/>
                <w:sz w:val="18"/>
              </w:rPr>
              <w:t>-</w:t>
            </w:r>
          </w:p>
        </w:tc>
      </w:tr>
    </w:tbl>
    <w:p w14:paraId="5C2D737A" w14:textId="77777777" w:rsidR="00674764" w:rsidRPr="00674764" w:rsidRDefault="00674764" w:rsidP="00674764">
      <w:pPr>
        <w:spacing w:after="0" w:line="240" w:lineRule="auto"/>
        <w:jc w:val="both"/>
        <w:rPr>
          <w:rFonts w:ascii="Times New Roman" w:hAnsi="Times New Roman" w:cs="Times New Roman"/>
          <w:sz w:val="16"/>
        </w:rPr>
      </w:pPr>
      <w:r w:rsidRPr="00674764">
        <w:rPr>
          <w:rFonts w:ascii="Times New Roman" w:hAnsi="Times New Roman" w:cs="Times New Roman"/>
          <w:sz w:val="16"/>
        </w:rPr>
        <w:t>G: Gnamankoudji; B: Bissap; Presence: +; Absence: -</w:t>
      </w:r>
    </w:p>
    <w:p w14:paraId="56B407CE" w14:textId="77777777" w:rsidR="00674764" w:rsidRPr="00674764" w:rsidRDefault="00674764" w:rsidP="00674764">
      <w:pPr>
        <w:tabs>
          <w:tab w:val="left" w:pos="7991"/>
        </w:tabs>
        <w:spacing w:after="0" w:line="240" w:lineRule="auto"/>
        <w:jc w:val="both"/>
        <w:rPr>
          <w:rFonts w:ascii="Times New Roman" w:hAnsi="Times New Roman" w:cs="Times New Roman"/>
          <w:sz w:val="16"/>
        </w:rPr>
      </w:pPr>
      <w:r w:rsidRPr="00674764">
        <w:rPr>
          <w:rFonts w:ascii="Times New Roman" w:hAnsi="Times New Roman" w:cs="Times New Roman"/>
          <w:sz w:val="16"/>
        </w:rPr>
        <w:t>666 (urban health center) -205 (rural dispensary): Bediala; 542 (rural dispensary) -668 (rural health center): Gonate; 677 (Health District) - 672 (Urban Dispensary) - 674 (Maternal and Child Protection) - 920 (Civil Prison Infirmary) - 1575 (INHP Branch) - 675 (School and University Health Service) - 2532 (Leprosarium) - 294 (Regional Hospital Center) - 2790 (Antilope Clinic) - 667 (Rural Maternity Hospital - Groguhe) - 2679 (Rural Dispensary - Zepreguhe) - 2680 (Rural Health Center - Zokoguhe) - 684 (Rural Dispensary - Tagoura) - 214 (Rural Dispensary - Tahiraguhe) - 290 (Rural Dispensary - Niouboua) - 2483 (Rural Dispensary - Seria) - 680 (Medical and Social Center): Daloa; 1171 (Urban Health Center): Zaibo; 682 (Urban Health Center): Gadouan; 1663 (urban health center-Gboguhe) -38 (rural dispensary-Bribouo) -300 (integrated health center type 2 Digbapia): Gboguhe</w:t>
      </w:r>
    </w:p>
    <w:p w14:paraId="539C5223" w14:textId="77777777" w:rsidR="00674764" w:rsidRPr="00674764" w:rsidRDefault="00674764" w:rsidP="00674764">
      <w:pPr>
        <w:tabs>
          <w:tab w:val="left" w:pos="1440"/>
        </w:tabs>
        <w:spacing w:line="240" w:lineRule="auto"/>
        <w:jc w:val="both"/>
        <w:rPr>
          <w:rFonts w:ascii="Times New Roman" w:hAnsi="Times New Roman" w:cs="Times New Roman"/>
          <w:sz w:val="16"/>
        </w:rPr>
      </w:pPr>
      <w:r w:rsidRPr="00674764">
        <w:rPr>
          <w:rFonts w:ascii="Times New Roman" w:hAnsi="Times New Roman" w:cs="Times New Roman"/>
          <w:sz w:val="16"/>
        </w:rPr>
        <w:t>The same letters in the same column show that there is no significant difference between the means. However, there is a significant difference when the letters are different.</w:t>
      </w:r>
    </w:p>
    <w:p w14:paraId="2F07DC90" w14:textId="77777777" w:rsidR="00674764" w:rsidRPr="00674764" w:rsidRDefault="00674764" w:rsidP="00674764">
      <w:pPr>
        <w:spacing w:after="0" w:line="360" w:lineRule="auto"/>
        <w:jc w:val="both"/>
        <w:rPr>
          <w:rFonts w:ascii="Times New Roman" w:hAnsi="Times New Roman" w:cs="Times New Roman"/>
          <w:sz w:val="18"/>
        </w:rPr>
      </w:pPr>
    </w:p>
    <w:p w14:paraId="5BA53D9A" w14:textId="77777777" w:rsidR="00674764" w:rsidRP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b/>
          <w:noProof/>
          <w:sz w:val="24"/>
          <w:lang w:eastAsia="fr-FR"/>
        </w:rPr>
        <w:drawing>
          <wp:inline distT="0" distB="0" distL="0" distR="0" wp14:anchorId="581F2C20" wp14:editId="3EEC9B9F">
            <wp:extent cx="2732315" cy="2866988"/>
            <wp:effectExtent l="0" t="0" r="0" b="0"/>
            <wp:docPr id="7" name="Image 3">
              <a:extLst xmlns:a="http://schemas.openxmlformats.org/drawingml/2006/main">
                <a:ext uri="{FF2B5EF4-FFF2-40B4-BE49-F238E27FC236}">
                  <a16:creationId xmlns:a16="http://schemas.microsoft.com/office/drawing/2014/main" id="{17890083-8E79-CAD5-314A-8E12A2A0E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17890083-8E79-CAD5-314A-8E12A2A0EF7E}"/>
                        </a:ext>
                      </a:extLst>
                    </pic:cNvPr>
                    <pic:cNvPicPr>
                      <a:picLocks noChangeAspect="1"/>
                    </pic:cNvPicPr>
                  </pic:nvPicPr>
                  <pic:blipFill>
                    <a:blip r:embed="rId9"/>
                    <a:srcRect l="-1" t="4792" r="1064"/>
                    <a:stretch/>
                  </pic:blipFill>
                  <pic:spPr>
                    <a:xfrm>
                      <a:off x="0" y="0"/>
                      <a:ext cx="2768555" cy="2905014"/>
                    </a:xfrm>
                    <a:prstGeom prst="rect">
                      <a:avLst/>
                    </a:prstGeom>
                  </pic:spPr>
                </pic:pic>
              </a:graphicData>
            </a:graphic>
          </wp:inline>
        </w:drawing>
      </w:r>
      <w:r w:rsidRPr="00674764">
        <w:rPr>
          <w:rFonts w:ascii="Times New Roman" w:hAnsi="Times New Roman" w:cs="Times New Roman"/>
          <w:b/>
          <w:noProof/>
          <w:sz w:val="24"/>
          <w:lang w:eastAsia="fr-FR"/>
        </w:rPr>
        <w:drawing>
          <wp:inline distT="0" distB="0" distL="0" distR="0" wp14:anchorId="161B04FF" wp14:editId="259B6322">
            <wp:extent cx="2791838" cy="2998907"/>
            <wp:effectExtent l="0" t="0" r="8890" b="0"/>
            <wp:docPr id="8" name="Image 8">
              <a:extLst xmlns:a="http://schemas.openxmlformats.org/drawingml/2006/main">
                <a:ext uri="{FF2B5EF4-FFF2-40B4-BE49-F238E27FC236}">
                  <a16:creationId xmlns:a16="http://schemas.microsoft.com/office/drawing/2014/main" id="{F376B162-BCC5-9A20-083A-54014FF84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F376B162-BCC5-9A20-083A-54014FF8420E}"/>
                        </a:ext>
                      </a:extLst>
                    </pic:cNvPr>
                    <pic:cNvPicPr>
                      <a:picLocks noChangeAspect="1"/>
                    </pic:cNvPicPr>
                  </pic:nvPicPr>
                  <pic:blipFill>
                    <a:blip r:embed="rId10"/>
                    <a:srcRect b="1809"/>
                    <a:stretch/>
                  </pic:blipFill>
                  <pic:spPr>
                    <a:xfrm>
                      <a:off x="0" y="0"/>
                      <a:ext cx="2824862" cy="3034380"/>
                    </a:xfrm>
                    <a:prstGeom prst="rect">
                      <a:avLst/>
                    </a:prstGeom>
                  </pic:spPr>
                </pic:pic>
              </a:graphicData>
            </a:graphic>
          </wp:inline>
        </w:drawing>
      </w:r>
    </w:p>
    <w:p w14:paraId="45848827" w14:textId="69ED89FA" w:rsidR="00674764" w:rsidRPr="000E3E17" w:rsidRDefault="00674764" w:rsidP="00674764">
      <w:pPr>
        <w:spacing w:line="360" w:lineRule="auto"/>
        <w:jc w:val="both"/>
        <w:rPr>
          <w:rFonts w:ascii="Times New Roman" w:hAnsi="Times New Roman" w:cs="Times New Roman"/>
          <w:iCs/>
          <w:sz w:val="24"/>
        </w:rPr>
      </w:pPr>
      <w:bookmarkStart w:id="9" w:name="_Toc201431282"/>
      <w:bookmarkStart w:id="10" w:name="_Toc218542193"/>
      <w:r w:rsidRPr="00674764">
        <w:rPr>
          <w:rFonts w:ascii="Times New Roman" w:hAnsi="Times New Roman" w:cs="Times New Roman"/>
          <w:iCs/>
          <w:sz w:val="24"/>
        </w:rPr>
        <w:t xml:space="preserve">Figure </w:t>
      </w:r>
      <w:r w:rsidRPr="00674764">
        <w:rPr>
          <w:rFonts w:ascii="Times New Roman" w:hAnsi="Times New Roman" w:cs="Times New Roman"/>
          <w:iCs/>
          <w:sz w:val="24"/>
        </w:rPr>
        <w:fldChar w:fldCharType="begin"/>
      </w:r>
      <w:r w:rsidRPr="00674764">
        <w:rPr>
          <w:rFonts w:ascii="Times New Roman" w:hAnsi="Times New Roman" w:cs="Times New Roman"/>
          <w:iCs/>
          <w:sz w:val="24"/>
        </w:rPr>
        <w:instrText xml:space="preserve"> SEQ Figure \* ARABIC </w:instrText>
      </w:r>
      <w:r w:rsidRPr="00674764">
        <w:rPr>
          <w:rFonts w:ascii="Times New Roman" w:hAnsi="Times New Roman" w:cs="Times New Roman"/>
          <w:iCs/>
          <w:sz w:val="24"/>
        </w:rPr>
        <w:fldChar w:fldCharType="separate"/>
      </w:r>
      <w:r w:rsidRPr="00674764">
        <w:rPr>
          <w:rFonts w:ascii="Times New Roman" w:hAnsi="Times New Roman" w:cs="Times New Roman"/>
          <w:iCs/>
          <w:noProof/>
          <w:sz w:val="24"/>
        </w:rPr>
        <w:t>3</w:t>
      </w:r>
      <w:r w:rsidRPr="00674764">
        <w:rPr>
          <w:rFonts w:ascii="Times New Roman" w:hAnsi="Times New Roman" w:cs="Times New Roman"/>
          <w:sz w:val="24"/>
        </w:rPr>
        <w:fldChar w:fldCharType="end"/>
      </w:r>
      <w:r w:rsidRPr="00674764">
        <w:rPr>
          <w:rFonts w:ascii="Times New Roman" w:hAnsi="Times New Roman" w:cs="Times New Roman"/>
          <w:sz w:val="24"/>
        </w:rPr>
        <w:t xml:space="preserve"> : </w:t>
      </w:r>
      <w:r w:rsidRPr="00674764">
        <w:rPr>
          <w:rFonts w:ascii="Times New Roman" w:hAnsi="Times New Roman" w:cs="Times New Roman"/>
          <w:iCs/>
          <w:sz w:val="24"/>
        </w:rPr>
        <w:t>PCA of the different beverages studied and the microorganisms sought</w:t>
      </w:r>
      <w:bookmarkEnd w:id="9"/>
      <w:bookmarkEnd w:id="10"/>
    </w:p>
    <w:tbl>
      <w:tblPr>
        <w:tblStyle w:val="TableGrid0"/>
        <w:tblW w:w="9360" w:type="dxa"/>
        <w:tblInd w:w="5" w:type="dxa"/>
        <w:tblLook w:val="04A0" w:firstRow="1" w:lastRow="0" w:firstColumn="1" w:lastColumn="0" w:noHBand="0" w:noVBand="1"/>
      </w:tblPr>
      <w:tblGrid>
        <w:gridCol w:w="9360"/>
      </w:tblGrid>
      <w:tr w:rsidR="00674764" w:rsidRPr="00674764" w14:paraId="10F57BC2" w14:textId="77777777" w:rsidTr="00993D43">
        <w:trPr>
          <w:trHeight w:val="4674"/>
        </w:trPr>
        <w:tc>
          <w:tcPr>
            <w:tcW w:w="9360" w:type="dxa"/>
          </w:tcPr>
          <w:p w14:paraId="0868191D" w14:textId="77777777" w:rsidR="00674764" w:rsidRPr="00674764" w:rsidRDefault="00674764" w:rsidP="00674764">
            <w:pPr>
              <w:spacing w:line="360" w:lineRule="auto"/>
              <w:jc w:val="both"/>
              <w:rPr>
                <w:rFonts w:ascii="Times New Roman" w:hAnsi="Times New Roman" w:cs="Times New Roman"/>
                <w:b/>
                <w:sz w:val="24"/>
              </w:rPr>
            </w:pPr>
            <w:r w:rsidRPr="00674764">
              <w:rPr>
                <w:noProof/>
              </w:rPr>
              <w:drawing>
                <wp:inline distT="0" distB="0" distL="0" distR="0" wp14:anchorId="5536E78B" wp14:editId="365D9152">
                  <wp:extent cx="2499360" cy="2279904"/>
                  <wp:effectExtent l="0" t="0" r="0" b="6350"/>
                  <wp:docPr id="9" name="Picture"/>
                  <wp:cNvGraphicFramePr/>
                  <a:graphic xmlns:a="http://schemas.openxmlformats.org/drawingml/2006/main">
                    <a:graphicData uri="http://schemas.openxmlformats.org/drawingml/2006/picture">
                      <pic:pic xmlns:pic="http://schemas.openxmlformats.org/drawingml/2006/picture">
                        <pic:nvPicPr>
                          <pic:cNvPr id="27" name="Picture" descr="Rapport_AFC_2025-04-14_files/figure-docx/unnamed-chunk-3-1.png"/>
                          <pic:cNvPicPr>
                            <a:picLocks noChangeAspect="1" noChangeArrowheads="1"/>
                          </pic:cNvPicPr>
                        </pic:nvPicPr>
                        <pic:blipFill rotWithShape="1">
                          <a:blip r:embed="rId11"/>
                          <a:srcRect l="16411" t="4775" r="13622"/>
                          <a:stretch/>
                        </pic:blipFill>
                        <pic:spPr bwMode="auto">
                          <a:xfrm>
                            <a:off x="0" y="0"/>
                            <a:ext cx="2510761" cy="2290304"/>
                          </a:xfrm>
                          <a:prstGeom prst="rect">
                            <a:avLst/>
                          </a:prstGeom>
                          <a:noFill/>
                          <a:ln>
                            <a:noFill/>
                          </a:ln>
                          <a:extLst>
                            <a:ext uri="{53640926-AAD7-44D8-BBD7-CCE9431645EC}">
                              <a14:shadowObscured xmlns:a14="http://schemas.microsoft.com/office/drawing/2010/main"/>
                            </a:ext>
                          </a:extLst>
                        </pic:spPr>
                      </pic:pic>
                    </a:graphicData>
                  </a:graphic>
                </wp:inline>
              </w:drawing>
            </w:r>
            <w:r w:rsidRPr="00674764">
              <w:rPr>
                <w:noProof/>
              </w:rPr>
              <w:drawing>
                <wp:inline distT="0" distB="0" distL="0" distR="0" wp14:anchorId="3E9CB7C1" wp14:editId="1D422D19">
                  <wp:extent cx="3108960" cy="2342007"/>
                  <wp:effectExtent l="0" t="0" r="0" b="1270"/>
                  <wp:docPr id="10" name="Picture"/>
                  <wp:cNvGraphicFramePr/>
                  <a:graphic xmlns:a="http://schemas.openxmlformats.org/drawingml/2006/main">
                    <a:graphicData uri="http://schemas.openxmlformats.org/drawingml/2006/picture">
                      <pic:pic xmlns:pic="http://schemas.openxmlformats.org/drawingml/2006/picture">
                        <pic:nvPicPr>
                          <pic:cNvPr id="30" name="Picture" descr="Rapport_AFC_2025-04-14_files/figure-docx/unnamed-chunk-5-1.png"/>
                          <pic:cNvPicPr>
                            <a:picLocks noChangeAspect="1" noChangeArrowheads="1"/>
                          </pic:cNvPicPr>
                        </pic:nvPicPr>
                        <pic:blipFill>
                          <a:blip r:embed="rId12"/>
                          <a:stretch>
                            <a:fillRect/>
                          </a:stretch>
                        </pic:blipFill>
                        <pic:spPr bwMode="auto">
                          <a:xfrm>
                            <a:off x="0" y="0"/>
                            <a:ext cx="3116247" cy="2347496"/>
                          </a:xfrm>
                          <a:prstGeom prst="rect">
                            <a:avLst/>
                          </a:prstGeom>
                          <a:noFill/>
                          <a:ln w="9525">
                            <a:noFill/>
                            <a:headEnd/>
                            <a:tailEnd/>
                          </a:ln>
                        </pic:spPr>
                      </pic:pic>
                    </a:graphicData>
                  </a:graphic>
                </wp:inline>
              </w:drawing>
            </w:r>
          </w:p>
          <w:p w14:paraId="1C9811F4" w14:textId="77777777" w:rsidR="00674764" w:rsidRPr="00674764" w:rsidRDefault="00674764" w:rsidP="00674764">
            <w:pPr>
              <w:spacing w:line="360" w:lineRule="auto"/>
              <w:jc w:val="both"/>
              <w:rPr>
                <w:rFonts w:ascii="Times New Roman" w:hAnsi="Times New Roman" w:cs="Times New Roman"/>
                <w:iCs/>
                <w:sz w:val="24"/>
              </w:rPr>
            </w:pPr>
            <w:bookmarkStart w:id="11" w:name="_Toc201431283"/>
            <w:bookmarkStart w:id="12" w:name="_Toc218542194"/>
            <w:r w:rsidRPr="00674764">
              <w:rPr>
                <w:rFonts w:ascii="Times New Roman" w:hAnsi="Times New Roman" w:cs="Times New Roman"/>
                <w:iCs/>
                <w:sz w:val="24"/>
              </w:rPr>
              <w:t xml:space="preserve">Figure </w:t>
            </w:r>
            <w:r w:rsidRPr="00674764">
              <w:rPr>
                <w:rFonts w:ascii="Times New Roman" w:hAnsi="Times New Roman" w:cs="Times New Roman"/>
                <w:iCs/>
                <w:sz w:val="24"/>
              </w:rPr>
              <w:fldChar w:fldCharType="begin"/>
            </w:r>
            <w:r w:rsidRPr="00674764">
              <w:rPr>
                <w:rFonts w:ascii="Times New Roman" w:hAnsi="Times New Roman" w:cs="Times New Roman"/>
                <w:iCs/>
                <w:sz w:val="24"/>
              </w:rPr>
              <w:instrText xml:space="preserve"> SEQ Figure \* ARABIC </w:instrText>
            </w:r>
            <w:r w:rsidRPr="00674764">
              <w:rPr>
                <w:rFonts w:ascii="Times New Roman" w:hAnsi="Times New Roman" w:cs="Times New Roman"/>
                <w:iCs/>
                <w:sz w:val="24"/>
              </w:rPr>
              <w:fldChar w:fldCharType="separate"/>
            </w:r>
            <w:r w:rsidRPr="00674764">
              <w:rPr>
                <w:rFonts w:ascii="Times New Roman" w:hAnsi="Times New Roman" w:cs="Times New Roman"/>
                <w:iCs/>
                <w:noProof/>
                <w:sz w:val="24"/>
              </w:rPr>
              <w:t>4</w:t>
            </w:r>
            <w:r w:rsidRPr="00674764">
              <w:rPr>
                <w:rFonts w:ascii="Times New Roman" w:hAnsi="Times New Roman" w:cs="Times New Roman"/>
                <w:sz w:val="24"/>
              </w:rPr>
              <w:fldChar w:fldCharType="end"/>
            </w:r>
            <w:r w:rsidRPr="00674764">
              <w:rPr>
                <w:rFonts w:ascii="Times New Roman" w:hAnsi="Times New Roman" w:cs="Times New Roman"/>
                <w:sz w:val="24"/>
              </w:rPr>
              <w:t xml:space="preserve"> : </w:t>
            </w:r>
            <w:r w:rsidRPr="00674764">
              <w:rPr>
                <w:rFonts w:ascii="Times New Roman" w:hAnsi="Times New Roman" w:cs="Times New Roman"/>
                <w:iCs/>
                <w:sz w:val="24"/>
              </w:rPr>
              <w:t>Grouping of non-alcoholic artisanal beverages by hierarchical classification and correspondence factor analysis based on microbiological quality</w:t>
            </w:r>
            <w:bookmarkEnd w:id="11"/>
            <w:bookmarkEnd w:id="12"/>
          </w:p>
        </w:tc>
      </w:tr>
    </w:tbl>
    <w:p w14:paraId="34998B35" w14:textId="77777777" w:rsidR="00674764" w:rsidRPr="00674764" w:rsidRDefault="00674764" w:rsidP="00674764">
      <w:pPr>
        <w:spacing w:line="360" w:lineRule="auto"/>
        <w:jc w:val="both"/>
      </w:pPr>
      <w:r w:rsidRPr="00674764">
        <w:rPr>
          <w:noProof/>
          <w:lang w:eastAsia="fr-FR"/>
        </w:rPr>
        <w:drawing>
          <wp:inline distT="0" distB="0" distL="0" distR="0" wp14:anchorId="0EC8E496" wp14:editId="4BF6136D">
            <wp:extent cx="5268595" cy="1360714"/>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34" name="Picture" descr="Rapport_AFC_2025-04-14_files/figure-docx/unnamed-chunk-6-1.png"/>
                    <pic:cNvPicPr>
                      <a:picLocks noChangeAspect="1" noChangeArrowheads="1"/>
                    </pic:cNvPicPr>
                  </pic:nvPicPr>
                  <pic:blipFill rotWithShape="1">
                    <a:blip r:embed="rId13"/>
                    <a:srcRect t="20868" b="15504"/>
                    <a:stretch/>
                  </pic:blipFill>
                  <pic:spPr bwMode="auto">
                    <a:xfrm>
                      <a:off x="0" y="0"/>
                      <a:ext cx="5416459" cy="1398903"/>
                    </a:xfrm>
                    <a:prstGeom prst="rect">
                      <a:avLst/>
                    </a:prstGeom>
                    <a:noFill/>
                    <a:ln>
                      <a:noFill/>
                    </a:ln>
                    <a:extLst>
                      <a:ext uri="{53640926-AAD7-44D8-BBD7-CCE9431645EC}">
                        <a14:shadowObscured xmlns:a14="http://schemas.microsoft.com/office/drawing/2010/main"/>
                      </a:ext>
                    </a:extLst>
                  </pic:spPr>
                </pic:pic>
              </a:graphicData>
            </a:graphic>
          </wp:inline>
        </w:drawing>
      </w:r>
    </w:p>
    <w:p w14:paraId="017E3FE8" w14:textId="77777777" w:rsidR="00674764" w:rsidRDefault="00674764" w:rsidP="00674764">
      <w:pPr>
        <w:spacing w:line="360" w:lineRule="auto"/>
        <w:jc w:val="both"/>
        <w:rPr>
          <w:rFonts w:ascii="Times New Roman" w:hAnsi="Times New Roman" w:cs="Times New Roman"/>
          <w:sz w:val="24"/>
        </w:rPr>
      </w:pPr>
      <w:bookmarkStart w:id="13" w:name="_Toc201431284"/>
      <w:bookmarkStart w:id="14" w:name="_Toc218542195"/>
      <w:r w:rsidRPr="000E3E17">
        <w:rPr>
          <w:rFonts w:ascii="Times New Roman" w:hAnsi="Times New Roman" w:cs="Times New Roman"/>
          <w:sz w:val="24"/>
        </w:rPr>
        <w:t xml:space="preserve">Figure </w:t>
      </w:r>
      <w:r w:rsidRPr="000E3E17">
        <w:rPr>
          <w:rFonts w:ascii="Times New Roman" w:hAnsi="Times New Roman" w:cs="Times New Roman"/>
          <w:i/>
          <w:sz w:val="24"/>
        </w:rPr>
        <w:fldChar w:fldCharType="begin"/>
      </w:r>
      <w:r w:rsidRPr="000E3E17">
        <w:rPr>
          <w:rFonts w:ascii="Times New Roman" w:hAnsi="Times New Roman" w:cs="Times New Roman"/>
          <w:sz w:val="24"/>
        </w:rPr>
        <w:instrText xml:space="preserve"> SEQ Figure \* ARABIC </w:instrText>
      </w:r>
      <w:r w:rsidRPr="000E3E17">
        <w:rPr>
          <w:rFonts w:ascii="Times New Roman" w:hAnsi="Times New Roman" w:cs="Times New Roman"/>
          <w:i/>
          <w:sz w:val="24"/>
        </w:rPr>
        <w:fldChar w:fldCharType="separate"/>
      </w:r>
      <w:r w:rsidRPr="000E3E17">
        <w:rPr>
          <w:rFonts w:ascii="Times New Roman" w:hAnsi="Times New Roman" w:cs="Times New Roman"/>
          <w:noProof/>
          <w:sz w:val="24"/>
        </w:rPr>
        <w:t>5</w:t>
      </w:r>
      <w:r w:rsidRPr="000E3E17">
        <w:rPr>
          <w:rFonts w:ascii="Times New Roman" w:hAnsi="Times New Roman" w:cs="Times New Roman"/>
          <w:i/>
          <w:sz w:val="24"/>
        </w:rPr>
        <w:fldChar w:fldCharType="end"/>
      </w:r>
      <w:r w:rsidRPr="000E3E17">
        <w:rPr>
          <w:rFonts w:ascii="Times New Roman" w:hAnsi="Times New Roman" w:cs="Times New Roman"/>
          <w:sz w:val="24"/>
        </w:rPr>
        <w:t> : Correspondence factor analysis (CFA) applied to microbiological data of artisanal non-alcoholic beverages</w:t>
      </w:r>
      <w:bookmarkEnd w:id="13"/>
      <w:bookmarkEnd w:id="14"/>
    </w:p>
    <w:p w14:paraId="4FB2E735" w14:textId="08D0D859" w:rsidR="00EE3E75" w:rsidRDefault="00EE3E75" w:rsidP="00674764">
      <w:pPr>
        <w:spacing w:line="360" w:lineRule="auto"/>
        <w:jc w:val="both"/>
        <w:rPr>
          <w:rFonts w:ascii="Times New Roman" w:hAnsi="Times New Roman" w:cs="Times New Roman"/>
          <w:i/>
          <w:iCs/>
          <w:sz w:val="24"/>
        </w:rPr>
      </w:pPr>
      <w:r w:rsidRPr="005F0353">
        <w:rPr>
          <w:rFonts w:ascii="Times New Roman" w:hAnsi="Times New Roman" w:cs="Times New Roman"/>
          <w:b/>
          <w:noProof/>
          <w:sz w:val="24"/>
          <w:lang w:eastAsia="fr-FR"/>
        </w:rPr>
        <w:lastRenderedPageBreak/>
        <w:drawing>
          <wp:inline distT="0" distB="0" distL="0" distR="0" wp14:anchorId="4F089151" wp14:editId="16BBB91A">
            <wp:extent cx="312420" cy="2565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953" cy="271758"/>
                    </a:xfrm>
                    <a:prstGeom prst="rect">
                      <a:avLst/>
                    </a:prstGeom>
                    <a:noFill/>
                    <a:ln>
                      <a:noFill/>
                    </a:ln>
                  </pic:spPr>
                </pic:pic>
              </a:graphicData>
            </a:graphic>
          </wp:inline>
        </w:drawing>
      </w:r>
      <w:r w:rsidRPr="009370F2">
        <w:rPr>
          <w:rFonts w:ascii="Times New Roman" w:hAnsi="Times New Roman" w:cs="Times New Roman"/>
          <w:b/>
          <w:noProof/>
          <w:sz w:val="24"/>
          <w:lang w:eastAsia="fr-FR"/>
        </w:rPr>
        <w:drawing>
          <wp:inline distT="0" distB="0" distL="0" distR="0" wp14:anchorId="2CF930E1" wp14:editId="5AE19FA7">
            <wp:extent cx="2336673" cy="2180400"/>
            <wp:effectExtent l="0" t="0" r="6985" b="0"/>
            <wp:docPr id="19" name="Image 19" descr="C:\Users\Christelle\174777443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elle\1747774432239.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l="12786" t="43230" r="15917" b="33176"/>
                    <a:stretch/>
                  </pic:blipFill>
                  <pic:spPr bwMode="auto">
                    <a:xfrm rot="10800000">
                      <a:off x="0" y="0"/>
                      <a:ext cx="2560080" cy="23888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iCs/>
          <w:sz w:val="24"/>
        </w:rPr>
        <w:t xml:space="preserve">     </w:t>
      </w:r>
      <w:r w:rsidRPr="00EE3E75">
        <w:rPr>
          <w:rFonts w:ascii="Times New Roman" w:eastAsia="Times New Roman" w:hAnsi="Times New Roman" w:cs="Times New Roman"/>
          <w:noProof/>
          <w:sz w:val="24"/>
          <w:lang w:eastAsia="fr-FR"/>
        </w:rPr>
        <w:drawing>
          <wp:inline distT="0" distB="0" distL="0" distR="0" wp14:anchorId="350E6A7B" wp14:editId="0517AF54">
            <wp:extent cx="2494845" cy="2224103"/>
            <wp:effectExtent l="0" t="0" r="1270" b="5080"/>
            <wp:docPr id="4" name="Image 4" descr="C:\Users\Christelle\AppData\Local\Temp\kappframework-FPwQx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le\AppData\Local\Temp\kappframework-FPwQxm(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0097" cy="2228785"/>
                    </a:xfrm>
                    <a:prstGeom prst="rect">
                      <a:avLst/>
                    </a:prstGeom>
                    <a:noFill/>
                    <a:ln>
                      <a:noFill/>
                    </a:ln>
                  </pic:spPr>
                </pic:pic>
              </a:graphicData>
            </a:graphic>
          </wp:inline>
        </w:drawing>
      </w:r>
    </w:p>
    <w:p w14:paraId="26FD7FC8" w14:textId="5AA0AA8A" w:rsidR="006C3CF7" w:rsidRPr="00EE3E75" w:rsidRDefault="006C3CF7" w:rsidP="006C3CF7">
      <w:pPr>
        <w:spacing w:line="360" w:lineRule="auto"/>
        <w:jc w:val="center"/>
        <w:rPr>
          <w:rFonts w:ascii="Times New Roman" w:hAnsi="Times New Roman" w:cs="Times New Roman"/>
          <w:iCs/>
          <w:sz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60BB63BF" wp14:editId="0B95EA83">
                <wp:simplePos x="0" y="0"/>
                <wp:positionH relativeFrom="column">
                  <wp:posOffset>1527105</wp:posOffset>
                </wp:positionH>
                <wp:positionV relativeFrom="paragraph">
                  <wp:posOffset>2134235</wp:posOffset>
                </wp:positionV>
                <wp:extent cx="278296" cy="268356"/>
                <wp:effectExtent l="0" t="0" r="0" b="0"/>
                <wp:wrapNone/>
                <wp:docPr id="1557895469" name="Zone de texte 1557895469"/>
                <wp:cNvGraphicFramePr/>
                <a:graphic xmlns:a="http://schemas.openxmlformats.org/drawingml/2006/main">
                  <a:graphicData uri="http://schemas.microsoft.com/office/word/2010/wordprocessingShape">
                    <wps:wsp>
                      <wps:cNvSpPr txBox="1"/>
                      <wps:spPr>
                        <a:xfrm>
                          <a:off x="0" y="0"/>
                          <a:ext cx="278296" cy="268356"/>
                        </a:xfrm>
                        <a:prstGeom prst="rect">
                          <a:avLst/>
                        </a:prstGeom>
                        <a:noFill/>
                        <a:ln w="6350">
                          <a:noFill/>
                        </a:ln>
                        <a:effectLst/>
                      </wps:spPr>
                      <wps:txbx>
                        <w:txbxContent>
                          <w:p w14:paraId="7B32EED9" w14:textId="77777777" w:rsidR="00EF6784" w:rsidRPr="007174E9" w:rsidRDefault="00EF6784" w:rsidP="006C3CF7">
                            <w:pPr>
                              <w:rPr>
                                <w:rFonts w:ascii="Times New Roman" w:hAnsi="Times New Roman" w:cs="Times New Roman"/>
                                <w:b/>
                                <w:sz w:val="24"/>
                              </w:rPr>
                            </w:pPr>
                            <w:proofErr w:type="gramStart"/>
                            <w:r w:rsidRPr="007174E9">
                              <w:rPr>
                                <w:rFonts w:ascii="Times New Roman" w:hAnsi="Times New Roman" w:cs="Times New Roman"/>
                                <w:b/>
                                <w:sz w:val="24"/>
                              </w:rPr>
                              <w:t>b</w:t>
                            </w:r>
                            <w:proofErr w:type="gramEnd"/>
                          </w:p>
                          <w:p w14:paraId="6C01FBBD" w14:textId="77777777" w:rsidR="00EF6784" w:rsidRDefault="00EF6784" w:rsidP="006C3CF7"/>
                          <w:p w14:paraId="23237AD2" w14:textId="77777777" w:rsidR="00EF6784" w:rsidRPr="007174E9" w:rsidRDefault="00EF6784" w:rsidP="006C3CF7">
                            <w:pPr>
                              <w:rPr>
                                <w:rFonts w:ascii="Times New Roman" w:hAnsi="Times New Roman" w:cs="Times New Roman"/>
                                <w:b/>
                                <w:sz w:val="24"/>
                              </w:rPr>
                            </w:pPr>
                            <w:proofErr w:type="gramStart"/>
                            <w:r w:rsidRPr="007174E9">
                              <w:rPr>
                                <w:rFonts w:ascii="Times New Roman" w:hAnsi="Times New Roman" w:cs="Times New Roman"/>
                                <w:b/>
                                <w:sz w:val="24"/>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BB63BF" id="_x0000_t202" coordsize="21600,21600" o:spt="202" path="m,l,21600r21600,l21600,xe">
                <v:stroke joinstyle="miter"/>
                <v:path gradientshapeok="t" o:connecttype="rect"/>
              </v:shapetype>
              <v:shape id="Zone de texte 1557895469" o:spid="_x0000_s1026" type="#_x0000_t202" style="position:absolute;left:0;text-align:left;margin-left:120.25pt;margin-top:168.05pt;width:21.9pt;height:2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" filled="f" stroked="f" strokeweight=".5pt">
                <v:textbox>
                  <w:txbxContent>
                    <w:p w14:paraId="7B32EED9" w14:textId="77777777" w:rsidR="00EF6784" w:rsidRPr="007174E9" w:rsidRDefault="00EF6784" w:rsidP="006C3CF7">
                      <w:pPr>
                        <w:rPr>
                          <w:rFonts w:ascii="Times New Roman" w:hAnsi="Times New Roman" w:cs="Times New Roman"/>
                          <w:b/>
                          <w:sz w:val="24"/>
                        </w:rPr>
                      </w:pPr>
                      <w:proofErr w:type="gramStart"/>
                      <w:r w:rsidRPr="007174E9">
                        <w:rPr>
                          <w:rFonts w:ascii="Times New Roman" w:hAnsi="Times New Roman" w:cs="Times New Roman"/>
                          <w:b/>
                          <w:sz w:val="24"/>
                        </w:rPr>
                        <w:t>b</w:t>
                      </w:r>
                      <w:proofErr w:type="gramEnd"/>
                    </w:p>
                    <w:p w14:paraId="6C01FBBD" w14:textId="77777777" w:rsidR="00EF6784" w:rsidRDefault="00EF6784" w:rsidP="006C3CF7"/>
                    <w:p w14:paraId="23237AD2" w14:textId="77777777" w:rsidR="00EF6784" w:rsidRPr="007174E9" w:rsidRDefault="00EF6784" w:rsidP="006C3CF7">
                      <w:pPr>
                        <w:rPr>
                          <w:rFonts w:ascii="Times New Roman" w:hAnsi="Times New Roman" w:cs="Times New Roman"/>
                          <w:b/>
                          <w:sz w:val="24"/>
                        </w:rPr>
                      </w:pPr>
                      <w:proofErr w:type="gramStart"/>
                      <w:r w:rsidRPr="007174E9">
                        <w:rPr>
                          <w:rFonts w:ascii="Times New Roman" w:hAnsi="Times New Roman" w:cs="Times New Roman"/>
                          <w:b/>
                          <w:sz w:val="24"/>
                        </w:rPr>
                        <w:t>b</w:t>
                      </w:r>
                      <w:proofErr w:type="gramEnd"/>
                    </w:p>
                  </w:txbxContent>
                </v:textbox>
              </v:shape>
            </w:pict>
          </mc:Fallback>
        </mc:AlternateContent>
      </w:r>
      <w:r w:rsidRPr="006D41E7">
        <w:rPr>
          <w:rFonts w:ascii="Times New Roman" w:hAnsi="Times New Roman" w:cs="Times New Roman"/>
          <w:b/>
          <w:noProof/>
          <w:sz w:val="24"/>
          <w:lang w:eastAsia="fr-FR"/>
        </w:rPr>
        <w:drawing>
          <wp:inline distT="0" distB="0" distL="0" distR="0" wp14:anchorId="55FCC4F8" wp14:editId="2759057C">
            <wp:extent cx="2612431" cy="2478084"/>
            <wp:effectExtent l="0" t="0" r="0" b="0"/>
            <wp:docPr id="60" name="Image 60" descr="Détection Bacillus cereus selon Mossel - BIOKAR 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tection Bacillus cereus selon Mossel - BIOKAR Diagnostic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l="11101" t="6369" r="7823" b="5347"/>
                    <a:stretch/>
                  </pic:blipFill>
                  <pic:spPr bwMode="auto">
                    <a:xfrm>
                      <a:off x="0" y="0"/>
                      <a:ext cx="2663774" cy="2526786"/>
                    </a:xfrm>
                    <a:prstGeom prst="rect">
                      <a:avLst/>
                    </a:prstGeom>
                    <a:noFill/>
                    <a:ln>
                      <a:noFill/>
                    </a:ln>
                    <a:extLst>
                      <a:ext uri="{53640926-AAD7-44D8-BBD7-CCE9431645EC}">
                        <a14:shadowObscured xmlns:a14="http://schemas.microsoft.com/office/drawing/2010/main"/>
                      </a:ext>
                    </a:extLst>
                  </pic:spPr>
                </pic:pic>
              </a:graphicData>
            </a:graphic>
          </wp:inline>
        </w:drawing>
      </w:r>
    </w:p>
    <w:p w14:paraId="63665DFA" w14:textId="1CC89999" w:rsidR="00674764" w:rsidRPr="00326BE0" w:rsidRDefault="00EE3E75" w:rsidP="006C3CF7">
      <w:pPr>
        <w:rPr>
          <w:rFonts w:ascii="Times New Roman" w:hAnsi="Times New Roman" w:cs="Times New Roman"/>
          <w:sz w:val="24"/>
        </w:rPr>
      </w:pPr>
      <w:r>
        <w:rPr>
          <w:rFonts w:ascii="Times New Roman" w:hAnsi="Times New Roman" w:cs="Times New Roman"/>
          <w:noProof/>
          <w:sz w:val="24"/>
          <w:lang w:eastAsia="fr-FR"/>
        </w:rPr>
        <w:t xml:space="preserve"> </w:t>
      </w:r>
      <w:r w:rsidR="008971CE">
        <w:rPr>
          <w:rFonts w:ascii="Times New Roman" w:hAnsi="Times New Roman" w:cs="Times New Roman"/>
          <w:noProof/>
          <w:sz w:val="24"/>
          <w:lang w:eastAsia="fr-FR"/>
        </w:rPr>
        <w:t xml:space="preserve">Fig 6 </w:t>
      </w:r>
      <w:r w:rsidR="006C3CF7">
        <w:rPr>
          <w:rFonts w:ascii="Times New Roman" w:hAnsi="Times New Roman" w:cs="Times New Roman"/>
          <w:sz w:val="24"/>
        </w:rPr>
        <w:t>Appearance of suspected pathogenic germs</w:t>
      </w:r>
      <w:r w:rsidR="00326BE0">
        <w:rPr>
          <w:rFonts w:ascii="Times New Roman" w:hAnsi="Times New Roman" w:cs="Times New Roman"/>
          <w:sz w:val="24"/>
        </w:rPr>
        <w:t xml:space="preserve"> (</w:t>
      </w:r>
      <w:r>
        <w:rPr>
          <w:rFonts w:ascii="Times New Roman" w:hAnsi="Times New Roman" w:cs="Times New Roman"/>
          <w:sz w:val="24"/>
        </w:rPr>
        <w:t xml:space="preserve">a : </w:t>
      </w:r>
      <w:r w:rsidRPr="00473C22">
        <w:rPr>
          <w:rFonts w:ascii="Times New Roman" w:hAnsi="Times New Roman" w:cs="Times New Roman"/>
          <w:i/>
          <w:sz w:val="24"/>
        </w:rPr>
        <w:t>Listeria monocytogenes</w:t>
      </w:r>
      <w:r>
        <w:rPr>
          <w:rFonts w:ascii="Times New Roman" w:hAnsi="Times New Roman" w:cs="Times New Roman"/>
          <w:i/>
          <w:sz w:val="24"/>
        </w:rPr>
        <w:t xml:space="preserve"> ; </w:t>
      </w:r>
      <w:r>
        <w:rPr>
          <w:rFonts w:ascii="Times New Roman" w:hAnsi="Times New Roman" w:cs="Times New Roman"/>
          <w:sz w:val="24"/>
        </w:rPr>
        <w:t xml:space="preserve">b : </w:t>
      </w:r>
      <w:r w:rsidR="006C3CF7">
        <w:rPr>
          <w:rFonts w:ascii="Times New Roman" w:hAnsi="Times New Roman" w:cs="Times New Roman"/>
          <w:i/>
          <w:sz w:val="24"/>
        </w:rPr>
        <w:t>Bacillus cereus</w:t>
      </w:r>
      <w:r w:rsidR="00326BE0">
        <w:rPr>
          <w:rFonts w:ascii="Times New Roman" w:hAnsi="Times New Roman" w:cs="Times New Roman"/>
          <w:i/>
          <w:sz w:val="24"/>
        </w:rPr>
        <w:t>)</w:t>
      </w:r>
    </w:p>
    <w:p w14:paraId="06D9B7CD" w14:textId="4324ABEB" w:rsidR="006C3CF7" w:rsidRDefault="00EE3E75" w:rsidP="000D09F5">
      <w:pPr>
        <w:spacing w:line="360" w:lineRule="auto"/>
        <w:jc w:val="center"/>
        <w:rPr>
          <w:rFonts w:ascii="Times New Roman" w:hAnsi="Times New Roman" w:cs="Times New Roman"/>
          <w:sz w:val="24"/>
        </w:rPr>
      </w:pPr>
      <w:r w:rsidRPr="0055259A">
        <w:rPr>
          <w:rFonts w:ascii="Times New Roman" w:hAnsi="Times New Roman" w:cs="Times New Roman"/>
          <w:noProof/>
          <w:sz w:val="24"/>
          <w:szCs w:val="24"/>
          <w:lang w:eastAsia="fr-FR"/>
        </w:rPr>
        <w:drawing>
          <wp:inline distT="0" distB="0" distL="0" distR="0" wp14:anchorId="55C96D5A" wp14:editId="7BF78513">
            <wp:extent cx="2824250" cy="2369299"/>
            <wp:effectExtent l="0" t="0" r="0" b="0"/>
            <wp:docPr id="6" name="Image 6" descr="C:\Users\Christelle\Pictures\Camera Roll\WIN_20250411_21_39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elle\Pictures\Camera Roll\WIN_20250411_21_39_58_Pr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5" r="20219" b="11064"/>
                    <a:stretch/>
                  </pic:blipFill>
                  <pic:spPr bwMode="auto">
                    <a:xfrm>
                      <a:off x="0" y="0"/>
                      <a:ext cx="2865172" cy="2403629"/>
                    </a:xfrm>
                    <a:prstGeom prst="rect">
                      <a:avLst/>
                    </a:prstGeom>
                    <a:noFill/>
                    <a:ln>
                      <a:noFill/>
                    </a:ln>
                    <a:extLst>
                      <a:ext uri="{53640926-AAD7-44D8-BBD7-CCE9431645EC}">
                        <a14:shadowObscured xmlns:a14="http://schemas.microsoft.com/office/drawing/2010/main"/>
                      </a:ext>
                    </a:extLst>
                  </pic:spPr>
                </pic:pic>
              </a:graphicData>
            </a:graphic>
          </wp:inline>
        </w:drawing>
      </w:r>
      <w:r w:rsidR="000D09F5">
        <w:rPr>
          <w:rFonts w:ascii="Times New Roman" w:hAnsi="Times New Roman" w:cs="Times New Roman"/>
          <w:noProof/>
          <w:sz w:val="24"/>
          <w:szCs w:val="24"/>
          <w:lang w:eastAsia="fr-FR"/>
        </w:rPr>
        <w:t xml:space="preserve">   </w:t>
      </w:r>
      <w:r w:rsidRPr="0055259A">
        <w:rPr>
          <w:rFonts w:ascii="Times New Roman" w:hAnsi="Times New Roman" w:cs="Times New Roman"/>
          <w:noProof/>
          <w:sz w:val="24"/>
          <w:szCs w:val="24"/>
          <w:lang w:eastAsia="fr-FR"/>
        </w:rPr>
        <w:drawing>
          <wp:inline distT="0" distB="0" distL="0" distR="0" wp14:anchorId="26313010" wp14:editId="0328C872">
            <wp:extent cx="2367048" cy="2515583"/>
            <wp:effectExtent l="1905" t="0" r="0" b="0"/>
            <wp:docPr id="49" name="Image 49" descr="C:\Users\Christelle\Pictures\Camera Roll\WIN_20250411_21_46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elle\Pictures\Camera Roll\WIN_20250411_21_46_52_Pr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51" r="34052"/>
                    <a:stretch/>
                  </pic:blipFill>
                  <pic:spPr bwMode="auto">
                    <a:xfrm rot="5400000">
                      <a:off x="0" y="0"/>
                      <a:ext cx="2391108" cy="2541153"/>
                    </a:xfrm>
                    <a:prstGeom prst="rect">
                      <a:avLst/>
                    </a:prstGeom>
                    <a:noFill/>
                    <a:ln>
                      <a:noFill/>
                    </a:ln>
                    <a:extLst>
                      <a:ext uri="{53640926-AAD7-44D8-BBD7-CCE9431645EC}">
                        <a14:shadowObscured xmlns:a14="http://schemas.microsoft.com/office/drawing/2010/main"/>
                      </a:ext>
                    </a:extLst>
                  </pic:spPr>
                </pic:pic>
              </a:graphicData>
            </a:graphic>
          </wp:inline>
        </w:drawing>
      </w:r>
    </w:p>
    <w:p w14:paraId="234649A7" w14:textId="30D0A05F" w:rsidR="00EE3E75" w:rsidRPr="00674764" w:rsidRDefault="008971CE" w:rsidP="00674764">
      <w:pPr>
        <w:spacing w:line="360" w:lineRule="auto"/>
        <w:jc w:val="both"/>
        <w:rPr>
          <w:rFonts w:ascii="Times New Roman" w:hAnsi="Times New Roman" w:cs="Times New Roman"/>
          <w:sz w:val="24"/>
        </w:rPr>
        <w:sectPr w:rsidR="00EE3E75" w:rsidRPr="00674764" w:rsidSect="00993D4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pgNumType w:start="1"/>
          <w:cols w:space="708"/>
          <w:titlePg/>
          <w:docGrid w:linePitch="360"/>
        </w:sectPr>
      </w:pPr>
      <w:r>
        <w:rPr>
          <w:rFonts w:ascii="Times New Roman" w:hAnsi="Times New Roman" w:cs="Times New Roman"/>
          <w:sz w:val="24"/>
        </w:rPr>
        <w:t xml:space="preserve">Fig 7 </w:t>
      </w:r>
      <w:r w:rsidR="006C3CF7">
        <w:rPr>
          <w:rFonts w:ascii="Times New Roman" w:hAnsi="Times New Roman" w:cs="Times New Roman"/>
          <w:sz w:val="24"/>
        </w:rPr>
        <w:t>Morphological</w:t>
      </w:r>
      <w:r w:rsidR="00EE3E75">
        <w:rPr>
          <w:rFonts w:ascii="Times New Roman" w:hAnsi="Times New Roman" w:cs="Times New Roman"/>
          <w:sz w:val="24"/>
        </w:rPr>
        <w:t xml:space="preserve">  </w:t>
      </w:r>
      <w:r w:rsidR="006C3CF7">
        <w:rPr>
          <w:rFonts w:ascii="Times New Roman" w:hAnsi="Times New Roman" w:cs="Times New Roman"/>
          <w:sz w:val="24"/>
        </w:rPr>
        <w:t xml:space="preserve"> characterization by Gram staining of potentially pathogenic bacteria </w:t>
      </w:r>
    </w:p>
    <w:p w14:paraId="69303096" w14:textId="77777777" w:rsidR="00674764" w:rsidRPr="00674764" w:rsidRDefault="00674764" w:rsidP="00674764">
      <w:pPr>
        <w:spacing w:line="360" w:lineRule="auto"/>
        <w:jc w:val="both"/>
        <w:rPr>
          <w:rFonts w:ascii="Times New Roman" w:hAnsi="Times New Roman" w:cs="Times New Roman"/>
          <w:b/>
          <w:sz w:val="24"/>
        </w:rPr>
      </w:pPr>
      <w:r w:rsidRPr="00674764">
        <w:rPr>
          <w:rFonts w:ascii="Times New Roman" w:hAnsi="Times New Roman" w:cs="Times New Roman"/>
          <w:b/>
          <w:sz w:val="24"/>
        </w:rPr>
        <w:lastRenderedPageBreak/>
        <w:t>4. Discussion</w:t>
      </w:r>
    </w:p>
    <w:p w14:paraId="1652941B" w14:textId="031C0CE3" w:rsidR="00A05004" w:rsidRPr="00190F8F" w:rsidRDefault="00604F46" w:rsidP="00674764">
      <w:pPr>
        <w:spacing w:line="360" w:lineRule="auto"/>
        <w:jc w:val="both"/>
        <w:rPr>
          <w:rFonts w:ascii="Times New Roman" w:hAnsi="Times New Roman" w:cs="Times New Roman"/>
          <w:sz w:val="24"/>
        </w:rPr>
      </w:pPr>
      <w:r>
        <w:rPr>
          <w:rFonts w:ascii="Times New Roman" w:hAnsi="Times New Roman" w:cs="Times New Roman"/>
          <w:sz w:val="24"/>
        </w:rPr>
        <w:t xml:space="preserve">This study, conducted in the </w:t>
      </w:r>
      <w:r w:rsidR="000724A3">
        <w:rPr>
          <w:rFonts w:ascii="Times New Roman" w:hAnsi="Times New Roman" w:cs="Times New Roman"/>
          <w:sz w:val="24"/>
        </w:rPr>
        <w:t>Daloa health district, aimed to investigate the microbiological quality of two non-alcoholic artisanal beverages, Bissap and Gnamankoudji. While their growing consumption in the Haut-Sassandra region is driven by deep-rooted socio-cultural habits, the results confirmed significant health concerns. The physicochemical results reveal high variabilit</w:t>
      </w:r>
      <w:r w:rsidR="00EF6784">
        <w:rPr>
          <w:rFonts w:ascii="Times New Roman" w:hAnsi="Times New Roman" w:cs="Times New Roman"/>
          <w:sz w:val="24"/>
        </w:rPr>
        <w:t xml:space="preserve">y between sites. The pHj of Bissap ranges from 5.18±2.67 to 9.1±1.89, while for Gnamankoudji it varies from 5.58±2.26 to 10.6±2.4, covering an exceptional range from acidic to basic, far from the expected naturally acidic profile </w:t>
      </w:r>
      <w:r w:rsidR="00EF678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{"citationID":"58DpGMWm","properties":{"formattedCitation":"({\\i0{}Da-Costa-Rocha {\\i{}et al.}}, 2014)","plainCitation":"(Da-Costa-Rocha et al., 2014)","noteIndex":0},"citationItems":[{"id":15,"uris":["http://zotero.org/users/17472374/items/FNEQG5LG"],"itemData":{"id":15,"type":"article-journal","abstract":"Hibiscus sabdariffa L. (Hs, roselle; Malvaceae) has been used traditionally as a food, in herbal drinks, in hot and cold beverages, as a flavouring agent in the food industry and as a herbal medicine. In vitro and in vivo studies as well as some clinical trials provide some evidence mostly for phytochemically poorly characterised Hs extracts. Extracts showed antibacterial, anti-oxidant, nephro- and hepato-protective, renal/diuretic effect, effects on lipid metabolism (anti-cholesterol), anti-diabetic and anti-hypertensive effects among others. This might be linked to strong antioxidant activities, inhibition of α-glucosidase and α-amylase, inhibition of angiotensin-converting enzymes (ACE), and direct vaso-relaxant effect or calcium channel modulation. Phenolic acids (esp. protocatechuic acid), organic acid (hydroxycitric acid and hibiscus acid) and anthocyanins (delphinidin-3-sambubioside and cyanidin-3-sambubioside) are likely to contribute to the reported effects. More well designed controlled clinical trials are needed which use phytochemically characterised preparations. Hs has an excellent safety and tolerability record.","container-title":"Food Chemistry","DOI":"10.1016/j.foodchem.2014.05.002","ISSN":"1873-7072","journalAbbreviation":"Food Chem","language":"eng","page":"424-443","PMID":"25038696","source":"PubMed","title":"Hibiscus sabdariffa L. - a phytochemical and pharmacological review","volume":"165","author":[{"family":"Da-Costa-Rocha","given":"Inês"},{"family":"Bonnlaender","given":"Bernd"},{"family":"Sievers","given":"Hartwig"},{"family":"Pischel","given":"Ivo"},{"family":"Heinrich","given":"Michael"}],"issued":{"date-parts":[["2014",12,15]]}}}],"schema":"https://github.com/citation-style-language/schema/raw/master/csl-citation.json"} </w:instrText>
      </w:r>
      <w:r w:rsidR="00EF6784">
        <w:rPr>
          <w:rFonts w:ascii="Times New Roman" w:hAnsi="Times New Roman" w:cs="Times New Roman"/>
          <w:sz w:val="24"/>
        </w:rPr>
        <w:fldChar w:fldCharType="separate"/>
      </w:r>
      <w:r w:rsidR="00EF6784" w:rsidRPr="00EF6784">
        <w:rPr>
          <w:rFonts w:ascii="Times New Roman" w:hAnsi="Times New Roman" w:cs="Times New Roman"/>
          <w:sz w:val="24"/>
          <w:szCs w:val="24"/>
        </w:rPr>
        <w:t xml:space="preserve">(Da-Costa-Rocha </w:t>
      </w:r>
      <w:r w:rsidR="00EF6784" w:rsidRPr="00EF6784">
        <w:rPr>
          <w:rFonts w:ascii="Times New Roman" w:hAnsi="Times New Roman" w:cs="Times New Roman"/>
          <w:i/>
          <w:iCs/>
          <w:sz w:val="24"/>
          <w:szCs w:val="24"/>
        </w:rPr>
        <w:t>et al.</w:t>
      </w:r>
      <w:r w:rsidR="00EF6784" w:rsidRPr="00EF6784">
        <w:rPr>
          <w:rFonts w:ascii="Times New Roman" w:hAnsi="Times New Roman" w:cs="Times New Roman"/>
          <w:sz w:val="24"/>
          <w:szCs w:val="24"/>
        </w:rPr>
        <w:t>, 2014)</w:t>
      </w:r>
      <w:r w:rsidR="00EF6784">
        <w:rPr>
          <w:rFonts w:ascii="Times New Roman" w:hAnsi="Times New Roman" w:cs="Times New Roman"/>
          <w:sz w:val="24"/>
        </w:rPr>
        <w:fldChar w:fldCharType="end"/>
      </w:r>
      <w:r w:rsidR="00EF6784">
        <w:rPr>
          <w:rFonts w:ascii="Times New Roman" w:hAnsi="Times New Roman" w:cs="Times New Roman"/>
          <w:sz w:val="24"/>
        </w:rPr>
        <w:t xml:space="preserve"> : typically 2.47 for Bissap and 3.71 for Gnamankoudji in Abidjan </w:t>
      </w:r>
      <w:r w:rsidR="000724A3">
        <w:rPr>
          <w:rFonts w:ascii="Times New Roman" w:hAnsi="Times New Roman" w:cs="Times New Roman"/>
          <w:sz w:val="24"/>
        </w:rPr>
        <w:t xml:space="preserve"> </w:t>
      </w:r>
      <w:r w:rsidR="00EF678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{"citationID":"3f7PvOUU","properties":{"formattedCitation":"({\\i0{}Ahon {\\i{}et al.}}, 2022)","plainCitation":"(Ahon et al., 2022)","noteIndex":0},"citationItems":[{"id":"0cqukldy/b9So9SjO","uris":["http://zotero.org/users/17472374/items/3ED6AWSH"],"itemData":{"id":"0cqukldy/b9So9SjO","type":"article-journal","container-title":"Open Journal of Applied Sciences","DOI":"10.4236/ojapps.2022.126066","ISSN":"2165-3917, 2165-3925","issue":"06","journalAbbreviation":"OJAppS","page":"964-976","source":"DOI.org (Crossref)","title":"Physicochemical and Microbiological Properties of Bissap (&amp;lt;i&amp;gt;Hibiscus sabdariffa&amp;lt;/i&amp;gt;) and Ginger (&amp;lt;i&amp;gt;Zingiber officinale&amp;lt;/i&amp;gt; (L) Rose) Juices Sold in the Western Part of Abidjan (C&amp;#244;te d’Ivoire)","volume":"12","author":[{"family":"Ahon","given":"Gnamien Marcel"},{"family":"Bolou","given":"Gbouhoury Eric-Kévin"},{"family":"Fofana","given":"Mamadou"},{"family":"Amoikon","given":"Kouakou Ernest"}],"issued":{"date-parts":[["2022"]]}}}],"schema":"https://github.com/citation-style-language/schema/raw/master/csl-citation.json"} </w:instrText>
      </w:r>
      <w:r w:rsidR="00EF6784">
        <w:rPr>
          <w:rFonts w:ascii="Times New Roman" w:hAnsi="Times New Roman" w:cs="Times New Roman"/>
          <w:sz w:val="24"/>
        </w:rPr>
        <w:fldChar w:fldCharType="separate"/>
      </w:r>
      <w:r w:rsidR="00EF6784" w:rsidRPr="00EF6784">
        <w:rPr>
          <w:rFonts w:ascii="Times New Roman" w:hAnsi="Times New Roman" w:cs="Times New Roman"/>
          <w:sz w:val="24"/>
          <w:szCs w:val="24"/>
        </w:rPr>
        <w:t xml:space="preserve">(Ahon </w:t>
      </w:r>
      <w:r w:rsidR="00EF6784" w:rsidRPr="00EF6784">
        <w:rPr>
          <w:rFonts w:ascii="Times New Roman" w:hAnsi="Times New Roman" w:cs="Times New Roman"/>
          <w:i/>
          <w:iCs/>
          <w:sz w:val="24"/>
          <w:szCs w:val="24"/>
        </w:rPr>
        <w:t>et al.</w:t>
      </w:r>
      <w:r w:rsidR="00EF6784" w:rsidRPr="00EF6784">
        <w:rPr>
          <w:rFonts w:ascii="Times New Roman" w:hAnsi="Times New Roman" w:cs="Times New Roman"/>
          <w:sz w:val="24"/>
          <w:szCs w:val="24"/>
        </w:rPr>
        <w:t>, 2022)</w:t>
      </w:r>
      <w:r w:rsidR="00EF6784">
        <w:rPr>
          <w:rFonts w:ascii="Times New Roman" w:hAnsi="Times New Roman" w:cs="Times New Roman"/>
          <w:sz w:val="24"/>
        </w:rPr>
        <w:fldChar w:fldCharType="end"/>
      </w:r>
      <w:r w:rsidR="00EF6784">
        <w:rPr>
          <w:rFonts w:ascii="Times New Roman" w:hAnsi="Times New Roman" w:cs="Times New Roman"/>
          <w:sz w:val="24"/>
        </w:rPr>
        <w:t xml:space="preserve">, 2.252-2.79 in Burkina Faso </w:t>
      </w:r>
      <w:r w:rsidR="00EF678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{"citationID":"e6FJJXuR","properties":{"formattedCitation":"({\\i0{}Compaore {\\i{}et al.}}, 2021)","plainCitation":"(Compaore et al., 2021)","noteIndex":0},"citationItems":[{"id":1128,"uris":["http://zotero.org/users/17472374/items/CFHJ58P9"],"itemData":{"id":1128,"type":"article","abstract":"Abstract\n          \n            The aim of the present study was to assess the microbial quality of five different types of food such as bread, pasta, rice with sauce, beans and milk sold in five localities of Burkina Faso. One hundred and one (101) samples were collected and microbial quality were assessed by evaluating the food hygiene indicators such as total aerobic mesophilic flora, total coliforms, thermotolerant coliforms, yeast and mould. Food safety indicators such as\n            Escherichia coli, Salmonella\n            , coagulase-positive staphylococci,\n            Clostridium perfringens\n            and\n            Bacillus cereus\n            were checked too. All samples were analyzed under ISO methods.\n          \n          \n            The results showed that 73.27% of samples were satisfactory while 14.85% were acceptable and 11.88% were not satisfactory according to international standards. Among the food safety indicators sought,\n            Escherichia coli\n            was detected in two samples and\n            Bacillus cereus\n            in four samples. Most of the analyzed food exhibited good hygiene behavior within the acceptable limits and the highest of not satisfactory rate was observed in milk powder and rice with sauce. Ouagadougou samples record the highest number of not satisfactory samples.\n          \n          Despite the general quality was satisfactory, the presence of specific microorganisms such as coliforms is indicative of the poor hygiene surrounded these foods. It is therefore necessary to train and follow up the vendors in the handling of equipment, hand-washing practices and selling environment hygiene for better improvement of the quality of the street foods.","DOI":"10.1101/2021.09.28.462219","language":"en","publisher":"Microbiology","source":"DOI.org (Crossref)","title":"Microbiological quality assessment of five common foods sold at different points of sale in Burkina-Faso","URL":"http://biorxiv.org/lookup/doi/10.1101/2021.09.28.462219","author":[{"family":"Compaore","given":"Muller K. A"},{"family":"Kpoda","given":"Dissinviel Stéphane"},{"family":"Bazie","given":"Bazoin S. R."},{"family":"Ouedraogo","given":"Marcelline"},{"family":"Yakoro","given":"Alphonse"},{"family":"Nikiema","given":"Fulbert"},{"family":"Belemlougri","given":"Asseto"},{"family":"Meda","given":"Romaric"},{"family":"Bande","given":"Moumouni"},{"family":"Barro","given":"Nicolas"},{"family":"Kabre","given":"Elie"}],"accessed":{"date-parts":[["2025",12,15]]},"issued":{"date-parts":[["2021",9,28]]}}}],"schema":"https://github.com/citation-style-language/schema/raw/master/csl-citation.json"} </w:instrText>
      </w:r>
      <w:r w:rsidR="00EF6784">
        <w:rPr>
          <w:rFonts w:ascii="Times New Roman" w:hAnsi="Times New Roman" w:cs="Times New Roman"/>
          <w:sz w:val="24"/>
        </w:rPr>
        <w:fldChar w:fldCharType="separate"/>
      </w:r>
      <w:r w:rsidR="00EF6784" w:rsidRPr="00EF6784">
        <w:rPr>
          <w:rFonts w:ascii="Times New Roman" w:hAnsi="Times New Roman" w:cs="Times New Roman"/>
          <w:sz w:val="24"/>
          <w:szCs w:val="24"/>
        </w:rPr>
        <w:t xml:space="preserve">(Compaore </w:t>
      </w:r>
      <w:r w:rsidR="00EF6784" w:rsidRPr="00EF6784">
        <w:rPr>
          <w:rFonts w:ascii="Times New Roman" w:hAnsi="Times New Roman" w:cs="Times New Roman"/>
          <w:i/>
          <w:iCs/>
          <w:sz w:val="24"/>
          <w:szCs w:val="24"/>
        </w:rPr>
        <w:t>et al.</w:t>
      </w:r>
      <w:r w:rsidR="00EF6784" w:rsidRPr="00EF6784">
        <w:rPr>
          <w:rFonts w:ascii="Times New Roman" w:hAnsi="Times New Roman" w:cs="Times New Roman"/>
          <w:sz w:val="24"/>
          <w:szCs w:val="24"/>
        </w:rPr>
        <w:t>, 2021)</w:t>
      </w:r>
      <w:r w:rsidR="00EF6784">
        <w:rPr>
          <w:rFonts w:ascii="Times New Roman" w:hAnsi="Times New Roman" w:cs="Times New Roman"/>
          <w:sz w:val="24"/>
        </w:rPr>
        <w:fldChar w:fldCharType="end"/>
      </w:r>
      <w:r w:rsidR="00EF6784">
        <w:rPr>
          <w:rFonts w:ascii="Times New Roman" w:hAnsi="Times New Roman" w:cs="Times New Roman"/>
          <w:sz w:val="24"/>
        </w:rPr>
        <w:t xml:space="preserve">, or 2.96-3.08 </w:t>
      </w:r>
      <w:r w:rsidR="00EF678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{"citationID":"iAT0NcFE","properties":{"formattedCitation":"({\\i0{}Micheline {\\i{}et al.}}, 2011)","plainCitation":"(Micheline et al., 2011)","noteIndex":0},"citationItems":[{"id":1130,"uris":["http://zotero.org/users/17472374/items/CE3ARM48"],"itemData":{"id":1130,"type":"article-journal","abstract":"Cette étude a été réalisée dans une approche de conservation. Ainsi, 6 échantillons de boisson \"Bissap\" achetés à différents points de vente à Cotonou/Bénin ont été soumis à des analyses microbiologiques et sensorielles. Les résultats des analyses microbiologiques réalisées par rapport aux germes recherchés (flore mésophile totale (germes totaux), coliformes totaux et thermotolérants (E. coli), staphylocoques (Staphylococcus aureus), salmonelles, levures et moisissures), tout juste après l’achat des boissons \"Bissap\" ont présenté des profils très variés. Dans le but de suivre l’évolution des flores mésophiles et fongiques ; un échantillon de ladite boisson renfermant la plupart de ces germes recherchés a été conservé à 26 ±1°C ou à 4 ±1°C, après avoir ajouté des huiles essentielles d’Ocimum basilicum L. (Lamiaceae) et de Melaleuca leucadendron L. (Myrtaceae) à de faibles doses. Cette étude a permis de noter que les échantillons ont gardé leur couleur initiale avec des arômes naturelles très appréciées pendant 8 jours, sans qu’on ait noté une fermentation rapide contrairement aux aliquotes de \"Bissap\" qui n’ont pas été mélangées avec les huiles essentielle Les pourcentages d’inhibition des flores mésophiles et fongiques au niveau des différents mélanges sont très diversifiés et varient de 22,87 à 99,59%. Ces huiles ont exercé un effet microbiostatique sur les germes initiaux contenus dans la boisson \"Bissap\". Par contre, des effets bactéricides et fongicides à de faibles doses des huiles essentielles ont été observés in vitro sur des souches isolées de la boisson. Les présents résultats peuvent servir de base à éviter les problèmes de fermentation.","container-title":"Rev. Microbiol. Ind. San et Environn.","issue":"1","journalAbbreviation":"Rev. Microbiol. Ind. San et Environn.","page":"1-23","source":"ResearchGate","title":"EFFETS DES HUILES ESSENTIELLES SUR LES QUALITES HYGIENIQUES ET ORGANOLEPTIQUES DE LA BOISSON \"BISSAP\"","volume":"5","author":[{"family":"Micheline","given":"Agassounon Tchibozo"},{"family":"Bada","given":"Fred"},{"family":"AHANHANZO","given":"C."},{"family":"ADISSO","given":"S.A."},{"family":"Fatiou","given":"Toukourou"},{"family":"Souza","given":"Cynthia"}],"issued":{"date-parts":[["2011",1,1]]}}}],"schema":"https://github.com/citation-style-language/schema/raw/master/csl-citation.json"} </w:instrText>
      </w:r>
      <w:r w:rsidR="00EF6784">
        <w:rPr>
          <w:rFonts w:ascii="Times New Roman" w:hAnsi="Times New Roman" w:cs="Times New Roman"/>
          <w:sz w:val="24"/>
        </w:rPr>
        <w:fldChar w:fldCharType="separate"/>
      </w:r>
      <w:r w:rsidR="00EF6784" w:rsidRPr="00EF6784">
        <w:rPr>
          <w:rFonts w:ascii="Times New Roman" w:hAnsi="Times New Roman" w:cs="Times New Roman"/>
          <w:sz w:val="24"/>
          <w:szCs w:val="24"/>
        </w:rPr>
        <w:t xml:space="preserve">(Micheline </w:t>
      </w:r>
      <w:r w:rsidR="00EF6784" w:rsidRPr="00EF6784">
        <w:rPr>
          <w:rFonts w:ascii="Times New Roman" w:hAnsi="Times New Roman" w:cs="Times New Roman"/>
          <w:i/>
          <w:iCs/>
          <w:sz w:val="24"/>
          <w:szCs w:val="24"/>
        </w:rPr>
        <w:t>et al.</w:t>
      </w:r>
      <w:r w:rsidR="00EF6784" w:rsidRPr="00EF6784">
        <w:rPr>
          <w:rFonts w:ascii="Times New Roman" w:hAnsi="Times New Roman" w:cs="Times New Roman"/>
          <w:sz w:val="24"/>
          <w:szCs w:val="24"/>
        </w:rPr>
        <w:t>, 2011)</w:t>
      </w:r>
      <w:r w:rsidR="00EF6784">
        <w:rPr>
          <w:rFonts w:ascii="Times New Roman" w:hAnsi="Times New Roman" w:cs="Times New Roman"/>
          <w:sz w:val="24"/>
        </w:rPr>
        <w:fldChar w:fldCharType="end"/>
      </w:r>
      <w:r w:rsidR="00EF6784">
        <w:rPr>
          <w:rFonts w:ascii="Times New Roman" w:hAnsi="Times New Roman" w:cs="Times New Roman"/>
          <w:sz w:val="24"/>
        </w:rPr>
        <w:t xml:space="preserve"> ; for processed ginger, 4.4-4.8 </w:t>
      </w:r>
      <w:r w:rsidR="00EF678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{"citationID":"APvFU1zP","properties":{"formattedCitation":"(Bayo\\uc0\\u239{}, 2024)","plainCitation":"(Bayoï, 2024)","noteIndex":0},"citationItems":[{"id":1134,"uris":["http://zotero.org/users/17472374/items/R7DJ2CLL"],"itemData":{"id":1134,"type":"article-journal","container-title":"Applied Food Research","DOI":"10.1016/j.afres.2024.100495","issue":"2","journalAbbreviation":"Applied Food Research","page":"100-495","source":"ResearchGate","title":"Unveiling the traditional preparation, biochemical, phytochemical components, antioxidant and microbial properties of “jenja”, a ready-to-serve ginger-based beverage vended and consumed in northern Cameroon","volume":"4","author":[{"family":"Bayoï","given":"James"}],"issued":{"date-parts":[["2024",12,1]]}}}],"schema":"https://github.com/citation-style-language/schema/raw/master/csl-citation.json"} </w:instrText>
      </w:r>
      <w:r w:rsidR="00EF6784">
        <w:rPr>
          <w:rFonts w:ascii="Times New Roman" w:hAnsi="Times New Roman" w:cs="Times New Roman"/>
          <w:sz w:val="24"/>
        </w:rPr>
        <w:fldChar w:fldCharType="separate"/>
      </w:r>
      <w:r w:rsidR="00EF6784" w:rsidRPr="00EF6784">
        <w:rPr>
          <w:rFonts w:ascii="Times New Roman" w:hAnsi="Times New Roman" w:cs="Times New Roman"/>
          <w:sz w:val="24"/>
          <w:szCs w:val="24"/>
        </w:rPr>
        <w:t>(Bayoï, 2024)</w:t>
      </w:r>
      <w:r w:rsidR="00EF6784">
        <w:rPr>
          <w:rFonts w:ascii="Times New Roman" w:hAnsi="Times New Roman" w:cs="Times New Roman"/>
          <w:sz w:val="24"/>
        </w:rPr>
        <w:fldChar w:fldCharType="end"/>
      </w:r>
      <w:r w:rsidR="006B3EE2">
        <w:rPr>
          <w:rFonts w:ascii="Times New Roman" w:hAnsi="Times New Roman" w:cs="Times New Roman"/>
          <w:sz w:val="24"/>
        </w:rPr>
        <w:t xml:space="preserve">. These deviations are explained by incomplete fermentations favoring alkalinizing bacteria like </w:t>
      </w:r>
      <w:r w:rsidR="006B3EE2" w:rsidRPr="006B3EE2">
        <w:rPr>
          <w:rFonts w:ascii="Times New Roman" w:hAnsi="Times New Roman" w:cs="Times New Roman"/>
          <w:i/>
          <w:sz w:val="24"/>
        </w:rPr>
        <w:t>Bacillus</w:t>
      </w:r>
      <w:r w:rsidR="006B3EE2">
        <w:rPr>
          <w:rFonts w:ascii="Times New Roman" w:hAnsi="Times New Roman" w:cs="Times New Roman"/>
          <w:sz w:val="24"/>
        </w:rPr>
        <w:t>, the use</w:t>
      </w:r>
      <w:r w:rsidR="00EF6784">
        <w:rPr>
          <w:rFonts w:ascii="Times New Roman" w:hAnsi="Times New Roman" w:cs="Times New Roman"/>
          <w:sz w:val="24"/>
        </w:rPr>
        <w:t xml:space="preserve"> </w:t>
      </w:r>
      <w:r w:rsidR="006B3EE2">
        <w:rPr>
          <w:rFonts w:ascii="Times New Roman" w:hAnsi="Times New Roman" w:cs="Times New Roman"/>
          <w:sz w:val="24"/>
        </w:rPr>
        <w:t xml:space="preserve">of well water rich in alkaline salts for dilution, or additives (colorants for Bissap), neutralizing natural organic acids (citric, malic, ascorbic) and eroding the protective barrier against pathogens </w:t>
      </w:r>
      <w:r w:rsidR="006B3EE2">
        <w:rPr>
          <w:rFonts w:ascii="Times New Roman" w:hAnsi="Times New Roman" w:cs="Times New Roman"/>
          <w:sz w:val="24"/>
        </w:rPr>
        <w:fldChar w:fldCharType="begin"/>
      </w:r>
      <w:r w:rsidR="006B3EE2">
        <w:rPr>
          <w:rFonts w:ascii="Times New Roman" w:hAnsi="Times New Roman" w:cs="Times New Roman"/>
          <w:sz w:val="24"/>
        </w:rPr>
        <w:instrText xml:space="preserve"> ADDIN ZOTERO_ITEM CSL_CITATION {"citationID":"9kTTpsQf","properties":{"formattedCitation":"({\\i0{}Ndiaye {\\i{}et al.}}, 2015 ; {\\i0{}Ehouman {\\i{}et al.}}, 2020)","plainCitation":"(Ndiaye et al., 2015 ; Ehouman et al., 2020)","noteIndex":0},"citationItems":[{"id":1132,"uris":["http://zotero.org/users/17472374/items/YQN5XABR"],"itemData":{"id":1132,"type":"article-journal","issue":"3","page":"197-210","title":"Diagnostic et caractérisation microbiologique des procédés artisanaux de fabrication de boissons et de concentrés d'Hibiscus sabdariffa L. au Ssénégal. Afrique Science","volume":"11","author":[{"family":"Ndiaye","given":"NA","suffix":"Dieng, M."},{"family":"Kane,","given":"A.","suffix":"Cisse, M."},{"family":"Montet,","given":"D"},{"family":"Touré,","given":"NC"}],"issued":{"date-parts":[["2015"]]}}},{"id":1098,"uris":["http://zotero.org/users/17472374/items/WG2NJ9Z6"],"itemData":{"id":1098,"type":"article-journal","abstract":"This study was conducted to ascertain the Sanitary state of beverages (Gnamankoudji, Bissap and Tomi) sold in the streets of Daloa (Côte d'Ivoire). To conduct the study, a survey was carried out to diagnose the different non-alcoholic artisanal drinks sold in the town of Daloa. The diagnosis revealed that 87.5% of consumers buy the drinks from the vendors while 12.5% produce them themselves. These drinks are consumed mainly by 77% of young people (˂ 30 years old), mostly pupils and students. Furthermore, 83.5% of the respondents have no knowledge of chemical contamination of the beverages they consume and various ailments have been reported by consumers. Toxicological analyses carried out on these three (3) beverages revealed that they present a risk to the health of the consumer. This is because the level of contamination of these beverages is three (3) to five (5) times higher than the European recommendations on the maximum tolerable level of PAT (50 µg.L-1) in fruit juices and derived beverages.","container-title":"European Journal of Agriculture and Food Sciences","DOI":"10.24018/ejfood.2020.2.4.55","ISSN":"2684-1827","issue":"4","language":"en","license":"Copyright (c) 2020 Ehouman Ano Guy Serge, Yao N’zué Benjamin, Kpata-Konan Nazo Edith, Traore Karim Sory, Tano Kablan","source":"mail.ejfood.org","title":"Evaluation of The Patulin Content of Certain Non-Alcoholic Beverages (Gnamankoudji, Bissap And Tomi) Sold on The Streets of Daloa (Côte d’Ivoire)","URL":"https://mail.ejfood.org/index.php/ejfood/article/view/55","volume":"2","author":[{"family":"Ehouman","given":"Serge Ano Guy"},{"family":"Benjamin","given":"Yao N’zué"},{"family":"Edith","given":"Kpata-Konan Nazo"},{"family":"Sory","given":"Traore Karim"},{"family":"Kablan","given":"Tano"}],"accessed":{"date-parts":[["2025",12,13]]},"issued":{"date-parts":[["2020",7,22]]}}}],"schema":"https://github.com/citation-style-language/schema/raw/master/csl-citation.json"} </w:instrText>
      </w:r>
      <w:r w:rsidR="006B3EE2">
        <w:rPr>
          <w:rFonts w:ascii="Times New Roman" w:hAnsi="Times New Roman" w:cs="Times New Roman"/>
          <w:sz w:val="24"/>
        </w:rPr>
        <w:fldChar w:fldCharType="separate"/>
      </w:r>
      <w:r w:rsidR="006B3EE2" w:rsidRPr="006B3EE2">
        <w:rPr>
          <w:rFonts w:ascii="Times New Roman" w:hAnsi="Times New Roman" w:cs="Times New Roman"/>
          <w:sz w:val="24"/>
          <w:szCs w:val="24"/>
        </w:rPr>
        <w:t xml:space="preserve">(Ndiaye </w:t>
      </w:r>
      <w:r w:rsidR="006B3EE2" w:rsidRPr="006B3EE2">
        <w:rPr>
          <w:rFonts w:ascii="Times New Roman" w:hAnsi="Times New Roman" w:cs="Times New Roman"/>
          <w:i/>
          <w:iCs/>
          <w:sz w:val="24"/>
          <w:szCs w:val="24"/>
        </w:rPr>
        <w:t>et al.</w:t>
      </w:r>
      <w:r w:rsidR="006B3EE2" w:rsidRPr="006B3EE2">
        <w:rPr>
          <w:rFonts w:ascii="Times New Roman" w:hAnsi="Times New Roman" w:cs="Times New Roman"/>
          <w:sz w:val="24"/>
          <w:szCs w:val="24"/>
        </w:rPr>
        <w:t xml:space="preserve">, 2015 ; Ehouman </w:t>
      </w:r>
      <w:r w:rsidR="006B3EE2" w:rsidRPr="006B3EE2">
        <w:rPr>
          <w:rFonts w:ascii="Times New Roman" w:hAnsi="Times New Roman" w:cs="Times New Roman"/>
          <w:i/>
          <w:iCs/>
          <w:sz w:val="24"/>
          <w:szCs w:val="24"/>
        </w:rPr>
        <w:t>et al.</w:t>
      </w:r>
      <w:r w:rsidR="006B3EE2" w:rsidRPr="006B3EE2">
        <w:rPr>
          <w:rFonts w:ascii="Times New Roman" w:hAnsi="Times New Roman" w:cs="Times New Roman"/>
          <w:sz w:val="24"/>
          <w:szCs w:val="24"/>
        </w:rPr>
        <w:t>, 2020)</w:t>
      </w:r>
      <w:r w:rsidR="006B3EE2">
        <w:rPr>
          <w:rFonts w:ascii="Times New Roman" w:hAnsi="Times New Roman" w:cs="Times New Roman"/>
          <w:sz w:val="24"/>
        </w:rPr>
        <w:fldChar w:fldCharType="end"/>
      </w:r>
      <w:r w:rsidR="006B3EE2">
        <w:rPr>
          <w:rFonts w:ascii="Times New Roman" w:hAnsi="Times New Roman" w:cs="Times New Roman"/>
          <w:sz w:val="24"/>
        </w:rPr>
        <w:t xml:space="preserve">. A pH &gt; 4.5, critical in the food industry </w:t>
      </w:r>
      <w:r w:rsidR="006B3EE2">
        <w:rPr>
          <w:rFonts w:ascii="Times New Roman" w:hAnsi="Times New Roman" w:cs="Times New Roman"/>
          <w:sz w:val="24"/>
        </w:rPr>
        <w:fldChar w:fldCharType="begin"/>
      </w:r>
      <w:r w:rsidR="006B3EE2">
        <w:rPr>
          <w:rFonts w:ascii="Times New Roman" w:hAnsi="Times New Roman" w:cs="Times New Roman"/>
          <w:sz w:val="24"/>
        </w:rPr>
        <w:instrText xml:space="preserve"> ADDIN ZOTERO_ITEM CSL_CITATION {"citationID":"i7JE5x9V","properties":{"formattedCitation":"(Program, 2024)","plainCitation":"(Program, 2024)","noteIndex":0},"citationItems":[{"id":410,"uris":["http://zotero.org/users/17472374/items/Z3BV6CKC"],"itemData":{"id":410,"type":"article-journal","abstract":"Quantitative Assessment of Relative Table of Contents: Risk to Public Health from Foodborne Listeria monocytogenes Among Selected Categories of Ready-to-Eat Foods.","container-title":"FDA","language":"fr","publisher":"FDA","source":"www.fda.gov","title":"Quantitative Assessment of Relative Risk to Public Health from Foodborne Listeria monocytogenes Among Selected Categories of Ready-to-Eat Foods","URL":"https://www.fda.gov/food/risk-and-safety-assessments-food/quantitative-assessment-relative-risk-public-health-foodborne-listeria-monocytogenes-among-selected","author":[{"family":"Program","given":"Human Foods"}],"accessed":{"date-parts":[["2025",9,8]]},"issued":{"date-parts":[["2024",8,30]]}}}],"schema":"https://github.com/citation-style-language/schema/raw/master/csl-citation.json"} </w:instrText>
      </w:r>
      <w:r w:rsidR="006B3EE2">
        <w:rPr>
          <w:rFonts w:ascii="Times New Roman" w:hAnsi="Times New Roman" w:cs="Times New Roman"/>
          <w:sz w:val="24"/>
        </w:rPr>
        <w:fldChar w:fldCharType="separate"/>
      </w:r>
      <w:r w:rsidR="006B3EE2" w:rsidRPr="006B3EE2">
        <w:rPr>
          <w:rFonts w:ascii="Times New Roman" w:hAnsi="Times New Roman" w:cs="Times New Roman"/>
          <w:sz w:val="24"/>
        </w:rPr>
        <w:t>(Program, 2024)</w:t>
      </w:r>
      <w:r w:rsidR="006B3EE2">
        <w:rPr>
          <w:rFonts w:ascii="Times New Roman" w:hAnsi="Times New Roman" w:cs="Times New Roman"/>
          <w:sz w:val="24"/>
        </w:rPr>
        <w:fldChar w:fldCharType="end"/>
      </w:r>
      <w:r w:rsidR="006B3EE2">
        <w:rPr>
          <w:rFonts w:ascii="Times New Roman" w:hAnsi="Times New Roman" w:cs="Times New Roman"/>
          <w:sz w:val="24"/>
        </w:rPr>
        <w:t xml:space="preserve">, allows increased microbial growth, particularly in combination with high sugars of 4.57± 1.92° Brix (minimum Bissap Niouboua) to 17.35± 0.35° Brix ( maximum Bissap Zepreguhe) or 16.35± 1.52° Brix (Gnamankoudji Zaibo), comparable to sodas </w:t>
      </w:r>
      <w:r w:rsidR="006B3EE2">
        <w:rPr>
          <w:rFonts w:ascii="Times New Roman" w:hAnsi="Times New Roman" w:cs="Times New Roman"/>
          <w:sz w:val="24"/>
        </w:rPr>
        <w:fldChar w:fldCharType="begin"/>
      </w:r>
      <w:r w:rsidR="006B3EE2">
        <w:rPr>
          <w:rFonts w:ascii="Times New Roman" w:hAnsi="Times New Roman" w:cs="Times New Roman"/>
          <w:sz w:val="24"/>
        </w:rPr>
        <w:instrText xml:space="preserve"> ADDIN ZOTERO_ITEM CSL_CITATION {"citationID":"oERD7g7f","properties":{"formattedCitation":"(OMS, 2015)","plainCitation":"(OMS, 2015)","noteIndex":0},"citationItems":[{"id":1052,"uris":["http://zotero.org/users/17472374/items/68APUJ2R"],"itemData":{"id":1052,"type":"webpage","abstract":"The report presents the first global and regional estimates of the burden of foodborne diseases. The large disease burden from food highlights the importance of food safety, particularly in Africa, South-East Asia and other regions.","language":"fr","title":"WHO estimates of the global burden of foodborne diseases: foodborne diseases burden epidemiology reference group 2007-2015","title-short":"WHO estimates of the global burden of foodborne diseases","URL":"https://www.who.int/publications/i/item/9789241565165","author":[{"family":"OMS","given":""}],"accessed":{"date-parts":[["2025",11,30]]},"issued":{"date-parts":[["2015"]]}}}],"schema":"https://github.com/citation-style-language/schema/raw/master/csl-citation.json"} </w:instrText>
      </w:r>
      <w:r w:rsidR="006B3EE2">
        <w:rPr>
          <w:rFonts w:ascii="Times New Roman" w:hAnsi="Times New Roman" w:cs="Times New Roman"/>
          <w:sz w:val="24"/>
        </w:rPr>
        <w:fldChar w:fldCharType="separate"/>
      </w:r>
      <w:r w:rsidR="006B3EE2" w:rsidRPr="006B3EE2">
        <w:rPr>
          <w:rFonts w:ascii="Times New Roman" w:hAnsi="Times New Roman" w:cs="Times New Roman"/>
          <w:sz w:val="24"/>
        </w:rPr>
        <w:t>(</w:t>
      </w:r>
      <w:r w:rsidR="006B3EE2">
        <w:rPr>
          <w:rFonts w:ascii="Times New Roman" w:hAnsi="Times New Roman" w:cs="Times New Roman"/>
          <w:sz w:val="24"/>
        </w:rPr>
        <w:t>WHO</w:t>
      </w:r>
      <w:r w:rsidR="006B3EE2" w:rsidRPr="006B3EE2">
        <w:rPr>
          <w:rFonts w:ascii="Times New Roman" w:hAnsi="Times New Roman" w:cs="Times New Roman"/>
          <w:sz w:val="24"/>
        </w:rPr>
        <w:t>, 2015)</w:t>
      </w:r>
      <w:r w:rsidR="006B3EE2">
        <w:rPr>
          <w:rFonts w:ascii="Times New Roman" w:hAnsi="Times New Roman" w:cs="Times New Roman"/>
          <w:sz w:val="24"/>
        </w:rPr>
        <w:fldChar w:fldCharType="end"/>
      </w:r>
      <w:r w:rsidR="006B3EE2">
        <w:rPr>
          <w:rFonts w:ascii="Times New Roman" w:hAnsi="Times New Roman" w:cs="Times New Roman"/>
          <w:sz w:val="24"/>
        </w:rPr>
        <w:t xml:space="preserve"> and providing an abundant substrate (695 mg/mL Bissap, 812 mg/mL Gnamankoudji) </w:t>
      </w:r>
      <w:r w:rsidR="006B3EE2">
        <w:rPr>
          <w:rFonts w:ascii="Times New Roman" w:hAnsi="Times New Roman" w:cs="Times New Roman"/>
          <w:sz w:val="24"/>
        </w:rPr>
        <w:fldChar w:fldCharType="begin"/>
      </w:r>
      <w:r w:rsidR="006B3EE2">
        <w:rPr>
          <w:rFonts w:ascii="Times New Roman" w:hAnsi="Times New Roman" w:cs="Times New Roman"/>
          <w:sz w:val="24"/>
        </w:rPr>
        <w:instrText xml:space="preserve"> ADDIN ZOTERO_ITEM CSL_CITATION {"citationID":"v01zuio6","properties":{"formattedCitation":"({\\i0{}Ahon {\\i{}et al.}}, 2022)","plainCitation":"(Ahon et al., 2022)","noteIndex":0},"citationItems":[{"id":"0cqukldy/b9So9SjO","uris":["http://zotero.org/users/17472374/items/3ED6AWSH"],"itemData":{"id":"0cqukldy/b9So9SjO","type":"article-journal","container-title":"Open Journal of Applied Sciences","DOI":"10.4236/ojapps.2022.126066","ISSN":"2165-3917, 2165-3925","issue":"06","journalAbbreviation":"OJAppS","page":"964-976","source":"DOI.org (Crossref)","title":"Physicochemical and Microbiological Properties of Bissap (&amp;lt;i&amp;gt;Hibiscus sabdariffa&amp;lt;/i&amp;gt;) and Ginger (&amp;lt;i&amp;gt;Zingiber officinale&amp;lt;/i&amp;gt; (L) Rose) Juices Sold in the Western Part of Abidjan (C&amp;#244;te d’Ivoire)","volume":"12","author":[{"family":"Ahon","given":"Gnamien Marcel"},{"family":"Bolou","given":"Gbouhoury Eric-Kévin"},{"family":"Fofana","given":"Mamadou"},{"family":"Amoikon","given":"Kouakou Ernest"}],"issued":{"date-parts":[["2022"]]}}}],"schema":"https://github.com/citation-style-language/schema/raw/master/csl-citation.json"} </w:instrText>
      </w:r>
      <w:r w:rsidR="006B3EE2">
        <w:rPr>
          <w:rFonts w:ascii="Times New Roman" w:hAnsi="Times New Roman" w:cs="Times New Roman"/>
          <w:sz w:val="24"/>
        </w:rPr>
        <w:fldChar w:fldCharType="separate"/>
      </w:r>
      <w:r w:rsidR="006B3EE2" w:rsidRPr="006B3EE2">
        <w:rPr>
          <w:rFonts w:ascii="Times New Roman" w:hAnsi="Times New Roman" w:cs="Times New Roman"/>
          <w:sz w:val="24"/>
          <w:szCs w:val="24"/>
        </w:rPr>
        <w:t xml:space="preserve">(Ahon </w:t>
      </w:r>
      <w:r w:rsidR="006B3EE2" w:rsidRPr="006B3EE2">
        <w:rPr>
          <w:rFonts w:ascii="Times New Roman" w:hAnsi="Times New Roman" w:cs="Times New Roman"/>
          <w:i/>
          <w:iCs/>
          <w:sz w:val="24"/>
          <w:szCs w:val="24"/>
        </w:rPr>
        <w:t>et al.</w:t>
      </w:r>
      <w:r w:rsidR="006B3EE2" w:rsidRPr="006B3EE2">
        <w:rPr>
          <w:rFonts w:ascii="Times New Roman" w:hAnsi="Times New Roman" w:cs="Times New Roman"/>
          <w:sz w:val="24"/>
          <w:szCs w:val="24"/>
        </w:rPr>
        <w:t>, 2022)</w:t>
      </w:r>
      <w:r w:rsidR="006B3EE2">
        <w:rPr>
          <w:rFonts w:ascii="Times New Roman" w:hAnsi="Times New Roman" w:cs="Times New Roman"/>
          <w:sz w:val="24"/>
        </w:rPr>
        <w:fldChar w:fldCharType="end"/>
      </w:r>
      <w:r w:rsidR="00D3658D">
        <w:rPr>
          <w:rFonts w:ascii="Times New Roman" w:hAnsi="Times New Roman" w:cs="Times New Roman"/>
          <w:sz w:val="24"/>
        </w:rPr>
        <w:t xml:space="preserve">. </w:t>
      </w:r>
      <w:r w:rsidR="006F2189">
        <w:rPr>
          <w:rFonts w:ascii="Times New Roman" w:hAnsi="Times New Roman" w:cs="Times New Roman"/>
          <w:sz w:val="24"/>
        </w:rPr>
        <w:t xml:space="preserve">Conversely, an acidic pH (3.5-4.5) proves protective against most enterobacterial and spore-forming pathogens, as demonstrated by </w:t>
      </w:r>
      <w:r w:rsidR="006F2189" w:rsidRPr="00674764">
        <w:rPr>
          <w:rFonts w:ascii="Times New Roman" w:hAnsi="Times New Roman" w:cs="Times New Roman"/>
          <w:sz w:val="24"/>
        </w:rPr>
        <w:fldChar w:fldCharType="begin"/>
      </w:r>
      <w:r w:rsidR="006F2189" w:rsidRPr="00674764">
        <w:rPr>
          <w:rFonts w:ascii="Times New Roman" w:hAnsi="Times New Roman" w:cs="Times New Roman"/>
          <w:sz w:val="24"/>
        </w:rPr>
        <w:instrText xml:space="preserve"> ADDIN ZOTERO_ITEM CSL_CITATION {"citationID":"dSsVjhAI","properties":{"formattedCitation":"({\\i0{}Ciss\\uc0\\u233{} {\\i{}et al.}}, 2009)","plainCitation":"(Cissé et al., 2009)","noteIndex":0},"citationItems":[{"id":125,"uris":["http://zotero.org/users/17472374/items/9GRLBAFZ"],"itemData":{"id":125,"type":"article-journal","abstract":"PDF | Introduction. Hibiscus sabdariffa L. is a herbaceous plant, cultivated largely in tropical and subtropical areas of both hemispheres. This plant... | Find, read and cite all the research you need on ResearchGate","container-title":"ResearchGate","DOI":"10.1051/fruits/2009013","language":"fr","page":"179-193","source":"www.researchgate.net","title":"(PDF) Le bissap (Hibiscus sabdariffa L.) : composition et principales utilisations","title-short":"(PDF) Le bissap (Hibiscus sabdariffa L.)","volume":"64","author":[{"family":"Cissé","given":"Mady"},{"family":"Dornier","given":"Manuel"},{"family":"Sakho","given":"Maman"},{"family":"Augustin","given":"N'diaye"},{"family":"Reynes","given":"Max Reynes"},{"family":"Oumar","given":"Chaussette"}],"issued":{"date-parts":[["2009"]]}}}],"schema":"https://github.com/citation-style-language/schema/raw/master/csl-citation.json"} </w:instrText>
      </w:r>
      <w:r w:rsidR="006F2189" w:rsidRPr="00674764">
        <w:rPr>
          <w:rFonts w:ascii="Times New Roman" w:hAnsi="Times New Roman" w:cs="Times New Roman"/>
          <w:sz w:val="24"/>
        </w:rPr>
        <w:fldChar w:fldCharType="separate"/>
      </w:r>
      <w:r w:rsidR="006F2189" w:rsidRPr="00674764">
        <w:rPr>
          <w:rFonts w:ascii="Times New Roman" w:hAnsi="Times New Roman" w:cs="Times New Roman"/>
          <w:sz w:val="24"/>
          <w:szCs w:val="24"/>
        </w:rPr>
        <w:t>(Cissé et al., 2009)</w:t>
      </w:r>
      <w:r w:rsidR="006F2189" w:rsidRPr="00674764">
        <w:rPr>
          <w:rFonts w:ascii="Times New Roman" w:hAnsi="Times New Roman" w:cs="Times New Roman"/>
          <w:sz w:val="24"/>
        </w:rPr>
        <w:fldChar w:fldCharType="end"/>
      </w:r>
      <w:r w:rsidR="006F2189">
        <w:rPr>
          <w:rFonts w:ascii="Times New Roman" w:hAnsi="Times New Roman" w:cs="Times New Roman"/>
          <w:sz w:val="24"/>
        </w:rPr>
        <w:t xml:space="preserve"> for </w:t>
      </w:r>
      <w:r w:rsidR="00A05004">
        <w:rPr>
          <w:rFonts w:ascii="Times New Roman" w:hAnsi="Times New Roman" w:cs="Times New Roman"/>
          <w:sz w:val="24"/>
        </w:rPr>
        <w:t xml:space="preserve">Ivorian </w:t>
      </w:r>
      <w:r w:rsidR="006F2189">
        <w:rPr>
          <w:rFonts w:ascii="Times New Roman" w:hAnsi="Times New Roman" w:cs="Times New Roman"/>
          <w:sz w:val="24"/>
        </w:rPr>
        <w:t>Bissap (optimal pH 2.5-3.5 inhibiting coliforms</w:t>
      </w:r>
      <w:r w:rsidR="00A05004">
        <w:rPr>
          <w:rFonts w:ascii="Times New Roman" w:hAnsi="Times New Roman" w:cs="Times New Roman"/>
          <w:sz w:val="24"/>
        </w:rPr>
        <w:t>), and confirmed by studies on hibiscus juices in West Africa where organic acidity limits bacterial loads to less than 10</w:t>
      </w:r>
      <w:r w:rsidR="00A05004">
        <w:rPr>
          <w:rFonts w:ascii="Times New Roman" w:hAnsi="Times New Roman" w:cs="Times New Roman"/>
          <w:sz w:val="24"/>
          <w:vertAlign w:val="superscript"/>
        </w:rPr>
        <w:t>3</w:t>
      </w:r>
      <w:r w:rsidR="00A05004">
        <w:rPr>
          <w:rFonts w:ascii="Times New Roman" w:hAnsi="Times New Roman" w:cs="Times New Roman"/>
          <w:sz w:val="24"/>
        </w:rPr>
        <w:t xml:space="preserve"> CFU/mL. </w:t>
      </w:r>
      <w:r w:rsidR="00BC5750">
        <w:rPr>
          <w:rFonts w:ascii="Times New Roman" w:hAnsi="Times New Roman" w:cs="Times New Roman"/>
          <w:sz w:val="24"/>
        </w:rPr>
        <w:t xml:space="preserve">The microbiological analysis clearly distinguishes </w:t>
      </w:r>
      <w:r w:rsidR="00A05004">
        <w:rPr>
          <w:rFonts w:ascii="Times New Roman" w:hAnsi="Times New Roman" w:cs="Times New Roman"/>
          <w:sz w:val="24"/>
        </w:rPr>
        <w:t xml:space="preserve"> </w:t>
      </w:r>
      <w:r w:rsidR="00BC5750">
        <w:rPr>
          <w:rFonts w:ascii="Times New Roman" w:hAnsi="Times New Roman" w:cs="Times New Roman"/>
          <w:sz w:val="24"/>
        </w:rPr>
        <w:t xml:space="preserve">between the two artisanal beverages. Bissap shows its maximum aerobic load at Zaibo (12 570 CFU/mL), while Gnamankoudji reveals specific contamination peaks : psychrophiles at Bediala (8 478 CFU/mL) and yeats at Gboguhe (1150 CFU/mL). Fecal contamination, marked by entobacteria (4278 CFU/mL at Gadouan), is overwhelmingly dominant in Gnamankoudji, reflecting poor hygiene during preparation or storage. These microbial </w:t>
      </w:r>
      <w:r w:rsidR="00E540AB">
        <w:rPr>
          <w:rFonts w:ascii="Times New Roman" w:hAnsi="Times New Roman" w:cs="Times New Roman"/>
          <w:sz w:val="24"/>
        </w:rPr>
        <w:t>loads align with regional data</w:t>
      </w:r>
      <w:r w:rsidR="00BC5750">
        <w:rPr>
          <w:rFonts w:ascii="Times New Roman" w:hAnsi="Times New Roman" w:cs="Times New Roman"/>
          <w:sz w:val="24"/>
        </w:rPr>
        <w:t xml:space="preserve"> </w:t>
      </w:r>
      <w:r w:rsidR="00BC5750" w:rsidRPr="00674764">
        <w:rPr>
          <w:rFonts w:ascii="Times New Roman" w:hAnsi="Times New Roman" w:cs="Times New Roman"/>
          <w:sz w:val="24"/>
        </w:rPr>
        <w:fldChar w:fldCharType="begin"/>
      </w:r>
      <w:r w:rsidR="00BC5750" w:rsidRPr="00674764">
        <w:rPr>
          <w:rFonts w:ascii="Times New Roman" w:hAnsi="Times New Roman" w:cs="Times New Roman"/>
          <w:sz w:val="24"/>
        </w:rPr>
        <w:instrText xml:space="preserve"> ADDIN ZOTERO_ITEM CSL_CITATION {"citationID":"gnxvukYU","properties":{"formattedCitation":"({\\i0{}Anin {\\i{}et al.}}, 2016)","plainCitation":"(Anin et al., 2016)","noteIndex":0},"citationItems":[{"id":1183,"uris":["http://zotero.org/users/17472374/items/4MZZ2WZW"],"itemData":{"id":1183,"type":"article-journal","abstract":"The sources and degree of microbial contamination of 4 th range products or ready-to-eat products made from traditional processes were evaluated in three markets in the city of Abidjan. This study initially consisted of searching for microorganisms such as Staphylococcus aureus, faecal coliforms, E. coli and Salmonella spp. Then, Ishikawa's method or diagram was used to determine potential sources of food contamination consisting of three (3) fruit and two (2) fruit vegetables and one (1) leafy vegetable, respectively, pineapple (Ananas comosus) papaya (Carica papaya), watermelon (Citrulus lanatus), onion (Allium cepa), tomato (Lycopersicum esculentum Mill.) and amaranthus (Amaranthus hybridus). Fecal coliform loads were very high at the fruit level (1.8 × 103 - 9.1 × 102 CFU / g), onion (1.3 × 104 CFU / g), tomato puree (1, 82 × 103 CFU / g) and an E. coli load at the tomato puree which is 9.1 × 102 CFU / g. The analysis using the Ishikawa diagram shows that contamination sources were the poor quality of water, raw material, lack of sanitation, illiteracy, unsafe traditional practices and sellers hygiene.","container-title":"European Scientific Journal, ESJ","DOI":"10.19044/esj.2016.v12n36p273","ISSN":"18577431, 18577881","issue":"36","journalAbbreviation":"ESJ","page":"273","source":"DOI.org (Crossref)","title":"Evaluation Microbiologique Et Origines De La Contamination Des Produits De 4ème Gamme Vendus Sur Les Marchés D’abidjan, Cote D'ivoire","volume":"12","author":[{"family":"Anin","given":"Louise Atchibri"},{"family":"Assoi Yapi","given":"Patrice Désiré Yapi"},{"family":"Monnet","given":"Yapo Thierry"},{"family":"Yiwo Yapi","given":"Marie-Ange"},{"family":"Soro","given":"Chantal Lêniféré"},{"family":"Kouadio","given":"K.A Kouakou"}],"issued":{"date-parts":[["2016",12,31]]}}}],"schema":"https://github.com/citation-style-language/schema/raw/master/csl-citation.json"} </w:instrText>
      </w:r>
      <w:r w:rsidR="00BC5750" w:rsidRPr="00674764">
        <w:rPr>
          <w:rFonts w:ascii="Times New Roman" w:hAnsi="Times New Roman" w:cs="Times New Roman"/>
          <w:sz w:val="24"/>
        </w:rPr>
        <w:fldChar w:fldCharType="separate"/>
      </w:r>
      <w:r w:rsidR="00BC5750" w:rsidRPr="00674764">
        <w:rPr>
          <w:rFonts w:ascii="Times New Roman" w:hAnsi="Times New Roman" w:cs="Times New Roman"/>
          <w:sz w:val="24"/>
          <w:szCs w:val="24"/>
        </w:rPr>
        <w:t>(Anin et al., 2016)</w:t>
      </w:r>
      <w:r w:rsidR="00BC5750" w:rsidRPr="00674764">
        <w:rPr>
          <w:rFonts w:ascii="Times New Roman" w:hAnsi="Times New Roman" w:cs="Times New Roman"/>
          <w:sz w:val="24"/>
        </w:rPr>
        <w:fldChar w:fldCharType="end"/>
      </w:r>
      <w:r w:rsidR="00BC5750">
        <w:rPr>
          <w:rFonts w:ascii="Times New Roman" w:hAnsi="Times New Roman" w:cs="Times New Roman"/>
          <w:sz w:val="24"/>
        </w:rPr>
        <w:t xml:space="preserve"> report similar levels in street food in Abidjan, </w:t>
      </w:r>
      <w:r w:rsidR="00BC5750"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{"citationID":"0Cmy1SnT","properties":{"formattedCitation":"(Yobouet, 2016)","plainCitation":"(Yobouet, 2016)","dontUpdate":true,"noteIndex":0},"citationItems":[{"id":1186,"uris":["http://zotero.org/users/17472374/items/HVZJE7NT"],"itemData":{"id":1186,"type":"thesis","abstract":"ABSTRACT IN ENGLISH In Côte d’Ivoire, although milk and attiéké play an important role in human nutrition, they could represent a poisoning risk to the consumer, due to poor hygiene throughout the production chain. This study aimed to contribute to the poisoning risk reduction linked to the consumption of local raw milk and attiéké contaminated with B. cereus group. For this, milk and attiéké production systems from farm to retail in Abidjan were studied. The risk of foodborne illness associated with the consumption of milk and attiéké was assessed using a questionnaire with 188 consumers of milk and 360 consumers of attiéké, respectively. On the one hand, 320 samples from the farms including 150 milk samples and on the other hand 16 samples of freshly prepared attiéké and 306 samples attiéké sold on the informal markets were collected and analyzed according to EN ISO 7932: 2004. The isolates were identified by polymerase chain reaction (PCR) and characterized by toxigenic and antibiotypic. In addition, the resistance of B. cereus group spores to hydrothermal warm up of attiéké was evaluated. The results showed that B. cereus group was found in 41.2% of milk of the samples taken from seller’s pooled milk with a mean load of 2.9 ± 1.0 log (CFU/mL). The prevalence of B. cereus group in attiéké samples taken from the informal markets was 25.2% and an average load of vegetative cells and spores were 2.4 ± 1.1 log (CFU/g) and 2.3 ± 1.1 log (CFU/g) respectively. B. thuringiensis (41.9%) and B. cereus sensu stricto (36.0%) were the isolated species. The majority virulence genes found were cytK-2 (80.8%), hblD (72.1%) and nheC (70.9%). The isolates were highly resistant to tetracycline (94.8%), ciprofloxacin (94.8%) and chloramphenicol (94.2%). The probability of consuming milk and attiéké contaminated with B. cereus group is 21.6% and 16.0% respectively. In total 12.6% and 18.9% of consumers reported that they contracted a foodborne illness after unheated milk and attiéké consumption respectively and the most symptoms were diarrhea and abdominal pain. The hydrothermal warm up of attiéké with a temperature greater than or equal to 90°C for at least 15 minutes reduced the concentration of B. cereus spores from 4.2 in attiéké into 1.8 ± 1.0 log (CFU/g) and D90°C was 8.5 ± 1.9 min for the quantities of attiéké varying from 150 to 450 g. The maximum duration of the milk sale at ambient temperature is 40 min while, the consumption deadline of attiéké warmed up at 90°C was 18 hours. In conclusion, milk and attiéké produced and sold in informal markets in Abidjan represents a risk for consumers’ health and B. cereus group species are one possible cause. It is recommended to heat the milk to boiling temperature and to warm up attiéké for at least 15 min at 90°C before consumption if clean milk and attiéké production cannot be assured. ABSTRACT IN FRENCH En Côte d’Ivoire, le lait et l’attiéké jouent un rôle important dans la nutrition humaine, mais peuvent représenter un risque de toxi-infection pour le consommateur. L’objectif de cette étude était de contribuer à la réduction du risque de toxi-infection suite à la consommation de lait cru local et d’attiéké contaminés par le groupe B. cereus. A cet effet, les systèmes de production à la commercialisation du lait et de l’attiéké à Abidjan ont été étudiés. Le risque de toxi-infections lié à la consommation du lait et de l’attiéké a été évalué à l’aide d’un questionnaire avec respectivement 188 consommateurs de lait et 360 consommateurs d’attiéké. D’une part, 320 échantillons issus des fermes dont 150 échantillons de lait et d’autre part, 16 échantillons d’attiéké fraîchement préparé et 306 échantillons d’attiéké en vente sur le marché, ont été collectés et analysés selon la norme EN ISO 7932 : 2004. Les isolats présomptifs du groupe B. cereus ont fait l’objet d’une identification par réaction de polymérisation en chaîne (PCR) et d’une caractérisation toxigénique et antibiotypique. Enfin, la résistance des spores du groupe B. cereus au réchauffage hydrothermique de l’attiéké a été évaluée. Les résultats ont montré que le groupe B. cereus a été isolé dans 41,2 % de lait de vente avec une charge moyenne de 2,9 ± 1,0 log (UFC/mL) et dans 25,2 % d’attiéké en vente avec une charge moyenne en cellules végétatives et en spores respectivement de 2,4 ± 1,1 log (UFC/g) et 2,3 ± 1,1 log (UFC/g). B. thuringiensis (41,9 %) et B. cereus sensu stricto (36,0 %) ont été les espèces identifiées. Les gènes de virulence majoritaires ont été cytK-2 (80,8 %), hblD (72,1 %) et nheC (70,9 %). Les isolats ont été très résistants à la tétracycline (94,8 %), à la ciprofloxacine (94,8 %) et au chloramphénicol (94,2 %). La probabilité de consommer du lait et de l’attiéké contaminé par le groupe B. cereus a été respectivement de 21,6 % et 16,0 %. Au total, 12,6 % et 18,9 % des consommateurs ont rapporté une toxi-infection suite à la consommation respectivement de lait cru et d’attiéké non réchauffé et les symptômes les plus évoqués ont été la diarrhée et les douleurs abdominales. Le réchauffage hydrothermique de l’attiéké à une température supérieure ou égale à 90 °C pendant au minimum 15 min a réduit la concentration en spores de B. cereus dans l’attiéké, de 4,2 à 1,8 ± 1,0 log (UFC/g) d’attiéké et le D90 °C a été de 8,5 ± 1,9 min pour des quantités d’attiéké variant de 150 à 450 g. La durée maximale de vente du lait à la température ambiante a été de 40 min alors que le délai limite maximal de consommation de l’attiéké réchauffé à 90 °C a été de 18 h. En conclusion, le lait et l’attiéké vendus sur les marchés informels à Abidjan représentent un risque de toxi-infection pour le consommateur et les bactéries du groupe B. cereus sont l’une des causes possibles. Il est recommandé de chauffer le lait jusqu’à ébullition et de réchauffer l’attiéké à la vapeur d’eau pendant au moins 15 min à 90 °C avant toute consommation, si les bonnes pratiques d’hygiène ne peuvent pas garantir la sécurité de ces aliments.","language":"fr","publisher":"Université Nangui Abrogoua","source":"cgspace.cgiar.org","title":"Contamination du lait cru et de l’attiéké vendus sur les marchés informels à Abidjan (Côte d’Ivoire) par le groupe Bacillus cereus et analyse des risques","URL":"https://hdl.handle.net/10568/75995","author":[{"family":"Yobouet","given":"B. A."}],"accessed":{"date-parts":[["2026",1,7]]},"issued":{"date-parts":[["2016",6,30]]}}}],"schema":"https://github.com/citation-style-language/schema/raw/master/csl-citation.json"} </w:instrText>
      </w:r>
      <w:r w:rsidR="00BC5750" w:rsidRPr="00674764">
        <w:rPr>
          <w:rFonts w:ascii="Times New Roman" w:hAnsi="Times New Roman" w:cs="Times New Roman"/>
          <w:sz w:val="24"/>
        </w:rPr>
        <w:fldChar w:fldCharType="separate"/>
      </w:r>
      <w:r w:rsidR="00BC5750" w:rsidRPr="00674764">
        <w:rPr>
          <w:rFonts w:ascii="Times New Roman" w:hAnsi="Times New Roman" w:cs="Times New Roman"/>
          <w:sz w:val="24"/>
        </w:rPr>
        <w:t>(Yo</w:t>
      </w:r>
      <w:r w:rsidR="000B4DBA">
        <w:rPr>
          <w:rFonts w:ascii="Times New Roman" w:hAnsi="Times New Roman" w:cs="Times New Roman"/>
          <w:sz w:val="24"/>
        </w:rPr>
        <w:t>u</w:t>
      </w:r>
      <w:r w:rsidR="00BC5750" w:rsidRPr="00674764">
        <w:rPr>
          <w:rFonts w:ascii="Times New Roman" w:hAnsi="Times New Roman" w:cs="Times New Roman"/>
          <w:sz w:val="24"/>
        </w:rPr>
        <w:t>bouet</w:t>
      </w:r>
      <w:r w:rsidR="00BC5750" w:rsidRPr="00777CC1">
        <w:rPr>
          <w:rFonts w:ascii="Times New Roman" w:hAnsi="Times New Roman" w:cs="Times New Roman"/>
          <w:i/>
          <w:sz w:val="24"/>
        </w:rPr>
        <w:t>,</w:t>
      </w:r>
      <w:r w:rsidR="00BC5750" w:rsidRPr="00674764">
        <w:rPr>
          <w:rFonts w:ascii="Times New Roman" w:hAnsi="Times New Roman" w:cs="Times New Roman"/>
          <w:sz w:val="24"/>
        </w:rPr>
        <w:t xml:space="preserve"> 2016)</w:t>
      </w:r>
      <w:r w:rsidR="00BC5750" w:rsidRPr="00674764">
        <w:rPr>
          <w:rFonts w:ascii="Times New Roman" w:hAnsi="Times New Roman" w:cs="Times New Roman"/>
          <w:sz w:val="24"/>
        </w:rPr>
        <w:fldChar w:fldCharType="end"/>
      </w:r>
      <w:r w:rsidR="00BC5750">
        <w:rPr>
          <w:rFonts w:ascii="Times New Roman" w:hAnsi="Times New Roman" w:cs="Times New Roman"/>
          <w:sz w:val="24"/>
        </w:rPr>
        <w:t xml:space="preserve"> in Ivorian attieke, and M</w:t>
      </w:r>
      <w:r w:rsidR="00E478C8">
        <w:rPr>
          <w:rFonts w:ascii="Times New Roman" w:hAnsi="Times New Roman" w:cs="Times New Roman"/>
          <w:sz w:val="24"/>
        </w:rPr>
        <w:t>illogo et al., (2018) in Burkinabè artisanal yogurts, where enterobacteria consistently signal water or manual contamination. More alarmingly, the near-systematic presence of</w:t>
      </w:r>
      <w:r w:rsidR="00E478C8" w:rsidRPr="00EF6784">
        <w:rPr>
          <w:rFonts w:ascii="Times New Roman" w:hAnsi="Times New Roman" w:cs="Times New Roman"/>
          <w:i/>
          <w:sz w:val="24"/>
        </w:rPr>
        <w:t xml:space="preserve"> Listeria monocytogenes </w:t>
      </w:r>
      <w:r w:rsidR="00E478C8">
        <w:rPr>
          <w:rFonts w:ascii="Times New Roman" w:hAnsi="Times New Roman" w:cs="Times New Roman"/>
          <w:sz w:val="24"/>
        </w:rPr>
        <w:t xml:space="preserve">exceeds usual West African prevalence rates, surpassing the 20.13 % found in raw milk </w:t>
      </w:r>
      <w:r w:rsidR="00E478C8"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{"citationID":"f3tdFMOx","properties":{"formattedCitation":"({\\i0{}Oluwafemi {\\i{}et al.}}, 2023)","plainCitation":"(Oluwafemi et al., 2023)","noteIndex":0},"citationItems":[{"id":1193,"uris":["http://zotero.org/users/17472374/items/XIWC4AT4"],"itemData":{"id":1193,"type":"article-journal","abstract":"Listeria outbreaks and food recalls is on the raise globally. Milk particularly is highly susceptible to Listeria as its production and storage adequately support Listeria growth. The extent of milk contamination with Listeria monocytogenes (Lm) and preventative actions to halt milk associated outbreaks in Africa are unknown. Hence, this study aimed at assessing the national and subregional prevalence of Lm in milk in Africa and identify impacting factors via generalized logistic mixed-effects (GLMEs) and meta-regression modelling. Lm-milk-specific data acquired from primary studies according to standard protocol were fitted using a GLMEs. The GLMEs was subjected to leave-one-study-out-cross-validation (LOSOCV). Factors impacting Lm prevalence in milk were assayed via a 1000-permutation-assisted meta-regression-modelling. The pooled prevalence of Lm in milk in Africa was 4.35% [2.73–6.86] with a prediction interval (PI) of 0.14–59.86% and LOSOCV value of 2.43% [1.62–3.62; PI: 0.32–16.11%]. Western Africa had the highest prevalence [20.13%, 4.13–59.59], then Southern Africa [5.85%, 0.12–75.72], Northern Africa [4.67%, 2.82–7.64], Eastern Africa [1.91%, 0.64–5.55], and there was no record from Central Africa. In term of country, Lm prevalence in milk significantly (p &lt; 0.01) varied from 0.00 to 90.00%. Whereas the Lm prevalence was negligibly different (p = 0.77) by milk type, raw-milk had the highest prevalence [5.26%], followed by fermented-milk [4.76%], boiled-milk [2.90%], pasteurized-milk [1.64%], and powdered-milk [1.58%]. DNA extraction approach did not significantly (p = 0.07) affect Lm prevalence (Boiling [7.82%] versus Kit [7.24%]) as well as Lm detection method (p = 0.10; (ACP [3.64%] vs. CP [8.92%] vs. CS [2.27%] vs. CSP [6.82%]). Though a bivariate/multivariate combination of all tested variables in meta-regression explained 19.68–68.75% (R2) variance in Lm prevalence in milk, N, nation, and subregion singly/robustly accounted for 17.61% (F1;65 = 7.5994; p = 0.005), 63.89% (F14;52 = 4.2028; p = 0.001), and 16.54% (F3;63 = 3.4743; p = 0.026), respectively. In conclusion, it is recommended that adequate sample size should be prioritized in monitoring Lm in milk to prevent spuriously high or low prevalence to ensure robust, plausible, and credible estimate. Also, national efforts/interests and commitments to Lm monitoring should be awaken.","container-title":"Scientific Reports","DOI":"10.1038/s41598-023-39955-0","ISSN":"2045-2322","journalAbbreviation":"Sci Rep","page":"12646","PMID":"37542148","PMCID":"PMC10403535","source":"PubMed Central","title":"Prevalence of Listeria monocytogenes in milk in Africa: a generalized logistic mixed-effects and meta-regression modelling","title-short":"Prevalence of Listeria monocytogenes in milk in Africa","volume":"13","author":[{"family":"Oluwafemi","given":"Yinka D."},{"family":"Igere","given":"Bright E."},{"family":"Ekundayo","given":"Temitope C."},{"family":"Ijabadeniyi","given":"Oluwatosin A."}],"issued":{"date-parts":[["2023",8,4]]}}}],"schema":"https://github.com/citation-style-language/schema/raw/master/csl-citation.json"} </w:instrText>
      </w:r>
      <w:r w:rsidR="00E478C8" w:rsidRPr="00674764">
        <w:rPr>
          <w:rFonts w:ascii="Times New Roman" w:hAnsi="Times New Roman" w:cs="Times New Roman"/>
          <w:sz w:val="24"/>
        </w:rPr>
        <w:fldChar w:fldCharType="separate"/>
      </w:r>
      <w:r w:rsidR="00E478C8" w:rsidRPr="00674764">
        <w:rPr>
          <w:rFonts w:ascii="Times New Roman" w:hAnsi="Times New Roman" w:cs="Times New Roman"/>
          <w:sz w:val="24"/>
          <w:szCs w:val="24"/>
        </w:rPr>
        <w:t>(Oluwafemi et al., 2023)</w:t>
      </w:r>
      <w:r w:rsidR="00E478C8" w:rsidRPr="00674764">
        <w:rPr>
          <w:rFonts w:ascii="Times New Roman" w:hAnsi="Times New Roman" w:cs="Times New Roman"/>
          <w:sz w:val="24"/>
        </w:rPr>
        <w:fldChar w:fldCharType="end"/>
      </w:r>
      <w:r w:rsidR="00E478C8">
        <w:rPr>
          <w:rFonts w:ascii="Times New Roman" w:hAnsi="Times New Roman" w:cs="Times New Roman"/>
          <w:sz w:val="24"/>
        </w:rPr>
        <w:t xml:space="preserve"> </w:t>
      </w:r>
      <w:r w:rsidR="00E478C8">
        <w:rPr>
          <w:rFonts w:ascii="Times New Roman" w:hAnsi="Times New Roman" w:cs="Times New Roman"/>
          <w:sz w:val="24"/>
        </w:rPr>
        <w:lastRenderedPageBreak/>
        <w:t xml:space="preserve">or the 8 % in dairy products </w:t>
      </w:r>
      <w:r w:rsidR="00E478C8"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{"citationID":"mPsagcL0","properties":{"formattedCitation":"(Yobouet, 2016)","plainCitation":"(Yobouet, 2016)","dontUpdate":true,"noteIndex":0},"citationItems":[{"id":1186,"uris":["http://zotero.org/users/17472374/items/HVZJE7NT"],"itemData":{"id":1186,"type":"thesis","abstract":"ABSTRACT IN ENGLISH In Côte d’Ivoire, although milk and attiéké play an important role in human nutrition, they could represent a poisoning risk to the consumer, due to poor hygiene throughout the production chain. This study aimed to contribute to the poisoning risk reduction linked to the consumption of local raw milk and attiéké contaminated with B. cereus group. For this, milk and attiéké production systems from farm to retail in Abidjan were studied. The risk of foodborne illness associated with the consumption of milk and attiéké was assessed using a questionnaire with 188 consumers of milk and 360 consumers of attiéké, respectively. On the one hand, 320 samples from the farms including 150 milk samples and on the other hand 16 samples of freshly prepared attiéké and 306 samples attiéké sold on the informal markets were collected and analyzed according to EN ISO 7932: 2004. The isolates were identified by polymerase chain reaction (PCR) and characterized by toxigenic and antibiotypic. In addition, the resistance of B. cereus group spores to hydrothermal warm up of attiéké was evaluated. The results showed that B. cereus group was found in 41.2% of milk of the samples taken from seller’s pooled milk with a mean load of 2.9 ± 1.0 log (CFU/mL). The prevalence of B. cereus group in attiéké samples taken from the informal markets was 25.2% and an average load of vegetative cells and spores were 2.4 ± 1.1 log (CFU/g) and 2.3 ± 1.1 log (CFU/g) respectively. B. thuringiensis (41.9%) and B. cereus sensu stricto (36.0%) were the isolated species. The majority virulence genes found were cytK-2 (80.8%), hblD (72.1%) and nheC (70.9%). The isolates were highly resistant to tetracycline (94.8%), ciprofloxacin (94.8%) and chloramphenicol (94.2%). The probability of consuming milk and attiéké contaminated with B. cereus group is 21.6% and 16.0% respectively. In total 12.6% and 18.9% of consumers reported that they contracted a foodborne illness after unheated milk and attiéké consumption respectively and the most symptoms were diarrhea and abdominal pain. The hydrothermal warm up of attiéké with a temperature greater than or equal to 90°C for at least 15 minutes reduced the concentration of B. cereus spores from 4.2 in attiéké into 1.8 ± 1.0 log (CFU/g) and D90°C was 8.5 ± 1.9 min for the quantities of attiéké varying from 150 to 450 g. The maximum duration of the milk sale at ambient temperature is 40 min while, the consumption deadline of attiéké warmed up at 90°C was 18 hours. In conclusion, milk and attiéké produced and sold in informal markets in Abidjan represents a risk for consumers’ health and B. cereus group species are one possible cause. It is recommended to heat the milk to boiling temperature and to warm up attiéké for at least 15 min at 90°C before consumption if clean milk and attiéké production cannot be assured. ABSTRACT IN FRENCH En Côte d’Ivoire, le lait et l’attiéké jouent un rôle important dans la nutrition humaine, mais peuvent représenter un risque de toxi-infection pour le consommateur. L’objectif de cette étude était de contribuer à la réduction du risque de toxi-infection suite à la consommation de lait cru local et d’attiéké contaminés par le groupe B. cereus. A cet effet, les systèmes de production à la commercialisation du lait et de l’attiéké à Abidjan ont été étudiés. Le risque de toxi-infections lié à la consommation du lait et de l’attiéké a été évalué à l’aide d’un questionnaire avec respectivement 188 consommateurs de lait et 360 consommateurs d’attiéké. D’une part, 320 échantillons issus des fermes dont 150 échantillons de lait et d’autre part, 16 échantillons d’attiéké fraîchement préparé et 306 échantillons d’attiéké en vente sur le marché, ont été collectés et analysés selon la norme EN ISO 7932 : 2004. Les isolats présomptifs du groupe B. cereus ont fait l’objet d’une identification par réaction de polymérisation en chaîne (PCR) et d’une caractérisation toxigénique et antibiotypique. Enfin, la résistance des spores du groupe B. cereus au réchauffage hydrothermique de l’attiéké a été évaluée. Les résultats ont montré que le groupe B. cereus a été isolé dans 41,2 % de lait de vente avec une charge moyenne de 2,9 ± 1,0 log (UFC/mL) et dans 25,2 % d’attiéké en vente avec une charge moyenne en cellules végétatives et en spores respectivement de 2,4 ± 1,1 log (UFC/g) et 2,3 ± 1,1 log (UFC/g). B. thuringiensis (41,9 %) et B. cereus sensu stricto (36,0 %) ont été les espèces identifiées. Les gènes de virulence majoritaires ont été cytK-2 (80,8 %), hblD (72,1 %) et nheC (70,9 %). Les isolats ont été très résistants à la tétracycline (94,8 %), à la ciprofloxacine (94,8 %) et au chloramphénicol (94,2 %). La probabilité de consommer du lait et de l’attiéké contaminé par le groupe B. cereus a été respectivement de 21,6 % et 16,0 %. Au total, 12,6 % et 18,9 % des consommateurs ont rapporté une toxi-infection suite à la consommation respectivement de lait cru et d’attiéké non réchauffé et les symptômes les plus évoqués ont été la diarrhée et les douleurs abdominales. Le réchauffage hydrothermique de l’attiéké à une température supérieure ou égale à 90 °C pendant au minimum 15 min a réduit la concentration en spores de B. cereus dans l’attiéké, de 4,2 à 1,8 ± 1,0 log (UFC/g) d’attiéké et le D90 °C a été de 8,5 ± 1,9 min pour des quantités d’attiéké variant de 150 à 450 g. La durée maximale de vente du lait à la température ambiante a été de 40 min alors que le délai limite maximal de consommation de l’attiéké réchauffé à 90 °C a été de 18 h. En conclusion, le lait et l’attiéké vendus sur les marchés informels à Abidjan représentent un risque de toxi-infection pour le consommateur et les bactéries du groupe B. cereus sont l’une des causes possibles. Il est recommandé de chauffer le lait jusqu’à ébullition et de réchauffer l’attiéké à la vapeur d’eau pendant au moins 15 min à 90 °C avant toute consommation, si les bonnes pratiques d’hygiène ne peuvent pas garantir la sécurité de ces aliments.","language":"fr","publisher":"Université Nangui Abrogoua","source":"cgspace.cgiar.org","title":"Contamination du lait cru et de l’attiéké vendus sur les marchés informels à Abidjan (Côte d’Ivoire) par le groupe Bacillus cereus et analyse des risques","URL":"https://hdl.handle.net/10568/75995","author":[{"family":"Yobouet","given":"B. A."}],"accessed":{"date-parts":[["2026",1,7]]},"issued":{"date-parts":[["2016",6,30]]}}}],"schema":"https://github.com/citation-style-language/schema/raw/master/csl-citation.json"} </w:instrText>
      </w:r>
      <w:r w:rsidR="00E478C8" w:rsidRPr="00674764">
        <w:rPr>
          <w:rFonts w:ascii="Times New Roman" w:hAnsi="Times New Roman" w:cs="Times New Roman"/>
          <w:sz w:val="24"/>
        </w:rPr>
        <w:fldChar w:fldCharType="separate"/>
      </w:r>
      <w:r w:rsidR="00E478C8" w:rsidRPr="00674764">
        <w:rPr>
          <w:rFonts w:ascii="Times New Roman" w:hAnsi="Times New Roman" w:cs="Times New Roman"/>
          <w:sz w:val="24"/>
        </w:rPr>
        <w:t>(Yo</w:t>
      </w:r>
      <w:r w:rsidR="000B4DBA">
        <w:rPr>
          <w:rFonts w:ascii="Times New Roman" w:hAnsi="Times New Roman" w:cs="Times New Roman"/>
          <w:sz w:val="24"/>
        </w:rPr>
        <w:t>u</w:t>
      </w:r>
      <w:r w:rsidR="00E478C8" w:rsidRPr="00674764">
        <w:rPr>
          <w:rFonts w:ascii="Times New Roman" w:hAnsi="Times New Roman" w:cs="Times New Roman"/>
          <w:sz w:val="24"/>
        </w:rPr>
        <w:t>bouet, 2016)</w:t>
      </w:r>
      <w:r w:rsidR="00E478C8" w:rsidRPr="00674764">
        <w:rPr>
          <w:rFonts w:ascii="Times New Roman" w:hAnsi="Times New Roman" w:cs="Times New Roman"/>
          <w:sz w:val="24"/>
        </w:rPr>
        <w:fldChar w:fldCharType="end"/>
      </w:r>
      <w:r w:rsidR="00E478C8">
        <w:rPr>
          <w:rFonts w:ascii="Times New Roman" w:hAnsi="Times New Roman" w:cs="Times New Roman"/>
          <w:sz w:val="24"/>
        </w:rPr>
        <w:t xml:space="preserve">. This omnipresence suggests chronic environmental contamination, linked to </w:t>
      </w:r>
      <w:r w:rsidR="00E478C8" w:rsidRPr="00E478C8">
        <w:rPr>
          <w:rFonts w:ascii="Times New Roman" w:hAnsi="Times New Roman" w:cs="Times New Roman"/>
          <w:i/>
          <w:sz w:val="24"/>
        </w:rPr>
        <w:t xml:space="preserve">Listeria </w:t>
      </w:r>
      <w:r w:rsidR="00E478C8">
        <w:rPr>
          <w:rFonts w:ascii="Times New Roman" w:hAnsi="Times New Roman" w:cs="Times New Roman"/>
          <w:sz w:val="24"/>
        </w:rPr>
        <w:t xml:space="preserve">biofilms on reused plastic containers : the observed alkalinity (pH up to 10.6) and residual sugars (17.35° Brix) create protective niches, promoting spore persistence and resistance to superficial rinsing, amplified by the absence </w:t>
      </w:r>
      <w:r w:rsidR="004605CC">
        <w:rPr>
          <w:rFonts w:ascii="Times New Roman" w:hAnsi="Times New Roman" w:cs="Times New Roman"/>
          <w:sz w:val="24"/>
        </w:rPr>
        <w:t>of a cold chain in a humid tropical climate. The Principal Compo</w:t>
      </w:r>
      <w:r w:rsidR="00E540AB">
        <w:rPr>
          <w:rFonts w:ascii="Times New Roman" w:hAnsi="Times New Roman" w:cs="Times New Roman"/>
          <w:sz w:val="24"/>
        </w:rPr>
        <w:t xml:space="preserve">nent Analysis (PCA), explaining </w:t>
      </w:r>
      <w:r w:rsidR="004605CC">
        <w:rPr>
          <w:rFonts w:ascii="Times New Roman" w:hAnsi="Times New Roman" w:cs="Times New Roman"/>
          <w:sz w:val="24"/>
        </w:rPr>
        <w:t xml:space="preserve">56.31 % of the variance, finely structures thes risks : axis F1 (37.69 %), driven by enterobacteria and coliforms, marks hygiene and replicates the gradients observed by </w:t>
      </w:r>
      <w:r w:rsidR="004605CC" w:rsidRPr="00674764">
        <w:rPr>
          <w:rFonts w:ascii="Times New Roman" w:hAnsi="Times New Roman" w:cs="Times New Roman"/>
          <w:sz w:val="24"/>
        </w:rPr>
        <w:fldChar w:fldCharType="begin"/>
      </w:r>
      <w:r w:rsidR="00EF6784">
        <w:rPr>
          <w:rFonts w:ascii="Times New Roman" w:hAnsi="Times New Roman" w:cs="Times New Roman"/>
          <w:sz w:val="24"/>
        </w:rPr>
        <w:instrText xml:space="preserve"> ADDIN ZOTERO_ITEM CSL_CITATION {"citationID":"g0xdN1fI","properties":{"formattedCitation":"({\\i0{}Kouassi {\\i{}et al.}}, 2018b)","plainCitation":"(Kouassi et al., 2018b)","dontUpdate":true,"noteIndex":0},"citationItems":[{"id":935,"uris":["http://zotero.org/users/17472374/items/SQZ47BQ9"],"itemData":{"id":935,"type":"article-journal","container-title":"African Journal of Microbiology Research","DOI":"10.5897/AJMR2018.8951","ISSN":"1996-0808","issue":"35","journalAbbreviation":"Afr. J. Microbiol. Res.","page":"857-865","source":"DOI.org (Crossref)","title":"Microbial contamination of the non-alcoholic beverage Gnamakoudji made from Zingiber officinale in Daloa, Cte dIvoire","volume":"12","author":[{"family":"Kouassi","given":"Kouassi Clément"},{"family":"Voko","given":"Don-Rodrigue Rosin Bi"},{"family":"Koffi","given":"Affoué Carole"},{"family":"Kouame","given":"Konan Bekanti Eric-Bienvenue"},{"family":"Koffi-Nevry","given":"Rose"}],"issued":{"date-parts":[["2018",9,21]]}}}],"schema":"https://github.com/citation-style-language/schema/raw/master/csl-citation.json"} </w:instrText>
      </w:r>
      <w:r w:rsidR="004605CC" w:rsidRPr="00674764">
        <w:rPr>
          <w:rFonts w:ascii="Times New Roman" w:hAnsi="Times New Roman" w:cs="Times New Roman"/>
          <w:sz w:val="24"/>
        </w:rPr>
        <w:fldChar w:fldCharType="separate"/>
      </w:r>
      <w:r w:rsidR="004605CC" w:rsidRPr="00674764">
        <w:rPr>
          <w:rFonts w:ascii="Times New Roman" w:hAnsi="Times New Roman" w:cs="Times New Roman"/>
          <w:sz w:val="24"/>
          <w:szCs w:val="24"/>
        </w:rPr>
        <w:t>(Kouassi et al., 2018)</w:t>
      </w:r>
      <w:r w:rsidR="004605CC" w:rsidRPr="00674764">
        <w:rPr>
          <w:rFonts w:ascii="Times New Roman" w:hAnsi="Times New Roman" w:cs="Times New Roman"/>
          <w:sz w:val="24"/>
        </w:rPr>
        <w:fldChar w:fldCharType="end"/>
      </w:r>
      <w:r w:rsidR="004605CC">
        <w:rPr>
          <w:rFonts w:ascii="Times New Roman" w:hAnsi="Times New Roman" w:cs="Times New Roman"/>
          <w:sz w:val="24"/>
        </w:rPr>
        <w:t xml:space="preserve"> and </w:t>
      </w:r>
      <w:r w:rsidR="004605CC" w:rsidRPr="00674764">
        <w:rPr>
          <w:rFonts w:ascii="Times New Roman" w:hAnsi="Times New Roman" w:cs="Times New Roman"/>
          <w:sz w:val="24"/>
        </w:rPr>
        <w:fldChar w:fldCharType="begin"/>
      </w:r>
      <w:r w:rsidR="004605CC" w:rsidRPr="00674764">
        <w:rPr>
          <w:rFonts w:ascii="Times New Roman" w:hAnsi="Times New Roman" w:cs="Times New Roman"/>
          <w:sz w:val="24"/>
        </w:rPr>
        <w:instrText xml:space="preserve"> ADDIN ZOTERO_ITEM CSL_CITATION {"citationID":"QcgObfdp","properties":{"formattedCitation":"({\\i0{}Ciss\\uc0\\u233{} {\\i{}et al.}}, 2009)","plainCitation":"(Cissé et al., 2009)","noteIndex":0},"citationItems":[{"id":125,"uris":["http://zotero.org/users/17472374/items/9GRLBAFZ"],"itemData":{"id":125,"type":"article-journal","abstract":"PDF | Introduction. Hibiscus sabdariffa L. is a herbaceous plant, cultivated largely in tropical and subtropical areas of both hemispheres. This plant... | Find, read and cite all the research you need on ResearchGate","container-title":"ResearchGate","DOI":"10.1051/fruits/2009013","language":"fr","page":"179-193","source":"www.researchgate.net","title":"(PDF) Le bissap (Hibiscus sabdariffa L.) : composition et principales utilisations","title-short":"(PDF) Le bissap (Hibiscus sabdariffa L.)","volume":"64","author":[{"family":"Cissé","given":"Mady"},{"family":"Dornier","given":"Manuel"},{"family":"Sakho","given":"Maman"},{"family":"Augustin","given":"N'diaye"},{"family":"Reynes","given":"Max Reynes"},{"family":"Oumar","given":"Chaussette"}],"issued":{"date-parts":[["2009"]]}}}],"schema":"https://github.com/citation-style-language/schema/raw/master/csl-citation.json"} </w:instrText>
      </w:r>
      <w:r w:rsidR="004605CC" w:rsidRPr="00674764">
        <w:rPr>
          <w:rFonts w:ascii="Times New Roman" w:hAnsi="Times New Roman" w:cs="Times New Roman"/>
          <w:sz w:val="24"/>
        </w:rPr>
        <w:fldChar w:fldCharType="separate"/>
      </w:r>
      <w:r w:rsidR="004605CC" w:rsidRPr="00674764">
        <w:rPr>
          <w:rFonts w:ascii="Times New Roman" w:hAnsi="Times New Roman" w:cs="Times New Roman"/>
          <w:sz w:val="24"/>
          <w:szCs w:val="24"/>
        </w:rPr>
        <w:t>(Cissé et al., 2009)</w:t>
      </w:r>
      <w:r w:rsidR="004605CC" w:rsidRPr="00674764">
        <w:rPr>
          <w:rFonts w:ascii="Times New Roman" w:hAnsi="Times New Roman" w:cs="Times New Roman"/>
          <w:sz w:val="24"/>
        </w:rPr>
        <w:fldChar w:fldCharType="end"/>
      </w:r>
      <w:r w:rsidR="004605CC">
        <w:rPr>
          <w:rFonts w:ascii="Times New Roman" w:hAnsi="Times New Roman" w:cs="Times New Roman"/>
          <w:sz w:val="24"/>
        </w:rPr>
        <w:t xml:space="preserve"> ; axis F2 (18.62 %) captures fermentation/storage flora (psychrophiles, yeats), aligning with </w:t>
      </w:r>
      <w:r w:rsidR="004605CC" w:rsidRPr="00674764">
        <w:rPr>
          <w:rFonts w:ascii="Times New Roman" w:hAnsi="Times New Roman" w:cs="Times New Roman"/>
          <w:sz w:val="24"/>
        </w:rPr>
        <w:fldChar w:fldCharType="begin"/>
      </w:r>
      <w:r w:rsidR="004605CC" w:rsidRPr="00674764">
        <w:rPr>
          <w:rFonts w:ascii="Times New Roman" w:hAnsi="Times New Roman" w:cs="Times New Roman"/>
          <w:sz w:val="24"/>
        </w:rPr>
        <w:instrText xml:space="preserve"> ADDIN ZOTERO_ITEM CSL_CITATION {"citationID":"PtVrEm1q","properties":{"formattedCitation":"({\\i0{}Humblot {\\i{}et al.}}, 2012)","plainCitation":"(Humblot et al., 2012)","noteIndex":0},"citationItems":[{"id":1175,"uris":["http://zotero.org/users/17472374/items/FEN5E8MC"],"itemData":{"id":1175,"type":"article-journal","container-title":"Journal of Food Protection","DOI":"10.4315/0362-028x.JFP-11-450","ISSN":"0362028X","issue":"9","journalAbbreviation":"Journal of Food Protection","language":"en","page":"1642-1645","source":"DOI.org (Crossref)","title":"Prevalence and Fate of Bacillus cereus in African Traditional Cereal-Based Foods Used as Infant Foods","volume":"75","author":[{"family":"Humblot","given":"Christèle"},{"family":"Perez-Pulido","given":"Ruben"},{"family":"Akaki","given":"David"},{"family":"Loiseau","given":"Gerard"},{"family":"Guyot","given":"Jean-Pierre"}],"issued":{"date-parts":[["2012",9]]}}}],"schema":"https://github.com/citation-style-language/schema/raw/master/csl-citation.json"} </w:instrText>
      </w:r>
      <w:r w:rsidR="004605CC" w:rsidRPr="00674764">
        <w:rPr>
          <w:rFonts w:ascii="Times New Roman" w:hAnsi="Times New Roman" w:cs="Times New Roman"/>
          <w:sz w:val="24"/>
        </w:rPr>
        <w:fldChar w:fldCharType="separate"/>
      </w:r>
      <w:r w:rsidR="004605CC" w:rsidRPr="00674764">
        <w:rPr>
          <w:rFonts w:ascii="Times New Roman" w:hAnsi="Times New Roman" w:cs="Times New Roman"/>
          <w:sz w:val="24"/>
          <w:szCs w:val="24"/>
        </w:rPr>
        <w:t>(Humblot et al., 2012)</w:t>
      </w:r>
      <w:r w:rsidR="004605CC" w:rsidRPr="00674764">
        <w:rPr>
          <w:rFonts w:ascii="Times New Roman" w:hAnsi="Times New Roman" w:cs="Times New Roman"/>
          <w:sz w:val="24"/>
        </w:rPr>
        <w:fldChar w:fldCharType="end"/>
      </w:r>
      <w:r w:rsidR="004605CC">
        <w:rPr>
          <w:rFonts w:ascii="Times New Roman" w:hAnsi="Times New Roman" w:cs="Times New Roman"/>
          <w:sz w:val="24"/>
        </w:rPr>
        <w:t xml:space="preserve"> for fermented cereal products. Daloa and Gadouan emerge as critical hotspots, where failing hygiene and biofilms coincide, increasing the risk for vulnerable populations (children, immunocompromised individuals). Given this confirmed risk, targeted measures are imperative : systematic acidification to pH&lt; 4.5 using lemon juice to inhibit </w:t>
      </w:r>
      <w:r w:rsidR="004605CC" w:rsidRPr="004605CC">
        <w:rPr>
          <w:rFonts w:ascii="Times New Roman" w:hAnsi="Times New Roman" w:cs="Times New Roman"/>
          <w:i/>
          <w:sz w:val="24"/>
        </w:rPr>
        <w:t>Listeria</w:t>
      </w:r>
      <w:r w:rsidR="004605CC">
        <w:rPr>
          <w:rFonts w:ascii="Times New Roman" w:hAnsi="Times New Roman" w:cs="Times New Roman"/>
          <w:sz w:val="24"/>
        </w:rPr>
        <w:t xml:space="preserve"> and enterobacteria ; replacement of plastic contai</w:t>
      </w:r>
      <w:r w:rsidR="00190F8F">
        <w:rPr>
          <w:rFonts w:ascii="Times New Roman" w:hAnsi="Times New Roman" w:cs="Times New Roman"/>
          <w:sz w:val="24"/>
        </w:rPr>
        <w:t>ners with</w:t>
      </w:r>
      <w:r w:rsidR="00913C64">
        <w:rPr>
          <w:rFonts w:ascii="Times New Roman" w:hAnsi="Times New Roman" w:cs="Times New Roman"/>
          <w:sz w:val="24"/>
        </w:rPr>
        <w:t xml:space="preserve"> appropriate hygienic equipment </w:t>
      </w:r>
      <w:r w:rsidR="00190F8F">
        <w:rPr>
          <w:rFonts w:ascii="Times New Roman" w:hAnsi="Times New Roman" w:cs="Times New Roman"/>
          <w:sz w:val="24"/>
        </w:rPr>
        <w:t>(reducing biofilms by 90 %) ; and deployment of a localized HACCP plan, prioritizing Daloa/Gadouan based on the PCA, with vendor training and weekly monitoring. Prospective studies integrating antibiotic resistance profiles and could quantify the true incidence, thereby protecting an essential cultural consumption practice.</w:t>
      </w:r>
      <w:r w:rsidR="00A86097">
        <w:rPr>
          <w:rFonts w:ascii="Times New Roman" w:hAnsi="Times New Roman" w:cs="Times New Roman"/>
          <w:sz w:val="24"/>
        </w:rPr>
        <w:t xml:space="preserve"> </w:t>
      </w:r>
    </w:p>
    <w:p w14:paraId="3383D653" w14:textId="77777777" w:rsidR="00674764" w:rsidRPr="00674764" w:rsidRDefault="00674764" w:rsidP="00674764">
      <w:pPr>
        <w:spacing w:line="360" w:lineRule="auto"/>
        <w:jc w:val="both"/>
        <w:rPr>
          <w:rFonts w:ascii="Times New Roman" w:hAnsi="Times New Roman" w:cs="Times New Roman"/>
          <w:b/>
          <w:sz w:val="24"/>
        </w:rPr>
      </w:pPr>
      <w:r w:rsidRPr="00674764">
        <w:rPr>
          <w:rFonts w:ascii="Times New Roman" w:hAnsi="Times New Roman" w:cs="Times New Roman"/>
          <w:b/>
          <w:sz w:val="24"/>
        </w:rPr>
        <w:t>5. Conclusion</w:t>
      </w:r>
    </w:p>
    <w:p w14:paraId="63C1EB38" w14:textId="77777777" w:rsidR="00674764" w:rsidRP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sz w:val="24"/>
        </w:rPr>
        <w:t>In many developing countries, artisanal beverages such as Bissap and Gnamankoudji play a vital role, both nutritionally and economically. However, their widespread consumption raises significant concerns regarding their safety. This study aimed to investigate the microbiological quality of non-alcoholic artisanal beverages, Bissap and Gnamankoudji, in the Daloa health district. The results revealed that Bissap and, especially, Gnamankoudji sold in the Daloa health district pose high health risks to consumers. The quality is highly heterogeneous, with high pH and sugar levels, creating an ideal environment for microbial growth. Analyses revealed widespread and concerning contamination; high loads of Enterobacteriaceae, mesophilic aerobic bacteria, and psychrophilic bacteria frequently exceeded standards. Major pathogens, including Listeria monocytogenes and Bacillus cereus, were detected in the beverages. The risk is not uniform, however; certain highly contaminated points of sale have been identified, particularly in Daloa, allowing for targeted interventions. It is therefore urgent to implement strict corrective measures and radically improve the hygiene of water and containers. With appropriate technical guidance based on this evidence, it is possible to drastically reduce these risks and preserve the socio-economic value of these artisanal beverages.</w:t>
      </w:r>
    </w:p>
    <w:p w14:paraId="21699E9C" w14:textId="3C779952" w:rsidR="00674764" w:rsidRDefault="00674764" w:rsidP="00674764">
      <w:pPr>
        <w:spacing w:line="360" w:lineRule="auto"/>
        <w:jc w:val="both"/>
        <w:rPr>
          <w:rFonts w:ascii="Times New Roman" w:hAnsi="Times New Roman" w:cs="Times New Roman"/>
          <w:sz w:val="24"/>
        </w:rPr>
      </w:pPr>
      <w:r w:rsidRPr="00674764">
        <w:rPr>
          <w:rFonts w:ascii="Times New Roman" w:hAnsi="Times New Roman" w:cs="Times New Roman"/>
          <w:sz w:val="24"/>
        </w:rPr>
        <w:lastRenderedPageBreak/>
        <w:t xml:space="preserve"> </w:t>
      </w:r>
    </w:p>
    <w:p w14:paraId="117AB3BF" w14:textId="77777777" w:rsidR="000B6FEF" w:rsidRPr="00326BE0" w:rsidRDefault="000B6FEF" w:rsidP="000B6FEF">
      <w:pPr>
        <w:spacing w:after="200" w:line="276" w:lineRule="auto"/>
        <w:rPr>
          <w:rFonts w:ascii="Calibri" w:eastAsia="Calibri" w:hAnsi="Calibri" w:cs="Times New Roman"/>
          <w:b/>
          <w:kern w:val="2"/>
          <w:highlight w:val="yellow"/>
          <w:lang w:val="en-US"/>
          <w14:ligatures w14:val="standardContextual"/>
        </w:rPr>
      </w:pPr>
      <w:r w:rsidRPr="00326BE0">
        <w:rPr>
          <w:rFonts w:ascii="Calibri" w:eastAsia="Calibri" w:hAnsi="Calibri" w:cs="Times New Roman"/>
          <w:b/>
          <w:kern w:val="2"/>
          <w:highlight w:val="yellow"/>
          <w:lang w:val="en-US"/>
          <w14:ligatures w14:val="standardContextual"/>
        </w:rPr>
        <w:t>Disclaimer (Artificial intelligence)</w:t>
      </w:r>
    </w:p>
    <w:p w14:paraId="7AE541E8" w14:textId="77777777" w:rsidR="000B6FEF" w:rsidRPr="000B6FEF" w:rsidRDefault="000B6FEF" w:rsidP="000B6FEF">
      <w:pPr>
        <w:spacing w:after="200" w:line="276" w:lineRule="auto"/>
        <w:rPr>
          <w:rFonts w:ascii="Calibri" w:eastAsia="Calibri" w:hAnsi="Calibri" w:cs="Times New Roman"/>
          <w:kern w:val="2"/>
          <w:highlight w:val="yellow"/>
          <w:lang w:val="en-US"/>
          <w14:ligatures w14:val="standardContextual"/>
        </w:rPr>
      </w:pPr>
      <w:r w:rsidRPr="000B6FEF">
        <w:rPr>
          <w:rFonts w:ascii="Calibri" w:eastAsia="Calibri" w:hAnsi="Calibri" w:cs="Times New Roman"/>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5341AF56" w14:textId="77777777" w:rsidR="000B6FEF" w:rsidRPr="00674764" w:rsidRDefault="000B6FEF" w:rsidP="00674764">
      <w:pPr>
        <w:spacing w:line="360" w:lineRule="auto"/>
        <w:jc w:val="both"/>
        <w:rPr>
          <w:rFonts w:ascii="Times New Roman" w:hAnsi="Times New Roman" w:cs="Times New Roman"/>
          <w:sz w:val="24"/>
        </w:rPr>
      </w:pPr>
    </w:p>
    <w:p w14:paraId="6BF68349" w14:textId="77777777" w:rsidR="00674764" w:rsidRPr="00674764" w:rsidRDefault="00674764" w:rsidP="00674764">
      <w:pPr>
        <w:spacing w:line="360" w:lineRule="auto"/>
        <w:jc w:val="both"/>
        <w:rPr>
          <w:rFonts w:ascii="Times New Roman" w:hAnsi="Times New Roman" w:cs="Times New Roman"/>
          <w:b/>
          <w:sz w:val="24"/>
        </w:rPr>
        <w:sectPr w:rsidR="00674764" w:rsidRPr="00674764" w:rsidSect="00993D43">
          <w:pgSz w:w="11906" w:h="16838"/>
          <w:pgMar w:top="1417" w:right="1417" w:bottom="1417" w:left="1417" w:header="708" w:footer="708" w:gutter="0"/>
          <w:cols w:space="708"/>
          <w:docGrid w:linePitch="360"/>
        </w:sectPr>
      </w:pPr>
      <w:r w:rsidRPr="00674764">
        <w:rPr>
          <w:rFonts w:ascii="Times New Roman" w:hAnsi="Times New Roman" w:cs="Times New Roman"/>
          <w:b/>
          <w:sz w:val="24"/>
        </w:rPr>
        <w:t xml:space="preserve"> </w:t>
      </w:r>
    </w:p>
    <w:p w14:paraId="6B1785B2" w14:textId="77777777" w:rsidR="00674764" w:rsidRPr="00674764" w:rsidRDefault="00674764" w:rsidP="00674764">
      <w:pPr>
        <w:spacing w:line="360" w:lineRule="auto"/>
        <w:jc w:val="both"/>
        <w:rPr>
          <w:rFonts w:ascii="Times New Roman" w:hAnsi="Times New Roman" w:cs="Times New Roman"/>
          <w:b/>
          <w:sz w:val="24"/>
        </w:rPr>
      </w:pPr>
      <w:r w:rsidRPr="00674764">
        <w:rPr>
          <w:rFonts w:ascii="Times New Roman" w:hAnsi="Times New Roman" w:cs="Times New Roman"/>
          <w:b/>
          <w:sz w:val="24"/>
        </w:rPr>
        <w:lastRenderedPageBreak/>
        <w:t>REFERENCES</w:t>
      </w:r>
    </w:p>
    <w:p w14:paraId="2CDC4489" w14:textId="77777777" w:rsidR="006B3EE2" w:rsidRPr="006B3EE2" w:rsidRDefault="00674764" w:rsidP="00230747">
      <w:pPr>
        <w:pStyle w:val="Bibliography"/>
        <w:numPr>
          <w:ilvl w:val="0"/>
          <w:numId w:val="44"/>
        </w:numPr>
        <w:jc w:val="both"/>
        <w:rPr>
          <w:rFonts w:ascii="Times New Roman" w:hAnsi="Times New Roman" w:cs="Times New Roman"/>
          <w:sz w:val="24"/>
        </w:rPr>
      </w:pPr>
      <w:r w:rsidRPr="00674764">
        <w:fldChar w:fldCharType="begin"/>
      </w:r>
      <w:r w:rsidRPr="00674764">
        <w:instrText xml:space="preserve"> ADDIN ZOTERO_BIBL {"uncited":[],"omitted":[],"custom":[]} CSL_BIBLIOGRAPHY </w:instrText>
      </w:r>
      <w:r w:rsidRPr="00674764">
        <w:fldChar w:fldCharType="separate"/>
      </w:r>
      <w:r w:rsidR="006B3EE2" w:rsidRPr="006B3EE2">
        <w:rPr>
          <w:rFonts w:ascii="Times New Roman" w:hAnsi="Times New Roman" w:cs="Times New Roman"/>
          <w:sz w:val="24"/>
        </w:rPr>
        <w:t xml:space="preserve">Ahon G.M., Bolou G.E.-K., Fofana M. &amp; Amoikon K.E. (2022). Physicochemical and Microbiological Properties of Bissap (&amp;lt;i&amp;gt;Hibiscus sabdariffa&amp;lt;/i&amp;gt;) and Ginger (&amp;lt;i&amp;gt;Zingiber officinale&amp;lt;/i&amp;gt; (L) Rose) Juices Sold in the Western Part of Abidjan (C&amp;#244;te d’Ivoire). </w:t>
      </w:r>
      <w:r w:rsidR="006B3EE2" w:rsidRPr="006B3EE2">
        <w:rPr>
          <w:rFonts w:ascii="Times New Roman" w:hAnsi="Times New Roman" w:cs="Times New Roman"/>
          <w:i/>
          <w:iCs/>
          <w:sz w:val="24"/>
        </w:rPr>
        <w:t>Open Journal of Applied Sciences</w:t>
      </w:r>
      <w:r w:rsidR="006B3EE2" w:rsidRPr="006B3EE2">
        <w:rPr>
          <w:rFonts w:ascii="Times New Roman" w:hAnsi="Times New Roman" w:cs="Times New Roman"/>
          <w:sz w:val="24"/>
        </w:rPr>
        <w:t>, 12(06): 964–976.</w:t>
      </w:r>
    </w:p>
    <w:p w14:paraId="193E19BB" w14:textId="5FB39994"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Aka S., Dridi B., Bolotin A., Yapo E.A., Koussemon-Camara M., Bonfoh B. &amp; Renault P. (2020). Characterization of lactic acid bacteria isolated from a traditional Ivoirian beer process to develop starter cultures for safe sorghum-based beverages. </w:t>
      </w:r>
      <w:r w:rsidRPr="006B3EE2">
        <w:rPr>
          <w:rFonts w:ascii="Times New Roman" w:hAnsi="Times New Roman" w:cs="Times New Roman"/>
          <w:i/>
          <w:iCs/>
          <w:sz w:val="24"/>
        </w:rPr>
        <w:t>International Journal of Food Microbiology</w:t>
      </w:r>
      <w:r w:rsidRPr="006B3EE2">
        <w:rPr>
          <w:rFonts w:ascii="Times New Roman" w:hAnsi="Times New Roman" w:cs="Times New Roman"/>
          <w:sz w:val="24"/>
        </w:rPr>
        <w:t>, 3</w:t>
      </w:r>
      <w:r w:rsidR="003F59D0">
        <w:rPr>
          <w:rFonts w:ascii="Times New Roman" w:hAnsi="Times New Roman" w:cs="Times New Roman"/>
          <w:sz w:val="24"/>
        </w:rPr>
        <w:t>(</w:t>
      </w:r>
      <w:r w:rsidRPr="006B3EE2">
        <w:rPr>
          <w:rFonts w:ascii="Times New Roman" w:hAnsi="Times New Roman" w:cs="Times New Roman"/>
          <w:sz w:val="24"/>
        </w:rPr>
        <w:t>22</w:t>
      </w:r>
      <w:r w:rsidR="003F59D0">
        <w:rPr>
          <w:rFonts w:ascii="Times New Roman" w:hAnsi="Times New Roman" w:cs="Times New Roman"/>
          <w:sz w:val="24"/>
        </w:rPr>
        <w:t>)</w:t>
      </w:r>
      <w:r w:rsidRPr="006B3EE2">
        <w:rPr>
          <w:rFonts w:ascii="Times New Roman" w:hAnsi="Times New Roman" w:cs="Times New Roman"/>
          <w:sz w:val="24"/>
        </w:rPr>
        <w:t>: 108</w:t>
      </w:r>
      <w:r w:rsidR="003F59D0">
        <w:rPr>
          <w:rFonts w:ascii="Times New Roman" w:hAnsi="Times New Roman" w:cs="Times New Roman"/>
          <w:sz w:val="24"/>
        </w:rPr>
        <w:t>-</w:t>
      </w:r>
      <w:r w:rsidRPr="006B3EE2">
        <w:rPr>
          <w:rFonts w:ascii="Times New Roman" w:hAnsi="Times New Roman" w:cs="Times New Roman"/>
          <w:sz w:val="24"/>
        </w:rPr>
        <w:t>547.</w:t>
      </w:r>
    </w:p>
    <w:p w14:paraId="7E6DEC3A"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Anin L.A., Assoi Yapi P.D.Y., Monnet Y.T., Yiwo Yapi M.-A., Soro C.L. &amp; Kouadio K.A.K. (2016). Evaluation Microbiologique Et Origines De La Contamination Des Produits De 4ème Gamme Vendus Sur Les Marchés D’abidjan, Cote D’ivoire. </w:t>
      </w:r>
      <w:r w:rsidRPr="006B3EE2">
        <w:rPr>
          <w:rFonts w:ascii="Times New Roman" w:hAnsi="Times New Roman" w:cs="Times New Roman"/>
          <w:i/>
          <w:iCs/>
          <w:sz w:val="24"/>
        </w:rPr>
        <w:t>European Scientific Journal, ESJ</w:t>
      </w:r>
      <w:r w:rsidRPr="006B3EE2">
        <w:rPr>
          <w:rFonts w:ascii="Times New Roman" w:hAnsi="Times New Roman" w:cs="Times New Roman"/>
          <w:sz w:val="24"/>
        </w:rPr>
        <w:t>, 12(36): 273.</w:t>
      </w:r>
    </w:p>
    <w:p w14:paraId="5A0C7058"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Attchelouwa C., Aka-Gbézo S., N’guessan F., Kouakou C. &amp; Djè M. (2017). Biochemical and Microbiological Changes during the Ivorian Sorghum Beer Deterioration at Different Storage Temperatures. </w:t>
      </w:r>
      <w:r w:rsidRPr="006B3EE2">
        <w:rPr>
          <w:rFonts w:ascii="Times New Roman" w:hAnsi="Times New Roman" w:cs="Times New Roman"/>
          <w:i/>
          <w:iCs/>
          <w:sz w:val="24"/>
        </w:rPr>
        <w:t>Beverages</w:t>
      </w:r>
      <w:r w:rsidRPr="006B3EE2">
        <w:rPr>
          <w:rFonts w:ascii="Times New Roman" w:hAnsi="Times New Roman" w:cs="Times New Roman"/>
          <w:sz w:val="24"/>
        </w:rPr>
        <w:t>, 3(3): 43.</w:t>
      </w:r>
    </w:p>
    <w:p w14:paraId="2A3EC2CD"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Bayoï J. (2024). Unveiling the traditional preparation, biochemical, phytochemical components, antioxidant and microbial properties of “jenja”, a ready-to-serve ginger-based beverage vended and consumed in northern Cameroon. </w:t>
      </w:r>
      <w:r w:rsidRPr="006B3EE2">
        <w:rPr>
          <w:rFonts w:ascii="Times New Roman" w:hAnsi="Times New Roman" w:cs="Times New Roman"/>
          <w:i/>
          <w:iCs/>
          <w:sz w:val="24"/>
        </w:rPr>
        <w:t>Applied Food Research</w:t>
      </w:r>
      <w:r w:rsidRPr="006B3EE2">
        <w:rPr>
          <w:rFonts w:ascii="Times New Roman" w:hAnsi="Times New Roman" w:cs="Times New Roman"/>
          <w:sz w:val="24"/>
        </w:rPr>
        <w:t>, 4(2): 100–495.</w:t>
      </w:r>
    </w:p>
    <w:p w14:paraId="44C3FC5A"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Cissé M., Dornier M., Sakho M., Augustin N., Reynes M.R. &amp; Oumar C. (2009). (PDF) Le bissap (Hibiscus sabdariffa L.) : composition et principales utilisations. </w:t>
      </w:r>
      <w:r w:rsidRPr="006B3EE2">
        <w:rPr>
          <w:rFonts w:ascii="Times New Roman" w:hAnsi="Times New Roman" w:cs="Times New Roman"/>
          <w:i/>
          <w:iCs/>
          <w:sz w:val="24"/>
        </w:rPr>
        <w:t>ResearchGate</w:t>
      </w:r>
      <w:r w:rsidRPr="006B3EE2">
        <w:rPr>
          <w:rFonts w:ascii="Times New Roman" w:hAnsi="Times New Roman" w:cs="Times New Roman"/>
          <w:sz w:val="24"/>
        </w:rPr>
        <w:t>, 64: 179–193.</w:t>
      </w:r>
    </w:p>
    <w:p w14:paraId="2DB4E648" w14:textId="66330D56"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Compaore M.K.A., Kpoda D.S., Bazie B.S.R., Ouedraogo M., Yakoro A., Nikiema F., Belemlougri A., Meda R., Bande M., Barro N. &amp; Kabre E. (2021). Microbiological quality assessment of five common foods sold at different points of sale in Burkina-Faso.</w:t>
      </w:r>
      <w:r w:rsidR="003F59D0">
        <w:rPr>
          <w:rFonts w:ascii="Times New Roman" w:hAnsi="Times New Roman" w:cs="Times New Roman"/>
          <w:sz w:val="24"/>
        </w:rPr>
        <w:t xml:space="preserve"> </w:t>
      </w:r>
      <w:r w:rsidR="003F59D0" w:rsidRPr="003F59D0">
        <w:rPr>
          <w:rFonts w:ascii="Times New Roman" w:hAnsi="Times New Roman" w:cs="Times New Roman"/>
          <w:bCs/>
          <w:i/>
          <w:iCs/>
          <w:sz w:val="24"/>
        </w:rPr>
        <w:t>Journal of Food Quality and Hazards Control</w:t>
      </w:r>
      <w:r w:rsidR="003F59D0" w:rsidRPr="003F59D0">
        <w:rPr>
          <w:rFonts w:ascii="Times New Roman" w:hAnsi="Times New Roman" w:cs="Times New Roman"/>
          <w:b/>
          <w:bCs/>
          <w:sz w:val="24"/>
        </w:rPr>
        <w:t>, </w:t>
      </w:r>
      <w:r w:rsidR="003F59D0" w:rsidRPr="003F59D0">
        <w:rPr>
          <w:rFonts w:ascii="Times New Roman" w:hAnsi="Times New Roman" w:cs="Times New Roman"/>
          <w:bCs/>
          <w:iCs/>
          <w:sz w:val="24"/>
        </w:rPr>
        <w:t>8</w:t>
      </w:r>
      <w:r w:rsidR="003F59D0" w:rsidRPr="003F59D0">
        <w:rPr>
          <w:rFonts w:ascii="Times New Roman" w:hAnsi="Times New Roman" w:cs="Times New Roman"/>
          <w:bCs/>
          <w:sz w:val="24"/>
        </w:rPr>
        <w:t>(3): 108-115.</w:t>
      </w:r>
    </w:p>
    <w:p w14:paraId="0FF32CFA"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Da-Costa-Rocha I., Bonnlaender B., Sievers H., Pischel I. &amp; Heinrich M. (2014). Hibiscus sabdariffa L. - a phytochemical and pharmacological review. </w:t>
      </w:r>
      <w:r w:rsidRPr="006B3EE2">
        <w:rPr>
          <w:rFonts w:ascii="Times New Roman" w:hAnsi="Times New Roman" w:cs="Times New Roman"/>
          <w:i/>
          <w:iCs/>
          <w:sz w:val="24"/>
        </w:rPr>
        <w:t>Food Chemistry</w:t>
      </w:r>
      <w:r w:rsidRPr="006B3EE2">
        <w:rPr>
          <w:rFonts w:ascii="Times New Roman" w:hAnsi="Times New Roman" w:cs="Times New Roman"/>
          <w:sz w:val="24"/>
        </w:rPr>
        <w:t>, 165: 424–443.</w:t>
      </w:r>
    </w:p>
    <w:p w14:paraId="7F113DF8" w14:textId="19C86629"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Ehouman S.A.G., Benjamin Y.N., Edith K.-K.N., Sory T.K. &amp; Kablan T. (2020). Evaluation of The Patulin Content of Certain Non-Alcoholic Beverages (Gnamankoudji, Bissap And Tomi) Sold on The Streets of Daloa (Côte d’Ivoire). </w:t>
      </w:r>
      <w:r w:rsidRPr="006B3EE2">
        <w:rPr>
          <w:rFonts w:ascii="Times New Roman" w:hAnsi="Times New Roman" w:cs="Times New Roman"/>
          <w:i/>
          <w:iCs/>
          <w:sz w:val="24"/>
        </w:rPr>
        <w:t>European Journal of Agriculture and Food Sciences</w:t>
      </w:r>
      <w:r w:rsidRPr="006B3EE2">
        <w:rPr>
          <w:rFonts w:ascii="Times New Roman" w:hAnsi="Times New Roman" w:cs="Times New Roman"/>
          <w:sz w:val="24"/>
        </w:rPr>
        <w:t>, 2(4):</w:t>
      </w:r>
      <w:r w:rsidR="003F59D0">
        <w:rPr>
          <w:rFonts w:ascii="Times New Roman" w:hAnsi="Times New Roman" w:cs="Times New Roman"/>
          <w:sz w:val="24"/>
        </w:rPr>
        <w:t xml:space="preserve"> 1-5</w:t>
      </w:r>
    </w:p>
    <w:p w14:paraId="53835A6A" w14:textId="77777777" w:rsid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Humblot C., Perez-Pulido R., Akaki D., Loiseau G. &amp; Guyot J.-P. (2012). Prevalence and Fate of Bacillus cereus in African Traditional Cereal-Based Foods Used as Infant Foods. </w:t>
      </w:r>
      <w:r w:rsidRPr="006B3EE2">
        <w:rPr>
          <w:rFonts w:ascii="Times New Roman" w:hAnsi="Times New Roman" w:cs="Times New Roman"/>
          <w:i/>
          <w:iCs/>
          <w:sz w:val="24"/>
        </w:rPr>
        <w:t>Journal of Food Protection</w:t>
      </w:r>
      <w:r w:rsidRPr="006B3EE2">
        <w:rPr>
          <w:rFonts w:ascii="Times New Roman" w:hAnsi="Times New Roman" w:cs="Times New Roman"/>
          <w:sz w:val="24"/>
        </w:rPr>
        <w:t>, 75(9): 1642–1645.</w:t>
      </w:r>
    </w:p>
    <w:p w14:paraId="2B402424" w14:textId="78DF4104" w:rsidR="003F59D0" w:rsidRPr="003F59D0" w:rsidRDefault="003F59D0" w:rsidP="00230747">
      <w:pPr>
        <w:pStyle w:val="Bibliography"/>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INS</w:t>
      </w:r>
      <w:r w:rsidRPr="00875EBB">
        <w:rPr>
          <w:rFonts w:ascii="Times New Roman" w:hAnsi="Times New Roman" w:cs="Times New Roman"/>
          <w:sz w:val="24"/>
          <w:szCs w:val="24"/>
        </w:rPr>
        <w:t xml:space="preserve"> (2015). </w:t>
      </w:r>
      <w:r w:rsidRPr="001D563E">
        <w:rPr>
          <w:rFonts w:ascii="Times New Roman" w:hAnsi="Times New Roman" w:cs="Times New Roman"/>
          <w:iCs/>
          <w:sz w:val="24"/>
          <w:szCs w:val="24"/>
        </w:rPr>
        <w:t>R</w:t>
      </w:r>
      <w:r>
        <w:rPr>
          <w:rFonts w:ascii="Times New Roman" w:hAnsi="Times New Roman" w:cs="Times New Roman"/>
          <w:iCs/>
          <w:sz w:val="24"/>
          <w:szCs w:val="24"/>
        </w:rPr>
        <w:t>épertoire des localités  Région du Haut Sassandra</w:t>
      </w:r>
      <w:r>
        <w:rPr>
          <w:rFonts w:ascii="Times New Roman" w:hAnsi="Times New Roman" w:cs="Times New Roman"/>
          <w:sz w:val="24"/>
          <w:szCs w:val="24"/>
        </w:rPr>
        <w:t xml:space="preserve"> (INS,</w:t>
      </w:r>
      <w:r w:rsidR="003C6694">
        <w:rPr>
          <w:rFonts w:ascii="Times New Roman" w:hAnsi="Times New Roman" w:cs="Times New Roman"/>
          <w:sz w:val="24"/>
          <w:szCs w:val="24"/>
        </w:rPr>
        <w:t xml:space="preserve"> </w:t>
      </w:r>
      <w:r>
        <w:rPr>
          <w:rFonts w:ascii="Times New Roman" w:hAnsi="Times New Roman" w:cs="Times New Roman"/>
          <w:sz w:val="24"/>
          <w:szCs w:val="24"/>
        </w:rPr>
        <w:t xml:space="preserve">2015). </w:t>
      </w:r>
      <w:r w:rsidRPr="001D563E">
        <w:rPr>
          <w:rFonts w:ascii="Times New Roman" w:hAnsi="Times New Roman" w:cs="Times New Roman"/>
          <w:sz w:val="24"/>
          <w:szCs w:val="24"/>
        </w:rPr>
        <w:t>Institut National de la Statisque,</w:t>
      </w:r>
      <w:r>
        <w:rPr>
          <w:rFonts w:ascii="Times New Roman" w:hAnsi="Times New Roman" w:cs="Times New Roman"/>
          <w:sz w:val="24"/>
          <w:szCs w:val="24"/>
        </w:rPr>
        <w:t xml:space="preserve"> Abidjan (</w:t>
      </w:r>
      <w:r w:rsidRPr="001D563E">
        <w:rPr>
          <w:rFonts w:ascii="Times New Roman" w:hAnsi="Times New Roman" w:cs="Times New Roman"/>
          <w:bCs/>
          <w:sz w:val="24"/>
          <w:szCs w:val="24"/>
        </w:rPr>
        <w:t>Côte</w:t>
      </w:r>
      <w:r>
        <w:rPr>
          <w:rFonts w:ascii="Times New Roman" w:hAnsi="Times New Roman" w:cs="Times New Roman"/>
          <w:sz w:val="24"/>
          <w:szCs w:val="24"/>
        </w:rPr>
        <w:t xml:space="preserve"> d'Ivoire), 72p.</w:t>
      </w:r>
    </w:p>
    <w:p w14:paraId="71307024"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lastRenderedPageBreak/>
        <w:t xml:space="preserve">Kouame C.A.B.M.-A., Clement K.K., Athanase K.K. &amp; Ibrahim K. (2024). Assessment of Production and Risks of Consumption of Artisanal Refreshing Drinks (Bissap, Gnamankoudji) in Haut Sassandra (Daloa-Côte d’Ivoire). </w:t>
      </w:r>
      <w:r w:rsidRPr="006B3EE2">
        <w:rPr>
          <w:rFonts w:ascii="Times New Roman" w:hAnsi="Times New Roman" w:cs="Times New Roman"/>
          <w:i/>
          <w:iCs/>
          <w:sz w:val="24"/>
        </w:rPr>
        <w:t>International Journal of TROPICAL DISEASE &amp; Health</w:t>
      </w:r>
      <w:r w:rsidRPr="006B3EE2">
        <w:rPr>
          <w:rFonts w:ascii="Times New Roman" w:hAnsi="Times New Roman" w:cs="Times New Roman"/>
          <w:sz w:val="24"/>
        </w:rPr>
        <w:t>, 45(6): 139–153.</w:t>
      </w:r>
    </w:p>
    <w:p w14:paraId="6A4B1AE6" w14:textId="579BB1AB"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Kouassi K.C., Voko Bi D.-R.R., Koffi A.C. &amp; KOUAME K.B.E.-B. (2018a). Microbial contamination of the non-alcoholic beverage Gnamakoudji made fro</w:t>
      </w:r>
      <w:r w:rsidR="003F59D0">
        <w:rPr>
          <w:rFonts w:ascii="Times New Roman" w:hAnsi="Times New Roman" w:cs="Times New Roman"/>
          <w:sz w:val="24"/>
        </w:rPr>
        <w:t xml:space="preserve">m Zingiber officinale in Daloa. </w:t>
      </w:r>
      <w:r w:rsidR="003F59D0" w:rsidRPr="00875EBB">
        <w:rPr>
          <w:rFonts w:ascii="Times New Roman" w:hAnsi="Times New Roman" w:cs="Times New Roman"/>
          <w:sz w:val="24"/>
          <w:szCs w:val="24"/>
        </w:rPr>
        <w:t>C</w:t>
      </w:r>
      <w:r w:rsidR="003F59D0">
        <w:rPr>
          <w:rFonts w:ascii="Times New Roman" w:hAnsi="Times New Roman" w:cs="Times New Roman"/>
          <w:sz w:val="24"/>
          <w:szCs w:val="24"/>
        </w:rPr>
        <w:t>o</w:t>
      </w:r>
      <w:r w:rsidR="003F59D0" w:rsidRPr="00875EBB">
        <w:rPr>
          <w:rFonts w:ascii="Times New Roman" w:hAnsi="Times New Roman" w:cs="Times New Roman"/>
          <w:sz w:val="24"/>
          <w:szCs w:val="24"/>
        </w:rPr>
        <w:t>te d</w:t>
      </w:r>
      <w:r w:rsidR="003F59D0">
        <w:rPr>
          <w:rFonts w:ascii="Times New Roman" w:hAnsi="Times New Roman" w:cs="Times New Roman"/>
          <w:sz w:val="24"/>
          <w:szCs w:val="24"/>
        </w:rPr>
        <w:t>'</w:t>
      </w:r>
      <w:r w:rsidR="003F59D0" w:rsidRPr="00875EBB">
        <w:rPr>
          <w:rFonts w:ascii="Times New Roman" w:hAnsi="Times New Roman" w:cs="Times New Roman"/>
          <w:sz w:val="24"/>
          <w:szCs w:val="24"/>
        </w:rPr>
        <w:t xml:space="preserve">Ivoire. </w:t>
      </w:r>
      <w:r w:rsidR="003F59D0" w:rsidRPr="00875EBB">
        <w:rPr>
          <w:rFonts w:ascii="Times New Roman" w:hAnsi="Times New Roman" w:cs="Times New Roman"/>
          <w:i/>
          <w:iCs/>
          <w:sz w:val="24"/>
          <w:szCs w:val="24"/>
        </w:rPr>
        <w:t>African Journal of Microbiology Research</w:t>
      </w:r>
      <w:r w:rsidR="003F59D0" w:rsidRPr="00875EBB">
        <w:rPr>
          <w:rFonts w:ascii="Times New Roman" w:hAnsi="Times New Roman" w:cs="Times New Roman"/>
          <w:sz w:val="24"/>
          <w:szCs w:val="24"/>
        </w:rPr>
        <w:t>, 12(35): 857–865</w:t>
      </w:r>
    </w:p>
    <w:p w14:paraId="5E53D347"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Kouassi K.C., Voko D.-R.R.B., Koffi A.C., Kouame K.B.E.-B. &amp; Koffi-Nevry R. (2018b). Microbial contamination of the non-alcoholic beverage Gnamakoudji made from Zingiber officinale in Daloa, Cte dIvoire. </w:t>
      </w:r>
      <w:r w:rsidRPr="006B3EE2">
        <w:rPr>
          <w:rFonts w:ascii="Times New Roman" w:hAnsi="Times New Roman" w:cs="Times New Roman"/>
          <w:i/>
          <w:iCs/>
          <w:sz w:val="24"/>
        </w:rPr>
        <w:t>African Journal of Microbiology Research</w:t>
      </w:r>
      <w:r w:rsidRPr="006B3EE2">
        <w:rPr>
          <w:rFonts w:ascii="Times New Roman" w:hAnsi="Times New Roman" w:cs="Times New Roman"/>
          <w:sz w:val="24"/>
        </w:rPr>
        <w:t>, 12(35): 857–865.</w:t>
      </w:r>
    </w:p>
    <w:p w14:paraId="50DD2FF2" w14:textId="504D4759"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Micheline A.T., Bada F., A</w:t>
      </w:r>
      <w:r w:rsidR="003F59D0" w:rsidRPr="006B3EE2">
        <w:rPr>
          <w:rFonts w:ascii="Times New Roman" w:hAnsi="Times New Roman" w:cs="Times New Roman"/>
          <w:sz w:val="24"/>
        </w:rPr>
        <w:t>hanhanzo</w:t>
      </w:r>
      <w:r w:rsidRPr="006B3EE2">
        <w:rPr>
          <w:rFonts w:ascii="Times New Roman" w:hAnsi="Times New Roman" w:cs="Times New Roman"/>
          <w:sz w:val="24"/>
        </w:rPr>
        <w:t xml:space="preserve"> C., A</w:t>
      </w:r>
      <w:r w:rsidR="003F59D0" w:rsidRPr="006B3EE2">
        <w:rPr>
          <w:rFonts w:ascii="Times New Roman" w:hAnsi="Times New Roman" w:cs="Times New Roman"/>
          <w:sz w:val="24"/>
        </w:rPr>
        <w:t>disso</w:t>
      </w:r>
      <w:r w:rsidRPr="006B3EE2">
        <w:rPr>
          <w:rFonts w:ascii="Times New Roman" w:hAnsi="Times New Roman" w:cs="Times New Roman"/>
          <w:sz w:val="24"/>
        </w:rPr>
        <w:t xml:space="preserve"> S.A., Fatiou T. &amp; Souza C. (2011). E</w:t>
      </w:r>
      <w:r w:rsidR="003F59D0" w:rsidRPr="006B3EE2">
        <w:rPr>
          <w:rFonts w:ascii="Times New Roman" w:hAnsi="Times New Roman" w:cs="Times New Roman"/>
          <w:sz w:val="24"/>
        </w:rPr>
        <w:t>ffets des huiles essentielles sur les qualites hygieniques et organoleptiques de la boisson</w:t>
      </w:r>
      <w:r w:rsidR="003F59D0">
        <w:rPr>
          <w:rFonts w:ascii="Times New Roman" w:hAnsi="Times New Roman" w:cs="Times New Roman"/>
          <w:sz w:val="24"/>
        </w:rPr>
        <w:t xml:space="preserve"> ‘Bissap</w:t>
      </w:r>
      <w:r w:rsidRPr="006B3EE2">
        <w:rPr>
          <w:rFonts w:ascii="Times New Roman" w:hAnsi="Times New Roman" w:cs="Times New Roman"/>
          <w:sz w:val="24"/>
        </w:rPr>
        <w:t xml:space="preserve">’. </w:t>
      </w:r>
      <w:r w:rsidRPr="006B3EE2">
        <w:rPr>
          <w:rFonts w:ascii="Times New Roman" w:hAnsi="Times New Roman" w:cs="Times New Roman"/>
          <w:i/>
          <w:iCs/>
          <w:sz w:val="24"/>
        </w:rPr>
        <w:t>Rev. Microbiol. Ind. San et Environn.</w:t>
      </w:r>
      <w:r w:rsidRPr="006B3EE2">
        <w:rPr>
          <w:rFonts w:ascii="Times New Roman" w:hAnsi="Times New Roman" w:cs="Times New Roman"/>
          <w:sz w:val="24"/>
        </w:rPr>
        <w:t>, 5(1): 1–23.</w:t>
      </w:r>
    </w:p>
    <w:p w14:paraId="508538FF"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Nandkangre H., Ouedraogo M. &amp; Sawadogo M. (2015). Caractérisation du système de production du gingembre (</w:t>
      </w:r>
      <w:r w:rsidRPr="006B3EE2">
        <w:rPr>
          <w:rFonts w:ascii="Times New Roman" w:hAnsi="Times New Roman" w:cs="Times New Roman"/>
          <w:i/>
          <w:iCs/>
          <w:sz w:val="24"/>
        </w:rPr>
        <w:t>Zingiber officinale</w:t>
      </w:r>
      <w:r w:rsidRPr="006B3EE2">
        <w:rPr>
          <w:rFonts w:ascii="Times New Roman" w:hAnsi="Times New Roman" w:cs="Times New Roman"/>
          <w:sz w:val="24"/>
        </w:rPr>
        <w:t xml:space="preserve"> Rosc.) au Burkina Faso : Potentialités, contraintes et perspectives. </w:t>
      </w:r>
      <w:r w:rsidRPr="006B3EE2">
        <w:rPr>
          <w:rFonts w:ascii="Times New Roman" w:hAnsi="Times New Roman" w:cs="Times New Roman"/>
          <w:i/>
          <w:iCs/>
          <w:sz w:val="24"/>
        </w:rPr>
        <w:t>International Journal of Biological and Chemical Sciences</w:t>
      </w:r>
      <w:r w:rsidRPr="006B3EE2">
        <w:rPr>
          <w:rFonts w:ascii="Times New Roman" w:hAnsi="Times New Roman" w:cs="Times New Roman"/>
          <w:sz w:val="24"/>
        </w:rPr>
        <w:t>, 9(2): 861.</w:t>
      </w:r>
    </w:p>
    <w:p w14:paraId="21E85F90"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Ndiaye N. Dieng, M., Kane, A. Cisse, M., Montet, D. &amp; Touré, N. (2015). Diagnostic et caractérisation microbiologique des procédés artisanaux de fabrication de boissons et de concentrés d’Hibiscus sabdariffa L. au Ssénégal. Afrique Science. 11(3): 197–210.</w:t>
      </w:r>
    </w:p>
    <w:p w14:paraId="6AA6D161" w14:textId="3565E71A"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Oluwafemi Y.D., Igere B.E., Ekundayo T.C. &amp; Ijabadeniyi O.A. (2023). Prevalence of Listeria monocytogenes in milk in Africa: a generalized logistic mixed-effects and meta-regression modelling. </w:t>
      </w:r>
      <w:r w:rsidRPr="006B3EE2">
        <w:rPr>
          <w:rFonts w:ascii="Times New Roman" w:hAnsi="Times New Roman" w:cs="Times New Roman"/>
          <w:i/>
          <w:iCs/>
          <w:sz w:val="24"/>
        </w:rPr>
        <w:t>Scientific Reports</w:t>
      </w:r>
      <w:r w:rsidR="003F59D0">
        <w:rPr>
          <w:rFonts w:ascii="Times New Roman" w:hAnsi="Times New Roman" w:cs="Times New Roman"/>
          <w:sz w:val="24"/>
        </w:rPr>
        <w:t>, 13: 12-</w:t>
      </w:r>
      <w:r w:rsidRPr="006B3EE2">
        <w:rPr>
          <w:rFonts w:ascii="Times New Roman" w:hAnsi="Times New Roman" w:cs="Times New Roman"/>
          <w:sz w:val="24"/>
        </w:rPr>
        <w:t>46.</w:t>
      </w:r>
    </w:p>
    <w:p w14:paraId="1CBB6DAD"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OMS (2015). WHO estimates of the global burden of foodborne diseases: foodborne diseases burden epidemiology reference group 2007-2015.</w:t>
      </w:r>
    </w:p>
    <w:p w14:paraId="5D6B4DDA" w14:textId="07614F91"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OMS (2024). Food safety.</w:t>
      </w:r>
      <w:r w:rsidR="003F59D0">
        <w:rPr>
          <w:rFonts w:ascii="Times New Roman" w:hAnsi="Times New Roman" w:cs="Times New Roman"/>
          <w:sz w:val="24"/>
        </w:rPr>
        <w:t xml:space="preserve"> </w:t>
      </w:r>
      <w:r w:rsidR="003F59D0" w:rsidRPr="00163468">
        <w:rPr>
          <w:rFonts w:ascii="Times New Roman" w:hAnsi="Times New Roman" w:cs="Times New Roman"/>
          <w:bCs/>
          <w:i/>
          <w:sz w:val="24"/>
          <w:szCs w:val="24"/>
        </w:rPr>
        <w:t>Organisation mondiale de la Santé</w:t>
      </w:r>
      <w:r w:rsidR="003F59D0">
        <w:rPr>
          <w:rFonts w:ascii="Times New Roman" w:hAnsi="Times New Roman" w:cs="Times New Roman"/>
          <w:bCs/>
          <w:sz w:val="24"/>
          <w:szCs w:val="24"/>
        </w:rPr>
        <w:t>, Genève</w:t>
      </w:r>
      <w:r w:rsidR="003F59D0" w:rsidRPr="00163468">
        <w:rPr>
          <w:rFonts w:ascii="Times New Roman" w:hAnsi="Times New Roman" w:cs="Times New Roman"/>
          <w:bCs/>
          <w:sz w:val="24"/>
          <w:szCs w:val="24"/>
        </w:rPr>
        <w:t xml:space="preserve"> </w:t>
      </w:r>
      <w:r w:rsidR="003F59D0">
        <w:rPr>
          <w:rFonts w:ascii="Times New Roman" w:hAnsi="Times New Roman" w:cs="Times New Roman"/>
          <w:bCs/>
          <w:sz w:val="24"/>
          <w:szCs w:val="24"/>
        </w:rPr>
        <w:t>(</w:t>
      </w:r>
      <w:r w:rsidR="003F59D0" w:rsidRPr="00163468">
        <w:rPr>
          <w:rFonts w:ascii="Times New Roman" w:hAnsi="Times New Roman" w:cs="Times New Roman"/>
          <w:bCs/>
          <w:sz w:val="24"/>
          <w:szCs w:val="24"/>
        </w:rPr>
        <w:t>Suisse</w:t>
      </w:r>
      <w:r w:rsidR="003F59D0">
        <w:rPr>
          <w:rFonts w:ascii="Times New Roman" w:hAnsi="Times New Roman" w:cs="Times New Roman"/>
          <w:bCs/>
          <w:sz w:val="24"/>
          <w:szCs w:val="24"/>
        </w:rPr>
        <w:t>), 6p</w:t>
      </w:r>
    </w:p>
    <w:p w14:paraId="78969363" w14:textId="5C0ADE10"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Program H.F. (2024). Quantitative Assessment of Relative Risk to Public Health from Foodborne </w:t>
      </w:r>
      <w:r w:rsidRPr="003F59D0">
        <w:rPr>
          <w:rFonts w:ascii="Times New Roman" w:hAnsi="Times New Roman" w:cs="Times New Roman"/>
          <w:i/>
          <w:sz w:val="24"/>
        </w:rPr>
        <w:t>Listeria monocytogenes</w:t>
      </w:r>
      <w:r w:rsidRPr="006B3EE2">
        <w:rPr>
          <w:rFonts w:ascii="Times New Roman" w:hAnsi="Times New Roman" w:cs="Times New Roman"/>
          <w:sz w:val="24"/>
        </w:rPr>
        <w:t xml:space="preserve"> Among Selected Categories of Ready-to-Eat Foods. </w:t>
      </w:r>
      <w:r w:rsidR="003F59D0">
        <w:rPr>
          <w:rFonts w:ascii="Times New Roman" w:hAnsi="Times New Roman" w:cs="Times New Roman"/>
          <w:i/>
          <w:iCs/>
          <w:sz w:val="24"/>
        </w:rPr>
        <w:t xml:space="preserve">Food and Drug Administration, </w:t>
      </w:r>
      <w:r w:rsidR="00766FC6">
        <w:rPr>
          <w:rFonts w:ascii="Times New Roman" w:hAnsi="Times New Roman" w:cs="Times New Roman"/>
          <w:iCs/>
          <w:sz w:val="24"/>
        </w:rPr>
        <w:t xml:space="preserve">100 </w:t>
      </w:r>
      <w:r w:rsidR="003F59D0" w:rsidRPr="003F59D0">
        <w:rPr>
          <w:rFonts w:ascii="Times New Roman" w:hAnsi="Times New Roman" w:cs="Times New Roman"/>
          <w:iCs/>
          <w:sz w:val="24"/>
        </w:rPr>
        <w:t>p</w:t>
      </w:r>
      <w:r w:rsidR="003F59D0">
        <w:rPr>
          <w:rFonts w:ascii="Times New Roman" w:hAnsi="Times New Roman" w:cs="Times New Roman"/>
          <w:i/>
          <w:iCs/>
          <w:sz w:val="24"/>
        </w:rPr>
        <w:t>.</w:t>
      </w:r>
    </w:p>
    <w:p w14:paraId="192509DB" w14:textId="77777777"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 xml:space="preserve">Sangare-Tigori B., Dem A.A., Kouadio H.J., Betbeder A.-M., Dano D.S., Moukha S. &amp; Creppy E.E. (2006). Preliminary survey of ochratoxin A in millet, maize, rice and peanuts in Côte d’Ivoire from 1998 to 2002. </w:t>
      </w:r>
      <w:r w:rsidRPr="006B3EE2">
        <w:rPr>
          <w:rFonts w:ascii="Times New Roman" w:hAnsi="Times New Roman" w:cs="Times New Roman"/>
          <w:i/>
          <w:iCs/>
          <w:sz w:val="24"/>
        </w:rPr>
        <w:t>Human &amp; Experimental Toxicology</w:t>
      </w:r>
      <w:r w:rsidRPr="006B3EE2">
        <w:rPr>
          <w:rFonts w:ascii="Times New Roman" w:hAnsi="Times New Roman" w:cs="Times New Roman"/>
          <w:sz w:val="24"/>
        </w:rPr>
        <w:t>, 25(4): 211–216.</w:t>
      </w:r>
    </w:p>
    <w:p w14:paraId="3CF7E36F" w14:textId="6F989BAE" w:rsidR="006B3EE2" w:rsidRPr="006B3EE2" w:rsidRDefault="006B3EE2" w:rsidP="00230747">
      <w:pPr>
        <w:pStyle w:val="Bibliography"/>
        <w:numPr>
          <w:ilvl w:val="0"/>
          <w:numId w:val="44"/>
        </w:numPr>
        <w:jc w:val="both"/>
        <w:rPr>
          <w:rFonts w:ascii="Times New Roman" w:hAnsi="Times New Roman" w:cs="Times New Roman"/>
          <w:sz w:val="24"/>
        </w:rPr>
      </w:pPr>
      <w:r w:rsidRPr="006B3EE2">
        <w:rPr>
          <w:rFonts w:ascii="Times New Roman" w:hAnsi="Times New Roman" w:cs="Times New Roman"/>
          <w:sz w:val="24"/>
        </w:rPr>
        <w:t>Yo</w:t>
      </w:r>
      <w:r w:rsidR="003F59D0">
        <w:rPr>
          <w:rFonts w:ascii="Times New Roman" w:hAnsi="Times New Roman" w:cs="Times New Roman"/>
          <w:sz w:val="24"/>
        </w:rPr>
        <w:t>u</w:t>
      </w:r>
      <w:r w:rsidRPr="006B3EE2">
        <w:rPr>
          <w:rFonts w:ascii="Times New Roman" w:hAnsi="Times New Roman" w:cs="Times New Roman"/>
          <w:sz w:val="24"/>
        </w:rPr>
        <w:t>bouet B.A. (2016). Contamination du lait cru et de l’attiéké vendus sur les marchés informels à Abidjan (Côte d’Ivoire) par le groupe</w:t>
      </w:r>
      <w:r w:rsidRPr="003F59D0">
        <w:rPr>
          <w:rFonts w:ascii="Times New Roman" w:hAnsi="Times New Roman" w:cs="Times New Roman"/>
          <w:i/>
          <w:sz w:val="24"/>
        </w:rPr>
        <w:t xml:space="preserve"> Bacillus cereus</w:t>
      </w:r>
      <w:r w:rsidRPr="006B3EE2">
        <w:rPr>
          <w:rFonts w:ascii="Times New Roman" w:hAnsi="Times New Roman" w:cs="Times New Roman"/>
          <w:sz w:val="24"/>
        </w:rPr>
        <w:t xml:space="preserve"> et analyse des risques. </w:t>
      </w:r>
      <w:r w:rsidR="003F59D0">
        <w:rPr>
          <w:rFonts w:ascii="Times New Roman" w:hAnsi="Times New Roman" w:cs="Times New Roman"/>
          <w:sz w:val="24"/>
          <w:szCs w:val="24"/>
        </w:rPr>
        <w:t>Thèse de D</w:t>
      </w:r>
      <w:r w:rsidR="003F59D0" w:rsidRPr="00875EBB">
        <w:rPr>
          <w:rFonts w:ascii="Times New Roman" w:hAnsi="Times New Roman" w:cs="Times New Roman"/>
          <w:sz w:val="24"/>
          <w:szCs w:val="24"/>
        </w:rPr>
        <w:t xml:space="preserve">octorat </w:t>
      </w:r>
      <w:r w:rsidR="003F59D0">
        <w:rPr>
          <w:rFonts w:ascii="Times New Roman" w:hAnsi="Times New Roman" w:cs="Times New Roman"/>
          <w:sz w:val="24"/>
          <w:szCs w:val="24"/>
        </w:rPr>
        <w:t xml:space="preserve">en Qualité et Sécurité Alimentaire des Aliments, Faculté Sciences et Technologies des Aliments, </w:t>
      </w:r>
      <w:r w:rsidR="003F59D0" w:rsidRPr="00875EBB">
        <w:rPr>
          <w:rFonts w:ascii="Times New Roman" w:hAnsi="Times New Roman" w:cs="Times New Roman"/>
          <w:sz w:val="24"/>
          <w:szCs w:val="24"/>
        </w:rPr>
        <w:t xml:space="preserve">Université Nangui </w:t>
      </w:r>
      <w:r w:rsidR="003F59D0">
        <w:rPr>
          <w:rFonts w:ascii="Times New Roman" w:hAnsi="Times New Roman" w:cs="Times New Roman"/>
          <w:sz w:val="24"/>
          <w:szCs w:val="24"/>
        </w:rPr>
        <w:t>Abrogoua, Abidjan (Côte d'Ivoire),</w:t>
      </w:r>
      <w:r w:rsidR="003F59D0" w:rsidRPr="00875EBB">
        <w:rPr>
          <w:rFonts w:ascii="Times New Roman" w:hAnsi="Times New Roman" w:cs="Times New Roman"/>
          <w:sz w:val="24"/>
          <w:szCs w:val="24"/>
        </w:rPr>
        <w:t xml:space="preserve"> 17(3): 358.</w:t>
      </w:r>
    </w:p>
    <w:p w14:paraId="0D16C06F" w14:textId="15800BE1" w:rsidR="00B466D0" w:rsidRDefault="00674764" w:rsidP="00D426AD">
      <w:pPr>
        <w:spacing w:line="360" w:lineRule="auto"/>
        <w:jc w:val="both"/>
      </w:pPr>
      <w:r w:rsidRPr="00674764">
        <w:rPr>
          <w:rFonts w:ascii="Times New Roman" w:hAnsi="Times New Roman" w:cs="Times New Roman"/>
          <w:sz w:val="24"/>
        </w:rPr>
        <w:lastRenderedPageBreak/>
        <w:fldChar w:fldCharType="end"/>
      </w:r>
    </w:p>
    <w:sectPr w:rsidR="00B466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84F91" w14:textId="77777777" w:rsidR="00F634E3" w:rsidRDefault="00F634E3">
      <w:pPr>
        <w:spacing w:after="0" w:line="240" w:lineRule="auto"/>
      </w:pPr>
      <w:r>
        <w:separator/>
      </w:r>
    </w:p>
  </w:endnote>
  <w:endnote w:type="continuationSeparator" w:id="0">
    <w:p w14:paraId="3AE9730E" w14:textId="77777777" w:rsidR="00F634E3" w:rsidRDefault="00F63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B49D3" w14:textId="77777777" w:rsidR="00EF6784" w:rsidRDefault="00EF6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451543"/>
      <w:docPartObj>
        <w:docPartGallery w:val="Page Numbers (Bottom of Page)"/>
        <w:docPartUnique/>
      </w:docPartObj>
    </w:sdtPr>
    <w:sdtEndPr/>
    <w:sdtContent>
      <w:p w14:paraId="296483FD" w14:textId="77777777" w:rsidR="00EF6784" w:rsidRDefault="00EF6784">
        <w:pPr>
          <w:pStyle w:val="Footer"/>
          <w:jc w:val="right"/>
        </w:pPr>
        <w:r>
          <w:fldChar w:fldCharType="begin"/>
        </w:r>
        <w:r>
          <w:instrText>PAGE   \* MERGEFORMAT</w:instrText>
        </w:r>
        <w:r>
          <w:fldChar w:fldCharType="separate"/>
        </w:r>
        <w:r w:rsidR="00D426AD">
          <w:rPr>
            <w:noProof/>
          </w:rPr>
          <w:t>5</w:t>
        </w:r>
        <w:r>
          <w:fldChar w:fldCharType="end"/>
        </w:r>
      </w:p>
    </w:sdtContent>
  </w:sdt>
  <w:p w14:paraId="1028471F" w14:textId="77777777" w:rsidR="00EF6784" w:rsidRDefault="00EF6784" w:rsidP="00993D4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8768" w14:textId="77777777" w:rsidR="00EF6784" w:rsidRDefault="00EF67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C47E7" w14:textId="77777777" w:rsidR="00F634E3" w:rsidRDefault="00F634E3">
      <w:pPr>
        <w:spacing w:after="0" w:line="240" w:lineRule="auto"/>
      </w:pPr>
      <w:r>
        <w:separator/>
      </w:r>
    </w:p>
  </w:footnote>
  <w:footnote w:type="continuationSeparator" w:id="0">
    <w:p w14:paraId="69077770" w14:textId="77777777" w:rsidR="00F634E3" w:rsidRDefault="00F63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4E2CE" w14:textId="33283562" w:rsidR="00EF6784" w:rsidRDefault="00F634E3">
    <w:pPr>
      <w:pStyle w:val="Header"/>
    </w:pPr>
    <w:r>
      <w:rPr>
        <w:noProof/>
      </w:rPr>
      <w:pict w14:anchorId="13656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837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A2BB3" w14:textId="114E3DEF" w:rsidR="00EF6784" w:rsidRDefault="00F634E3">
    <w:pPr>
      <w:pStyle w:val="Header"/>
    </w:pPr>
    <w:r>
      <w:rPr>
        <w:noProof/>
      </w:rPr>
      <w:pict w14:anchorId="629F38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837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DF4B0" w14:textId="5E45A167" w:rsidR="00EF6784" w:rsidRDefault="00F634E3">
    <w:pPr>
      <w:pStyle w:val="Header"/>
    </w:pPr>
    <w:r>
      <w:rPr>
        <w:noProof/>
      </w:rPr>
      <w:pict w14:anchorId="463AF1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837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F008A"/>
    <w:multiLevelType w:val="multilevel"/>
    <w:tmpl w:val="B2421B3A"/>
    <w:lvl w:ilvl="0">
      <w:start w:val="3"/>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0D129E"/>
    <w:multiLevelType w:val="hybridMultilevel"/>
    <w:tmpl w:val="C69494A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F49200E"/>
    <w:multiLevelType w:val="hybridMultilevel"/>
    <w:tmpl w:val="5F42E7CC"/>
    <w:lvl w:ilvl="0" w:tplc="D3BA44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705ED3"/>
    <w:multiLevelType w:val="hybridMultilevel"/>
    <w:tmpl w:val="009820B2"/>
    <w:lvl w:ilvl="0" w:tplc="040C0001">
      <w:start w:val="1"/>
      <w:numFmt w:val="bullet"/>
      <w:lvlText w:val=""/>
      <w:lvlJc w:val="left"/>
      <w:pPr>
        <w:ind w:left="1505" w:hanging="360"/>
      </w:pPr>
      <w:rPr>
        <w:rFonts w:ascii="Symbol" w:hAnsi="Symbol" w:hint="default"/>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4" w15:restartNumberingAfterBreak="0">
    <w:nsid w:val="12270311"/>
    <w:multiLevelType w:val="hybridMultilevel"/>
    <w:tmpl w:val="9FECC9E6"/>
    <w:lvl w:ilvl="0" w:tplc="040C0001">
      <w:start w:val="1"/>
      <w:numFmt w:val="bullet"/>
      <w:lvlText w:val=""/>
      <w:lvlJc w:val="left"/>
      <w:pPr>
        <w:ind w:left="1505" w:hanging="360"/>
      </w:pPr>
      <w:rPr>
        <w:rFonts w:ascii="Symbol" w:hAnsi="Symbol" w:hint="default"/>
      </w:rPr>
    </w:lvl>
    <w:lvl w:ilvl="1" w:tplc="040C0003" w:tentative="1">
      <w:start w:val="1"/>
      <w:numFmt w:val="bullet"/>
      <w:lvlText w:val="o"/>
      <w:lvlJc w:val="left"/>
      <w:pPr>
        <w:ind w:left="2225" w:hanging="360"/>
      </w:pPr>
      <w:rPr>
        <w:rFonts w:ascii="Courier New" w:hAnsi="Courier New" w:cs="Courier New" w:hint="default"/>
      </w:rPr>
    </w:lvl>
    <w:lvl w:ilvl="2" w:tplc="040C0005" w:tentative="1">
      <w:start w:val="1"/>
      <w:numFmt w:val="bullet"/>
      <w:lvlText w:val=""/>
      <w:lvlJc w:val="left"/>
      <w:pPr>
        <w:ind w:left="2945" w:hanging="360"/>
      </w:pPr>
      <w:rPr>
        <w:rFonts w:ascii="Wingdings" w:hAnsi="Wingdings" w:hint="default"/>
      </w:rPr>
    </w:lvl>
    <w:lvl w:ilvl="3" w:tplc="040C0001" w:tentative="1">
      <w:start w:val="1"/>
      <w:numFmt w:val="bullet"/>
      <w:lvlText w:val=""/>
      <w:lvlJc w:val="left"/>
      <w:pPr>
        <w:ind w:left="3665" w:hanging="360"/>
      </w:pPr>
      <w:rPr>
        <w:rFonts w:ascii="Symbol" w:hAnsi="Symbol" w:hint="default"/>
      </w:rPr>
    </w:lvl>
    <w:lvl w:ilvl="4" w:tplc="040C0003" w:tentative="1">
      <w:start w:val="1"/>
      <w:numFmt w:val="bullet"/>
      <w:lvlText w:val="o"/>
      <w:lvlJc w:val="left"/>
      <w:pPr>
        <w:ind w:left="4385" w:hanging="360"/>
      </w:pPr>
      <w:rPr>
        <w:rFonts w:ascii="Courier New" w:hAnsi="Courier New" w:cs="Courier New" w:hint="default"/>
      </w:rPr>
    </w:lvl>
    <w:lvl w:ilvl="5" w:tplc="040C0005" w:tentative="1">
      <w:start w:val="1"/>
      <w:numFmt w:val="bullet"/>
      <w:lvlText w:val=""/>
      <w:lvlJc w:val="left"/>
      <w:pPr>
        <w:ind w:left="5105" w:hanging="360"/>
      </w:pPr>
      <w:rPr>
        <w:rFonts w:ascii="Wingdings" w:hAnsi="Wingdings" w:hint="default"/>
      </w:rPr>
    </w:lvl>
    <w:lvl w:ilvl="6" w:tplc="040C0001" w:tentative="1">
      <w:start w:val="1"/>
      <w:numFmt w:val="bullet"/>
      <w:lvlText w:val=""/>
      <w:lvlJc w:val="left"/>
      <w:pPr>
        <w:ind w:left="5825" w:hanging="360"/>
      </w:pPr>
      <w:rPr>
        <w:rFonts w:ascii="Symbol" w:hAnsi="Symbol" w:hint="default"/>
      </w:rPr>
    </w:lvl>
    <w:lvl w:ilvl="7" w:tplc="040C0003" w:tentative="1">
      <w:start w:val="1"/>
      <w:numFmt w:val="bullet"/>
      <w:lvlText w:val="o"/>
      <w:lvlJc w:val="left"/>
      <w:pPr>
        <w:ind w:left="6545" w:hanging="360"/>
      </w:pPr>
      <w:rPr>
        <w:rFonts w:ascii="Courier New" w:hAnsi="Courier New" w:cs="Courier New" w:hint="default"/>
      </w:rPr>
    </w:lvl>
    <w:lvl w:ilvl="8" w:tplc="040C0005" w:tentative="1">
      <w:start w:val="1"/>
      <w:numFmt w:val="bullet"/>
      <w:lvlText w:val=""/>
      <w:lvlJc w:val="left"/>
      <w:pPr>
        <w:ind w:left="7265" w:hanging="360"/>
      </w:pPr>
      <w:rPr>
        <w:rFonts w:ascii="Wingdings" w:hAnsi="Wingdings" w:hint="default"/>
      </w:rPr>
    </w:lvl>
  </w:abstractNum>
  <w:abstractNum w:abstractNumId="5" w15:restartNumberingAfterBreak="0">
    <w:nsid w:val="13A41F2E"/>
    <w:multiLevelType w:val="hybridMultilevel"/>
    <w:tmpl w:val="9FCE482C"/>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6" w15:restartNumberingAfterBreak="0">
    <w:nsid w:val="14192458"/>
    <w:multiLevelType w:val="hybridMultilevel"/>
    <w:tmpl w:val="7C206D94"/>
    <w:lvl w:ilvl="0" w:tplc="D4880228">
      <w:start w:val="1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3A79FC"/>
    <w:multiLevelType w:val="hybridMultilevel"/>
    <w:tmpl w:val="D1B48160"/>
    <w:lvl w:ilvl="0" w:tplc="D4880228">
      <w:start w:val="1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BF7129"/>
    <w:multiLevelType w:val="hybridMultilevel"/>
    <w:tmpl w:val="79F676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50435D"/>
    <w:multiLevelType w:val="hybridMultilevel"/>
    <w:tmpl w:val="0074CF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094AB3"/>
    <w:multiLevelType w:val="multilevel"/>
    <w:tmpl w:val="06B0CB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9006D9"/>
    <w:multiLevelType w:val="hybridMultilevel"/>
    <w:tmpl w:val="A19C87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12928B6"/>
    <w:multiLevelType w:val="hybridMultilevel"/>
    <w:tmpl w:val="A4805C22"/>
    <w:lvl w:ilvl="0" w:tplc="EA569A04">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A06AE9"/>
    <w:multiLevelType w:val="multilevel"/>
    <w:tmpl w:val="5C22176C"/>
    <w:lvl w:ilvl="0">
      <w:start w:val="1"/>
      <w:numFmt w:val="decimal"/>
      <w:lvlText w:val="%1."/>
      <w:lvlJc w:val="left"/>
      <w:pPr>
        <w:ind w:left="360" w:hanging="360"/>
      </w:pPr>
      <w:rPr>
        <w:rFonts w:hint="default"/>
        <w:sz w:val="24"/>
      </w:rPr>
    </w:lvl>
    <w:lvl w:ilvl="1">
      <w:start w:val="1"/>
      <w:numFmt w:val="decimal"/>
      <w:lvlText w:val="%1.%2."/>
      <w:lvlJc w:val="left"/>
      <w:pPr>
        <w:ind w:left="720" w:hanging="360"/>
      </w:pPr>
      <w:rPr>
        <w:rFonts w:ascii="Times New Roman" w:hAnsi="Times New Roman" w:cs="Times New Roman" w:hint="default"/>
        <w:b/>
        <w:sz w:val="24"/>
      </w:rPr>
    </w:lvl>
    <w:lvl w:ilvl="2">
      <w:start w:val="1"/>
      <w:numFmt w:val="decimal"/>
      <w:lvlText w:val="%1.%2.%3."/>
      <w:lvlJc w:val="left"/>
      <w:pPr>
        <w:ind w:left="862" w:hanging="720"/>
      </w:pPr>
      <w:rPr>
        <w:rFonts w:hint="default"/>
        <w:b/>
        <w:color w:val="auto"/>
      </w:rPr>
    </w:lvl>
    <w:lvl w:ilvl="3">
      <w:start w:val="1"/>
      <w:numFmt w:val="decimal"/>
      <w:lvlText w:val="%1.%2.%3.%4."/>
      <w:lvlJc w:val="left"/>
      <w:pPr>
        <w:ind w:left="1800" w:hanging="720"/>
      </w:pPr>
      <w:rPr>
        <w:rFonts w:hint="default"/>
        <w:i w:val="0"/>
        <w:color w:val="auto"/>
        <w:sz w:val="24"/>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4F019DB"/>
    <w:multiLevelType w:val="multilevel"/>
    <w:tmpl w:val="56600822"/>
    <w:lvl w:ilvl="0">
      <w:start w:val="1"/>
      <w:numFmt w:val="decimal"/>
      <w:lvlText w:val="%1."/>
      <w:lvlJc w:val="left"/>
      <w:pPr>
        <w:ind w:left="2160" w:hanging="360"/>
      </w:pPr>
      <w:rPr>
        <w:rFonts w:ascii="Times New Roman" w:hAnsi="Times New Roman" w:cs="Times New Roman" w:hint="default"/>
        <w:sz w:val="24"/>
      </w:rPr>
    </w:lvl>
    <w:lvl w:ilvl="1">
      <w:start w:val="1"/>
      <w:numFmt w:val="decimal"/>
      <w:isLgl/>
      <w:lvlText w:val="%1.%2."/>
      <w:lvlJc w:val="left"/>
      <w:pPr>
        <w:ind w:left="2204" w:hanging="360"/>
      </w:pPr>
      <w:rPr>
        <w:rFonts w:hint="default"/>
        <w:color w:val="auto"/>
      </w:rPr>
    </w:lvl>
    <w:lvl w:ilvl="2">
      <w:start w:val="1"/>
      <w:numFmt w:val="decimal"/>
      <w:isLgl/>
      <w:lvlText w:val="%1.%2.%3."/>
      <w:lvlJc w:val="left"/>
      <w:pPr>
        <w:ind w:left="2520" w:hanging="720"/>
      </w:pPr>
      <w:rPr>
        <w:rFonts w:hint="default"/>
        <w:b/>
        <w:i w:val="0"/>
        <w:color w:val="auto"/>
        <w:sz w:val="24"/>
      </w:rPr>
    </w:lvl>
    <w:lvl w:ilvl="3">
      <w:start w:val="1"/>
      <w:numFmt w:val="decimal"/>
      <w:isLgl/>
      <w:lvlText w:val="%1.%2.%3.%4."/>
      <w:lvlJc w:val="left"/>
      <w:pPr>
        <w:ind w:left="2520" w:hanging="720"/>
      </w:pPr>
      <w:rPr>
        <w:rFonts w:hint="default"/>
        <w:b/>
        <w:i w:val="0"/>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2880" w:hanging="1080"/>
      </w:pPr>
      <w:rPr>
        <w:rFonts w:hint="default"/>
        <w:color w:val="auto"/>
        <w:sz w:val="24"/>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15" w15:restartNumberingAfterBreak="0">
    <w:nsid w:val="38D346DE"/>
    <w:multiLevelType w:val="hybridMultilevel"/>
    <w:tmpl w:val="ED16F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B777C45"/>
    <w:multiLevelType w:val="multilevel"/>
    <w:tmpl w:val="2A9621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265427"/>
    <w:multiLevelType w:val="multilevel"/>
    <w:tmpl w:val="9580F8C4"/>
    <w:lvl w:ilvl="0">
      <w:start w:val="3"/>
      <w:numFmt w:val="decimal"/>
      <w:lvlText w:val="%1."/>
      <w:lvlJc w:val="left"/>
      <w:pPr>
        <w:ind w:left="720" w:hanging="720"/>
      </w:pPr>
      <w:rPr>
        <w:rFonts w:hint="default"/>
      </w:rPr>
    </w:lvl>
    <w:lvl w:ilvl="1">
      <w:start w:val="5"/>
      <w:numFmt w:val="decimal"/>
      <w:lvlText w:val="%1.%2."/>
      <w:lvlJc w:val="left"/>
      <w:pPr>
        <w:ind w:left="1320" w:hanging="720"/>
      </w:pPr>
      <w:rPr>
        <w:rFonts w:hint="default"/>
        <w:color w:val="auto"/>
      </w:rPr>
    </w:lvl>
    <w:lvl w:ilvl="2">
      <w:start w:val="2"/>
      <w:numFmt w:val="decimal"/>
      <w:lvlText w:val="%1.%2.%3."/>
      <w:lvlJc w:val="left"/>
      <w:pPr>
        <w:ind w:left="2989" w:hanging="720"/>
      </w:pPr>
      <w:rPr>
        <w:rFonts w:hint="default"/>
        <w:i w:val="0"/>
      </w:rPr>
    </w:lvl>
    <w:lvl w:ilvl="3">
      <w:start w:val="1"/>
      <w:numFmt w:val="decimal"/>
      <w:lvlText w:val="%1.%2.%3.%4."/>
      <w:lvlJc w:val="left"/>
      <w:pPr>
        <w:ind w:left="2520" w:hanging="720"/>
      </w:pPr>
      <w:rPr>
        <w:rFonts w:hint="default"/>
        <w:i w:val="0"/>
        <w:color w:val="auto"/>
        <w:sz w:val="24"/>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8" w15:restartNumberingAfterBreak="0">
    <w:nsid w:val="418E1F66"/>
    <w:multiLevelType w:val="hybridMultilevel"/>
    <w:tmpl w:val="5DD8BDEC"/>
    <w:lvl w:ilvl="0" w:tplc="D4880228">
      <w:start w:val="12"/>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457564A4"/>
    <w:multiLevelType w:val="multilevel"/>
    <w:tmpl w:val="5EC0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058A3"/>
    <w:multiLevelType w:val="hybridMultilevel"/>
    <w:tmpl w:val="6F1AA994"/>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1" w15:restartNumberingAfterBreak="0">
    <w:nsid w:val="463C1D70"/>
    <w:multiLevelType w:val="hybridMultilevel"/>
    <w:tmpl w:val="03D2C6F8"/>
    <w:lvl w:ilvl="0" w:tplc="D4880228">
      <w:start w:val="12"/>
      <w:numFmt w:val="bullet"/>
      <w:lvlText w:val="-"/>
      <w:lvlJc w:val="left"/>
      <w:pPr>
        <w:ind w:left="1648" w:hanging="360"/>
      </w:pPr>
      <w:rPr>
        <w:rFonts w:ascii="Times New Roman" w:eastAsiaTheme="minorHAnsi" w:hAnsi="Times New Roman" w:cs="Times New Roman" w:hint="default"/>
      </w:rPr>
    </w:lvl>
    <w:lvl w:ilvl="1" w:tplc="040C0003" w:tentative="1">
      <w:start w:val="1"/>
      <w:numFmt w:val="bullet"/>
      <w:lvlText w:val="o"/>
      <w:lvlJc w:val="left"/>
      <w:pPr>
        <w:ind w:left="2368" w:hanging="360"/>
      </w:pPr>
      <w:rPr>
        <w:rFonts w:ascii="Courier New" w:hAnsi="Courier New" w:cs="Courier New" w:hint="default"/>
      </w:rPr>
    </w:lvl>
    <w:lvl w:ilvl="2" w:tplc="040C0005" w:tentative="1">
      <w:start w:val="1"/>
      <w:numFmt w:val="bullet"/>
      <w:lvlText w:val=""/>
      <w:lvlJc w:val="left"/>
      <w:pPr>
        <w:ind w:left="3088" w:hanging="360"/>
      </w:pPr>
      <w:rPr>
        <w:rFonts w:ascii="Wingdings" w:hAnsi="Wingdings" w:hint="default"/>
      </w:rPr>
    </w:lvl>
    <w:lvl w:ilvl="3" w:tplc="040C0001" w:tentative="1">
      <w:start w:val="1"/>
      <w:numFmt w:val="bullet"/>
      <w:lvlText w:val=""/>
      <w:lvlJc w:val="left"/>
      <w:pPr>
        <w:ind w:left="3808" w:hanging="360"/>
      </w:pPr>
      <w:rPr>
        <w:rFonts w:ascii="Symbol" w:hAnsi="Symbol" w:hint="default"/>
      </w:rPr>
    </w:lvl>
    <w:lvl w:ilvl="4" w:tplc="040C0003" w:tentative="1">
      <w:start w:val="1"/>
      <w:numFmt w:val="bullet"/>
      <w:lvlText w:val="o"/>
      <w:lvlJc w:val="left"/>
      <w:pPr>
        <w:ind w:left="4528" w:hanging="360"/>
      </w:pPr>
      <w:rPr>
        <w:rFonts w:ascii="Courier New" w:hAnsi="Courier New" w:cs="Courier New" w:hint="default"/>
      </w:rPr>
    </w:lvl>
    <w:lvl w:ilvl="5" w:tplc="040C0005" w:tentative="1">
      <w:start w:val="1"/>
      <w:numFmt w:val="bullet"/>
      <w:lvlText w:val=""/>
      <w:lvlJc w:val="left"/>
      <w:pPr>
        <w:ind w:left="5248" w:hanging="360"/>
      </w:pPr>
      <w:rPr>
        <w:rFonts w:ascii="Wingdings" w:hAnsi="Wingdings" w:hint="default"/>
      </w:rPr>
    </w:lvl>
    <w:lvl w:ilvl="6" w:tplc="040C0001" w:tentative="1">
      <w:start w:val="1"/>
      <w:numFmt w:val="bullet"/>
      <w:lvlText w:val=""/>
      <w:lvlJc w:val="left"/>
      <w:pPr>
        <w:ind w:left="5968" w:hanging="360"/>
      </w:pPr>
      <w:rPr>
        <w:rFonts w:ascii="Symbol" w:hAnsi="Symbol" w:hint="default"/>
      </w:rPr>
    </w:lvl>
    <w:lvl w:ilvl="7" w:tplc="040C0003" w:tentative="1">
      <w:start w:val="1"/>
      <w:numFmt w:val="bullet"/>
      <w:lvlText w:val="o"/>
      <w:lvlJc w:val="left"/>
      <w:pPr>
        <w:ind w:left="6688" w:hanging="360"/>
      </w:pPr>
      <w:rPr>
        <w:rFonts w:ascii="Courier New" w:hAnsi="Courier New" w:cs="Courier New" w:hint="default"/>
      </w:rPr>
    </w:lvl>
    <w:lvl w:ilvl="8" w:tplc="040C0005" w:tentative="1">
      <w:start w:val="1"/>
      <w:numFmt w:val="bullet"/>
      <w:lvlText w:val=""/>
      <w:lvlJc w:val="left"/>
      <w:pPr>
        <w:ind w:left="7408" w:hanging="360"/>
      </w:pPr>
      <w:rPr>
        <w:rFonts w:ascii="Wingdings" w:hAnsi="Wingdings" w:hint="default"/>
      </w:rPr>
    </w:lvl>
  </w:abstractNum>
  <w:abstractNum w:abstractNumId="22" w15:restartNumberingAfterBreak="0">
    <w:nsid w:val="4D9355E8"/>
    <w:multiLevelType w:val="multilevel"/>
    <w:tmpl w:val="A4A023FE"/>
    <w:lvl w:ilvl="0">
      <w:start w:val="3"/>
      <w:numFmt w:val="decimal"/>
      <w:lvlText w:val="%1."/>
      <w:lvlJc w:val="left"/>
      <w:pPr>
        <w:ind w:left="720" w:hanging="720"/>
      </w:pPr>
      <w:rPr>
        <w:rFonts w:hint="default"/>
        <w:sz w:val="24"/>
      </w:rPr>
    </w:lvl>
    <w:lvl w:ilvl="1">
      <w:start w:val="6"/>
      <w:numFmt w:val="decimal"/>
      <w:lvlText w:val="%1.%2."/>
      <w:lvlJc w:val="left"/>
      <w:pPr>
        <w:ind w:left="720" w:hanging="720"/>
      </w:pPr>
      <w:rPr>
        <w:rFonts w:hint="default"/>
        <w:color w:val="000000" w:themeColor="text1"/>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CD112B"/>
    <w:multiLevelType w:val="multilevel"/>
    <w:tmpl w:val="1E24AE9A"/>
    <w:lvl w:ilvl="0">
      <w:start w:val="1"/>
      <w:numFmt w:val="decimal"/>
      <w:lvlText w:val="%1."/>
      <w:lvlJc w:val="left"/>
      <w:pPr>
        <w:ind w:left="390" w:hanging="390"/>
      </w:pPr>
      <w:rPr>
        <w:rFonts w:hint="default"/>
        <w:sz w:val="24"/>
      </w:rPr>
    </w:lvl>
    <w:lvl w:ilvl="1">
      <w:start w:val="1"/>
      <w:numFmt w:val="decimal"/>
      <w:lvlText w:val="%1.%2."/>
      <w:lvlJc w:val="left"/>
      <w:pPr>
        <w:ind w:left="780" w:hanging="720"/>
      </w:pPr>
      <w:rPr>
        <w:rFonts w:ascii="Times New Roman" w:hAnsi="Times New Roman" w:cs="Times New Roman" w:hint="default"/>
        <w:color w:val="auto"/>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4" w15:restartNumberingAfterBreak="0">
    <w:nsid w:val="567F7DB5"/>
    <w:multiLevelType w:val="hybridMultilevel"/>
    <w:tmpl w:val="6DD8918E"/>
    <w:lvl w:ilvl="0" w:tplc="A8C417CC">
      <w:start w:val="4"/>
      <w:numFmt w:val="bullet"/>
      <w:lvlText w:val="-"/>
      <w:lvlJc w:val="left"/>
      <w:pPr>
        <w:ind w:left="720" w:hanging="360"/>
      </w:pPr>
      <w:rPr>
        <w:rFonts w:ascii="Times New Roman" w:eastAsiaTheme="minorHAns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437719"/>
    <w:multiLevelType w:val="hybridMultilevel"/>
    <w:tmpl w:val="ACE8B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8D0161"/>
    <w:multiLevelType w:val="multilevel"/>
    <w:tmpl w:val="F93E818E"/>
    <w:lvl w:ilvl="0">
      <w:start w:val="1"/>
      <w:numFmt w:val="decimal"/>
      <w:lvlText w:val="%1."/>
      <w:lvlJc w:val="left"/>
      <w:pPr>
        <w:ind w:left="720" w:hanging="360"/>
      </w:pPr>
      <w:rPr>
        <w:rFonts w:ascii="Times New Roman" w:eastAsia="Times New Roman" w:hAnsi="Times New Roman" w:cs="Times New Roman" w:hint="default"/>
        <w:b/>
        <w:sz w:val="24"/>
      </w:rPr>
    </w:lvl>
    <w:lvl w:ilvl="1">
      <w:start w:val="1"/>
      <w:numFmt w:val="decimal"/>
      <w:isLgl/>
      <w:lvlText w:val="%1.%2."/>
      <w:lvlJc w:val="left"/>
      <w:pPr>
        <w:ind w:left="1080" w:hanging="360"/>
      </w:pPr>
      <w:rPr>
        <w:rFonts w:hint="default"/>
        <w:color w:val="auto"/>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5C2656F3"/>
    <w:multiLevelType w:val="hybridMultilevel"/>
    <w:tmpl w:val="D24C2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CB6C02"/>
    <w:multiLevelType w:val="multilevel"/>
    <w:tmpl w:val="C056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CC2E72"/>
    <w:multiLevelType w:val="hybridMultilevel"/>
    <w:tmpl w:val="A8BE09D4"/>
    <w:lvl w:ilvl="0" w:tplc="D4880228">
      <w:start w:val="1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5FD7480"/>
    <w:multiLevelType w:val="hybridMultilevel"/>
    <w:tmpl w:val="F2D0CB7E"/>
    <w:lvl w:ilvl="0" w:tplc="D4880228">
      <w:start w:val="1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870B59"/>
    <w:multiLevelType w:val="hybridMultilevel"/>
    <w:tmpl w:val="2372420E"/>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2" w15:restartNumberingAfterBreak="0">
    <w:nsid w:val="6A9D5748"/>
    <w:multiLevelType w:val="hybridMultilevel"/>
    <w:tmpl w:val="859895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B237923"/>
    <w:multiLevelType w:val="hybridMultilevel"/>
    <w:tmpl w:val="8F44CEAE"/>
    <w:lvl w:ilvl="0" w:tplc="D4880228">
      <w:start w:val="12"/>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C762D42"/>
    <w:multiLevelType w:val="multilevel"/>
    <w:tmpl w:val="1250E5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C9F5C24"/>
    <w:multiLevelType w:val="multilevel"/>
    <w:tmpl w:val="82AA4CE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BE0B51"/>
    <w:multiLevelType w:val="multilevel"/>
    <w:tmpl w:val="3D1CD11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D6C0A65"/>
    <w:multiLevelType w:val="hybridMultilevel"/>
    <w:tmpl w:val="2DEC0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C741B2"/>
    <w:multiLevelType w:val="hybridMultilevel"/>
    <w:tmpl w:val="3850B250"/>
    <w:lvl w:ilvl="0" w:tplc="54709D0A">
      <w:start w:val="1"/>
      <w:numFmt w:val="decimal"/>
      <w:lvlText w:val="%1."/>
      <w:lvlJc w:val="left"/>
      <w:pPr>
        <w:ind w:left="720" w:hanging="360"/>
      </w:pPr>
      <w:rPr>
        <w:rFonts w:hint="default"/>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7D7FD5"/>
    <w:multiLevelType w:val="hybridMultilevel"/>
    <w:tmpl w:val="B43272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531B2E"/>
    <w:multiLevelType w:val="hybridMultilevel"/>
    <w:tmpl w:val="175213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92D77B4"/>
    <w:multiLevelType w:val="multilevel"/>
    <w:tmpl w:val="06EA8FD6"/>
    <w:lvl w:ilvl="0">
      <w:start w:val="3"/>
      <w:numFmt w:val="decimal"/>
      <w:lvlText w:val="%1."/>
      <w:lvlJc w:val="left"/>
      <w:pPr>
        <w:ind w:left="705" w:hanging="705"/>
      </w:pPr>
      <w:rPr>
        <w:rFonts w:hint="default"/>
      </w:rPr>
    </w:lvl>
    <w:lvl w:ilvl="1">
      <w:start w:val="5"/>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95E596D"/>
    <w:multiLevelType w:val="multilevel"/>
    <w:tmpl w:val="37D2F95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9613C5"/>
    <w:multiLevelType w:val="multilevel"/>
    <w:tmpl w:val="1BECA58C"/>
    <w:lvl w:ilvl="0">
      <w:start w:val="3"/>
      <w:numFmt w:val="decimal"/>
      <w:lvlText w:val="%1."/>
      <w:lvlJc w:val="left"/>
      <w:pPr>
        <w:ind w:left="720" w:hanging="720"/>
      </w:pPr>
      <w:rPr>
        <w:rFonts w:hint="default"/>
      </w:rPr>
    </w:lvl>
    <w:lvl w:ilvl="1">
      <w:start w:val="5"/>
      <w:numFmt w:val="decimal"/>
      <w:lvlText w:val="%1.%2."/>
      <w:lvlJc w:val="left"/>
      <w:pPr>
        <w:ind w:left="1320" w:hanging="720"/>
      </w:pPr>
      <w:rPr>
        <w:rFonts w:hint="default"/>
      </w:rPr>
    </w:lvl>
    <w:lvl w:ilvl="2">
      <w:start w:val="1"/>
      <w:numFmt w:val="decimal"/>
      <w:lvlText w:val="%1.%2.%3."/>
      <w:lvlJc w:val="left"/>
      <w:pPr>
        <w:ind w:left="1920" w:hanging="720"/>
      </w:pPr>
      <w:rPr>
        <w:rFonts w:hint="default"/>
        <w:i w:val="0"/>
        <w:color w:val="auto"/>
      </w:rPr>
    </w:lvl>
    <w:lvl w:ilvl="3">
      <w:start w:val="7"/>
      <w:numFmt w:val="decimal"/>
      <w:lvlText w:val="%1.%2.%3.%4."/>
      <w:lvlJc w:val="left"/>
      <w:pPr>
        <w:ind w:left="2520" w:hanging="720"/>
      </w:pPr>
      <w:rPr>
        <w:rFonts w:hint="default"/>
        <w:sz w:val="24"/>
      </w:rPr>
    </w:lvl>
    <w:lvl w:ilvl="4">
      <w:start w:val="1"/>
      <w:numFmt w:val="decimal"/>
      <w:lvlText w:val="%1.%2.%3.%4.%5."/>
      <w:lvlJc w:val="left"/>
      <w:pPr>
        <w:ind w:left="2499" w:hanging="1080"/>
      </w:pPr>
      <w:rPr>
        <w:rFonts w:hint="default"/>
        <w:color w:val="auto"/>
        <w:sz w:val="24"/>
      </w:rPr>
    </w:lvl>
    <w:lvl w:ilvl="5">
      <w:start w:val="1"/>
      <w:numFmt w:val="decimal"/>
      <w:lvlText w:val="%1.%2.%3.%4.%5.%6."/>
      <w:lvlJc w:val="left"/>
      <w:pPr>
        <w:ind w:left="4080" w:hanging="1080"/>
      </w:pPr>
      <w:rPr>
        <w:rFonts w:hint="default"/>
        <w:b/>
        <w:color w:val="auto"/>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num w:numId="1">
    <w:abstractNumId w:val="24"/>
  </w:num>
  <w:num w:numId="2">
    <w:abstractNumId w:val="38"/>
  </w:num>
  <w:num w:numId="3">
    <w:abstractNumId w:val="42"/>
  </w:num>
  <w:num w:numId="4">
    <w:abstractNumId w:val="16"/>
  </w:num>
  <w:num w:numId="5">
    <w:abstractNumId w:val="9"/>
  </w:num>
  <w:num w:numId="6">
    <w:abstractNumId w:val="31"/>
  </w:num>
  <w:num w:numId="7">
    <w:abstractNumId w:val="32"/>
  </w:num>
  <w:num w:numId="8">
    <w:abstractNumId w:val="27"/>
  </w:num>
  <w:num w:numId="9">
    <w:abstractNumId w:val="14"/>
  </w:num>
  <w:num w:numId="10">
    <w:abstractNumId w:val="37"/>
  </w:num>
  <w:num w:numId="11">
    <w:abstractNumId w:val="35"/>
  </w:num>
  <w:num w:numId="12">
    <w:abstractNumId w:val="30"/>
  </w:num>
  <w:num w:numId="13">
    <w:abstractNumId w:val="12"/>
  </w:num>
  <w:num w:numId="14">
    <w:abstractNumId w:val="26"/>
  </w:num>
  <w:num w:numId="15">
    <w:abstractNumId w:val="13"/>
  </w:num>
  <w:num w:numId="16">
    <w:abstractNumId w:val="11"/>
  </w:num>
  <w:num w:numId="17">
    <w:abstractNumId w:val="15"/>
  </w:num>
  <w:num w:numId="18">
    <w:abstractNumId w:val="1"/>
  </w:num>
  <w:num w:numId="19">
    <w:abstractNumId w:val="39"/>
  </w:num>
  <w:num w:numId="20">
    <w:abstractNumId w:val="40"/>
  </w:num>
  <w:num w:numId="21">
    <w:abstractNumId w:val="2"/>
  </w:num>
  <w:num w:numId="22">
    <w:abstractNumId w:val="43"/>
  </w:num>
  <w:num w:numId="23">
    <w:abstractNumId w:val="23"/>
  </w:num>
  <w:num w:numId="24">
    <w:abstractNumId w:val="8"/>
  </w:num>
  <w:num w:numId="25">
    <w:abstractNumId w:val="17"/>
  </w:num>
  <w:num w:numId="26">
    <w:abstractNumId w:val="19"/>
  </w:num>
  <w:num w:numId="27">
    <w:abstractNumId w:val="28"/>
  </w:num>
  <w:num w:numId="28">
    <w:abstractNumId w:val="34"/>
  </w:num>
  <w:num w:numId="29">
    <w:abstractNumId w:val="21"/>
  </w:num>
  <w:num w:numId="30">
    <w:abstractNumId w:val="6"/>
  </w:num>
  <w:num w:numId="31">
    <w:abstractNumId w:val="33"/>
  </w:num>
  <w:num w:numId="32">
    <w:abstractNumId w:val="18"/>
  </w:num>
  <w:num w:numId="33">
    <w:abstractNumId w:val="41"/>
  </w:num>
  <w:num w:numId="34">
    <w:abstractNumId w:val="0"/>
  </w:num>
  <w:num w:numId="35">
    <w:abstractNumId w:val="36"/>
  </w:num>
  <w:num w:numId="36">
    <w:abstractNumId w:val="22"/>
  </w:num>
  <w:num w:numId="37">
    <w:abstractNumId w:val="10"/>
  </w:num>
  <w:num w:numId="38">
    <w:abstractNumId w:val="7"/>
  </w:num>
  <w:num w:numId="39">
    <w:abstractNumId w:val="29"/>
  </w:num>
  <w:num w:numId="40">
    <w:abstractNumId w:val="3"/>
  </w:num>
  <w:num w:numId="41">
    <w:abstractNumId w:val="4"/>
  </w:num>
  <w:num w:numId="42">
    <w:abstractNumId w:val="5"/>
  </w:num>
  <w:num w:numId="43">
    <w:abstractNumId w:val="20"/>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764"/>
    <w:rsid w:val="00027370"/>
    <w:rsid w:val="000724A3"/>
    <w:rsid w:val="000948CA"/>
    <w:rsid w:val="000B4DBA"/>
    <w:rsid w:val="000B6FEF"/>
    <w:rsid w:val="000D09F5"/>
    <w:rsid w:val="000E3E17"/>
    <w:rsid w:val="001013D0"/>
    <w:rsid w:val="00190F8F"/>
    <w:rsid w:val="00230747"/>
    <w:rsid w:val="00326BE0"/>
    <w:rsid w:val="003427CE"/>
    <w:rsid w:val="003C6694"/>
    <w:rsid w:val="003F59D0"/>
    <w:rsid w:val="00430E0A"/>
    <w:rsid w:val="00455E30"/>
    <w:rsid w:val="004605CC"/>
    <w:rsid w:val="004C502D"/>
    <w:rsid w:val="00507618"/>
    <w:rsid w:val="0054436E"/>
    <w:rsid w:val="00603179"/>
    <w:rsid w:val="00604F46"/>
    <w:rsid w:val="00674764"/>
    <w:rsid w:val="006926A8"/>
    <w:rsid w:val="006B3EE2"/>
    <w:rsid w:val="006C3CF7"/>
    <w:rsid w:val="006F2189"/>
    <w:rsid w:val="00741D64"/>
    <w:rsid w:val="00766FC6"/>
    <w:rsid w:val="00777CC1"/>
    <w:rsid w:val="007D2969"/>
    <w:rsid w:val="0081303A"/>
    <w:rsid w:val="008971CE"/>
    <w:rsid w:val="00913C64"/>
    <w:rsid w:val="00993D43"/>
    <w:rsid w:val="009F034A"/>
    <w:rsid w:val="00A05004"/>
    <w:rsid w:val="00A27B66"/>
    <w:rsid w:val="00A86097"/>
    <w:rsid w:val="00B466D0"/>
    <w:rsid w:val="00BC5750"/>
    <w:rsid w:val="00BF1E2A"/>
    <w:rsid w:val="00C063A6"/>
    <w:rsid w:val="00C64AB2"/>
    <w:rsid w:val="00CC3B39"/>
    <w:rsid w:val="00D01468"/>
    <w:rsid w:val="00D3658D"/>
    <w:rsid w:val="00D426AD"/>
    <w:rsid w:val="00D45440"/>
    <w:rsid w:val="00DC5D26"/>
    <w:rsid w:val="00DE7206"/>
    <w:rsid w:val="00E478C8"/>
    <w:rsid w:val="00E540AB"/>
    <w:rsid w:val="00EE3E75"/>
    <w:rsid w:val="00EF6784"/>
    <w:rsid w:val="00F5582B"/>
    <w:rsid w:val="00F634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301AA3"/>
  <w15:chartTrackingRefBased/>
  <w15:docId w15:val="{874870FF-6B97-406A-BCCE-DCDB5B63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674764"/>
    <w:pPr>
      <w:keepNext/>
      <w:tabs>
        <w:tab w:val="left" w:pos="360"/>
      </w:tabs>
      <w:spacing w:after="0" w:line="240" w:lineRule="auto"/>
      <w:ind w:left="360"/>
      <w:outlineLvl w:val="0"/>
    </w:pPr>
    <w:rPr>
      <w:rFonts w:ascii="Arial" w:eastAsia="Times New Roman" w:hAnsi="Arial" w:cs="Times New Roman"/>
      <w:b/>
      <w:sz w:val="20"/>
      <w:szCs w:val="20"/>
      <w:lang w:val="en-US"/>
    </w:rPr>
  </w:style>
  <w:style w:type="paragraph" w:styleId="Heading2">
    <w:name w:val="heading 2"/>
    <w:basedOn w:val="Normal"/>
    <w:next w:val="Normal"/>
    <w:link w:val="Heading2Char"/>
    <w:uiPriority w:val="99"/>
    <w:unhideWhenUsed/>
    <w:qFormat/>
    <w:rsid w:val="00674764"/>
    <w:pPr>
      <w:keepNext/>
      <w:tabs>
        <w:tab w:val="left" w:pos="600"/>
      </w:tabs>
      <w:spacing w:after="60" w:line="240" w:lineRule="auto"/>
      <w:ind w:left="11" w:hanging="11"/>
      <w:outlineLvl w:val="1"/>
    </w:pPr>
    <w:rPr>
      <w:rFonts w:ascii="Arial Black" w:eastAsia="Times New Roman" w:hAnsi="Arial Black" w:cs="Times New Roman"/>
      <w:sz w:val="20"/>
      <w:szCs w:val="20"/>
      <w:lang w:val="en-US"/>
    </w:rPr>
  </w:style>
  <w:style w:type="paragraph" w:styleId="Heading3">
    <w:name w:val="heading 3"/>
    <w:basedOn w:val="Normal"/>
    <w:next w:val="Normal"/>
    <w:link w:val="Heading3Char"/>
    <w:uiPriority w:val="99"/>
    <w:unhideWhenUsed/>
    <w:qFormat/>
    <w:rsid w:val="006747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9"/>
    <w:unhideWhenUsed/>
    <w:qFormat/>
    <w:rsid w:val="0067476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unhideWhenUsed/>
    <w:qFormat/>
    <w:rsid w:val="0067476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7476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74764"/>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7476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7476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74764"/>
    <w:rPr>
      <w:rFonts w:ascii="Arial" w:eastAsia="Times New Roman" w:hAnsi="Arial" w:cs="Times New Roman"/>
      <w:b/>
      <w:sz w:val="20"/>
      <w:szCs w:val="20"/>
      <w:lang w:val="en-US"/>
    </w:rPr>
  </w:style>
  <w:style w:type="character" w:customStyle="1" w:styleId="Heading2Char">
    <w:name w:val="Heading 2 Char"/>
    <w:basedOn w:val="DefaultParagraphFont"/>
    <w:link w:val="Heading2"/>
    <w:uiPriority w:val="99"/>
    <w:rsid w:val="00674764"/>
    <w:rPr>
      <w:rFonts w:ascii="Arial Black" w:eastAsia="Times New Roman" w:hAnsi="Arial Black" w:cs="Times New Roman"/>
      <w:sz w:val="20"/>
      <w:szCs w:val="20"/>
      <w:lang w:val="en-US"/>
    </w:rPr>
  </w:style>
  <w:style w:type="character" w:customStyle="1" w:styleId="Heading3Char">
    <w:name w:val="Heading 3 Char"/>
    <w:basedOn w:val="DefaultParagraphFont"/>
    <w:link w:val="Heading3"/>
    <w:uiPriority w:val="99"/>
    <w:rsid w:val="0067476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rsid w:val="0067476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9"/>
    <w:rsid w:val="0067476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7476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67476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6747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74764"/>
    <w:rPr>
      <w:rFonts w:asciiTheme="majorHAnsi" w:eastAsiaTheme="majorEastAsia" w:hAnsiTheme="majorHAnsi" w:cstheme="majorBidi"/>
      <w:i/>
      <w:iCs/>
      <w:color w:val="272727" w:themeColor="text1" w:themeTint="D8"/>
      <w:sz w:val="21"/>
      <w:szCs w:val="21"/>
    </w:rPr>
  </w:style>
  <w:style w:type="numbering" w:customStyle="1" w:styleId="Aucuneliste1">
    <w:name w:val="Aucune liste1"/>
    <w:next w:val="NoList"/>
    <w:uiPriority w:val="99"/>
    <w:semiHidden/>
    <w:unhideWhenUsed/>
    <w:rsid w:val="00674764"/>
  </w:style>
  <w:style w:type="paragraph" w:styleId="Header">
    <w:name w:val="header"/>
    <w:basedOn w:val="Normal"/>
    <w:link w:val="HeaderChar"/>
    <w:uiPriority w:val="99"/>
    <w:unhideWhenUsed/>
    <w:rsid w:val="00674764"/>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4764"/>
  </w:style>
  <w:style w:type="paragraph" w:styleId="Footer">
    <w:name w:val="footer"/>
    <w:basedOn w:val="Normal"/>
    <w:link w:val="FooterChar"/>
    <w:uiPriority w:val="99"/>
    <w:unhideWhenUsed/>
    <w:rsid w:val="00674764"/>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4764"/>
  </w:style>
  <w:style w:type="paragraph" w:styleId="ListParagraph">
    <w:name w:val="List Paragraph"/>
    <w:basedOn w:val="Normal"/>
    <w:uiPriority w:val="34"/>
    <w:qFormat/>
    <w:rsid w:val="00674764"/>
    <w:pPr>
      <w:ind w:left="720"/>
      <w:contextualSpacing/>
    </w:pPr>
  </w:style>
  <w:style w:type="table" w:styleId="TableGrid">
    <w:name w:val="Table Grid"/>
    <w:basedOn w:val="TableNormal"/>
    <w:uiPriority w:val="39"/>
    <w:rsid w:val="0067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747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7476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747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74764"/>
    <w:rPr>
      <w:sz w:val="16"/>
      <w:szCs w:val="16"/>
    </w:rPr>
  </w:style>
  <w:style w:type="paragraph" w:styleId="CommentText">
    <w:name w:val="annotation text"/>
    <w:basedOn w:val="Normal"/>
    <w:link w:val="CommentTextChar"/>
    <w:uiPriority w:val="99"/>
    <w:unhideWhenUsed/>
    <w:rsid w:val="00674764"/>
    <w:pPr>
      <w:spacing w:line="240" w:lineRule="auto"/>
    </w:pPr>
    <w:rPr>
      <w:sz w:val="20"/>
      <w:szCs w:val="20"/>
    </w:rPr>
  </w:style>
  <w:style w:type="character" w:customStyle="1" w:styleId="CommentTextChar">
    <w:name w:val="Comment Text Char"/>
    <w:basedOn w:val="DefaultParagraphFont"/>
    <w:link w:val="CommentText"/>
    <w:uiPriority w:val="99"/>
    <w:rsid w:val="00674764"/>
    <w:rPr>
      <w:sz w:val="20"/>
      <w:szCs w:val="20"/>
    </w:rPr>
  </w:style>
  <w:style w:type="paragraph" w:styleId="CommentSubject">
    <w:name w:val="annotation subject"/>
    <w:basedOn w:val="CommentText"/>
    <w:next w:val="CommentText"/>
    <w:link w:val="CommentSubjectChar"/>
    <w:uiPriority w:val="99"/>
    <w:semiHidden/>
    <w:unhideWhenUsed/>
    <w:rsid w:val="00674764"/>
    <w:rPr>
      <w:b/>
      <w:bCs/>
    </w:rPr>
  </w:style>
  <w:style w:type="character" w:customStyle="1" w:styleId="CommentSubjectChar">
    <w:name w:val="Comment Subject Char"/>
    <w:basedOn w:val="CommentTextChar"/>
    <w:link w:val="CommentSubject"/>
    <w:uiPriority w:val="99"/>
    <w:semiHidden/>
    <w:rsid w:val="00674764"/>
    <w:rPr>
      <w:b/>
      <w:bCs/>
      <w:sz w:val="20"/>
      <w:szCs w:val="20"/>
    </w:rPr>
  </w:style>
  <w:style w:type="paragraph" w:styleId="BalloonText">
    <w:name w:val="Balloon Text"/>
    <w:basedOn w:val="Normal"/>
    <w:link w:val="BalloonTextChar"/>
    <w:uiPriority w:val="99"/>
    <w:semiHidden/>
    <w:unhideWhenUsed/>
    <w:rsid w:val="006747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764"/>
    <w:rPr>
      <w:rFonts w:ascii="Segoe UI" w:hAnsi="Segoe UI" w:cs="Segoe UI"/>
      <w:sz w:val="18"/>
      <w:szCs w:val="18"/>
    </w:rPr>
  </w:style>
  <w:style w:type="character" w:styleId="PlaceholderText">
    <w:name w:val="Placeholder Text"/>
    <w:basedOn w:val="DefaultParagraphFont"/>
    <w:uiPriority w:val="99"/>
    <w:semiHidden/>
    <w:rsid w:val="00674764"/>
    <w:rPr>
      <w:color w:val="808080"/>
    </w:rPr>
  </w:style>
  <w:style w:type="numbering" w:customStyle="1" w:styleId="Aucuneliste11">
    <w:name w:val="Aucune liste11"/>
    <w:next w:val="NoList"/>
    <w:uiPriority w:val="99"/>
    <w:semiHidden/>
    <w:unhideWhenUsed/>
    <w:rsid w:val="00674764"/>
  </w:style>
  <w:style w:type="character" w:styleId="Hyperlink">
    <w:name w:val="Hyperlink"/>
    <w:basedOn w:val="DefaultParagraphFont"/>
    <w:uiPriority w:val="99"/>
    <w:unhideWhenUsed/>
    <w:rsid w:val="00674764"/>
    <w:rPr>
      <w:color w:val="0000FF"/>
      <w:u w:val="single"/>
    </w:rPr>
  </w:style>
  <w:style w:type="character" w:customStyle="1" w:styleId="y2iqfc">
    <w:name w:val="y2iqfc"/>
    <w:basedOn w:val="DefaultParagraphFont"/>
    <w:rsid w:val="00674764"/>
  </w:style>
  <w:style w:type="paragraph" w:styleId="Caption">
    <w:name w:val="caption"/>
    <w:basedOn w:val="Normal"/>
    <w:next w:val="Normal"/>
    <w:uiPriority w:val="99"/>
    <w:unhideWhenUsed/>
    <w:qFormat/>
    <w:rsid w:val="00674764"/>
    <w:pPr>
      <w:spacing w:after="200" w:line="240" w:lineRule="auto"/>
    </w:pPr>
    <w:rPr>
      <w:rFonts w:ascii="Times New Roman" w:eastAsia="Times New Roman" w:hAnsi="Times New Roman" w:cs="Times New Roman"/>
      <w:i/>
      <w:iCs/>
      <w:color w:val="44546A" w:themeColor="text2"/>
      <w:sz w:val="18"/>
      <w:szCs w:val="18"/>
      <w:lang w:eastAsia="fr-FR"/>
    </w:rPr>
  </w:style>
  <w:style w:type="table" w:customStyle="1" w:styleId="Grilledutableau1">
    <w:name w:val="Grille du tableau1"/>
    <w:basedOn w:val="TableNormal"/>
    <w:next w:val="TableGrid"/>
    <w:uiPriority w:val="39"/>
    <w:rsid w:val="0067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Normal"/>
    <w:next w:val="PlainTable2"/>
    <w:uiPriority w:val="42"/>
    <w:rsid w:val="006747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41">
    <w:name w:val="Tableau simple 41"/>
    <w:basedOn w:val="TableNormal"/>
    <w:next w:val="PlainTable4"/>
    <w:uiPriority w:val="44"/>
    <w:rsid w:val="006747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747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6747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674764"/>
    <w:pPr>
      <w:spacing w:after="0"/>
    </w:pPr>
  </w:style>
  <w:style w:type="paragraph" w:styleId="TOC1">
    <w:name w:val="toc 1"/>
    <w:basedOn w:val="Normal"/>
    <w:next w:val="Normal"/>
    <w:autoRedefine/>
    <w:uiPriority w:val="39"/>
    <w:unhideWhenUsed/>
    <w:rsid w:val="00674764"/>
    <w:pPr>
      <w:tabs>
        <w:tab w:val="right" w:leader="dot" w:pos="9062"/>
      </w:tabs>
      <w:spacing w:after="100"/>
    </w:pPr>
    <w:rPr>
      <w:rFonts w:ascii="Times New Roman" w:hAnsi="Times New Roman"/>
    </w:rPr>
  </w:style>
  <w:style w:type="paragraph" w:styleId="TOC2">
    <w:name w:val="toc 2"/>
    <w:basedOn w:val="Normal"/>
    <w:next w:val="Normal"/>
    <w:autoRedefine/>
    <w:uiPriority w:val="39"/>
    <w:unhideWhenUsed/>
    <w:rsid w:val="00674764"/>
    <w:pPr>
      <w:spacing w:after="100"/>
      <w:ind w:left="220"/>
    </w:pPr>
  </w:style>
  <w:style w:type="paragraph" w:styleId="TOC3">
    <w:name w:val="toc 3"/>
    <w:basedOn w:val="Normal"/>
    <w:next w:val="Normal"/>
    <w:autoRedefine/>
    <w:uiPriority w:val="39"/>
    <w:unhideWhenUsed/>
    <w:rsid w:val="00674764"/>
    <w:pPr>
      <w:tabs>
        <w:tab w:val="right" w:leader="dot" w:pos="9062"/>
      </w:tabs>
      <w:spacing w:after="100" w:line="360" w:lineRule="auto"/>
      <w:ind w:left="440"/>
    </w:pPr>
  </w:style>
  <w:style w:type="paragraph" w:styleId="NoSpacing">
    <w:name w:val="No Spacing"/>
    <w:link w:val="NoSpacingChar"/>
    <w:uiPriority w:val="1"/>
    <w:qFormat/>
    <w:rsid w:val="006747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4764"/>
    <w:rPr>
      <w:rFonts w:eastAsiaTheme="minorEastAsia"/>
      <w:lang w:val="en-US"/>
    </w:rPr>
  </w:style>
  <w:style w:type="table" w:customStyle="1" w:styleId="TableGrid0">
    <w:name w:val="TableGrid"/>
    <w:rsid w:val="00674764"/>
    <w:pPr>
      <w:spacing w:after="0" w:line="240" w:lineRule="auto"/>
    </w:pPr>
    <w:rPr>
      <w:rFonts w:eastAsiaTheme="minorEastAsia"/>
      <w:lang w:eastAsia="fr-FR"/>
    </w:rPr>
    <w:tblPr>
      <w:tblCellMar>
        <w:top w:w="0" w:type="dxa"/>
        <w:left w:w="0" w:type="dxa"/>
        <w:bottom w:w="0" w:type="dxa"/>
        <w:right w:w="0" w:type="dxa"/>
      </w:tblCellMar>
    </w:tblPr>
  </w:style>
  <w:style w:type="paragraph" w:styleId="NormalWeb">
    <w:name w:val="Normal (Web)"/>
    <w:basedOn w:val="Normal"/>
    <w:uiPriority w:val="99"/>
    <w:unhideWhenUsed/>
    <w:rsid w:val="00674764"/>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markedcontent">
    <w:name w:val="markedcontent"/>
    <w:rsid w:val="00674764"/>
  </w:style>
  <w:style w:type="character" w:styleId="Strong">
    <w:name w:val="Strong"/>
    <w:basedOn w:val="DefaultParagraphFont"/>
    <w:uiPriority w:val="22"/>
    <w:qFormat/>
    <w:rsid w:val="00674764"/>
    <w:rPr>
      <w:b/>
      <w:bCs/>
    </w:rPr>
  </w:style>
  <w:style w:type="character" w:styleId="Emphasis">
    <w:name w:val="Emphasis"/>
    <w:basedOn w:val="DefaultParagraphFont"/>
    <w:uiPriority w:val="20"/>
    <w:qFormat/>
    <w:rsid w:val="00674764"/>
    <w:rPr>
      <w:i/>
      <w:iCs/>
    </w:rPr>
  </w:style>
  <w:style w:type="paragraph" w:customStyle="1" w:styleId="ds-markdown-paragraph">
    <w:name w:val="ds-markdown-paragraph"/>
    <w:basedOn w:val="Normal"/>
    <w:rsid w:val="006747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odyText">
    <w:name w:val="Body Text"/>
    <w:basedOn w:val="Normal"/>
    <w:link w:val="BodyTextChar"/>
    <w:uiPriority w:val="99"/>
    <w:qFormat/>
    <w:rsid w:val="00674764"/>
    <w:pPr>
      <w:spacing w:before="180" w:after="180" w:line="240" w:lineRule="auto"/>
    </w:pPr>
    <w:rPr>
      <w:sz w:val="24"/>
      <w:szCs w:val="24"/>
      <w:lang w:val="en-US"/>
    </w:rPr>
  </w:style>
  <w:style w:type="character" w:customStyle="1" w:styleId="BodyTextChar">
    <w:name w:val="Body Text Char"/>
    <w:basedOn w:val="DefaultParagraphFont"/>
    <w:link w:val="BodyText"/>
    <w:uiPriority w:val="99"/>
    <w:rsid w:val="00674764"/>
    <w:rPr>
      <w:sz w:val="24"/>
      <w:szCs w:val="24"/>
      <w:lang w:val="en-US"/>
    </w:rPr>
  </w:style>
  <w:style w:type="paragraph" w:customStyle="1" w:styleId="ng-tns-c1-0">
    <w:name w:val="ng-tns-c1-0"/>
    <w:basedOn w:val="Normal"/>
    <w:rsid w:val="006747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g-tns-c1-01">
    <w:name w:val="ng-tns-c1-01"/>
    <w:basedOn w:val="DefaultParagraphFont"/>
    <w:rsid w:val="00674764"/>
  </w:style>
  <w:style w:type="paragraph" w:customStyle="1" w:styleId="blurb-text">
    <w:name w:val="blurb-text"/>
    <w:basedOn w:val="Normal"/>
    <w:rsid w:val="006747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OC4">
    <w:name w:val="toc 4"/>
    <w:basedOn w:val="Normal"/>
    <w:next w:val="Normal"/>
    <w:autoRedefine/>
    <w:uiPriority w:val="39"/>
    <w:unhideWhenUsed/>
    <w:rsid w:val="00674764"/>
    <w:pPr>
      <w:spacing w:after="100"/>
      <w:ind w:left="660"/>
    </w:pPr>
  </w:style>
  <w:style w:type="paragraph" w:styleId="TOC5">
    <w:name w:val="toc 5"/>
    <w:basedOn w:val="Normal"/>
    <w:next w:val="Normal"/>
    <w:autoRedefine/>
    <w:uiPriority w:val="39"/>
    <w:unhideWhenUsed/>
    <w:rsid w:val="00674764"/>
    <w:pPr>
      <w:spacing w:after="100"/>
      <w:ind w:left="880"/>
    </w:pPr>
  </w:style>
  <w:style w:type="paragraph" w:styleId="TOC6">
    <w:name w:val="toc 6"/>
    <w:basedOn w:val="Normal"/>
    <w:next w:val="Normal"/>
    <w:autoRedefine/>
    <w:uiPriority w:val="39"/>
    <w:unhideWhenUsed/>
    <w:rsid w:val="00674764"/>
    <w:pPr>
      <w:spacing w:after="100"/>
      <w:ind w:left="1100"/>
    </w:pPr>
  </w:style>
  <w:style w:type="paragraph" w:styleId="Bibliography">
    <w:name w:val="Bibliography"/>
    <w:basedOn w:val="Normal"/>
    <w:next w:val="Normal"/>
    <w:uiPriority w:val="37"/>
    <w:unhideWhenUsed/>
    <w:rsid w:val="00674764"/>
    <w:pPr>
      <w:spacing w:after="240" w:line="240" w:lineRule="auto"/>
      <w:ind w:left="720" w:hanging="720"/>
    </w:pPr>
  </w:style>
  <w:style w:type="paragraph" w:styleId="TOC7">
    <w:name w:val="toc 7"/>
    <w:basedOn w:val="Normal"/>
    <w:next w:val="Normal"/>
    <w:autoRedefine/>
    <w:uiPriority w:val="39"/>
    <w:unhideWhenUsed/>
    <w:rsid w:val="00674764"/>
    <w:pPr>
      <w:spacing w:after="100"/>
      <w:ind w:left="1320"/>
    </w:pPr>
    <w:rPr>
      <w:rFonts w:eastAsiaTheme="minorEastAsia"/>
      <w:lang w:eastAsia="fr-FR"/>
    </w:rPr>
  </w:style>
  <w:style w:type="paragraph" w:styleId="TOC8">
    <w:name w:val="toc 8"/>
    <w:basedOn w:val="Normal"/>
    <w:next w:val="Normal"/>
    <w:autoRedefine/>
    <w:uiPriority w:val="39"/>
    <w:unhideWhenUsed/>
    <w:rsid w:val="00674764"/>
    <w:pPr>
      <w:spacing w:after="100"/>
      <w:ind w:left="1540"/>
    </w:pPr>
    <w:rPr>
      <w:rFonts w:eastAsiaTheme="minorEastAsia"/>
      <w:lang w:eastAsia="fr-FR"/>
    </w:rPr>
  </w:style>
  <w:style w:type="paragraph" w:styleId="TOC9">
    <w:name w:val="toc 9"/>
    <w:basedOn w:val="Normal"/>
    <w:next w:val="Normal"/>
    <w:autoRedefine/>
    <w:uiPriority w:val="39"/>
    <w:unhideWhenUsed/>
    <w:rsid w:val="00674764"/>
    <w:pPr>
      <w:spacing w:after="100"/>
      <w:ind w:left="1760"/>
    </w:pPr>
    <w:rPr>
      <w:rFonts w:eastAsiaTheme="minorEastAsia"/>
      <w:lang w:eastAsia="fr-FR"/>
    </w:rPr>
  </w:style>
  <w:style w:type="paragraph" w:customStyle="1" w:styleId="Paragraphedeliste1">
    <w:name w:val="Paragraphe de liste1"/>
    <w:basedOn w:val="Normal"/>
    <w:rsid w:val="00674764"/>
    <w:pPr>
      <w:spacing w:before="100" w:beforeAutospacing="1" w:after="100" w:afterAutospacing="1" w:line="256" w:lineRule="auto"/>
      <w:contextualSpacing/>
    </w:pPr>
    <w:rPr>
      <w:rFonts w:ascii="Calibri" w:eastAsia="Times New Roman" w:hAnsi="Calibri" w:cs="Times New Roman"/>
      <w:sz w:val="24"/>
      <w:szCs w:val="24"/>
      <w:lang w:eastAsia="fr-FR"/>
    </w:rPr>
  </w:style>
  <w:style w:type="character" w:customStyle="1" w:styleId="10">
    <w:name w:val="10"/>
    <w:basedOn w:val="DefaultParagraphFont"/>
    <w:rsid w:val="00674764"/>
    <w:rPr>
      <w:rFonts w:ascii="Calibri" w:hAnsi="Calibri" w:cs="Calibri" w:hint="default"/>
    </w:rPr>
  </w:style>
  <w:style w:type="character" w:customStyle="1" w:styleId="15">
    <w:name w:val="15"/>
    <w:basedOn w:val="DefaultParagraphFont"/>
    <w:rsid w:val="00674764"/>
    <w:rPr>
      <w:rFonts w:ascii="Arial" w:eastAsia="Times New Roman" w:hAnsi="Arial" w:cs="Times New Roman" w:hint="default"/>
      <w:b/>
    </w:rPr>
  </w:style>
  <w:style w:type="character" w:customStyle="1" w:styleId="16">
    <w:name w:val="16"/>
    <w:basedOn w:val="DefaultParagraphFont"/>
    <w:rsid w:val="00674764"/>
    <w:rPr>
      <w:rFonts w:ascii="Calibri Light" w:eastAsia="SimSun" w:hAnsi="Calibri Light" w:cs="Times New Roman" w:hint="default"/>
      <w:color w:val="2E75B5"/>
    </w:rPr>
  </w:style>
  <w:style w:type="character" w:customStyle="1" w:styleId="17">
    <w:name w:val="17"/>
    <w:basedOn w:val="DefaultParagraphFont"/>
    <w:rsid w:val="00674764"/>
    <w:rPr>
      <w:rFonts w:ascii="Calibri" w:hAnsi="Calibri" w:cs="Calibri" w:hint="default"/>
      <w:b/>
      <w:bCs/>
    </w:rPr>
  </w:style>
  <w:style w:type="character" w:customStyle="1" w:styleId="18">
    <w:name w:val="18"/>
    <w:basedOn w:val="DefaultParagraphFont"/>
    <w:rsid w:val="00674764"/>
    <w:rPr>
      <w:rFonts w:ascii="Calibri" w:hAnsi="Calibri" w:cs="Calibri" w:hint="default"/>
      <w:i/>
      <w:iCs/>
    </w:rPr>
  </w:style>
  <w:style w:type="character" w:customStyle="1" w:styleId="19">
    <w:name w:val="19"/>
    <w:basedOn w:val="DefaultParagraphFont"/>
    <w:rsid w:val="00674764"/>
    <w:rPr>
      <w:rFonts w:ascii="Calibri" w:hAnsi="Calibri" w:cs="Calibri" w:hint="default"/>
    </w:rPr>
  </w:style>
  <w:style w:type="character" w:customStyle="1" w:styleId="20">
    <w:name w:val="20"/>
    <w:basedOn w:val="DefaultParagraphFont"/>
    <w:rsid w:val="00674764"/>
    <w:rPr>
      <w:rFonts w:ascii="Calibri" w:hAnsi="Calibri" w:cs="Calibri" w:hint="default"/>
      <w:color w:val="0000FF"/>
      <w:u w:val="single"/>
    </w:rPr>
  </w:style>
  <w:style w:type="table" w:customStyle="1" w:styleId="TableauNormal1">
    <w:name w:val="Tableau Normal1"/>
    <w:semiHidden/>
    <w:rsid w:val="00674764"/>
    <w:pPr>
      <w:spacing w:after="0" w:line="240" w:lineRule="auto"/>
    </w:pPr>
    <w:rPr>
      <w:rFonts w:ascii="Times New Roman" w:eastAsia="Times New Roman" w:hAnsi="Times New Roman" w:cs="Times New Roman"/>
      <w:sz w:val="20"/>
      <w:szCs w:val="20"/>
      <w:lang w:eastAsia="fr-FR"/>
    </w:rPr>
    <w:tblPr>
      <w:tblCellMar>
        <w:top w:w="0" w:type="dxa"/>
        <w:left w:w="0" w:type="dxa"/>
        <w:bottom w:w="0" w:type="dxa"/>
        <w:right w:w="0" w:type="dxa"/>
      </w:tblCellMar>
    </w:tblPr>
  </w:style>
  <w:style w:type="table" w:customStyle="1" w:styleId="Tableausimple211">
    <w:name w:val="Tableau simple 211"/>
    <w:basedOn w:val="TableNormal"/>
    <w:rsid w:val="00674764"/>
    <w:pPr>
      <w:spacing w:after="0" w:line="240" w:lineRule="auto"/>
    </w:pPr>
    <w:rPr>
      <w:rFonts w:ascii="Times New Roman" w:eastAsia="Times New Roman" w:hAnsi="Times New Roman" w:cs="Times New Roman"/>
      <w:sz w:val="20"/>
      <w:szCs w:val="20"/>
      <w:lang w:eastAsia="fr-FR"/>
    </w:rPr>
    <w:tblPr>
      <w:tblCellMar>
        <w:left w:w="0" w:type="dxa"/>
        <w:right w:w="0" w:type="dxa"/>
      </w:tblCellMa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character" w:styleId="FollowedHyperlink">
    <w:name w:val="FollowedHyperlink"/>
    <w:basedOn w:val="DefaultParagraphFont"/>
    <w:uiPriority w:val="99"/>
    <w:unhideWhenUsed/>
    <w:rsid w:val="00674764"/>
    <w:rPr>
      <w:color w:val="800080"/>
      <w:u w:val="single"/>
    </w:rPr>
  </w:style>
  <w:style w:type="table" w:customStyle="1" w:styleId="Grilledutableau2">
    <w:name w:val="Grille du tableau2"/>
    <w:basedOn w:val="TableNormal"/>
    <w:next w:val="TableGrid"/>
    <w:uiPriority w:val="39"/>
    <w:rsid w:val="00674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27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TotalTime>
  <Pages>18</Pages>
  <Words>13466</Words>
  <Characters>76761</Characters>
  <Application>Microsoft Office Word</Application>
  <DocSecurity>0</DocSecurity>
  <Lines>639</Lines>
  <Paragraphs>180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Editor-1183</cp:lastModifiedBy>
  <cp:revision>34</cp:revision>
  <dcterms:created xsi:type="dcterms:W3CDTF">2026-01-28T21:57:00Z</dcterms:created>
  <dcterms:modified xsi:type="dcterms:W3CDTF">2026-02-13T09:43:00Z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id="0cqukldy"/&gt;&lt;style id="http://www.zotero.org/styles/ufr-environnement-ujlog" hasBibliography="1" bibliographyStyleHasBeenSet="1"/&gt;&lt;prefs&gt;&lt;pref name="fieldType" value="Field"/&gt;&lt;pref name="automatic</vt:lpwstr>
  </property>
  <property fmtid="{D5CDD505-2E9C-101B-9397-08002B2CF9AE}" pid="3" name="ZOTERO_PREF_2">
    <vt:lpwstr>JournalAbbreviations" value="true"/&gt;&lt;/prefs&gt;&lt;/data&gt;</vt:lpwstr>
  </property>
</Properties>
</file>