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59850" w14:textId="77777777" w:rsidR="00B22209" w:rsidRPr="00B22209" w:rsidRDefault="00B22209" w:rsidP="00B22209">
      <w:pPr>
        <w:jc w:val="right"/>
        <w:rPr>
          <w:rFonts w:ascii="Arial" w:hAnsi="Arial" w:cs="Arial"/>
          <w:b/>
          <w:bCs/>
          <w:i/>
          <w:iCs/>
          <w:sz w:val="36"/>
          <w:szCs w:val="36"/>
          <w:u w:val="single"/>
          <w:lang w:val="en-US"/>
        </w:rPr>
      </w:pPr>
      <w:r w:rsidRPr="00B22209">
        <w:rPr>
          <w:rFonts w:ascii="Arial" w:hAnsi="Arial" w:cs="Arial"/>
          <w:b/>
          <w:bCs/>
          <w:i/>
          <w:iCs/>
          <w:sz w:val="36"/>
          <w:szCs w:val="36"/>
          <w:u w:val="single"/>
          <w:lang w:val="en-US"/>
        </w:rPr>
        <w:t>Original Research Article</w:t>
      </w:r>
    </w:p>
    <w:p w14:paraId="0E4853B0" w14:textId="20077FC5" w:rsidR="00A72F35" w:rsidRPr="00DF4212" w:rsidRDefault="00024A08" w:rsidP="0087772E">
      <w:pPr>
        <w:jc w:val="right"/>
        <w:rPr>
          <w:rFonts w:ascii="Arial" w:hAnsi="Arial" w:cs="Arial"/>
          <w:b/>
          <w:bCs/>
          <w:sz w:val="36"/>
          <w:szCs w:val="36"/>
        </w:rPr>
      </w:pPr>
      <w:r>
        <w:rPr>
          <w:rFonts w:ascii="Arial" w:hAnsi="Arial" w:cs="Arial"/>
          <w:b/>
          <w:bCs/>
          <w:sz w:val="36"/>
          <w:szCs w:val="36"/>
        </w:rPr>
        <w:t xml:space="preserve">Optimization of </w:t>
      </w:r>
      <w:r w:rsidR="00760FC7" w:rsidRPr="00DF4212">
        <w:rPr>
          <w:rFonts w:ascii="Arial" w:hAnsi="Arial" w:cs="Arial"/>
          <w:b/>
          <w:bCs/>
          <w:sz w:val="36"/>
          <w:szCs w:val="36"/>
        </w:rPr>
        <w:t xml:space="preserve">DNA fingerprinting </w:t>
      </w:r>
      <w:r>
        <w:rPr>
          <w:rFonts w:ascii="Arial" w:hAnsi="Arial" w:cs="Arial"/>
          <w:b/>
          <w:bCs/>
          <w:sz w:val="36"/>
          <w:szCs w:val="36"/>
        </w:rPr>
        <w:t>protocols</w:t>
      </w:r>
      <w:r w:rsidRPr="00DF4212">
        <w:rPr>
          <w:rFonts w:ascii="Arial" w:hAnsi="Arial" w:cs="Arial"/>
          <w:b/>
          <w:bCs/>
          <w:sz w:val="36"/>
          <w:szCs w:val="36"/>
        </w:rPr>
        <w:t xml:space="preserve"> </w:t>
      </w:r>
      <w:r w:rsidR="00760FC7" w:rsidRPr="00DF4212">
        <w:rPr>
          <w:rFonts w:ascii="Arial" w:hAnsi="Arial" w:cs="Arial"/>
          <w:b/>
          <w:bCs/>
          <w:sz w:val="36"/>
          <w:szCs w:val="36"/>
        </w:rPr>
        <w:t xml:space="preserve">for </w:t>
      </w:r>
      <w:r w:rsidR="00AC16F4" w:rsidRPr="00DF4212">
        <w:rPr>
          <w:rFonts w:ascii="Arial" w:hAnsi="Arial" w:cs="Arial"/>
          <w:b/>
          <w:bCs/>
          <w:i/>
          <w:iCs/>
          <w:sz w:val="36"/>
          <w:szCs w:val="36"/>
        </w:rPr>
        <w:t>Diospyros melanoxylon</w:t>
      </w:r>
      <w:r w:rsidR="00AC16F4" w:rsidRPr="00DF4212">
        <w:rPr>
          <w:rFonts w:ascii="Arial" w:hAnsi="Arial" w:cs="Arial"/>
          <w:b/>
          <w:bCs/>
          <w:sz w:val="36"/>
          <w:szCs w:val="36"/>
        </w:rPr>
        <w:t xml:space="preserve"> </w:t>
      </w:r>
      <w:proofErr w:type="spellStart"/>
      <w:r w:rsidR="00AC16F4" w:rsidRPr="00DF4212">
        <w:rPr>
          <w:rFonts w:ascii="Arial" w:hAnsi="Arial" w:cs="Arial"/>
          <w:b/>
          <w:bCs/>
          <w:sz w:val="36"/>
          <w:szCs w:val="36"/>
        </w:rPr>
        <w:t>Roxb</w:t>
      </w:r>
      <w:proofErr w:type="spellEnd"/>
      <w:r w:rsidR="00AC16F4" w:rsidRPr="00DF4212">
        <w:rPr>
          <w:rFonts w:ascii="Arial" w:hAnsi="Arial" w:cs="Arial"/>
          <w:b/>
          <w:bCs/>
          <w:sz w:val="36"/>
          <w:szCs w:val="36"/>
        </w:rPr>
        <w:t>. (</w:t>
      </w:r>
      <w:proofErr w:type="spellStart"/>
      <w:r w:rsidR="00760FC7" w:rsidRPr="00DF4212">
        <w:rPr>
          <w:rFonts w:ascii="Arial" w:hAnsi="Arial" w:cs="Arial"/>
          <w:b/>
          <w:bCs/>
          <w:sz w:val="36"/>
          <w:szCs w:val="36"/>
        </w:rPr>
        <w:t>kendu</w:t>
      </w:r>
      <w:proofErr w:type="spellEnd"/>
      <w:r w:rsidR="00AC16F4" w:rsidRPr="00DF4212">
        <w:rPr>
          <w:rFonts w:ascii="Arial" w:hAnsi="Arial" w:cs="Arial"/>
          <w:b/>
          <w:bCs/>
          <w:sz w:val="36"/>
          <w:szCs w:val="36"/>
        </w:rPr>
        <w:t>)</w:t>
      </w:r>
      <w:r w:rsidR="00273B91" w:rsidRPr="00DF4212">
        <w:rPr>
          <w:rFonts w:ascii="Arial" w:hAnsi="Arial" w:cs="Arial"/>
          <w:b/>
          <w:bCs/>
          <w:sz w:val="36"/>
          <w:szCs w:val="36"/>
        </w:rPr>
        <w:t xml:space="preserve"> </w:t>
      </w:r>
      <w:r>
        <w:rPr>
          <w:rFonts w:ascii="Arial" w:hAnsi="Arial" w:cs="Arial"/>
          <w:b/>
          <w:bCs/>
          <w:sz w:val="36"/>
          <w:szCs w:val="36"/>
        </w:rPr>
        <w:t>using</w:t>
      </w:r>
      <w:r w:rsidRPr="00DF4212">
        <w:rPr>
          <w:rFonts w:ascii="Arial" w:hAnsi="Arial" w:cs="Arial"/>
          <w:b/>
          <w:bCs/>
          <w:sz w:val="36"/>
          <w:szCs w:val="36"/>
        </w:rPr>
        <w:t xml:space="preserve"> </w:t>
      </w:r>
      <w:r w:rsidR="00273B91" w:rsidRPr="00DF4212">
        <w:rPr>
          <w:rFonts w:ascii="Arial" w:hAnsi="Arial" w:cs="Arial"/>
          <w:b/>
          <w:bCs/>
          <w:sz w:val="36"/>
          <w:szCs w:val="36"/>
        </w:rPr>
        <w:t>ISSR, RAPD and SCoT markers</w:t>
      </w:r>
      <w:r w:rsidR="00231124" w:rsidRPr="00DF4212">
        <w:rPr>
          <w:rFonts w:ascii="Arial" w:hAnsi="Arial" w:cs="Arial"/>
          <w:b/>
          <w:bCs/>
          <w:sz w:val="36"/>
          <w:szCs w:val="36"/>
        </w:rPr>
        <w:t xml:space="preserve"> </w:t>
      </w:r>
      <w:r>
        <w:rPr>
          <w:rFonts w:ascii="Arial" w:hAnsi="Arial" w:cs="Arial"/>
          <w:b/>
          <w:bCs/>
          <w:sz w:val="36"/>
          <w:szCs w:val="36"/>
        </w:rPr>
        <w:t xml:space="preserve">to enable </w:t>
      </w:r>
      <w:r w:rsidR="00231124" w:rsidRPr="00DF4212">
        <w:rPr>
          <w:rFonts w:ascii="Arial" w:hAnsi="Arial" w:cs="Arial"/>
          <w:b/>
          <w:bCs/>
          <w:sz w:val="36"/>
          <w:szCs w:val="36"/>
        </w:rPr>
        <w:t>genetic diversity assessment</w:t>
      </w:r>
      <w:r w:rsidR="00273B91" w:rsidRPr="00DF4212">
        <w:rPr>
          <w:rFonts w:ascii="Arial" w:hAnsi="Arial" w:cs="Arial"/>
          <w:b/>
          <w:bCs/>
          <w:sz w:val="36"/>
          <w:szCs w:val="36"/>
        </w:rPr>
        <w:t xml:space="preserve"> </w:t>
      </w:r>
    </w:p>
    <w:p w14:paraId="0049DBB9" w14:textId="3D3ED78B" w:rsidR="0014082E" w:rsidRDefault="0014082E" w:rsidP="00835FB2">
      <w:pPr>
        <w:spacing w:line="360" w:lineRule="auto"/>
        <w:jc w:val="both"/>
        <w:rPr>
          <w:rFonts w:ascii="Arial" w:hAnsi="Arial" w:cs="Arial"/>
        </w:rPr>
      </w:pPr>
    </w:p>
    <w:p w14:paraId="345D6094" w14:textId="77777777" w:rsidR="00DF4212" w:rsidRDefault="0014082E" w:rsidP="00DF4212">
      <w:pPr>
        <w:spacing w:after="100" w:afterAutospacing="1" w:line="480" w:lineRule="auto"/>
        <w:jc w:val="both"/>
        <w:rPr>
          <w:rFonts w:ascii="Arial" w:hAnsi="Arial" w:cs="Arial"/>
          <w:b/>
          <w:bCs/>
          <w:sz w:val="22"/>
          <w:szCs w:val="22"/>
        </w:rPr>
      </w:pPr>
      <w:r w:rsidRPr="00DF4212">
        <w:rPr>
          <w:rFonts w:ascii="Arial" w:hAnsi="Arial" w:cs="Arial"/>
          <w:b/>
          <w:bCs/>
          <w:sz w:val="22"/>
          <w:szCs w:val="22"/>
        </w:rPr>
        <w:t>ABSTRACT</w:t>
      </w:r>
    </w:p>
    <w:p w14:paraId="76244BE0" w14:textId="3E0BF3C2" w:rsidR="00BA4AC7" w:rsidRPr="00F079B0" w:rsidRDefault="00684DB0" w:rsidP="00DF4212">
      <w:pPr>
        <w:spacing w:after="100" w:afterAutospacing="1" w:line="240" w:lineRule="auto"/>
        <w:jc w:val="both"/>
        <w:rPr>
          <w:rFonts w:ascii="Arial" w:hAnsi="Arial" w:cs="Arial"/>
          <w:sz w:val="20"/>
          <w:szCs w:val="20"/>
        </w:rPr>
      </w:pPr>
      <w:r w:rsidRPr="00F079B0">
        <w:rPr>
          <w:rFonts w:ascii="Arial" w:hAnsi="Arial" w:cs="Arial"/>
          <w:sz w:val="20"/>
          <w:szCs w:val="20"/>
        </w:rPr>
        <w:t xml:space="preserve">The present investigation </w:t>
      </w:r>
      <w:r w:rsidR="00A06818" w:rsidRPr="00F079B0">
        <w:rPr>
          <w:rFonts w:ascii="Arial" w:hAnsi="Arial" w:cs="Arial"/>
          <w:sz w:val="20"/>
          <w:szCs w:val="20"/>
        </w:rPr>
        <w:t xml:space="preserve">aimed to </w:t>
      </w:r>
      <w:r w:rsidRPr="00F079B0">
        <w:rPr>
          <w:rFonts w:ascii="Arial" w:hAnsi="Arial" w:cs="Arial"/>
          <w:sz w:val="20"/>
          <w:szCs w:val="20"/>
        </w:rPr>
        <w:t xml:space="preserve">establish </w:t>
      </w:r>
      <w:r w:rsidR="00C6466B">
        <w:rPr>
          <w:rFonts w:ascii="Arial" w:hAnsi="Arial" w:cs="Arial"/>
          <w:sz w:val="20"/>
          <w:szCs w:val="20"/>
        </w:rPr>
        <w:t xml:space="preserve">and optimize </w:t>
      </w:r>
      <w:r w:rsidRPr="00F079B0">
        <w:rPr>
          <w:rFonts w:ascii="Arial" w:hAnsi="Arial" w:cs="Arial"/>
          <w:sz w:val="20"/>
          <w:szCs w:val="20"/>
        </w:rPr>
        <w:t xml:space="preserve">molecular marker-based </w:t>
      </w:r>
      <w:r w:rsidR="00C6466B">
        <w:rPr>
          <w:rFonts w:ascii="Arial" w:hAnsi="Arial" w:cs="Arial"/>
          <w:sz w:val="20"/>
          <w:szCs w:val="20"/>
        </w:rPr>
        <w:t>protocol</w:t>
      </w:r>
      <w:r w:rsidR="00C6466B" w:rsidRPr="00F079B0">
        <w:rPr>
          <w:rFonts w:ascii="Arial" w:hAnsi="Arial" w:cs="Arial"/>
          <w:sz w:val="20"/>
          <w:szCs w:val="20"/>
        </w:rPr>
        <w:t xml:space="preserve"> </w:t>
      </w:r>
      <w:r w:rsidR="00C6466B">
        <w:rPr>
          <w:rFonts w:ascii="Arial" w:hAnsi="Arial" w:cs="Arial"/>
          <w:sz w:val="20"/>
          <w:szCs w:val="20"/>
        </w:rPr>
        <w:t xml:space="preserve">for germplasm samples enabling future </w:t>
      </w:r>
      <w:r w:rsidR="00A06818" w:rsidRPr="00F079B0">
        <w:rPr>
          <w:rFonts w:ascii="Arial" w:hAnsi="Arial" w:cs="Arial"/>
          <w:sz w:val="20"/>
          <w:szCs w:val="20"/>
        </w:rPr>
        <w:t>assess</w:t>
      </w:r>
      <w:r w:rsidR="00C6466B">
        <w:rPr>
          <w:rFonts w:ascii="Arial" w:hAnsi="Arial" w:cs="Arial"/>
          <w:sz w:val="20"/>
          <w:szCs w:val="20"/>
        </w:rPr>
        <w:t>ment of</w:t>
      </w:r>
      <w:r w:rsidR="00A06818" w:rsidRPr="00F079B0">
        <w:rPr>
          <w:rFonts w:ascii="Arial" w:hAnsi="Arial" w:cs="Arial"/>
          <w:sz w:val="20"/>
          <w:szCs w:val="20"/>
        </w:rPr>
        <w:t xml:space="preserve"> </w:t>
      </w:r>
      <w:r w:rsidRPr="00F079B0">
        <w:rPr>
          <w:rFonts w:ascii="Arial" w:hAnsi="Arial" w:cs="Arial"/>
          <w:sz w:val="20"/>
          <w:szCs w:val="20"/>
        </w:rPr>
        <w:t xml:space="preserve">genetic </w:t>
      </w:r>
      <w:r w:rsidR="00A06818" w:rsidRPr="00F079B0">
        <w:rPr>
          <w:rFonts w:ascii="Arial" w:hAnsi="Arial" w:cs="Arial"/>
          <w:sz w:val="20"/>
          <w:szCs w:val="20"/>
        </w:rPr>
        <w:t xml:space="preserve">diversity of </w:t>
      </w:r>
      <w:r w:rsidR="00AC16F4" w:rsidRPr="00F079B0">
        <w:rPr>
          <w:rFonts w:ascii="Arial" w:hAnsi="Arial" w:cs="Arial"/>
          <w:i/>
          <w:iCs/>
          <w:sz w:val="20"/>
          <w:szCs w:val="20"/>
        </w:rPr>
        <w:t xml:space="preserve">D. </w:t>
      </w:r>
      <w:r w:rsidRPr="00F079B0">
        <w:rPr>
          <w:rFonts w:ascii="Arial" w:hAnsi="Arial" w:cs="Arial"/>
          <w:i/>
          <w:iCs/>
          <w:sz w:val="20"/>
          <w:szCs w:val="20"/>
        </w:rPr>
        <w:t>melanoxylon</w:t>
      </w:r>
      <w:r w:rsidRPr="00F079B0">
        <w:rPr>
          <w:rFonts w:ascii="Arial" w:hAnsi="Arial" w:cs="Arial"/>
          <w:sz w:val="20"/>
          <w:szCs w:val="20"/>
        </w:rPr>
        <w:t xml:space="preserve"> </w:t>
      </w:r>
      <w:proofErr w:type="spellStart"/>
      <w:r w:rsidRPr="00F079B0">
        <w:rPr>
          <w:rFonts w:ascii="Arial" w:hAnsi="Arial" w:cs="Arial"/>
          <w:sz w:val="20"/>
          <w:szCs w:val="20"/>
        </w:rPr>
        <w:t>Roxb</w:t>
      </w:r>
      <w:proofErr w:type="spellEnd"/>
      <w:r w:rsidRPr="00F079B0">
        <w:rPr>
          <w:rFonts w:ascii="Arial" w:hAnsi="Arial" w:cs="Arial"/>
          <w:sz w:val="20"/>
          <w:szCs w:val="20"/>
        </w:rPr>
        <w:t xml:space="preserve">. </w:t>
      </w:r>
      <w:r w:rsidR="00A06818" w:rsidRPr="00F079B0">
        <w:rPr>
          <w:rFonts w:ascii="Arial" w:hAnsi="Arial" w:cs="Arial"/>
          <w:sz w:val="20"/>
          <w:szCs w:val="20"/>
        </w:rPr>
        <w:t xml:space="preserve">natural tree populations </w:t>
      </w:r>
      <w:r w:rsidR="00EC0788" w:rsidRPr="00F079B0">
        <w:rPr>
          <w:rFonts w:ascii="Arial" w:hAnsi="Arial" w:cs="Arial"/>
          <w:sz w:val="20"/>
          <w:szCs w:val="20"/>
        </w:rPr>
        <w:t>exist</w:t>
      </w:r>
      <w:r w:rsidR="00A06818" w:rsidRPr="00F079B0">
        <w:rPr>
          <w:rFonts w:ascii="Arial" w:hAnsi="Arial" w:cs="Arial"/>
          <w:sz w:val="20"/>
          <w:szCs w:val="20"/>
        </w:rPr>
        <w:t xml:space="preserve"> in different Forest regions</w:t>
      </w:r>
      <w:r w:rsidR="00EC0788" w:rsidRPr="00F079B0">
        <w:rPr>
          <w:rFonts w:ascii="Arial" w:hAnsi="Arial" w:cs="Arial"/>
          <w:sz w:val="20"/>
          <w:szCs w:val="20"/>
        </w:rPr>
        <w:t xml:space="preserve"> in </w:t>
      </w:r>
      <w:r w:rsidR="00A06818" w:rsidRPr="00F079B0">
        <w:rPr>
          <w:rFonts w:ascii="Arial" w:hAnsi="Arial" w:cs="Arial"/>
          <w:sz w:val="20"/>
          <w:szCs w:val="20"/>
        </w:rPr>
        <w:t>Odisha. In addition, h</w:t>
      </w:r>
      <w:r w:rsidRPr="00F079B0">
        <w:rPr>
          <w:rFonts w:ascii="Arial" w:hAnsi="Arial" w:cs="Arial"/>
          <w:sz w:val="20"/>
          <w:szCs w:val="20"/>
        </w:rPr>
        <w:t xml:space="preserve">igh-quality genomic DNA </w:t>
      </w:r>
      <w:r w:rsidR="007F43A7" w:rsidRPr="00F079B0">
        <w:rPr>
          <w:rFonts w:ascii="Arial" w:hAnsi="Arial" w:cs="Arial"/>
          <w:sz w:val="20"/>
          <w:szCs w:val="20"/>
        </w:rPr>
        <w:t xml:space="preserve">isolation </w:t>
      </w:r>
      <w:r w:rsidR="00325EBE" w:rsidRPr="00F079B0">
        <w:rPr>
          <w:rFonts w:ascii="Arial" w:hAnsi="Arial" w:cs="Arial"/>
          <w:sz w:val="20"/>
          <w:szCs w:val="20"/>
        </w:rPr>
        <w:t xml:space="preserve">protocol </w:t>
      </w:r>
      <w:r w:rsidRPr="00F079B0">
        <w:rPr>
          <w:rFonts w:ascii="Arial" w:hAnsi="Arial" w:cs="Arial"/>
          <w:sz w:val="20"/>
          <w:szCs w:val="20"/>
        </w:rPr>
        <w:t xml:space="preserve">was </w:t>
      </w:r>
      <w:r w:rsidR="00325EBE" w:rsidRPr="00F079B0">
        <w:rPr>
          <w:rFonts w:ascii="Arial" w:hAnsi="Arial" w:cs="Arial"/>
          <w:sz w:val="20"/>
          <w:szCs w:val="20"/>
        </w:rPr>
        <w:t xml:space="preserve">established from </w:t>
      </w:r>
      <w:r w:rsidR="00A06818" w:rsidRPr="00F079B0">
        <w:rPr>
          <w:rFonts w:ascii="Arial" w:hAnsi="Arial" w:cs="Arial"/>
          <w:sz w:val="20"/>
          <w:szCs w:val="20"/>
        </w:rPr>
        <w:t xml:space="preserve">the </w:t>
      </w:r>
      <w:r w:rsidRPr="00F079B0">
        <w:rPr>
          <w:rFonts w:ascii="Arial" w:hAnsi="Arial" w:cs="Arial"/>
          <w:sz w:val="20"/>
          <w:szCs w:val="20"/>
        </w:rPr>
        <w:t>leaves</w:t>
      </w:r>
      <w:r w:rsidR="005D0D19" w:rsidRPr="00F079B0">
        <w:rPr>
          <w:rFonts w:ascii="Arial" w:hAnsi="Arial" w:cs="Arial"/>
          <w:sz w:val="20"/>
          <w:szCs w:val="20"/>
        </w:rPr>
        <w:t xml:space="preserve">. </w:t>
      </w:r>
      <w:r w:rsidRPr="00F079B0">
        <w:rPr>
          <w:rFonts w:ascii="Arial" w:hAnsi="Arial" w:cs="Arial"/>
          <w:sz w:val="20"/>
          <w:szCs w:val="20"/>
        </w:rPr>
        <w:t xml:space="preserve">Three </w:t>
      </w:r>
      <w:r w:rsidR="008F7E56" w:rsidRPr="00F079B0">
        <w:rPr>
          <w:rFonts w:ascii="Arial" w:hAnsi="Arial" w:cs="Arial"/>
          <w:sz w:val="20"/>
          <w:szCs w:val="20"/>
        </w:rPr>
        <w:t xml:space="preserve">different </w:t>
      </w:r>
      <w:r w:rsidRPr="00F079B0">
        <w:rPr>
          <w:rFonts w:ascii="Arial" w:hAnsi="Arial" w:cs="Arial"/>
          <w:sz w:val="20"/>
          <w:szCs w:val="20"/>
        </w:rPr>
        <w:t>marker systems</w:t>
      </w:r>
      <w:r w:rsidR="008F7E56" w:rsidRPr="00F079B0">
        <w:rPr>
          <w:rFonts w:ascii="Arial" w:hAnsi="Arial" w:cs="Arial"/>
          <w:sz w:val="20"/>
          <w:szCs w:val="20"/>
        </w:rPr>
        <w:t>,</w:t>
      </w:r>
      <w:r w:rsidRPr="00F079B0">
        <w:rPr>
          <w:rFonts w:ascii="Arial" w:hAnsi="Arial" w:cs="Arial"/>
          <w:sz w:val="20"/>
          <w:szCs w:val="20"/>
        </w:rPr>
        <w:t xml:space="preserve"> such as </w:t>
      </w:r>
      <w:r w:rsidR="008019F2" w:rsidRPr="00F079B0">
        <w:rPr>
          <w:rFonts w:ascii="Arial" w:hAnsi="Arial" w:cs="Arial"/>
          <w:sz w:val="20"/>
          <w:szCs w:val="20"/>
        </w:rPr>
        <w:t>i</w:t>
      </w:r>
      <w:r w:rsidR="00DE104F" w:rsidRPr="00F079B0">
        <w:rPr>
          <w:rFonts w:ascii="Arial" w:hAnsi="Arial" w:cs="Arial"/>
          <w:sz w:val="20"/>
          <w:szCs w:val="20"/>
        </w:rPr>
        <w:t xml:space="preserve">nter simple sequence repeat (ISSR), </w:t>
      </w:r>
      <w:r w:rsidR="008019F2" w:rsidRPr="00F079B0">
        <w:rPr>
          <w:rFonts w:ascii="Arial" w:hAnsi="Arial" w:cs="Arial"/>
          <w:sz w:val="20"/>
          <w:szCs w:val="20"/>
        </w:rPr>
        <w:t>r</w:t>
      </w:r>
      <w:r w:rsidR="00DE104F" w:rsidRPr="00F079B0">
        <w:rPr>
          <w:rFonts w:ascii="Arial" w:hAnsi="Arial" w:cs="Arial"/>
          <w:sz w:val="20"/>
          <w:szCs w:val="20"/>
        </w:rPr>
        <w:t xml:space="preserve">andom amplified polymorphic DNA (RAPD), and start codon targeted polymorphism (SCoT) </w:t>
      </w:r>
      <w:r w:rsidRPr="00F079B0">
        <w:rPr>
          <w:rFonts w:ascii="Arial" w:hAnsi="Arial" w:cs="Arial"/>
          <w:sz w:val="20"/>
          <w:szCs w:val="20"/>
        </w:rPr>
        <w:t xml:space="preserve">were </w:t>
      </w:r>
      <w:r w:rsidR="00A06818" w:rsidRPr="00F079B0">
        <w:rPr>
          <w:rFonts w:ascii="Arial" w:hAnsi="Arial" w:cs="Arial"/>
          <w:sz w:val="20"/>
          <w:szCs w:val="20"/>
        </w:rPr>
        <w:t xml:space="preserve">screened with </w:t>
      </w:r>
      <w:proofErr w:type="spellStart"/>
      <w:r w:rsidR="00A06818" w:rsidRPr="00F079B0">
        <w:rPr>
          <w:rFonts w:ascii="Arial" w:hAnsi="Arial" w:cs="Arial"/>
          <w:sz w:val="20"/>
          <w:szCs w:val="20"/>
        </w:rPr>
        <w:t>kendu</w:t>
      </w:r>
      <w:proofErr w:type="spellEnd"/>
      <w:r w:rsidR="00A06818" w:rsidRPr="00F079B0">
        <w:rPr>
          <w:rFonts w:ascii="Arial" w:hAnsi="Arial" w:cs="Arial"/>
          <w:sz w:val="20"/>
          <w:szCs w:val="20"/>
        </w:rPr>
        <w:t xml:space="preserve"> genomic DNA</w:t>
      </w:r>
      <w:r w:rsidR="008F7E56" w:rsidRPr="00F079B0">
        <w:rPr>
          <w:rFonts w:ascii="Arial" w:hAnsi="Arial" w:cs="Arial"/>
          <w:sz w:val="20"/>
          <w:szCs w:val="20"/>
        </w:rPr>
        <w:t>,</w:t>
      </w:r>
      <w:r w:rsidR="00A06818" w:rsidRPr="00F079B0">
        <w:rPr>
          <w:rFonts w:ascii="Arial" w:hAnsi="Arial" w:cs="Arial"/>
          <w:sz w:val="20"/>
          <w:szCs w:val="20"/>
        </w:rPr>
        <w:t xml:space="preserve"> to </w:t>
      </w:r>
      <w:r w:rsidRPr="00F079B0">
        <w:rPr>
          <w:rFonts w:ascii="Arial" w:hAnsi="Arial" w:cs="Arial"/>
          <w:sz w:val="20"/>
          <w:szCs w:val="20"/>
        </w:rPr>
        <w:t xml:space="preserve">optimize </w:t>
      </w:r>
      <w:r w:rsidR="00A06818" w:rsidRPr="00F079B0">
        <w:rPr>
          <w:rFonts w:ascii="Arial" w:hAnsi="Arial" w:cs="Arial"/>
          <w:sz w:val="20"/>
          <w:szCs w:val="20"/>
        </w:rPr>
        <w:t>and obtain clear</w:t>
      </w:r>
      <w:r w:rsidR="0007738A" w:rsidRPr="00F079B0">
        <w:rPr>
          <w:rFonts w:ascii="Arial" w:hAnsi="Arial" w:cs="Arial"/>
          <w:sz w:val="20"/>
          <w:szCs w:val="20"/>
        </w:rPr>
        <w:t>,</w:t>
      </w:r>
      <w:r w:rsidR="00A06818" w:rsidRPr="00F079B0">
        <w:rPr>
          <w:rFonts w:ascii="Arial" w:hAnsi="Arial" w:cs="Arial"/>
          <w:sz w:val="20"/>
          <w:szCs w:val="20"/>
        </w:rPr>
        <w:t xml:space="preserve"> scorable and reproducible </w:t>
      </w:r>
      <w:r w:rsidR="00B16816" w:rsidRPr="00F079B0">
        <w:rPr>
          <w:rFonts w:ascii="Arial" w:hAnsi="Arial" w:cs="Arial"/>
          <w:sz w:val="20"/>
          <w:szCs w:val="20"/>
        </w:rPr>
        <w:t xml:space="preserve">DNA fingerprinting profiles </w:t>
      </w:r>
      <w:r w:rsidR="00A06818" w:rsidRPr="00F079B0">
        <w:rPr>
          <w:rFonts w:ascii="Arial" w:hAnsi="Arial" w:cs="Arial"/>
          <w:sz w:val="20"/>
          <w:szCs w:val="20"/>
        </w:rPr>
        <w:t xml:space="preserve">through </w:t>
      </w:r>
      <w:r w:rsidR="00650892" w:rsidRPr="00F079B0">
        <w:rPr>
          <w:rFonts w:ascii="Arial" w:hAnsi="Arial" w:cs="Arial"/>
          <w:sz w:val="20"/>
          <w:szCs w:val="20"/>
        </w:rPr>
        <w:t>p</w:t>
      </w:r>
      <w:r w:rsidR="00CD35C6" w:rsidRPr="00F079B0">
        <w:rPr>
          <w:rFonts w:ascii="Arial" w:hAnsi="Arial" w:cs="Arial"/>
          <w:sz w:val="20"/>
          <w:szCs w:val="20"/>
        </w:rPr>
        <w:t>olymerase chain reaction (</w:t>
      </w:r>
      <w:r w:rsidR="00EC0788" w:rsidRPr="00F079B0">
        <w:rPr>
          <w:rFonts w:ascii="Arial" w:hAnsi="Arial" w:cs="Arial"/>
          <w:sz w:val="20"/>
          <w:szCs w:val="20"/>
        </w:rPr>
        <w:t>PCR</w:t>
      </w:r>
      <w:r w:rsidR="00CD35C6" w:rsidRPr="00F079B0">
        <w:rPr>
          <w:rFonts w:ascii="Arial" w:hAnsi="Arial" w:cs="Arial"/>
          <w:sz w:val="20"/>
          <w:szCs w:val="20"/>
        </w:rPr>
        <w:t>)</w:t>
      </w:r>
      <w:r w:rsidR="00A06818" w:rsidRPr="00F079B0">
        <w:rPr>
          <w:rFonts w:ascii="Arial" w:hAnsi="Arial" w:cs="Arial"/>
          <w:sz w:val="20"/>
          <w:szCs w:val="20"/>
        </w:rPr>
        <w:t xml:space="preserve">. </w:t>
      </w:r>
      <w:r w:rsidR="00B16816" w:rsidRPr="00F079B0">
        <w:rPr>
          <w:rFonts w:ascii="Arial" w:hAnsi="Arial" w:cs="Arial"/>
          <w:sz w:val="20"/>
          <w:szCs w:val="20"/>
        </w:rPr>
        <w:t>Twenty-seven</w:t>
      </w:r>
      <w:r w:rsidR="00D055A6" w:rsidRPr="00F079B0">
        <w:rPr>
          <w:rFonts w:ascii="Arial" w:hAnsi="Arial" w:cs="Arial"/>
          <w:sz w:val="20"/>
          <w:szCs w:val="20"/>
        </w:rPr>
        <w:t>-</w:t>
      </w:r>
      <w:r w:rsidR="00F80AA3" w:rsidRPr="00F079B0">
        <w:rPr>
          <w:rFonts w:ascii="Arial" w:hAnsi="Arial" w:cs="Arial"/>
          <w:sz w:val="20"/>
          <w:szCs w:val="20"/>
        </w:rPr>
        <w:t xml:space="preserve"> </w:t>
      </w:r>
      <w:r w:rsidR="00A06818" w:rsidRPr="00F079B0">
        <w:rPr>
          <w:rFonts w:ascii="Arial" w:hAnsi="Arial" w:cs="Arial"/>
          <w:sz w:val="20"/>
          <w:szCs w:val="20"/>
        </w:rPr>
        <w:t>ISSRs, 15</w:t>
      </w:r>
      <w:r w:rsidR="00F80AA3" w:rsidRPr="00F079B0">
        <w:rPr>
          <w:rFonts w:ascii="Arial" w:hAnsi="Arial" w:cs="Arial"/>
          <w:sz w:val="20"/>
          <w:szCs w:val="20"/>
        </w:rPr>
        <w:t xml:space="preserve"> </w:t>
      </w:r>
      <w:r w:rsidR="00A06818" w:rsidRPr="00F079B0">
        <w:rPr>
          <w:rFonts w:ascii="Arial" w:hAnsi="Arial" w:cs="Arial"/>
          <w:sz w:val="20"/>
          <w:szCs w:val="20"/>
        </w:rPr>
        <w:t>RAPDs and 9 SCoT markers were considered</w:t>
      </w:r>
      <w:r w:rsidR="002A09E9" w:rsidRPr="00F079B0">
        <w:rPr>
          <w:rFonts w:ascii="Arial" w:hAnsi="Arial" w:cs="Arial"/>
          <w:sz w:val="20"/>
          <w:szCs w:val="20"/>
        </w:rPr>
        <w:t xml:space="preserve"> for </w:t>
      </w:r>
      <w:r w:rsidR="000E01B7" w:rsidRPr="00F079B0">
        <w:rPr>
          <w:rFonts w:ascii="Arial" w:hAnsi="Arial" w:cs="Arial"/>
          <w:sz w:val="20"/>
          <w:szCs w:val="20"/>
        </w:rPr>
        <w:t>the</w:t>
      </w:r>
      <w:r w:rsidR="002A09E9" w:rsidRPr="00F079B0">
        <w:rPr>
          <w:rFonts w:ascii="Arial" w:hAnsi="Arial" w:cs="Arial"/>
          <w:sz w:val="20"/>
          <w:szCs w:val="20"/>
        </w:rPr>
        <w:t xml:space="preserve"> study</w:t>
      </w:r>
      <w:r w:rsidR="00F80AA3" w:rsidRPr="00F079B0">
        <w:rPr>
          <w:rFonts w:ascii="Arial" w:hAnsi="Arial" w:cs="Arial"/>
          <w:sz w:val="20"/>
          <w:szCs w:val="20"/>
        </w:rPr>
        <w:t xml:space="preserve">. Out of 27-ISSR </w:t>
      </w:r>
      <w:r w:rsidR="00F861C7" w:rsidRPr="00F079B0">
        <w:rPr>
          <w:rFonts w:ascii="Arial" w:hAnsi="Arial" w:cs="Arial"/>
          <w:sz w:val="20"/>
          <w:szCs w:val="20"/>
        </w:rPr>
        <w:t>markers</w:t>
      </w:r>
      <w:r w:rsidR="00F80AA3" w:rsidRPr="00F079B0">
        <w:rPr>
          <w:rFonts w:ascii="Arial" w:hAnsi="Arial" w:cs="Arial"/>
          <w:sz w:val="20"/>
          <w:szCs w:val="20"/>
        </w:rPr>
        <w:t>, 17</w:t>
      </w:r>
      <w:r w:rsidR="00F81557" w:rsidRPr="00F079B0">
        <w:rPr>
          <w:rFonts w:ascii="Arial" w:hAnsi="Arial" w:cs="Arial"/>
          <w:sz w:val="20"/>
          <w:szCs w:val="20"/>
        </w:rPr>
        <w:t>-markers</w:t>
      </w:r>
      <w:r w:rsidR="00F80AA3" w:rsidRPr="00F079B0">
        <w:rPr>
          <w:rFonts w:ascii="Arial" w:hAnsi="Arial" w:cs="Arial"/>
          <w:sz w:val="20"/>
          <w:szCs w:val="20"/>
        </w:rPr>
        <w:t xml:space="preserve"> gave </w:t>
      </w:r>
      <w:r w:rsidR="00F4378F" w:rsidRPr="00F079B0">
        <w:rPr>
          <w:rFonts w:ascii="Arial" w:hAnsi="Arial" w:cs="Arial"/>
          <w:sz w:val="20"/>
          <w:szCs w:val="20"/>
        </w:rPr>
        <w:t>scorable alleles</w:t>
      </w:r>
      <w:r w:rsidR="00EC0788" w:rsidRPr="00F079B0">
        <w:rPr>
          <w:rFonts w:ascii="Arial" w:hAnsi="Arial" w:cs="Arial"/>
          <w:sz w:val="20"/>
          <w:szCs w:val="20"/>
        </w:rPr>
        <w:t xml:space="preserve">. </w:t>
      </w:r>
      <w:r w:rsidR="00F80AA3" w:rsidRPr="00F079B0">
        <w:rPr>
          <w:rFonts w:ascii="Arial" w:hAnsi="Arial" w:cs="Arial"/>
          <w:sz w:val="20"/>
          <w:szCs w:val="20"/>
        </w:rPr>
        <w:t xml:space="preserve"> </w:t>
      </w:r>
      <w:r w:rsidR="00EC0788" w:rsidRPr="00F079B0">
        <w:rPr>
          <w:rFonts w:ascii="Arial" w:hAnsi="Arial" w:cs="Arial"/>
          <w:sz w:val="20"/>
          <w:szCs w:val="20"/>
        </w:rPr>
        <w:t>I</w:t>
      </w:r>
      <w:r w:rsidR="00F80AA3" w:rsidRPr="00F079B0">
        <w:rPr>
          <w:rFonts w:ascii="Arial" w:hAnsi="Arial" w:cs="Arial"/>
          <w:sz w:val="20"/>
          <w:szCs w:val="20"/>
        </w:rPr>
        <w:t xml:space="preserve">n </w:t>
      </w:r>
      <w:r w:rsidR="00C6466B">
        <w:rPr>
          <w:rFonts w:ascii="Arial" w:hAnsi="Arial" w:cs="Arial"/>
          <w:sz w:val="20"/>
          <w:szCs w:val="20"/>
        </w:rPr>
        <w:t>contrast</w:t>
      </w:r>
      <w:r w:rsidR="00F80AA3" w:rsidRPr="00F079B0">
        <w:rPr>
          <w:rFonts w:ascii="Arial" w:hAnsi="Arial" w:cs="Arial"/>
          <w:sz w:val="20"/>
          <w:szCs w:val="20"/>
        </w:rPr>
        <w:t xml:space="preserve">, all RAPD and SCoT markers responded and gave clear and scorable alleles. </w:t>
      </w:r>
      <w:r w:rsidR="00E0305B" w:rsidRPr="00F079B0">
        <w:rPr>
          <w:rFonts w:ascii="Arial" w:hAnsi="Arial" w:cs="Arial"/>
          <w:sz w:val="20"/>
          <w:szCs w:val="20"/>
        </w:rPr>
        <w:t xml:space="preserve">The ISSR </w:t>
      </w:r>
      <w:r w:rsidR="00F861C7" w:rsidRPr="00F079B0">
        <w:rPr>
          <w:rFonts w:ascii="Arial" w:hAnsi="Arial" w:cs="Arial"/>
          <w:sz w:val="20"/>
          <w:szCs w:val="20"/>
        </w:rPr>
        <w:t xml:space="preserve">markers </w:t>
      </w:r>
      <w:r w:rsidR="00E0305B" w:rsidRPr="00F079B0">
        <w:rPr>
          <w:rFonts w:ascii="Arial" w:hAnsi="Arial" w:cs="Arial"/>
          <w:sz w:val="20"/>
          <w:szCs w:val="20"/>
        </w:rPr>
        <w:t>(AC)</w:t>
      </w:r>
      <w:r w:rsidR="00E0305B" w:rsidRPr="00F079B0">
        <w:rPr>
          <w:rFonts w:ascii="Cambria Math" w:hAnsi="Cambria Math" w:cs="Cambria Math"/>
          <w:sz w:val="20"/>
          <w:szCs w:val="20"/>
        </w:rPr>
        <w:t>₈</w:t>
      </w:r>
      <w:r w:rsidR="00E0305B" w:rsidRPr="00F079B0">
        <w:rPr>
          <w:rFonts w:ascii="Arial" w:hAnsi="Arial" w:cs="Arial"/>
          <w:sz w:val="20"/>
          <w:szCs w:val="20"/>
        </w:rPr>
        <w:t>T, (GA)</w:t>
      </w:r>
      <w:r w:rsidR="00E0305B" w:rsidRPr="00F079B0">
        <w:rPr>
          <w:rFonts w:ascii="Cambria Math" w:hAnsi="Cambria Math" w:cs="Cambria Math"/>
          <w:sz w:val="20"/>
          <w:szCs w:val="20"/>
        </w:rPr>
        <w:t>₈</w:t>
      </w:r>
      <w:r w:rsidR="00E0305B" w:rsidRPr="00F079B0">
        <w:rPr>
          <w:rFonts w:ascii="Arial" w:hAnsi="Arial" w:cs="Arial"/>
          <w:sz w:val="20"/>
          <w:szCs w:val="20"/>
        </w:rPr>
        <w:t>YT, (GA)</w:t>
      </w:r>
      <w:r w:rsidR="00E0305B" w:rsidRPr="00F079B0">
        <w:rPr>
          <w:rFonts w:ascii="Cambria Math" w:hAnsi="Cambria Math" w:cs="Cambria Math"/>
          <w:sz w:val="20"/>
          <w:szCs w:val="20"/>
        </w:rPr>
        <w:t>₈</w:t>
      </w:r>
      <w:r w:rsidR="00E0305B" w:rsidRPr="00F079B0">
        <w:rPr>
          <w:rFonts w:ascii="Arial" w:hAnsi="Arial" w:cs="Arial"/>
          <w:sz w:val="20"/>
          <w:szCs w:val="20"/>
        </w:rPr>
        <w:t>T, (AC)</w:t>
      </w:r>
      <w:r w:rsidR="00E0305B" w:rsidRPr="00F079B0">
        <w:rPr>
          <w:rFonts w:ascii="Cambria Math" w:hAnsi="Cambria Math" w:cs="Cambria Math"/>
          <w:sz w:val="20"/>
          <w:szCs w:val="20"/>
        </w:rPr>
        <w:t>₈</w:t>
      </w:r>
      <w:r w:rsidR="00E0305B" w:rsidRPr="00F079B0">
        <w:rPr>
          <w:rFonts w:ascii="Arial" w:hAnsi="Arial" w:cs="Arial"/>
          <w:sz w:val="20"/>
          <w:szCs w:val="20"/>
        </w:rPr>
        <w:t xml:space="preserve">C, and CAGCGACAAG demonstrated strong amplification performance, collectively </w:t>
      </w:r>
      <w:r w:rsidR="005E5968">
        <w:rPr>
          <w:rFonts w:ascii="Arial" w:hAnsi="Arial" w:cs="Arial"/>
          <w:sz w:val="20"/>
          <w:szCs w:val="20"/>
        </w:rPr>
        <w:t>covered</w:t>
      </w:r>
      <w:r w:rsidR="00C6466B">
        <w:rPr>
          <w:rFonts w:ascii="Arial" w:hAnsi="Arial" w:cs="Arial"/>
          <w:sz w:val="20"/>
          <w:szCs w:val="20"/>
        </w:rPr>
        <w:t xml:space="preserve"> </w:t>
      </w:r>
      <w:r w:rsidR="00E0305B" w:rsidRPr="00F079B0">
        <w:rPr>
          <w:rFonts w:ascii="Arial" w:hAnsi="Arial" w:cs="Arial"/>
          <w:sz w:val="20"/>
          <w:szCs w:val="20"/>
        </w:rPr>
        <w:t>45.8%</w:t>
      </w:r>
      <w:r w:rsidR="005E5968">
        <w:rPr>
          <w:rFonts w:ascii="Arial" w:hAnsi="Arial" w:cs="Arial"/>
          <w:sz w:val="20"/>
          <w:szCs w:val="20"/>
        </w:rPr>
        <w:t xml:space="preserve"> of the</w:t>
      </w:r>
      <w:r w:rsidR="00E0305B" w:rsidRPr="00F079B0">
        <w:rPr>
          <w:rFonts w:ascii="Arial" w:hAnsi="Arial" w:cs="Arial"/>
          <w:sz w:val="20"/>
          <w:szCs w:val="20"/>
        </w:rPr>
        <w:t xml:space="preserve"> </w:t>
      </w:r>
      <w:r w:rsidR="000451DB" w:rsidRPr="00F079B0">
        <w:rPr>
          <w:rFonts w:ascii="Arial" w:hAnsi="Arial" w:cs="Arial"/>
          <w:sz w:val="20"/>
          <w:szCs w:val="20"/>
        </w:rPr>
        <w:t>total alleles</w:t>
      </w:r>
      <w:r w:rsidR="005E5968">
        <w:rPr>
          <w:rFonts w:ascii="Arial" w:hAnsi="Arial" w:cs="Arial"/>
          <w:sz w:val="20"/>
          <w:szCs w:val="20"/>
        </w:rPr>
        <w:t xml:space="preserve"> (96)</w:t>
      </w:r>
      <w:r w:rsidR="00E0305B" w:rsidRPr="00F079B0">
        <w:rPr>
          <w:rFonts w:ascii="Arial" w:hAnsi="Arial" w:cs="Arial"/>
          <w:sz w:val="20"/>
          <w:szCs w:val="20"/>
        </w:rPr>
        <w:t xml:space="preserve">. In contrast, SCoT </w:t>
      </w:r>
      <w:r w:rsidR="00F861C7" w:rsidRPr="00F079B0">
        <w:rPr>
          <w:rFonts w:ascii="Arial" w:hAnsi="Arial" w:cs="Arial"/>
          <w:sz w:val="20"/>
          <w:szCs w:val="20"/>
        </w:rPr>
        <w:t xml:space="preserve">markers </w:t>
      </w:r>
      <w:r w:rsidR="00E0305B" w:rsidRPr="00F079B0">
        <w:rPr>
          <w:rFonts w:ascii="Arial" w:hAnsi="Arial" w:cs="Arial"/>
          <w:sz w:val="20"/>
          <w:szCs w:val="20"/>
        </w:rPr>
        <w:t xml:space="preserve">SCoT23, SCoT40, SCoT9, SCoT12, SCoT17, and SCoT34 provided a wider genomic representation, accounting for 77.1% </w:t>
      </w:r>
      <w:r w:rsidR="005E5968">
        <w:rPr>
          <w:rFonts w:ascii="Arial" w:hAnsi="Arial" w:cs="Arial"/>
          <w:sz w:val="20"/>
          <w:szCs w:val="20"/>
        </w:rPr>
        <w:t xml:space="preserve">of the </w:t>
      </w:r>
      <w:r w:rsidR="001E4496" w:rsidRPr="00F079B0">
        <w:rPr>
          <w:rFonts w:ascii="Arial" w:hAnsi="Arial" w:cs="Arial"/>
          <w:sz w:val="20"/>
          <w:szCs w:val="20"/>
        </w:rPr>
        <w:t xml:space="preserve">total allele </w:t>
      </w:r>
      <w:r w:rsidR="005E5968">
        <w:rPr>
          <w:rFonts w:ascii="Arial" w:hAnsi="Arial" w:cs="Arial"/>
          <w:sz w:val="20"/>
          <w:szCs w:val="20"/>
        </w:rPr>
        <w:t xml:space="preserve">(70) </w:t>
      </w:r>
      <w:r w:rsidR="00E0305B" w:rsidRPr="00F079B0">
        <w:rPr>
          <w:rFonts w:ascii="Arial" w:hAnsi="Arial" w:cs="Arial"/>
          <w:sz w:val="20"/>
          <w:szCs w:val="20"/>
        </w:rPr>
        <w:t xml:space="preserve">coverage. Meanwhile, the RAPD markers CCGCCTAGTC, ACCTGGACAC, GACCGCTTGT, AGCCAGCGAA, CACACTCCAG, CCGCCCAAAC, and CACCTTTCCC amplified 59% of the </w:t>
      </w:r>
      <w:r w:rsidR="00531C7E" w:rsidRPr="00F079B0">
        <w:rPr>
          <w:rFonts w:ascii="Arial" w:hAnsi="Arial" w:cs="Arial"/>
          <w:sz w:val="20"/>
          <w:szCs w:val="20"/>
        </w:rPr>
        <w:t>total alleles</w:t>
      </w:r>
      <w:r w:rsidR="005E5968">
        <w:rPr>
          <w:rFonts w:ascii="Arial" w:hAnsi="Arial" w:cs="Arial"/>
          <w:sz w:val="20"/>
          <w:szCs w:val="20"/>
        </w:rPr>
        <w:t xml:space="preserve"> (105)</w:t>
      </w:r>
      <w:r w:rsidR="00E0305B" w:rsidRPr="00F079B0">
        <w:rPr>
          <w:rFonts w:ascii="Arial" w:hAnsi="Arial" w:cs="Arial"/>
          <w:sz w:val="20"/>
          <w:szCs w:val="20"/>
        </w:rPr>
        <w:t>.</w:t>
      </w:r>
      <w:r w:rsidR="00451E4E" w:rsidRPr="00F079B0">
        <w:rPr>
          <w:rFonts w:ascii="Arial" w:hAnsi="Arial" w:cs="Arial"/>
          <w:sz w:val="20"/>
          <w:szCs w:val="20"/>
        </w:rPr>
        <w:t xml:space="preserve"> </w:t>
      </w:r>
      <w:r w:rsidRPr="00F079B0">
        <w:rPr>
          <w:rFonts w:ascii="Arial" w:hAnsi="Arial" w:cs="Arial"/>
          <w:sz w:val="20"/>
          <w:szCs w:val="20"/>
        </w:rPr>
        <w:t xml:space="preserve">The </w:t>
      </w:r>
      <w:r w:rsidR="00F80AA3" w:rsidRPr="00F079B0">
        <w:rPr>
          <w:rFonts w:ascii="Arial" w:hAnsi="Arial" w:cs="Arial"/>
          <w:sz w:val="20"/>
          <w:szCs w:val="20"/>
        </w:rPr>
        <w:t xml:space="preserve">established </w:t>
      </w:r>
      <w:r w:rsidR="00EC0788" w:rsidRPr="00F079B0">
        <w:rPr>
          <w:rFonts w:ascii="Arial" w:hAnsi="Arial" w:cs="Arial"/>
          <w:sz w:val="20"/>
          <w:szCs w:val="20"/>
        </w:rPr>
        <w:t xml:space="preserve">DNA isolation and PCR </w:t>
      </w:r>
      <w:r w:rsidRPr="00F079B0">
        <w:rPr>
          <w:rFonts w:ascii="Arial" w:hAnsi="Arial" w:cs="Arial"/>
          <w:sz w:val="20"/>
          <w:szCs w:val="20"/>
        </w:rPr>
        <w:t>optimized protocols</w:t>
      </w:r>
      <w:r w:rsidR="00EC0788" w:rsidRPr="00F079B0">
        <w:rPr>
          <w:rFonts w:ascii="Arial" w:hAnsi="Arial" w:cs="Arial"/>
          <w:sz w:val="20"/>
          <w:szCs w:val="20"/>
        </w:rPr>
        <w:t xml:space="preserve"> for different marker </w:t>
      </w:r>
      <w:r w:rsidR="00040629" w:rsidRPr="00F079B0">
        <w:rPr>
          <w:rFonts w:ascii="Arial" w:hAnsi="Arial" w:cs="Arial"/>
          <w:sz w:val="20"/>
          <w:szCs w:val="20"/>
        </w:rPr>
        <w:t>systems are</w:t>
      </w:r>
      <w:r w:rsidR="00EC0788" w:rsidRPr="00F079B0">
        <w:rPr>
          <w:rFonts w:ascii="Arial" w:hAnsi="Arial" w:cs="Arial"/>
          <w:sz w:val="20"/>
          <w:szCs w:val="20"/>
        </w:rPr>
        <w:t xml:space="preserve"> highly useful in </w:t>
      </w:r>
      <w:r w:rsidRPr="00F079B0">
        <w:rPr>
          <w:rFonts w:ascii="Arial" w:hAnsi="Arial" w:cs="Arial"/>
          <w:sz w:val="20"/>
          <w:szCs w:val="20"/>
        </w:rPr>
        <w:t>providing a reliable molecular framework for future studies on genetic diversity</w:t>
      </w:r>
      <w:r w:rsidR="00EC0788" w:rsidRPr="00F079B0">
        <w:rPr>
          <w:rFonts w:ascii="Arial" w:hAnsi="Arial" w:cs="Arial"/>
          <w:sz w:val="20"/>
          <w:szCs w:val="20"/>
        </w:rPr>
        <w:t xml:space="preserve"> </w:t>
      </w:r>
      <w:r w:rsidR="00B10B32" w:rsidRPr="00F079B0">
        <w:rPr>
          <w:rFonts w:ascii="Arial" w:hAnsi="Arial" w:cs="Arial"/>
          <w:sz w:val="20"/>
          <w:szCs w:val="20"/>
        </w:rPr>
        <w:t xml:space="preserve">assessment </w:t>
      </w:r>
      <w:r w:rsidR="002E6335" w:rsidRPr="00F079B0">
        <w:rPr>
          <w:rFonts w:ascii="Arial" w:hAnsi="Arial" w:cs="Arial"/>
          <w:sz w:val="20"/>
          <w:szCs w:val="20"/>
        </w:rPr>
        <w:t xml:space="preserve">thereby </w:t>
      </w:r>
      <w:r w:rsidR="00EC0788" w:rsidRPr="00F079B0">
        <w:rPr>
          <w:rFonts w:ascii="Arial" w:hAnsi="Arial" w:cs="Arial"/>
          <w:sz w:val="20"/>
          <w:szCs w:val="20"/>
        </w:rPr>
        <w:t>implementing appropriate</w:t>
      </w:r>
      <w:r w:rsidRPr="00F079B0">
        <w:rPr>
          <w:rFonts w:ascii="Arial" w:hAnsi="Arial" w:cs="Arial"/>
          <w:sz w:val="20"/>
          <w:szCs w:val="20"/>
        </w:rPr>
        <w:t xml:space="preserve"> conservation</w:t>
      </w:r>
      <w:r w:rsidR="00EC0788" w:rsidRPr="00F079B0">
        <w:rPr>
          <w:rFonts w:ascii="Arial" w:hAnsi="Arial" w:cs="Arial"/>
          <w:sz w:val="20"/>
          <w:szCs w:val="20"/>
        </w:rPr>
        <w:t xml:space="preserve"> strategies for </w:t>
      </w:r>
      <w:proofErr w:type="spellStart"/>
      <w:r w:rsidR="00EC0788" w:rsidRPr="00F079B0">
        <w:rPr>
          <w:rFonts w:ascii="Arial" w:hAnsi="Arial" w:cs="Arial"/>
          <w:sz w:val="20"/>
          <w:szCs w:val="20"/>
        </w:rPr>
        <w:t>kendu</w:t>
      </w:r>
      <w:proofErr w:type="spellEnd"/>
      <w:r w:rsidR="00927117" w:rsidRPr="00F079B0">
        <w:rPr>
          <w:rFonts w:ascii="Arial" w:hAnsi="Arial" w:cs="Arial"/>
          <w:sz w:val="20"/>
          <w:szCs w:val="20"/>
        </w:rPr>
        <w:t xml:space="preserve"> </w:t>
      </w:r>
      <w:r w:rsidR="00F44625" w:rsidRPr="00F079B0">
        <w:rPr>
          <w:rFonts w:ascii="Arial" w:hAnsi="Arial" w:cs="Arial"/>
          <w:sz w:val="20"/>
          <w:szCs w:val="20"/>
        </w:rPr>
        <w:t xml:space="preserve">natural </w:t>
      </w:r>
      <w:r w:rsidR="00927117" w:rsidRPr="00F079B0">
        <w:rPr>
          <w:rFonts w:ascii="Arial" w:hAnsi="Arial" w:cs="Arial"/>
          <w:sz w:val="20"/>
          <w:szCs w:val="20"/>
        </w:rPr>
        <w:t>forest populations</w:t>
      </w:r>
      <w:r w:rsidR="00EC0788" w:rsidRPr="00F079B0">
        <w:rPr>
          <w:rFonts w:ascii="Arial" w:hAnsi="Arial" w:cs="Arial"/>
          <w:sz w:val="20"/>
          <w:szCs w:val="20"/>
        </w:rPr>
        <w:t>.</w:t>
      </w:r>
      <w:r w:rsidR="00BA4AC7" w:rsidRPr="00F079B0">
        <w:rPr>
          <w:rFonts w:ascii="Arial" w:hAnsi="Arial" w:cs="Arial"/>
          <w:sz w:val="20"/>
          <w:szCs w:val="20"/>
        </w:rPr>
        <w:t xml:space="preserve"> </w:t>
      </w:r>
    </w:p>
    <w:p w14:paraId="4B62E1B3" w14:textId="0182B4E4" w:rsidR="00BF252C" w:rsidRPr="00ED3FC9" w:rsidRDefault="00D027CA" w:rsidP="00DF4212">
      <w:pPr>
        <w:spacing w:after="100" w:afterAutospacing="1" w:line="360" w:lineRule="auto"/>
        <w:jc w:val="both"/>
        <w:rPr>
          <w:rFonts w:ascii="Arial" w:hAnsi="Arial" w:cs="Arial"/>
          <w:b/>
          <w:bCs/>
        </w:rPr>
      </w:pPr>
      <w:r w:rsidRPr="00DF4212">
        <w:rPr>
          <w:rFonts w:ascii="Arial" w:hAnsi="Arial" w:cs="Arial"/>
          <w:b/>
          <w:bCs/>
          <w:sz w:val="20"/>
          <w:szCs w:val="20"/>
        </w:rPr>
        <w:t>Keywords</w:t>
      </w:r>
      <w:r w:rsidR="00DF4212" w:rsidRPr="00DF4212">
        <w:rPr>
          <w:rFonts w:ascii="Arial" w:hAnsi="Arial" w:cs="Arial"/>
          <w:b/>
          <w:bCs/>
          <w:sz w:val="20"/>
          <w:szCs w:val="20"/>
        </w:rPr>
        <w:t>:</w:t>
      </w:r>
      <w:r w:rsidR="00927117" w:rsidRPr="00DF4212">
        <w:rPr>
          <w:rFonts w:ascii="Arial" w:hAnsi="Arial" w:cs="Arial"/>
          <w:b/>
          <w:bCs/>
          <w:sz w:val="20"/>
          <w:szCs w:val="20"/>
        </w:rPr>
        <w:t xml:space="preserve"> </w:t>
      </w:r>
      <w:r w:rsidR="007404E4" w:rsidRPr="00DF4212">
        <w:rPr>
          <w:rFonts w:ascii="Arial" w:hAnsi="Arial" w:cs="Arial"/>
          <w:i/>
          <w:iCs/>
          <w:sz w:val="20"/>
          <w:szCs w:val="20"/>
        </w:rPr>
        <w:t>Conservation</w:t>
      </w:r>
      <w:r w:rsidR="008121C0" w:rsidRPr="00DF4212">
        <w:rPr>
          <w:rFonts w:ascii="Arial" w:hAnsi="Arial" w:cs="Arial"/>
          <w:i/>
          <w:iCs/>
          <w:sz w:val="20"/>
          <w:szCs w:val="20"/>
        </w:rPr>
        <w:t>;</w:t>
      </w:r>
      <w:r w:rsidR="007404E4" w:rsidRPr="00DF4212">
        <w:rPr>
          <w:rFonts w:ascii="Arial" w:hAnsi="Arial" w:cs="Arial"/>
          <w:i/>
          <w:iCs/>
          <w:sz w:val="20"/>
          <w:szCs w:val="20"/>
        </w:rPr>
        <w:t xml:space="preserve"> Diospyros melanoxylon</w:t>
      </w:r>
      <w:r w:rsidR="008121C0" w:rsidRPr="00DF4212">
        <w:rPr>
          <w:rFonts w:ascii="Arial" w:hAnsi="Arial" w:cs="Arial"/>
          <w:i/>
          <w:iCs/>
          <w:sz w:val="20"/>
          <w:szCs w:val="20"/>
        </w:rPr>
        <w:t>;</w:t>
      </w:r>
      <w:r w:rsidR="007404E4" w:rsidRPr="00DF4212">
        <w:rPr>
          <w:rFonts w:ascii="Arial" w:hAnsi="Arial" w:cs="Arial"/>
          <w:b/>
          <w:bCs/>
          <w:i/>
          <w:iCs/>
          <w:sz w:val="20"/>
          <w:szCs w:val="20"/>
        </w:rPr>
        <w:t xml:space="preserve"> </w:t>
      </w:r>
      <w:r w:rsidR="007404E4" w:rsidRPr="00DF4212">
        <w:rPr>
          <w:rFonts w:ascii="Arial" w:hAnsi="Arial" w:cs="Arial"/>
          <w:i/>
          <w:iCs/>
          <w:sz w:val="20"/>
          <w:szCs w:val="20"/>
        </w:rPr>
        <w:t>DNA fingerprinting</w:t>
      </w:r>
      <w:r w:rsidR="008121C0" w:rsidRPr="00DF4212">
        <w:rPr>
          <w:rFonts w:ascii="Arial" w:hAnsi="Arial" w:cs="Arial"/>
          <w:i/>
          <w:iCs/>
          <w:sz w:val="20"/>
          <w:szCs w:val="20"/>
        </w:rPr>
        <w:t>;</w:t>
      </w:r>
      <w:r w:rsidR="007404E4" w:rsidRPr="00DF4212">
        <w:rPr>
          <w:rFonts w:ascii="Arial" w:hAnsi="Arial" w:cs="Arial"/>
          <w:b/>
          <w:bCs/>
          <w:i/>
          <w:iCs/>
          <w:sz w:val="20"/>
          <w:szCs w:val="20"/>
        </w:rPr>
        <w:t xml:space="preserve"> </w:t>
      </w:r>
      <w:r w:rsidR="00DA25C8" w:rsidRPr="00DF4212">
        <w:rPr>
          <w:rFonts w:ascii="Arial" w:hAnsi="Arial" w:cs="Arial"/>
          <w:i/>
          <w:iCs/>
          <w:sz w:val="20"/>
          <w:szCs w:val="20"/>
        </w:rPr>
        <w:t>Genetic diversity</w:t>
      </w:r>
      <w:r w:rsidR="008121C0" w:rsidRPr="00DF4212">
        <w:rPr>
          <w:rFonts w:ascii="Arial" w:hAnsi="Arial" w:cs="Arial"/>
          <w:i/>
          <w:iCs/>
          <w:sz w:val="20"/>
          <w:szCs w:val="20"/>
        </w:rPr>
        <w:t>;</w:t>
      </w:r>
      <w:r w:rsidR="00DA25C8" w:rsidRPr="00DF4212">
        <w:rPr>
          <w:rFonts w:ascii="Arial" w:hAnsi="Arial" w:cs="Arial"/>
          <w:i/>
          <w:iCs/>
          <w:sz w:val="20"/>
          <w:szCs w:val="20"/>
        </w:rPr>
        <w:t xml:space="preserve"> ISSR</w:t>
      </w:r>
      <w:r w:rsidR="008121C0" w:rsidRPr="00DF4212">
        <w:rPr>
          <w:rFonts w:ascii="Arial" w:hAnsi="Arial" w:cs="Arial"/>
          <w:i/>
          <w:iCs/>
          <w:sz w:val="20"/>
          <w:szCs w:val="20"/>
        </w:rPr>
        <w:t>;</w:t>
      </w:r>
      <w:r w:rsidR="00DA25C8" w:rsidRPr="00DF4212">
        <w:rPr>
          <w:rFonts w:ascii="Arial" w:hAnsi="Arial" w:cs="Arial"/>
          <w:i/>
          <w:iCs/>
          <w:sz w:val="20"/>
          <w:szCs w:val="20"/>
        </w:rPr>
        <w:t xml:space="preserve"> RAPD</w:t>
      </w:r>
      <w:r w:rsidR="008121C0" w:rsidRPr="00DF4212">
        <w:rPr>
          <w:rFonts w:ascii="Arial" w:hAnsi="Arial" w:cs="Arial"/>
          <w:i/>
          <w:iCs/>
          <w:sz w:val="20"/>
          <w:szCs w:val="20"/>
        </w:rPr>
        <w:t>;</w:t>
      </w:r>
      <w:r w:rsidR="00DA25C8" w:rsidRPr="00DF4212">
        <w:rPr>
          <w:rFonts w:ascii="Arial" w:hAnsi="Arial" w:cs="Arial"/>
          <w:i/>
          <w:iCs/>
          <w:sz w:val="20"/>
          <w:szCs w:val="20"/>
        </w:rPr>
        <w:t xml:space="preserve"> SCoT </w:t>
      </w:r>
    </w:p>
    <w:p w14:paraId="70640E69" w14:textId="77777777" w:rsidR="0087772E" w:rsidRDefault="0087772E" w:rsidP="00DE69F8">
      <w:pPr>
        <w:spacing w:after="0" w:line="360" w:lineRule="auto"/>
        <w:jc w:val="both"/>
        <w:rPr>
          <w:rFonts w:ascii="Arial" w:hAnsi="Arial" w:cs="Arial"/>
          <w:b/>
          <w:bCs/>
          <w:sz w:val="22"/>
          <w:szCs w:val="22"/>
        </w:rPr>
      </w:pPr>
    </w:p>
    <w:p w14:paraId="56BE38B2" w14:textId="388F66B5" w:rsidR="00BF252C" w:rsidRPr="00DF4212" w:rsidRDefault="0077495C" w:rsidP="00DE69F8">
      <w:pPr>
        <w:spacing w:after="0" w:line="360" w:lineRule="auto"/>
        <w:jc w:val="both"/>
        <w:rPr>
          <w:rFonts w:ascii="Arial" w:hAnsi="Arial" w:cs="Arial"/>
          <w:b/>
          <w:bCs/>
          <w:sz w:val="22"/>
          <w:szCs w:val="22"/>
        </w:rPr>
      </w:pPr>
      <w:r w:rsidRPr="00DF4212">
        <w:rPr>
          <w:rFonts w:ascii="Arial" w:hAnsi="Arial" w:cs="Arial"/>
          <w:b/>
          <w:bCs/>
          <w:sz w:val="22"/>
          <w:szCs w:val="22"/>
        </w:rPr>
        <w:t>1</w:t>
      </w:r>
      <w:r w:rsidR="0014082E" w:rsidRPr="00DF4212">
        <w:rPr>
          <w:rFonts w:ascii="Arial" w:hAnsi="Arial" w:cs="Arial"/>
          <w:b/>
          <w:bCs/>
          <w:sz w:val="22"/>
          <w:szCs w:val="22"/>
        </w:rPr>
        <w:t>.</w:t>
      </w:r>
      <w:r w:rsidRPr="00DF4212">
        <w:rPr>
          <w:rFonts w:ascii="Arial" w:hAnsi="Arial" w:cs="Arial"/>
          <w:b/>
          <w:bCs/>
          <w:sz w:val="22"/>
          <w:szCs w:val="22"/>
        </w:rPr>
        <w:t xml:space="preserve"> </w:t>
      </w:r>
      <w:r w:rsidR="00611386" w:rsidRPr="00DF4212">
        <w:rPr>
          <w:rFonts w:ascii="Arial" w:hAnsi="Arial" w:cs="Arial"/>
          <w:b/>
          <w:bCs/>
          <w:sz w:val="22"/>
          <w:szCs w:val="22"/>
        </w:rPr>
        <w:t>I</w:t>
      </w:r>
      <w:r w:rsidR="0014082E" w:rsidRPr="00DF4212">
        <w:rPr>
          <w:rFonts w:ascii="Arial" w:hAnsi="Arial" w:cs="Arial"/>
          <w:b/>
          <w:bCs/>
          <w:sz w:val="22"/>
          <w:szCs w:val="22"/>
        </w:rPr>
        <w:t xml:space="preserve">NTRODUCTION </w:t>
      </w:r>
    </w:p>
    <w:p w14:paraId="4635851D" w14:textId="0902B940" w:rsidR="00D52025" w:rsidRDefault="00E73DE5" w:rsidP="00DF4212">
      <w:pPr>
        <w:spacing w:after="0" w:line="240" w:lineRule="auto"/>
        <w:jc w:val="both"/>
        <w:rPr>
          <w:rFonts w:ascii="Arial" w:hAnsi="Arial" w:cs="Arial"/>
          <w:sz w:val="20"/>
          <w:szCs w:val="20"/>
        </w:rPr>
      </w:pPr>
      <w:r w:rsidRPr="00DF4212">
        <w:rPr>
          <w:rFonts w:ascii="Arial" w:hAnsi="Arial" w:cs="Arial"/>
          <w:sz w:val="20"/>
          <w:szCs w:val="20"/>
        </w:rPr>
        <w:t xml:space="preserve">Forests </w:t>
      </w:r>
      <w:r w:rsidR="00731634" w:rsidRPr="00DF4212">
        <w:rPr>
          <w:rFonts w:ascii="Arial" w:hAnsi="Arial" w:cs="Arial"/>
          <w:sz w:val="20"/>
          <w:szCs w:val="20"/>
        </w:rPr>
        <w:t>harbour</w:t>
      </w:r>
      <w:r w:rsidRPr="00DF4212">
        <w:rPr>
          <w:rFonts w:ascii="Arial" w:hAnsi="Arial" w:cs="Arial"/>
          <w:sz w:val="20"/>
          <w:szCs w:val="20"/>
        </w:rPr>
        <w:t xml:space="preserve"> the silent legacy of genetic wealth, and within them, </w:t>
      </w:r>
      <w:r w:rsidR="00A37535" w:rsidRPr="00DF4212">
        <w:rPr>
          <w:rFonts w:ascii="Arial" w:hAnsi="Arial" w:cs="Arial"/>
          <w:sz w:val="20"/>
          <w:szCs w:val="20"/>
        </w:rPr>
        <w:t xml:space="preserve">forest </w:t>
      </w:r>
      <w:r w:rsidRPr="00DF4212">
        <w:rPr>
          <w:rFonts w:ascii="Arial" w:hAnsi="Arial" w:cs="Arial"/>
          <w:sz w:val="20"/>
          <w:szCs w:val="20"/>
        </w:rPr>
        <w:t xml:space="preserve">trees like </w:t>
      </w:r>
      <w:r w:rsidR="00545057" w:rsidRPr="00DF4212">
        <w:rPr>
          <w:rFonts w:ascii="Arial" w:hAnsi="Arial" w:cs="Arial"/>
          <w:i/>
          <w:iCs/>
          <w:sz w:val="20"/>
          <w:szCs w:val="20"/>
        </w:rPr>
        <w:t xml:space="preserve">D. </w:t>
      </w:r>
      <w:r w:rsidRPr="00DF4212">
        <w:rPr>
          <w:rFonts w:ascii="Arial" w:hAnsi="Arial" w:cs="Arial"/>
          <w:i/>
          <w:iCs/>
          <w:sz w:val="20"/>
          <w:szCs w:val="20"/>
        </w:rPr>
        <w:t>melanoxylon</w:t>
      </w:r>
      <w:r w:rsidRPr="00DF4212">
        <w:rPr>
          <w:rFonts w:ascii="Arial" w:hAnsi="Arial" w:cs="Arial"/>
          <w:sz w:val="20"/>
          <w:szCs w:val="20"/>
        </w:rPr>
        <w:t xml:space="preserve"> </w:t>
      </w:r>
      <w:proofErr w:type="spellStart"/>
      <w:r w:rsidRPr="00DF4212">
        <w:rPr>
          <w:rFonts w:ascii="Arial" w:hAnsi="Arial" w:cs="Arial"/>
          <w:sz w:val="20"/>
          <w:szCs w:val="20"/>
        </w:rPr>
        <w:t>Roxb</w:t>
      </w:r>
      <w:proofErr w:type="spellEnd"/>
      <w:r w:rsidRPr="00DF4212">
        <w:rPr>
          <w:rFonts w:ascii="Arial" w:hAnsi="Arial" w:cs="Arial"/>
          <w:sz w:val="20"/>
          <w:szCs w:val="20"/>
        </w:rPr>
        <w:t xml:space="preserve">. embody the intricate link between ecology, economy, and human culture. Kendu is deciduous species of the family Ebenaceae stands as a keystone component of India’s dry deciduous forests </w:t>
      </w:r>
      <w:r w:rsidR="008121C0" w:rsidRPr="00DF4212">
        <w:rPr>
          <w:rFonts w:ascii="Arial" w:hAnsi="Arial" w:cs="Arial"/>
          <w:sz w:val="20"/>
          <w:szCs w:val="20"/>
        </w:rPr>
        <w:t>(</w:t>
      </w:r>
      <w:r w:rsidR="00F42B42" w:rsidRPr="00DF4212">
        <w:rPr>
          <w:rFonts w:ascii="Arial" w:hAnsi="Arial" w:cs="Arial"/>
          <w:sz w:val="20"/>
          <w:szCs w:val="20"/>
        </w:rPr>
        <w:t xml:space="preserve">Kumari </w:t>
      </w:r>
      <w:r w:rsidR="00FF3884">
        <w:rPr>
          <w:rFonts w:ascii="Arial" w:hAnsi="Arial" w:cs="Arial"/>
          <w:sz w:val="20"/>
          <w:szCs w:val="20"/>
        </w:rPr>
        <w:t>and Kumar</w:t>
      </w:r>
      <w:r w:rsidR="00F42B42" w:rsidRPr="00DF4212">
        <w:rPr>
          <w:rFonts w:ascii="Arial" w:hAnsi="Arial" w:cs="Arial"/>
          <w:sz w:val="20"/>
          <w:szCs w:val="20"/>
        </w:rPr>
        <w:t>, 2021</w:t>
      </w:r>
      <w:r w:rsidR="008121C0" w:rsidRPr="00DF4212">
        <w:rPr>
          <w:rFonts w:ascii="Arial" w:hAnsi="Arial" w:cs="Arial"/>
          <w:sz w:val="20"/>
          <w:szCs w:val="20"/>
        </w:rPr>
        <w:t>)</w:t>
      </w:r>
      <w:r w:rsidRPr="00DF4212">
        <w:rPr>
          <w:rFonts w:ascii="Arial" w:hAnsi="Arial" w:cs="Arial"/>
          <w:sz w:val="20"/>
          <w:szCs w:val="20"/>
        </w:rPr>
        <w:t xml:space="preserve">. </w:t>
      </w:r>
      <w:r w:rsidR="00AA2C27" w:rsidRPr="00DF4212">
        <w:rPr>
          <w:rFonts w:ascii="Arial" w:hAnsi="Arial" w:cs="Arial"/>
          <w:sz w:val="20"/>
          <w:szCs w:val="20"/>
        </w:rPr>
        <w:t xml:space="preserve">The species predominantly occurs in the tropical and subtropical deciduous forests of central and eastern India. It thrives in dry tropical habitats, particularly in north tropical moist deciduous, southern tropical dry deciduous, and northern tropical dry deciduous forest zones. The natural range of </w:t>
      </w:r>
      <w:r w:rsidR="00AA2C27" w:rsidRPr="00DF4212">
        <w:rPr>
          <w:rFonts w:ascii="Arial" w:hAnsi="Arial" w:cs="Arial"/>
          <w:i/>
          <w:iCs/>
          <w:sz w:val="20"/>
          <w:szCs w:val="20"/>
        </w:rPr>
        <w:t>D. melanoxylon</w:t>
      </w:r>
      <w:r w:rsidR="00AA2C27" w:rsidRPr="00DF4212">
        <w:rPr>
          <w:rFonts w:ascii="Arial" w:hAnsi="Arial" w:cs="Arial"/>
          <w:sz w:val="20"/>
          <w:szCs w:val="20"/>
        </w:rPr>
        <w:t xml:space="preserve"> extends across the states of Madhya Pradesh, Maharashtra, Odisha, Chhattisgarh, Andhra Pradesh, Jharkhand, Rajasthan, Bihar, Uttar Pradesh, Gujarat, and parts of West Bengal, Karnataka, Kerala, and Tamil Nadu</w:t>
      </w:r>
      <w:r w:rsidR="0046660D" w:rsidRPr="00DF4212">
        <w:rPr>
          <w:rFonts w:ascii="Arial" w:hAnsi="Arial" w:cs="Arial"/>
          <w:sz w:val="20"/>
          <w:szCs w:val="20"/>
        </w:rPr>
        <w:t xml:space="preserve"> </w:t>
      </w:r>
      <w:r w:rsidR="008121C0" w:rsidRPr="00DF4212">
        <w:rPr>
          <w:rFonts w:ascii="Arial" w:hAnsi="Arial" w:cs="Arial"/>
          <w:sz w:val="20"/>
          <w:szCs w:val="20"/>
        </w:rPr>
        <w:t>(</w:t>
      </w:r>
      <w:r w:rsidR="00F42B42" w:rsidRPr="00DF4212">
        <w:rPr>
          <w:rFonts w:ascii="Arial" w:hAnsi="Arial" w:cs="Arial"/>
          <w:sz w:val="20"/>
          <w:szCs w:val="20"/>
        </w:rPr>
        <w:t xml:space="preserve">Kumari </w:t>
      </w:r>
      <w:r w:rsidR="00FF3884">
        <w:rPr>
          <w:rFonts w:ascii="Arial" w:hAnsi="Arial" w:cs="Arial"/>
          <w:sz w:val="20"/>
          <w:szCs w:val="20"/>
        </w:rPr>
        <w:t>and Wani</w:t>
      </w:r>
      <w:r w:rsidR="00F42B42" w:rsidRPr="00DF4212">
        <w:rPr>
          <w:rFonts w:ascii="Arial" w:hAnsi="Arial" w:cs="Arial"/>
          <w:sz w:val="20"/>
          <w:szCs w:val="20"/>
        </w:rPr>
        <w:t>, 2017</w:t>
      </w:r>
      <w:r w:rsidR="008121C0" w:rsidRPr="00DF4212">
        <w:rPr>
          <w:rFonts w:ascii="Arial" w:hAnsi="Arial" w:cs="Arial"/>
          <w:sz w:val="20"/>
          <w:szCs w:val="20"/>
        </w:rPr>
        <w:t>)</w:t>
      </w:r>
      <w:r w:rsidR="00AA2C27" w:rsidRPr="00DF4212">
        <w:rPr>
          <w:rFonts w:ascii="Arial" w:hAnsi="Arial" w:cs="Arial"/>
          <w:sz w:val="20"/>
          <w:szCs w:val="20"/>
        </w:rPr>
        <w:t xml:space="preserve">. States such as Uttar Pradesh, Gujarat, and Rajasthan exhibit comparatively lower abundance and collection potential due to limited forest cover and climatic constraints. In Odisha the species is distributed widely across almost all districts of the state, with particularly dense populations observed in </w:t>
      </w:r>
      <w:proofErr w:type="spellStart"/>
      <w:r w:rsidR="00AA2C27" w:rsidRPr="00DF4212">
        <w:rPr>
          <w:rFonts w:ascii="Arial" w:hAnsi="Arial" w:cs="Arial"/>
          <w:sz w:val="20"/>
          <w:szCs w:val="20"/>
        </w:rPr>
        <w:t>Sundargarh</w:t>
      </w:r>
      <w:proofErr w:type="spellEnd"/>
      <w:r w:rsidR="00AA2C27" w:rsidRPr="00DF4212">
        <w:rPr>
          <w:rFonts w:ascii="Arial" w:hAnsi="Arial" w:cs="Arial"/>
          <w:sz w:val="20"/>
          <w:szCs w:val="20"/>
        </w:rPr>
        <w:t xml:space="preserve">, </w:t>
      </w:r>
      <w:proofErr w:type="spellStart"/>
      <w:r w:rsidR="00AA2C27" w:rsidRPr="00DF4212">
        <w:rPr>
          <w:rFonts w:ascii="Arial" w:hAnsi="Arial" w:cs="Arial"/>
          <w:sz w:val="20"/>
          <w:szCs w:val="20"/>
        </w:rPr>
        <w:t>Keonjhar</w:t>
      </w:r>
      <w:proofErr w:type="spellEnd"/>
      <w:r w:rsidR="00AA2C27" w:rsidRPr="00DF4212">
        <w:rPr>
          <w:rFonts w:ascii="Arial" w:hAnsi="Arial" w:cs="Arial"/>
          <w:sz w:val="20"/>
          <w:szCs w:val="20"/>
        </w:rPr>
        <w:t xml:space="preserve">, Deogarh, Angul, Kalahandi, </w:t>
      </w:r>
      <w:proofErr w:type="spellStart"/>
      <w:r w:rsidR="00AA2C27" w:rsidRPr="00DF4212">
        <w:rPr>
          <w:rFonts w:ascii="Arial" w:hAnsi="Arial" w:cs="Arial"/>
          <w:sz w:val="20"/>
          <w:szCs w:val="20"/>
        </w:rPr>
        <w:t>Kandhamal</w:t>
      </w:r>
      <w:proofErr w:type="spellEnd"/>
      <w:r w:rsidR="00AA2C27" w:rsidRPr="00DF4212">
        <w:rPr>
          <w:rFonts w:ascii="Arial" w:hAnsi="Arial" w:cs="Arial"/>
          <w:sz w:val="20"/>
          <w:szCs w:val="20"/>
        </w:rPr>
        <w:t xml:space="preserve">, </w:t>
      </w:r>
      <w:proofErr w:type="spellStart"/>
      <w:r w:rsidR="00AA2C27" w:rsidRPr="00DF4212">
        <w:rPr>
          <w:rFonts w:ascii="Arial" w:hAnsi="Arial" w:cs="Arial"/>
          <w:sz w:val="20"/>
          <w:szCs w:val="20"/>
        </w:rPr>
        <w:t>Balangir</w:t>
      </w:r>
      <w:proofErr w:type="spellEnd"/>
      <w:r w:rsidR="00AA2C27" w:rsidRPr="00DF4212">
        <w:rPr>
          <w:rFonts w:ascii="Arial" w:hAnsi="Arial" w:cs="Arial"/>
          <w:sz w:val="20"/>
          <w:szCs w:val="20"/>
        </w:rPr>
        <w:t xml:space="preserve">, </w:t>
      </w:r>
      <w:proofErr w:type="spellStart"/>
      <w:r w:rsidR="00AA2C27" w:rsidRPr="00DF4212">
        <w:rPr>
          <w:rFonts w:ascii="Arial" w:hAnsi="Arial" w:cs="Arial"/>
          <w:sz w:val="20"/>
          <w:szCs w:val="20"/>
        </w:rPr>
        <w:t>Boudh</w:t>
      </w:r>
      <w:proofErr w:type="spellEnd"/>
      <w:r w:rsidR="00AA2C27" w:rsidRPr="00DF4212">
        <w:rPr>
          <w:rFonts w:ascii="Arial" w:hAnsi="Arial" w:cs="Arial"/>
          <w:sz w:val="20"/>
          <w:szCs w:val="20"/>
        </w:rPr>
        <w:t>, and Malkangiri</w:t>
      </w:r>
      <w:r w:rsidR="003D285F" w:rsidRPr="00DF4212">
        <w:rPr>
          <w:rFonts w:ascii="Arial" w:hAnsi="Arial" w:cs="Arial"/>
          <w:sz w:val="20"/>
          <w:szCs w:val="20"/>
        </w:rPr>
        <w:t xml:space="preserve"> </w:t>
      </w:r>
      <w:r w:rsidR="008121C0" w:rsidRPr="00DF4212">
        <w:rPr>
          <w:rFonts w:ascii="Arial" w:hAnsi="Arial" w:cs="Arial"/>
          <w:sz w:val="20"/>
          <w:szCs w:val="20"/>
        </w:rPr>
        <w:t>(</w:t>
      </w:r>
      <w:r w:rsidR="00F42B42" w:rsidRPr="00DF4212">
        <w:rPr>
          <w:rFonts w:ascii="Arial" w:hAnsi="Arial" w:cs="Arial"/>
          <w:sz w:val="20"/>
          <w:szCs w:val="20"/>
        </w:rPr>
        <w:t xml:space="preserve">Kumari </w:t>
      </w:r>
      <w:r w:rsidR="00FF3884">
        <w:rPr>
          <w:rFonts w:ascii="Arial" w:hAnsi="Arial" w:cs="Arial"/>
          <w:sz w:val="20"/>
          <w:szCs w:val="20"/>
        </w:rPr>
        <w:t>and Kumar</w:t>
      </w:r>
      <w:r w:rsidR="00F42B42" w:rsidRPr="00DF4212">
        <w:rPr>
          <w:rFonts w:ascii="Arial" w:hAnsi="Arial" w:cs="Arial"/>
          <w:sz w:val="20"/>
          <w:szCs w:val="20"/>
        </w:rPr>
        <w:t xml:space="preserve">, 2021; Kumari </w:t>
      </w:r>
      <w:r w:rsidR="00FF3884">
        <w:rPr>
          <w:rFonts w:ascii="Arial" w:hAnsi="Arial" w:cs="Arial"/>
          <w:sz w:val="20"/>
          <w:szCs w:val="20"/>
        </w:rPr>
        <w:t>and Wani</w:t>
      </w:r>
      <w:r w:rsidR="00F42B42" w:rsidRPr="00DF4212">
        <w:rPr>
          <w:rFonts w:ascii="Arial" w:hAnsi="Arial" w:cs="Arial"/>
          <w:sz w:val="20"/>
          <w:szCs w:val="20"/>
        </w:rPr>
        <w:t>, 2017</w:t>
      </w:r>
      <w:r w:rsidR="008121C0" w:rsidRPr="00DF4212">
        <w:rPr>
          <w:rFonts w:ascii="Arial" w:hAnsi="Arial" w:cs="Arial"/>
          <w:sz w:val="20"/>
          <w:szCs w:val="20"/>
        </w:rPr>
        <w:t>)</w:t>
      </w:r>
      <w:r w:rsidR="00AA2C27" w:rsidRPr="00DF4212">
        <w:rPr>
          <w:rFonts w:ascii="Arial" w:hAnsi="Arial" w:cs="Arial"/>
          <w:sz w:val="20"/>
          <w:szCs w:val="20"/>
        </w:rPr>
        <w:t xml:space="preserve">. </w:t>
      </w:r>
      <w:r w:rsidRPr="00DF4212">
        <w:rPr>
          <w:rFonts w:ascii="Arial" w:hAnsi="Arial" w:cs="Arial"/>
          <w:sz w:val="20"/>
          <w:szCs w:val="20"/>
        </w:rPr>
        <w:t xml:space="preserve">Beyond its ecological importance in sustaining biodiversity and maintaining soil stability, it sustains millions of rural livelihoods through the bidi leaf trade, making it both a biological and socio-economic asset </w:t>
      </w:r>
      <w:r w:rsidR="008121C0" w:rsidRPr="00DF4212">
        <w:rPr>
          <w:rFonts w:ascii="Arial" w:hAnsi="Arial" w:cs="Arial"/>
          <w:sz w:val="20"/>
          <w:szCs w:val="20"/>
        </w:rPr>
        <w:t>(</w:t>
      </w:r>
      <w:r w:rsidR="00F42B42" w:rsidRPr="00DF4212">
        <w:rPr>
          <w:rFonts w:ascii="Arial" w:hAnsi="Arial" w:cs="Arial"/>
          <w:sz w:val="20"/>
          <w:szCs w:val="20"/>
        </w:rPr>
        <w:t>Rathore, 1972</w:t>
      </w:r>
      <w:r w:rsidR="008121C0" w:rsidRPr="00DF4212">
        <w:rPr>
          <w:rFonts w:ascii="Arial" w:hAnsi="Arial" w:cs="Arial"/>
          <w:sz w:val="20"/>
          <w:szCs w:val="20"/>
        </w:rPr>
        <w:t>)</w:t>
      </w:r>
      <w:r w:rsidRPr="00DF4212">
        <w:rPr>
          <w:rFonts w:ascii="Arial" w:hAnsi="Arial" w:cs="Arial"/>
          <w:sz w:val="20"/>
          <w:szCs w:val="20"/>
        </w:rPr>
        <w:t xml:space="preserve">. In addition to its industrial value, the bark, fruits, and leaves of </w:t>
      </w:r>
      <w:r w:rsidRPr="00DF4212">
        <w:rPr>
          <w:rFonts w:ascii="Arial" w:hAnsi="Arial" w:cs="Arial"/>
          <w:i/>
          <w:iCs/>
          <w:sz w:val="20"/>
          <w:szCs w:val="20"/>
        </w:rPr>
        <w:t xml:space="preserve">D. </w:t>
      </w:r>
      <w:r w:rsidRPr="00DF4212">
        <w:rPr>
          <w:rFonts w:ascii="Arial" w:hAnsi="Arial" w:cs="Arial"/>
          <w:i/>
          <w:iCs/>
          <w:sz w:val="20"/>
          <w:szCs w:val="20"/>
        </w:rPr>
        <w:lastRenderedPageBreak/>
        <w:t>melanoxylon</w:t>
      </w:r>
      <w:r w:rsidRPr="00DF4212">
        <w:rPr>
          <w:rFonts w:ascii="Arial" w:hAnsi="Arial" w:cs="Arial"/>
          <w:sz w:val="20"/>
          <w:szCs w:val="20"/>
        </w:rPr>
        <w:t xml:space="preserve"> possess notable medicinal properties and are traditionally used for treating dysentery, skin diseases, and various other ailments </w:t>
      </w:r>
      <w:r w:rsidR="008121C0" w:rsidRPr="00DF4212">
        <w:rPr>
          <w:rFonts w:ascii="Arial" w:hAnsi="Arial" w:cs="Arial"/>
          <w:sz w:val="20"/>
          <w:szCs w:val="20"/>
        </w:rPr>
        <w:t>(</w:t>
      </w:r>
      <w:r w:rsidR="00F42B42" w:rsidRPr="00DF4212">
        <w:rPr>
          <w:rFonts w:ascii="Arial" w:hAnsi="Arial" w:cs="Arial"/>
          <w:sz w:val="20"/>
          <w:szCs w:val="20"/>
        </w:rPr>
        <w:t>Gupta et al., 2013</w:t>
      </w:r>
      <w:r w:rsidR="008121C0" w:rsidRPr="00DF4212">
        <w:rPr>
          <w:rFonts w:ascii="Arial" w:hAnsi="Arial" w:cs="Arial"/>
          <w:sz w:val="20"/>
          <w:szCs w:val="20"/>
        </w:rPr>
        <w:t>)</w:t>
      </w:r>
      <w:r w:rsidRPr="00DF4212">
        <w:rPr>
          <w:rFonts w:ascii="Arial" w:hAnsi="Arial" w:cs="Arial"/>
          <w:sz w:val="20"/>
          <w:szCs w:val="20"/>
        </w:rPr>
        <w:t xml:space="preserve">. </w:t>
      </w:r>
    </w:p>
    <w:p w14:paraId="0A45A226" w14:textId="77777777" w:rsidR="005E5968" w:rsidRPr="00DF4212" w:rsidRDefault="005E5968" w:rsidP="00DF4212">
      <w:pPr>
        <w:spacing w:after="0" w:line="240" w:lineRule="auto"/>
        <w:jc w:val="both"/>
        <w:rPr>
          <w:rFonts w:ascii="Arial" w:hAnsi="Arial" w:cs="Arial"/>
          <w:sz w:val="20"/>
          <w:szCs w:val="20"/>
        </w:rPr>
      </w:pPr>
    </w:p>
    <w:p w14:paraId="3C7B83E4" w14:textId="6B934200" w:rsidR="0087772E" w:rsidRDefault="00740235" w:rsidP="00DF4212">
      <w:pPr>
        <w:spacing w:after="100" w:afterAutospacing="1" w:line="240" w:lineRule="auto"/>
        <w:jc w:val="both"/>
        <w:rPr>
          <w:rFonts w:ascii="Arial" w:hAnsi="Arial" w:cs="Arial"/>
          <w:sz w:val="20"/>
          <w:szCs w:val="20"/>
        </w:rPr>
      </w:pPr>
      <w:r w:rsidRPr="00DF4212">
        <w:rPr>
          <w:rFonts w:ascii="Arial" w:hAnsi="Arial" w:cs="Arial"/>
          <w:sz w:val="20"/>
          <w:szCs w:val="20"/>
        </w:rPr>
        <w:t xml:space="preserve">The species further possesses remarkable medicinal potential; its bark, fruits, and leaves contain a spectrum of phytochemicals with antioxidant, antimicrobial, and anticancer properties, placing it among India’s most valuable forest bioresources </w:t>
      </w:r>
      <w:r w:rsidR="008121C0" w:rsidRPr="00DF4212">
        <w:rPr>
          <w:rFonts w:ascii="Arial" w:hAnsi="Arial" w:cs="Arial"/>
          <w:sz w:val="20"/>
          <w:szCs w:val="20"/>
        </w:rPr>
        <w:t>(</w:t>
      </w:r>
      <w:r w:rsidR="00F42B42" w:rsidRPr="00DF4212">
        <w:rPr>
          <w:rFonts w:ascii="Arial" w:hAnsi="Arial" w:cs="Arial"/>
          <w:sz w:val="20"/>
          <w:szCs w:val="20"/>
        </w:rPr>
        <w:t xml:space="preserve">Kumari </w:t>
      </w:r>
      <w:r w:rsidR="00FF3884">
        <w:rPr>
          <w:rFonts w:ascii="Arial" w:hAnsi="Arial" w:cs="Arial"/>
          <w:sz w:val="20"/>
          <w:szCs w:val="20"/>
        </w:rPr>
        <w:t>and Wani</w:t>
      </w:r>
      <w:r w:rsidR="00F42B42" w:rsidRPr="00DF4212">
        <w:rPr>
          <w:rFonts w:ascii="Arial" w:hAnsi="Arial" w:cs="Arial"/>
          <w:sz w:val="20"/>
          <w:szCs w:val="20"/>
        </w:rPr>
        <w:t>, 2017; Al-Rashid et al., 2017; Thakur et al., 2025</w:t>
      </w:r>
      <w:r w:rsidR="008121C0" w:rsidRPr="00DF4212">
        <w:rPr>
          <w:rFonts w:ascii="Arial" w:hAnsi="Arial" w:cs="Arial"/>
          <w:sz w:val="20"/>
          <w:szCs w:val="20"/>
        </w:rPr>
        <w:t>)</w:t>
      </w:r>
      <w:r w:rsidRPr="00DF4212">
        <w:rPr>
          <w:rFonts w:ascii="Arial" w:hAnsi="Arial" w:cs="Arial"/>
          <w:sz w:val="20"/>
          <w:szCs w:val="20"/>
        </w:rPr>
        <w:t xml:space="preserve">. </w:t>
      </w:r>
      <w:r w:rsidR="00E73DE5" w:rsidRPr="00DF4212">
        <w:rPr>
          <w:rFonts w:ascii="Arial" w:hAnsi="Arial" w:cs="Arial"/>
          <w:sz w:val="20"/>
          <w:szCs w:val="20"/>
        </w:rPr>
        <w:t xml:space="preserve">The species contains several bioactive compounds among which the pentacyclic triterpenoid </w:t>
      </w:r>
      <w:proofErr w:type="spellStart"/>
      <w:r w:rsidR="00E73DE5" w:rsidRPr="00DF4212">
        <w:rPr>
          <w:rFonts w:ascii="Arial" w:hAnsi="Arial" w:cs="Arial"/>
          <w:sz w:val="20"/>
          <w:szCs w:val="20"/>
        </w:rPr>
        <w:t>ursolic</w:t>
      </w:r>
      <w:proofErr w:type="spellEnd"/>
      <w:r w:rsidR="00E73DE5" w:rsidRPr="00DF4212">
        <w:rPr>
          <w:rFonts w:ascii="Arial" w:hAnsi="Arial" w:cs="Arial"/>
          <w:sz w:val="20"/>
          <w:szCs w:val="20"/>
        </w:rPr>
        <w:t xml:space="preserve"> acid is predominant, exhibiting potent chemo-preventive, anti-cancer and analgesic activities in various </w:t>
      </w:r>
      <w:r w:rsidR="00E73DE5" w:rsidRPr="00DF4212">
        <w:rPr>
          <w:rFonts w:ascii="Arial" w:hAnsi="Arial" w:cs="Arial"/>
          <w:i/>
          <w:iCs/>
          <w:sz w:val="20"/>
          <w:szCs w:val="20"/>
        </w:rPr>
        <w:t>in vivo</w:t>
      </w:r>
      <w:r w:rsidR="00E73DE5" w:rsidRPr="00DF4212">
        <w:rPr>
          <w:rFonts w:ascii="Arial" w:hAnsi="Arial" w:cs="Arial"/>
          <w:sz w:val="20"/>
          <w:szCs w:val="20"/>
        </w:rPr>
        <w:t xml:space="preserve"> and </w:t>
      </w:r>
      <w:r w:rsidR="00E73DE5" w:rsidRPr="00DF4212">
        <w:rPr>
          <w:rFonts w:ascii="Arial" w:hAnsi="Arial" w:cs="Arial"/>
          <w:i/>
          <w:iCs/>
          <w:sz w:val="20"/>
          <w:szCs w:val="20"/>
        </w:rPr>
        <w:t>in vitro</w:t>
      </w:r>
      <w:r w:rsidR="00E73DE5" w:rsidRPr="00DF4212">
        <w:rPr>
          <w:rFonts w:ascii="Arial" w:hAnsi="Arial" w:cs="Arial"/>
          <w:sz w:val="20"/>
          <w:szCs w:val="20"/>
        </w:rPr>
        <w:t xml:space="preserve"> studies</w:t>
      </w:r>
      <w:r w:rsidRPr="00DF4212">
        <w:rPr>
          <w:rFonts w:ascii="Arial" w:hAnsi="Arial" w:cs="Arial"/>
          <w:sz w:val="20"/>
          <w:szCs w:val="20"/>
        </w:rPr>
        <w:t xml:space="preserve"> </w:t>
      </w:r>
      <w:r w:rsidR="008121C0" w:rsidRPr="00DF4212">
        <w:rPr>
          <w:rFonts w:ascii="Arial" w:hAnsi="Arial" w:cs="Arial"/>
          <w:sz w:val="20"/>
          <w:szCs w:val="20"/>
        </w:rPr>
        <w:t>(</w:t>
      </w:r>
      <w:r w:rsidR="00F42B42" w:rsidRPr="00DF4212">
        <w:rPr>
          <w:rFonts w:ascii="Arial" w:hAnsi="Arial" w:cs="Arial"/>
          <w:sz w:val="20"/>
          <w:szCs w:val="20"/>
        </w:rPr>
        <w:t>Rathore et al., 2017</w:t>
      </w:r>
      <w:r w:rsidR="008121C0" w:rsidRPr="00DF4212">
        <w:rPr>
          <w:rFonts w:ascii="Arial" w:hAnsi="Arial" w:cs="Arial"/>
          <w:sz w:val="20"/>
          <w:szCs w:val="20"/>
        </w:rPr>
        <w:t>)</w:t>
      </w:r>
      <w:r w:rsidR="00E73DE5" w:rsidRPr="00DF4212">
        <w:rPr>
          <w:rFonts w:ascii="Arial" w:hAnsi="Arial" w:cs="Arial"/>
          <w:sz w:val="20"/>
          <w:szCs w:val="20"/>
        </w:rPr>
        <w:t xml:space="preserve">. Despite its ecological and economic importance, the species face increasing threats from overexploitation, habitat degradation, and irregular regeneration, leading to concerns about its genetic integrity and long-term sustainability </w:t>
      </w:r>
      <w:r w:rsidR="008121C0" w:rsidRPr="00DF4212">
        <w:rPr>
          <w:rFonts w:ascii="Arial" w:hAnsi="Arial" w:cs="Arial"/>
          <w:sz w:val="20"/>
          <w:szCs w:val="20"/>
        </w:rPr>
        <w:t>(</w:t>
      </w:r>
      <w:r w:rsidR="00F42B42" w:rsidRPr="00DF4212">
        <w:rPr>
          <w:rFonts w:ascii="Arial" w:hAnsi="Arial" w:cs="Arial"/>
          <w:sz w:val="20"/>
          <w:szCs w:val="20"/>
        </w:rPr>
        <w:t xml:space="preserve">Kumari </w:t>
      </w:r>
      <w:r w:rsidR="00FF3884">
        <w:rPr>
          <w:rFonts w:ascii="Arial" w:hAnsi="Arial" w:cs="Arial"/>
          <w:sz w:val="20"/>
          <w:szCs w:val="20"/>
        </w:rPr>
        <w:t>and Wani</w:t>
      </w:r>
      <w:r w:rsidR="00F42B42" w:rsidRPr="00DF4212">
        <w:rPr>
          <w:rFonts w:ascii="Arial" w:hAnsi="Arial" w:cs="Arial"/>
          <w:sz w:val="20"/>
          <w:szCs w:val="20"/>
        </w:rPr>
        <w:t xml:space="preserve">, 2015; </w:t>
      </w:r>
      <w:proofErr w:type="spellStart"/>
      <w:r w:rsidR="00F42B42" w:rsidRPr="00DF4212">
        <w:rPr>
          <w:rFonts w:ascii="Arial" w:hAnsi="Arial" w:cs="Arial"/>
          <w:sz w:val="20"/>
          <w:szCs w:val="20"/>
        </w:rPr>
        <w:t>Chandrashikha</w:t>
      </w:r>
      <w:proofErr w:type="spellEnd"/>
      <w:r w:rsidR="00F42B42" w:rsidRPr="00DF4212">
        <w:rPr>
          <w:rFonts w:ascii="Arial" w:hAnsi="Arial" w:cs="Arial"/>
          <w:sz w:val="20"/>
          <w:szCs w:val="20"/>
        </w:rPr>
        <w:t xml:space="preserve"> et al.</w:t>
      </w:r>
      <w:r w:rsidR="008121C0" w:rsidRPr="00DF4212">
        <w:rPr>
          <w:rFonts w:ascii="Arial" w:hAnsi="Arial" w:cs="Arial"/>
          <w:sz w:val="20"/>
          <w:szCs w:val="20"/>
        </w:rPr>
        <w:t>,</w:t>
      </w:r>
      <w:r w:rsidR="00F42B42" w:rsidRPr="00DF4212">
        <w:rPr>
          <w:rFonts w:ascii="Arial" w:hAnsi="Arial" w:cs="Arial"/>
          <w:sz w:val="20"/>
          <w:szCs w:val="20"/>
        </w:rPr>
        <w:t xml:space="preserve"> 2021; Qureshi et al., 2025</w:t>
      </w:r>
      <w:r w:rsidR="008121C0" w:rsidRPr="00DF4212">
        <w:rPr>
          <w:rFonts w:ascii="Arial" w:hAnsi="Arial" w:cs="Arial"/>
          <w:sz w:val="20"/>
          <w:szCs w:val="20"/>
        </w:rPr>
        <w:t>)</w:t>
      </w:r>
      <w:r w:rsidR="0087772E">
        <w:rPr>
          <w:rFonts w:ascii="Arial" w:hAnsi="Arial" w:cs="Arial"/>
          <w:sz w:val="20"/>
          <w:szCs w:val="20"/>
        </w:rPr>
        <w:t>.</w:t>
      </w:r>
    </w:p>
    <w:p w14:paraId="3F134E81" w14:textId="43695F58" w:rsidR="00D60044" w:rsidRPr="00DF4212" w:rsidRDefault="00D60044" w:rsidP="00DF4212">
      <w:pPr>
        <w:spacing w:after="100" w:afterAutospacing="1" w:line="240" w:lineRule="auto"/>
        <w:jc w:val="both"/>
        <w:rPr>
          <w:rFonts w:ascii="Arial" w:hAnsi="Arial" w:cs="Arial"/>
          <w:sz w:val="20"/>
          <w:szCs w:val="20"/>
        </w:rPr>
      </w:pPr>
      <w:r w:rsidRPr="00DF4212">
        <w:rPr>
          <w:rFonts w:ascii="Arial" w:hAnsi="Arial" w:cs="Arial"/>
          <w:sz w:val="20"/>
          <w:szCs w:val="20"/>
        </w:rPr>
        <w:t>Assessment of genetic diversity provides crucial insights into the evolutionary dynamics, adaptive potential, and population structure of plant species, thereby forming the foundation for their effective conservation and gene</w:t>
      </w:r>
      <w:r w:rsidR="00740235" w:rsidRPr="00DF4212">
        <w:rPr>
          <w:rFonts w:ascii="Arial" w:hAnsi="Arial" w:cs="Arial"/>
          <w:sz w:val="20"/>
          <w:szCs w:val="20"/>
        </w:rPr>
        <w:t xml:space="preserve"> pool </w:t>
      </w:r>
      <w:r w:rsidRPr="00DF4212">
        <w:rPr>
          <w:rFonts w:ascii="Arial" w:hAnsi="Arial" w:cs="Arial"/>
          <w:sz w:val="20"/>
          <w:szCs w:val="20"/>
        </w:rPr>
        <w:t>improvement</w:t>
      </w:r>
      <w:r w:rsidR="004D44E1" w:rsidRPr="00DF4212">
        <w:rPr>
          <w:rFonts w:ascii="Arial" w:hAnsi="Arial" w:cs="Arial"/>
          <w:sz w:val="20"/>
          <w:szCs w:val="20"/>
        </w:rPr>
        <w:t xml:space="preserve"> </w:t>
      </w:r>
      <w:r w:rsidR="008121C0" w:rsidRPr="00DF4212">
        <w:rPr>
          <w:rFonts w:ascii="Arial" w:hAnsi="Arial" w:cs="Arial"/>
          <w:sz w:val="20"/>
          <w:szCs w:val="20"/>
        </w:rPr>
        <w:t>(</w:t>
      </w:r>
      <w:r w:rsidR="00F42B42" w:rsidRPr="00DF4212">
        <w:rPr>
          <w:rFonts w:ascii="Arial" w:hAnsi="Arial" w:cs="Arial"/>
          <w:sz w:val="20"/>
          <w:szCs w:val="20"/>
        </w:rPr>
        <w:t>Mousa et al., 2023; Ninh et al., 2024</w:t>
      </w:r>
      <w:r w:rsidR="008121C0" w:rsidRPr="00DF4212">
        <w:rPr>
          <w:rFonts w:ascii="Arial" w:hAnsi="Arial" w:cs="Arial"/>
          <w:sz w:val="20"/>
          <w:szCs w:val="20"/>
        </w:rPr>
        <w:t>)</w:t>
      </w:r>
      <w:r w:rsidRPr="00DF4212">
        <w:rPr>
          <w:rFonts w:ascii="Arial" w:hAnsi="Arial" w:cs="Arial"/>
          <w:sz w:val="20"/>
          <w:szCs w:val="20"/>
        </w:rPr>
        <w:t xml:space="preserve">. While morphological and biochemical markers have traditionally been used for </w:t>
      </w:r>
      <w:r w:rsidR="00275165" w:rsidRPr="00DF4212">
        <w:rPr>
          <w:rFonts w:ascii="Arial" w:hAnsi="Arial" w:cs="Arial"/>
          <w:sz w:val="20"/>
          <w:szCs w:val="20"/>
        </w:rPr>
        <w:t xml:space="preserve">plant </w:t>
      </w:r>
      <w:r w:rsidRPr="00DF4212">
        <w:rPr>
          <w:rFonts w:ascii="Arial" w:hAnsi="Arial" w:cs="Arial"/>
          <w:sz w:val="20"/>
          <w:szCs w:val="20"/>
        </w:rPr>
        <w:t>diversity studies, they offer limited resolution in detecting genome-wide variability. In contrast, molecular markers provide a more precise, reproducible, and reliable approach to estimate genetic variation, enabling the identification of genetically diverse and distinct populations suitable for conservation and breeding initiatives</w:t>
      </w:r>
      <w:r w:rsidR="004D44E1" w:rsidRPr="00DF4212">
        <w:rPr>
          <w:rFonts w:ascii="Arial" w:hAnsi="Arial" w:cs="Arial"/>
          <w:sz w:val="20"/>
          <w:szCs w:val="20"/>
        </w:rPr>
        <w:t xml:space="preserve"> </w:t>
      </w:r>
      <w:r w:rsidR="008121C0" w:rsidRPr="00DF4212">
        <w:rPr>
          <w:rFonts w:ascii="Arial" w:hAnsi="Arial" w:cs="Arial"/>
          <w:sz w:val="20"/>
          <w:szCs w:val="20"/>
        </w:rPr>
        <w:t>(</w:t>
      </w:r>
      <w:r w:rsidR="00F42B42" w:rsidRPr="00DF4212">
        <w:rPr>
          <w:rFonts w:ascii="Arial" w:hAnsi="Arial" w:cs="Arial"/>
          <w:sz w:val="20"/>
          <w:szCs w:val="20"/>
        </w:rPr>
        <w:t>Surabh</w:t>
      </w:r>
      <w:r w:rsidR="008121C0" w:rsidRPr="00DF4212">
        <w:rPr>
          <w:rFonts w:ascii="Arial" w:hAnsi="Arial" w:cs="Arial"/>
          <w:sz w:val="20"/>
          <w:szCs w:val="20"/>
        </w:rPr>
        <w:t>i</w:t>
      </w:r>
      <w:r w:rsidR="00F42B42" w:rsidRPr="00DF4212">
        <w:rPr>
          <w:rFonts w:ascii="Arial" w:hAnsi="Arial" w:cs="Arial"/>
          <w:sz w:val="20"/>
          <w:szCs w:val="20"/>
        </w:rPr>
        <w:t xml:space="preserve"> et al., 2013; Hinge et al., 2022; </w:t>
      </w:r>
      <w:proofErr w:type="spellStart"/>
      <w:r w:rsidR="00F42B42" w:rsidRPr="00DF4212">
        <w:rPr>
          <w:rFonts w:ascii="Arial" w:hAnsi="Arial" w:cs="Arial"/>
          <w:sz w:val="20"/>
          <w:szCs w:val="20"/>
        </w:rPr>
        <w:t>Hromadova</w:t>
      </w:r>
      <w:proofErr w:type="spellEnd"/>
      <w:r w:rsidR="00F42B42" w:rsidRPr="00DF4212">
        <w:rPr>
          <w:rFonts w:ascii="Arial" w:hAnsi="Arial" w:cs="Arial"/>
          <w:sz w:val="20"/>
          <w:szCs w:val="20"/>
        </w:rPr>
        <w:t xml:space="preserve"> et al., 2022</w:t>
      </w:r>
      <w:r w:rsidR="008121C0" w:rsidRPr="00DF4212">
        <w:rPr>
          <w:rFonts w:ascii="Arial" w:hAnsi="Arial" w:cs="Arial"/>
          <w:sz w:val="20"/>
          <w:szCs w:val="20"/>
        </w:rPr>
        <w:t>)</w:t>
      </w:r>
      <w:r w:rsidR="004D44E1" w:rsidRPr="00DF4212">
        <w:rPr>
          <w:rFonts w:ascii="Arial" w:hAnsi="Arial" w:cs="Arial"/>
          <w:sz w:val="20"/>
          <w:szCs w:val="20"/>
        </w:rPr>
        <w:t>.</w:t>
      </w:r>
    </w:p>
    <w:p w14:paraId="3D3529D4" w14:textId="0B57E2C1" w:rsidR="003D285F" w:rsidRPr="00DF4212" w:rsidRDefault="007C4C47" w:rsidP="00DF4212">
      <w:pPr>
        <w:spacing w:after="100" w:afterAutospacing="1" w:line="240" w:lineRule="auto"/>
        <w:jc w:val="both"/>
        <w:rPr>
          <w:rFonts w:ascii="Arial" w:hAnsi="Arial" w:cs="Arial"/>
          <w:sz w:val="20"/>
          <w:szCs w:val="20"/>
        </w:rPr>
      </w:pPr>
      <w:r w:rsidRPr="00DF4212">
        <w:rPr>
          <w:rFonts w:ascii="Arial" w:hAnsi="Arial" w:cs="Arial"/>
          <w:sz w:val="20"/>
          <w:szCs w:val="20"/>
        </w:rPr>
        <w:t>In studies on various wild plant species, RAPD, ISSR, and SCoT markers have consistently revealed high levels of genetic variation, demonstrating their reliability for assessing natural populations</w:t>
      </w:r>
      <w:r w:rsidR="00740235" w:rsidRPr="00DF4212">
        <w:rPr>
          <w:rFonts w:ascii="Arial" w:hAnsi="Arial" w:cs="Arial"/>
          <w:sz w:val="20"/>
          <w:szCs w:val="20"/>
        </w:rPr>
        <w:t xml:space="preserve"> </w:t>
      </w:r>
      <w:r w:rsidR="008121C0" w:rsidRPr="00DF4212">
        <w:rPr>
          <w:rFonts w:ascii="Arial" w:hAnsi="Arial" w:cs="Arial"/>
          <w:sz w:val="20"/>
          <w:szCs w:val="20"/>
        </w:rPr>
        <w:t>(</w:t>
      </w:r>
      <w:r w:rsidR="00F42B42" w:rsidRPr="00DF4212">
        <w:rPr>
          <w:rFonts w:ascii="Arial" w:hAnsi="Arial" w:cs="Arial"/>
          <w:sz w:val="20"/>
          <w:szCs w:val="20"/>
        </w:rPr>
        <w:t xml:space="preserve">Surabhi et al., 2017; </w:t>
      </w:r>
      <w:proofErr w:type="spellStart"/>
      <w:r w:rsidR="00F42B42" w:rsidRPr="00DF4212">
        <w:rPr>
          <w:rFonts w:ascii="Arial" w:hAnsi="Arial" w:cs="Arial"/>
          <w:sz w:val="20"/>
          <w:szCs w:val="20"/>
        </w:rPr>
        <w:t>Kallamadi</w:t>
      </w:r>
      <w:proofErr w:type="spellEnd"/>
      <w:r w:rsidR="00F42B42" w:rsidRPr="00DF4212">
        <w:rPr>
          <w:rFonts w:ascii="Arial" w:hAnsi="Arial" w:cs="Arial"/>
          <w:sz w:val="20"/>
          <w:szCs w:val="20"/>
        </w:rPr>
        <w:t xml:space="preserve"> et al., 2015; Diallo et al., 2024; </w:t>
      </w:r>
      <w:r w:rsidR="00855BA5">
        <w:rPr>
          <w:rFonts w:ascii="Arial" w:hAnsi="Arial" w:cs="Arial"/>
          <w:sz w:val="20"/>
          <w:szCs w:val="20"/>
        </w:rPr>
        <w:t xml:space="preserve">Kumar et al., 2024; </w:t>
      </w:r>
      <w:proofErr w:type="spellStart"/>
      <w:r w:rsidR="00F42B42" w:rsidRPr="00DF4212">
        <w:rPr>
          <w:rFonts w:ascii="Arial" w:hAnsi="Arial" w:cs="Arial"/>
          <w:sz w:val="20"/>
          <w:szCs w:val="20"/>
        </w:rPr>
        <w:t>Poeaim</w:t>
      </w:r>
      <w:proofErr w:type="spellEnd"/>
      <w:r w:rsidR="00F42B42" w:rsidRPr="00DF4212">
        <w:rPr>
          <w:rFonts w:ascii="Arial" w:hAnsi="Arial" w:cs="Arial"/>
          <w:sz w:val="20"/>
          <w:szCs w:val="20"/>
        </w:rPr>
        <w:t xml:space="preserve"> et al., 2025</w:t>
      </w:r>
      <w:r w:rsidR="008121C0" w:rsidRPr="00DF4212">
        <w:rPr>
          <w:rFonts w:ascii="Arial" w:hAnsi="Arial" w:cs="Arial"/>
          <w:sz w:val="20"/>
          <w:szCs w:val="20"/>
        </w:rPr>
        <w:t>)</w:t>
      </w:r>
      <w:r w:rsidRPr="00DF4212">
        <w:rPr>
          <w:rFonts w:ascii="Arial" w:hAnsi="Arial" w:cs="Arial"/>
          <w:sz w:val="20"/>
          <w:szCs w:val="20"/>
        </w:rPr>
        <w:t>. RAPD markers showed broad genome-wide coverage with substantial polymorphism, ranging from 76% in okra</w:t>
      </w:r>
      <w:r w:rsidR="00740235" w:rsidRPr="00DF4212">
        <w:rPr>
          <w:rFonts w:ascii="Arial" w:hAnsi="Arial" w:cs="Arial"/>
          <w:sz w:val="20"/>
          <w:szCs w:val="20"/>
        </w:rPr>
        <w:t>,</w:t>
      </w:r>
      <w:r w:rsidRPr="00DF4212">
        <w:rPr>
          <w:rFonts w:ascii="Arial" w:hAnsi="Arial" w:cs="Arial"/>
          <w:sz w:val="20"/>
          <w:szCs w:val="20"/>
        </w:rPr>
        <w:t xml:space="preserve"> 97.9% in passion fruit, </w:t>
      </w:r>
      <w:r w:rsidR="00740235" w:rsidRPr="00DF4212">
        <w:rPr>
          <w:rFonts w:ascii="Arial" w:hAnsi="Arial" w:cs="Arial"/>
          <w:sz w:val="20"/>
          <w:szCs w:val="20"/>
        </w:rPr>
        <w:t xml:space="preserve">and 100% in maize </w:t>
      </w:r>
      <w:r w:rsidRPr="00DF4212">
        <w:rPr>
          <w:rFonts w:ascii="Arial" w:hAnsi="Arial" w:cs="Arial"/>
          <w:sz w:val="20"/>
          <w:szCs w:val="20"/>
        </w:rPr>
        <w:t>highlighting their utility for rapid diversity screening</w:t>
      </w:r>
      <w:r w:rsidR="00DE104F" w:rsidRPr="00DF4212">
        <w:rPr>
          <w:rFonts w:ascii="Arial" w:hAnsi="Arial" w:cs="Arial"/>
          <w:sz w:val="20"/>
          <w:szCs w:val="20"/>
        </w:rPr>
        <w:t xml:space="preserve"> </w:t>
      </w:r>
      <w:r w:rsidR="008121C0" w:rsidRPr="00DF4212">
        <w:rPr>
          <w:rFonts w:ascii="Arial" w:hAnsi="Arial" w:cs="Arial"/>
          <w:sz w:val="20"/>
          <w:szCs w:val="20"/>
        </w:rPr>
        <w:t>(</w:t>
      </w:r>
      <w:r w:rsidR="00F42B42" w:rsidRPr="00DF4212">
        <w:rPr>
          <w:rFonts w:ascii="Arial" w:hAnsi="Arial" w:cs="Arial"/>
          <w:sz w:val="20"/>
          <w:szCs w:val="20"/>
        </w:rPr>
        <w:t>Ho et al., 2021;</w:t>
      </w:r>
      <w:r w:rsidR="008121C0" w:rsidRPr="00DF4212">
        <w:rPr>
          <w:rFonts w:ascii="Arial" w:hAnsi="Arial" w:cs="Arial"/>
          <w:sz w:val="20"/>
          <w:szCs w:val="20"/>
        </w:rPr>
        <w:t xml:space="preserve"> </w:t>
      </w:r>
      <w:r w:rsidR="00F42B42" w:rsidRPr="00DF4212">
        <w:rPr>
          <w:rFonts w:ascii="Arial" w:hAnsi="Arial" w:cs="Arial"/>
          <w:sz w:val="20"/>
          <w:szCs w:val="20"/>
        </w:rPr>
        <w:t>Hamdan et al., 2024; Mohamed et al., 2025</w:t>
      </w:r>
      <w:r w:rsidR="008121C0" w:rsidRPr="00DF4212">
        <w:rPr>
          <w:rFonts w:ascii="Arial" w:hAnsi="Arial" w:cs="Arial"/>
          <w:sz w:val="20"/>
          <w:szCs w:val="20"/>
        </w:rPr>
        <w:t>)</w:t>
      </w:r>
      <w:r w:rsidRPr="00DF4212">
        <w:rPr>
          <w:rFonts w:ascii="Arial" w:hAnsi="Arial" w:cs="Arial"/>
          <w:sz w:val="20"/>
          <w:szCs w:val="20"/>
        </w:rPr>
        <w:t xml:space="preserve">. ISSR markers similarly produced moderate to high polymorphism, including 80.10% in </w:t>
      </w:r>
      <w:r w:rsidRPr="00DF4212">
        <w:rPr>
          <w:rFonts w:ascii="Arial" w:hAnsi="Arial" w:cs="Arial"/>
          <w:i/>
          <w:iCs/>
          <w:sz w:val="20"/>
          <w:szCs w:val="20"/>
        </w:rPr>
        <w:t>Lepidium sativum</w:t>
      </w:r>
      <w:r w:rsidRPr="00DF4212">
        <w:rPr>
          <w:rFonts w:ascii="Arial" w:hAnsi="Arial" w:cs="Arial"/>
          <w:sz w:val="20"/>
          <w:szCs w:val="20"/>
        </w:rPr>
        <w:t xml:space="preserve">, 62.71% in </w:t>
      </w:r>
      <w:proofErr w:type="spellStart"/>
      <w:r w:rsidRPr="00DF4212">
        <w:rPr>
          <w:rFonts w:ascii="Arial" w:hAnsi="Arial" w:cs="Arial"/>
          <w:i/>
          <w:iCs/>
          <w:sz w:val="20"/>
          <w:szCs w:val="20"/>
        </w:rPr>
        <w:t>Shorea</w:t>
      </w:r>
      <w:proofErr w:type="spellEnd"/>
      <w:r w:rsidRPr="00DF4212">
        <w:rPr>
          <w:rFonts w:ascii="Arial" w:hAnsi="Arial" w:cs="Arial"/>
          <w:i/>
          <w:iCs/>
          <w:sz w:val="20"/>
          <w:szCs w:val="20"/>
        </w:rPr>
        <w:t xml:space="preserve"> robusta</w:t>
      </w:r>
      <w:r w:rsidRPr="00DF4212">
        <w:rPr>
          <w:rFonts w:ascii="Arial" w:hAnsi="Arial" w:cs="Arial"/>
          <w:sz w:val="20"/>
          <w:szCs w:val="20"/>
        </w:rPr>
        <w:t xml:space="preserve">, and 93.4% in </w:t>
      </w:r>
      <w:r w:rsidRPr="00DF4212">
        <w:rPr>
          <w:rFonts w:ascii="Arial" w:hAnsi="Arial" w:cs="Arial"/>
          <w:i/>
          <w:iCs/>
          <w:sz w:val="20"/>
          <w:szCs w:val="20"/>
        </w:rPr>
        <w:t xml:space="preserve">Aquilaria </w:t>
      </w:r>
      <w:proofErr w:type="spellStart"/>
      <w:r w:rsidRPr="00DF4212">
        <w:rPr>
          <w:rFonts w:ascii="Arial" w:hAnsi="Arial" w:cs="Arial"/>
          <w:i/>
          <w:iCs/>
          <w:sz w:val="20"/>
          <w:szCs w:val="20"/>
        </w:rPr>
        <w:t>malaccensis</w:t>
      </w:r>
      <w:proofErr w:type="spellEnd"/>
      <w:r w:rsidRPr="00DF4212">
        <w:rPr>
          <w:rFonts w:ascii="Arial" w:hAnsi="Arial" w:cs="Arial"/>
          <w:sz w:val="20"/>
          <w:szCs w:val="20"/>
        </w:rPr>
        <w:t>, reflecting their strong reproducibility and ability to target microsatellite-rich regions</w:t>
      </w:r>
      <w:r w:rsidR="00DE104F" w:rsidRPr="00DF4212">
        <w:rPr>
          <w:rFonts w:ascii="Arial" w:hAnsi="Arial" w:cs="Arial"/>
          <w:sz w:val="20"/>
          <w:szCs w:val="20"/>
        </w:rPr>
        <w:t xml:space="preserve"> </w:t>
      </w:r>
      <w:r w:rsidR="008121C0" w:rsidRPr="00DF4212">
        <w:rPr>
          <w:rFonts w:ascii="Arial" w:hAnsi="Arial" w:cs="Arial"/>
          <w:sz w:val="20"/>
          <w:szCs w:val="20"/>
        </w:rPr>
        <w:t>(</w:t>
      </w:r>
      <w:r w:rsidR="00F42B42" w:rsidRPr="00DF4212">
        <w:rPr>
          <w:rFonts w:ascii="Arial" w:hAnsi="Arial" w:cs="Arial"/>
          <w:sz w:val="20"/>
          <w:szCs w:val="20"/>
        </w:rPr>
        <w:t>Surabhi et al., 2017;</w:t>
      </w:r>
      <w:r w:rsidR="008121C0" w:rsidRPr="00DF4212">
        <w:rPr>
          <w:rFonts w:ascii="Arial" w:hAnsi="Arial" w:cs="Arial"/>
          <w:sz w:val="20"/>
          <w:szCs w:val="20"/>
        </w:rPr>
        <w:t xml:space="preserve"> </w:t>
      </w:r>
      <w:r w:rsidR="00F42B42" w:rsidRPr="00DF4212">
        <w:rPr>
          <w:rFonts w:ascii="Arial" w:hAnsi="Arial" w:cs="Arial"/>
          <w:sz w:val="20"/>
          <w:szCs w:val="20"/>
        </w:rPr>
        <w:t>Kumar and Yadav</w:t>
      </w:r>
      <w:r w:rsidR="007506B7" w:rsidRPr="00DF4212">
        <w:rPr>
          <w:rFonts w:ascii="Arial" w:hAnsi="Arial" w:cs="Arial"/>
          <w:sz w:val="20"/>
          <w:szCs w:val="20"/>
        </w:rPr>
        <w:t>,</w:t>
      </w:r>
      <w:r w:rsidR="00F42B42" w:rsidRPr="00DF4212">
        <w:rPr>
          <w:rFonts w:ascii="Arial" w:hAnsi="Arial" w:cs="Arial"/>
          <w:sz w:val="20"/>
          <w:szCs w:val="20"/>
        </w:rPr>
        <w:t xml:space="preserve"> 20</w:t>
      </w:r>
      <w:r w:rsidR="007F1E4D">
        <w:rPr>
          <w:rFonts w:ascii="Arial" w:hAnsi="Arial" w:cs="Arial"/>
          <w:sz w:val="20"/>
          <w:szCs w:val="20"/>
        </w:rPr>
        <w:t>1</w:t>
      </w:r>
      <w:r w:rsidR="00F42B42" w:rsidRPr="00DF4212">
        <w:rPr>
          <w:rFonts w:ascii="Arial" w:hAnsi="Arial" w:cs="Arial"/>
          <w:sz w:val="20"/>
          <w:szCs w:val="20"/>
        </w:rPr>
        <w:t>9; Banu et al., 2025</w:t>
      </w:r>
      <w:r w:rsidR="008121C0" w:rsidRPr="00DF4212">
        <w:rPr>
          <w:rFonts w:ascii="Arial" w:hAnsi="Arial" w:cs="Arial"/>
          <w:sz w:val="20"/>
          <w:szCs w:val="20"/>
        </w:rPr>
        <w:t>)</w:t>
      </w:r>
      <w:r w:rsidRPr="00DF4212">
        <w:rPr>
          <w:rFonts w:ascii="Arial" w:hAnsi="Arial" w:cs="Arial"/>
          <w:sz w:val="20"/>
          <w:szCs w:val="20"/>
        </w:rPr>
        <w:t xml:space="preserve">. </w:t>
      </w:r>
      <w:r w:rsidR="00DE69F8" w:rsidRPr="00DF4212">
        <w:rPr>
          <w:rFonts w:ascii="Arial" w:hAnsi="Arial" w:cs="Arial"/>
          <w:sz w:val="20"/>
          <w:szCs w:val="20"/>
        </w:rPr>
        <w:t xml:space="preserve">The </w:t>
      </w:r>
      <w:r w:rsidRPr="00DF4212">
        <w:rPr>
          <w:rFonts w:ascii="Arial" w:hAnsi="Arial" w:cs="Arial"/>
          <w:sz w:val="20"/>
          <w:szCs w:val="20"/>
        </w:rPr>
        <w:t xml:space="preserve">SCoT markers, which amplify gene-associated regions, generally showed higher informativeness, generating ~82.5% polymorphism in bread wheat and 86.94% in </w:t>
      </w:r>
      <w:proofErr w:type="spellStart"/>
      <w:r w:rsidRPr="00DF4212">
        <w:rPr>
          <w:rFonts w:ascii="Arial" w:hAnsi="Arial" w:cs="Arial"/>
          <w:i/>
          <w:iCs/>
          <w:sz w:val="20"/>
          <w:szCs w:val="20"/>
        </w:rPr>
        <w:t>Annamocarya</w:t>
      </w:r>
      <w:proofErr w:type="spellEnd"/>
      <w:r w:rsidRPr="00DF4212">
        <w:rPr>
          <w:rFonts w:ascii="Arial" w:hAnsi="Arial" w:cs="Arial"/>
          <w:i/>
          <w:iCs/>
          <w:sz w:val="20"/>
          <w:szCs w:val="20"/>
        </w:rPr>
        <w:t xml:space="preserve"> sinensis</w:t>
      </w:r>
      <w:r w:rsidRPr="00DF4212">
        <w:rPr>
          <w:rFonts w:ascii="Arial" w:hAnsi="Arial" w:cs="Arial"/>
          <w:sz w:val="20"/>
          <w:szCs w:val="20"/>
        </w:rPr>
        <w:t xml:space="preserve"> </w:t>
      </w:r>
      <w:r w:rsidR="008121C0" w:rsidRPr="00DF4212">
        <w:rPr>
          <w:rFonts w:ascii="Arial" w:hAnsi="Arial" w:cs="Arial"/>
          <w:sz w:val="20"/>
          <w:szCs w:val="20"/>
        </w:rPr>
        <w:t>(</w:t>
      </w:r>
      <w:r w:rsidR="00F42B42" w:rsidRPr="00DF4212">
        <w:rPr>
          <w:rFonts w:ascii="Arial" w:hAnsi="Arial" w:cs="Arial"/>
          <w:sz w:val="20"/>
          <w:szCs w:val="20"/>
        </w:rPr>
        <w:t>Pan et al., 2</w:t>
      </w:r>
      <w:r w:rsidR="008121C0" w:rsidRPr="00DF4212">
        <w:rPr>
          <w:rFonts w:ascii="Arial" w:hAnsi="Arial" w:cs="Arial"/>
          <w:sz w:val="20"/>
          <w:szCs w:val="20"/>
        </w:rPr>
        <w:t>0</w:t>
      </w:r>
      <w:r w:rsidR="00F42B42" w:rsidRPr="00DF4212">
        <w:rPr>
          <w:rFonts w:ascii="Arial" w:hAnsi="Arial" w:cs="Arial"/>
          <w:sz w:val="20"/>
          <w:szCs w:val="20"/>
        </w:rPr>
        <w:t>24; Altaf et al., 2025</w:t>
      </w:r>
      <w:r w:rsidR="008121C0" w:rsidRPr="00DF4212">
        <w:rPr>
          <w:rFonts w:ascii="Arial" w:hAnsi="Arial" w:cs="Arial"/>
          <w:sz w:val="20"/>
          <w:szCs w:val="20"/>
        </w:rPr>
        <w:t>)</w:t>
      </w:r>
      <w:r w:rsidRPr="00DF4212">
        <w:rPr>
          <w:rFonts w:ascii="Arial" w:hAnsi="Arial" w:cs="Arial"/>
          <w:sz w:val="20"/>
          <w:szCs w:val="20"/>
        </w:rPr>
        <w:t xml:space="preserve">. Comparable outcomes have been reported in </w:t>
      </w:r>
      <w:proofErr w:type="spellStart"/>
      <w:r w:rsidR="004A308E" w:rsidRPr="00DF4212">
        <w:rPr>
          <w:rFonts w:ascii="Arial" w:hAnsi="Arial" w:cs="Arial"/>
          <w:sz w:val="20"/>
          <w:szCs w:val="20"/>
        </w:rPr>
        <w:t>kendu</w:t>
      </w:r>
      <w:proofErr w:type="spellEnd"/>
      <w:r w:rsidR="004A308E" w:rsidRPr="00DF4212">
        <w:rPr>
          <w:rFonts w:ascii="Arial" w:hAnsi="Arial" w:cs="Arial"/>
          <w:sz w:val="20"/>
          <w:szCs w:val="20"/>
        </w:rPr>
        <w:t xml:space="preserve"> population exists in Jharkhand</w:t>
      </w:r>
      <w:r w:rsidRPr="00DF4212">
        <w:rPr>
          <w:rFonts w:ascii="Arial" w:hAnsi="Arial" w:cs="Arial"/>
          <w:sz w:val="20"/>
          <w:szCs w:val="20"/>
        </w:rPr>
        <w:t xml:space="preserve">, where RAPD </w:t>
      </w:r>
      <w:r w:rsidR="00EA1D44" w:rsidRPr="00DF4212">
        <w:rPr>
          <w:rFonts w:ascii="Arial" w:hAnsi="Arial" w:cs="Arial"/>
          <w:sz w:val="20"/>
          <w:szCs w:val="20"/>
        </w:rPr>
        <w:t>and ISSR markers detected 73.96% and 85% polymorphism</w:t>
      </w:r>
      <w:r w:rsidR="006676E5" w:rsidRPr="00DF4212">
        <w:rPr>
          <w:rFonts w:ascii="Arial" w:hAnsi="Arial" w:cs="Arial"/>
          <w:i/>
          <w:iCs/>
          <w:sz w:val="20"/>
          <w:szCs w:val="20"/>
        </w:rPr>
        <w:t>,</w:t>
      </w:r>
      <w:r w:rsidR="00EA1D44" w:rsidRPr="00DF4212">
        <w:rPr>
          <w:rFonts w:ascii="Arial" w:hAnsi="Arial" w:cs="Arial"/>
          <w:i/>
          <w:iCs/>
          <w:sz w:val="20"/>
          <w:szCs w:val="20"/>
        </w:rPr>
        <w:t xml:space="preserve"> </w:t>
      </w:r>
      <w:r w:rsidR="00EA1D44" w:rsidRPr="00DF4212">
        <w:rPr>
          <w:rFonts w:ascii="Arial" w:hAnsi="Arial" w:cs="Arial"/>
          <w:sz w:val="20"/>
          <w:szCs w:val="20"/>
        </w:rPr>
        <w:t xml:space="preserve">respectively </w:t>
      </w:r>
      <w:r w:rsidR="008121C0" w:rsidRPr="00DF4212">
        <w:rPr>
          <w:rFonts w:ascii="Arial" w:hAnsi="Arial" w:cs="Arial"/>
          <w:sz w:val="20"/>
          <w:szCs w:val="20"/>
        </w:rPr>
        <w:t>(</w:t>
      </w:r>
      <w:r w:rsidR="00F42B42" w:rsidRPr="00DF4212">
        <w:rPr>
          <w:rFonts w:ascii="Arial" w:hAnsi="Arial" w:cs="Arial"/>
          <w:sz w:val="20"/>
          <w:szCs w:val="20"/>
        </w:rPr>
        <w:t xml:space="preserve">Kumari </w:t>
      </w:r>
      <w:r w:rsidR="00FF3884">
        <w:rPr>
          <w:rFonts w:ascii="Arial" w:hAnsi="Arial" w:cs="Arial"/>
          <w:sz w:val="20"/>
          <w:szCs w:val="20"/>
        </w:rPr>
        <w:t>and Kumar</w:t>
      </w:r>
      <w:r w:rsidR="00F42B42" w:rsidRPr="00DF4212">
        <w:rPr>
          <w:rFonts w:ascii="Arial" w:hAnsi="Arial" w:cs="Arial"/>
          <w:sz w:val="20"/>
          <w:szCs w:val="20"/>
        </w:rPr>
        <w:t>, 2021; Kumari and Kumar, 2020</w:t>
      </w:r>
      <w:r w:rsidR="008121C0" w:rsidRPr="00DF4212">
        <w:rPr>
          <w:rFonts w:ascii="Arial" w:hAnsi="Arial" w:cs="Arial"/>
          <w:sz w:val="20"/>
          <w:szCs w:val="20"/>
        </w:rPr>
        <w:t>)</w:t>
      </w:r>
      <w:r w:rsidR="004A308E" w:rsidRPr="00DF4212">
        <w:rPr>
          <w:rFonts w:ascii="Arial" w:hAnsi="Arial" w:cs="Arial"/>
          <w:sz w:val="20"/>
          <w:szCs w:val="20"/>
        </w:rPr>
        <w:t>.</w:t>
      </w:r>
      <w:r w:rsidRPr="00DF4212">
        <w:rPr>
          <w:rFonts w:ascii="Arial" w:hAnsi="Arial" w:cs="Arial"/>
          <w:sz w:val="20"/>
          <w:szCs w:val="20"/>
        </w:rPr>
        <w:t xml:space="preserve"> </w:t>
      </w:r>
      <w:r w:rsidR="004A308E" w:rsidRPr="00DF4212">
        <w:rPr>
          <w:rFonts w:ascii="Arial" w:hAnsi="Arial" w:cs="Arial"/>
          <w:sz w:val="20"/>
          <w:szCs w:val="20"/>
        </w:rPr>
        <w:t>W</w:t>
      </w:r>
      <w:r w:rsidRPr="00DF4212">
        <w:rPr>
          <w:rFonts w:ascii="Arial" w:hAnsi="Arial" w:cs="Arial"/>
          <w:sz w:val="20"/>
          <w:szCs w:val="20"/>
        </w:rPr>
        <w:t xml:space="preserve">hile SCoT markers yielded exceptionally high polymorphism (97%) across 95 </w:t>
      </w:r>
      <w:r w:rsidR="004A308E" w:rsidRPr="00DF4212">
        <w:rPr>
          <w:rFonts w:ascii="Arial" w:hAnsi="Arial" w:cs="Arial"/>
          <w:sz w:val="20"/>
          <w:szCs w:val="20"/>
        </w:rPr>
        <w:t xml:space="preserve">germplasm samples of </w:t>
      </w:r>
      <w:r w:rsidRPr="00DF4212">
        <w:rPr>
          <w:rFonts w:ascii="Arial" w:hAnsi="Arial" w:cs="Arial"/>
          <w:i/>
          <w:iCs/>
          <w:sz w:val="20"/>
          <w:szCs w:val="20"/>
        </w:rPr>
        <w:t>Diospyros</w:t>
      </w:r>
      <w:r w:rsidRPr="00DF4212">
        <w:rPr>
          <w:rFonts w:ascii="Arial" w:hAnsi="Arial" w:cs="Arial"/>
          <w:sz w:val="20"/>
          <w:szCs w:val="20"/>
        </w:rPr>
        <w:t xml:space="preserve"> </w:t>
      </w:r>
      <w:r w:rsidR="004A308E" w:rsidRPr="00DF4212">
        <w:rPr>
          <w:rFonts w:ascii="Arial" w:hAnsi="Arial" w:cs="Arial"/>
          <w:sz w:val="20"/>
          <w:szCs w:val="20"/>
        </w:rPr>
        <w:t xml:space="preserve">in China </w:t>
      </w:r>
      <w:r w:rsidR="008121C0" w:rsidRPr="00DF4212">
        <w:rPr>
          <w:rFonts w:ascii="Arial" w:hAnsi="Arial" w:cs="Arial"/>
          <w:sz w:val="20"/>
          <w:szCs w:val="20"/>
        </w:rPr>
        <w:t>(</w:t>
      </w:r>
      <w:r w:rsidR="00F42B42" w:rsidRPr="00DF4212">
        <w:rPr>
          <w:rFonts w:ascii="Arial" w:hAnsi="Arial" w:cs="Arial"/>
          <w:sz w:val="20"/>
          <w:szCs w:val="20"/>
        </w:rPr>
        <w:t>Deng et al., 2015</w:t>
      </w:r>
      <w:r w:rsidR="008121C0" w:rsidRPr="00DF4212">
        <w:rPr>
          <w:rFonts w:ascii="Arial" w:hAnsi="Arial" w:cs="Arial"/>
          <w:sz w:val="20"/>
          <w:szCs w:val="20"/>
        </w:rPr>
        <w:t>)</w:t>
      </w:r>
      <w:r w:rsidR="004C5C44" w:rsidRPr="00DF4212">
        <w:rPr>
          <w:rFonts w:ascii="Arial" w:hAnsi="Arial" w:cs="Arial"/>
          <w:sz w:val="20"/>
          <w:szCs w:val="20"/>
        </w:rPr>
        <w:t>.</w:t>
      </w:r>
      <w:r w:rsidRPr="00DF4212">
        <w:rPr>
          <w:rFonts w:ascii="Arial" w:hAnsi="Arial" w:cs="Arial"/>
          <w:sz w:val="20"/>
          <w:szCs w:val="20"/>
        </w:rPr>
        <w:t xml:space="preserve"> </w:t>
      </w:r>
    </w:p>
    <w:p w14:paraId="5F006313" w14:textId="77777777" w:rsidR="005E5968" w:rsidRPr="00F079B0" w:rsidRDefault="007C4C47" w:rsidP="005E5968">
      <w:pPr>
        <w:spacing w:after="100" w:afterAutospacing="1" w:line="240" w:lineRule="auto"/>
        <w:jc w:val="both"/>
        <w:rPr>
          <w:rFonts w:ascii="Arial" w:hAnsi="Arial" w:cs="Arial"/>
          <w:sz w:val="20"/>
          <w:szCs w:val="20"/>
        </w:rPr>
      </w:pPr>
      <w:r w:rsidRPr="00DF4212">
        <w:rPr>
          <w:rFonts w:ascii="Arial" w:hAnsi="Arial" w:cs="Arial"/>
          <w:sz w:val="20"/>
          <w:szCs w:val="20"/>
        </w:rPr>
        <w:t>Overall, these findings demonstrate that</w:t>
      </w:r>
      <w:r w:rsidR="004A308E" w:rsidRPr="00DF4212">
        <w:rPr>
          <w:rFonts w:ascii="Arial" w:hAnsi="Arial" w:cs="Arial"/>
          <w:sz w:val="20"/>
          <w:szCs w:val="20"/>
        </w:rPr>
        <w:t>,</w:t>
      </w:r>
      <w:r w:rsidRPr="00DF4212">
        <w:rPr>
          <w:rFonts w:ascii="Arial" w:hAnsi="Arial" w:cs="Arial"/>
          <w:sz w:val="20"/>
          <w:szCs w:val="20"/>
        </w:rPr>
        <w:t xml:space="preserve"> though </w:t>
      </w:r>
      <w:r w:rsidR="004A308E" w:rsidRPr="00DF4212">
        <w:rPr>
          <w:rFonts w:ascii="Arial" w:hAnsi="Arial" w:cs="Arial"/>
          <w:sz w:val="20"/>
          <w:szCs w:val="20"/>
        </w:rPr>
        <w:t xml:space="preserve">these </w:t>
      </w:r>
      <w:r w:rsidRPr="00DF4212">
        <w:rPr>
          <w:rFonts w:ascii="Arial" w:hAnsi="Arial" w:cs="Arial"/>
          <w:sz w:val="20"/>
          <w:szCs w:val="20"/>
        </w:rPr>
        <w:t xml:space="preserve">three marker systems effectively capture </w:t>
      </w:r>
      <w:r w:rsidR="004A308E" w:rsidRPr="00DF4212">
        <w:rPr>
          <w:rFonts w:ascii="Arial" w:hAnsi="Arial" w:cs="Arial"/>
          <w:sz w:val="20"/>
          <w:szCs w:val="20"/>
        </w:rPr>
        <w:t xml:space="preserve">the </w:t>
      </w:r>
      <w:r w:rsidRPr="00DF4212">
        <w:rPr>
          <w:rFonts w:ascii="Arial" w:hAnsi="Arial" w:cs="Arial"/>
          <w:sz w:val="20"/>
          <w:szCs w:val="20"/>
        </w:rPr>
        <w:t xml:space="preserve">genetic variability, </w:t>
      </w:r>
      <w:r w:rsidR="004A308E" w:rsidRPr="00DF4212">
        <w:rPr>
          <w:rFonts w:ascii="Arial" w:hAnsi="Arial" w:cs="Arial"/>
          <w:sz w:val="20"/>
          <w:szCs w:val="20"/>
        </w:rPr>
        <w:t xml:space="preserve">where </w:t>
      </w:r>
      <w:r w:rsidRPr="00DF4212">
        <w:rPr>
          <w:rFonts w:ascii="Arial" w:hAnsi="Arial" w:cs="Arial"/>
          <w:sz w:val="20"/>
          <w:szCs w:val="20"/>
        </w:rPr>
        <w:t>ISSR and SCoT offer</w:t>
      </w:r>
      <w:r w:rsidR="004A308E" w:rsidRPr="00DF4212">
        <w:rPr>
          <w:rFonts w:ascii="Arial" w:hAnsi="Arial" w:cs="Arial"/>
          <w:sz w:val="20"/>
          <w:szCs w:val="20"/>
        </w:rPr>
        <w:t>ed a</w:t>
      </w:r>
      <w:r w:rsidRPr="00DF4212">
        <w:rPr>
          <w:rFonts w:ascii="Arial" w:hAnsi="Arial" w:cs="Arial"/>
          <w:sz w:val="20"/>
          <w:szCs w:val="20"/>
        </w:rPr>
        <w:t xml:space="preserve"> higher reproducibility and gene-linked resolution than RAPD. Despite </w:t>
      </w:r>
      <w:r w:rsidR="005E3474" w:rsidRPr="00DF4212">
        <w:rPr>
          <w:rFonts w:ascii="Arial" w:hAnsi="Arial" w:cs="Arial"/>
          <w:sz w:val="20"/>
          <w:szCs w:val="20"/>
        </w:rPr>
        <w:t>these limited evidences</w:t>
      </w:r>
      <w:r w:rsidRPr="00DF4212">
        <w:rPr>
          <w:rFonts w:ascii="Arial" w:hAnsi="Arial" w:cs="Arial"/>
          <w:sz w:val="20"/>
          <w:szCs w:val="20"/>
        </w:rPr>
        <w:t xml:space="preserve">, no genetic diversity assessment has yet been conducted for </w:t>
      </w:r>
      <w:r w:rsidRPr="00DF4212">
        <w:rPr>
          <w:rFonts w:ascii="Arial" w:hAnsi="Arial" w:cs="Arial"/>
          <w:i/>
          <w:iCs/>
          <w:sz w:val="20"/>
          <w:szCs w:val="20"/>
        </w:rPr>
        <w:t>D. melanoxylon</w:t>
      </w:r>
      <w:r w:rsidRPr="00DF4212">
        <w:rPr>
          <w:rFonts w:ascii="Arial" w:hAnsi="Arial" w:cs="Arial"/>
          <w:sz w:val="20"/>
          <w:szCs w:val="20"/>
        </w:rPr>
        <w:t xml:space="preserve"> populations in </w:t>
      </w:r>
      <w:r w:rsidR="005C734E" w:rsidRPr="00DF4212">
        <w:rPr>
          <w:rFonts w:ascii="Arial" w:hAnsi="Arial" w:cs="Arial"/>
          <w:sz w:val="20"/>
          <w:szCs w:val="20"/>
        </w:rPr>
        <w:t xml:space="preserve">Odisha Forest regions, </w:t>
      </w:r>
      <w:r w:rsidR="004A308E" w:rsidRPr="00DF4212">
        <w:rPr>
          <w:rFonts w:ascii="Arial" w:hAnsi="Arial" w:cs="Arial"/>
          <w:sz w:val="20"/>
          <w:szCs w:val="20"/>
        </w:rPr>
        <w:t xml:space="preserve">and </w:t>
      </w:r>
      <w:r w:rsidR="007A5671" w:rsidRPr="00DF4212">
        <w:rPr>
          <w:rFonts w:ascii="Arial" w:hAnsi="Arial" w:cs="Arial"/>
          <w:sz w:val="20"/>
          <w:szCs w:val="20"/>
        </w:rPr>
        <w:t xml:space="preserve">also forest populations </w:t>
      </w:r>
      <w:r w:rsidR="005E3474" w:rsidRPr="00DF4212">
        <w:rPr>
          <w:rFonts w:ascii="Arial" w:hAnsi="Arial" w:cs="Arial"/>
          <w:sz w:val="20"/>
          <w:szCs w:val="20"/>
        </w:rPr>
        <w:t>exist</w:t>
      </w:r>
      <w:r w:rsidR="007A5671" w:rsidRPr="00DF4212">
        <w:rPr>
          <w:rFonts w:ascii="Arial" w:hAnsi="Arial" w:cs="Arial"/>
          <w:sz w:val="20"/>
          <w:szCs w:val="20"/>
        </w:rPr>
        <w:t xml:space="preserve"> across different geographic regions </w:t>
      </w:r>
      <w:r w:rsidR="003206A7" w:rsidRPr="00DF4212">
        <w:rPr>
          <w:rFonts w:ascii="Arial" w:hAnsi="Arial" w:cs="Arial"/>
          <w:sz w:val="20"/>
          <w:szCs w:val="20"/>
        </w:rPr>
        <w:t>in</w:t>
      </w:r>
      <w:r w:rsidR="007A5671" w:rsidRPr="00DF4212">
        <w:rPr>
          <w:rFonts w:ascii="Arial" w:hAnsi="Arial" w:cs="Arial"/>
          <w:sz w:val="20"/>
          <w:szCs w:val="20"/>
        </w:rPr>
        <w:t xml:space="preserve"> India</w:t>
      </w:r>
      <w:r w:rsidRPr="00DF4212">
        <w:rPr>
          <w:rFonts w:ascii="Arial" w:hAnsi="Arial" w:cs="Arial"/>
          <w:sz w:val="20"/>
          <w:szCs w:val="20"/>
        </w:rPr>
        <w:t>, leaving the genetic structure, population differentiation, and adaptive variability of this economically important species completely unexplored. Th</w:t>
      </w:r>
      <w:r w:rsidR="007A5671" w:rsidRPr="00DF4212">
        <w:rPr>
          <w:rFonts w:ascii="Arial" w:hAnsi="Arial" w:cs="Arial"/>
          <w:sz w:val="20"/>
          <w:szCs w:val="20"/>
        </w:rPr>
        <w:t>e</w:t>
      </w:r>
      <w:r w:rsidRPr="00DF4212">
        <w:rPr>
          <w:rFonts w:ascii="Arial" w:hAnsi="Arial" w:cs="Arial"/>
          <w:sz w:val="20"/>
          <w:szCs w:val="20"/>
        </w:rPr>
        <w:t xml:space="preserve"> absence of baseline molecular data represents a significant research gap, l</w:t>
      </w:r>
      <w:r w:rsidR="007A5671" w:rsidRPr="00DF4212">
        <w:rPr>
          <w:rFonts w:ascii="Arial" w:hAnsi="Arial" w:cs="Arial"/>
          <w:sz w:val="20"/>
          <w:szCs w:val="20"/>
        </w:rPr>
        <w:t>ack of</w:t>
      </w:r>
      <w:r w:rsidRPr="00DF4212">
        <w:rPr>
          <w:rFonts w:ascii="Arial" w:hAnsi="Arial" w:cs="Arial"/>
          <w:sz w:val="20"/>
          <w:szCs w:val="20"/>
        </w:rPr>
        <w:t xml:space="preserve"> effective conservation planning </w:t>
      </w:r>
      <w:r w:rsidR="007A5671" w:rsidRPr="00DF4212">
        <w:rPr>
          <w:rFonts w:ascii="Arial" w:hAnsi="Arial" w:cs="Arial"/>
          <w:sz w:val="20"/>
          <w:szCs w:val="20"/>
        </w:rPr>
        <w:t xml:space="preserve">and </w:t>
      </w:r>
      <w:r w:rsidR="007A5671" w:rsidRPr="00DF4212">
        <w:rPr>
          <w:rFonts w:ascii="Arial" w:hAnsi="Arial" w:cs="Arial"/>
          <w:i/>
          <w:iCs/>
          <w:sz w:val="20"/>
          <w:szCs w:val="20"/>
        </w:rPr>
        <w:t>in situ</w:t>
      </w:r>
      <w:r w:rsidR="007A5671" w:rsidRPr="00DF4212">
        <w:rPr>
          <w:rFonts w:ascii="Arial" w:hAnsi="Arial" w:cs="Arial"/>
          <w:sz w:val="20"/>
          <w:szCs w:val="20"/>
        </w:rPr>
        <w:t xml:space="preserve"> and </w:t>
      </w:r>
      <w:r w:rsidR="007A5671" w:rsidRPr="00DF4212">
        <w:rPr>
          <w:rFonts w:ascii="Arial" w:hAnsi="Arial" w:cs="Arial"/>
          <w:i/>
          <w:iCs/>
          <w:sz w:val="20"/>
          <w:szCs w:val="20"/>
        </w:rPr>
        <w:t>ex situ</w:t>
      </w:r>
      <w:r w:rsidR="007A5671" w:rsidRPr="00DF4212">
        <w:rPr>
          <w:rFonts w:ascii="Arial" w:hAnsi="Arial" w:cs="Arial"/>
          <w:sz w:val="20"/>
          <w:szCs w:val="20"/>
        </w:rPr>
        <w:t xml:space="preserve"> </w:t>
      </w:r>
      <w:r w:rsidRPr="00DF4212">
        <w:rPr>
          <w:rFonts w:ascii="Arial" w:hAnsi="Arial" w:cs="Arial"/>
          <w:sz w:val="20"/>
          <w:szCs w:val="20"/>
        </w:rPr>
        <w:t>germplasm management</w:t>
      </w:r>
      <w:r w:rsidR="00C655D2" w:rsidRPr="00DF4212">
        <w:rPr>
          <w:rFonts w:ascii="Arial" w:hAnsi="Arial" w:cs="Arial"/>
          <w:sz w:val="20"/>
          <w:szCs w:val="20"/>
        </w:rPr>
        <w:t xml:space="preserve"> initiatives</w:t>
      </w:r>
      <w:r w:rsidR="00702DDD" w:rsidRPr="00DF4212">
        <w:rPr>
          <w:rFonts w:ascii="Arial" w:hAnsi="Arial" w:cs="Arial"/>
          <w:sz w:val="20"/>
          <w:szCs w:val="20"/>
        </w:rPr>
        <w:t xml:space="preserve"> for the species</w:t>
      </w:r>
      <w:r w:rsidR="00C655D2" w:rsidRPr="00DF4212">
        <w:rPr>
          <w:rFonts w:ascii="Arial" w:hAnsi="Arial" w:cs="Arial"/>
          <w:sz w:val="20"/>
          <w:szCs w:val="20"/>
        </w:rPr>
        <w:t xml:space="preserve">. </w:t>
      </w:r>
      <w:r w:rsidR="005E5968" w:rsidRPr="00F079B0">
        <w:rPr>
          <w:rFonts w:ascii="Arial" w:hAnsi="Arial" w:cs="Arial"/>
          <w:sz w:val="20"/>
          <w:szCs w:val="20"/>
        </w:rPr>
        <w:t xml:space="preserve">The present work is the first report in developing DNA fingerprinting for </w:t>
      </w:r>
      <w:proofErr w:type="spellStart"/>
      <w:r w:rsidR="005E5968" w:rsidRPr="00F079B0">
        <w:rPr>
          <w:rFonts w:ascii="Arial" w:hAnsi="Arial" w:cs="Arial"/>
          <w:sz w:val="20"/>
          <w:szCs w:val="20"/>
        </w:rPr>
        <w:t>kendu</w:t>
      </w:r>
      <w:proofErr w:type="spellEnd"/>
      <w:r w:rsidR="005E5968" w:rsidRPr="00F079B0">
        <w:rPr>
          <w:rFonts w:ascii="Arial" w:hAnsi="Arial" w:cs="Arial"/>
          <w:sz w:val="20"/>
          <w:szCs w:val="20"/>
        </w:rPr>
        <w:t xml:space="preserve"> adopting RAPD, ISSR and SCoT molecular markers for further genetic diversity assessment.</w:t>
      </w:r>
    </w:p>
    <w:p w14:paraId="62B78AEB" w14:textId="7B4E3898" w:rsidR="00D60044" w:rsidRPr="00DF4212" w:rsidRDefault="00D60044" w:rsidP="00DF4212">
      <w:pPr>
        <w:spacing w:after="100" w:afterAutospacing="1" w:line="240" w:lineRule="auto"/>
        <w:jc w:val="both"/>
        <w:rPr>
          <w:rFonts w:ascii="Arial" w:hAnsi="Arial" w:cs="Arial"/>
          <w:sz w:val="20"/>
          <w:szCs w:val="20"/>
        </w:rPr>
      </w:pPr>
      <w:r w:rsidRPr="00DF4212">
        <w:rPr>
          <w:rFonts w:ascii="Arial" w:hAnsi="Arial" w:cs="Arial"/>
          <w:sz w:val="20"/>
          <w:szCs w:val="20"/>
        </w:rPr>
        <w:t xml:space="preserve">Previous studies on </w:t>
      </w:r>
      <w:r w:rsidRPr="00DF4212">
        <w:rPr>
          <w:rFonts w:ascii="Arial" w:hAnsi="Arial" w:cs="Arial"/>
          <w:i/>
          <w:iCs/>
          <w:sz w:val="20"/>
          <w:szCs w:val="20"/>
        </w:rPr>
        <w:t>D. melanoxylon</w:t>
      </w:r>
      <w:r w:rsidRPr="00DF4212">
        <w:rPr>
          <w:rFonts w:ascii="Arial" w:hAnsi="Arial" w:cs="Arial"/>
          <w:sz w:val="20"/>
          <w:szCs w:val="20"/>
        </w:rPr>
        <w:t xml:space="preserve"> have largely concentrated on its taxonomy, ecology, and phytochemical composition, </w:t>
      </w:r>
      <w:r w:rsidR="007A5671" w:rsidRPr="00DF4212">
        <w:rPr>
          <w:rFonts w:ascii="Arial" w:hAnsi="Arial" w:cs="Arial"/>
          <w:sz w:val="20"/>
          <w:szCs w:val="20"/>
        </w:rPr>
        <w:t xml:space="preserve">with an </w:t>
      </w:r>
      <w:r w:rsidR="00FA1456" w:rsidRPr="00DF4212">
        <w:rPr>
          <w:rFonts w:ascii="Arial" w:hAnsi="Arial" w:cs="Arial"/>
          <w:sz w:val="20"/>
          <w:szCs w:val="20"/>
        </w:rPr>
        <w:t>un-</w:t>
      </w:r>
      <w:r w:rsidR="007A5671" w:rsidRPr="00DF4212">
        <w:rPr>
          <w:rFonts w:ascii="Arial" w:hAnsi="Arial" w:cs="Arial"/>
          <w:sz w:val="20"/>
          <w:szCs w:val="20"/>
        </w:rPr>
        <w:t xml:space="preserve">explored </w:t>
      </w:r>
      <w:r w:rsidRPr="00DF4212">
        <w:rPr>
          <w:rFonts w:ascii="Arial" w:hAnsi="Arial" w:cs="Arial"/>
          <w:sz w:val="20"/>
          <w:szCs w:val="20"/>
        </w:rPr>
        <w:t xml:space="preserve">molecular </w:t>
      </w:r>
      <w:r w:rsidR="007A5671" w:rsidRPr="00DF4212">
        <w:rPr>
          <w:rFonts w:ascii="Arial" w:hAnsi="Arial" w:cs="Arial"/>
          <w:sz w:val="20"/>
          <w:szCs w:val="20"/>
        </w:rPr>
        <w:t xml:space="preserve">and </w:t>
      </w:r>
      <w:r w:rsidRPr="00DF4212">
        <w:rPr>
          <w:rFonts w:ascii="Arial" w:hAnsi="Arial" w:cs="Arial"/>
          <w:sz w:val="20"/>
          <w:szCs w:val="20"/>
        </w:rPr>
        <w:t>genetic diversity</w:t>
      </w:r>
      <w:r w:rsidR="007A5671" w:rsidRPr="00DF4212">
        <w:rPr>
          <w:rFonts w:ascii="Arial" w:hAnsi="Arial" w:cs="Arial"/>
          <w:sz w:val="20"/>
          <w:szCs w:val="20"/>
        </w:rPr>
        <w:t xml:space="preserve"> studies</w:t>
      </w:r>
      <w:r w:rsidRPr="00DF4212">
        <w:rPr>
          <w:rFonts w:ascii="Arial" w:hAnsi="Arial" w:cs="Arial"/>
          <w:sz w:val="20"/>
          <w:szCs w:val="20"/>
        </w:rPr>
        <w:t xml:space="preserve">. The limited genetic studies reported so far are often constrained by small sample sizes, </w:t>
      </w:r>
      <w:r w:rsidR="00D86B07" w:rsidRPr="00DF4212">
        <w:rPr>
          <w:rFonts w:ascii="Arial" w:hAnsi="Arial" w:cs="Arial"/>
          <w:sz w:val="20"/>
          <w:szCs w:val="20"/>
        </w:rPr>
        <w:t>narrow geographic representation</w:t>
      </w:r>
      <w:r w:rsidRPr="00DF4212">
        <w:rPr>
          <w:rFonts w:ascii="Arial" w:hAnsi="Arial" w:cs="Arial"/>
          <w:sz w:val="20"/>
          <w:szCs w:val="20"/>
        </w:rPr>
        <w:t xml:space="preserve"> or reliance on a single marker system</w:t>
      </w:r>
      <w:r w:rsidR="007A5671" w:rsidRPr="00DF4212">
        <w:rPr>
          <w:rFonts w:ascii="Arial" w:hAnsi="Arial" w:cs="Arial"/>
          <w:sz w:val="20"/>
          <w:szCs w:val="20"/>
        </w:rPr>
        <w:t xml:space="preserve"> </w:t>
      </w:r>
      <w:r w:rsidR="008121C0" w:rsidRPr="00DF4212">
        <w:rPr>
          <w:rFonts w:ascii="Arial" w:hAnsi="Arial" w:cs="Arial"/>
          <w:sz w:val="20"/>
          <w:szCs w:val="20"/>
        </w:rPr>
        <w:t>(</w:t>
      </w:r>
      <w:r w:rsidR="00F42B42" w:rsidRPr="00DF4212">
        <w:rPr>
          <w:rFonts w:ascii="Arial" w:hAnsi="Arial" w:cs="Arial"/>
          <w:sz w:val="20"/>
          <w:szCs w:val="20"/>
        </w:rPr>
        <w:t xml:space="preserve">Kumari </w:t>
      </w:r>
      <w:r w:rsidR="00FF3884">
        <w:rPr>
          <w:rFonts w:ascii="Arial" w:hAnsi="Arial" w:cs="Arial"/>
          <w:sz w:val="20"/>
          <w:szCs w:val="20"/>
        </w:rPr>
        <w:t>and Kumar</w:t>
      </w:r>
      <w:r w:rsidR="00F42B42" w:rsidRPr="00DF4212">
        <w:rPr>
          <w:rFonts w:ascii="Arial" w:hAnsi="Arial" w:cs="Arial"/>
          <w:sz w:val="20"/>
          <w:szCs w:val="20"/>
        </w:rPr>
        <w:t>, 2021</w:t>
      </w:r>
      <w:r w:rsidR="008121C0" w:rsidRPr="00DF4212">
        <w:rPr>
          <w:rFonts w:ascii="Arial" w:hAnsi="Arial" w:cs="Arial"/>
          <w:sz w:val="20"/>
          <w:szCs w:val="20"/>
        </w:rPr>
        <w:t>;</w:t>
      </w:r>
      <w:r w:rsidR="007506B7" w:rsidRPr="00DF4212">
        <w:rPr>
          <w:rFonts w:ascii="Arial" w:hAnsi="Arial" w:cs="Arial"/>
          <w:sz w:val="20"/>
          <w:szCs w:val="20"/>
        </w:rPr>
        <w:t xml:space="preserve"> </w:t>
      </w:r>
      <w:r w:rsidR="00F42B42" w:rsidRPr="00DF4212">
        <w:rPr>
          <w:rFonts w:ascii="Arial" w:hAnsi="Arial" w:cs="Arial"/>
          <w:sz w:val="20"/>
          <w:szCs w:val="20"/>
        </w:rPr>
        <w:t>Kumari and Kumar, 2020; Deng et al., 2015; Guan et al., 2020</w:t>
      </w:r>
      <w:r w:rsidR="008121C0" w:rsidRPr="00DF4212">
        <w:rPr>
          <w:rFonts w:ascii="Arial" w:hAnsi="Arial" w:cs="Arial"/>
          <w:sz w:val="20"/>
          <w:szCs w:val="20"/>
        </w:rPr>
        <w:t>)</w:t>
      </w:r>
      <w:r w:rsidR="001F15F4" w:rsidRPr="00DF4212">
        <w:rPr>
          <w:rFonts w:ascii="Arial" w:hAnsi="Arial" w:cs="Arial"/>
          <w:sz w:val="20"/>
          <w:szCs w:val="20"/>
        </w:rPr>
        <w:t>.</w:t>
      </w:r>
      <w:r w:rsidR="001A7D70" w:rsidRPr="00DF4212">
        <w:rPr>
          <w:rFonts w:ascii="Arial" w:hAnsi="Arial" w:cs="Arial"/>
          <w:sz w:val="20"/>
          <w:szCs w:val="20"/>
        </w:rPr>
        <w:t xml:space="preserve"> </w:t>
      </w:r>
      <w:r w:rsidRPr="00DF4212">
        <w:rPr>
          <w:rFonts w:ascii="Arial" w:hAnsi="Arial" w:cs="Arial"/>
          <w:sz w:val="20"/>
          <w:szCs w:val="20"/>
        </w:rPr>
        <w:t>Consequently, a comprehensive molecular characterization is essential to generate baseline information on the genetic composition of natural populations, which can guide conservation and sustainable management efforts</w:t>
      </w:r>
      <w:r w:rsidR="00451369" w:rsidRPr="00DF4212">
        <w:rPr>
          <w:rFonts w:ascii="Arial" w:hAnsi="Arial" w:cs="Arial"/>
          <w:sz w:val="20"/>
          <w:szCs w:val="20"/>
        </w:rPr>
        <w:t xml:space="preserve"> </w:t>
      </w:r>
      <w:r w:rsidR="00897A33" w:rsidRPr="00DF4212">
        <w:rPr>
          <w:rFonts w:ascii="Arial" w:hAnsi="Arial" w:cs="Arial"/>
          <w:sz w:val="20"/>
          <w:szCs w:val="20"/>
        </w:rPr>
        <w:t>(</w:t>
      </w:r>
      <w:r w:rsidR="00F42B42" w:rsidRPr="00DF4212">
        <w:rPr>
          <w:rFonts w:ascii="Arial" w:hAnsi="Arial" w:cs="Arial"/>
          <w:sz w:val="20"/>
          <w:szCs w:val="20"/>
        </w:rPr>
        <w:t>Surabhi et al., 2017</w:t>
      </w:r>
      <w:r w:rsidR="00855BA5">
        <w:rPr>
          <w:rFonts w:ascii="Arial" w:hAnsi="Arial" w:cs="Arial"/>
          <w:sz w:val="20"/>
          <w:szCs w:val="20"/>
        </w:rPr>
        <w:t>; Bertola et al., 2024</w:t>
      </w:r>
      <w:r w:rsidR="00897A33" w:rsidRPr="00DF4212">
        <w:rPr>
          <w:rFonts w:ascii="Arial" w:hAnsi="Arial" w:cs="Arial"/>
          <w:sz w:val="20"/>
          <w:szCs w:val="20"/>
        </w:rPr>
        <w:t>)</w:t>
      </w:r>
      <w:r w:rsidRPr="00DF4212">
        <w:rPr>
          <w:rFonts w:ascii="Arial" w:hAnsi="Arial" w:cs="Arial"/>
          <w:sz w:val="20"/>
          <w:szCs w:val="20"/>
        </w:rPr>
        <w:t>.</w:t>
      </w:r>
    </w:p>
    <w:p w14:paraId="5CA9871E" w14:textId="62FFB819" w:rsidR="00543182" w:rsidRPr="00DF4212" w:rsidRDefault="003F1A65" w:rsidP="00DF4212">
      <w:pPr>
        <w:spacing w:after="100" w:afterAutospacing="1" w:line="240" w:lineRule="auto"/>
        <w:jc w:val="both"/>
        <w:rPr>
          <w:rFonts w:ascii="Arial" w:hAnsi="Arial" w:cs="Arial"/>
          <w:sz w:val="20"/>
          <w:szCs w:val="20"/>
        </w:rPr>
      </w:pPr>
      <w:r w:rsidRPr="00DF4212">
        <w:rPr>
          <w:rFonts w:ascii="Arial" w:hAnsi="Arial" w:cs="Arial"/>
          <w:sz w:val="20"/>
          <w:szCs w:val="20"/>
        </w:rPr>
        <w:t>The objective</w:t>
      </w:r>
      <w:r w:rsidR="00DA50BC" w:rsidRPr="00DF4212">
        <w:rPr>
          <w:rFonts w:ascii="Arial" w:hAnsi="Arial" w:cs="Arial"/>
          <w:sz w:val="20"/>
          <w:szCs w:val="20"/>
        </w:rPr>
        <w:t>s</w:t>
      </w:r>
      <w:r w:rsidRPr="00DF4212">
        <w:rPr>
          <w:rFonts w:ascii="Arial" w:hAnsi="Arial" w:cs="Arial"/>
          <w:sz w:val="20"/>
          <w:szCs w:val="20"/>
        </w:rPr>
        <w:t xml:space="preserve"> of this study </w:t>
      </w:r>
      <w:r w:rsidR="00DA50BC" w:rsidRPr="00DF4212">
        <w:rPr>
          <w:rFonts w:ascii="Arial" w:hAnsi="Arial" w:cs="Arial"/>
          <w:sz w:val="20"/>
          <w:szCs w:val="20"/>
        </w:rPr>
        <w:t>were</w:t>
      </w:r>
      <w:r w:rsidRPr="00DF4212">
        <w:rPr>
          <w:rFonts w:ascii="Arial" w:hAnsi="Arial" w:cs="Arial"/>
          <w:sz w:val="20"/>
          <w:szCs w:val="20"/>
        </w:rPr>
        <w:t xml:space="preserve"> </w:t>
      </w:r>
      <w:r w:rsidR="00DA50BC" w:rsidRPr="00DF4212">
        <w:rPr>
          <w:rFonts w:ascii="Arial" w:hAnsi="Arial" w:cs="Arial"/>
          <w:sz w:val="20"/>
          <w:szCs w:val="20"/>
        </w:rPr>
        <w:t>(</w:t>
      </w:r>
      <w:proofErr w:type="spellStart"/>
      <w:r w:rsidR="00DA50BC" w:rsidRPr="00DF4212">
        <w:rPr>
          <w:rFonts w:ascii="Arial" w:hAnsi="Arial" w:cs="Arial"/>
          <w:sz w:val="20"/>
          <w:szCs w:val="20"/>
        </w:rPr>
        <w:t>i</w:t>
      </w:r>
      <w:proofErr w:type="spellEnd"/>
      <w:r w:rsidR="00DA50BC" w:rsidRPr="00DF4212">
        <w:rPr>
          <w:rFonts w:ascii="Arial" w:hAnsi="Arial" w:cs="Arial"/>
          <w:sz w:val="20"/>
          <w:szCs w:val="20"/>
        </w:rPr>
        <w:t xml:space="preserve">). </w:t>
      </w:r>
      <w:r w:rsidRPr="00DF4212">
        <w:rPr>
          <w:rFonts w:ascii="Arial" w:hAnsi="Arial" w:cs="Arial"/>
          <w:sz w:val="20"/>
          <w:szCs w:val="20"/>
        </w:rPr>
        <w:t xml:space="preserve">to optimize a reliable and efficient protocol for the isolation and purification of high-quality genomic DNA from </w:t>
      </w:r>
      <w:r w:rsidR="00DE104F" w:rsidRPr="00DF4212">
        <w:rPr>
          <w:rFonts w:ascii="Arial" w:hAnsi="Arial" w:cs="Arial"/>
          <w:i/>
          <w:iCs/>
          <w:sz w:val="20"/>
          <w:szCs w:val="20"/>
        </w:rPr>
        <w:t xml:space="preserve">D. </w:t>
      </w:r>
      <w:r w:rsidRPr="00DF4212">
        <w:rPr>
          <w:rFonts w:ascii="Arial" w:hAnsi="Arial" w:cs="Arial"/>
          <w:i/>
          <w:iCs/>
          <w:sz w:val="20"/>
          <w:szCs w:val="20"/>
        </w:rPr>
        <w:t>melanoxylon</w:t>
      </w:r>
      <w:r w:rsidRPr="00DF4212">
        <w:rPr>
          <w:rFonts w:ascii="Arial" w:hAnsi="Arial" w:cs="Arial"/>
          <w:sz w:val="20"/>
          <w:szCs w:val="20"/>
        </w:rPr>
        <w:t xml:space="preserve"> leaves</w:t>
      </w:r>
      <w:r w:rsidR="00DA50BC" w:rsidRPr="00DF4212">
        <w:rPr>
          <w:rFonts w:ascii="Arial" w:hAnsi="Arial" w:cs="Arial"/>
          <w:sz w:val="20"/>
          <w:szCs w:val="20"/>
        </w:rPr>
        <w:t>,</w:t>
      </w:r>
      <w:r w:rsidRPr="00DF4212">
        <w:rPr>
          <w:rFonts w:ascii="Arial" w:hAnsi="Arial" w:cs="Arial"/>
          <w:sz w:val="20"/>
          <w:szCs w:val="20"/>
        </w:rPr>
        <w:t xml:space="preserve"> </w:t>
      </w:r>
      <w:r w:rsidR="003D285F" w:rsidRPr="00DF4212">
        <w:rPr>
          <w:rFonts w:ascii="Arial" w:hAnsi="Arial" w:cs="Arial"/>
          <w:sz w:val="20"/>
          <w:szCs w:val="20"/>
        </w:rPr>
        <w:t xml:space="preserve">and </w:t>
      </w:r>
      <w:r w:rsidR="00DA50BC" w:rsidRPr="00DF4212">
        <w:rPr>
          <w:rFonts w:ascii="Arial" w:hAnsi="Arial" w:cs="Arial"/>
          <w:sz w:val="20"/>
          <w:szCs w:val="20"/>
        </w:rPr>
        <w:t xml:space="preserve">(ii). </w:t>
      </w:r>
      <w:r w:rsidRPr="00DF4212">
        <w:rPr>
          <w:rFonts w:ascii="Arial" w:hAnsi="Arial" w:cs="Arial"/>
          <w:sz w:val="20"/>
          <w:szCs w:val="20"/>
        </w:rPr>
        <w:t xml:space="preserve">standardize suitable </w:t>
      </w:r>
      <w:r w:rsidRPr="00DF4212">
        <w:rPr>
          <w:rFonts w:ascii="Arial" w:hAnsi="Arial" w:cs="Arial"/>
          <w:sz w:val="20"/>
          <w:szCs w:val="20"/>
        </w:rPr>
        <w:lastRenderedPageBreak/>
        <w:t xml:space="preserve">molecular markers, including </w:t>
      </w:r>
      <w:r w:rsidR="00A75A9B" w:rsidRPr="00DF4212">
        <w:rPr>
          <w:rFonts w:ascii="Arial" w:hAnsi="Arial" w:cs="Arial"/>
          <w:sz w:val="20"/>
          <w:szCs w:val="20"/>
        </w:rPr>
        <w:t>ISSR, RAPD, and SCoT</w:t>
      </w:r>
      <w:r w:rsidR="00D02157" w:rsidRPr="00DF4212">
        <w:rPr>
          <w:rFonts w:ascii="Arial" w:hAnsi="Arial" w:cs="Arial"/>
          <w:sz w:val="20"/>
          <w:szCs w:val="20"/>
        </w:rPr>
        <w:t>,</w:t>
      </w:r>
      <w:r w:rsidR="00A75A9B" w:rsidRPr="00DF4212">
        <w:rPr>
          <w:rFonts w:ascii="Arial" w:hAnsi="Arial" w:cs="Arial"/>
          <w:sz w:val="20"/>
          <w:szCs w:val="20"/>
        </w:rPr>
        <w:t xml:space="preserve"> </w:t>
      </w:r>
      <w:r w:rsidRPr="00DF4212">
        <w:rPr>
          <w:rFonts w:ascii="Arial" w:hAnsi="Arial" w:cs="Arial"/>
          <w:sz w:val="20"/>
          <w:szCs w:val="20"/>
        </w:rPr>
        <w:t xml:space="preserve">based on their </w:t>
      </w:r>
      <w:r w:rsidR="00831A12" w:rsidRPr="00DF4212">
        <w:rPr>
          <w:rFonts w:ascii="Arial" w:hAnsi="Arial" w:cs="Arial"/>
          <w:sz w:val="20"/>
          <w:szCs w:val="20"/>
        </w:rPr>
        <w:t xml:space="preserve">effective </w:t>
      </w:r>
      <w:r w:rsidR="00DA50BC" w:rsidRPr="00DF4212">
        <w:rPr>
          <w:rFonts w:ascii="Arial" w:hAnsi="Arial" w:cs="Arial"/>
          <w:sz w:val="20"/>
          <w:szCs w:val="20"/>
        </w:rPr>
        <w:t xml:space="preserve">genome </w:t>
      </w:r>
      <w:r w:rsidR="00831A12" w:rsidRPr="00DF4212">
        <w:rPr>
          <w:rFonts w:ascii="Arial" w:hAnsi="Arial" w:cs="Arial"/>
          <w:sz w:val="20"/>
          <w:szCs w:val="20"/>
        </w:rPr>
        <w:t>spanning ability</w:t>
      </w:r>
      <w:r w:rsidR="00DA50BC" w:rsidRPr="00DF4212">
        <w:rPr>
          <w:rFonts w:ascii="Arial" w:hAnsi="Arial" w:cs="Arial"/>
          <w:sz w:val="20"/>
          <w:szCs w:val="20"/>
        </w:rPr>
        <w:t>, reproducibility and reliability</w:t>
      </w:r>
      <w:r w:rsidRPr="00DF4212">
        <w:rPr>
          <w:rFonts w:ascii="Arial" w:hAnsi="Arial" w:cs="Arial"/>
          <w:sz w:val="20"/>
          <w:szCs w:val="20"/>
        </w:rPr>
        <w:t>. The ultimate goal was to support future genetic diversity</w:t>
      </w:r>
      <w:r w:rsidR="00451369" w:rsidRPr="00DF4212">
        <w:rPr>
          <w:rFonts w:ascii="Arial" w:hAnsi="Arial" w:cs="Arial"/>
          <w:sz w:val="20"/>
          <w:szCs w:val="20"/>
        </w:rPr>
        <w:t xml:space="preserve"> </w:t>
      </w:r>
      <w:r w:rsidR="00DA50BC" w:rsidRPr="00DF4212">
        <w:rPr>
          <w:rFonts w:ascii="Arial" w:hAnsi="Arial" w:cs="Arial"/>
          <w:sz w:val="20"/>
          <w:szCs w:val="20"/>
        </w:rPr>
        <w:t xml:space="preserve">assessment studies there by </w:t>
      </w:r>
      <w:r w:rsidR="00855BA5">
        <w:rPr>
          <w:rFonts w:ascii="Arial" w:hAnsi="Arial" w:cs="Arial"/>
          <w:sz w:val="20"/>
          <w:szCs w:val="20"/>
        </w:rPr>
        <w:t xml:space="preserve">facilitating </w:t>
      </w:r>
      <w:r w:rsidRPr="00DF4212">
        <w:rPr>
          <w:rFonts w:ascii="Arial" w:hAnsi="Arial" w:cs="Arial"/>
          <w:sz w:val="20"/>
          <w:szCs w:val="20"/>
        </w:rPr>
        <w:t>conservation</w:t>
      </w:r>
      <w:r w:rsidR="00451369" w:rsidRPr="00DF4212">
        <w:rPr>
          <w:rFonts w:ascii="Arial" w:hAnsi="Arial" w:cs="Arial"/>
          <w:sz w:val="20"/>
          <w:szCs w:val="20"/>
        </w:rPr>
        <w:t xml:space="preserve"> of field gene banks of </w:t>
      </w:r>
      <w:r w:rsidRPr="00DF4212">
        <w:rPr>
          <w:rFonts w:ascii="Arial" w:hAnsi="Arial" w:cs="Arial"/>
          <w:i/>
          <w:iCs/>
          <w:sz w:val="20"/>
          <w:szCs w:val="20"/>
        </w:rPr>
        <w:t>D. melanoxylon</w:t>
      </w:r>
      <w:r w:rsidR="00A64ADE" w:rsidRPr="00DF4212">
        <w:rPr>
          <w:rFonts w:ascii="Arial" w:hAnsi="Arial" w:cs="Arial"/>
          <w:sz w:val="20"/>
          <w:szCs w:val="20"/>
        </w:rPr>
        <w:t xml:space="preserve"> in </w:t>
      </w:r>
      <w:r w:rsidR="001F15F4" w:rsidRPr="00DF4212">
        <w:rPr>
          <w:rFonts w:ascii="Arial" w:hAnsi="Arial" w:cs="Arial"/>
          <w:sz w:val="20"/>
          <w:szCs w:val="20"/>
        </w:rPr>
        <w:t>O</w:t>
      </w:r>
      <w:r w:rsidR="00A64ADE" w:rsidRPr="00DF4212">
        <w:rPr>
          <w:rFonts w:ascii="Arial" w:hAnsi="Arial" w:cs="Arial"/>
          <w:sz w:val="20"/>
          <w:szCs w:val="20"/>
        </w:rPr>
        <w:t>disha.</w:t>
      </w:r>
      <w:r w:rsidR="00451369" w:rsidRPr="00DF4212">
        <w:rPr>
          <w:rFonts w:ascii="Arial" w:hAnsi="Arial" w:cs="Arial"/>
          <w:i/>
          <w:iCs/>
          <w:sz w:val="20"/>
          <w:szCs w:val="20"/>
        </w:rPr>
        <w:t xml:space="preserve"> </w:t>
      </w:r>
    </w:p>
    <w:p w14:paraId="787CD553" w14:textId="6A6883CE" w:rsidR="00760FC7" w:rsidRPr="00DF4212" w:rsidRDefault="0077495C" w:rsidP="00DF4212">
      <w:pPr>
        <w:spacing w:after="100" w:afterAutospacing="1" w:line="240" w:lineRule="auto"/>
        <w:jc w:val="both"/>
        <w:rPr>
          <w:rFonts w:ascii="Arial" w:hAnsi="Arial" w:cs="Arial"/>
          <w:b/>
          <w:bCs/>
          <w:sz w:val="22"/>
          <w:szCs w:val="22"/>
        </w:rPr>
      </w:pPr>
      <w:r w:rsidRPr="00DF4212">
        <w:rPr>
          <w:rFonts w:ascii="Arial" w:hAnsi="Arial" w:cs="Arial"/>
          <w:b/>
          <w:bCs/>
          <w:sz w:val="22"/>
          <w:szCs w:val="22"/>
        </w:rPr>
        <w:t>2</w:t>
      </w:r>
      <w:r w:rsidR="0014082E" w:rsidRPr="00DF4212">
        <w:rPr>
          <w:rFonts w:ascii="Arial" w:hAnsi="Arial" w:cs="Arial"/>
          <w:b/>
          <w:bCs/>
          <w:sz w:val="22"/>
          <w:szCs w:val="22"/>
        </w:rPr>
        <w:t>.</w:t>
      </w:r>
      <w:r w:rsidRPr="00DF4212">
        <w:rPr>
          <w:rFonts w:ascii="Arial" w:hAnsi="Arial" w:cs="Arial"/>
          <w:b/>
          <w:bCs/>
          <w:sz w:val="22"/>
          <w:szCs w:val="22"/>
        </w:rPr>
        <w:t xml:space="preserve"> </w:t>
      </w:r>
      <w:r w:rsidR="0014082E" w:rsidRPr="00DF4212">
        <w:rPr>
          <w:rFonts w:ascii="Arial" w:hAnsi="Arial" w:cs="Arial"/>
          <w:b/>
          <w:bCs/>
          <w:sz w:val="22"/>
          <w:szCs w:val="22"/>
        </w:rPr>
        <w:t>MATERIALS AND METHODS</w:t>
      </w:r>
    </w:p>
    <w:p w14:paraId="735EAA40" w14:textId="119F91D5" w:rsidR="00E065E2" w:rsidRPr="008C78CB" w:rsidRDefault="00362290" w:rsidP="00DF4212">
      <w:pPr>
        <w:spacing w:after="100" w:afterAutospacing="1" w:line="240" w:lineRule="auto"/>
        <w:jc w:val="both"/>
        <w:rPr>
          <w:rFonts w:ascii="Arial" w:hAnsi="Arial" w:cs="Arial"/>
          <w:b/>
          <w:bCs/>
        </w:rPr>
      </w:pPr>
      <w:r w:rsidRPr="00DF4212">
        <w:rPr>
          <w:rFonts w:ascii="Arial" w:hAnsi="Arial" w:cs="Arial"/>
          <w:b/>
          <w:bCs/>
          <w:sz w:val="22"/>
          <w:szCs w:val="22"/>
        </w:rPr>
        <w:t xml:space="preserve">2.1 </w:t>
      </w:r>
      <w:r w:rsidR="00E065E2" w:rsidRPr="00DF4212">
        <w:rPr>
          <w:rFonts w:ascii="Arial" w:hAnsi="Arial" w:cs="Arial"/>
          <w:b/>
          <w:bCs/>
          <w:sz w:val="22"/>
          <w:szCs w:val="22"/>
        </w:rPr>
        <w:t xml:space="preserve">Plant </w:t>
      </w:r>
      <w:r w:rsidR="001C2C01" w:rsidRPr="00DF4212">
        <w:rPr>
          <w:rFonts w:ascii="Arial" w:hAnsi="Arial" w:cs="Arial"/>
          <w:b/>
          <w:bCs/>
          <w:sz w:val="22"/>
          <w:szCs w:val="22"/>
        </w:rPr>
        <w:t>m</w:t>
      </w:r>
      <w:r w:rsidR="00E065E2" w:rsidRPr="00DF4212">
        <w:rPr>
          <w:rFonts w:ascii="Arial" w:hAnsi="Arial" w:cs="Arial"/>
          <w:b/>
          <w:bCs/>
          <w:sz w:val="22"/>
          <w:szCs w:val="22"/>
        </w:rPr>
        <w:t>aterial</w:t>
      </w:r>
      <w:r w:rsidR="00E065E2" w:rsidRPr="008C78CB">
        <w:rPr>
          <w:rFonts w:ascii="Arial" w:hAnsi="Arial" w:cs="Arial"/>
          <w:b/>
          <w:bCs/>
        </w:rPr>
        <w:t xml:space="preserve"> </w:t>
      </w:r>
    </w:p>
    <w:p w14:paraId="784FCF6A" w14:textId="0E07A2A8" w:rsidR="00DC7307" w:rsidRPr="00DF4212" w:rsidRDefault="0059016E" w:rsidP="00DF4212">
      <w:pPr>
        <w:spacing w:after="100" w:afterAutospacing="1" w:line="240" w:lineRule="auto"/>
        <w:jc w:val="both"/>
        <w:rPr>
          <w:rFonts w:ascii="Arial" w:hAnsi="Arial" w:cs="Arial"/>
          <w:b/>
          <w:bCs/>
          <w:sz w:val="20"/>
          <w:szCs w:val="20"/>
        </w:rPr>
      </w:pPr>
      <w:r w:rsidRPr="00DF4212">
        <w:rPr>
          <w:rFonts w:ascii="Arial" w:hAnsi="Arial" w:cs="Arial"/>
          <w:sz w:val="20"/>
          <w:szCs w:val="20"/>
        </w:rPr>
        <w:t>H</w:t>
      </w:r>
      <w:r w:rsidR="00E065E2" w:rsidRPr="00DF4212">
        <w:rPr>
          <w:rFonts w:ascii="Arial" w:hAnsi="Arial" w:cs="Arial"/>
          <w:sz w:val="20"/>
          <w:szCs w:val="20"/>
        </w:rPr>
        <w:t xml:space="preserve">ealthy </w:t>
      </w:r>
      <w:r w:rsidRPr="00DF4212">
        <w:rPr>
          <w:rFonts w:ascii="Arial" w:hAnsi="Arial" w:cs="Arial"/>
          <w:sz w:val="20"/>
          <w:szCs w:val="20"/>
        </w:rPr>
        <w:t xml:space="preserve">and disease-free </w:t>
      </w:r>
      <w:r w:rsidR="00E065E2" w:rsidRPr="00DF4212">
        <w:rPr>
          <w:rFonts w:ascii="Arial" w:hAnsi="Arial" w:cs="Arial"/>
          <w:sz w:val="20"/>
          <w:szCs w:val="20"/>
        </w:rPr>
        <w:t xml:space="preserve">leaves of </w:t>
      </w:r>
      <w:r w:rsidR="00E065E2" w:rsidRPr="00DF4212">
        <w:rPr>
          <w:rFonts w:ascii="Arial" w:hAnsi="Arial" w:cs="Arial"/>
          <w:i/>
          <w:iCs/>
          <w:sz w:val="20"/>
          <w:szCs w:val="20"/>
        </w:rPr>
        <w:t>D</w:t>
      </w:r>
      <w:r w:rsidR="00501703" w:rsidRPr="00DF4212">
        <w:rPr>
          <w:rFonts w:ascii="Arial" w:hAnsi="Arial" w:cs="Arial"/>
          <w:i/>
          <w:iCs/>
          <w:sz w:val="20"/>
          <w:szCs w:val="20"/>
        </w:rPr>
        <w:t>.</w:t>
      </w:r>
      <w:r w:rsidR="00E065E2" w:rsidRPr="00DF4212">
        <w:rPr>
          <w:rFonts w:ascii="Arial" w:hAnsi="Arial" w:cs="Arial"/>
          <w:i/>
          <w:iCs/>
          <w:sz w:val="20"/>
          <w:szCs w:val="20"/>
        </w:rPr>
        <w:t xml:space="preserve"> melanoxylon</w:t>
      </w:r>
      <w:r w:rsidR="00E065E2" w:rsidRPr="00DF4212">
        <w:rPr>
          <w:rFonts w:ascii="Arial" w:hAnsi="Arial" w:cs="Arial"/>
          <w:sz w:val="20"/>
          <w:szCs w:val="20"/>
        </w:rPr>
        <w:t xml:space="preserve"> </w:t>
      </w:r>
      <w:proofErr w:type="spellStart"/>
      <w:r w:rsidR="00E065E2" w:rsidRPr="00DF4212">
        <w:rPr>
          <w:rFonts w:ascii="Arial" w:hAnsi="Arial" w:cs="Arial"/>
          <w:sz w:val="20"/>
          <w:szCs w:val="20"/>
        </w:rPr>
        <w:t>Roxb</w:t>
      </w:r>
      <w:proofErr w:type="spellEnd"/>
      <w:r w:rsidR="00E065E2" w:rsidRPr="00DF4212">
        <w:rPr>
          <w:rFonts w:ascii="Arial" w:hAnsi="Arial" w:cs="Arial"/>
          <w:sz w:val="20"/>
          <w:szCs w:val="20"/>
        </w:rPr>
        <w:t xml:space="preserve">. were collected from </w:t>
      </w:r>
      <w:r w:rsidRPr="00DF4212">
        <w:rPr>
          <w:rFonts w:ascii="Arial" w:hAnsi="Arial" w:cs="Arial"/>
          <w:i/>
          <w:iCs/>
          <w:sz w:val="20"/>
          <w:szCs w:val="20"/>
        </w:rPr>
        <w:t>ex situ</w:t>
      </w:r>
      <w:r w:rsidRPr="00DF4212">
        <w:rPr>
          <w:rFonts w:ascii="Arial" w:hAnsi="Arial" w:cs="Arial"/>
          <w:sz w:val="20"/>
          <w:szCs w:val="20"/>
        </w:rPr>
        <w:t xml:space="preserve"> germplasm unit of </w:t>
      </w:r>
      <w:r w:rsidR="00E065E2" w:rsidRPr="00DF4212">
        <w:rPr>
          <w:rFonts w:ascii="Arial" w:hAnsi="Arial" w:cs="Arial"/>
          <w:sz w:val="20"/>
          <w:szCs w:val="20"/>
        </w:rPr>
        <w:t xml:space="preserve">Regional Plant Resource Centre (RPRC), Bhubaneswar, </w:t>
      </w:r>
      <w:r w:rsidR="00317999" w:rsidRPr="00DF4212">
        <w:rPr>
          <w:rFonts w:ascii="Arial" w:hAnsi="Arial" w:cs="Arial"/>
          <w:sz w:val="20"/>
          <w:szCs w:val="20"/>
        </w:rPr>
        <w:t>Odisha</w:t>
      </w:r>
      <w:r w:rsidRPr="00DF4212">
        <w:rPr>
          <w:rFonts w:ascii="Arial" w:hAnsi="Arial" w:cs="Arial"/>
          <w:sz w:val="20"/>
          <w:szCs w:val="20"/>
        </w:rPr>
        <w:t>,</w:t>
      </w:r>
      <w:r w:rsidR="00E065E2" w:rsidRPr="00DF4212">
        <w:rPr>
          <w:rFonts w:ascii="Arial" w:hAnsi="Arial" w:cs="Arial"/>
          <w:sz w:val="20"/>
          <w:szCs w:val="20"/>
        </w:rPr>
        <w:t xml:space="preserve"> to ensure the extraction of high-quality genomic DNA</w:t>
      </w:r>
      <w:r w:rsidRPr="00DF4212">
        <w:rPr>
          <w:rFonts w:ascii="Arial" w:hAnsi="Arial" w:cs="Arial"/>
          <w:sz w:val="20"/>
          <w:szCs w:val="20"/>
        </w:rPr>
        <w:t>.</w:t>
      </w:r>
      <w:r w:rsidR="00E065E2" w:rsidRPr="00DF4212">
        <w:rPr>
          <w:rFonts w:ascii="Arial" w:hAnsi="Arial" w:cs="Arial"/>
          <w:sz w:val="20"/>
          <w:szCs w:val="20"/>
        </w:rPr>
        <w:t xml:space="preserve"> </w:t>
      </w:r>
    </w:p>
    <w:p w14:paraId="6F6FDEBC" w14:textId="7BD50CC8" w:rsidR="00E065E2" w:rsidRPr="00DF4212" w:rsidRDefault="00362290" w:rsidP="00835FB2">
      <w:pPr>
        <w:spacing w:after="100" w:afterAutospacing="1" w:line="360" w:lineRule="auto"/>
        <w:jc w:val="both"/>
        <w:rPr>
          <w:rFonts w:ascii="Arial" w:hAnsi="Arial" w:cs="Arial"/>
          <w:b/>
          <w:bCs/>
          <w:sz w:val="22"/>
          <w:szCs w:val="22"/>
        </w:rPr>
      </w:pPr>
      <w:r w:rsidRPr="00DF4212">
        <w:rPr>
          <w:rFonts w:ascii="Arial" w:hAnsi="Arial" w:cs="Arial"/>
          <w:b/>
          <w:bCs/>
          <w:sz w:val="22"/>
          <w:szCs w:val="22"/>
        </w:rPr>
        <w:t xml:space="preserve">2.2 </w:t>
      </w:r>
      <w:r w:rsidR="00E065E2" w:rsidRPr="00DF4212">
        <w:rPr>
          <w:rFonts w:ascii="Arial" w:hAnsi="Arial" w:cs="Arial"/>
          <w:b/>
          <w:bCs/>
          <w:sz w:val="22"/>
          <w:szCs w:val="22"/>
        </w:rPr>
        <w:t xml:space="preserve">DNA </w:t>
      </w:r>
      <w:r w:rsidR="00620450" w:rsidRPr="00DF4212">
        <w:rPr>
          <w:rFonts w:ascii="Arial" w:hAnsi="Arial" w:cs="Arial"/>
          <w:b/>
          <w:bCs/>
          <w:sz w:val="22"/>
          <w:szCs w:val="22"/>
        </w:rPr>
        <w:t>i</w:t>
      </w:r>
      <w:r w:rsidR="00E065E2" w:rsidRPr="00DF4212">
        <w:rPr>
          <w:rFonts w:ascii="Arial" w:hAnsi="Arial" w:cs="Arial"/>
          <w:b/>
          <w:bCs/>
          <w:sz w:val="22"/>
          <w:szCs w:val="22"/>
        </w:rPr>
        <w:t>solation</w:t>
      </w:r>
      <w:r w:rsidR="002B6F58" w:rsidRPr="00DF4212">
        <w:rPr>
          <w:rFonts w:ascii="Arial" w:hAnsi="Arial" w:cs="Arial"/>
          <w:b/>
          <w:bCs/>
          <w:sz w:val="22"/>
          <w:szCs w:val="22"/>
        </w:rPr>
        <w:t xml:space="preserve">, quality and quantity check </w:t>
      </w:r>
    </w:p>
    <w:p w14:paraId="31C0D725" w14:textId="087407C5" w:rsidR="00E065E2" w:rsidRPr="00DF4212" w:rsidRDefault="00E065E2" w:rsidP="00DF4212">
      <w:pPr>
        <w:spacing w:after="100" w:afterAutospacing="1" w:line="240" w:lineRule="auto"/>
        <w:jc w:val="both"/>
        <w:rPr>
          <w:rFonts w:ascii="Arial" w:hAnsi="Arial" w:cs="Arial"/>
          <w:sz w:val="20"/>
          <w:szCs w:val="20"/>
        </w:rPr>
      </w:pPr>
      <w:r w:rsidRPr="00DF4212">
        <w:rPr>
          <w:rFonts w:ascii="Arial" w:hAnsi="Arial" w:cs="Arial"/>
          <w:sz w:val="20"/>
          <w:szCs w:val="20"/>
        </w:rPr>
        <w:t xml:space="preserve">Genomic DNA was isolated using the </w:t>
      </w:r>
      <w:proofErr w:type="spellStart"/>
      <w:r w:rsidRPr="00DF4212">
        <w:rPr>
          <w:rFonts w:ascii="Arial" w:hAnsi="Arial" w:cs="Arial"/>
          <w:sz w:val="20"/>
          <w:szCs w:val="20"/>
        </w:rPr>
        <w:t>DNeasy</w:t>
      </w:r>
      <w:proofErr w:type="spellEnd"/>
      <w:r w:rsidRPr="00DF4212">
        <w:rPr>
          <w:rFonts w:ascii="Arial" w:hAnsi="Arial" w:cs="Arial"/>
          <w:sz w:val="20"/>
          <w:szCs w:val="20"/>
        </w:rPr>
        <w:t xml:space="preserve"> Plant Mini Kit (Qiagen, Cat. No. 69104) according to the manufacturer’s instructions. </w:t>
      </w:r>
      <w:r w:rsidR="0059016E" w:rsidRPr="00DF4212">
        <w:rPr>
          <w:rFonts w:ascii="Arial" w:hAnsi="Arial" w:cs="Arial"/>
          <w:sz w:val="20"/>
          <w:szCs w:val="20"/>
        </w:rPr>
        <w:t xml:space="preserve">Briefly, </w:t>
      </w:r>
      <w:r w:rsidRPr="00DF4212">
        <w:rPr>
          <w:rFonts w:ascii="Arial" w:hAnsi="Arial" w:cs="Arial"/>
          <w:sz w:val="20"/>
          <w:szCs w:val="20"/>
        </w:rPr>
        <w:t xml:space="preserve">100 mg of finely chopped leaf tissue was </w:t>
      </w:r>
      <w:r w:rsidR="008A5C5F" w:rsidRPr="00DF4212">
        <w:rPr>
          <w:rFonts w:ascii="Arial" w:hAnsi="Arial" w:cs="Arial"/>
          <w:sz w:val="20"/>
          <w:szCs w:val="20"/>
        </w:rPr>
        <w:t>homogenized</w:t>
      </w:r>
      <w:r w:rsidRPr="00DF4212">
        <w:rPr>
          <w:rFonts w:ascii="Arial" w:hAnsi="Arial" w:cs="Arial"/>
          <w:sz w:val="20"/>
          <w:szCs w:val="20"/>
        </w:rPr>
        <w:t xml:space="preserve"> </w:t>
      </w:r>
      <w:r w:rsidR="00317999" w:rsidRPr="00DF4212">
        <w:rPr>
          <w:rFonts w:ascii="Arial" w:hAnsi="Arial" w:cs="Arial"/>
          <w:sz w:val="20"/>
          <w:szCs w:val="20"/>
        </w:rPr>
        <w:t xml:space="preserve">using </w:t>
      </w:r>
      <w:r w:rsidR="008A5C5F" w:rsidRPr="00DF4212">
        <w:rPr>
          <w:rFonts w:ascii="Arial" w:hAnsi="Arial" w:cs="Arial"/>
          <w:sz w:val="20"/>
          <w:szCs w:val="20"/>
        </w:rPr>
        <w:t xml:space="preserve">prechilled </w:t>
      </w:r>
      <w:r w:rsidR="00317999" w:rsidRPr="00DF4212">
        <w:rPr>
          <w:rFonts w:ascii="Arial" w:hAnsi="Arial" w:cs="Arial"/>
          <w:sz w:val="20"/>
          <w:szCs w:val="20"/>
        </w:rPr>
        <w:t>mortar and pestle</w:t>
      </w:r>
      <w:r w:rsidR="00620450" w:rsidRPr="00DF4212">
        <w:rPr>
          <w:rFonts w:ascii="Arial" w:hAnsi="Arial" w:cs="Arial"/>
          <w:sz w:val="20"/>
          <w:szCs w:val="20"/>
        </w:rPr>
        <w:t xml:space="preserve"> with liquid nitrogen.</w:t>
      </w:r>
      <w:r w:rsidRPr="00DF4212">
        <w:rPr>
          <w:rFonts w:ascii="Arial" w:hAnsi="Arial" w:cs="Arial"/>
          <w:sz w:val="20"/>
          <w:szCs w:val="20"/>
        </w:rPr>
        <w:t xml:space="preserve"> The homogenate was mixed with </w:t>
      </w:r>
      <w:r w:rsidR="008007D5" w:rsidRPr="00DF4212">
        <w:rPr>
          <w:rFonts w:ascii="Arial" w:hAnsi="Arial" w:cs="Arial"/>
          <w:sz w:val="20"/>
          <w:szCs w:val="20"/>
        </w:rPr>
        <w:t>b</w:t>
      </w:r>
      <w:r w:rsidRPr="00DF4212">
        <w:rPr>
          <w:rFonts w:ascii="Arial" w:hAnsi="Arial" w:cs="Arial"/>
          <w:sz w:val="20"/>
          <w:szCs w:val="20"/>
        </w:rPr>
        <w:t>uffer AP1 and RNase A to remove RNA contaminants and incubated at 65°C for 10 min</w:t>
      </w:r>
      <w:r w:rsidR="00620450" w:rsidRPr="00DF4212">
        <w:rPr>
          <w:rFonts w:ascii="Arial" w:hAnsi="Arial" w:cs="Arial"/>
          <w:sz w:val="20"/>
          <w:szCs w:val="20"/>
        </w:rPr>
        <w:t>.</w:t>
      </w:r>
      <w:r w:rsidRPr="00DF4212">
        <w:rPr>
          <w:rFonts w:ascii="Arial" w:hAnsi="Arial" w:cs="Arial"/>
          <w:sz w:val="20"/>
          <w:szCs w:val="20"/>
        </w:rPr>
        <w:t xml:space="preserve"> with gentle inversion. The lysate was clarified using </w:t>
      </w:r>
      <w:r w:rsidR="008007D5" w:rsidRPr="00DF4212">
        <w:rPr>
          <w:rFonts w:ascii="Arial" w:hAnsi="Arial" w:cs="Arial"/>
          <w:sz w:val="20"/>
          <w:szCs w:val="20"/>
        </w:rPr>
        <w:t>b</w:t>
      </w:r>
      <w:r w:rsidRPr="00DF4212">
        <w:rPr>
          <w:rFonts w:ascii="Arial" w:hAnsi="Arial" w:cs="Arial"/>
          <w:sz w:val="20"/>
          <w:szCs w:val="20"/>
        </w:rPr>
        <w:t xml:space="preserve">uffer P3 on ice, </w:t>
      </w:r>
      <w:r w:rsidR="00300889" w:rsidRPr="00DF4212">
        <w:rPr>
          <w:rFonts w:ascii="Arial" w:hAnsi="Arial" w:cs="Arial"/>
          <w:sz w:val="20"/>
          <w:szCs w:val="20"/>
        </w:rPr>
        <w:t>subsequently centrifuged at 14,000 rpm for 5 minutes to achieve clarification. The supernatant was carefully decanted into</w:t>
      </w:r>
      <w:r w:rsidR="00300889" w:rsidRPr="00DF4212" w:rsidDel="00300889">
        <w:rPr>
          <w:rFonts w:ascii="Arial" w:hAnsi="Arial" w:cs="Arial"/>
          <w:sz w:val="20"/>
          <w:szCs w:val="20"/>
        </w:rPr>
        <w:t xml:space="preserve"> </w:t>
      </w:r>
      <w:r w:rsidR="00300889" w:rsidRPr="00DF4212">
        <w:rPr>
          <w:rFonts w:ascii="Arial" w:hAnsi="Arial" w:cs="Arial"/>
          <w:sz w:val="20"/>
          <w:szCs w:val="20"/>
        </w:rPr>
        <w:t xml:space="preserve">a </w:t>
      </w:r>
      <w:proofErr w:type="spellStart"/>
      <w:r w:rsidRPr="00DF4212">
        <w:rPr>
          <w:rFonts w:ascii="Arial" w:hAnsi="Arial" w:cs="Arial"/>
          <w:sz w:val="20"/>
          <w:szCs w:val="20"/>
        </w:rPr>
        <w:t>QIAshredder</w:t>
      </w:r>
      <w:proofErr w:type="spellEnd"/>
      <w:r w:rsidRPr="00DF4212">
        <w:rPr>
          <w:rFonts w:ascii="Arial" w:hAnsi="Arial" w:cs="Arial"/>
          <w:sz w:val="20"/>
          <w:szCs w:val="20"/>
        </w:rPr>
        <w:t xml:space="preserve"> column to remove debris and then passed through a silica spin column to bind the DNA. The bound DNA was washed sequentially with </w:t>
      </w:r>
      <w:r w:rsidR="00620450" w:rsidRPr="00DF4212">
        <w:rPr>
          <w:rFonts w:ascii="Arial" w:hAnsi="Arial" w:cs="Arial"/>
          <w:sz w:val="20"/>
          <w:szCs w:val="20"/>
        </w:rPr>
        <w:t>b</w:t>
      </w:r>
      <w:r w:rsidRPr="00DF4212">
        <w:rPr>
          <w:rFonts w:ascii="Arial" w:hAnsi="Arial" w:cs="Arial"/>
          <w:sz w:val="20"/>
          <w:szCs w:val="20"/>
        </w:rPr>
        <w:t xml:space="preserve">uffer AW1 and </w:t>
      </w:r>
      <w:r w:rsidR="00620450" w:rsidRPr="00DF4212">
        <w:rPr>
          <w:rFonts w:ascii="Arial" w:hAnsi="Arial" w:cs="Arial"/>
          <w:sz w:val="20"/>
          <w:szCs w:val="20"/>
        </w:rPr>
        <w:t>b</w:t>
      </w:r>
      <w:r w:rsidRPr="00DF4212">
        <w:rPr>
          <w:rFonts w:ascii="Arial" w:hAnsi="Arial" w:cs="Arial"/>
          <w:sz w:val="20"/>
          <w:szCs w:val="20"/>
        </w:rPr>
        <w:t xml:space="preserve">uffer AW2 to remove proteins, phenolic compounds, and other inhibitors. Finally, the DNA was eluted with 50 µl of pre-warmed </w:t>
      </w:r>
      <w:r w:rsidR="0062076D" w:rsidRPr="00DF4212">
        <w:rPr>
          <w:rFonts w:ascii="Arial" w:hAnsi="Arial" w:cs="Arial"/>
          <w:sz w:val="20"/>
          <w:szCs w:val="20"/>
        </w:rPr>
        <w:t>b</w:t>
      </w:r>
      <w:r w:rsidRPr="00DF4212">
        <w:rPr>
          <w:rFonts w:ascii="Arial" w:hAnsi="Arial" w:cs="Arial"/>
          <w:sz w:val="20"/>
          <w:szCs w:val="20"/>
        </w:rPr>
        <w:t xml:space="preserve">uffer AE (65°C) to ensure maximum recovery and stored at </w:t>
      </w:r>
      <w:r w:rsidR="00620450" w:rsidRPr="00DF4212">
        <w:rPr>
          <w:rFonts w:ascii="Arial" w:hAnsi="Arial" w:cs="Arial"/>
          <w:sz w:val="20"/>
          <w:szCs w:val="20"/>
        </w:rPr>
        <w:t>-</w:t>
      </w:r>
      <w:r w:rsidRPr="00DF4212">
        <w:rPr>
          <w:rFonts w:ascii="Arial" w:hAnsi="Arial" w:cs="Arial"/>
          <w:sz w:val="20"/>
          <w:szCs w:val="20"/>
        </w:rPr>
        <w:t>20°C until further use.</w:t>
      </w:r>
    </w:p>
    <w:p w14:paraId="411684FA" w14:textId="1085C61A" w:rsidR="008007D5" w:rsidRPr="00DF4212" w:rsidRDefault="00E065E2" w:rsidP="00DF4212">
      <w:pPr>
        <w:spacing w:after="100" w:afterAutospacing="1" w:line="240" w:lineRule="auto"/>
        <w:jc w:val="both"/>
        <w:rPr>
          <w:rFonts w:ascii="Arial" w:hAnsi="Arial" w:cs="Arial"/>
          <w:sz w:val="20"/>
          <w:szCs w:val="20"/>
        </w:rPr>
      </w:pPr>
      <w:r w:rsidRPr="00DF4212">
        <w:rPr>
          <w:rFonts w:ascii="Arial" w:hAnsi="Arial" w:cs="Arial"/>
          <w:sz w:val="20"/>
          <w:szCs w:val="20"/>
        </w:rPr>
        <w:t xml:space="preserve">The concentration and purity of genomic DNA </w:t>
      </w:r>
      <w:r w:rsidR="0059016E" w:rsidRPr="00DF4212">
        <w:rPr>
          <w:rFonts w:ascii="Arial" w:hAnsi="Arial" w:cs="Arial"/>
          <w:sz w:val="20"/>
          <w:szCs w:val="20"/>
        </w:rPr>
        <w:t xml:space="preserve">was </w:t>
      </w:r>
      <w:r w:rsidRPr="00DF4212">
        <w:rPr>
          <w:rFonts w:ascii="Arial" w:hAnsi="Arial" w:cs="Arial"/>
          <w:sz w:val="20"/>
          <w:szCs w:val="20"/>
        </w:rPr>
        <w:t xml:space="preserve">assessed spectrophotometrically using a </w:t>
      </w:r>
      <w:proofErr w:type="spellStart"/>
      <w:r w:rsidRPr="00DF4212">
        <w:rPr>
          <w:rFonts w:ascii="Arial" w:hAnsi="Arial" w:cs="Arial"/>
          <w:sz w:val="20"/>
          <w:szCs w:val="20"/>
        </w:rPr>
        <w:t>NanoDrop</w:t>
      </w:r>
      <w:proofErr w:type="spellEnd"/>
      <w:r w:rsidRPr="00DF4212">
        <w:rPr>
          <w:rFonts w:ascii="Arial" w:hAnsi="Arial" w:cs="Arial"/>
          <w:sz w:val="20"/>
          <w:szCs w:val="20"/>
        </w:rPr>
        <w:t xml:space="preserve"> instrument by measuring absorbance at 260, 280, and 230 nm. The purity was evaluated based on the A260/280 and A260/230 ratios. </w:t>
      </w:r>
      <w:r w:rsidR="00141AA9" w:rsidRPr="00DF4212">
        <w:rPr>
          <w:rFonts w:ascii="Arial" w:hAnsi="Arial" w:cs="Arial"/>
          <w:sz w:val="20"/>
          <w:szCs w:val="20"/>
        </w:rPr>
        <w:t>An A260/280 ratio of 1.7</w:t>
      </w:r>
      <w:r w:rsidR="008C78CB" w:rsidRPr="00DF4212">
        <w:rPr>
          <w:rFonts w:ascii="Arial" w:hAnsi="Arial" w:cs="Arial"/>
          <w:sz w:val="20"/>
          <w:szCs w:val="20"/>
        </w:rPr>
        <w:t>-</w:t>
      </w:r>
      <w:r w:rsidR="00141AA9" w:rsidRPr="00DF4212">
        <w:rPr>
          <w:rFonts w:ascii="Arial" w:hAnsi="Arial" w:cs="Arial"/>
          <w:sz w:val="20"/>
          <w:szCs w:val="20"/>
        </w:rPr>
        <w:t>1.9 and an A260/230 ratio of 2.0</w:t>
      </w:r>
      <w:r w:rsidR="008C78CB" w:rsidRPr="00DF4212">
        <w:rPr>
          <w:rFonts w:ascii="Arial" w:hAnsi="Arial" w:cs="Arial"/>
          <w:sz w:val="20"/>
          <w:szCs w:val="20"/>
        </w:rPr>
        <w:t>-</w:t>
      </w:r>
      <w:r w:rsidR="00141AA9" w:rsidRPr="00DF4212">
        <w:rPr>
          <w:rFonts w:ascii="Arial" w:hAnsi="Arial" w:cs="Arial"/>
          <w:sz w:val="20"/>
          <w:szCs w:val="20"/>
        </w:rPr>
        <w:t xml:space="preserve">2.2 were regarded as indicative of high-quality DNA, </w:t>
      </w:r>
      <w:r w:rsidRPr="00DF4212">
        <w:rPr>
          <w:rFonts w:ascii="Arial" w:hAnsi="Arial" w:cs="Arial"/>
          <w:sz w:val="20"/>
          <w:szCs w:val="20"/>
        </w:rPr>
        <w:t>free from protein and polysaccharide contamination</w:t>
      </w:r>
      <w:r w:rsidR="00300889" w:rsidRPr="00DF4212">
        <w:rPr>
          <w:rFonts w:ascii="Arial" w:hAnsi="Arial" w:cs="Arial"/>
          <w:sz w:val="20"/>
          <w:szCs w:val="20"/>
        </w:rPr>
        <w:t xml:space="preserve"> </w:t>
      </w:r>
      <w:r w:rsidR="00897A33" w:rsidRPr="00DF4212">
        <w:rPr>
          <w:rFonts w:ascii="Arial" w:hAnsi="Arial" w:cs="Arial"/>
          <w:sz w:val="20"/>
          <w:szCs w:val="20"/>
        </w:rPr>
        <w:t>(</w:t>
      </w:r>
      <w:r w:rsidR="00EE7B0C" w:rsidRPr="00DF4212">
        <w:rPr>
          <w:rFonts w:ascii="Arial" w:hAnsi="Arial" w:cs="Arial"/>
          <w:sz w:val="20"/>
          <w:szCs w:val="20"/>
        </w:rPr>
        <w:t>Rossini et al., 2025</w:t>
      </w:r>
      <w:r w:rsidR="00897A33" w:rsidRPr="00DF4212">
        <w:rPr>
          <w:rFonts w:ascii="Arial" w:hAnsi="Arial" w:cs="Arial"/>
          <w:sz w:val="20"/>
          <w:szCs w:val="20"/>
        </w:rPr>
        <w:t>)</w:t>
      </w:r>
      <w:r w:rsidRPr="00DF4212">
        <w:rPr>
          <w:rFonts w:ascii="Arial" w:hAnsi="Arial" w:cs="Arial"/>
          <w:sz w:val="20"/>
          <w:szCs w:val="20"/>
        </w:rPr>
        <w:t>.</w:t>
      </w:r>
      <w:r w:rsidR="006E6E6A" w:rsidRPr="00DF4212">
        <w:rPr>
          <w:rFonts w:ascii="Arial" w:hAnsi="Arial" w:cs="Arial"/>
          <w:sz w:val="20"/>
          <w:szCs w:val="20"/>
        </w:rPr>
        <w:t xml:space="preserve"> </w:t>
      </w:r>
      <w:r w:rsidRPr="00DF4212">
        <w:rPr>
          <w:rFonts w:ascii="Arial" w:hAnsi="Arial" w:cs="Arial"/>
          <w:sz w:val="20"/>
          <w:szCs w:val="20"/>
        </w:rPr>
        <w:t>DNA concentration was standardized to</w:t>
      </w:r>
      <w:r w:rsidR="006E6E6A" w:rsidRPr="00DF4212">
        <w:rPr>
          <w:rFonts w:ascii="Arial" w:hAnsi="Arial" w:cs="Arial"/>
          <w:sz w:val="20"/>
          <w:szCs w:val="20"/>
        </w:rPr>
        <w:t xml:space="preserve"> </w:t>
      </w:r>
      <w:r w:rsidRPr="00DF4212">
        <w:rPr>
          <w:rFonts w:ascii="Arial" w:hAnsi="Arial" w:cs="Arial"/>
          <w:sz w:val="20"/>
          <w:szCs w:val="20"/>
        </w:rPr>
        <w:t>50ng/µl for PCR amplification</w:t>
      </w:r>
      <w:r w:rsidR="001D4848" w:rsidRPr="00DF4212">
        <w:rPr>
          <w:rFonts w:ascii="Arial" w:hAnsi="Arial" w:cs="Arial"/>
          <w:sz w:val="20"/>
          <w:szCs w:val="20"/>
        </w:rPr>
        <w:t xml:space="preserve">. </w:t>
      </w:r>
      <w:r w:rsidRPr="00DF4212">
        <w:rPr>
          <w:rFonts w:ascii="Arial" w:hAnsi="Arial" w:cs="Arial"/>
          <w:sz w:val="20"/>
          <w:szCs w:val="20"/>
        </w:rPr>
        <w:t xml:space="preserve">The integrity of extracted DNA was further verified by electrophoresis on a 0.8% (w/v) agarose gel prepared in 1×TAE buffer. </w:t>
      </w:r>
      <w:r w:rsidR="00EA3AD5" w:rsidRPr="00DF4212">
        <w:rPr>
          <w:rFonts w:ascii="Arial" w:hAnsi="Arial" w:cs="Arial"/>
          <w:sz w:val="20"/>
          <w:szCs w:val="20"/>
        </w:rPr>
        <w:t>The gel was resolved at 80 V, treated with ethidium bromide</w:t>
      </w:r>
      <w:r w:rsidR="00965098" w:rsidRPr="00DF4212">
        <w:rPr>
          <w:rFonts w:ascii="Arial" w:hAnsi="Arial" w:cs="Arial"/>
          <w:sz w:val="20"/>
          <w:szCs w:val="20"/>
        </w:rPr>
        <w:t xml:space="preserve"> (EtBr)</w:t>
      </w:r>
      <w:r w:rsidR="00EA3AD5" w:rsidRPr="00DF4212">
        <w:rPr>
          <w:rFonts w:ascii="Arial" w:hAnsi="Arial" w:cs="Arial"/>
          <w:sz w:val="20"/>
          <w:szCs w:val="20"/>
        </w:rPr>
        <w:t xml:space="preserve">, and imaged using a </w:t>
      </w:r>
      <w:proofErr w:type="spellStart"/>
      <w:r w:rsidR="00EA3AD5" w:rsidRPr="00DF4212">
        <w:rPr>
          <w:rFonts w:ascii="Arial" w:hAnsi="Arial" w:cs="Arial"/>
          <w:sz w:val="20"/>
          <w:szCs w:val="20"/>
        </w:rPr>
        <w:t>ChemiDoc</w:t>
      </w:r>
      <w:proofErr w:type="spellEnd"/>
      <w:r w:rsidR="00EA3AD5" w:rsidRPr="00DF4212">
        <w:rPr>
          <w:rFonts w:ascii="Arial" w:hAnsi="Arial" w:cs="Arial"/>
          <w:sz w:val="20"/>
          <w:szCs w:val="20"/>
        </w:rPr>
        <w:t xml:space="preserve"> documentation system (Bio-Rad, USA),</w:t>
      </w:r>
      <w:r w:rsidR="0059016E" w:rsidRPr="00DF4212">
        <w:rPr>
          <w:rFonts w:ascii="Arial" w:hAnsi="Arial" w:cs="Arial"/>
          <w:sz w:val="20"/>
          <w:szCs w:val="20"/>
        </w:rPr>
        <w:t xml:space="preserve"> </w:t>
      </w:r>
      <w:r w:rsidRPr="00DF4212">
        <w:rPr>
          <w:rFonts w:ascii="Arial" w:hAnsi="Arial" w:cs="Arial"/>
          <w:sz w:val="20"/>
          <w:szCs w:val="20"/>
        </w:rPr>
        <w:t>to confirm the presence of sharp, high-molecular-weight DNA bands without smearing, indicating intact DNA suitable for molecular analysis.</w:t>
      </w:r>
    </w:p>
    <w:p w14:paraId="0FC26FBE" w14:textId="12B4F918" w:rsidR="008007D5" w:rsidRPr="00DF4212" w:rsidRDefault="00362290" w:rsidP="00DF4212">
      <w:pPr>
        <w:spacing w:after="100" w:afterAutospacing="1" w:line="240" w:lineRule="auto"/>
        <w:jc w:val="both"/>
        <w:rPr>
          <w:rFonts w:ascii="Arial" w:hAnsi="Arial" w:cs="Arial"/>
          <w:b/>
          <w:bCs/>
          <w:sz w:val="22"/>
          <w:szCs w:val="22"/>
        </w:rPr>
      </w:pPr>
      <w:r w:rsidRPr="00DF4212">
        <w:rPr>
          <w:rFonts w:ascii="Arial" w:hAnsi="Arial" w:cs="Arial"/>
          <w:b/>
          <w:bCs/>
          <w:sz w:val="22"/>
          <w:szCs w:val="22"/>
        </w:rPr>
        <w:t xml:space="preserve">2.3 </w:t>
      </w:r>
      <w:r w:rsidR="002B6F58" w:rsidRPr="00DF4212">
        <w:rPr>
          <w:rFonts w:ascii="Arial" w:hAnsi="Arial" w:cs="Arial"/>
          <w:b/>
          <w:bCs/>
          <w:sz w:val="22"/>
          <w:szCs w:val="22"/>
        </w:rPr>
        <w:t xml:space="preserve">PCR screening of different markers </w:t>
      </w:r>
    </w:p>
    <w:p w14:paraId="6D909C0D" w14:textId="61E0F766" w:rsidR="00501703" w:rsidRPr="00413DA4" w:rsidRDefault="00501703" w:rsidP="00DF4212">
      <w:pPr>
        <w:spacing w:after="100" w:afterAutospacing="1" w:line="240" w:lineRule="auto"/>
        <w:jc w:val="both"/>
        <w:rPr>
          <w:rFonts w:ascii="Arial" w:hAnsi="Arial" w:cs="Arial"/>
          <w:sz w:val="20"/>
          <w:szCs w:val="20"/>
        </w:rPr>
      </w:pPr>
      <w:r w:rsidRPr="00413DA4">
        <w:rPr>
          <w:rFonts w:ascii="Arial" w:hAnsi="Arial" w:cs="Arial"/>
          <w:sz w:val="20"/>
          <w:szCs w:val="20"/>
        </w:rPr>
        <w:t xml:space="preserve">Primers were chosen following an initial </w:t>
      </w:r>
      <w:r w:rsidR="002B6F58" w:rsidRPr="00413DA4">
        <w:rPr>
          <w:rFonts w:ascii="Arial" w:hAnsi="Arial" w:cs="Arial"/>
          <w:sz w:val="20"/>
          <w:szCs w:val="20"/>
        </w:rPr>
        <w:t xml:space="preserve">PCR </w:t>
      </w:r>
      <w:r w:rsidRPr="00413DA4">
        <w:rPr>
          <w:rFonts w:ascii="Arial" w:hAnsi="Arial" w:cs="Arial"/>
          <w:sz w:val="20"/>
          <w:szCs w:val="20"/>
        </w:rPr>
        <w:t xml:space="preserve">screening that evaluated their ability to produce distinct, well-resolved, </w:t>
      </w:r>
      <w:r w:rsidR="002B6F58" w:rsidRPr="00413DA4">
        <w:rPr>
          <w:rFonts w:ascii="Arial" w:hAnsi="Arial" w:cs="Arial"/>
          <w:sz w:val="20"/>
          <w:szCs w:val="20"/>
        </w:rPr>
        <w:t xml:space="preserve">scorable banding pattern </w:t>
      </w:r>
      <w:r w:rsidRPr="00413DA4">
        <w:rPr>
          <w:rFonts w:ascii="Arial" w:hAnsi="Arial" w:cs="Arial"/>
          <w:sz w:val="20"/>
          <w:szCs w:val="20"/>
        </w:rPr>
        <w:t xml:space="preserve">using </w:t>
      </w:r>
      <w:r w:rsidRPr="00413DA4">
        <w:rPr>
          <w:rFonts w:ascii="Arial" w:hAnsi="Arial" w:cs="Arial"/>
          <w:i/>
          <w:iCs/>
          <w:sz w:val="20"/>
          <w:szCs w:val="20"/>
        </w:rPr>
        <w:t>D. melanoxylon</w:t>
      </w:r>
      <w:r w:rsidRPr="00413DA4">
        <w:rPr>
          <w:rFonts w:ascii="Arial" w:hAnsi="Arial" w:cs="Arial"/>
          <w:sz w:val="20"/>
          <w:szCs w:val="20"/>
        </w:rPr>
        <w:t xml:space="preserve"> genomic DNA. Primers that showed no amplification, generated very weak bands, or resulted in complex and difficult</w:t>
      </w:r>
      <w:r w:rsidR="000A7200" w:rsidRPr="00413DA4">
        <w:rPr>
          <w:rFonts w:ascii="Arial" w:hAnsi="Arial" w:cs="Arial"/>
          <w:sz w:val="20"/>
          <w:szCs w:val="20"/>
        </w:rPr>
        <w:t xml:space="preserve"> </w:t>
      </w:r>
      <w:r w:rsidRPr="00413DA4">
        <w:rPr>
          <w:rFonts w:ascii="Arial" w:hAnsi="Arial" w:cs="Arial"/>
          <w:sz w:val="20"/>
          <w:szCs w:val="20"/>
        </w:rPr>
        <w:t>to</w:t>
      </w:r>
      <w:r w:rsidR="000A7200" w:rsidRPr="00413DA4">
        <w:rPr>
          <w:rFonts w:ascii="Arial" w:hAnsi="Arial" w:cs="Arial"/>
          <w:sz w:val="20"/>
          <w:szCs w:val="20"/>
        </w:rPr>
        <w:t xml:space="preserve"> </w:t>
      </w:r>
      <w:r w:rsidRPr="00413DA4">
        <w:rPr>
          <w:rFonts w:ascii="Arial" w:hAnsi="Arial" w:cs="Arial"/>
          <w:sz w:val="20"/>
          <w:szCs w:val="20"/>
        </w:rPr>
        <w:t xml:space="preserve">interpret patterns were excluded from further consideration. Only those that consistently produced clear, reproducible, and informative banding profiles were retained for subsequent genetic </w:t>
      </w:r>
      <w:r w:rsidR="002B6F58" w:rsidRPr="00413DA4">
        <w:rPr>
          <w:rFonts w:ascii="Arial" w:hAnsi="Arial" w:cs="Arial"/>
          <w:sz w:val="20"/>
          <w:szCs w:val="20"/>
        </w:rPr>
        <w:t xml:space="preserve">diversity </w:t>
      </w:r>
      <w:r w:rsidRPr="00413DA4">
        <w:rPr>
          <w:rFonts w:ascii="Arial" w:hAnsi="Arial" w:cs="Arial"/>
          <w:sz w:val="20"/>
          <w:szCs w:val="20"/>
        </w:rPr>
        <w:t>analysis.</w:t>
      </w:r>
    </w:p>
    <w:p w14:paraId="6170BCC7" w14:textId="5C3B3D6E" w:rsidR="00FF3884" w:rsidRDefault="00501703" w:rsidP="00DF4212">
      <w:pPr>
        <w:spacing w:after="100" w:afterAutospacing="1" w:line="240" w:lineRule="auto"/>
        <w:jc w:val="both"/>
        <w:rPr>
          <w:rFonts w:ascii="Arial" w:hAnsi="Arial" w:cs="Arial"/>
          <w:sz w:val="20"/>
          <w:szCs w:val="20"/>
        </w:rPr>
      </w:pPr>
      <w:r w:rsidRPr="00413DA4">
        <w:rPr>
          <w:rFonts w:ascii="Arial" w:hAnsi="Arial" w:cs="Arial"/>
          <w:sz w:val="20"/>
          <w:szCs w:val="20"/>
        </w:rPr>
        <w:t>During the preliminary evaluation, 27 ISSR</w:t>
      </w:r>
      <w:r w:rsidR="002B6F58" w:rsidRPr="00413DA4">
        <w:rPr>
          <w:rFonts w:ascii="Arial" w:hAnsi="Arial" w:cs="Arial"/>
          <w:sz w:val="20"/>
          <w:szCs w:val="20"/>
        </w:rPr>
        <w:t>s</w:t>
      </w:r>
      <w:r w:rsidR="00A43000" w:rsidRPr="00413DA4">
        <w:rPr>
          <w:rFonts w:ascii="Arial" w:hAnsi="Arial" w:cs="Arial"/>
          <w:sz w:val="20"/>
          <w:szCs w:val="20"/>
        </w:rPr>
        <w:t xml:space="preserve"> </w:t>
      </w:r>
      <w:r w:rsidR="00897A33" w:rsidRPr="00413DA4">
        <w:rPr>
          <w:rFonts w:ascii="Arial" w:hAnsi="Arial" w:cs="Arial"/>
          <w:sz w:val="20"/>
          <w:szCs w:val="20"/>
        </w:rPr>
        <w:t>(</w:t>
      </w:r>
      <w:r w:rsidR="00EE7B0C" w:rsidRPr="00413DA4">
        <w:rPr>
          <w:rFonts w:ascii="Arial" w:hAnsi="Arial" w:cs="Arial"/>
          <w:sz w:val="20"/>
          <w:szCs w:val="20"/>
        </w:rPr>
        <w:t xml:space="preserve">Surabhi et al., 2017; Surabhi and </w:t>
      </w:r>
      <w:proofErr w:type="spellStart"/>
      <w:r w:rsidR="00EE7B0C" w:rsidRPr="00413DA4">
        <w:rPr>
          <w:rFonts w:ascii="Arial" w:hAnsi="Arial" w:cs="Arial"/>
          <w:sz w:val="20"/>
          <w:szCs w:val="20"/>
        </w:rPr>
        <w:t>Pattanayak</w:t>
      </w:r>
      <w:proofErr w:type="spellEnd"/>
      <w:r w:rsidR="00EE7B0C" w:rsidRPr="00413DA4">
        <w:rPr>
          <w:rFonts w:ascii="Arial" w:hAnsi="Arial" w:cs="Arial"/>
          <w:sz w:val="20"/>
          <w:szCs w:val="20"/>
        </w:rPr>
        <w:t>, 2015</w:t>
      </w:r>
      <w:r w:rsidR="00897A33" w:rsidRPr="00413DA4">
        <w:rPr>
          <w:rFonts w:ascii="Arial" w:hAnsi="Arial" w:cs="Arial"/>
          <w:sz w:val="20"/>
          <w:szCs w:val="20"/>
        </w:rPr>
        <w:t>)</w:t>
      </w:r>
      <w:r w:rsidRPr="00413DA4">
        <w:rPr>
          <w:rFonts w:ascii="Arial" w:hAnsi="Arial" w:cs="Arial"/>
          <w:sz w:val="20"/>
          <w:szCs w:val="20"/>
        </w:rPr>
        <w:t>, 15 RAPD</w:t>
      </w:r>
      <w:r w:rsidR="002B6F58" w:rsidRPr="00413DA4">
        <w:rPr>
          <w:rFonts w:ascii="Arial" w:hAnsi="Arial" w:cs="Arial"/>
          <w:sz w:val="20"/>
          <w:szCs w:val="20"/>
        </w:rPr>
        <w:t>s</w:t>
      </w:r>
      <w:r w:rsidR="00A43000" w:rsidRPr="00413DA4">
        <w:rPr>
          <w:rFonts w:ascii="Arial" w:hAnsi="Arial" w:cs="Arial"/>
          <w:sz w:val="20"/>
          <w:szCs w:val="20"/>
        </w:rPr>
        <w:t xml:space="preserve"> </w:t>
      </w:r>
      <w:r w:rsidR="00897A33" w:rsidRPr="00413DA4">
        <w:rPr>
          <w:rFonts w:ascii="Arial" w:hAnsi="Arial" w:cs="Arial"/>
          <w:sz w:val="20"/>
          <w:szCs w:val="20"/>
        </w:rPr>
        <w:t>(</w:t>
      </w:r>
      <w:r w:rsidR="00EE7B0C" w:rsidRPr="00413DA4">
        <w:rPr>
          <w:rFonts w:ascii="Arial" w:hAnsi="Arial" w:cs="Arial"/>
          <w:sz w:val="20"/>
          <w:szCs w:val="20"/>
        </w:rPr>
        <w:t>Kumar</w:t>
      </w:r>
      <w:r w:rsidR="00897A33" w:rsidRPr="00413DA4">
        <w:rPr>
          <w:rFonts w:ascii="Arial" w:hAnsi="Arial" w:cs="Arial"/>
          <w:sz w:val="20"/>
          <w:szCs w:val="20"/>
        </w:rPr>
        <w:t>i</w:t>
      </w:r>
      <w:r w:rsidR="00EE7B0C" w:rsidRPr="00413DA4">
        <w:rPr>
          <w:rFonts w:ascii="Arial" w:hAnsi="Arial" w:cs="Arial"/>
          <w:sz w:val="20"/>
          <w:szCs w:val="20"/>
        </w:rPr>
        <w:t xml:space="preserve"> </w:t>
      </w:r>
      <w:r w:rsidR="00FF3884">
        <w:rPr>
          <w:rFonts w:ascii="Arial" w:hAnsi="Arial" w:cs="Arial"/>
          <w:sz w:val="20"/>
          <w:szCs w:val="20"/>
        </w:rPr>
        <w:t>and Kumar</w:t>
      </w:r>
      <w:r w:rsidR="00EE7B0C" w:rsidRPr="00413DA4">
        <w:rPr>
          <w:rFonts w:ascii="Arial" w:hAnsi="Arial" w:cs="Arial"/>
          <w:sz w:val="20"/>
          <w:szCs w:val="20"/>
        </w:rPr>
        <w:t>, 2021</w:t>
      </w:r>
      <w:r w:rsidR="00897A33" w:rsidRPr="00413DA4">
        <w:rPr>
          <w:rFonts w:ascii="Arial" w:hAnsi="Arial" w:cs="Arial"/>
          <w:sz w:val="20"/>
          <w:szCs w:val="20"/>
        </w:rPr>
        <w:t>)</w:t>
      </w:r>
      <w:r w:rsidRPr="00413DA4">
        <w:rPr>
          <w:rFonts w:ascii="Arial" w:hAnsi="Arial" w:cs="Arial"/>
          <w:sz w:val="20"/>
          <w:szCs w:val="20"/>
        </w:rPr>
        <w:t>, and 9 SCoT primers</w:t>
      </w:r>
      <w:r w:rsidR="00A43000" w:rsidRPr="00413DA4">
        <w:rPr>
          <w:rFonts w:ascii="Arial" w:hAnsi="Arial" w:cs="Arial"/>
          <w:sz w:val="20"/>
          <w:szCs w:val="20"/>
        </w:rPr>
        <w:t xml:space="preserve"> </w:t>
      </w:r>
      <w:r w:rsidR="00897A33" w:rsidRPr="00413DA4">
        <w:rPr>
          <w:rFonts w:ascii="Arial" w:hAnsi="Arial" w:cs="Arial"/>
          <w:sz w:val="20"/>
          <w:szCs w:val="20"/>
        </w:rPr>
        <w:t>(Guan</w:t>
      </w:r>
      <w:r w:rsidR="00EE7B0C" w:rsidRPr="00413DA4">
        <w:rPr>
          <w:rFonts w:ascii="Arial" w:hAnsi="Arial" w:cs="Arial"/>
          <w:sz w:val="20"/>
          <w:szCs w:val="20"/>
        </w:rPr>
        <w:t xml:space="preserve"> et al., 202</w:t>
      </w:r>
      <w:r w:rsidR="00897A33" w:rsidRPr="00413DA4">
        <w:rPr>
          <w:rFonts w:ascii="Arial" w:hAnsi="Arial" w:cs="Arial"/>
          <w:sz w:val="20"/>
          <w:szCs w:val="20"/>
        </w:rPr>
        <w:t>0)</w:t>
      </w:r>
      <w:r w:rsidRPr="00413DA4">
        <w:rPr>
          <w:rFonts w:ascii="Arial" w:hAnsi="Arial" w:cs="Arial"/>
          <w:sz w:val="20"/>
          <w:szCs w:val="20"/>
        </w:rPr>
        <w:t xml:space="preserve"> (IDT, India) were assessed. Based on </w:t>
      </w:r>
      <w:r w:rsidR="008C78CB" w:rsidRPr="00413DA4">
        <w:rPr>
          <w:rFonts w:ascii="Arial" w:hAnsi="Arial" w:cs="Arial"/>
          <w:sz w:val="20"/>
          <w:szCs w:val="20"/>
        </w:rPr>
        <w:t xml:space="preserve">PCR </w:t>
      </w:r>
      <w:r w:rsidR="002B6F58" w:rsidRPr="00413DA4">
        <w:rPr>
          <w:rFonts w:ascii="Arial" w:hAnsi="Arial" w:cs="Arial"/>
          <w:sz w:val="20"/>
          <w:szCs w:val="20"/>
        </w:rPr>
        <w:t>screening</w:t>
      </w:r>
      <w:r w:rsidRPr="00413DA4">
        <w:rPr>
          <w:rFonts w:ascii="Arial" w:hAnsi="Arial" w:cs="Arial"/>
          <w:sz w:val="20"/>
          <w:szCs w:val="20"/>
        </w:rPr>
        <w:t xml:space="preserve">, 17 ISSR, </w:t>
      </w:r>
      <w:r w:rsidR="008C78CB" w:rsidRPr="00413DA4">
        <w:rPr>
          <w:rFonts w:ascii="Arial" w:hAnsi="Arial" w:cs="Arial"/>
          <w:sz w:val="20"/>
          <w:szCs w:val="20"/>
        </w:rPr>
        <w:t xml:space="preserve">all </w:t>
      </w:r>
      <w:r w:rsidRPr="00413DA4">
        <w:rPr>
          <w:rFonts w:ascii="Arial" w:hAnsi="Arial" w:cs="Arial"/>
          <w:sz w:val="20"/>
          <w:szCs w:val="20"/>
        </w:rPr>
        <w:t xml:space="preserve">RAPD and SCoT </w:t>
      </w:r>
      <w:r w:rsidR="002B6F58" w:rsidRPr="00413DA4">
        <w:rPr>
          <w:rFonts w:ascii="Arial" w:hAnsi="Arial" w:cs="Arial"/>
          <w:sz w:val="20"/>
          <w:szCs w:val="20"/>
        </w:rPr>
        <w:t xml:space="preserve">markers </w:t>
      </w:r>
      <w:r w:rsidRPr="00413DA4">
        <w:rPr>
          <w:rFonts w:ascii="Arial" w:hAnsi="Arial" w:cs="Arial"/>
          <w:sz w:val="20"/>
          <w:szCs w:val="20"/>
        </w:rPr>
        <w:t xml:space="preserve">were selected for </w:t>
      </w:r>
      <w:r w:rsidR="00574B58" w:rsidRPr="00413DA4">
        <w:rPr>
          <w:rFonts w:ascii="Arial" w:hAnsi="Arial" w:cs="Arial"/>
          <w:sz w:val="20"/>
          <w:szCs w:val="20"/>
        </w:rPr>
        <w:t xml:space="preserve">further </w:t>
      </w:r>
      <w:r w:rsidRPr="00413DA4">
        <w:rPr>
          <w:rFonts w:ascii="Arial" w:hAnsi="Arial" w:cs="Arial"/>
          <w:sz w:val="20"/>
          <w:szCs w:val="20"/>
        </w:rPr>
        <w:t xml:space="preserve">comprehensive analyses. </w:t>
      </w:r>
      <w:r w:rsidR="002B6F58" w:rsidRPr="00413DA4">
        <w:rPr>
          <w:rFonts w:ascii="Arial" w:hAnsi="Arial" w:cs="Arial"/>
          <w:sz w:val="20"/>
          <w:szCs w:val="20"/>
        </w:rPr>
        <w:t>Details</w:t>
      </w:r>
      <w:r w:rsidRPr="00413DA4">
        <w:rPr>
          <w:rFonts w:ascii="Arial" w:hAnsi="Arial" w:cs="Arial"/>
          <w:sz w:val="20"/>
          <w:szCs w:val="20"/>
        </w:rPr>
        <w:t xml:space="preserve"> </w:t>
      </w:r>
      <w:r w:rsidR="002B6F58" w:rsidRPr="00413DA4">
        <w:rPr>
          <w:rFonts w:ascii="Arial" w:hAnsi="Arial" w:cs="Arial"/>
          <w:sz w:val="20"/>
          <w:szCs w:val="20"/>
        </w:rPr>
        <w:t xml:space="preserve">of </w:t>
      </w:r>
      <w:r w:rsidRPr="00413DA4">
        <w:rPr>
          <w:rFonts w:ascii="Arial" w:hAnsi="Arial" w:cs="Arial"/>
          <w:sz w:val="20"/>
          <w:szCs w:val="20"/>
        </w:rPr>
        <w:t xml:space="preserve">primers </w:t>
      </w:r>
      <w:r w:rsidR="002B6F58" w:rsidRPr="00413DA4">
        <w:rPr>
          <w:rFonts w:ascii="Arial" w:hAnsi="Arial" w:cs="Arial"/>
          <w:sz w:val="20"/>
          <w:szCs w:val="20"/>
        </w:rPr>
        <w:t>considered in this study were</w:t>
      </w:r>
      <w:r w:rsidRPr="00413DA4">
        <w:rPr>
          <w:rFonts w:ascii="Arial" w:hAnsi="Arial" w:cs="Arial"/>
          <w:sz w:val="20"/>
          <w:szCs w:val="20"/>
        </w:rPr>
        <w:t xml:space="preserve"> </w:t>
      </w:r>
      <w:r w:rsidR="002B6F58" w:rsidRPr="00413DA4">
        <w:rPr>
          <w:rFonts w:ascii="Arial" w:hAnsi="Arial" w:cs="Arial"/>
          <w:sz w:val="20"/>
          <w:szCs w:val="20"/>
        </w:rPr>
        <w:t xml:space="preserve">depicted </w:t>
      </w:r>
      <w:r w:rsidRPr="00413DA4">
        <w:rPr>
          <w:rFonts w:ascii="Arial" w:hAnsi="Arial" w:cs="Arial"/>
          <w:sz w:val="20"/>
          <w:szCs w:val="20"/>
        </w:rPr>
        <w:t>in Table 1, 2, and 3.</w:t>
      </w:r>
    </w:p>
    <w:p w14:paraId="5B813E6B" w14:textId="492C17F1" w:rsidR="00620450" w:rsidRPr="00413DA4" w:rsidRDefault="00620450" w:rsidP="00DF4212">
      <w:pPr>
        <w:spacing w:after="100" w:afterAutospacing="1" w:line="240" w:lineRule="auto"/>
        <w:jc w:val="both"/>
        <w:rPr>
          <w:rFonts w:ascii="Arial" w:hAnsi="Arial" w:cs="Arial"/>
          <w:sz w:val="20"/>
          <w:szCs w:val="20"/>
        </w:rPr>
      </w:pPr>
      <w:r w:rsidRPr="00413DA4">
        <w:rPr>
          <w:rFonts w:ascii="Arial" w:hAnsi="Arial" w:cs="Arial"/>
          <w:sz w:val="20"/>
          <w:szCs w:val="20"/>
        </w:rPr>
        <w:t xml:space="preserve">DNA fingerprinting profiles were developed using </w:t>
      </w:r>
      <w:r w:rsidR="00B852A4" w:rsidRPr="00413DA4">
        <w:rPr>
          <w:rFonts w:ascii="Arial" w:hAnsi="Arial" w:cs="Arial"/>
          <w:sz w:val="20"/>
          <w:szCs w:val="20"/>
        </w:rPr>
        <w:t>ISSR, RAPD, and SCoT markers</w:t>
      </w:r>
      <w:r w:rsidRPr="00413DA4">
        <w:rPr>
          <w:rFonts w:ascii="Arial" w:hAnsi="Arial" w:cs="Arial"/>
          <w:sz w:val="20"/>
          <w:szCs w:val="20"/>
        </w:rPr>
        <w:t>.</w:t>
      </w:r>
      <w:r w:rsidR="00B852A4" w:rsidRPr="00413DA4">
        <w:rPr>
          <w:rFonts w:ascii="Arial" w:hAnsi="Arial" w:cs="Arial"/>
          <w:sz w:val="20"/>
          <w:szCs w:val="20"/>
        </w:rPr>
        <w:t xml:space="preserve"> </w:t>
      </w:r>
      <w:r w:rsidR="00CD35C6" w:rsidRPr="00413DA4">
        <w:rPr>
          <w:rFonts w:ascii="Arial" w:hAnsi="Arial" w:cs="Arial"/>
          <w:sz w:val="20"/>
          <w:szCs w:val="20"/>
        </w:rPr>
        <w:t>Several combinations of annealing temperatures, cycle numbers, and reagent concentrations were initially tested and the following conditions were established as the most effective for consistent amplification</w:t>
      </w:r>
      <w:r w:rsidR="008C78CB" w:rsidRPr="00413DA4">
        <w:rPr>
          <w:rFonts w:ascii="Arial" w:hAnsi="Arial" w:cs="Arial"/>
          <w:sz w:val="20"/>
          <w:szCs w:val="20"/>
        </w:rPr>
        <w:t>.</w:t>
      </w:r>
      <w:r w:rsidR="00CD35C6" w:rsidRPr="00413DA4">
        <w:rPr>
          <w:rFonts w:ascii="Arial" w:hAnsi="Arial" w:cs="Arial"/>
          <w:sz w:val="20"/>
          <w:szCs w:val="20"/>
        </w:rPr>
        <w:t xml:space="preserve"> </w:t>
      </w:r>
      <w:r w:rsidR="00B852A4" w:rsidRPr="00413DA4">
        <w:rPr>
          <w:rFonts w:ascii="Arial" w:hAnsi="Arial" w:cs="Arial"/>
          <w:sz w:val="20"/>
          <w:szCs w:val="20"/>
        </w:rPr>
        <w:t>For ISSR analysis, seventeen primers were selected based on their reproducibility, amplification clarity, and annealing efficiency. PCR amplification was carried out in a total reaction volume of 25 µl containing 2.5 µl of 10× Taq buffer A (with 15 mM MgCl</w:t>
      </w:r>
      <w:r w:rsidR="00B852A4" w:rsidRPr="00413DA4">
        <w:rPr>
          <w:rFonts w:ascii="Cambria Math" w:hAnsi="Cambria Math" w:cs="Cambria Math"/>
          <w:sz w:val="20"/>
          <w:szCs w:val="20"/>
        </w:rPr>
        <w:t>₂</w:t>
      </w:r>
      <w:r w:rsidR="00B852A4" w:rsidRPr="00413DA4">
        <w:rPr>
          <w:rFonts w:ascii="Arial" w:hAnsi="Arial" w:cs="Arial"/>
          <w:sz w:val="20"/>
          <w:szCs w:val="20"/>
        </w:rPr>
        <w:t>), 0.3 µl of 25 mM MgCl</w:t>
      </w:r>
      <w:r w:rsidR="00B852A4" w:rsidRPr="00413DA4">
        <w:rPr>
          <w:rFonts w:ascii="Cambria Math" w:hAnsi="Cambria Math" w:cs="Cambria Math"/>
          <w:sz w:val="20"/>
          <w:szCs w:val="20"/>
        </w:rPr>
        <w:t>₂</w:t>
      </w:r>
      <w:r w:rsidR="00B852A4" w:rsidRPr="00413DA4">
        <w:rPr>
          <w:rFonts w:ascii="Arial" w:hAnsi="Arial" w:cs="Arial"/>
          <w:sz w:val="20"/>
          <w:szCs w:val="20"/>
        </w:rPr>
        <w:t>, 1.0 µl of 10 mM dNTPs, 0.2 µl of Taq DNA polymerase (5 U/µl), 1.0 µl of primer (10 µM), and 1.0 µl of genomic DNA (50 ng/µl), with nuclease-free water making up the final volume</w:t>
      </w:r>
      <w:r w:rsidR="008A5C5F" w:rsidRPr="00413DA4">
        <w:rPr>
          <w:rFonts w:ascii="Arial" w:hAnsi="Arial" w:cs="Arial"/>
          <w:sz w:val="20"/>
          <w:szCs w:val="20"/>
        </w:rPr>
        <w:t xml:space="preserve"> </w:t>
      </w:r>
      <w:r w:rsidR="00897A33" w:rsidRPr="00413DA4">
        <w:rPr>
          <w:rFonts w:ascii="Arial" w:hAnsi="Arial" w:cs="Arial"/>
          <w:sz w:val="20"/>
          <w:szCs w:val="20"/>
        </w:rPr>
        <w:t>(</w:t>
      </w:r>
      <w:r w:rsidR="00EE7B0C" w:rsidRPr="00413DA4">
        <w:rPr>
          <w:rFonts w:ascii="Arial" w:hAnsi="Arial" w:cs="Arial"/>
          <w:sz w:val="20"/>
          <w:szCs w:val="20"/>
        </w:rPr>
        <w:t>Surabhi et al., 2017</w:t>
      </w:r>
      <w:r w:rsidR="00897A33" w:rsidRPr="00413DA4">
        <w:rPr>
          <w:rFonts w:ascii="Arial" w:hAnsi="Arial" w:cs="Arial"/>
          <w:sz w:val="20"/>
          <w:szCs w:val="20"/>
        </w:rPr>
        <w:t>)</w:t>
      </w:r>
      <w:r w:rsidR="00B852A4" w:rsidRPr="00413DA4">
        <w:rPr>
          <w:rFonts w:ascii="Arial" w:hAnsi="Arial" w:cs="Arial"/>
          <w:sz w:val="20"/>
          <w:szCs w:val="20"/>
        </w:rPr>
        <w:t xml:space="preserve">. </w:t>
      </w:r>
      <w:r w:rsidR="009A7696" w:rsidRPr="00413DA4">
        <w:rPr>
          <w:rFonts w:ascii="Arial" w:hAnsi="Arial" w:cs="Arial"/>
          <w:sz w:val="20"/>
          <w:szCs w:val="20"/>
        </w:rPr>
        <w:t xml:space="preserve"> For ISSR markers, the PCR </w:t>
      </w:r>
      <w:r w:rsidR="009A7696" w:rsidRPr="00413DA4">
        <w:rPr>
          <w:rFonts w:ascii="Arial" w:hAnsi="Arial" w:cs="Arial"/>
          <w:sz w:val="20"/>
          <w:szCs w:val="20"/>
        </w:rPr>
        <w:lastRenderedPageBreak/>
        <w:t>programme consisted of an initial denaturation at 94°C for 2 min, followed by 40</w:t>
      </w:r>
      <w:r w:rsidR="008C78CB" w:rsidRPr="00413DA4">
        <w:rPr>
          <w:rFonts w:ascii="Arial" w:hAnsi="Arial" w:cs="Arial"/>
          <w:sz w:val="20"/>
          <w:szCs w:val="20"/>
        </w:rPr>
        <w:t xml:space="preserve"> </w:t>
      </w:r>
      <w:r w:rsidR="009A7696" w:rsidRPr="00413DA4">
        <w:rPr>
          <w:rFonts w:ascii="Arial" w:hAnsi="Arial" w:cs="Arial"/>
          <w:sz w:val="20"/>
          <w:szCs w:val="20"/>
        </w:rPr>
        <w:t xml:space="preserve">cycles of denaturation at 94°C for 30 sec, primer-specific annealing </w:t>
      </w:r>
      <w:r w:rsidR="008C78CB" w:rsidRPr="00413DA4">
        <w:rPr>
          <w:rFonts w:ascii="Arial" w:hAnsi="Arial" w:cs="Arial"/>
          <w:sz w:val="20"/>
          <w:szCs w:val="20"/>
        </w:rPr>
        <w:t xml:space="preserve">range between </w:t>
      </w:r>
      <w:r w:rsidR="009A7696" w:rsidRPr="00413DA4">
        <w:rPr>
          <w:rFonts w:ascii="Arial" w:hAnsi="Arial" w:cs="Arial"/>
          <w:sz w:val="20"/>
          <w:szCs w:val="20"/>
        </w:rPr>
        <w:t xml:space="preserve">30-48°C for 1 min, and extension at 72°C for 2 min, with a final extension at 72°C for 7 min and a final step of 4°C (hold). </w:t>
      </w:r>
    </w:p>
    <w:p w14:paraId="1723C29E" w14:textId="481AE9BD" w:rsidR="009A7696" w:rsidRPr="00413DA4" w:rsidRDefault="00B852A4" w:rsidP="00DF4212">
      <w:pPr>
        <w:spacing w:after="100" w:afterAutospacing="1" w:line="240" w:lineRule="auto"/>
        <w:jc w:val="both"/>
        <w:rPr>
          <w:rFonts w:ascii="Arial" w:hAnsi="Arial" w:cs="Arial"/>
          <w:sz w:val="20"/>
          <w:szCs w:val="20"/>
        </w:rPr>
      </w:pPr>
      <w:r w:rsidRPr="00413DA4">
        <w:rPr>
          <w:rFonts w:ascii="Arial" w:hAnsi="Arial" w:cs="Arial"/>
          <w:sz w:val="20"/>
          <w:szCs w:val="20"/>
        </w:rPr>
        <w:t>RAPD amplification was performed using fifteen decamer primers chosen for their ability to generate clear and reproducible banding profiles. Each 25 µl reaction comprised 2.5 µl of 10× Taq buffer A, 0.5 µl of 25 mM MgCl</w:t>
      </w:r>
      <w:r w:rsidRPr="00413DA4">
        <w:rPr>
          <w:rFonts w:ascii="Cambria Math" w:hAnsi="Cambria Math" w:cs="Cambria Math"/>
          <w:sz w:val="20"/>
          <w:szCs w:val="20"/>
        </w:rPr>
        <w:t>₂</w:t>
      </w:r>
      <w:r w:rsidRPr="00413DA4">
        <w:rPr>
          <w:rFonts w:ascii="Arial" w:hAnsi="Arial" w:cs="Arial"/>
          <w:sz w:val="20"/>
          <w:szCs w:val="20"/>
        </w:rPr>
        <w:t>, 2.0 µl of 10 mM dNTPs, 0.2 µl of Taq DNA polymerase (5 U/µl), 1.5 µl of primer (10 µM), and 1.0 µl of genomic DNA (50 ng/µl), with sterile water added to make up the total volume</w:t>
      </w:r>
      <w:r w:rsidR="008A5C5F" w:rsidRPr="00413DA4">
        <w:rPr>
          <w:rFonts w:ascii="Arial" w:hAnsi="Arial" w:cs="Arial"/>
          <w:sz w:val="20"/>
          <w:szCs w:val="20"/>
        </w:rPr>
        <w:t xml:space="preserve"> </w:t>
      </w:r>
      <w:r w:rsidR="00897A33" w:rsidRPr="00413DA4">
        <w:rPr>
          <w:rFonts w:ascii="Arial" w:hAnsi="Arial" w:cs="Arial"/>
          <w:sz w:val="20"/>
          <w:szCs w:val="20"/>
        </w:rPr>
        <w:t>(</w:t>
      </w:r>
      <w:r w:rsidR="00EE7B0C" w:rsidRPr="00413DA4">
        <w:rPr>
          <w:rFonts w:ascii="Arial" w:hAnsi="Arial" w:cs="Arial"/>
          <w:sz w:val="20"/>
          <w:szCs w:val="20"/>
        </w:rPr>
        <w:t xml:space="preserve">Kumari </w:t>
      </w:r>
      <w:r w:rsidR="00FF3884">
        <w:rPr>
          <w:rFonts w:ascii="Arial" w:hAnsi="Arial" w:cs="Arial"/>
          <w:sz w:val="20"/>
          <w:szCs w:val="20"/>
        </w:rPr>
        <w:t>and Kumar</w:t>
      </w:r>
      <w:r w:rsidR="00EE7B0C" w:rsidRPr="00413DA4">
        <w:rPr>
          <w:rFonts w:ascii="Arial" w:hAnsi="Arial" w:cs="Arial"/>
          <w:sz w:val="20"/>
          <w:szCs w:val="20"/>
        </w:rPr>
        <w:t>, 2021</w:t>
      </w:r>
      <w:r w:rsidR="00897A33" w:rsidRPr="00413DA4">
        <w:rPr>
          <w:rFonts w:ascii="Arial" w:hAnsi="Arial" w:cs="Arial"/>
          <w:sz w:val="20"/>
          <w:szCs w:val="20"/>
        </w:rPr>
        <w:t>)</w:t>
      </w:r>
      <w:r w:rsidR="008A5C5F" w:rsidRPr="00413DA4">
        <w:rPr>
          <w:rFonts w:ascii="Arial" w:hAnsi="Arial" w:cs="Arial"/>
          <w:sz w:val="20"/>
          <w:szCs w:val="20"/>
        </w:rPr>
        <w:t>.</w:t>
      </w:r>
      <w:r w:rsidRPr="00413DA4">
        <w:rPr>
          <w:rFonts w:ascii="Arial" w:hAnsi="Arial" w:cs="Arial"/>
          <w:sz w:val="20"/>
          <w:szCs w:val="20"/>
        </w:rPr>
        <w:t xml:space="preserve"> </w:t>
      </w:r>
      <w:r w:rsidR="009A7696" w:rsidRPr="00413DA4">
        <w:rPr>
          <w:rFonts w:ascii="Arial" w:hAnsi="Arial" w:cs="Arial"/>
          <w:sz w:val="20"/>
          <w:szCs w:val="20"/>
        </w:rPr>
        <w:t xml:space="preserve"> For RAPD amplification, the optimized programme included an initial denaturation at 94°C for 4 min, followed by 44 cycles of denaturation at 94°C for 1 min, annealing at 40°C for 1 minute, and extension at 72°C for 2 min, concluding with a final extension at 72°C for 15 min and a final step of 4°C (hold</w:t>
      </w:r>
      <w:r w:rsidR="001F15F4" w:rsidRPr="00413DA4">
        <w:rPr>
          <w:rFonts w:ascii="Arial" w:hAnsi="Arial" w:cs="Arial"/>
          <w:sz w:val="20"/>
          <w:szCs w:val="20"/>
        </w:rPr>
        <w:t xml:space="preserve">) </w:t>
      </w:r>
      <w:r w:rsidR="00897A33" w:rsidRPr="00413DA4">
        <w:rPr>
          <w:rFonts w:ascii="Arial" w:hAnsi="Arial" w:cs="Arial"/>
          <w:sz w:val="20"/>
          <w:szCs w:val="20"/>
        </w:rPr>
        <w:t>(</w:t>
      </w:r>
      <w:r w:rsidR="00EE7B0C" w:rsidRPr="00413DA4">
        <w:rPr>
          <w:rFonts w:ascii="Arial" w:hAnsi="Arial" w:cs="Arial"/>
          <w:sz w:val="20"/>
          <w:szCs w:val="20"/>
        </w:rPr>
        <w:t>Kumari and Kumar, 2020</w:t>
      </w:r>
      <w:r w:rsidR="00897A33" w:rsidRPr="00413DA4">
        <w:rPr>
          <w:rFonts w:ascii="Arial" w:hAnsi="Arial" w:cs="Arial"/>
          <w:sz w:val="20"/>
          <w:szCs w:val="20"/>
        </w:rPr>
        <w:t>)</w:t>
      </w:r>
      <w:r w:rsidR="009A7696" w:rsidRPr="00413DA4">
        <w:rPr>
          <w:rFonts w:ascii="Arial" w:hAnsi="Arial" w:cs="Arial"/>
          <w:sz w:val="20"/>
          <w:szCs w:val="20"/>
        </w:rPr>
        <w:t xml:space="preserve">. </w:t>
      </w:r>
    </w:p>
    <w:p w14:paraId="6BF12F0F" w14:textId="4D121C89" w:rsidR="009A7696" w:rsidRPr="00413DA4" w:rsidRDefault="00492889" w:rsidP="00DF4212">
      <w:pPr>
        <w:spacing w:after="100" w:afterAutospacing="1" w:line="240" w:lineRule="auto"/>
        <w:jc w:val="both"/>
        <w:rPr>
          <w:rFonts w:ascii="Arial" w:hAnsi="Arial" w:cs="Arial"/>
          <w:sz w:val="20"/>
          <w:szCs w:val="20"/>
        </w:rPr>
      </w:pPr>
      <w:r w:rsidRPr="00413DA4">
        <w:rPr>
          <w:rFonts w:ascii="Arial" w:hAnsi="Arial" w:cs="Arial"/>
          <w:sz w:val="20"/>
          <w:szCs w:val="20"/>
        </w:rPr>
        <w:t xml:space="preserve">As part of the optimization process, PCR reactions were evaluated at 36, 40, and 42 cycles to identify the most effective amplification regime. </w:t>
      </w:r>
      <w:r w:rsidR="009A7696" w:rsidRPr="00413DA4">
        <w:rPr>
          <w:rFonts w:ascii="Arial" w:hAnsi="Arial" w:cs="Arial"/>
          <w:sz w:val="20"/>
          <w:szCs w:val="20"/>
        </w:rPr>
        <w:t xml:space="preserve">SCoT marker amplification was conducted to detect gene-targeted polymorphisms associated with the conserved ATG start codon regions. PCR reactions </w:t>
      </w:r>
      <w:r w:rsidRPr="00413DA4">
        <w:rPr>
          <w:rFonts w:ascii="Arial" w:hAnsi="Arial" w:cs="Arial"/>
          <w:sz w:val="20"/>
          <w:szCs w:val="20"/>
        </w:rPr>
        <w:t xml:space="preserve">was </w:t>
      </w:r>
      <w:r w:rsidR="009A7696" w:rsidRPr="00413DA4">
        <w:rPr>
          <w:rFonts w:ascii="Arial" w:hAnsi="Arial" w:cs="Arial"/>
          <w:sz w:val="20"/>
          <w:szCs w:val="20"/>
        </w:rPr>
        <w:t>performed in a final volume of 20 µl containing 2.5 µl of 10× Taq buffer A, 2.0 µl of 25 mM MgCl</w:t>
      </w:r>
      <w:r w:rsidR="009A7696" w:rsidRPr="00413DA4">
        <w:rPr>
          <w:rFonts w:ascii="Cambria Math" w:hAnsi="Cambria Math" w:cs="Cambria Math"/>
          <w:sz w:val="20"/>
          <w:szCs w:val="20"/>
        </w:rPr>
        <w:t>₂</w:t>
      </w:r>
      <w:r w:rsidR="009A7696" w:rsidRPr="00413DA4">
        <w:rPr>
          <w:rFonts w:ascii="Arial" w:hAnsi="Arial" w:cs="Arial"/>
          <w:sz w:val="20"/>
          <w:szCs w:val="20"/>
        </w:rPr>
        <w:t xml:space="preserve">, 1.6 µl of 10 mM dNTPs, 0.2 µl of Taq DNA polymerase (5 U/µl), 1.0 µl of primer (10 µM), and 1.0 µl of genomic DNA (50 ng/µl), with nuclease-free water used to reach the desired volume </w:t>
      </w:r>
      <w:r w:rsidR="00897A33" w:rsidRPr="00413DA4">
        <w:rPr>
          <w:rFonts w:ascii="Arial" w:hAnsi="Arial" w:cs="Arial"/>
          <w:sz w:val="20"/>
          <w:szCs w:val="20"/>
        </w:rPr>
        <w:t>(</w:t>
      </w:r>
      <w:r w:rsidR="00EE7B0C" w:rsidRPr="00413DA4">
        <w:rPr>
          <w:rFonts w:ascii="Arial" w:hAnsi="Arial" w:cs="Arial"/>
          <w:sz w:val="20"/>
          <w:szCs w:val="20"/>
        </w:rPr>
        <w:t>Guan et al., 2020</w:t>
      </w:r>
      <w:r w:rsidR="00897A33" w:rsidRPr="00413DA4">
        <w:rPr>
          <w:rFonts w:ascii="Arial" w:hAnsi="Arial" w:cs="Arial"/>
          <w:sz w:val="20"/>
          <w:szCs w:val="20"/>
        </w:rPr>
        <w:t>)</w:t>
      </w:r>
      <w:r w:rsidR="009A7696" w:rsidRPr="00413DA4">
        <w:rPr>
          <w:rFonts w:ascii="Arial" w:hAnsi="Arial" w:cs="Arial"/>
          <w:sz w:val="20"/>
          <w:szCs w:val="20"/>
        </w:rPr>
        <w:t xml:space="preserve">. For SCoT markers, amplification was optimized using an initial denaturation at 94 °C for 3 min, followed by 40 cycles of denaturation at 94 °C for 1 min, annealing at 48–50 °C for 1 min, and extension at 72 °C for 2 minutes, with a final extension step at 72 °C for 5 min and a final step of 4°C (hold) </w:t>
      </w:r>
      <w:r w:rsidR="00897A33" w:rsidRPr="00413DA4">
        <w:rPr>
          <w:rFonts w:ascii="Arial" w:hAnsi="Arial" w:cs="Arial"/>
          <w:sz w:val="20"/>
          <w:szCs w:val="20"/>
        </w:rPr>
        <w:t>(</w:t>
      </w:r>
      <w:r w:rsidR="00EE7B0C" w:rsidRPr="00413DA4">
        <w:rPr>
          <w:rFonts w:ascii="Arial" w:hAnsi="Arial" w:cs="Arial"/>
          <w:sz w:val="20"/>
          <w:szCs w:val="20"/>
        </w:rPr>
        <w:t>Deng et al., 2015; Yang et al., 2015</w:t>
      </w:r>
      <w:r w:rsidR="00897A33" w:rsidRPr="00413DA4">
        <w:rPr>
          <w:rFonts w:ascii="Arial" w:hAnsi="Arial" w:cs="Arial"/>
          <w:sz w:val="20"/>
          <w:szCs w:val="20"/>
        </w:rPr>
        <w:t>)</w:t>
      </w:r>
      <w:r w:rsidR="009A7696" w:rsidRPr="00413DA4">
        <w:rPr>
          <w:rFonts w:ascii="Arial" w:hAnsi="Arial" w:cs="Arial"/>
          <w:sz w:val="20"/>
          <w:szCs w:val="20"/>
        </w:rPr>
        <w:t xml:space="preserve">. Among </w:t>
      </w:r>
      <w:r w:rsidRPr="00413DA4">
        <w:rPr>
          <w:rFonts w:ascii="Arial" w:hAnsi="Arial" w:cs="Arial"/>
          <w:sz w:val="20"/>
          <w:szCs w:val="20"/>
        </w:rPr>
        <w:t xml:space="preserve">36, </w:t>
      </w:r>
      <w:r w:rsidR="009A7696" w:rsidRPr="00413DA4">
        <w:rPr>
          <w:rFonts w:ascii="Arial" w:hAnsi="Arial" w:cs="Arial"/>
          <w:sz w:val="20"/>
          <w:szCs w:val="20"/>
        </w:rPr>
        <w:t>40</w:t>
      </w:r>
      <w:r w:rsidRPr="00413DA4">
        <w:rPr>
          <w:rFonts w:ascii="Arial" w:hAnsi="Arial" w:cs="Arial"/>
          <w:sz w:val="20"/>
          <w:szCs w:val="20"/>
        </w:rPr>
        <w:t xml:space="preserve"> and 42</w:t>
      </w:r>
      <w:r w:rsidR="009A7696" w:rsidRPr="00413DA4">
        <w:rPr>
          <w:rFonts w:ascii="Arial" w:hAnsi="Arial" w:cs="Arial"/>
          <w:sz w:val="20"/>
          <w:szCs w:val="20"/>
        </w:rPr>
        <w:t xml:space="preserve"> cycles</w:t>
      </w:r>
      <w:r w:rsidRPr="00413DA4">
        <w:rPr>
          <w:rFonts w:ascii="Arial" w:hAnsi="Arial" w:cs="Arial"/>
          <w:sz w:val="20"/>
          <w:szCs w:val="20"/>
        </w:rPr>
        <w:t>,</w:t>
      </w:r>
      <w:r w:rsidR="009A7696" w:rsidRPr="00413DA4">
        <w:rPr>
          <w:rFonts w:ascii="Arial" w:hAnsi="Arial" w:cs="Arial"/>
          <w:sz w:val="20"/>
          <w:szCs w:val="20"/>
        </w:rPr>
        <w:t xml:space="preserve"> </w:t>
      </w:r>
      <w:r w:rsidRPr="00413DA4">
        <w:rPr>
          <w:rFonts w:ascii="Arial" w:hAnsi="Arial" w:cs="Arial"/>
          <w:sz w:val="20"/>
          <w:szCs w:val="20"/>
        </w:rPr>
        <w:t xml:space="preserve">40 PCR cycles </w:t>
      </w:r>
      <w:r w:rsidR="009A7696" w:rsidRPr="00413DA4">
        <w:rPr>
          <w:rFonts w:ascii="Arial" w:hAnsi="Arial" w:cs="Arial"/>
          <w:sz w:val="20"/>
          <w:szCs w:val="20"/>
        </w:rPr>
        <w:t xml:space="preserve">proved superior, yielding sharper, more intense, and consistently reproducible banding patterns. Remarkably, this cycle number produced nearly twice as many clear and scorable bands as the other conditions, demonstrating optimal amplification efficiency without introducing nonspecific products. </w:t>
      </w:r>
    </w:p>
    <w:p w14:paraId="187338E2" w14:textId="5F36AD77" w:rsidR="009A7696" w:rsidRPr="00413DA4" w:rsidRDefault="00362290" w:rsidP="00835FB2">
      <w:pPr>
        <w:spacing w:after="0" w:line="360" w:lineRule="auto"/>
        <w:jc w:val="both"/>
        <w:rPr>
          <w:rFonts w:ascii="Arial" w:hAnsi="Arial" w:cs="Arial"/>
          <w:b/>
          <w:bCs/>
          <w:sz w:val="22"/>
          <w:szCs w:val="22"/>
        </w:rPr>
      </w:pPr>
      <w:r w:rsidRPr="00413DA4">
        <w:rPr>
          <w:rFonts w:ascii="Arial" w:hAnsi="Arial" w:cs="Arial"/>
          <w:b/>
          <w:bCs/>
          <w:sz w:val="22"/>
          <w:szCs w:val="22"/>
        </w:rPr>
        <w:t xml:space="preserve">2.4 </w:t>
      </w:r>
      <w:r w:rsidR="004444F1" w:rsidRPr="00413DA4">
        <w:rPr>
          <w:rFonts w:ascii="Arial" w:hAnsi="Arial" w:cs="Arial"/>
          <w:b/>
          <w:bCs/>
          <w:sz w:val="22"/>
          <w:szCs w:val="22"/>
        </w:rPr>
        <w:t>Agarose gel e</w:t>
      </w:r>
      <w:r w:rsidR="00E065E2" w:rsidRPr="00413DA4">
        <w:rPr>
          <w:rFonts w:ascii="Arial" w:hAnsi="Arial" w:cs="Arial"/>
          <w:b/>
          <w:bCs/>
          <w:sz w:val="22"/>
          <w:szCs w:val="22"/>
        </w:rPr>
        <w:t xml:space="preserve">lectrophoretic </w:t>
      </w:r>
      <w:r w:rsidR="004444F1" w:rsidRPr="00413DA4">
        <w:rPr>
          <w:rFonts w:ascii="Arial" w:hAnsi="Arial" w:cs="Arial"/>
          <w:b/>
          <w:bCs/>
          <w:sz w:val="22"/>
          <w:szCs w:val="22"/>
        </w:rPr>
        <w:t xml:space="preserve">separation of </w:t>
      </w:r>
      <w:r w:rsidR="00E065E2" w:rsidRPr="00413DA4">
        <w:rPr>
          <w:rFonts w:ascii="Arial" w:hAnsi="Arial" w:cs="Arial"/>
          <w:b/>
          <w:bCs/>
          <w:sz w:val="22"/>
          <w:szCs w:val="22"/>
        </w:rPr>
        <w:t xml:space="preserve">PCR </w:t>
      </w:r>
      <w:r w:rsidR="004444F1" w:rsidRPr="00413DA4">
        <w:rPr>
          <w:rFonts w:ascii="Arial" w:hAnsi="Arial" w:cs="Arial"/>
          <w:b/>
          <w:bCs/>
          <w:sz w:val="22"/>
          <w:szCs w:val="22"/>
        </w:rPr>
        <w:t>p</w:t>
      </w:r>
      <w:r w:rsidR="00E065E2" w:rsidRPr="00413DA4">
        <w:rPr>
          <w:rFonts w:ascii="Arial" w:hAnsi="Arial" w:cs="Arial"/>
          <w:b/>
          <w:bCs/>
          <w:sz w:val="22"/>
          <w:szCs w:val="22"/>
        </w:rPr>
        <w:t>roducts</w:t>
      </w:r>
      <w:r w:rsidR="009A7696" w:rsidRPr="00413DA4">
        <w:rPr>
          <w:rFonts w:ascii="Arial" w:hAnsi="Arial" w:cs="Arial"/>
          <w:b/>
          <w:bCs/>
          <w:sz w:val="22"/>
          <w:szCs w:val="22"/>
        </w:rPr>
        <w:t xml:space="preserve">, </w:t>
      </w:r>
      <w:r w:rsidR="00317999" w:rsidRPr="00413DA4">
        <w:rPr>
          <w:rFonts w:ascii="Arial" w:hAnsi="Arial" w:cs="Arial"/>
          <w:b/>
          <w:bCs/>
          <w:sz w:val="22"/>
          <w:szCs w:val="22"/>
        </w:rPr>
        <w:t>imaging</w:t>
      </w:r>
      <w:r w:rsidR="009A7696" w:rsidRPr="00413DA4">
        <w:rPr>
          <w:rFonts w:ascii="Arial" w:hAnsi="Arial" w:cs="Arial"/>
          <w:b/>
          <w:bCs/>
          <w:sz w:val="22"/>
          <w:szCs w:val="22"/>
        </w:rPr>
        <w:t xml:space="preserve"> and scoring</w:t>
      </w:r>
    </w:p>
    <w:p w14:paraId="7610309F" w14:textId="0BDCF590" w:rsidR="001402F9" w:rsidRPr="00413DA4" w:rsidRDefault="001402F9" w:rsidP="00413DA4">
      <w:pPr>
        <w:spacing w:after="0" w:line="240" w:lineRule="auto"/>
        <w:jc w:val="both"/>
        <w:rPr>
          <w:rFonts w:ascii="Arial" w:hAnsi="Arial" w:cs="Arial"/>
          <w:sz w:val="20"/>
          <w:szCs w:val="20"/>
        </w:rPr>
      </w:pPr>
      <w:r w:rsidRPr="00413DA4">
        <w:rPr>
          <w:rFonts w:ascii="Arial" w:hAnsi="Arial" w:cs="Arial"/>
          <w:sz w:val="20"/>
          <w:szCs w:val="20"/>
        </w:rPr>
        <w:t xml:space="preserve">PCR products were separated by agarose gel </w:t>
      </w:r>
      <w:r w:rsidR="00AF61CE" w:rsidRPr="00413DA4">
        <w:rPr>
          <w:rFonts w:ascii="Arial" w:hAnsi="Arial" w:cs="Arial"/>
          <w:sz w:val="20"/>
          <w:szCs w:val="20"/>
        </w:rPr>
        <w:t xml:space="preserve">(2%, w/v) </w:t>
      </w:r>
      <w:r w:rsidRPr="00413DA4">
        <w:rPr>
          <w:rFonts w:ascii="Arial" w:hAnsi="Arial" w:cs="Arial"/>
          <w:sz w:val="20"/>
          <w:szCs w:val="20"/>
        </w:rPr>
        <w:t>electrophoresis</w:t>
      </w:r>
      <w:r w:rsidR="00AF61CE" w:rsidRPr="00413DA4">
        <w:rPr>
          <w:rFonts w:ascii="Arial" w:hAnsi="Arial" w:cs="Arial"/>
          <w:sz w:val="20"/>
          <w:szCs w:val="20"/>
        </w:rPr>
        <w:t>,</w:t>
      </w:r>
      <w:r w:rsidRPr="00413DA4">
        <w:rPr>
          <w:rFonts w:ascii="Arial" w:hAnsi="Arial" w:cs="Arial"/>
          <w:sz w:val="20"/>
          <w:szCs w:val="20"/>
        </w:rPr>
        <w:t xml:space="preserve"> </w:t>
      </w:r>
      <w:r w:rsidR="00AF61CE" w:rsidRPr="00413DA4">
        <w:rPr>
          <w:rFonts w:ascii="Arial" w:hAnsi="Arial" w:cs="Arial"/>
          <w:sz w:val="20"/>
          <w:szCs w:val="20"/>
        </w:rPr>
        <w:t xml:space="preserve">using </w:t>
      </w:r>
      <w:r w:rsidRPr="00413DA4">
        <w:rPr>
          <w:rFonts w:ascii="Arial" w:hAnsi="Arial" w:cs="Arial"/>
          <w:sz w:val="20"/>
          <w:szCs w:val="20"/>
        </w:rPr>
        <w:t>1×TAE buffer.</w:t>
      </w:r>
      <w:r w:rsidR="001F15F4" w:rsidRPr="00413DA4">
        <w:rPr>
          <w:rFonts w:ascii="Arial" w:hAnsi="Arial" w:cs="Arial"/>
          <w:sz w:val="20"/>
          <w:szCs w:val="20"/>
        </w:rPr>
        <w:t xml:space="preserve"> </w:t>
      </w:r>
      <w:r w:rsidR="00AF61CE" w:rsidRPr="00413DA4">
        <w:rPr>
          <w:rFonts w:ascii="Arial" w:hAnsi="Arial" w:cs="Arial"/>
          <w:sz w:val="20"/>
          <w:szCs w:val="20"/>
        </w:rPr>
        <w:t xml:space="preserve">For each </w:t>
      </w:r>
      <w:r w:rsidRPr="00413DA4">
        <w:rPr>
          <w:rFonts w:ascii="Arial" w:hAnsi="Arial" w:cs="Arial"/>
          <w:sz w:val="20"/>
          <w:szCs w:val="20"/>
        </w:rPr>
        <w:t xml:space="preserve">25 µl of PCR </w:t>
      </w:r>
      <w:r w:rsidR="00AF61CE" w:rsidRPr="00413DA4">
        <w:rPr>
          <w:rFonts w:ascii="Arial" w:hAnsi="Arial" w:cs="Arial"/>
          <w:sz w:val="20"/>
          <w:szCs w:val="20"/>
        </w:rPr>
        <w:t>reaction mix a 5 µl of loading dye</w:t>
      </w:r>
      <w:r w:rsidR="00AF61CE" w:rsidRPr="00413DA4" w:rsidDel="00AF61CE">
        <w:rPr>
          <w:rFonts w:ascii="Arial" w:hAnsi="Arial" w:cs="Arial"/>
          <w:sz w:val="20"/>
          <w:szCs w:val="20"/>
        </w:rPr>
        <w:t xml:space="preserve"> </w:t>
      </w:r>
      <w:r w:rsidRPr="00413DA4">
        <w:rPr>
          <w:rFonts w:ascii="Arial" w:hAnsi="Arial" w:cs="Arial"/>
          <w:sz w:val="20"/>
          <w:szCs w:val="20"/>
        </w:rPr>
        <w:t xml:space="preserve">was </w:t>
      </w:r>
      <w:r w:rsidR="00AF61CE" w:rsidRPr="00413DA4">
        <w:rPr>
          <w:rFonts w:ascii="Arial" w:hAnsi="Arial" w:cs="Arial"/>
          <w:sz w:val="20"/>
          <w:szCs w:val="20"/>
        </w:rPr>
        <w:t>added</w:t>
      </w:r>
      <w:r w:rsidRPr="00413DA4">
        <w:rPr>
          <w:rFonts w:ascii="Arial" w:hAnsi="Arial" w:cs="Arial"/>
          <w:sz w:val="20"/>
          <w:szCs w:val="20"/>
        </w:rPr>
        <w:t xml:space="preserve">. Samples </w:t>
      </w:r>
      <w:r w:rsidR="005E3474" w:rsidRPr="00413DA4">
        <w:rPr>
          <w:rFonts w:ascii="Arial" w:hAnsi="Arial" w:cs="Arial"/>
          <w:sz w:val="20"/>
          <w:szCs w:val="20"/>
        </w:rPr>
        <w:t>were</w:t>
      </w:r>
      <w:r w:rsidRPr="00413DA4">
        <w:rPr>
          <w:rFonts w:ascii="Arial" w:hAnsi="Arial" w:cs="Arial"/>
          <w:sz w:val="20"/>
          <w:szCs w:val="20"/>
        </w:rPr>
        <w:t xml:space="preserve"> then loaded onto the gel, along with a molecular size marker (500 bp). Electrophoresis proceeded at a constant 80V until the dye front migrated approximately three-fourths of the gel's length. The gel was stained with ethidium bromide and </w:t>
      </w:r>
      <w:r w:rsidR="00AF61CE" w:rsidRPr="00413DA4">
        <w:rPr>
          <w:rFonts w:ascii="Arial" w:hAnsi="Arial" w:cs="Arial"/>
          <w:sz w:val="20"/>
          <w:szCs w:val="20"/>
        </w:rPr>
        <w:t xml:space="preserve">captured the </w:t>
      </w:r>
      <w:r w:rsidRPr="00413DA4">
        <w:rPr>
          <w:rFonts w:ascii="Arial" w:hAnsi="Arial" w:cs="Arial"/>
          <w:sz w:val="20"/>
          <w:szCs w:val="20"/>
        </w:rPr>
        <w:t xml:space="preserve">image </w:t>
      </w:r>
      <w:r w:rsidR="00AF61CE" w:rsidRPr="00413DA4">
        <w:rPr>
          <w:rFonts w:ascii="Arial" w:hAnsi="Arial" w:cs="Arial"/>
          <w:sz w:val="20"/>
          <w:szCs w:val="20"/>
        </w:rPr>
        <w:t>with</w:t>
      </w:r>
      <w:r w:rsidRPr="00413DA4">
        <w:rPr>
          <w:rFonts w:ascii="Arial" w:hAnsi="Arial" w:cs="Arial"/>
          <w:sz w:val="20"/>
          <w:szCs w:val="20"/>
        </w:rPr>
        <w:t xml:space="preserve"> Bio-Rad </w:t>
      </w:r>
      <w:proofErr w:type="spellStart"/>
      <w:r w:rsidRPr="00413DA4">
        <w:rPr>
          <w:rFonts w:ascii="Arial" w:hAnsi="Arial" w:cs="Arial"/>
          <w:sz w:val="20"/>
          <w:szCs w:val="20"/>
        </w:rPr>
        <w:t>ChemiDoc</w:t>
      </w:r>
      <w:proofErr w:type="spellEnd"/>
      <w:r w:rsidRPr="00413DA4">
        <w:rPr>
          <w:rFonts w:ascii="Arial" w:hAnsi="Arial" w:cs="Arial"/>
          <w:sz w:val="20"/>
          <w:szCs w:val="20"/>
        </w:rPr>
        <w:t xml:space="preserve"> </w:t>
      </w:r>
      <w:r w:rsidR="00AF61CE" w:rsidRPr="00413DA4">
        <w:rPr>
          <w:rFonts w:ascii="Arial" w:hAnsi="Arial" w:cs="Arial"/>
          <w:sz w:val="20"/>
          <w:szCs w:val="20"/>
        </w:rPr>
        <w:t xml:space="preserve">gel </w:t>
      </w:r>
      <w:r w:rsidRPr="00413DA4">
        <w:rPr>
          <w:rFonts w:ascii="Arial" w:hAnsi="Arial" w:cs="Arial"/>
          <w:sz w:val="20"/>
          <w:szCs w:val="20"/>
        </w:rPr>
        <w:t>documentation system. The analyses for each marker system were performed twice, clear, reproducible and scorable allelic patterns were recorded with the aid of Quantity One</w:t>
      </w:r>
      <w:r w:rsidR="005E3D7A" w:rsidRPr="00413DA4">
        <w:rPr>
          <w:rFonts w:ascii="Arial" w:hAnsi="Arial" w:cs="Arial"/>
          <w:sz w:val="20"/>
          <w:szCs w:val="20"/>
        </w:rPr>
        <w:t xml:space="preserve"> 1-D analysis</w:t>
      </w:r>
      <w:r w:rsidRPr="00413DA4">
        <w:rPr>
          <w:rFonts w:ascii="Arial" w:hAnsi="Arial" w:cs="Arial"/>
          <w:sz w:val="20"/>
          <w:szCs w:val="20"/>
        </w:rPr>
        <w:t xml:space="preserve"> software (Bio-Rad).</w:t>
      </w:r>
    </w:p>
    <w:p w14:paraId="37EFC781" w14:textId="77777777" w:rsidR="00ED00C5" w:rsidRPr="00ED3FC9" w:rsidRDefault="00ED00C5" w:rsidP="00835FB2">
      <w:pPr>
        <w:spacing w:after="0" w:line="360" w:lineRule="auto"/>
        <w:jc w:val="both"/>
        <w:rPr>
          <w:rFonts w:ascii="Arial" w:hAnsi="Arial" w:cs="Arial"/>
        </w:rPr>
      </w:pPr>
    </w:p>
    <w:p w14:paraId="6A359F38" w14:textId="6909BAD2" w:rsidR="007137E6" w:rsidRPr="00413DA4" w:rsidRDefault="0077495C" w:rsidP="00413DA4">
      <w:pPr>
        <w:spacing w:line="240" w:lineRule="auto"/>
        <w:jc w:val="both"/>
        <w:rPr>
          <w:rFonts w:ascii="Arial" w:hAnsi="Arial" w:cs="Arial"/>
          <w:b/>
          <w:bCs/>
          <w:sz w:val="22"/>
          <w:szCs w:val="22"/>
        </w:rPr>
      </w:pPr>
      <w:r w:rsidRPr="00413DA4">
        <w:rPr>
          <w:rFonts w:ascii="Arial" w:hAnsi="Arial" w:cs="Arial"/>
          <w:b/>
          <w:bCs/>
          <w:sz w:val="22"/>
          <w:szCs w:val="22"/>
        </w:rPr>
        <w:t>3</w:t>
      </w:r>
      <w:r w:rsidR="008D3E61" w:rsidRPr="00413DA4">
        <w:rPr>
          <w:rFonts w:ascii="Arial" w:hAnsi="Arial" w:cs="Arial"/>
          <w:b/>
          <w:bCs/>
          <w:sz w:val="22"/>
          <w:szCs w:val="22"/>
        </w:rPr>
        <w:t>.</w:t>
      </w:r>
      <w:r w:rsidRPr="00413DA4">
        <w:rPr>
          <w:rFonts w:ascii="Arial" w:hAnsi="Arial" w:cs="Arial"/>
          <w:b/>
          <w:bCs/>
          <w:sz w:val="22"/>
          <w:szCs w:val="22"/>
        </w:rPr>
        <w:t xml:space="preserve"> </w:t>
      </w:r>
      <w:r w:rsidR="008D3E61" w:rsidRPr="00413DA4">
        <w:rPr>
          <w:rFonts w:ascii="Arial" w:hAnsi="Arial" w:cs="Arial"/>
          <w:b/>
          <w:bCs/>
          <w:sz w:val="22"/>
          <w:szCs w:val="22"/>
        </w:rPr>
        <w:t xml:space="preserve">RESULTS </w:t>
      </w:r>
    </w:p>
    <w:p w14:paraId="1D0EC4A4" w14:textId="0BCF5514" w:rsidR="006912AB" w:rsidRPr="00413DA4" w:rsidRDefault="00B73581" w:rsidP="00413DA4">
      <w:pPr>
        <w:spacing w:line="240" w:lineRule="auto"/>
        <w:jc w:val="both"/>
        <w:rPr>
          <w:rFonts w:ascii="Arial" w:hAnsi="Arial" w:cs="Arial"/>
          <w:sz w:val="20"/>
          <w:szCs w:val="20"/>
        </w:rPr>
      </w:pPr>
      <w:r w:rsidRPr="00413DA4">
        <w:rPr>
          <w:rFonts w:ascii="Arial" w:hAnsi="Arial" w:cs="Arial"/>
          <w:sz w:val="20"/>
          <w:szCs w:val="20"/>
        </w:rPr>
        <w:t xml:space="preserve">High-quality genomic DNA was consistently extracted from </w:t>
      </w:r>
      <w:r w:rsidR="0001798B" w:rsidRPr="00413DA4">
        <w:rPr>
          <w:rFonts w:ascii="Arial" w:hAnsi="Arial" w:cs="Arial"/>
          <w:sz w:val="20"/>
          <w:szCs w:val="20"/>
        </w:rPr>
        <w:t xml:space="preserve">the </w:t>
      </w:r>
      <w:r w:rsidRPr="00413DA4">
        <w:rPr>
          <w:rFonts w:ascii="Arial" w:hAnsi="Arial" w:cs="Arial"/>
          <w:sz w:val="20"/>
          <w:szCs w:val="20"/>
        </w:rPr>
        <w:t xml:space="preserve">leaf tissue, and </w:t>
      </w:r>
      <w:r w:rsidR="00E1479A" w:rsidRPr="00413DA4">
        <w:rPr>
          <w:rFonts w:ascii="Arial" w:hAnsi="Arial" w:cs="Arial"/>
          <w:sz w:val="20"/>
          <w:szCs w:val="20"/>
        </w:rPr>
        <w:t xml:space="preserve">the </w:t>
      </w:r>
      <w:r w:rsidRPr="00413DA4">
        <w:rPr>
          <w:rFonts w:ascii="Arial" w:hAnsi="Arial" w:cs="Arial"/>
          <w:sz w:val="20"/>
          <w:szCs w:val="20"/>
        </w:rPr>
        <w:t xml:space="preserve">PCR conditions were systematically optimized for each marker type to ensure precise, reproducible, </w:t>
      </w:r>
      <w:r w:rsidR="00E1479A" w:rsidRPr="00413DA4">
        <w:rPr>
          <w:rFonts w:ascii="Arial" w:hAnsi="Arial" w:cs="Arial"/>
          <w:sz w:val="20"/>
          <w:szCs w:val="20"/>
        </w:rPr>
        <w:t xml:space="preserve">scorable </w:t>
      </w:r>
      <w:r w:rsidRPr="00413DA4">
        <w:rPr>
          <w:rFonts w:ascii="Arial" w:hAnsi="Arial" w:cs="Arial"/>
          <w:sz w:val="20"/>
          <w:szCs w:val="20"/>
        </w:rPr>
        <w:t xml:space="preserve">and </w:t>
      </w:r>
      <w:r w:rsidR="004444F1" w:rsidRPr="00413DA4">
        <w:rPr>
          <w:rFonts w:ascii="Arial" w:hAnsi="Arial" w:cs="Arial"/>
          <w:sz w:val="20"/>
          <w:szCs w:val="20"/>
        </w:rPr>
        <w:t xml:space="preserve">clear </w:t>
      </w:r>
      <w:r w:rsidRPr="00413DA4">
        <w:rPr>
          <w:rFonts w:ascii="Arial" w:hAnsi="Arial" w:cs="Arial"/>
          <w:sz w:val="20"/>
          <w:szCs w:val="20"/>
        </w:rPr>
        <w:t>amplification</w:t>
      </w:r>
      <w:r w:rsidR="004444F1" w:rsidRPr="00413DA4">
        <w:rPr>
          <w:rFonts w:ascii="Arial" w:hAnsi="Arial" w:cs="Arial"/>
          <w:sz w:val="20"/>
          <w:szCs w:val="20"/>
        </w:rPr>
        <w:t xml:space="preserve"> pattern</w:t>
      </w:r>
      <w:r w:rsidRPr="00413DA4">
        <w:rPr>
          <w:rFonts w:ascii="Arial" w:hAnsi="Arial" w:cs="Arial"/>
          <w:sz w:val="20"/>
          <w:szCs w:val="20"/>
        </w:rPr>
        <w:t>. The combination of these marker systems enabled a comprehensive assessment of genetic variation across the species, laying a solid foundation for large-scale molecular characterization and conservation studies</w:t>
      </w:r>
      <w:r w:rsidR="007D5718" w:rsidRPr="00413DA4">
        <w:rPr>
          <w:rFonts w:ascii="Arial" w:hAnsi="Arial" w:cs="Arial"/>
          <w:sz w:val="20"/>
          <w:szCs w:val="20"/>
        </w:rPr>
        <w:t xml:space="preserve"> </w:t>
      </w:r>
      <w:r w:rsidR="0021687A" w:rsidRPr="00413DA4">
        <w:rPr>
          <w:rFonts w:ascii="Arial" w:hAnsi="Arial" w:cs="Arial"/>
          <w:sz w:val="20"/>
          <w:szCs w:val="20"/>
        </w:rPr>
        <w:t xml:space="preserve">(Fig. 1, </w:t>
      </w:r>
      <w:r w:rsidR="007D5718" w:rsidRPr="00413DA4">
        <w:rPr>
          <w:rFonts w:ascii="Arial" w:hAnsi="Arial" w:cs="Arial"/>
          <w:sz w:val="20"/>
          <w:szCs w:val="20"/>
        </w:rPr>
        <w:t>Fig. 2a and 2b</w:t>
      </w:r>
      <w:r w:rsidR="0021687A" w:rsidRPr="00413DA4">
        <w:rPr>
          <w:rFonts w:ascii="Arial" w:hAnsi="Arial" w:cs="Arial"/>
          <w:sz w:val="20"/>
          <w:szCs w:val="20"/>
        </w:rPr>
        <w:t>)</w:t>
      </w:r>
      <w:r w:rsidR="00611386" w:rsidRPr="00413DA4">
        <w:rPr>
          <w:rFonts w:ascii="Arial" w:hAnsi="Arial" w:cs="Arial"/>
          <w:sz w:val="20"/>
          <w:szCs w:val="20"/>
        </w:rPr>
        <w:t>.</w:t>
      </w:r>
    </w:p>
    <w:p w14:paraId="2553B5BD" w14:textId="15A502F6" w:rsidR="00EE7B0C" w:rsidRDefault="00EE7B0C" w:rsidP="00835FB2">
      <w:pPr>
        <w:spacing w:line="360" w:lineRule="auto"/>
        <w:jc w:val="both"/>
        <w:rPr>
          <w:rFonts w:ascii="Arial" w:hAnsi="Arial" w:cs="Arial"/>
        </w:rPr>
      </w:pPr>
    </w:p>
    <w:p w14:paraId="39E910D7" w14:textId="45B8E328" w:rsidR="00EE7B0C" w:rsidRPr="00F61A55" w:rsidRDefault="00EE7B0C" w:rsidP="00835FB2">
      <w:pPr>
        <w:spacing w:line="360" w:lineRule="auto"/>
        <w:jc w:val="both"/>
        <w:rPr>
          <w:rFonts w:ascii="Arial" w:hAnsi="Arial" w:cs="Arial"/>
        </w:rPr>
      </w:pPr>
    </w:p>
    <w:p w14:paraId="3864B113" w14:textId="4FA999C0" w:rsidR="00BE15BD" w:rsidRDefault="00FF3884" w:rsidP="00835FB2">
      <w:pPr>
        <w:spacing w:line="360" w:lineRule="auto"/>
        <w:jc w:val="both"/>
        <w:rPr>
          <w:rFonts w:ascii="Arial" w:hAnsi="Arial" w:cs="Arial"/>
        </w:rPr>
      </w:pPr>
      <w:r w:rsidRPr="00880B34">
        <w:rPr>
          <w:rFonts w:ascii="Arial" w:hAnsi="Arial" w:cs="Arial"/>
          <w:b/>
          <w:bCs/>
          <w:noProof/>
        </w:rPr>
        <w:drawing>
          <wp:anchor distT="0" distB="0" distL="114300" distR="114300" simplePos="0" relativeHeight="251671552" behindDoc="0" locked="0" layoutInCell="1" allowOverlap="1" wp14:anchorId="387C4DB1" wp14:editId="3FD703C2">
            <wp:simplePos x="0" y="0"/>
            <wp:positionH relativeFrom="margin">
              <wp:align>center</wp:align>
            </wp:positionH>
            <wp:positionV relativeFrom="paragraph">
              <wp:posOffset>-469127</wp:posOffset>
            </wp:positionV>
            <wp:extent cx="2322195" cy="2686050"/>
            <wp:effectExtent l="0" t="0" r="1905" b="0"/>
            <wp:wrapNone/>
            <wp:docPr id="11446757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2195" cy="2686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5D7E29" w14:textId="77777777" w:rsidR="0014082E" w:rsidRPr="0014082E" w:rsidRDefault="0014082E" w:rsidP="00BE15BD">
      <w:pPr>
        <w:rPr>
          <w:rFonts w:ascii="Arial" w:hAnsi="Arial" w:cs="Arial"/>
          <w:b/>
          <w:bCs/>
        </w:rPr>
      </w:pPr>
    </w:p>
    <w:p w14:paraId="1761CD69" w14:textId="77777777" w:rsidR="00413DA4" w:rsidRDefault="00413DA4" w:rsidP="00BE15BD">
      <w:pPr>
        <w:rPr>
          <w:rFonts w:ascii="Arial" w:hAnsi="Arial" w:cs="Arial"/>
          <w:b/>
          <w:bCs/>
          <w:sz w:val="22"/>
          <w:szCs w:val="22"/>
        </w:rPr>
      </w:pPr>
    </w:p>
    <w:p w14:paraId="3479DADE" w14:textId="77777777" w:rsidR="00413DA4" w:rsidRDefault="00413DA4" w:rsidP="00BE15BD">
      <w:pPr>
        <w:rPr>
          <w:rFonts w:ascii="Arial" w:hAnsi="Arial" w:cs="Arial"/>
          <w:b/>
          <w:bCs/>
          <w:sz w:val="22"/>
          <w:szCs w:val="22"/>
        </w:rPr>
      </w:pPr>
    </w:p>
    <w:p w14:paraId="22DE7DFD" w14:textId="77777777" w:rsidR="00413DA4" w:rsidRDefault="00413DA4" w:rsidP="00BE15BD">
      <w:pPr>
        <w:rPr>
          <w:rFonts w:ascii="Arial" w:hAnsi="Arial" w:cs="Arial"/>
          <w:b/>
          <w:bCs/>
          <w:sz w:val="22"/>
          <w:szCs w:val="22"/>
        </w:rPr>
      </w:pPr>
    </w:p>
    <w:p w14:paraId="6A07449F" w14:textId="77777777" w:rsidR="00413DA4" w:rsidRDefault="00413DA4" w:rsidP="00BE15BD">
      <w:pPr>
        <w:rPr>
          <w:rFonts w:ascii="Arial" w:hAnsi="Arial" w:cs="Arial"/>
          <w:b/>
          <w:bCs/>
          <w:sz w:val="22"/>
          <w:szCs w:val="22"/>
        </w:rPr>
      </w:pPr>
    </w:p>
    <w:p w14:paraId="43A27062" w14:textId="77777777" w:rsidR="00413DA4" w:rsidRDefault="00413DA4" w:rsidP="00BE15BD">
      <w:pPr>
        <w:rPr>
          <w:rFonts w:ascii="Arial" w:hAnsi="Arial" w:cs="Arial"/>
          <w:b/>
          <w:bCs/>
          <w:sz w:val="22"/>
          <w:szCs w:val="22"/>
        </w:rPr>
      </w:pPr>
    </w:p>
    <w:p w14:paraId="20C5A033" w14:textId="77777777" w:rsidR="00413DA4" w:rsidRDefault="00413DA4" w:rsidP="00BE15BD">
      <w:pPr>
        <w:rPr>
          <w:rFonts w:ascii="Arial" w:hAnsi="Arial" w:cs="Arial"/>
          <w:b/>
          <w:bCs/>
          <w:sz w:val="22"/>
          <w:szCs w:val="22"/>
        </w:rPr>
      </w:pPr>
    </w:p>
    <w:p w14:paraId="2D98E651" w14:textId="49BE335F" w:rsidR="00BE15BD" w:rsidRPr="00413DA4" w:rsidRDefault="00BE15BD" w:rsidP="00BE15BD">
      <w:pPr>
        <w:rPr>
          <w:rFonts w:ascii="Arial" w:hAnsi="Arial" w:cs="Arial"/>
          <w:b/>
          <w:bCs/>
          <w:sz w:val="20"/>
          <w:szCs w:val="20"/>
          <w:lang w:val="en-US"/>
        </w:rPr>
      </w:pPr>
      <w:r w:rsidRPr="00413DA4">
        <w:rPr>
          <w:rFonts w:ascii="Arial" w:hAnsi="Arial" w:cs="Arial"/>
          <w:b/>
          <w:bCs/>
          <w:sz w:val="20"/>
          <w:szCs w:val="20"/>
        </w:rPr>
        <w:t>Fig. 1</w:t>
      </w:r>
      <w:r w:rsidR="0014082E" w:rsidRPr="00413DA4">
        <w:rPr>
          <w:rFonts w:ascii="Arial" w:hAnsi="Arial" w:cs="Arial"/>
          <w:b/>
          <w:bCs/>
          <w:sz w:val="20"/>
          <w:szCs w:val="20"/>
        </w:rPr>
        <w:t>.</w:t>
      </w:r>
      <w:r w:rsidRPr="00413DA4">
        <w:rPr>
          <w:rFonts w:ascii="Arial" w:hAnsi="Arial" w:cs="Arial"/>
          <w:b/>
          <w:bCs/>
          <w:sz w:val="20"/>
          <w:szCs w:val="20"/>
        </w:rPr>
        <w:t xml:space="preserve"> </w:t>
      </w:r>
      <w:r w:rsidRPr="00413DA4">
        <w:rPr>
          <w:rFonts w:ascii="Arial" w:hAnsi="Arial" w:cs="Arial"/>
          <w:b/>
          <w:bCs/>
          <w:sz w:val="20"/>
          <w:szCs w:val="20"/>
          <w:lang w:val="en-US"/>
        </w:rPr>
        <w:t xml:space="preserve">Visualization of DNA Sample isolated from leaf of </w:t>
      </w:r>
      <w:r w:rsidRPr="00413DA4">
        <w:rPr>
          <w:rFonts w:ascii="Arial" w:hAnsi="Arial" w:cs="Arial"/>
          <w:b/>
          <w:bCs/>
          <w:i/>
          <w:iCs/>
          <w:sz w:val="20"/>
          <w:szCs w:val="20"/>
          <w:lang w:val="en-US"/>
        </w:rPr>
        <w:t>D. melanoxylon</w:t>
      </w:r>
      <w:r w:rsidRPr="00413DA4">
        <w:rPr>
          <w:rFonts w:ascii="Arial" w:hAnsi="Arial" w:cs="Arial"/>
          <w:b/>
          <w:bCs/>
          <w:sz w:val="20"/>
          <w:szCs w:val="20"/>
          <w:lang w:val="en-US"/>
        </w:rPr>
        <w:t xml:space="preserve"> in 0.8% agarose.</w:t>
      </w:r>
    </w:p>
    <w:p w14:paraId="01BE1B76" w14:textId="77777777" w:rsidR="007349CD" w:rsidRDefault="007349CD" w:rsidP="00835FB2">
      <w:pPr>
        <w:spacing w:line="360" w:lineRule="auto"/>
        <w:jc w:val="both"/>
        <w:rPr>
          <w:rFonts w:ascii="Arial" w:hAnsi="Arial" w:cs="Arial"/>
        </w:rPr>
      </w:pPr>
    </w:p>
    <w:p w14:paraId="73D72EDF" w14:textId="6DE813AA" w:rsidR="00BE15BD" w:rsidRDefault="00BE15BD" w:rsidP="00835FB2">
      <w:pPr>
        <w:spacing w:line="360" w:lineRule="auto"/>
        <w:jc w:val="both"/>
        <w:rPr>
          <w:rFonts w:ascii="Arial" w:hAnsi="Arial" w:cs="Arial"/>
        </w:rPr>
      </w:pPr>
      <w:r w:rsidRPr="002D4234">
        <w:rPr>
          <w:rFonts w:ascii="Arial" w:hAnsi="Arial" w:cs="Arial"/>
          <w:noProof/>
        </w:rPr>
        <w:drawing>
          <wp:inline distT="0" distB="0" distL="0" distR="0" wp14:anchorId="164BF2EF" wp14:editId="7043B1E4">
            <wp:extent cx="5731510" cy="3162935"/>
            <wp:effectExtent l="0" t="0" r="2540" b="0"/>
            <wp:docPr id="16369984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162935"/>
                    </a:xfrm>
                    <a:prstGeom prst="rect">
                      <a:avLst/>
                    </a:prstGeom>
                    <a:noFill/>
                    <a:ln>
                      <a:noFill/>
                    </a:ln>
                  </pic:spPr>
                </pic:pic>
              </a:graphicData>
            </a:graphic>
          </wp:inline>
        </w:drawing>
      </w:r>
    </w:p>
    <w:p w14:paraId="61333EEC" w14:textId="764F756C" w:rsidR="00BE15BD" w:rsidRPr="00413DA4" w:rsidRDefault="00BE15BD" w:rsidP="00413DA4">
      <w:pPr>
        <w:spacing w:line="240" w:lineRule="auto"/>
        <w:ind w:left="709" w:hanging="709"/>
        <w:jc w:val="both"/>
        <w:rPr>
          <w:rFonts w:ascii="Arial" w:hAnsi="Arial" w:cs="Arial"/>
          <w:b/>
          <w:bCs/>
          <w:sz w:val="20"/>
          <w:szCs w:val="20"/>
        </w:rPr>
      </w:pPr>
      <w:r w:rsidRPr="00413DA4">
        <w:rPr>
          <w:rFonts w:ascii="Arial" w:hAnsi="Arial" w:cs="Arial"/>
          <w:b/>
          <w:bCs/>
          <w:sz w:val="20"/>
          <w:szCs w:val="20"/>
        </w:rPr>
        <w:t>Fig.</w:t>
      </w:r>
      <w:r w:rsidR="0014082E" w:rsidRPr="00413DA4">
        <w:rPr>
          <w:rFonts w:ascii="Arial" w:hAnsi="Arial" w:cs="Arial"/>
          <w:b/>
          <w:bCs/>
          <w:sz w:val="20"/>
          <w:szCs w:val="20"/>
        </w:rPr>
        <w:t xml:space="preserve"> </w:t>
      </w:r>
      <w:r w:rsidRPr="00413DA4">
        <w:rPr>
          <w:rFonts w:ascii="Arial" w:hAnsi="Arial" w:cs="Arial"/>
          <w:b/>
          <w:bCs/>
          <w:sz w:val="20"/>
          <w:szCs w:val="20"/>
        </w:rPr>
        <w:t>2a and 2b</w:t>
      </w:r>
      <w:r w:rsidR="0014082E" w:rsidRPr="00413DA4">
        <w:rPr>
          <w:rFonts w:ascii="Arial" w:hAnsi="Arial" w:cs="Arial"/>
          <w:b/>
          <w:bCs/>
          <w:sz w:val="20"/>
          <w:szCs w:val="20"/>
        </w:rPr>
        <w:t>.</w:t>
      </w:r>
      <w:r w:rsidRPr="00413DA4">
        <w:rPr>
          <w:rFonts w:ascii="Arial" w:hAnsi="Arial" w:cs="Arial"/>
          <w:b/>
          <w:bCs/>
          <w:sz w:val="20"/>
          <w:szCs w:val="20"/>
        </w:rPr>
        <w:t xml:space="preserve"> DNA fingerprinting profile which was developed after resolving PCR product made from 9 SCoT markers (2a). Pink horizontal lines indicate the automated detection of band positions and intensities, while blue vertical boundaries define individual lanes for quantitative analysis (2b). The gel image was subjected to Quantity One 1D analysis software to assess the size distribution and relative abundance of DNA fragments. </w:t>
      </w:r>
    </w:p>
    <w:p w14:paraId="0601BCE7" w14:textId="77777777" w:rsidR="00BE15BD" w:rsidRDefault="00BE15BD" w:rsidP="00BE15BD">
      <w:pPr>
        <w:spacing w:line="276" w:lineRule="auto"/>
        <w:ind w:left="709" w:hanging="709"/>
        <w:jc w:val="both"/>
        <w:rPr>
          <w:rFonts w:ascii="Arial" w:hAnsi="Arial" w:cs="Arial"/>
        </w:rPr>
      </w:pPr>
    </w:p>
    <w:p w14:paraId="5488B2A7" w14:textId="77777777" w:rsidR="007349CD" w:rsidRDefault="007349CD" w:rsidP="00BE15BD">
      <w:pPr>
        <w:spacing w:line="276" w:lineRule="auto"/>
        <w:ind w:left="709" w:hanging="709"/>
        <w:jc w:val="both"/>
        <w:rPr>
          <w:rFonts w:ascii="Arial" w:hAnsi="Arial" w:cs="Arial"/>
        </w:rPr>
      </w:pPr>
    </w:p>
    <w:p w14:paraId="14FBFBC4" w14:textId="5EA17812" w:rsidR="008908D1" w:rsidRPr="00413DA4" w:rsidRDefault="008908D1" w:rsidP="00413DA4">
      <w:pPr>
        <w:spacing w:line="240" w:lineRule="auto"/>
        <w:jc w:val="both"/>
        <w:rPr>
          <w:rFonts w:ascii="Arial" w:hAnsi="Arial" w:cs="Arial"/>
          <w:sz w:val="20"/>
          <w:szCs w:val="20"/>
        </w:rPr>
      </w:pPr>
      <w:r w:rsidRPr="00413DA4">
        <w:rPr>
          <w:rFonts w:ascii="Arial" w:hAnsi="Arial" w:cs="Arial"/>
          <w:sz w:val="20"/>
          <w:szCs w:val="20"/>
        </w:rPr>
        <w:t xml:space="preserve">The standardized ISSR protocol generated reproducible and distinct </w:t>
      </w:r>
      <w:r w:rsidR="00612C0D" w:rsidRPr="00413DA4">
        <w:rPr>
          <w:rFonts w:ascii="Arial" w:hAnsi="Arial" w:cs="Arial"/>
          <w:sz w:val="20"/>
          <w:szCs w:val="20"/>
        </w:rPr>
        <w:t xml:space="preserve">alleles </w:t>
      </w:r>
      <w:r w:rsidRPr="00413DA4">
        <w:rPr>
          <w:rFonts w:ascii="Arial" w:hAnsi="Arial" w:cs="Arial"/>
          <w:sz w:val="20"/>
          <w:szCs w:val="20"/>
        </w:rPr>
        <w:t>ranging between 500 and 2149 bp. Among the primers, (AC)</w:t>
      </w:r>
      <w:r w:rsidRPr="00413DA4">
        <w:rPr>
          <w:rFonts w:ascii="Cambria Math" w:hAnsi="Cambria Math" w:cs="Cambria Math"/>
          <w:sz w:val="20"/>
          <w:szCs w:val="20"/>
        </w:rPr>
        <w:t>₈</w:t>
      </w:r>
      <w:r w:rsidRPr="00413DA4">
        <w:rPr>
          <w:rFonts w:ascii="Arial" w:hAnsi="Arial" w:cs="Arial"/>
          <w:sz w:val="20"/>
          <w:szCs w:val="20"/>
        </w:rPr>
        <w:t>T produced the maximum number of alleles (10), indicating high amplification efficiency and strong primer-template complementarity. Primers (AC)</w:t>
      </w:r>
      <w:r w:rsidRPr="00413DA4">
        <w:rPr>
          <w:rFonts w:ascii="Cambria Math" w:hAnsi="Cambria Math" w:cs="Cambria Math"/>
          <w:sz w:val="20"/>
          <w:szCs w:val="20"/>
        </w:rPr>
        <w:t>₈</w:t>
      </w:r>
      <w:r w:rsidRPr="00413DA4">
        <w:rPr>
          <w:rFonts w:ascii="Arial" w:hAnsi="Arial" w:cs="Arial"/>
          <w:sz w:val="20"/>
          <w:szCs w:val="20"/>
        </w:rPr>
        <w:t>AA, (GA)</w:t>
      </w:r>
      <w:r w:rsidRPr="00413DA4">
        <w:rPr>
          <w:rFonts w:ascii="Cambria Math" w:hAnsi="Cambria Math" w:cs="Cambria Math"/>
          <w:sz w:val="20"/>
          <w:szCs w:val="20"/>
        </w:rPr>
        <w:t>₈</w:t>
      </w:r>
      <w:r w:rsidRPr="00413DA4">
        <w:rPr>
          <w:rFonts w:ascii="Arial" w:hAnsi="Arial" w:cs="Arial"/>
          <w:sz w:val="20"/>
          <w:szCs w:val="20"/>
        </w:rPr>
        <w:t>YT, and (GA)</w:t>
      </w:r>
      <w:r w:rsidRPr="00413DA4">
        <w:rPr>
          <w:rFonts w:ascii="Cambria Math" w:hAnsi="Cambria Math" w:cs="Cambria Math"/>
          <w:sz w:val="20"/>
          <w:szCs w:val="20"/>
        </w:rPr>
        <w:t>₈</w:t>
      </w:r>
      <w:r w:rsidRPr="00413DA4">
        <w:rPr>
          <w:rFonts w:ascii="Arial" w:hAnsi="Arial" w:cs="Arial"/>
          <w:sz w:val="20"/>
          <w:szCs w:val="20"/>
        </w:rPr>
        <w:t xml:space="preserve">C produced 7-9 </w:t>
      </w:r>
      <w:r w:rsidR="00A00240" w:rsidRPr="00413DA4">
        <w:rPr>
          <w:rFonts w:ascii="Arial" w:hAnsi="Arial" w:cs="Arial"/>
          <w:sz w:val="20"/>
          <w:szCs w:val="20"/>
        </w:rPr>
        <w:t>alleles</w:t>
      </w:r>
      <w:r w:rsidRPr="00413DA4">
        <w:rPr>
          <w:rFonts w:ascii="Arial" w:hAnsi="Arial" w:cs="Arial"/>
          <w:sz w:val="20"/>
          <w:szCs w:val="20"/>
        </w:rPr>
        <w:t>, reflecting genome spanning and coverage ability of the markers tested. Conversely, primers (CA)</w:t>
      </w:r>
      <w:r w:rsidRPr="00413DA4">
        <w:rPr>
          <w:rFonts w:ascii="Cambria Math" w:hAnsi="Cambria Math" w:cs="Cambria Math"/>
          <w:sz w:val="20"/>
          <w:szCs w:val="20"/>
        </w:rPr>
        <w:t>₇</w:t>
      </w:r>
      <w:r w:rsidRPr="00413DA4">
        <w:rPr>
          <w:rFonts w:ascii="Arial" w:hAnsi="Arial" w:cs="Arial"/>
          <w:sz w:val="20"/>
          <w:szCs w:val="20"/>
        </w:rPr>
        <w:t>C and (GA)</w:t>
      </w:r>
      <w:r w:rsidRPr="00413DA4">
        <w:rPr>
          <w:rFonts w:ascii="Cambria Math" w:hAnsi="Cambria Math" w:cs="Cambria Math"/>
          <w:sz w:val="20"/>
          <w:szCs w:val="20"/>
        </w:rPr>
        <w:t>₈</w:t>
      </w:r>
      <w:r w:rsidRPr="00413DA4">
        <w:rPr>
          <w:rFonts w:ascii="Arial" w:hAnsi="Arial" w:cs="Arial"/>
          <w:sz w:val="20"/>
          <w:szCs w:val="20"/>
        </w:rPr>
        <w:t>YC exhibited weak or inconsistent amplification, likely due to sub-optimal primer binding or low genomic repeat frequency</w:t>
      </w:r>
      <w:r w:rsidR="00D34010" w:rsidRPr="00413DA4">
        <w:rPr>
          <w:rFonts w:ascii="Arial" w:hAnsi="Arial" w:cs="Arial"/>
          <w:sz w:val="20"/>
          <w:szCs w:val="20"/>
        </w:rPr>
        <w:t>.</w:t>
      </w:r>
      <w:r w:rsidRPr="00413DA4">
        <w:rPr>
          <w:rFonts w:ascii="Arial" w:hAnsi="Arial" w:cs="Arial"/>
          <w:sz w:val="20"/>
          <w:szCs w:val="20"/>
        </w:rPr>
        <w:t xml:space="preserve"> The ISSR markers showed excellent reproducibility potential, making them highly effective for detecting genome-wide polymorphism for future </w:t>
      </w:r>
      <w:r w:rsidR="007C0A4E" w:rsidRPr="00413DA4">
        <w:rPr>
          <w:rFonts w:ascii="Arial" w:hAnsi="Arial" w:cs="Arial"/>
          <w:sz w:val="20"/>
          <w:szCs w:val="20"/>
        </w:rPr>
        <w:t xml:space="preserve">genetic diversity </w:t>
      </w:r>
      <w:r w:rsidR="00E1716F" w:rsidRPr="00413DA4">
        <w:rPr>
          <w:rFonts w:ascii="Arial" w:hAnsi="Arial" w:cs="Arial"/>
          <w:sz w:val="20"/>
          <w:szCs w:val="20"/>
        </w:rPr>
        <w:t xml:space="preserve">assessment </w:t>
      </w:r>
      <w:r w:rsidRPr="00413DA4">
        <w:rPr>
          <w:rFonts w:ascii="Arial" w:hAnsi="Arial" w:cs="Arial"/>
          <w:sz w:val="20"/>
          <w:szCs w:val="20"/>
        </w:rPr>
        <w:t xml:space="preserve">applications. Their high sensitivity to microsatellite regions allows for detailed examination of genetic relatedness, population differentiation, and clonal variation, establishing ISSR as a powerful tool for </w:t>
      </w:r>
      <w:r w:rsidR="00147876" w:rsidRPr="00413DA4">
        <w:rPr>
          <w:rFonts w:ascii="Arial" w:hAnsi="Arial" w:cs="Arial"/>
          <w:sz w:val="20"/>
          <w:szCs w:val="20"/>
        </w:rPr>
        <w:t xml:space="preserve">genetic </w:t>
      </w:r>
      <w:r w:rsidRPr="00413DA4">
        <w:rPr>
          <w:rFonts w:ascii="Arial" w:hAnsi="Arial" w:cs="Arial"/>
          <w:sz w:val="20"/>
          <w:szCs w:val="20"/>
        </w:rPr>
        <w:t xml:space="preserve">diversity assessment in </w:t>
      </w:r>
      <w:r w:rsidRPr="00413DA4">
        <w:rPr>
          <w:rFonts w:ascii="Arial" w:hAnsi="Arial" w:cs="Arial"/>
          <w:i/>
          <w:iCs/>
          <w:sz w:val="20"/>
          <w:szCs w:val="20"/>
        </w:rPr>
        <w:t>D. melanoxylon</w:t>
      </w:r>
      <w:r w:rsidR="00D34010" w:rsidRPr="00413DA4">
        <w:rPr>
          <w:rFonts w:ascii="Arial" w:hAnsi="Arial" w:cs="Arial"/>
          <w:sz w:val="20"/>
          <w:szCs w:val="20"/>
        </w:rPr>
        <w:t xml:space="preserve"> </w:t>
      </w:r>
      <w:r w:rsidR="007D5718" w:rsidRPr="00413DA4">
        <w:rPr>
          <w:rFonts w:ascii="Arial" w:hAnsi="Arial" w:cs="Arial"/>
          <w:sz w:val="20"/>
          <w:szCs w:val="20"/>
        </w:rPr>
        <w:t>Fig. 3 and Table 1</w:t>
      </w:r>
      <w:r w:rsidR="00611386" w:rsidRPr="00413DA4">
        <w:rPr>
          <w:rFonts w:ascii="Arial" w:hAnsi="Arial" w:cs="Arial"/>
          <w:sz w:val="20"/>
          <w:szCs w:val="20"/>
        </w:rPr>
        <w:t>.</w:t>
      </w:r>
    </w:p>
    <w:p w14:paraId="2F67B455" w14:textId="77777777" w:rsidR="007349CD" w:rsidRDefault="007349CD" w:rsidP="00835FB2">
      <w:pPr>
        <w:spacing w:line="360" w:lineRule="auto"/>
        <w:jc w:val="both"/>
        <w:rPr>
          <w:rFonts w:ascii="Arial" w:hAnsi="Arial" w:cs="Arial"/>
        </w:rPr>
      </w:pPr>
    </w:p>
    <w:p w14:paraId="4E45815F" w14:textId="77777777" w:rsidR="00AB2634" w:rsidRDefault="00AB2634" w:rsidP="00835FB2">
      <w:pPr>
        <w:spacing w:line="360" w:lineRule="auto"/>
        <w:jc w:val="both"/>
        <w:rPr>
          <w:rFonts w:ascii="Arial" w:hAnsi="Arial" w:cs="Arial"/>
        </w:rPr>
      </w:pPr>
    </w:p>
    <w:p w14:paraId="2BA721BE" w14:textId="1B3A875D" w:rsidR="00BE15BD" w:rsidRDefault="00413DA4" w:rsidP="00835FB2">
      <w:pPr>
        <w:spacing w:line="360" w:lineRule="auto"/>
        <w:jc w:val="both"/>
        <w:rPr>
          <w:rFonts w:ascii="Arial" w:hAnsi="Arial" w:cs="Arial"/>
        </w:rPr>
      </w:pPr>
      <w:r w:rsidRPr="002D4234">
        <w:rPr>
          <w:rFonts w:ascii="Arial" w:hAnsi="Arial" w:cs="Arial"/>
          <w:noProof/>
        </w:rPr>
        <w:lastRenderedPageBreak/>
        <w:drawing>
          <wp:anchor distT="0" distB="0" distL="114300" distR="114300" simplePos="0" relativeHeight="251665408" behindDoc="0" locked="0" layoutInCell="1" allowOverlap="1" wp14:anchorId="3A28E1DE" wp14:editId="658102C5">
            <wp:simplePos x="0" y="0"/>
            <wp:positionH relativeFrom="margin">
              <wp:align>center</wp:align>
            </wp:positionH>
            <wp:positionV relativeFrom="paragraph">
              <wp:posOffset>316782</wp:posOffset>
            </wp:positionV>
            <wp:extent cx="5172075" cy="2902344"/>
            <wp:effectExtent l="0" t="0" r="0" b="0"/>
            <wp:wrapNone/>
            <wp:docPr id="14364456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2075" cy="29023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F6055B" w14:textId="22D6BA6B" w:rsidR="00BE15BD" w:rsidRDefault="00BE15BD" w:rsidP="00835FB2">
      <w:pPr>
        <w:spacing w:line="360" w:lineRule="auto"/>
        <w:jc w:val="both"/>
        <w:rPr>
          <w:rFonts w:ascii="Arial" w:hAnsi="Arial" w:cs="Arial"/>
        </w:rPr>
      </w:pPr>
    </w:p>
    <w:p w14:paraId="21DB89FF" w14:textId="77777777" w:rsidR="00EE7B0C" w:rsidRDefault="00EE7B0C" w:rsidP="00835FB2">
      <w:pPr>
        <w:spacing w:line="360" w:lineRule="auto"/>
        <w:jc w:val="both"/>
        <w:rPr>
          <w:rFonts w:ascii="Arial" w:hAnsi="Arial" w:cs="Arial"/>
        </w:rPr>
      </w:pPr>
    </w:p>
    <w:p w14:paraId="7144EBE7" w14:textId="77777777" w:rsidR="00BE15BD" w:rsidRDefault="00BE15BD" w:rsidP="00835FB2">
      <w:pPr>
        <w:spacing w:line="360" w:lineRule="auto"/>
        <w:jc w:val="both"/>
        <w:rPr>
          <w:rFonts w:ascii="Arial" w:hAnsi="Arial" w:cs="Arial"/>
        </w:rPr>
      </w:pPr>
    </w:p>
    <w:p w14:paraId="2E207177" w14:textId="77777777" w:rsidR="00BE15BD" w:rsidRDefault="00BE15BD" w:rsidP="00835FB2">
      <w:pPr>
        <w:spacing w:line="360" w:lineRule="auto"/>
        <w:jc w:val="both"/>
        <w:rPr>
          <w:rFonts w:ascii="Arial" w:hAnsi="Arial" w:cs="Arial"/>
        </w:rPr>
      </w:pPr>
    </w:p>
    <w:p w14:paraId="7DD8476A" w14:textId="77777777" w:rsidR="00BE15BD" w:rsidRDefault="00BE15BD" w:rsidP="00835FB2">
      <w:pPr>
        <w:spacing w:line="360" w:lineRule="auto"/>
        <w:jc w:val="both"/>
        <w:rPr>
          <w:rFonts w:ascii="Arial" w:hAnsi="Arial" w:cs="Arial"/>
        </w:rPr>
      </w:pPr>
    </w:p>
    <w:p w14:paraId="309B45D1" w14:textId="77777777" w:rsidR="00BE15BD" w:rsidRDefault="00BE15BD" w:rsidP="00835FB2">
      <w:pPr>
        <w:spacing w:line="360" w:lineRule="auto"/>
        <w:jc w:val="both"/>
        <w:rPr>
          <w:rFonts w:ascii="Arial" w:hAnsi="Arial" w:cs="Arial"/>
        </w:rPr>
      </w:pPr>
    </w:p>
    <w:p w14:paraId="4CFF5911" w14:textId="77777777" w:rsidR="00BE15BD" w:rsidRDefault="00BE15BD" w:rsidP="00835FB2">
      <w:pPr>
        <w:spacing w:line="360" w:lineRule="auto"/>
        <w:jc w:val="both"/>
        <w:rPr>
          <w:rFonts w:ascii="Arial" w:hAnsi="Arial" w:cs="Arial"/>
        </w:rPr>
      </w:pPr>
    </w:p>
    <w:p w14:paraId="1B513F3A" w14:textId="77777777" w:rsidR="00BE15BD" w:rsidRDefault="00BE15BD" w:rsidP="00835FB2">
      <w:pPr>
        <w:spacing w:line="360" w:lineRule="auto"/>
        <w:jc w:val="both"/>
        <w:rPr>
          <w:rFonts w:ascii="Arial" w:hAnsi="Arial" w:cs="Arial"/>
        </w:rPr>
      </w:pPr>
    </w:p>
    <w:p w14:paraId="11C6EC99" w14:textId="77777777" w:rsidR="00BE15BD" w:rsidRDefault="00BE15BD" w:rsidP="00835FB2">
      <w:pPr>
        <w:spacing w:line="360" w:lineRule="auto"/>
        <w:jc w:val="both"/>
        <w:rPr>
          <w:rFonts w:ascii="Arial" w:hAnsi="Arial" w:cs="Arial"/>
        </w:rPr>
      </w:pPr>
    </w:p>
    <w:p w14:paraId="0D8EE85B" w14:textId="6158B18F" w:rsidR="00BE15BD" w:rsidRDefault="00BE15BD" w:rsidP="00413DA4">
      <w:pPr>
        <w:spacing w:line="240" w:lineRule="auto"/>
        <w:rPr>
          <w:rFonts w:ascii="Arial" w:hAnsi="Arial" w:cs="Arial"/>
          <w:b/>
          <w:bCs/>
          <w:sz w:val="20"/>
          <w:szCs w:val="20"/>
        </w:rPr>
      </w:pPr>
      <w:r w:rsidRPr="00413DA4">
        <w:rPr>
          <w:rFonts w:ascii="Arial" w:hAnsi="Arial" w:cs="Arial"/>
          <w:b/>
          <w:bCs/>
          <w:sz w:val="20"/>
          <w:szCs w:val="20"/>
        </w:rPr>
        <w:t>Fig. 3</w:t>
      </w:r>
      <w:r w:rsidR="0014082E" w:rsidRPr="00413DA4">
        <w:rPr>
          <w:rFonts w:ascii="Arial" w:hAnsi="Arial" w:cs="Arial"/>
          <w:b/>
          <w:bCs/>
          <w:sz w:val="20"/>
          <w:szCs w:val="20"/>
        </w:rPr>
        <w:t>.</w:t>
      </w:r>
      <w:r w:rsidRPr="00413DA4">
        <w:rPr>
          <w:rFonts w:ascii="Arial" w:hAnsi="Arial" w:cs="Arial"/>
          <w:b/>
          <w:bCs/>
          <w:sz w:val="20"/>
          <w:szCs w:val="20"/>
        </w:rPr>
        <w:t xml:space="preserve"> </w:t>
      </w:r>
      <w:r w:rsidRPr="00413DA4">
        <w:rPr>
          <w:rFonts w:ascii="Arial" w:hAnsi="Arial" w:cs="Arial"/>
          <w:b/>
          <w:bCs/>
          <w:sz w:val="20"/>
          <w:szCs w:val="20"/>
          <w:lang w:val="en-US"/>
        </w:rPr>
        <w:t xml:space="preserve">ISSR fingerprinting profile of </w:t>
      </w:r>
      <w:r w:rsidRPr="00413DA4">
        <w:rPr>
          <w:rFonts w:ascii="Arial" w:hAnsi="Arial" w:cs="Arial"/>
          <w:b/>
          <w:bCs/>
          <w:i/>
          <w:iCs/>
          <w:sz w:val="20"/>
          <w:szCs w:val="20"/>
        </w:rPr>
        <w:t xml:space="preserve">D. melanoxylon </w:t>
      </w:r>
      <w:r w:rsidRPr="00413DA4">
        <w:rPr>
          <w:rFonts w:ascii="Arial" w:hAnsi="Arial" w:cs="Arial"/>
          <w:b/>
          <w:bCs/>
          <w:sz w:val="20"/>
          <w:szCs w:val="20"/>
        </w:rPr>
        <w:t>using 17-primers and M is a molecular size marker (500bp)</w:t>
      </w:r>
    </w:p>
    <w:p w14:paraId="1B1CE19E" w14:textId="77777777" w:rsidR="00413DA4" w:rsidRPr="00413DA4" w:rsidRDefault="00413DA4" w:rsidP="00413DA4">
      <w:pPr>
        <w:spacing w:line="240" w:lineRule="auto"/>
        <w:rPr>
          <w:rFonts w:ascii="Arial" w:hAnsi="Arial" w:cs="Arial"/>
          <w:b/>
          <w:bCs/>
          <w:sz w:val="20"/>
          <w:szCs w:val="20"/>
        </w:rPr>
      </w:pPr>
    </w:p>
    <w:tbl>
      <w:tblPr>
        <w:tblStyle w:val="TableGrid"/>
        <w:tblW w:w="8646" w:type="dxa"/>
        <w:tblInd w:w="279" w:type="dxa"/>
        <w:tblLayout w:type="fixed"/>
        <w:tblLook w:val="04A0" w:firstRow="1" w:lastRow="0" w:firstColumn="1" w:lastColumn="0" w:noHBand="0" w:noVBand="1"/>
      </w:tblPr>
      <w:tblGrid>
        <w:gridCol w:w="938"/>
        <w:gridCol w:w="1921"/>
        <w:gridCol w:w="968"/>
        <w:gridCol w:w="1985"/>
        <w:gridCol w:w="1417"/>
        <w:gridCol w:w="1417"/>
      </w:tblGrid>
      <w:tr w:rsidR="00BE15BD" w:rsidRPr="00413DA4" w14:paraId="3CEF2FD3" w14:textId="77777777" w:rsidTr="00647BBE">
        <w:trPr>
          <w:trHeight w:val="296"/>
        </w:trPr>
        <w:tc>
          <w:tcPr>
            <w:tcW w:w="938" w:type="dxa"/>
            <w:vAlign w:val="center"/>
          </w:tcPr>
          <w:p w14:paraId="4BE53E1C" w14:textId="77777777" w:rsidR="00BE15BD" w:rsidRPr="00413DA4" w:rsidRDefault="00BE15BD" w:rsidP="00647BBE">
            <w:pPr>
              <w:jc w:val="both"/>
              <w:rPr>
                <w:rFonts w:ascii="Arial" w:hAnsi="Arial" w:cs="Arial"/>
                <w:b/>
                <w:sz w:val="20"/>
                <w:szCs w:val="20"/>
              </w:rPr>
            </w:pPr>
            <w:r w:rsidRPr="00413DA4">
              <w:rPr>
                <w:rFonts w:ascii="Arial" w:hAnsi="Arial" w:cs="Arial"/>
                <w:b/>
                <w:sz w:val="20"/>
                <w:szCs w:val="20"/>
              </w:rPr>
              <w:t>Sl. No.</w:t>
            </w:r>
          </w:p>
        </w:tc>
        <w:tc>
          <w:tcPr>
            <w:tcW w:w="1921" w:type="dxa"/>
            <w:vAlign w:val="center"/>
          </w:tcPr>
          <w:p w14:paraId="348C95FC" w14:textId="77777777" w:rsidR="00BE15BD" w:rsidRPr="00413DA4" w:rsidRDefault="00BE15BD" w:rsidP="00647BBE">
            <w:pPr>
              <w:jc w:val="both"/>
              <w:rPr>
                <w:rFonts w:ascii="Arial" w:hAnsi="Arial" w:cs="Arial"/>
                <w:b/>
                <w:sz w:val="20"/>
                <w:szCs w:val="20"/>
              </w:rPr>
            </w:pPr>
            <w:r w:rsidRPr="00413DA4">
              <w:rPr>
                <w:rFonts w:ascii="Arial" w:hAnsi="Arial" w:cs="Arial"/>
                <w:b/>
                <w:sz w:val="20"/>
                <w:szCs w:val="20"/>
              </w:rPr>
              <w:t>Short form</w:t>
            </w:r>
          </w:p>
        </w:tc>
        <w:tc>
          <w:tcPr>
            <w:tcW w:w="968" w:type="dxa"/>
            <w:vAlign w:val="center"/>
          </w:tcPr>
          <w:p w14:paraId="1062A7E9" w14:textId="77777777" w:rsidR="00BE15BD" w:rsidRPr="00413DA4" w:rsidRDefault="00BE15BD" w:rsidP="00647BBE">
            <w:pPr>
              <w:jc w:val="both"/>
              <w:rPr>
                <w:rFonts w:ascii="Arial" w:hAnsi="Arial" w:cs="Arial"/>
                <w:b/>
                <w:sz w:val="20"/>
                <w:szCs w:val="20"/>
              </w:rPr>
            </w:pPr>
            <w:r w:rsidRPr="00413DA4">
              <w:rPr>
                <w:rFonts w:ascii="Arial" w:hAnsi="Arial" w:cs="Arial"/>
                <w:b/>
                <w:sz w:val="20"/>
                <w:szCs w:val="20"/>
              </w:rPr>
              <w:t>T</w:t>
            </w:r>
            <w:r w:rsidRPr="00413DA4">
              <w:rPr>
                <w:rFonts w:ascii="Arial" w:hAnsi="Arial" w:cs="Arial"/>
                <w:b/>
                <w:sz w:val="20"/>
                <w:szCs w:val="20"/>
                <w:vertAlign w:val="subscript"/>
              </w:rPr>
              <w:t>m</w:t>
            </w:r>
          </w:p>
        </w:tc>
        <w:tc>
          <w:tcPr>
            <w:tcW w:w="1985" w:type="dxa"/>
            <w:vAlign w:val="center"/>
          </w:tcPr>
          <w:p w14:paraId="33D0546F" w14:textId="77777777" w:rsidR="00BE15BD" w:rsidRPr="00413DA4" w:rsidRDefault="00BE15BD" w:rsidP="00647BBE">
            <w:pPr>
              <w:jc w:val="both"/>
              <w:rPr>
                <w:rFonts w:ascii="Arial" w:hAnsi="Arial" w:cs="Arial"/>
                <w:b/>
                <w:sz w:val="20"/>
                <w:szCs w:val="20"/>
              </w:rPr>
            </w:pPr>
            <w:r w:rsidRPr="00413DA4">
              <w:rPr>
                <w:rFonts w:ascii="Arial" w:hAnsi="Arial" w:cs="Arial"/>
                <w:b/>
                <w:sz w:val="20"/>
                <w:szCs w:val="20"/>
              </w:rPr>
              <w:t>Length of amplified alleles (bp)</w:t>
            </w:r>
          </w:p>
        </w:tc>
        <w:tc>
          <w:tcPr>
            <w:tcW w:w="1417" w:type="dxa"/>
            <w:vAlign w:val="center"/>
          </w:tcPr>
          <w:p w14:paraId="5A440867" w14:textId="77777777" w:rsidR="00BE15BD" w:rsidRPr="00413DA4" w:rsidRDefault="00BE15BD" w:rsidP="00647BBE">
            <w:pPr>
              <w:jc w:val="both"/>
              <w:rPr>
                <w:rFonts w:ascii="Arial" w:hAnsi="Arial" w:cs="Arial"/>
                <w:b/>
                <w:sz w:val="20"/>
                <w:szCs w:val="20"/>
              </w:rPr>
            </w:pPr>
            <w:r w:rsidRPr="00413DA4">
              <w:rPr>
                <w:rFonts w:ascii="Arial" w:hAnsi="Arial" w:cs="Arial"/>
                <w:b/>
                <w:sz w:val="20"/>
                <w:szCs w:val="20"/>
              </w:rPr>
              <w:t>Total no. of alleles</w:t>
            </w:r>
          </w:p>
        </w:tc>
        <w:tc>
          <w:tcPr>
            <w:tcW w:w="1417" w:type="dxa"/>
          </w:tcPr>
          <w:p w14:paraId="7F034EB3" w14:textId="77777777" w:rsidR="00BE15BD" w:rsidRPr="00413DA4" w:rsidRDefault="00BE15BD" w:rsidP="00647BBE">
            <w:pPr>
              <w:jc w:val="both"/>
              <w:rPr>
                <w:rFonts w:ascii="Arial" w:hAnsi="Arial" w:cs="Arial"/>
                <w:b/>
                <w:sz w:val="20"/>
                <w:szCs w:val="20"/>
              </w:rPr>
            </w:pPr>
            <w:r w:rsidRPr="00413DA4">
              <w:rPr>
                <w:rFonts w:ascii="Arial" w:hAnsi="Arial" w:cs="Arial"/>
                <w:b/>
                <w:sz w:val="20"/>
                <w:szCs w:val="20"/>
              </w:rPr>
              <w:t>Reference</w:t>
            </w:r>
          </w:p>
        </w:tc>
      </w:tr>
      <w:tr w:rsidR="00BE15BD" w:rsidRPr="00413DA4" w14:paraId="30BF25BD" w14:textId="77777777" w:rsidTr="00647BBE">
        <w:trPr>
          <w:trHeight w:val="296"/>
        </w:trPr>
        <w:tc>
          <w:tcPr>
            <w:tcW w:w="938" w:type="dxa"/>
            <w:vAlign w:val="center"/>
          </w:tcPr>
          <w:p w14:paraId="3F0A82CD"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1</w:t>
            </w:r>
          </w:p>
        </w:tc>
        <w:tc>
          <w:tcPr>
            <w:tcW w:w="1921" w:type="dxa"/>
            <w:vAlign w:val="center"/>
          </w:tcPr>
          <w:p w14:paraId="1148C173"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(GA)</w:t>
            </w:r>
            <w:r w:rsidRPr="00413DA4">
              <w:rPr>
                <w:rFonts w:ascii="Arial" w:hAnsi="Arial" w:cs="Arial"/>
                <w:sz w:val="20"/>
                <w:szCs w:val="20"/>
                <w:vertAlign w:val="subscript"/>
              </w:rPr>
              <w:t>8</w:t>
            </w:r>
            <w:r w:rsidRPr="00413DA4">
              <w:rPr>
                <w:rFonts w:ascii="Arial" w:hAnsi="Arial" w:cs="Arial"/>
                <w:sz w:val="20"/>
                <w:szCs w:val="20"/>
              </w:rPr>
              <w:t>YG</w:t>
            </w:r>
          </w:p>
        </w:tc>
        <w:tc>
          <w:tcPr>
            <w:tcW w:w="968" w:type="dxa"/>
            <w:vAlign w:val="center"/>
          </w:tcPr>
          <w:p w14:paraId="2F321D7D"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48°C</w:t>
            </w:r>
          </w:p>
        </w:tc>
        <w:tc>
          <w:tcPr>
            <w:tcW w:w="1985" w:type="dxa"/>
          </w:tcPr>
          <w:p w14:paraId="30A20D8B"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560-1321</w:t>
            </w:r>
          </w:p>
        </w:tc>
        <w:tc>
          <w:tcPr>
            <w:tcW w:w="1417" w:type="dxa"/>
          </w:tcPr>
          <w:p w14:paraId="53EE4BC3"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6</w:t>
            </w:r>
          </w:p>
        </w:tc>
        <w:tc>
          <w:tcPr>
            <w:tcW w:w="1417" w:type="dxa"/>
            <w:vMerge w:val="restart"/>
          </w:tcPr>
          <w:p w14:paraId="77DD4F81" w14:textId="77777777" w:rsidR="00BE15BD" w:rsidRPr="00413DA4" w:rsidRDefault="00BE15BD" w:rsidP="00647BBE">
            <w:pPr>
              <w:jc w:val="both"/>
              <w:rPr>
                <w:rFonts w:ascii="Arial" w:hAnsi="Arial" w:cs="Arial"/>
                <w:sz w:val="20"/>
                <w:szCs w:val="20"/>
              </w:rPr>
            </w:pPr>
          </w:p>
          <w:p w14:paraId="003FF5A3" w14:textId="2ABF4372" w:rsidR="00BE15BD" w:rsidRPr="00413DA4" w:rsidRDefault="00FF3884" w:rsidP="00647BBE">
            <w:pPr>
              <w:jc w:val="both"/>
              <w:rPr>
                <w:rFonts w:ascii="Arial" w:hAnsi="Arial" w:cs="Arial"/>
                <w:sz w:val="20"/>
                <w:szCs w:val="20"/>
              </w:rPr>
            </w:pPr>
            <w:r>
              <w:rPr>
                <w:rFonts w:ascii="Arial" w:hAnsi="Arial" w:cs="Arial"/>
                <w:sz w:val="20"/>
                <w:szCs w:val="20"/>
              </w:rPr>
              <w:t>Surabhi et al., 2017</w:t>
            </w:r>
          </w:p>
        </w:tc>
      </w:tr>
      <w:tr w:rsidR="00BE15BD" w:rsidRPr="00413DA4" w14:paraId="288437E3" w14:textId="77777777" w:rsidTr="00647BBE">
        <w:trPr>
          <w:trHeight w:val="296"/>
        </w:trPr>
        <w:tc>
          <w:tcPr>
            <w:tcW w:w="938" w:type="dxa"/>
          </w:tcPr>
          <w:p w14:paraId="30178DFE"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2</w:t>
            </w:r>
          </w:p>
        </w:tc>
        <w:tc>
          <w:tcPr>
            <w:tcW w:w="1921" w:type="dxa"/>
          </w:tcPr>
          <w:p w14:paraId="12AF1255"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(AC)</w:t>
            </w:r>
            <w:r w:rsidRPr="00413DA4">
              <w:rPr>
                <w:rFonts w:ascii="Arial" w:hAnsi="Arial" w:cs="Arial"/>
                <w:sz w:val="20"/>
                <w:szCs w:val="20"/>
                <w:vertAlign w:val="subscript"/>
              </w:rPr>
              <w:t xml:space="preserve">8 </w:t>
            </w:r>
            <w:r w:rsidRPr="00413DA4">
              <w:rPr>
                <w:rFonts w:ascii="Arial" w:hAnsi="Arial" w:cs="Arial"/>
                <w:sz w:val="20"/>
                <w:szCs w:val="20"/>
              </w:rPr>
              <w:t>AA</w:t>
            </w:r>
          </w:p>
        </w:tc>
        <w:tc>
          <w:tcPr>
            <w:tcW w:w="968" w:type="dxa"/>
          </w:tcPr>
          <w:p w14:paraId="615EFE2D"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48°C</w:t>
            </w:r>
          </w:p>
        </w:tc>
        <w:tc>
          <w:tcPr>
            <w:tcW w:w="1985" w:type="dxa"/>
          </w:tcPr>
          <w:p w14:paraId="1449E023"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605-1287</w:t>
            </w:r>
          </w:p>
        </w:tc>
        <w:tc>
          <w:tcPr>
            <w:tcW w:w="1417" w:type="dxa"/>
          </w:tcPr>
          <w:p w14:paraId="712865BF"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7</w:t>
            </w:r>
          </w:p>
        </w:tc>
        <w:tc>
          <w:tcPr>
            <w:tcW w:w="1417" w:type="dxa"/>
            <w:vMerge/>
          </w:tcPr>
          <w:p w14:paraId="35D431B8" w14:textId="77777777" w:rsidR="00BE15BD" w:rsidRPr="00413DA4" w:rsidRDefault="00BE15BD" w:rsidP="00647BBE">
            <w:pPr>
              <w:jc w:val="both"/>
              <w:rPr>
                <w:rFonts w:ascii="Arial" w:hAnsi="Arial" w:cs="Arial"/>
                <w:sz w:val="20"/>
                <w:szCs w:val="20"/>
              </w:rPr>
            </w:pPr>
          </w:p>
        </w:tc>
      </w:tr>
      <w:tr w:rsidR="00BE15BD" w:rsidRPr="00413DA4" w14:paraId="563E8AFA" w14:textId="77777777" w:rsidTr="00647BBE">
        <w:trPr>
          <w:trHeight w:val="296"/>
        </w:trPr>
        <w:tc>
          <w:tcPr>
            <w:tcW w:w="938" w:type="dxa"/>
          </w:tcPr>
          <w:p w14:paraId="7360C359"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3</w:t>
            </w:r>
          </w:p>
        </w:tc>
        <w:tc>
          <w:tcPr>
            <w:tcW w:w="1921" w:type="dxa"/>
          </w:tcPr>
          <w:p w14:paraId="62331CE6"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(AC)</w:t>
            </w:r>
            <w:r w:rsidRPr="00413DA4">
              <w:rPr>
                <w:rFonts w:ascii="Arial" w:hAnsi="Arial" w:cs="Arial"/>
                <w:sz w:val="20"/>
                <w:szCs w:val="20"/>
                <w:vertAlign w:val="subscript"/>
              </w:rPr>
              <w:t>8</w:t>
            </w:r>
            <w:r w:rsidRPr="00413DA4">
              <w:rPr>
                <w:rFonts w:ascii="Arial" w:hAnsi="Arial" w:cs="Arial"/>
                <w:sz w:val="20"/>
                <w:szCs w:val="20"/>
              </w:rPr>
              <w:t>C</w:t>
            </w:r>
          </w:p>
        </w:tc>
        <w:tc>
          <w:tcPr>
            <w:tcW w:w="968" w:type="dxa"/>
          </w:tcPr>
          <w:p w14:paraId="5DE88F3A"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48°C</w:t>
            </w:r>
          </w:p>
        </w:tc>
        <w:tc>
          <w:tcPr>
            <w:tcW w:w="1985" w:type="dxa"/>
          </w:tcPr>
          <w:p w14:paraId="3DCB7E96"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500-1408</w:t>
            </w:r>
          </w:p>
        </w:tc>
        <w:tc>
          <w:tcPr>
            <w:tcW w:w="1417" w:type="dxa"/>
          </w:tcPr>
          <w:p w14:paraId="42C40427"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8</w:t>
            </w:r>
          </w:p>
        </w:tc>
        <w:tc>
          <w:tcPr>
            <w:tcW w:w="1417" w:type="dxa"/>
            <w:vMerge/>
          </w:tcPr>
          <w:p w14:paraId="74E026D4" w14:textId="77777777" w:rsidR="00BE15BD" w:rsidRPr="00413DA4" w:rsidRDefault="00BE15BD" w:rsidP="00647BBE">
            <w:pPr>
              <w:jc w:val="both"/>
              <w:rPr>
                <w:rFonts w:ascii="Arial" w:hAnsi="Arial" w:cs="Arial"/>
                <w:sz w:val="20"/>
                <w:szCs w:val="20"/>
              </w:rPr>
            </w:pPr>
          </w:p>
        </w:tc>
      </w:tr>
      <w:tr w:rsidR="00BE15BD" w:rsidRPr="00413DA4" w14:paraId="413989E1" w14:textId="77777777" w:rsidTr="00647BBE">
        <w:trPr>
          <w:trHeight w:val="296"/>
        </w:trPr>
        <w:tc>
          <w:tcPr>
            <w:tcW w:w="938" w:type="dxa"/>
          </w:tcPr>
          <w:p w14:paraId="38666B51"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w:t>
            </w:r>
          </w:p>
        </w:tc>
        <w:tc>
          <w:tcPr>
            <w:tcW w:w="1921" w:type="dxa"/>
          </w:tcPr>
          <w:p w14:paraId="4C2FDBBD"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TGG(AC)</w:t>
            </w:r>
            <w:r w:rsidRPr="00413DA4">
              <w:rPr>
                <w:rFonts w:ascii="Arial" w:hAnsi="Arial" w:cs="Arial"/>
                <w:sz w:val="20"/>
                <w:szCs w:val="20"/>
                <w:vertAlign w:val="subscript"/>
              </w:rPr>
              <w:t>7</w:t>
            </w:r>
          </w:p>
        </w:tc>
        <w:tc>
          <w:tcPr>
            <w:tcW w:w="968" w:type="dxa"/>
          </w:tcPr>
          <w:p w14:paraId="630DCF47"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48°C</w:t>
            </w:r>
          </w:p>
        </w:tc>
        <w:tc>
          <w:tcPr>
            <w:tcW w:w="1985" w:type="dxa"/>
          </w:tcPr>
          <w:p w14:paraId="23D5CD08" w14:textId="77777777" w:rsidR="00BE15BD" w:rsidRPr="00413DA4" w:rsidRDefault="00BE15BD" w:rsidP="00647BBE">
            <w:pPr>
              <w:rPr>
                <w:rFonts w:ascii="Arial" w:hAnsi="Arial" w:cs="Arial"/>
                <w:sz w:val="20"/>
                <w:szCs w:val="20"/>
              </w:rPr>
            </w:pPr>
            <w:r w:rsidRPr="00413DA4">
              <w:rPr>
                <w:rFonts w:ascii="Arial" w:hAnsi="Arial" w:cs="Arial"/>
                <w:sz w:val="20"/>
                <w:szCs w:val="20"/>
              </w:rPr>
              <w:t>1048-1560</w:t>
            </w:r>
          </w:p>
        </w:tc>
        <w:tc>
          <w:tcPr>
            <w:tcW w:w="1417" w:type="dxa"/>
          </w:tcPr>
          <w:p w14:paraId="5C277782"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w:t>
            </w:r>
          </w:p>
        </w:tc>
        <w:tc>
          <w:tcPr>
            <w:tcW w:w="1417" w:type="dxa"/>
            <w:vMerge w:val="restart"/>
          </w:tcPr>
          <w:p w14:paraId="71209AA1" w14:textId="77777777" w:rsidR="00BE15BD" w:rsidRPr="00413DA4" w:rsidRDefault="00BE15BD" w:rsidP="00647BBE">
            <w:pPr>
              <w:jc w:val="both"/>
              <w:rPr>
                <w:rFonts w:ascii="Arial" w:hAnsi="Arial" w:cs="Arial"/>
                <w:sz w:val="20"/>
                <w:szCs w:val="20"/>
              </w:rPr>
            </w:pPr>
          </w:p>
          <w:p w14:paraId="0AD8FB9E" w14:textId="1D759BC4" w:rsidR="00BE15BD" w:rsidRPr="00413DA4" w:rsidRDefault="00FF3884" w:rsidP="00647BBE">
            <w:pPr>
              <w:jc w:val="both"/>
              <w:rPr>
                <w:rFonts w:ascii="Arial" w:hAnsi="Arial" w:cs="Arial"/>
                <w:sz w:val="20"/>
                <w:szCs w:val="20"/>
              </w:rPr>
            </w:pPr>
            <w:r>
              <w:rPr>
                <w:rFonts w:ascii="Arial" w:hAnsi="Arial" w:cs="Arial"/>
                <w:sz w:val="20"/>
                <w:szCs w:val="20"/>
              </w:rPr>
              <w:t xml:space="preserve">Surabhi and </w:t>
            </w:r>
            <w:proofErr w:type="spellStart"/>
            <w:r>
              <w:rPr>
                <w:rFonts w:ascii="Arial" w:hAnsi="Arial" w:cs="Arial"/>
                <w:sz w:val="20"/>
                <w:szCs w:val="20"/>
              </w:rPr>
              <w:t>Pattanayak</w:t>
            </w:r>
            <w:proofErr w:type="spellEnd"/>
            <w:r>
              <w:rPr>
                <w:rFonts w:ascii="Arial" w:hAnsi="Arial" w:cs="Arial"/>
                <w:sz w:val="20"/>
                <w:szCs w:val="20"/>
              </w:rPr>
              <w:t>, 2015</w:t>
            </w:r>
          </w:p>
        </w:tc>
      </w:tr>
      <w:tr w:rsidR="00BE15BD" w:rsidRPr="00413DA4" w14:paraId="522910EF" w14:textId="77777777" w:rsidTr="00647BBE">
        <w:trPr>
          <w:trHeight w:val="296"/>
        </w:trPr>
        <w:tc>
          <w:tcPr>
            <w:tcW w:w="938" w:type="dxa"/>
          </w:tcPr>
          <w:p w14:paraId="576B6064"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5</w:t>
            </w:r>
          </w:p>
        </w:tc>
        <w:tc>
          <w:tcPr>
            <w:tcW w:w="1921" w:type="dxa"/>
          </w:tcPr>
          <w:p w14:paraId="4D5DCC7F"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(AC)</w:t>
            </w:r>
            <w:r w:rsidRPr="00413DA4">
              <w:rPr>
                <w:rFonts w:ascii="Arial" w:hAnsi="Arial" w:cs="Arial"/>
                <w:sz w:val="20"/>
                <w:szCs w:val="20"/>
                <w:vertAlign w:val="subscript"/>
              </w:rPr>
              <w:t>8</w:t>
            </w:r>
            <w:r w:rsidRPr="00413DA4">
              <w:rPr>
                <w:rFonts w:ascii="Arial" w:hAnsi="Arial" w:cs="Arial"/>
                <w:sz w:val="20"/>
                <w:szCs w:val="20"/>
              </w:rPr>
              <w:t>T</w:t>
            </w:r>
          </w:p>
        </w:tc>
        <w:tc>
          <w:tcPr>
            <w:tcW w:w="968" w:type="dxa"/>
          </w:tcPr>
          <w:p w14:paraId="227AFAC2"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48°C</w:t>
            </w:r>
          </w:p>
        </w:tc>
        <w:tc>
          <w:tcPr>
            <w:tcW w:w="1985" w:type="dxa"/>
          </w:tcPr>
          <w:p w14:paraId="62F2970D"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513-1807</w:t>
            </w:r>
          </w:p>
        </w:tc>
        <w:tc>
          <w:tcPr>
            <w:tcW w:w="1417" w:type="dxa"/>
          </w:tcPr>
          <w:p w14:paraId="0F99BEDE"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10</w:t>
            </w:r>
          </w:p>
        </w:tc>
        <w:tc>
          <w:tcPr>
            <w:tcW w:w="1417" w:type="dxa"/>
            <w:vMerge/>
          </w:tcPr>
          <w:p w14:paraId="183C08C4" w14:textId="77777777" w:rsidR="00BE15BD" w:rsidRPr="00413DA4" w:rsidRDefault="00BE15BD" w:rsidP="00647BBE">
            <w:pPr>
              <w:jc w:val="both"/>
              <w:rPr>
                <w:rFonts w:ascii="Arial" w:hAnsi="Arial" w:cs="Arial"/>
                <w:sz w:val="20"/>
                <w:szCs w:val="20"/>
              </w:rPr>
            </w:pPr>
          </w:p>
        </w:tc>
      </w:tr>
      <w:tr w:rsidR="00BE15BD" w:rsidRPr="00413DA4" w14:paraId="0A245E0C" w14:textId="77777777" w:rsidTr="00647BBE">
        <w:trPr>
          <w:trHeight w:val="296"/>
        </w:trPr>
        <w:tc>
          <w:tcPr>
            <w:tcW w:w="938" w:type="dxa"/>
          </w:tcPr>
          <w:p w14:paraId="0C7B707A"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6</w:t>
            </w:r>
          </w:p>
        </w:tc>
        <w:tc>
          <w:tcPr>
            <w:tcW w:w="1921" w:type="dxa"/>
          </w:tcPr>
          <w:p w14:paraId="7696AF04"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(AC)</w:t>
            </w:r>
            <w:r w:rsidRPr="00413DA4">
              <w:rPr>
                <w:rFonts w:ascii="Arial" w:hAnsi="Arial" w:cs="Arial"/>
                <w:sz w:val="20"/>
                <w:szCs w:val="20"/>
                <w:vertAlign w:val="subscript"/>
              </w:rPr>
              <w:t>8</w:t>
            </w:r>
            <w:r w:rsidRPr="00413DA4">
              <w:rPr>
                <w:rFonts w:ascii="Arial" w:hAnsi="Arial" w:cs="Arial"/>
                <w:sz w:val="20"/>
                <w:szCs w:val="20"/>
              </w:rPr>
              <w:t>YT</w:t>
            </w:r>
          </w:p>
        </w:tc>
        <w:tc>
          <w:tcPr>
            <w:tcW w:w="968" w:type="dxa"/>
          </w:tcPr>
          <w:p w14:paraId="0DC51D39"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48°C</w:t>
            </w:r>
          </w:p>
        </w:tc>
        <w:tc>
          <w:tcPr>
            <w:tcW w:w="1985" w:type="dxa"/>
          </w:tcPr>
          <w:p w14:paraId="5DFED56B"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608-1400</w:t>
            </w:r>
          </w:p>
        </w:tc>
        <w:tc>
          <w:tcPr>
            <w:tcW w:w="1417" w:type="dxa"/>
          </w:tcPr>
          <w:p w14:paraId="144E4F2D"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5</w:t>
            </w:r>
          </w:p>
        </w:tc>
        <w:tc>
          <w:tcPr>
            <w:tcW w:w="1417" w:type="dxa"/>
            <w:vMerge/>
          </w:tcPr>
          <w:p w14:paraId="1B403B01" w14:textId="77777777" w:rsidR="00BE15BD" w:rsidRPr="00413DA4" w:rsidRDefault="00BE15BD" w:rsidP="00647BBE">
            <w:pPr>
              <w:jc w:val="both"/>
              <w:rPr>
                <w:rFonts w:ascii="Arial" w:hAnsi="Arial" w:cs="Arial"/>
                <w:sz w:val="20"/>
                <w:szCs w:val="20"/>
              </w:rPr>
            </w:pPr>
          </w:p>
        </w:tc>
      </w:tr>
      <w:tr w:rsidR="00BE15BD" w:rsidRPr="00413DA4" w14:paraId="3638A948" w14:textId="77777777" w:rsidTr="00647BBE">
        <w:trPr>
          <w:trHeight w:val="296"/>
        </w:trPr>
        <w:tc>
          <w:tcPr>
            <w:tcW w:w="938" w:type="dxa"/>
          </w:tcPr>
          <w:p w14:paraId="3038AD2E"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7</w:t>
            </w:r>
          </w:p>
        </w:tc>
        <w:tc>
          <w:tcPr>
            <w:tcW w:w="1921" w:type="dxa"/>
          </w:tcPr>
          <w:p w14:paraId="095887BE"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(GA)</w:t>
            </w:r>
            <w:r w:rsidRPr="00413DA4">
              <w:rPr>
                <w:rFonts w:ascii="Arial" w:hAnsi="Arial" w:cs="Arial"/>
                <w:sz w:val="20"/>
                <w:szCs w:val="20"/>
                <w:vertAlign w:val="subscript"/>
              </w:rPr>
              <w:t>8</w:t>
            </w:r>
            <w:r w:rsidRPr="00413DA4">
              <w:rPr>
                <w:rFonts w:ascii="Arial" w:hAnsi="Arial" w:cs="Arial"/>
                <w:sz w:val="20"/>
                <w:szCs w:val="20"/>
              </w:rPr>
              <w:t>YT</w:t>
            </w:r>
          </w:p>
        </w:tc>
        <w:tc>
          <w:tcPr>
            <w:tcW w:w="968" w:type="dxa"/>
          </w:tcPr>
          <w:p w14:paraId="245C492F"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46°C</w:t>
            </w:r>
          </w:p>
        </w:tc>
        <w:tc>
          <w:tcPr>
            <w:tcW w:w="1985" w:type="dxa"/>
          </w:tcPr>
          <w:p w14:paraId="03705CA8"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500-1364</w:t>
            </w:r>
          </w:p>
        </w:tc>
        <w:tc>
          <w:tcPr>
            <w:tcW w:w="1417" w:type="dxa"/>
          </w:tcPr>
          <w:p w14:paraId="089F3E93"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9</w:t>
            </w:r>
          </w:p>
        </w:tc>
        <w:tc>
          <w:tcPr>
            <w:tcW w:w="1417" w:type="dxa"/>
            <w:vMerge/>
          </w:tcPr>
          <w:p w14:paraId="603040F4" w14:textId="77777777" w:rsidR="00BE15BD" w:rsidRPr="00413DA4" w:rsidRDefault="00BE15BD" w:rsidP="00647BBE">
            <w:pPr>
              <w:jc w:val="both"/>
              <w:rPr>
                <w:rFonts w:ascii="Arial" w:hAnsi="Arial" w:cs="Arial"/>
                <w:sz w:val="20"/>
                <w:szCs w:val="20"/>
              </w:rPr>
            </w:pPr>
          </w:p>
        </w:tc>
      </w:tr>
      <w:tr w:rsidR="00BE15BD" w:rsidRPr="00413DA4" w14:paraId="08B74FBB" w14:textId="77777777" w:rsidTr="00647BBE">
        <w:trPr>
          <w:trHeight w:val="296"/>
        </w:trPr>
        <w:tc>
          <w:tcPr>
            <w:tcW w:w="938" w:type="dxa"/>
          </w:tcPr>
          <w:p w14:paraId="36C3046D"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8</w:t>
            </w:r>
          </w:p>
        </w:tc>
        <w:tc>
          <w:tcPr>
            <w:tcW w:w="1921" w:type="dxa"/>
          </w:tcPr>
          <w:p w14:paraId="728D9832"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(GA)</w:t>
            </w:r>
            <w:r w:rsidRPr="00413DA4">
              <w:rPr>
                <w:rFonts w:ascii="Arial" w:hAnsi="Arial" w:cs="Arial"/>
                <w:sz w:val="20"/>
                <w:szCs w:val="20"/>
                <w:vertAlign w:val="subscript"/>
              </w:rPr>
              <w:t>8</w:t>
            </w:r>
            <w:r w:rsidRPr="00413DA4">
              <w:rPr>
                <w:rFonts w:ascii="Arial" w:hAnsi="Arial" w:cs="Arial"/>
                <w:sz w:val="20"/>
                <w:szCs w:val="20"/>
              </w:rPr>
              <w:t>C</w:t>
            </w:r>
          </w:p>
        </w:tc>
        <w:tc>
          <w:tcPr>
            <w:tcW w:w="968" w:type="dxa"/>
          </w:tcPr>
          <w:p w14:paraId="3D14A4C2"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46°C</w:t>
            </w:r>
          </w:p>
        </w:tc>
        <w:tc>
          <w:tcPr>
            <w:tcW w:w="1985" w:type="dxa"/>
          </w:tcPr>
          <w:p w14:paraId="5C018436"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500-1796</w:t>
            </w:r>
          </w:p>
        </w:tc>
        <w:tc>
          <w:tcPr>
            <w:tcW w:w="1417" w:type="dxa"/>
          </w:tcPr>
          <w:p w14:paraId="4139EE5F"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7</w:t>
            </w:r>
          </w:p>
        </w:tc>
        <w:tc>
          <w:tcPr>
            <w:tcW w:w="1417" w:type="dxa"/>
            <w:vMerge/>
          </w:tcPr>
          <w:p w14:paraId="667A9BC9" w14:textId="77777777" w:rsidR="00BE15BD" w:rsidRPr="00413DA4" w:rsidRDefault="00BE15BD" w:rsidP="00647BBE">
            <w:pPr>
              <w:jc w:val="both"/>
              <w:rPr>
                <w:rFonts w:ascii="Arial" w:hAnsi="Arial" w:cs="Arial"/>
                <w:sz w:val="20"/>
                <w:szCs w:val="20"/>
              </w:rPr>
            </w:pPr>
          </w:p>
        </w:tc>
      </w:tr>
      <w:tr w:rsidR="00BE15BD" w:rsidRPr="00413DA4" w14:paraId="3C535C5E" w14:textId="77777777" w:rsidTr="00647BBE">
        <w:trPr>
          <w:trHeight w:val="296"/>
        </w:trPr>
        <w:tc>
          <w:tcPr>
            <w:tcW w:w="938" w:type="dxa"/>
          </w:tcPr>
          <w:p w14:paraId="7B7A6703"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9</w:t>
            </w:r>
          </w:p>
        </w:tc>
        <w:tc>
          <w:tcPr>
            <w:tcW w:w="1921" w:type="dxa"/>
          </w:tcPr>
          <w:p w14:paraId="21CED321"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(GA)</w:t>
            </w:r>
            <w:r w:rsidRPr="00413DA4">
              <w:rPr>
                <w:rFonts w:ascii="Arial" w:hAnsi="Arial" w:cs="Arial"/>
                <w:sz w:val="20"/>
                <w:szCs w:val="20"/>
                <w:vertAlign w:val="subscript"/>
              </w:rPr>
              <w:t>8</w:t>
            </w:r>
            <w:r w:rsidRPr="00413DA4">
              <w:rPr>
                <w:rFonts w:ascii="Arial" w:hAnsi="Arial" w:cs="Arial"/>
                <w:sz w:val="20"/>
                <w:szCs w:val="20"/>
              </w:rPr>
              <w:t>T</w:t>
            </w:r>
          </w:p>
        </w:tc>
        <w:tc>
          <w:tcPr>
            <w:tcW w:w="968" w:type="dxa"/>
          </w:tcPr>
          <w:p w14:paraId="16866857"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43°C</w:t>
            </w:r>
          </w:p>
        </w:tc>
        <w:tc>
          <w:tcPr>
            <w:tcW w:w="1985" w:type="dxa"/>
          </w:tcPr>
          <w:p w14:paraId="3D5D92CB"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500-1492</w:t>
            </w:r>
          </w:p>
        </w:tc>
        <w:tc>
          <w:tcPr>
            <w:tcW w:w="1417" w:type="dxa"/>
          </w:tcPr>
          <w:p w14:paraId="49D550A2"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9</w:t>
            </w:r>
          </w:p>
        </w:tc>
        <w:tc>
          <w:tcPr>
            <w:tcW w:w="1417" w:type="dxa"/>
            <w:vMerge w:val="restart"/>
          </w:tcPr>
          <w:p w14:paraId="17833D5B" w14:textId="2E5192B5" w:rsidR="00BE15BD" w:rsidRPr="00413DA4" w:rsidRDefault="00FF3884" w:rsidP="00647BBE">
            <w:pPr>
              <w:jc w:val="both"/>
              <w:rPr>
                <w:rFonts w:ascii="Arial" w:hAnsi="Arial" w:cs="Arial"/>
                <w:sz w:val="20"/>
                <w:szCs w:val="20"/>
              </w:rPr>
            </w:pPr>
            <w:r>
              <w:rPr>
                <w:rFonts w:ascii="Arial" w:hAnsi="Arial" w:cs="Arial"/>
                <w:sz w:val="20"/>
                <w:szCs w:val="20"/>
              </w:rPr>
              <w:t>Surabhi et al., 2017</w:t>
            </w:r>
          </w:p>
          <w:p w14:paraId="20D5921E" w14:textId="3F32F7A1" w:rsidR="00BE15BD" w:rsidRPr="00413DA4" w:rsidRDefault="00BE15BD" w:rsidP="00647BBE">
            <w:pPr>
              <w:jc w:val="both"/>
              <w:rPr>
                <w:rFonts w:ascii="Arial" w:hAnsi="Arial" w:cs="Arial"/>
                <w:sz w:val="20"/>
                <w:szCs w:val="20"/>
              </w:rPr>
            </w:pPr>
          </w:p>
        </w:tc>
      </w:tr>
      <w:tr w:rsidR="00BE15BD" w:rsidRPr="00413DA4" w14:paraId="7DFC2BE1" w14:textId="77777777" w:rsidTr="00647BBE">
        <w:trPr>
          <w:trHeight w:val="296"/>
        </w:trPr>
        <w:tc>
          <w:tcPr>
            <w:tcW w:w="938" w:type="dxa"/>
          </w:tcPr>
          <w:p w14:paraId="650B6953"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10</w:t>
            </w:r>
          </w:p>
        </w:tc>
        <w:tc>
          <w:tcPr>
            <w:tcW w:w="1921" w:type="dxa"/>
          </w:tcPr>
          <w:p w14:paraId="01D47391"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(CT)</w:t>
            </w:r>
            <w:r w:rsidRPr="00413DA4">
              <w:rPr>
                <w:rFonts w:ascii="Arial" w:hAnsi="Arial" w:cs="Arial"/>
                <w:sz w:val="20"/>
                <w:szCs w:val="20"/>
                <w:vertAlign w:val="subscript"/>
              </w:rPr>
              <w:t>8</w:t>
            </w:r>
            <w:r w:rsidRPr="00413DA4">
              <w:rPr>
                <w:rFonts w:ascii="Arial" w:hAnsi="Arial" w:cs="Arial"/>
                <w:sz w:val="20"/>
                <w:szCs w:val="20"/>
              </w:rPr>
              <w:t>G</w:t>
            </w:r>
          </w:p>
        </w:tc>
        <w:tc>
          <w:tcPr>
            <w:tcW w:w="968" w:type="dxa"/>
          </w:tcPr>
          <w:p w14:paraId="4E62300E"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43°C</w:t>
            </w:r>
          </w:p>
        </w:tc>
        <w:tc>
          <w:tcPr>
            <w:tcW w:w="1985" w:type="dxa"/>
          </w:tcPr>
          <w:p w14:paraId="27DA73A3"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835-1336</w:t>
            </w:r>
          </w:p>
        </w:tc>
        <w:tc>
          <w:tcPr>
            <w:tcW w:w="1417" w:type="dxa"/>
          </w:tcPr>
          <w:p w14:paraId="029309F0"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w:t>
            </w:r>
          </w:p>
        </w:tc>
        <w:tc>
          <w:tcPr>
            <w:tcW w:w="1417" w:type="dxa"/>
            <w:vMerge/>
          </w:tcPr>
          <w:p w14:paraId="5DF0E7DF" w14:textId="77777777" w:rsidR="00BE15BD" w:rsidRPr="00413DA4" w:rsidRDefault="00BE15BD" w:rsidP="00647BBE">
            <w:pPr>
              <w:jc w:val="both"/>
              <w:rPr>
                <w:rFonts w:ascii="Arial" w:hAnsi="Arial" w:cs="Arial"/>
                <w:sz w:val="20"/>
                <w:szCs w:val="20"/>
              </w:rPr>
            </w:pPr>
          </w:p>
        </w:tc>
      </w:tr>
      <w:tr w:rsidR="00BE15BD" w:rsidRPr="00413DA4" w14:paraId="356F60DC" w14:textId="77777777" w:rsidTr="00647BBE">
        <w:trPr>
          <w:trHeight w:val="296"/>
        </w:trPr>
        <w:tc>
          <w:tcPr>
            <w:tcW w:w="938" w:type="dxa"/>
          </w:tcPr>
          <w:p w14:paraId="4E2C4DB9"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11</w:t>
            </w:r>
          </w:p>
        </w:tc>
        <w:tc>
          <w:tcPr>
            <w:tcW w:w="1921" w:type="dxa"/>
          </w:tcPr>
          <w:p w14:paraId="14AE9D22"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(GA)</w:t>
            </w:r>
            <w:r w:rsidRPr="00413DA4">
              <w:rPr>
                <w:rFonts w:ascii="Arial" w:hAnsi="Arial" w:cs="Arial"/>
                <w:sz w:val="20"/>
                <w:szCs w:val="20"/>
                <w:vertAlign w:val="subscript"/>
              </w:rPr>
              <w:t>8</w:t>
            </w:r>
            <w:r w:rsidRPr="00413DA4">
              <w:rPr>
                <w:rFonts w:ascii="Arial" w:hAnsi="Arial" w:cs="Arial"/>
                <w:sz w:val="20"/>
                <w:szCs w:val="20"/>
              </w:rPr>
              <w:t>A</w:t>
            </w:r>
          </w:p>
        </w:tc>
        <w:tc>
          <w:tcPr>
            <w:tcW w:w="968" w:type="dxa"/>
          </w:tcPr>
          <w:p w14:paraId="09CEDC8C"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43°C</w:t>
            </w:r>
          </w:p>
        </w:tc>
        <w:tc>
          <w:tcPr>
            <w:tcW w:w="1985" w:type="dxa"/>
          </w:tcPr>
          <w:p w14:paraId="5FEFAD5E"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901-1134</w:t>
            </w:r>
          </w:p>
        </w:tc>
        <w:tc>
          <w:tcPr>
            <w:tcW w:w="1417" w:type="dxa"/>
          </w:tcPr>
          <w:p w14:paraId="08DAC612"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3</w:t>
            </w:r>
          </w:p>
        </w:tc>
        <w:tc>
          <w:tcPr>
            <w:tcW w:w="1417" w:type="dxa"/>
            <w:vMerge w:val="restart"/>
          </w:tcPr>
          <w:p w14:paraId="4BED48A0" w14:textId="77777777" w:rsidR="00BE15BD" w:rsidRPr="00413DA4" w:rsidRDefault="00BE15BD" w:rsidP="00647BBE">
            <w:pPr>
              <w:jc w:val="both"/>
              <w:rPr>
                <w:rFonts w:ascii="Arial" w:hAnsi="Arial" w:cs="Arial"/>
                <w:sz w:val="20"/>
                <w:szCs w:val="20"/>
              </w:rPr>
            </w:pPr>
          </w:p>
          <w:p w14:paraId="690802C8" w14:textId="77777777" w:rsidR="00BE15BD" w:rsidRPr="00413DA4" w:rsidRDefault="00BE15BD" w:rsidP="00647BBE">
            <w:pPr>
              <w:jc w:val="both"/>
              <w:rPr>
                <w:rFonts w:ascii="Arial" w:hAnsi="Arial" w:cs="Arial"/>
                <w:sz w:val="20"/>
                <w:szCs w:val="20"/>
              </w:rPr>
            </w:pPr>
          </w:p>
          <w:p w14:paraId="735F98A1" w14:textId="6592B67E" w:rsidR="00BE15BD" w:rsidRPr="00413DA4" w:rsidRDefault="00FF3884" w:rsidP="00647BBE">
            <w:pPr>
              <w:jc w:val="both"/>
              <w:rPr>
                <w:rFonts w:ascii="Arial" w:hAnsi="Arial" w:cs="Arial"/>
                <w:sz w:val="20"/>
                <w:szCs w:val="20"/>
              </w:rPr>
            </w:pPr>
            <w:r>
              <w:rPr>
                <w:rFonts w:ascii="Arial" w:hAnsi="Arial" w:cs="Arial"/>
                <w:sz w:val="20"/>
                <w:szCs w:val="20"/>
              </w:rPr>
              <w:t xml:space="preserve">Surabhi et al., 2017; Surabhi and </w:t>
            </w:r>
            <w:proofErr w:type="spellStart"/>
            <w:r>
              <w:rPr>
                <w:rFonts w:ascii="Arial" w:hAnsi="Arial" w:cs="Arial"/>
                <w:sz w:val="20"/>
                <w:szCs w:val="20"/>
              </w:rPr>
              <w:t>Pattanayak</w:t>
            </w:r>
            <w:proofErr w:type="spellEnd"/>
            <w:r>
              <w:rPr>
                <w:rFonts w:ascii="Arial" w:hAnsi="Arial" w:cs="Arial"/>
                <w:sz w:val="20"/>
                <w:szCs w:val="20"/>
              </w:rPr>
              <w:t>, 2015</w:t>
            </w:r>
          </w:p>
        </w:tc>
      </w:tr>
      <w:tr w:rsidR="00BE15BD" w:rsidRPr="00413DA4" w14:paraId="3F9DB38B" w14:textId="77777777" w:rsidTr="00647BBE">
        <w:trPr>
          <w:trHeight w:val="296"/>
        </w:trPr>
        <w:tc>
          <w:tcPr>
            <w:tcW w:w="938" w:type="dxa"/>
          </w:tcPr>
          <w:p w14:paraId="0CE3A1E1"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12</w:t>
            </w:r>
          </w:p>
        </w:tc>
        <w:tc>
          <w:tcPr>
            <w:tcW w:w="1921" w:type="dxa"/>
          </w:tcPr>
          <w:p w14:paraId="13C5F2EF"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(CA)</w:t>
            </w:r>
            <w:r w:rsidRPr="00413DA4">
              <w:rPr>
                <w:rFonts w:ascii="Arial" w:hAnsi="Arial" w:cs="Arial"/>
                <w:sz w:val="20"/>
                <w:szCs w:val="20"/>
                <w:vertAlign w:val="subscript"/>
              </w:rPr>
              <w:t>8</w:t>
            </w:r>
            <w:r w:rsidRPr="00413DA4">
              <w:rPr>
                <w:rFonts w:ascii="Arial" w:hAnsi="Arial" w:cs="Arial"/>
                <w:sz w:val="20"/>
                <w:szCs w:val="20"/>
              </w:rPr>
              <w:t>G</w:t>
            </w:r>
          </w:p>
        </w:tc>
        <w:tc>
          <w:tcPr>
            <w:tcW w:w="968" w:type="dxa"/>
          </w:tcPr>
          <w:p w14:paraId="2C056529"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45°C</w:t>
            </w:r>
          </w:p>
        </w:tc>
        <w:tc>
          <w:tcPr>
            <w:tcW w:w="1985" w:type="dxa"/>
          </w:tcPr>
          <w:p w14:paraId="6606A16C"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973-2149</w:t>
            </w:r>
          </w:p>
        </w:tc>
        <w:tc>
          <w:tcPr>
            <w:tcW w:w="1417" w:type="dxa"/>
          </w:tcPr>
          <w:p w14:paraId="276B89AC"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5</w:t>
            </w:r>
          </w:p>
        </w:tc>
        <w:tc>
          <w:tcPr>
            <w:tcW w:w="1417" w:type="dxa"/>
            <w:vMerge/>
          </w:tcPr>
          <w:p w14:paraId="638D525D" w14:textId="77777777" w:rsidR="00BE15BD" w:rsidRPr="00413DA4" w:rsidRDefault="00BE15BD" w:rsidP="00647BBE">
            <w:pPr>
              <w:jc w:val="both"/>
              <w:rPr>
                <w:rFonts w:ascii="Arial" w:hAnsi="Arial" w:cs="Arial"/>
                <w:sz w:val="20"/>
                <w:szCs w:val="20"/>
              </w:rPr>
            </w:pPr>
          </w:p>
        </w:tc>
      </w:tr>
      <w:tr w:rsidR="00BE15BD" w:rsidRPr="00413DA4" w14:paraId="0A816ADA" w14:textId="77777777" w:rsidTr="00647BBE">
        <w:trPr>
          <w:trHeight w:val="296"/>
        </w:trPr>
        <w:tc>
          <w:tcPr>
            <w:tcW w:w="938" w:type="dxa"/>
          </w:tcPr>
          <w:p w14:paraId="1FFDBBB5"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13</w:t>
            </w:r>
          </w:p>
        </w:tc>
        <w:tc>
          <w:tcPr>
            <w:tcW w:w="1921" w:type="dxa"/>
          </w:tcPr>
          <w:p w14:paraId="6416CAEB"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(GA)</w:t>
            </w:r>
            <w:r w:rsidRPr="00413DA4">
              <w:rPr>
                <w:rFonts w:ascii="Arial" w:hAnsi="Arial" w:cs="Arial"/>
                <w:sz w:val="20"/>
                <w:szCs w:val="20"/>
                <w:vertAlign w:val="subscript"/>
              </w:rPr>
              <w:t>8</w:t>
            </w:r>
            <w:r w:rsidRPr="00413DA4">
              <w:rPr>
                <w:rFonts w:ascii="Arial" w:hAnsi="Arial" w:cs="Arial"/>
                <w:sz w:val="20"/>
                <w:szCs w:val="20"/>
              </w:rPr>
              <w:t>YC</w:t>
            </w:r>
          </w:p>
        </w:tc>
        <w:tc>
          <w:tcPr>
            <w:tcW w:w="968" w:type="dxa"/>
          </w:tcPr>
          <w:p w14:paraId="5973941A"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45°C</w:t>
            </w:r>
          </w:p>
        </w:tc>
        <w:tc>
          <w:tcPr>
            <w:tcW w:w="1985" w:type="dxa"/>
          </w:tcPr>
          <w:p w14:paraId="42059784"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639-1228</w:t>
            </w:r>
          </w:p>
        </w:tc>
        <w:tc>
          <w:tcPr>
            <w:tcW w:w="1417" w:type="dxa"/>
          </w:tcPr>
          <w:p w14:paraId="6B927645"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w:t>
            </w:r>
          </w:p>
        </w:tc>
        <w:tc>
          <w:tcPr>
            <w:tcW w:w="1417" w:type="dxa"/>
            <w:vMerge/>
          </w:tcPr>
          <w:p w14:paraId="6CD034AB" w14:textId="77777777" w:rsidR="00BE15BD" w:rsidRPr="00413DA4" w:rsidRDefault="00BE15BD" w:rsidP="00647BBE">
            <w:pPr>
              <w:jc w:val="both"/>
              <w:rPr>
                <w:rFonts w:ascii="Arial" w:hAnsi="Arial" w:cs="Arial"/>
                <w:sz w:val="20"/>
                <w:szCs w:val="20"/>
              </w:rPr>
            </w:pPr>
          </w:p>
        </w:tc>
      </w:tr>
      <w:tr w:rsidR="00BE15BD" w:rsidRPr="00413DA4" w14:paraId="6D28D284" w14:textId="77777777" w:rsidTr="00647BBE">
        <w:trPr>
          <w:trHeight w:val="296"/>
        </w:trPr>
        <w:tc>
          <w:tcPr>
            <w:tcW w:w="938" w:type="dxa"/>
          </w:tcPr>
          <w:p w14:paraId="21ECE1DF"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14</w:t>
            </w:r>
          </w:p>
        </w:tc>
        <w:tc>
          <w:tcPr>
            <w:tcW w:w="1921" w:type="dxa"/>
          </w:tcPr>
          <w:p w14:paraId="17A1F617"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(GAA)</w:t>
            </w:r>
            <w:r w:rsidRPr="00413DA4">
              <w:rPr>
                <w:rFonts w:ascii="Arial" w:hAnsi="Arial" w:cs="Arial"/>
                <w:sz w:val="20"/>
                <w:szCs w:val="20"/>
                <w:vertAlign w:val="subscript"/>
              </w:rPr>
              <w:t>6</w:t>
            </w:r>
          </w:p>
        </w:tc>
        <w:tc>
          <w:tcPr>
            <w:tcW w:w="968" w:type="dxa"/>
          </w:tcPr>
          <w:p w14:paraId="3B6A8E2C"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40°C</w:t>
            </w:r>
          </w:p>
        </w:tc>
        <w:tc>
          <w:tcPr>
            <w:tcW w:w="1985" w:type="dxa"/>
          </w:tcPr>
          <w:p w14:paraId="01DD0235"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891-1698</w:t>
            </w:r>
          </w:p>
        </w:tc>
        <w:tc>
          <w:tcPr>
            <w:tcW w:w="1417" w:type="dxa"/>
          </w:tcPr>
          <w:p w14:paraId="16AA6507"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7</w:t>
            </w:r>
          </w:p>
        </w:tc>
        <w:tc>
          <w:tcPr>
            <w:tcW w:w="1417" w:type="dxa"/>
            <w:vMerge/>
          </w:tcPr>
          <w:p w14:paraId="21F272BF" w14:textId="77777777" w:rsidR="00BE15BD" w:rsidRPr="00413DA4" w:rsidRDefault="00BE15BD" w:rsidP="00647BBE">
            <w:pPr>
              <w:jc w:val="both"/>
              <w:rPr>
                <w:rFonts w:ascii="Arial" w:hAnsi="Arial" w:cs="Arial"/>
                <w:sz w:val="20"/>
                <w:szCs w:val="20"/>
              </w:rPr>
            </w:pPr>
          </w:p>
        </w:tc>
      </w:tr>
      <w:tr w:rsidR="00BE15BD" w:rsidRPr="00413DA4" w14:paraId="39285838" w14:textId="77777777" w:rsidTr="00647BBE">
        <w:trPr>
          <w:trHeight w:val="296"/>
        </w:trPr>
        <w:tc>
          <w:tcPr>
            <w:tcW w:w="938" w:type="dxa"/>
          </w:tcPr>
          <w:p w14:paraId="5220F695"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15</w:t>
            </w:r>
          </w:p>
        </w:tc>
        <w:tc>
          <w:tcPr>
            <w:tcW w:w="1921" w:type="dxa"/>
          </w:tcPr>
          <w:p w14:paraId="55A089DE"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(AG)</w:t>
            </w:r>
            <w:r w:rsidRPr="00413DA4">
              <w:rPr>
                <w:rFonts w:ascii="Arial" w:hAnsi="Arial" w:cs="Arial"/>
                <w:sz w:val="20"/>
                <w:szCs w:val="20"/>
                <w:vertAlign w:val="subscript"/>
              </w:rPr>
              <w:t>8</w:t>
            </w:r>
            <w:r w:rsidRPr="00413DA4">
              <w:rPr>
                <w:rFonts w:ascii="Arial" w:hAnsi="Arial" w:cs="Arial"/>
                <w:sz w:val="20"/>
                <w:szCs w:val="20"/>
              </w:rPr>
              <w:t>YA</w:t>
            </w:r>
          </w:p>
        </w:tc>
        <w:tc>
          <w:tcPr>
            <w:tcW w:w="968" w:type="dxa"/>
          </w:tcPr>
          <w:p w14:paraId="0AD5FE64"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43°C</w:t>
            </w:r>
          </w:p>
        </w:tc>
        <w:tc>
          <w:tcPr>
            <w:tcW w:w="1985" w:type="dxa"/>
          </w:tcPr>
          <w:p w14:paraId="4E8CF5A7"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NA</w:t>
            </w:r>
          </w:p>
        </w:tc>
        <w:tc>
          <w:tcPr>
            <w:tcW w:w="1417" w:type="dxa"/>
          </w:tcPr>
          <w:p w14:paraId="10B8F1C5"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NA</w:t>
            </w:r>
          </w:p>
        </w:tc>
        <w:tc>
          <w:tcPr>
            <w:tcW w:w="1417" w:type="dxa"/>
            <w:vMerge/>
          </w:tcPr>
          <w:p w14:paraId="221FCDD6" w14:textId="77777777" w:rsidR="00BE15BD" w:rsidRPr="00413DA4" w:rsidRDefault="00BE15BD" w:rsidP="00647BBE">
            <w:pPr>
              <w:jc w:val="both"/>
              <w:rPr>
                <w:rFonts w:ascii="Arial" w:hAnsi="Arial" w:cs="Arial"/>
                <w:sz w:val="20"/>
                <w:szCs w:val="20"/>
              </w:rPr>
            </w:pPr>
          </w:p>
        </w:tc>
      </w:tr>
      <w:tr w:rsidR="00BE15BD" w:rsidRPr="00413DA4" w14:paraId="47AFF451" w14:textId="77777777" w:rsidTr="00647BBE">
        <w:trPr>
          <w:trHeight w:val="296"/>
        </w:trPr>
        <w:tc>
          <w:tcPr>
            <w:tcW w:w="938" w:type="dxa"/>
          </w:tcPr>
          <w:p w14:paraId="5BCD2F23"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16</w:t>
            </w:r>
          </w:p>
        </w:tc>
        <w:tc>
          <w:tcPr>
            <w:tcW w:w="1921" w:type="dxa"/>
          </w:tcPr>
          <w:p w14:paraId="699646E7"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(CA)</w:t>
            </w:r>
            <w:r w:rsidRPr="00413DA4">
              <w:rPr>
                <w:rFonts w:ascii="Arial" w:hAnsi="Arial" w:cs="Arial"/>
                <w:sz w:val="20"/>
                <w:szCs w:val="20"/>
                <w:vertAlign w:val="subscript"/>
              </w:rPr>
              <w:t>7</w:t>
            </w:r>
            <w:r w:rsidRPr="00413DA4">
              <w:rPr>
                <w:rFonts w:ascii="Arial" w:hAnsi="Arial" w:cs="Arial"/>
                <w:sz w:val="20"/>
                <w:szCs w:val="20"/>
              </w:rPr>
              <w:t>C</w:t>
            </w:r>
          </w:p>
        </w:tc>
        <w:tc>
          <w:tcPr>
            <w:tcW w:w="968" w:type="dxa"/>
          </w:tcPr>
          <w:p w14:paraId="452AE90E"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43°C</w:t>
            </w:r>
          </w:p>
        </w:tc>
        <w:tc>
          <w:tcPr>
            <w:tcW w:w="1985" w:type="dxa"/>
          </w:tcPr>
          <w:p w14:paraId="1A3B8F76"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NA</w:t>
            </w:r>
          </w:p>
        </w:tc>
        <w:tc>
          <w:tcPr>
            <w:tcW w:w="1417" w:type="dxa"/>
          </w:tcPr>
          <w:p w14:paraId="79FB5F61"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NA</w:t>
            </w:r>
          </w:p>
        </w:tc>
        <w:tc>
          <w:tcPr>
            <w:tcW w:w="1417" w:type="dxa"/>
            <w:vMerge/>
          </w:tcPr>
          <w:p w14:paraId="3B871150" w14:textId="77777777" w:rsidR="00BE15BD" w:rsidRPr="00413DA4" w:rsidRDefault="00BE15BD" w:rsidP="00647BBE">
            <w:pPr>
              <w:jc w:val="both"/>
              <w:rPr>
                <w:rFonts w:ascii="Arial" w:hAnsi="Arial" w:cs="Arial"/>
                <w:sz w:val="20"/>
                <w:szCs w:val="20"/>
              </w:rPr>
            </w:pPr>
          </w:p>
        </w:tc>
      </w:tr>
      <w:tr w:rsidR="00BE15BD" w:rsidRPr="00413DA4" w14:paraId="0258486E" w14:textId="77777777" w:rsidTr="00647BBE">
        <w:trPr>
          <w:trHeight w:val="296"/>
        </w:trPr>
        <w:tc>
          <w:tcPr>
            <w:tcW w:w="938" w:type="dxa"/>
          </w:tcPr>
          <w:p w14:paraId="443CA17D"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17</w:t>
            </w:r>
          </w:p>
        </w:tc>
        <w:tc>
          <w:tcPr>
            <w:tcW w:w="1921" w:type="dxa"/>
          </w:tcPr>
          <w:p w14:paraId="650C1EFC"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CAGCGACAAG</w:t>
            </w:r>
          </w:p>
        </w:tc>
        <w:tc>
          <w:tcPr>
            <w:tcW w:w="968" w:type="dxa"/>
          </w:tcPr>
          <w:p w14:paraId="1D0D9CF0"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30°C</w:t>
            </w:r>
          </w:p>
        </w:tc>
        <w:tc>
          <w:tcPr>
            <w:tcW w:w="1985" w:type="dxa"/>
          </w:tcPr>
          <w:p w14:paraId="2E4A728A"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615-2250</w:t>
            </w:r>
          </w:p>
        </w:tc>
        <w:tc>
          <w:tcPr>
            <w:tcW w:w="1417" w:type="dxa"/>
          </w:tcPr>
          <w:p w14:paraId="7918D951" w14:textId="77777777" w:rsidR="00BE15BD" w:rsidRPr="00413DA4" w:rsidRDefault="00BE15BD" w:rsidP="00647BBE">
            <w:pPr>
              <w:jc w:val="both"/>
              <w:rPr>
                <w:rFonts w:ascii="Arial" w:hAnsi="Arial" w:cs="Arial"/>
                <w:sz w:val="20"/>
                <w:szCs w:val="20"/>
              </w:rPr>
            </w:pPr>
            <w:r w:rsidRPr="00413DA4">
              <w:rPr>
                <w:rFonts w:ascii="Arial" w:hAnsi="Arial" w:cs="Arial"/>
                <w:sz w:val="20"/>
                <w:szCs w:val="20"/>
              </w:rPr>
              <w:t>8</w:t>
            </w:r>
          </w:p>
        </w:tc>
        <w:tc>
          <w:tcPr>
            <w:tcW w:w="1417" w:type="dxa"/>
          </w:tcPr>
          <w:p w14:paraId="4955F9AD" w14:textId="4723E105" w:rsidR="00BE15BD" w:rsidRPr="00413DA4" w:rsidRDefault="00FF3884" w:rsidP="00647BBE">
            <w:pPr>
              <w:jc w:val="both"/>
              <w:rPr>
                <w:rFonts w:ascii="Arial" w:hAnsi="Arial" w:cs="Arial"/>
                <w:sz w:val="20"/>
                <w:szCs w:val="20"/>
              </w:rPr>
            </w:pPr>
            <w:r>
              <w:rPr>
                <w:rFonts w:ascii="Arial" w:hAnsi="Arial" w:cs="Arial"/>
                <w:sz w:val="20"/>
                <w:szCs w:val="20"/>
              </w:rPr>
              <w:t>Surabhi et al., 2017</w:t>
            </w:r>
          </w:p>
        </w:tc>
      </w:tr>
      <w:tr w:rsidR="00BE15BD" w:rsidRPr="00413DA4" w14:paraId="42A25669" w14:textId="77777777" w:rsidTr="00647BBE">
        <w:trPr>
          <w:trHeight w:val="296"/>
        </w:trPr>
        <w:tc>
          <w:tcPr>
            <w:tcW w:w="5812" w:type="dxa"/>
            <w:gridSpan w:val="4"/>
          </w:tcPr>
          <w:p w14:paraId="0FDF4AA1" w14:textId="77777777" w:rsidR="00BE15BD" w:rsidRPr="00413DA4" w:rsidRDefault="00BE15BD" w:rsidP="00647BBE">
            <w:pPr>
              <w:jc w:val="right"/>
              <w:rPr>
                <w:rFonts w:ascii="Arial" w:hAnsi="Arial" w:cs="Arial"/>
                <w:b/>
                <w:sz w:val="20"/>
                <w:szCs w:val="20"/>
              </w:rPr>
            </w:pPr>
            <w:r w:rsidRPr="00413DA4">
              <w:rPr>
                <w:rFonts w:ascii="Arial" w:hAnsi="Arial" w:cs="Arial"/>
                <w:b/>
                <w:sz w:val="20"/>
                <w:szCs w:val="20"/>
              </w:rPr>
              <w:t>Total</w:t>
            </w:r>
          </w:p>
        </w:tc>
        <w:tc>
          <w:tcPr>
            <w:tcW w:w="1417" w:type="dxa"/>
          </w:tcPr>
          <w:p w14:paraId="043EAB7B" w14:textId="77777777" w:rsidR="00BE15BD" w:rsidRPr="00413DA4" w:rsidRDefault="00BE15BD" w:rsidP="00647BBE">
            <w:pPr>
              <w:jc w:val="both"/>
              <w:rPr>
                <w:rFonts w:ascii="Arial" w:hAnsi="Arial" w:cs="Arial"/>
                <w:b/>
                <w:sz w:val="20"/>
                <w:szCs w:val="20"/>
              </w:rPr>
            </w:pPr>
            <w:r w:rsidRPr="00413DA4">
              <w:rPr>
                <w:rFonts w:ascii="Arial" w:hAnsi="Arial" w:cs="Arial"/>
                <w:b/>
                <w:sz w:val="20"/>
                <w:szCs w:val="20"/>
              </w:rPr>
              <w:t>96</w:t>
            </w:r>
          </w:p>
        </w:tc>
        <w:tc>
          <w:tcPr>
            <w:tcW w:w="1417" w:type="dxa"/>
          </w:tcPr>
          <w:p w14:paraId="73453F82" w14:textId="77777777" w:rsidR="00BE15BD" w:rsidRPr="00413DA4" w:rsidRDefault="00BE15BD" w:rsidP="00647BBE">
            <w:pPr>
              <w:jc w:val="both"/>
              <w:rPr>
                <w:rFonts w:ascii="Arial" w:hAnsi="Arial" w:cs="Arial"/>
                <w:b/>
                <w:sz w:val="20"/>
                <w:szCs w:val="20"/>
              </w:rPr>
            </w:pPr>
          </w:p>
        </w:tc>
      </w:tr>
    </w:tbl>
    <w:p w14:paraId="73185E7A" w14:textId="77777777" w:rsidR="00BE15BD" w:rsidRDefault="00BE15BD" w:rsidP="00BE15BD">
      <w:pPr>
        <w:rPr>
          <w:rFonts w:ascii="Arial" w:hAnsi="Arial" w:cs="Arial"/>
        </w:rPr>
      </w:pPr>
    </w:p>
    <w:p w14:paraId="26421856" w14:textId="22A0A892" w:rsidR="00BE15BD" w:rsidRPr="00413DA4" w:rsidRDefault="00BE15BD" w:rsidP="00413DA4">
      <w:pPr>
        <w:spacing w:before="100" w:beforeAutospacing="1" w:after="100" w:afterAutospacing="1" w:line="240" w:lineRule="auto"/>
        <w:jc w:val="both"/>
        <w:rPr>
          <w:rFonts w:ascii="Arial" w:hAnsi="Arial" w:cs="Arial"/>
          <w:b/>
          <w:sz w:val="20"/>
          <w:szCs w:val="20"/>
        </w:rPr>
      </w:pPr>
      <w:r w:rsidRPr="00413DA4">
        <w:rPr>
          <w:rFonts w:ascii="Arial" w:hAnsi="Arial" w:cs="Arial"/>
          <w:b/>
          <w:sz w:val="20"/>
          <w:szCs w:val="20"/>
        </w:rPr>
        <w:lastRenderedPageBreak/>
        <w:t>Table. 1</w:t>
      </w:r>
      <w:r w:rsidR="0014082E" w:rsidRPr="00413DA4">
        <w:rPr>
          <w:rFonts w:ascii="Arial" w:hAnsi="Arial" w:cs="Arial"/>
          <w:b/>
          <w:sz w:val="20"/>
          <w:szCs w:val="20"/>
        </w:rPr>
        <w:t>.</w:t>
      </w:r>
      <w:r w:rsidRPr="00413DA4">
        <w:rPr>
          <w:rFonts w:ascii="Arial" w:hAnsi="Arial" w:cs="Arial"/>
          <w:b/>
          <w:sz w:val="20"/>
          <w:szCs w:val="20"/>
        </w:rPr>
        <w:t xml:space="preserve"> List of ISSR primers, annealing temperature, length of amplified alleles (bp) generated and total number of amplified fragments in </w:t>
      </w:r>
      <w:r w:rsidRPr="00413DA4">
        <w:rPr>
          <w:rFonts w:ascii="Arial" w:hAnsi="Arial" w:cs="Arial"/>
          <w:b/>
          <w:i/>
          <w:sz w:val="20"/>
          <w:szCs w:val="20"/>
        </w:rPr>
        <w:t>D. melanoxylon.</w:t>
      </w:r>
    </w:p>
    <w:p w14:paraId="503BEE07" w14:textId="3A9069D5" w:rsidR="00D42818" w:rsidRPr="00413DA4" w:rsidRDefault="008908D1" w:rsidP="00413DA4">
      <w:pPr>
        <w:spacing w:line="240" w:lineRule="auto"/>
        <w:jc w:val="both"/>
        <w:rPr>
          <w:rFonts w:ascii="Arial" w:hAnsi="Arial" w:cs="Arial"/>
          <w:sz w:val="20"/>
          <w:szCs w:val="20"/>
        </w:rPr>
      </w:pPr>
      <w:r w:rsidRPr="00413DA4">
        <w:rPr>
          <w:rFonts w:ascii="Arial" w:hAnsi="Arial" w:cs="Arial"/>
          <w:sz w:val="20"/>
          <w:szCs w:val="20"/>
        </w:rPr>
        <w:t xml:space="preserve">The optimized RAPD assay yielded clear, sharp, and scorable amplification profiles with amplified </w:t>
      </w:r>
      <w:r w:rsidR="004F248C" w:rsidRPr="00413DA4">
        <w:rPr>
          <w:rFonts w:ascii="Arial" w:hAnsi="Arial" w:cs="Arial"/>
          <w:sz w:val="20"/>
          <w:szCs w:val="20"/>
        </w:rPr>
        <w:t xml:space="preserve">alleles size </w:t>
      </w:r>
      <w:r w:rsidRPr="00413DA4">
        <w:rPr>
          <w:rFonts w:ascii="Arial" w:hAnsi="Arial" w:cs="Arial"/>
          <w:sz w:val="20"/>
          <w:szCs w:val="20"/>
        </w:rPr>
        <w:t xml:space="preserve">ranging from 500 to 2755 bp. A total of 105 reproducible alleles were obtained across all </w:t>
      </w:r>
      <w:r w:rsidR="005E6432" w:rsidRPr="00413DA4">
        <w:rPr>
          <w:rFonts w:ascii="Arial" w:hAnsi="Arial" w:cs="Arial"/>
          <w:sz w:val="20"/>
          <w:szCs w:val="20"/>
        </w:rPr>
        <w:t>markers tested</w:t>
      </w:r>
      <w:r w:rsidRPr="00413DA4">
        <w:rPr>
          <w:rFonts w:ascii="Arial" w:hAnsi="Arial" w:cs="Arial"/>
          <w:sz w:val="20"/>
          <w:szCs w:val="20"/>
        </w:rPr>
        <w:t xml:space="preserve">, demonstrating </w:t>
      </w:r>
      <w:r w:rsidR="000B0201" w:rsidRPr="00413DA4">
        <w:rPr>
          <w:rFonts w:ascii="Arial" w:hAnsi="Arial" w:cs="Arial"/>
          <w:sz w:val="20"/>
          <w:szCs w:val="20"/>
        </w:rPr>
        <w:t xml:space="preserve">efficiency </w:t>
      </w:r>
      <w:r w:rsidR="005E6432" w:rsidRPr="00413DA4">
        <w:rPr>
          <w:rFonts w:ascii="Arial" w:hAnsi="Arial" w:cs="Arial"/>
          <w:sz w:val="20"/>
          <w:szCs w:val="20"/>
        </w:rPr>
        <w:t xml:space="preserve">of the </w:t>
      </w:r>
      <w:r w:rsidRPr="00413DA4">
        <w:rPr>
          <w:rFonts w:ascii="Arial" w:hAnsi="Arial" w:cs="Arial"/>
          <w:sz w:val="20"/>
          <w:szCs w:val="20"/>
        </w:rPr>
        <w:t>marker</w:t>
      </w:r>
      <w:r w:rsidR="00664837" w:rsidRPr="00413DA4">
        <w:rPr>
          <w:rFonts w:ascii="Arial" w:hAnsi="Arial" w:cs="Arial"/>
          <w:sz w:val="20"/>
          <w:szCs w:val="20"/>
        </w:rPr>
        <w:t xml:space="preserve"> system</w:t>
      </w:r>
      <w:r w:rsidRPr="00413DA4">
        <w:rPr>
          <w:rFonts w:ascii="Arial" w:hAnsi="Arial" w:cs="Arial"/>
          <w:sz w:val="20"/>
          <w:szCs w:val="20"/>
        </w:rPr>
        <w:t>. Among the primers, CACACTCCAG produced the greatest number of amplified bands (11), followed by AGCCAGCGAA and ACCTGGACAC with 9-10 bands each. The presence of high number of alleles indicated effective genome-wide coverage. In contrast, TTCCCCCCAG and CAAACGTCGG generated weak or inconsistent bands, suggesting limited sequence complementarity</w:t>
      </w:r>
      <w:r w:rsidR="007D5718" w:rsidRPr="00413DA4">
        <w:rPr>
          <w:rFonts w:ascii="Arial" w:hAnsi="Arial" w:cs="Arial"/>
          <w:sz w:val="20"/>
          <w:szCs w:val="20"/>
        </w:rPr>
        <w:t xml:space="preserve"> Fig. 4 and Table 2</w:t>
      </w:r>
      <w:r w:rsidR="00611386" w:rsidRPr="00413DA4">
        <w:rPr>
          <w:rFonts w:ascii="Arial" w:hAnsi="Arial" w:cs="Arial"/>
          <w:sz w:val="20"/>
          <w:szCs w:val="20"/>
        </w:rPr>
        <w:t>.</w:t>
      </w:r>
    </w:p>
    <w:p w14:paraId="0C2ADB8D" w14:textId="77777777" w:rsidR="00413DA4" w:rsidRDefault="00413DA4" w:rsidP="00835FB2">
      <w:pPr>
        <w:spacing w:line="360" w:lineRule="auto"/>
        <w:jc w:val="both"/>
        <w:rPr>
          <w:rFonts w:ascii="Arial" w:hAnsi="Arial" w:cs="Arial"/>
        </w:rPr>
      </w:pPr>
    </w:p>
    <w:p w14:paraId="28A42D01" w14:textId="4700FE5C" w:rsidR="00BE15BD" w:rsidRDefault="00BE15BD" w:rsidP="00835FB2">
      <w:pPr>
        <w:spacing w:line="360" w:lineRule="auto"/>
        <w:jc w:val="both"/>
        <w:rPr>
          <w:rFonts w:ascii="Arial" w:hAnsi="Arial" w:cs="Arial"/>
        </w:rPr>
      </w:pPr>
      <w:r w:rsidRPr="002D4234">
        <w:rPr>
          <w:rFonts w:ascii="Arial" w:hAnsi="Arial" w:cs="Arial"/>
          <w:noProof/>
        </w:rPr>
        <w:drawing>
          <wp:anchor distT="0" distB="0" distL="114300" distR="114300" simplePos="0" relativeHeight="251667456" behindDoc="0" locked="0" layoutInCell="1" allowOverlap="1" wp14:anchorId="7C115120" wp14:editId="5096E9A6">
            <wp:simplePos x="0" y="0"/>
            <wp:positionH relativeFrom="margin">
              <wp:align>center</wp:align>
            </wp:positionH>
            <wp:positionV relativeFrom="paragraph">
              <wp:posOffset>13707</wp:posOffset>
            </wp:positionV>
            <wp:extent cx="4886325" cy="2498923"/>
            <wp:effectExtent l="0" t="0" r="0" b="0"/>
            <wp:wrapNone/>
            <wp:docPr id="15324370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6325" cy="24989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41FBDB" w14:textId="77777777" w:rsidR="00BE15BD" w:rsidRDefault="00BE15BD" w:rsidP="00835FB2">
      <w:pPr>
        <w:spacing w:line="360" w:lineRule="auto"/>
        <w:jc w:val="both"/>
        <w:rPr>
          <w:rFonts w:ascii="Arial" w:hAnsi="Arial" w:cs="Arial"/>
        </w:rPr>
      </w:pPr>
    </w:p>
    <w:p w14:paraId="461C2750" w14:textId="77777777" w:rsidR="00BE15BD" w:rsidRDefault="00BE15BD" w:rsidP="00835FB2">
      <w:pPr>
        <w:spacing w:line="360" w:lineRule="auto"/>
        <w:jc w:val="both"/>
        <w:rPr>
          <w:rFonts w:ascii="Arial" w:hAnsi="Arial" w:cs="Arial"/>
        </w:rPr>
      </w:pPr>
    </w:p>
    <w:p w14:paraId="0EDC43BE" w14:textId="77777777" w:rsidR="00BE15BD" w:rsidRDefault="00BE15BD" w:rsidP="00835FB2">
      <w:pPr>
        <w:spacing w:line="360" w:lineRule="auto"/>
        <w:jc w:val="both"/>
        <w:rPr>
          <w:rFonts w:ascii="Arial" w:hAnsi="Arial" w:cs="Arial"/>
        </w:rPr>
      </w:pPr>
    </w:p>
    <w:p w14:paraId="5C43A8D1" w14:textId="77777777" w:rsidR="00BE15BD" w:rsidRDefault="00BE15BD" w:rsidP="00835FB2">
      <w:pPr>
        <w:spacing w:line="360" w:lineRule="auto"/>
        <w:jc w:val="both"/>
        <w:rPr>
          <w:rFonts w:ascii="Arial" w:hAnsi="Arial" w:cs="Arial"/>
        </w:rPr>
      </w:pPr>
    </w:p>
    <w:p w14:paraId="451D939B" w14:textId="77777777" w:rsidR="00BE15BD" w:rsidRPr="00A43000" w:rsidRDefault="00BE15BD" w:rsidP="00835FB2">
      <w:pPr>
        <w:spacing w:line="360" w:lineRule="auto"/>
        <w:jc w:val="both"/>
        <w:rPr>
          <w:rFonts w:ascii="Arial" w:hAnsi="Arial" w:cs="Arial"/>
          <w:lang w:val="en-US"/>
        </w:rPr>
      </w:pPr>
    </w:p>
    <w:p w14:paraId="1E39BDFF" w14:textId="77777777" w:rsidR="00BE15BD" w:rsidRDefault="00BE15BD" w:rsidP="00835FB2">
      <w:pPr>
        <w:spacing w:line="360" w:lineRule="auto"/>
        <w:jc w:val="both"/>
        <w:rPr>
          <w:rFonts w:ascii="Arial" w:hAnsi="Arial" w:cs="Arial"/>
        </w:rPr>
      </w:pPr>
    </w:p>
    <w:p w14:paraId="6B94C0E9" w14:textId="77777777" w:rsidR="00BE15BD" w:rsidRDefault="00BE15BD" w:rsidP="00835FB2">
      <w:pPr>
        <w:spacing w:line="360" w:lineRule="auto"/>
        <w:jc w:val="both"/>
        <w:rPr>
          <w:rFonts w:ascii="Arial" w:hAnsi="Arial" w:cs="Arial"/>
        </w:rPr>
      </w:pPr>
    </w:p>
    <w:p w14:paraId="43D21EF0" w14:textId="488E6AC2" w:rsidR="00BE15BD" w:rsidRPr="00413DA4" w:rsidRDefault="00BE15BD" w:rsidP="00413DA4">
      <w:pPr>
        <w:tabs>
          <w:tab w:val="left" w:pos="1043"/>
        </w:tabs>
        <w:spacing w:line="240" w:lineRule="auto"/>
        <w:rPr>
          <w:rFonts w:ascii="Arial" w:hAnsi="Arial" w:cs="Arial"/>
          <w:b/>
          <w:bCs/>
          <w:sz w:val="20"/>
          <w:szCs w:val="20"/>
        </w:rPr>
      </w:pPr>
      <w:r w:rsidRPr="00413DA4">
        <w:rPr>
          <w:rFonts w:ascii="Arial" w:hAnsi="Arial" w:cs="Arial"/>
          <w:b/>
          <w:bCs/>
          <w:sz w:val="20"/>
          <w:szCs w:val="20"/>
        </w:rPr>
        <w:t>Fig. 4</w:t>
      </w:r>
      <w:r w:rsidR="0014082E" w:rsidRPr="00413DA4">
        <w:rPr>
          <w:rFonts w:ascii="Arial" w:hAnsi="Arial" w:cs="Arial"/>
          <w:b/>
          <w:bCs/>
          <w:sz w:val="20"/>
          <w:szCs w:val="20"/>
        </w:rPr>
        <w:t>.</w:t>
      </w:r>
      <w:r w:rsidRPr="00413DA4">
        <w:rPr>
          <w:rFonts w:ascii="Arial" w:hAnsi="Arial" w:cs="Arial"/>
          <w:b/>
          <w:bCs/>
          <w:sz w:val="20"/>
          <w:szCs w:val="20"/>
        </w:rPr>
        <w:t xml:space="preserve"> </w:t>
      </w:r>
      <w:r w:rsidRPr="00413DA4">
        <w:rPr>
          <w:rFonts w:ascii="Arial" w:hAnsi="Arial" w:cs="Arial"/>
          <w:b/>
          <w:bCs/>
          <w:sz w:val="20"/>
          <w:szCs w:val="20"/>
          <w:lang w:val="en-US"/>
        </w:rPr>
        <w:t xml:space="preserve">RAPD fingerprinting profile of </w:t>
      </w:r>
      <w:r w:rsidRPr="00413DA4">
        <w:rPr>
          <w:rFonts w:ascii="Arial" w:hAnsi="Arial" w:cs="Arial"/>
          <w:b/>
          <w:bCs/>
          <w:i/>
          <w:iCs/>
          <w:sz w:val="20"/>
          <w:szCs w:val="20"/>
        </w:rPr>
        <w:t xml:space="preserve">D. melanoxylon </w:t>
      </w:r>
      <w:r w:rsidRPr="00413DA4">
        <w:rPr>
          <w:rFonts w:ascii="Arial" w:hAnsi="Arial" w:cs="Arial"/>
          <w:b/>
          <w:bCs/>
          <w:sz w:val="20"/>
          <w:szCs w:val="20"/>
        </w:rPr>
        <w:t>using 15-primers and M is molecular size marker (500bp).</w:t>
      </w:r>
    </w:p>
    <w:tbl>
      <w:tblPr>
        <w:tblStyle w:val="TableGrid"/>
        <w:tblpPr w:leftFromText="180" w:rightFromText="180" w:vertAnchor="text" w:horzAnchor="margin" w:tblpY="73"/>
        <w:tblW w:w="9016" w:type="dxa"/>
        <w:tblLook w:val="04A0" w:firstRow="1" w:lastRow="0" w:firstColumn="1" w:lastColumn="0" w:noHBand="0" w:noVBand="1"/>
      </w:tblPr>
      <w:tblGrid>
        <w:gridCol w:w="813"/>
        <w:gridCol w:w="2209"/>
        <w:gridCol w:w="1352"/>
        <w:gridCol w:w="2134"/>
        <w:gridCol w:w="1228"/>
        <w:gridCol w:w="1280"/>
      </w:tblGrid>
      <w:tr w:rsidR="00BE15BD" w:rsidRPr="00413DA4" w14:paraId="70878818" w14:textId="77777777" w:rsidTr="00647BBE">
        <w:trPr>
          <w:trHeight w:val="246"/>
        </w:trPr>
        <w:tc>
          <w:tcPr>
            <w:tcW w:w="813" w:type="dxa"/>
            <w:vAlign w:val="center"/>
          </w:tcPr>
          <w:p w14:paraId="54E95457" w14:textId="77777777" w:rsidR="00BE15BD" w:rsidRPr="00413DA4" w:rsidRDefault="00BE15BD" w:rsidP="00413DA4">
            <w:pPr>
              <w:rPr>
                <w:rFonts w:ascii="Arial" w:hAnsi="Arial" w:cs="Arial"/>
                <w:b/>
                <w:sz w:val="20"/>
                <w:szCs w:val="20"/>
              </w:rPr>
            </w:pPr>
            <w:r w:rsidRPr="00413DA4">
              <w:rPr>
                <w:rFonts w:ascii="Arial" w:hAnsi="Arial" w:cs="Arial"/>
                <w:b/>
                <w:sz w:val="20"/>
                <w:szCs w:val="20"/>
              </w:rPr>
              <w:t>Sl. No.</w:t>
            </w:r>
          </w:p>
        </w:tc>
        <w:tc>
          <w:tcPr>
            <w:tcW w:w="2209" w:type="dxa"/>
            <w:vAlign w:val="center"/>
          </w:tcPr>
          <w:p w14:paraId="16557BD4" w14:textId="77777777" w:rsidR="00BE15BD" w:rsidRPr="00413DA4" w:rsidRDefault="00BE15BD" w:rsidP="00413DA4">
            <w:pPr>
              <w:autoSpaceDE w:val="0"/>
              <w:autoSpaceDN w:val="0"/>
              <w:adjustRightInd w:val="0"/>
              <w:jc w:val="both"/>
              <w:rPr>
                <w:rFonts w:ascii="Arial" w:hAnsi="Arial" w:cs="Arial"/>
                <w:b/>
                <w:bCs/>
                <w:sz w:val="20"/>
                <w:szCs w:val="20"/>
              </w:rPr>
            </w:pPr>
            <w:r w:rsidRPr="00413DA4">
              <w:rPr>
                <w:rFonts w:ascii="Arial" w:hAnsi="Arial" w:cs="Arial"/>
                <w:b/>
                <w:bCs/>
                <w:sz w:val="20"/>
                <w:szCs w:val="20"/>
              </w:rPr>
              <w:t>RAPD Primer Sequence (5’-3’)</w:t>
            </w:r>
          </w:p>
        </w:tc>
        <w:tc>
          <w:tcPr>
            <w:tcW w:w="1352" w:type="dxa"/>
            <w:vAlign w:val="center"/>
          </w:tcPr>
          <w:p w14:paraId="687C2EE8" w14:textId="77777777" w:rsidR="00BE15BD" w:rsidRPr="00413DA4" w:rsidRDefault="00BE15BD" w:rsidP="00413DA4">
            <w:pPr>
              <w:jc w:val="both"/>
              <w:rPr>
                <w:rFonts w:ascii="Arial" w:hAnsi="Arial" w:cs="Arial"/>
                <w:b/>
                <w:sz w:val="20"/>
                <w:szCs w:val="20"/>
              </w:rPr>
            </w:pPr>
            <w:r w:rsidRPr="00413DA4">
              <w:rPr>
                <w:rFonts w:ascii="Arial" w:hAnsi="Arial" w:cs="Arial"/>
                <w:b/>
                <w:sz w:val="20"/>
                <w:szCs w:val="20"/>
              </w:rPr>
              <w:t>T</w:t>
            </w:r>
            <w:r w:rsidRPr="00413DA4">
              <w:rPr>
                <w:rFonts w:ascii="Arial" w:hAnsi="Arial" w:cs="Arial"/>
                <w:b/>
                <w:sz w:val="20"/>
                <w:szCs w:val="20"/>
                <w:vertAlign w:val="subscript"/>
              </w:rPr>
              <w:t>m</w:t>
            </w:r>
          </w:p>
        </w:tc>
        <w:tc>
          <w:tcPr>
            <w:tcW w:w="2134" w:type="dxa"/>
            <w:vAlign w:val="center"/>
          </w:tcPr>
          <w:p w14:paraId="7F2071A3" w14:textId="77777777" w:rsidR="00BE15BD" w:rsidRPr="00413DA4" w:rsidRDefault="00BE15BD" w:rsidP="00413DA4">
            <w:pPr>
              <w:jc w:val="both"/>
              <w:rPr>
                <w:rFonts w:ascii="Arial" w:hAnsi="Arial" w:cs="Arial"/>
                <w:b/>
                <w:sz w:val="20"/>
                <w:szCs w:val="20"/>
              </w:rPr>
            </w:pPr>
            <w:r w:rsidRPr="00413DA4">
              <w:rPr>
                <w:rFonts w:ascii="Arial" w:hAnsi="Arial" w:cs="Arial"/>
                <w:b/>
                <w:sz w:val="20"/>
                <w:szCs w:val="20"/>
              </w:rPr>
              <w:t>Length of amplified alleles (bp)</w:t>
            </w:r>
          </w:p>
        </w:tc>
        <w:tc>
          <w:tcPr>
            <w:tcW w:w="1228" w:type="dxa"/>
            <w:vAlign w:val="center"/>
          </w:tcPr>
          <w:p w14:paraId="1AB487FB" w14:textId="77777777" w:rsidR="00BE15BD" w:rsidRPr="00413DA4" w:rsidRDefault="00BE15BD" w:rsidP="00413DA4">
            <w:pPr>
              <w:jc w:val="both"/>
              <w:rPr>
                <w:rFonts w:ascii="Arial" w:hAnsi="Arial" w:cs="Arial"/>
                <w:b/>
                <w:sz w:val="20"/>
                <w:szCs w:val="20"/>
              </w:rPr>
            </w:pPr>
            <w:r w:rsidRPr="00413DA4">
              <w:rPr>
                <w:rFonts w:ascii="Arial" w:hAnsi="Arial" w:cs="Arial"/>
                <w:b/>
                <w:sz w:val="20"/>
                <w:szCs w:val="20"/>
              </w:rPr>
              <w:t>Total no. of alleles</w:t>
            </w:r>
          </w:p>
        </w:tc>
        <w:tc>
          <w:tcPr>
            <w:tcW w:w="1280" w:type="dxa"/>
          </w:tcPr>
          <w:p w14:paraId="1AD17523" w14:textId="77777777" w:rsidR="00BE15BD" w:rsidRPr="00413DA4" w:rsidRDefault="00BE15BD" w:rsidP="00413DA4">
            <w:pPr>
              <w:jc w:val="both"/>
              <w:rPr>
                <w:rFonts w:ascii="Arial" w:hAnsi="Arial" w:cs="Arial"/>
                <w:b/>
                <w:sz w:val="20"/>
                <w:szCs w:val="20"/>
              </w:rPr>
            </w:pPr>
            <w:r w:rsidRPr="00413DA4">
              <w:rPr>
                <w:rFonts w:ascii="Arial" w:hAnsi="Arial" w:cs="Arial"/>
                <w:b/>
                <w:sz w:val="20"/>
                <w:szCs w:val="20"/>
              </w:rPr>
              <w:t>Reference</w:t>
            </w:r>
          </w:p>
        </w:tc>
      </w:tr>
      <w:tr w:rsidR="00BE15BD" w:rsidRPr="00413DA4" w14:paraId="7D15D77C" w14:textId="77777777" w:rsidTr="00647BBE">
        <w:trPr>
          <w:trHeight w:hRule="exact" w:val="295"/>
        </w:trPr>
        <w:tc>
          <w:tcPr>
            <w:tcW w:w="813" w:type="dxa"/>
            <w:vAlign w:val="center"/>
          </w:tcPr>
          <w:p w14:paraId="1A7CEC65"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1</w:t>
            </w:r>
          </w:p>
        </w:tc>
        <w:tc>
          <w:tcPr>
            <w:tcW w:w="2209" w:type="dxa"/>
            <w:vAlign w:val="center"/>
          </w:tcPr>
          <w:p w14:paraId="458592EB"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CCGCCTAGTC</w:t>
            </w:r>
          </w:p>
        </w:tc>
        <w:tc>
          <w:tcPr>
            <w:tcW w:w="1352" w:type="dxa"/>
            <w:vAlign w:val="center"/>
          </w:tcPr>
          <w:p w14:paraId="30620C00"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 xml:space="preserve">35.8 </w:t>
            </w:r>
            <w:r w:rsidRPr="00413DA4">
              <w:rPr>
                <w:rFonts w:ascii="Arial" w:hAnsi="Arial" w:cs="Arial"/>
                <w:bCs/>
                <w:color w:val="1F1F1F"/>
                <w:sz w:val="20"/>
                <w:szCs w:val="20"/>
                <w:shd w:val="clear" w:color="auto" w:fill="FFFFFF"/>
              </w:rPr>
              <w:t>°C</w:t>
            </w:r>
          </w:p>
        </w:tc>
        <w:tc>
          <w:tcPr>
            <w:tcW w:w="2134" w:type="dxa"/>
          </w:tcPr>
          <w:p w14:paraId="3C73328B"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500 - 2755</w:t>
            </w:r>
          </w:p>
        </w:tc>
        <w:tc>
          <w:tcPr>
            <w:tcW w:w="1228" w:type="dxa"/>
          </w:tcPr>
          <w:p w14:paraId="2A66D078"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10</w:t>
            </w:r>
          </w:p>
        </w:tc>
        <w:tc>
          <w:tcPr>
            <w:tcW w:w="1280" w:type="dxa"/>
            <w:vMerge w:val="restart"/>
          </w:tcPr>
          <w:p w14:paraId="45585A7E" w14:textId="77777777" w:rsidR="00BE15BD" w:rsidRPr="00413DA4" w:rsidRDefault="00BE15BD" w:rsidP="00413DA4">
            <w:pPr>
              <w:jc w:val="both"/>
              <w:rPr>
                <w:rFonts w:ascii="Arial" w:hAnsi="Arial" w:cs="Arial"/>
                <w:sz w:val="20"/>
                <w:szCs w:val="20"/>
              </w:rPr>
            </w:pPr>
          </w:p>
          <w:p w14:paraId="699477E0" w14:textId="77777777" w:rsidR="00BE15BD" w:rsidRPr="00413DA4" w:rsidRDefault="00BE15BD" w:rsidP="00413DA4">
            <w:pPr>
              <w:jc w:val="both"/>
              <w:rPr>
                <w:rFonts w:ascii="Arial" w:hAnsi="Arial" w:cs="Arial"/>
                <w:sz w:val="20"/>
                <w:szCs w:val="20"/>
              </w:rPr>
            </w:pPr>
          </w:p>
          <w:p w14:paraId="7FC7BFFC" w14:textId="77777777" w:rsidR="00BE15BD" w:rsidRPr="00413DA4" w:rsidRDefault="00BE15BD" w:rsidP="00413DA4">
            <w:pPr>
              <w:jc w:val="both"/>
              <w:rPr>
                <w:rFonts w:ascii="Arial" w:hAnsi="Arial" w:cs="Arial"/>
                <w:sz w:val="20"/>
                <w:szCs w:val="20"/>
              </w:rPr>
            </w:pPr>
          </w:p>
          <w:p w14:paraId="2D1D312A" w14:textId="77777777" w:rsidR="00BE15BD" w:rsidRPr="00413DA4" w:rsidRDefault="00BE15BD" w:rsidP="00413DA4">
            <w:pPr>
              <w:jc w:val="both"/>
              <w:rPr>
                <w:rFonts w:ascii="Arial" w:hAnsi="Arial" w:cs="Arial"/>
                <w:sz w:val="20"/>
                <w:szCs w:val="20"/>
              </w:rPr>
            </w:pPr>
          </w:p>
          <w:p w14:paraId="53F3F398" w14:textId="77777777" w:rsidR="00BE15BD" w:rsidRPr="00413DA4" w:rsidRDefault="00BE15BD" w:rsidP="00413DA4">
            <w:pPr>
              <w:jc w:val="both"/>
              <w:rPr>
                <w:rFonts w:ascii="Arial" w:hAnsi="Arial" w:cs="Arial"/>
                <w:sz w:val="20"/>
                <w:szCs w:val="20"/>
              </w:rPr>
            </w:pPr>
          </w:p>
          <w:p w14:paraId="50D4F82B" w14:textId="77777777" w:rsidR="00BE15BD" w:rsidRPr="00413DA4" w:rsidRDefault="00BE15BD" w:rsidP="00413DA4">
            <w:pPr>
              <w:jc w:val="both"/>
              <w:rPr>
                <w:rFonts w:ascii="Arial" w:hAnsi="Arial" w:cs="Arial"/>
                <w:sz w:val="20"/>
                <w:szCs w:val="20"/>
              </w:rPr>
            </w:pPr>
          </w:p>
          <w:p w14:paraId="15415D52" w14:textId="77777777" w:rsidR="00BE15BD" w:rsidRPr="00413DA4" w:rsidRDefault="00BE15BD" w:rsidP="00413DA4">
            <w:pPr>
              <w:jc w:val="both"/>
              <w:rPr>
                <w:rFonts w:ascii="Arial" w:hAnsi="Arial" w:cs="Arial"/>
                <w:sz w:val="20"/>
                <w:szCs w:val="20"/>
              </w:rPr>
            </w:pPr>
          </w:p>
          <w:p w14:paraId="07A5C226" w14:textId="1630007A" w:rsidR="00BE15BD" w:rsidRPr="00413DA4" w:rsidRDefault="00FF3884" w:rsidP="00413DA4">
            <w:pPr>
              <w:jc w:val="both"/>
              <w:rPr>
                <w:rFonts w:ascii="Arial" w:hAnsi="Arial" w:cs="Arial"/>
                <w:sz w:val="20"/>
                <w:szCs w:val="20"/>
              </w:rPr>
            </w:pPr>
            <w:r>
              <w:rPr>
                <w:rFonts w:ascii="Arial" w:hAnsi="Arial" w:cs="Arial"/>
                <w:sz w:val="20"/>
                <w:szCs w:val="20"/>
              </w:rPr>
              <w:t>Kumari and Kumar, 2021</w:t>
            </w:r>
          </w:p>
        </w:tc>
      </w:tr>
      <w:tr w:rsidR="00BE15BD" w:rsidRPr="00413DA4" w14:paraId="09576604" w14:textId="77777777" w:rsidTr="00647BBE">
        <w:trPr>
          <w:trHeight w:hRule="exact" w:val="295"/>
        </w:trPr>
        <w:tc>
          <w:tcPr>
            <w:tcW w:w="813" w:type="dxa"/>
          </w:tcPr>
          <w:p w14:paraId="49F8AC47"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2</w:t>
            </w:r>
          </w:p>
        </w:tc>
        <w:tc>
          <w:tcPr>
            <w:tcW w:w="2209" w:type="dxa"/>
          </w:tcPr>
          <w:p w14:paraId="63F5FFED"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ACCTGGACAC</w:t>
            </w:r>
          </w:p>
        </w:tc>
        <w:tc>
          <w:tcPr>
            <w:tcW w:w="1352" w:type="dxa"/>
          </w:tcPr>
          <w:p w14:paraId="6F6802A8"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33.4</w:t>
            </w:r>
            <w:r w:rsidRPr="00413DA4">
              <w:rPr>
                <w:rFonts w:ascii="Arial" w:hAnsi="Arial" w:cs="Arial"/>
                <w:bCs/>
                <w:color w:val="1F1F1F"/>
                <w:sz w:val="20"/>
                <w:szCs w:val="20"/>
                <w:shd w:val="clear" w:color="auto" w:fill="FFFFFF"/>
              </w:rPr>
              <w:t>°C</w:t>
            </w:r>
          </w:p>
        </w:tc>
        <w:tc>
          <w:tcPr>
            <w:tcW w:w="2134" w:type="dxa"/>
          </w:tcPr>
          <w:p w14:paraId="043AE5E4"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500 - 1469</w:t>
            </w:r>
          </w:p>
        </w:tc>
        <w:tc>
          <w:tcPr>
            <w:tcW w:w="1228" w:type="dxa"/>
          </w:tcPr>
          <w:p w14:paraId="6291FCDF"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8</w:t>
            </w:r>
          </w:p>
        </w:tc>
        <w:tc>
          <w:tcPr>
            <w:tcW w:w="1280" w:type="dxa"/>
            <w:vMerge/>
          </w:tcPr>
          <w:p w14:paraId="159ED4D3" w14:textId="77777777" w:rsidR="00BE15BD" w:rsidRPr="00413DA4" w:rsidRDefault="00BE15BD" w:rsidP="00413DA4">
            <w:pPr>
              <w:jc w:val="both"/>
              <w:rPr>
                <w:rFonts w:ascii="Arial" w:hAnsi="Arial" w:cs="Arial"/>
                <w:sz w:val="20"/>
                <w:szCs w:val="20"/>
              </w:rPr>
            </w:pPr>
          </w:p>
        </w:tc>
      </w:tr>
      <w:tr w:rsidR="00BE15BD" w:rsidRPr="00413DA4" w14:paraId="1ACA7855" w14:textId="77777777" w:rsidTr="00647BBE">
        <w:trPr>
          <w:trHeight w:hRule="exact" w:val="295"/>
        </w:trPr>
        <w:tc>
          <w:tcPr>
            <w:tcW w:w="813" w:type="dxa"/>
          </w:tcPr>
          <w:p w14:paraId="78F1663D"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w:t>
            </w:r>
          </w:p>
        </w:tc>
        <w:tc>
          <w:tcPr>
            <w:tcW w:w="2209" w:type="dxa"/>
          </w:tcPr>
          <w:p w14:paraId="5FEC3A9A"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ACAACGCGAG</w:t>
            </w:r>
          </w:p>
        </w:tc>
        <w:tc>
          <w:tcPr>
            <w:tcW w:w="1352" w:type="dxa"/>
          </w:tcPr>
          <w:p w14:paraId="04911D4F"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36.7</w:t>
            </w:r>
            <w:r w:rsidRPr="00413DA4">
              <w:rPr>
                <w:rFonts w:ascii="Arial" w:hAnsi="Arial" w:cs="Arial"/>
                <w:bCs/>
                <w:color w:val="1F1F1F"/>
                <w:sz w:val="20"/>
                <w:szCs w:val="20"/>
                <w:shd w:val="clear" w:color="auto" w:fill="FFFFFF"/>
              </w:rPr>
              <w:t>°C</w:t>
            </w:r>
          </w:p>
        </w:tc>
        <w:tc>
          <w:tcPr>
            <w:tcW w:w="2134" w:type="dxa"/>
          </w:tcPr>
          <w:p w14:paraId="4E1E20BD"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500 - 1804</w:t>
            </w:r>
          </w:p>
        </w:tc>
        <w:tc>
          <w:tcPr>
            <w:tcW w:w="1228" w:type="dxa"/>
          </w:tcPr>
          <w:p w14:paraId="74DABF9C"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6</w:t>
            </w:r>
          </w:p>
        </w:tc>
        <w:tc>
          <w:tcPr>
            <w:tcW w:w="1280" w:type="dxa"/>
            <w:vMerge/>
          </w:tcPr>
          <w:p w14:paraId="06F5B26B" w14:textId="77777777" w:rsidR="00BE15BD" w:rsidRPr="00413DA4" w:rsidRDefault="00BE15BD" w:rsidP="00413DA4">
            <w:pPr>
              <w:jc w:val="both"/>
              <w:rPr>
                <w:rFonts w:ascii="Arial" w:hAnsi="Arial" w:cs="Arial"/>
                <w:sz w:val="20"/>
                <w:szCs w:val="20"/>
              </w:rPr>
            </w:pPr>
          </w:p>
        </w:tc>
      </w:tr>
      <w:tr w:rsidR="00BE15BD" w:rsidRPr="00413DA4" w14:paraId="4E57E6FE" w14:textId="77777777" w:rsidTr="00647BBE">
        <w:trPr>
          <w:trHeight w:hRule="exact" w:val="295"/>
        </w:trPr>
        <w:tc>
          <w:tcPr>
            <w:tcW w:w="813" w:type="dxa"/>
          </w:tcPr>
          <w:p w14:paraId="647716F7"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4</w:t>
            </w:r>
          </w:p>
        </w:tc>
        <w:tc>
          <w:tcPr>
            <w:tcW w:w="2209" w:type="dxa"/>
          </w:tcPr>
          <w:p w14:paraId="47B8E383"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TCTCCGCCCT</w:t>
            </w:r>
          </w:p>
        </w:tc>
        <w:tc>
          <w:tcPr>
            <w:tcW w:w="1352" w:type="dxa"/>
          </w:tcPr>
          <w:p w14:paraId="1AFCF401"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40.7</w:t>
            </w:r>
            <w:r w:rsidRPr="00413DA4">
              <w:rPr>
                <w:rFonts w:ascii="Arial" w:hAnsi="Arial" w:cs="Arial"/>
                <w:bCs/>
                <w:color w:val="1F1F1F"/>
                <w:sz w:val="20"/>
                <w:szCs w:val="20"/>
                <w:shd w:val="clear" w:color="auto" w:fill="FFFFFF"/>
              </w:rPr>
              <w:t>°C</w:t>
            </w:r>
          </w:p>
        </w:tc>
        <w:tc>
          <w:tcPr>
            <w:tcW w:w="2134" w:type="dxa"/>
          </w:tcPr>
          <w:p w14:paraId="752994EA"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500 - 1174</w:t>
            </w:r>
          </w:p>
        </w:tc>
        <w:tc>
          <w:tcPr>
            <w:tcW w:w="1228" w:type="dxa"/>
          </w:tcPr>
          <w:p w14:paraId="5742CAF2"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6</w:t>
            </w:r>
          </w:p>
        </w:tc>
        <w:tc>
          <w:tcPr>
            <w:tcW w:w="1280" w:type="dxa"/>
            <w:vMerge/>
          </w:tcPr>
          <w:p w14:paraId="38707C28" w14:textId="77777777" w:rsidR="00BE15BD" w:rsidRPr="00413DA4" w:rsidRDefault="00BE15BD" w:rsidP="00413DA4">
            <w:pPr>
              <w:jc w:val="both"/>
              <w:rPr>
                <w:rFonts w:ascii="Arial" w:hAnsi="Arial" w:cs="Arial"/>
                <w:sz w:val="20"/>
                <w:szCs w:val="20"/>
              </w:rPr>
            </w:pPr>
          </w:p>
        </w:tc>
      </w:tr>
      <w:tr w:rsidR="00BE15BD" w:rsidRPr="00413DA4" w14:paraId="1046BE62" w14:textId="77777777" w:rsidTr="00647BBE">
        <w:trPr>
          <w:trHeight w:hRule="exact" w:val="295"/>
        </w:trPr>
        <w:tc>
          <w:tcPr>
            <w:tcW w:w="813" w:type="dxa"/>
          </w:tcPr>
          <w:p w14:paraId="1D457DA9"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w:t>
            </w:r>
          </w:p>
        </w:tc>
        <w:tc>
          <w:tcPr>
            <w:tcW w:w="2209" w:type="dxa"/>
          </w:tcPr>
          <w:p w14:paraId="0DF278A4"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TTCCGAACCC</w:t>
            </w:r>
          </w:p>
        </w:tc>
        <w:tc>
          <w:tcPr>
            <w:tcW w:w="1352" w:type="dxa"/>
          </w:tcPr>
          <w:p w14:paraId="2A0AE08E"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34.2</w:t>
            </w:r>
            <w:r w:rsidRPr="00413DA4">
              <w:rPr>
                <w:rFonts w:ascii="Arial" w:hAnsi="Arial" w:cs="Arial"/>
                <w:bCs/>
                <w:color w:val="1F1F1F"/>
                <w:sz w:val="20"/>
                <w:szCs w:val="20"/>
                <w:shd w:val="clear" w:color="auto" w:fill="FFFFFF"/>
              </w:rPr>
              <w:t>°C</w:t>
            </w:r>
          </w:p>
        </w:tc>
        <w:tc>
          <w:tcPr>
            <w:tcW w:w="2134" w:type="dxa"/>
          </w:tcPr>
          <w:p w14:paraId="7E556B2B"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500 - 1126</w:t>
            </w:r>
          </w:p>
        </w:tc>
        <w:tc>
          <w:tcPr>
            <w:tcW w:w="1228" w:type="dxa"/>
          </w:tcPr>
          <w:p w14:paraId="2DFD4AAE"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7</w:t>
            </w:r>
          </w:p>
        </w:tc>
        <w:tc>
          <w:tcPr>
            <w:tcW w:w="1280" w:type="dxa"/>
            <w:vMerge/>
          </w:tcPr>
          <w:p w14:paraId="6926CB00" w14:textId="77777777" w:rsidR="00BE15BD" w:rsidRPr="00413DA4" w:rsidRDefault="00BE15BD" w:rsidP="00413DA4">
            <w:pPr>
              <w:jc w:val="both"/>
              <w:rPr>
                <w:rFonts w:ascii="Arial" w:hAnsi="Arial" w:cs="Arial"/>
                <w:sz w:val="20"/>
                <w:szCs w:val="20"/>
              </w:rPr>
            </w:pPr>
          </w:p>
        </w:tc>
      </w:tr>
      <w:tr w:rsidR="00BE15BD" w:rsidRPr="00413DA4" w14:paraId="39155A77" w14:textId="77777777" w:rsidTr="00647BBE">
        <w:trPr>
          <w:trHeight w:hRule="exact" w:val="295"/>
        </w:trPr>
        <w:tc>
          <w:tcPr>
            <w:tcW w:w="813" w:type="dxa"/>
          </w:tcPr>
          <w:p w14:paraId="050260FD"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6</w:t>
            </w:r>
          </w:p>
        </w:tc>
        <w:tc>
          <w:tcPr>
            <w:tcW w:w="2209" w:type="dxa"/>
          </w:tcPr>
          <w:p w14:paraId="474F83E8"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CAAACGTCGG</w:t>
            </w:r>
          </w:p>
        </w:tc>
        <w:tc>
          <w:tcPr>
            <w:tcW w:w="1352" w:type="dxa"/>
          </w:tcPr>
          <w:p w14:paraId="50842562"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34.2</w:t>
            </w:r>
            <w:r w:rsidRPr="00413DA4">
              <w:rPr>
                <w:rFonts w:ascii="Arial" w:hAnsi="Arial" w:cs="Arial"/>
                <w:bCs/>
                <w:color w:val="1F1F1F"/>
                <w:sz w:val="20"/>
                <w:szCs w:val="20"/>
                <w:shd w:val="clear" w:color="auto" w:fill="FFFFFF"/>
              </w:rPr>
              <w:t>°C</w:t>
            </w:r>
          </w:p>
        </w:tc>
        <w:tc>
          <w:tcPr>
            <w:tcW w:w="2134" w:type="dxa"/>
          </w:tcPr>
          <w:p w14:paraId="789B1317"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500 - 1389</w:t>
            </w:r>
          </w:p>
        </w:tc>
        <w:tc>
          <w:tcPr>
            <w:tcW w:w="1228" w:type="dxa"/>
          </w:tcPr>
          <w:p w14:paraId="7038482C"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w:t>
            </w:r>
          </w:p>
        </w:tc>
        <w:tc>
          <w:tcPr>
            <w:tcW w:w="1280" w:type="dxa"/>
            <w:vMerge/>
          </w:tcPr>
          <w:p w14:paraId="3A35B2B3" w14:textId="77777777" w:rsidR="00BE15BD" w:rsidRPr="00413DA4" w:rsidRDefault="00BE15BD" w:rsidP="00413DA4">
            <w:pPr>
              <w:jc w:val="both"/>
              <w:rPr>
                <w:rFonts w:ascii="Arial" w:hAnsi="Arial" w:cs="Arial"/>
                <w:sz w:val="20"/>
                <w:szCs w:val="20"/>
              </w:rPr>
            </w:pPr>
          </w:p>
        </w:tc>
      </w:tr>
      <w:tr w:rsidR="00BE15BD" w:rsidRPr="00413DA4" w14:paraId="22F36A2D" w14:textId="77777777" w:rsidTr="00647BBE">
        <w:trPr>
          <w:trHeight w:hRule="exact" w:val="295"/>
        </w:trPr>
        <w:tc>
          <w:tcPr>
            <w:tcW w:w="813" w:type="dxa"/>
          </w:tcPr>
          <w:p w14:paraId="033C4E1E"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7</w:t>
            </w:r>
          </w:p>
        </w:tc>
        <w:tc>
          <w:tcPr>
            <w:tcW w:w="2209" w:type="dxa"/>
          </w:tcPr>
          <w:p w14:paraId="3B8D81EE"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GACCGCTTGT</w:t>
            </w:r>
          </w:p>
        </w:tc>
        <w:tc>
          <w:tcPr>
            <w:tcW w:w="1352" w:type="dxa"/>
          </w:tcPr>
          <w:p w14:paraId="3EBE67AC"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35.7</w:t>
            </w:r>
            <w:r w:rsidRPr="00413DA4">
              <w:rPr>
                <w:rFonts w:ascii="Arial" w:hAnsi="Arial" w:cs="Arial"/>
                <w:bCs/>
                <w:color w:val="1F1F1F"/>
                <w:sz w:val="20"/>
                <w:szCs w:val="20"/>
                <w:shd w:val="clear" w:color="auto" w:fill="FFFFFF"/>
              </w:rPr>
              <w:t>°C</w:t>
            </w:r>
          </w:p>
        </w:tc>
        <w:tc>
          <w:tcPr>
            <w:tcW w:w="2134" w:type="dxa"/>
          </w:tcPr>
          <w:p w14:paraId="299C04A8"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528 - 1639</w:t>
            </w:r>
          </w:p>
        </w:tc>
        <w:tc>
          <w:tcPr>
            <w:tcW w:w="1228" w:type="dxa"/>
          </w:tcPr>
          <w:p w14:paraId="616B6C55"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8</w:t>
            </w:r>
          </w:p>
        </w:tc>
        <w:tc>
          <w:tcPr>
            <w:tcW w:w="1280" w:type="dxa"/>
            <w:vMerge/>
          </w:tcPr>
          <w:p w14:paraId="7127E7C5" w14:textId="77777777" w:rsidR="00BE15BD" w:rsidRPr="00413DA4" w:rsidRDefault="00BE15BD" w:rsidP="00413DA4">
            <w:pPr>
              <w:jc w:val="both"/>
              <w:rPr>
                <w:rFonts w:ascii="Arial" w:hAnsi="Arial" w:cs="Arial"/>
                <w:sz w:val="20"/>
                <w:szCs w:val="20"/>
              </w:rPr>
            </w:pPr>
          </w:p>
        </w:tc>
      </w:tr>
      <w:tr w:rsidR="00BE15BD" w:rsidRPr="00413DA4" w14:paraId="0228363B" w14:textId="77777777" w:rsidTr="00647BBE">
        <w:trPr>
          <w:trHeight w:hRule="exact" w:val="295"/>
        </w:trPr>
        <w:tc>
          <w:tcPr>
            <w:tcW w:w="813" w:type="dxa"/>
          </w:tcPr>
          <w:p w14:paraId="6F3D12B1"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8</w:t>
            </w:r>
          </w:p>
        </w:tc>
        <w:tc>
          <w:tcPr>
            <w:tcW w:w="2209" w:type="dxa"/>
          </w:tcPr>
          <w:p w14:paraId="1503020B"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AGCCAGCGAA</w:t>
            </w:r>
          </w:p>
        </w:tc>
        <w:tc>
          <w:tcPr>
            <w:tcW w:w="1352" w:type="dxa"/>
          </w:tcPr>
          <w:p w14:paraId="2F722FA5"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38.3</w:t>
            </w:r>
            <w:r w:rsidRPr="00413DA4">
              <w:rPr>
                <w:rFonts w:ascii="Arial" w:hAnsi="Arial" w:cs="Arial"/>
                <w:bCs/>
                <w:color w:val="1F1F1F"/>
                <w:sz w:val="20"/>
                <w:szCs w:val="20"/>
                <w:shd w:val="clear" w:color="auto" w:fill="FFFFFF"/>
              </w:rPr>
              <w:t>°C</w:t>
            </w:r>
          </w:p>
        </w:tc>
        <w:tc>
          <w:tcPr>
            <w:tcW w:w="2134" w:type="dxa"/>
          </w:tcPr>
          <w:p w14:paraId="4A9AAA01"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500 - 1370</w:t>
            </w:r>
          </w:p>
        </w:tc>
        <w:tc>
          <w:tcPr>
            <w:tcW w:w="1228" w:type="dxa"/>
          </w:tcPr>
          <w:p w14:paraId="2A78B2C5"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9</w:t>
            </w:r>
          </w:p>
        </w:tc>
        <w:tc>
          <w:tcPr>
            <w:tcW w:w="1280" w:type="dxa"/>
            <w:vMerge/>
          </w:tcPr>
          <w:p w14:paraId="736EF133" w14:textId="77777777" w:rsidR="00BE15BD" w:rsidRPr="00413DA4" w:rsidRDefault="00BE15BD" w:rsidP="00413DA4">
            <w:pPr>
              <w:jc w:val="both"/>
              <w:rPr>
                <w:rFonts w:ascii="Arial" w:hAnsi="Arial" w:cs="Arial"/>
                <w:sz w:val="20"/>
                <w:szCs w:val="20"/>
              </w:rPr>
            </w:pPr>
          </w:p>
        </w:tc>
      </w:tr>
      <w:tr w:rsidR="00BE15BD" w:rsidRPr="00413DA4" w14:paraId="44B88491" w14:textId="77777777" w:rsidTr="00647BBE">
        <w:trPr>
          <w:trHeight w:hRule="exact" w:val="295"/>
        </w:trPr>
        <w:tc>
          <w:tcPr>
            <w:tcW w:w="813" w:type="dxa"/>
          </w:tcPr>
          <w:p w14:paraId="5BB51CEB"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9</w:t>
            </w:r>
          </w:p>
        </w:tc>
        <w:tc>
          <w:tcPr>
            <w:tcW w:w="2209" w:type="dxa"/>
          </w:tcPr>
          <w:p w14:paraId="4E235903" w14:textId="77777777" w:rsidR="00BE15BD" w:rsidRPr="00413DA4" w:rsidRDefault="00BE15BD" w:rsidP="00413DA4">
            <w:pPr>
              <w:autoSpaceDE w:val="0"/>
              <w:autoSpaceDN w:val="0"/>
              <w:adjustRightInd w:val="0"/>
              <w:jc w:val="both"/>
              <w:rPr>
                <w:rFonts w:ascii="Arial" w:hAnsi="Arial" w:cs="Arial"/>
                <w:bCs/>
                <w:sz w:val="20"/>
                <w:szCs w:val="20"/>
              </w:rPr>
            </w:pPr>
            <w:r w:rsidRPr="00413DA4">
              <w:rPr>
                <w:rFonts w:ascii="Arial" w:hAnsi="Arial" w:cs="Arial"/>
                <w:sz w:val="20"/>
                <w:szCs w:val="20"/>
              </w:rPr>
              <w:t>GTTGCGATCC</w:t>
            </w:r>
          </w:p>
        </w:tc>
        <w:tc>
          <w:tcPr>
            <w:tcW w:w="1352" w:type="dxa"/>
          </w:tcPr>
          <w:p w14:paraId="3D1A9950"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33.5</w:t>
            </w:r>
            <w:r w:rsidRPr="00413DA4">
              <w:rPr>
                <w:rFonts w:ascii="Arial" w:hAnsi="Arial" w:cs="Arial"/>
                <w:bCs/>
                <w:color w:val="1F1F1F"/>
                <w:sz w:val="20"/>
                <w:szCs w:val="20"/>
                <w:shd w:val="clear" w:color="auto" w:fill="FFFFFF"/>
              </w:rPr>
              <w:t>°C</w:t>
            </w:r>
          </w:p>
        </w:tc>
        <w:tc>
          <w:tcPr>
            <w:tcW w:w="2134" w:type="dxa"/>
          </w:tcPr>
          <w:p w14:paraId="40786801"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500 - 1191</w:t>
            </w:r>
          </w:p>
        </w:tc>
        <w:tc>
          <w:tcPr>
            <w:tcW w:w="1228" w:type="dxa"/>
          </w:tcPr>
          <w:p w14:paraId="663AD550"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7</w:t>
            </w:r>
          </w:p>
        </w:tc>
        <w:tc>
          <w:tcPr>
            <w:tcW w:w="1280" w:type="dxa"/>
            <w:vMerge/>
          </w:tcPr>
          <w:p w14:paraId="7A164DED" w14:textId="77777777" w:rsidR="00BE15BD" w:rsidRPr="00413DA4" w:rsidRDefault="00BE15BD" w:rsidP="00413DA4">
            <w:pPr>
              <w:jc w:val="both"/>
              <w:rPr>
                <w:rFonts w:ascii="Arial" w:hAnsi="Arial" w:cs="Arial"/>
                <w:sz w:val="20"/>
                <w:szCs w:val="20"/>
              </w:rPr>
            </w:pPr>
          </w:p>
        </w:tc>
      </w:tr>
      <w:tr w:rsidR="00BE15BD" w:rsidRPr="00413DA4" w14:paraId="41FC4B52" w14:textId="77777777" w:rsidTr="00647BBE">
        <w:trPr>
          <w:trHeight w:hRule="exact" w:val="295"/>
        </w:trPr>
        <w:tc>
          <w:tcPr>
            <w:tcW w:w="813" w:type="dxa"/>
          </w:tcPr>
          <w:p w14:paraId="75C29819"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10</w:t>
            </w:r>
          </w:p>
        </w:tc>
        <w:tc>
          <w:tcPr>
            <w:tcW w:w="2209" w:type="dxa"/>
          </w:tcPr>
          <w:p w14:paraId="4551E6BA" w14:textId="77777777" w:rsidR="00BE15BD" w:rsidRPr="00413DA4" w:rsidRDefault="00BE15BD" w:rsidP="00413DA4">
            <w:pPr>
              <w:autoSpaceDE w:val="0"/>
              <w:autoSpaceDN w:val="0"/>
              <w:adjustRightInd w:val="0"/>
              <w:jc w:val="both"/>
              <w:rPr>
                <w:rFonts w:ascii="Arial" w:hAnsi="Arial" w:cs="Arial"/>
                <w:bCs/>
                <w:sz w:val="20"/>
                <w:szCs w:val="20"/>
              </w:rPr>
            </w:pPr>
            <w:r w:rsidRPr="00413DA4">
              <w:rPr>
                <w:rFonts w:ascii="Arial" w:hAnsi="Arial" w:cs="Arial"/>
                <w:sz w:val="20"/>
                <w:szCs w:val="20"/>
              </w:rPr>
              <w:t>CACACTCCAG</w:t>
            </w:r>
          </w:p>
        </w:tc>
        <w:tc>
          <w:tcPr>
            <w:tcW w:w="1352" w:type="dxa"/>
          </w:tcPr>
          <w:p w14:paraId="720D39EB"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31.2</w:t>
            </w:r>
            <w:r w:rsidRPr="00413DA4">
              <w:rPr>
                <w:rFonts w:ascii="Arial" w:hAnsi="Arial" w:cs="Arial"/>
                <w:bCs/>
                <w:color w:val="1F1F1F"/>
                <w:sz w:val="20"/>
                <w:szCs w:val="20"/>
                <w:shd w:val="clear" w:color="auto" w:fill="FFFFFF"/>
              </w:rPr>
              <w:t>°C</w:t>
            </w:r>
          </w:p>
        </w:tc>
        <w:tc>
          <w:tcPr>
            <w:tcW w:w="2134" w:type="dxa"/>
          </w:tcPr>
          <w:p w14:paraId="0073F019"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500 - 1389</w:t>
            </w:r>
          </w:p>
        </w:tc>
        <w:tc>
          <w:tcPr>
            <w:tcW w:w="1228" w:type="dxa"/>
          </w:tcPr>
          <w:p w14:paraId="7ACEAF24"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11</w:t>
            </w:r>
          </w:p>
        </w:tc>
        <w:tc>
          <w:tcPr>
            <w:tcW w:w="1280" w:type="dxa"/>
            <w:vMerge/>
          </w:tcPr>
          <w:p w14:paraId="662203E5" w14:textId="77777777" w:rsidR="00BE15BD" w:rsidRPr="00413DA4" w:rsidRDefault="00BE15BD" w:rsidP="00413DA4">
            <w:pPr>
              <w:jc w:val="both"/>
              <w:rPr>
                <w:rFonts w:ascii="Arial" w:hAnsi="Arial" w:cs="Arial"/>
                <w:sz w:val="20"/>
                <w:szCs w:val="20"/>
              </w:rPr>
            </w:pPr>
          </w:p>
        </w:tc>
      </w:tr>
      <w:tr w:rsidR="00BE15BD" w:rsidRPr="00413DA4" w14:paraId="4399D287" w14:textId="77777777" w:rsidTr="00647BBE">
        <w:trPr>
          <w:trHeight w:hRule="exact" w:val="295"/>
        </w:trPr>
        <w:tc>
          <w:tcPr>
            <w:tcW w:w="813" w:type="dxa"/>
          </w:tcPr>
          <w:p w14:paraId="06E26E8C"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11</w:t>
            </w:r>
          </w:p>
        </w:tc>
        <w:tc>
          <w:tcPr>
            <w:tcW w:w="2209" w:type="dxa"/>
          </w:tcPr>
          <w:p w14:paraId="37B79799"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TTCCCCCCAG</w:t>
            </w:r>
          </w:p>
        </w:tc>
        <w:tc>
          <w:tcPr>
            <w:tcW w:w="1352" w:type="dxa"/>
          </w:tcPr>
          <w:p w14:paraId="193F9EE7"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37.4</w:t>
            </w:r>
            <w:r w:rsidRPr="00413DA4">
              <w:rPr>
                <w:rFonts w:ascii="Arial" w:hAnsi="Arial" w:cs="Arial"/>
                <w:bCs/>
                <w:color w:val="1F1F1F"/>
                <w:sz w:val="20"/>
                <w:szCs w:val="20"/>
                <w:shd w:val="clear" w:color="auto" w:fill="FFFFFF"/>
              </w:rPr>
              <w:t>°C</w:t>
            </w:r>
          </w:p>
        </w:tc>
        <w:tc>
          <w:tcPr>
            <w:tcW w:w="2134" w:type="dxa"/>
          </w:tcPr>
          <w:p w14:paraId="38BFC0FC"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660 - 1242</w:t>
            </w:r>
          </w:p>
        </w:tc>
        <w:tc>
          <w:tcPr>
            <w:tcW w:w="1228" w:type="dxa"/>
          </w:tcPr>
          <w:p w14:paraId="2F5B5ED0"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w:t>
            </w:r>
          </w:p>
        </w:tc>
        <w:tc>
          <w:tcPr>
            <w:tcW w:w="1280" w:type="dxa"/>
            <w:vMerge/>
          </w:tcPr>
          <w:p w14:paraId="5F510E2E" w14:textId="77777777" w:rsidR="00BE15BD" w:rsidRPr="00413DA4" w:rsidRDefault="00BE15BD" w:rsidP="00413DA4">
            <w:pPr>
              <w:jc w:val="both"/>
              <w:rPr>
                <w:rFonts w:ascii="Arial" w:hAnsi="Arial" w:cs="Arial"/>
                <w:sz w:val="20"/>
                <w:szCs w:val="20"/>
              </w:rPr>
            </w:pPr>
          </w:p>
        </w:tc>
      </w:tr>
      <w:tr w:rsidR="00BE15BD" w:rsidRPr="00413DA4" w14:paraId="5C4091C9" w14:textId="77777777" w:rsidTr="00647BBE">
        <w:trPr>
          <w:trHeight w:hRule="exact" w:val="295"/>
        </w:trPr>
        <w:tc>
          <w:tcPr>
            <w:tcW w:w="813" w:type="dxa"/>
          </w:tcPr>
          <w:p w14:paraId="7F2E5A62"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12</w:t>
            </w:r>
          </w:p>
        </w:tc>
        <w:tc>
          <w:tcPr>
            <w:tcW w:w="2209" w:type="dxa"/>
          </w:tcPr>
          <w:p w14:paraId="304E5D89"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CCGCCCAAAC</w:t>
            </w:r>
          </w:p>
        </w:tc>
        <w:tc>
          <w:tcPr>
            <w:tcW w:w="1352" w:type="dxa"/>
          </w:tcPr>
          <w:p w14:paraId="49671507"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39.0</w:t>
            </w:r>
            <w:r w:rsidRPr="00413DA4">
              <w:rPr>
                <w:rFonts w:ascii="Arial" w:hAnsi="Arial" w:cs="Arial"/>
                <w:bCs/>
                <w:color w:val="1F1F1F"/>
                <w:sz w:val="20"/>
                <w:szCs w:val="20"/>
                <w:shd w:val="clear" w:color="auto" w:fill="FFFFFF"/>
              </w:rPr>
              <w:t>°C</w:t>
            </w:r>
          </w:p>
        </w:tc>
        <w:tc>
          <w:tcPr>
            <w:tcW w:w="2134" w:type="dxa"/>
          </w:tcPr>
          <w:p w14:paraId="129E9998"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500 - 1065</w:t>
            </w:r>
          </w:p>
        </w:tc>
        <w:tc>
          <w:tcPr>
            <w:tcW w:w="1228" w:type="dxa"/>
          </w:tcPr>
          <w:p w14:paraId="69770CD8"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8</w:t>
            </w:r>
          </w:p>
        </w:tc>
        <w:tc>
          <w:tcPr>
            <w:tcW w:w="1280" w:type="dxa"/>
            <w:vMerge/>
          </w:tcPr>
          <w:p w14:paraId="1734B641" w14:textId="77777777" w:rsidR="00BE15BD" w:rsidRPr="00413DA4" w:rsidRDefault="00BE15BD" w:rsidP="00413DA4">
            <w:pPr>
              <w:jc w:val="both"/>
              <w:rPr>
                <w:rFonts w:ascii="Arial" w:hAnsi="Arial" w:cs="Arial"/>
                <w:sz w:val="20"/>
                <w:szCs w:val="20"/>
              </w:rPr>
            </w:pPr>
          </w:p>
        </w:tc>
      </w:tr>
      <w:tr w:rsidR="00BE15BD" w:rsidRPr="00413DA4" w14:paraId="201E1458" w14:textId="77777777" w:rsidTr="00647BBE">
        <w:trPr>
          <w:trHeight w:hRule="exact" w:val="295"/>
        </w:trPr>
        <w:tc>
          <w:tcPr>
            <w:tcW w:w="813" w:type="dxa"/>
          </w:tcPr>
          <w:p w14:paraId="3425B25F"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13</w:t>
            </w:r>
          </w:p>
        </w:tc>
        <w:tc>
          <w:tcPr>
            <w:tcW w:w="2209" w:type="dxa"/>
          </w:tcPr>
          <w:p w14:paraId="2538C500" w14:textId="77777777" w:rsidR="00BE15BD" w:rsidRPr="00413DA4" w:rsidRDefault="00BE15BD" w:rsidP="00413DA4">
            <w:pPr>
              <w:autoSpaceDE w:val="0"/>
              <w:autoSpaceDN w:val="0"/>
              <w:adjustRightInd w:val="0"/>
              <w:jc w:val="both"/>
              <w:rPr>
                <w:rFonts w:ascii="Arial" w:hAnsi="Arial" w:cs="Arial"/>
                <w:bCs/>
                <w:sz w:val="20"/>
                <w:szCs w:val="20"/>
              </w:rPr>
            </w:pPr>
            <w:r w:rsidRPr="00413DA4">
              <w:rPr>
                <w:rFonts w:ascii="Arial" w:hAnsi="Arial" w:cs="Arial"/>
                <w:sz w:val="20"/>
                <w:szCs w:val="20"/>
              </w:rPr>
              <w:t>CACCTTTCCC</w:t>
            </w:r>
          </w:p>
        </w:tc>
        <w:tc>
          <w:tcPr>
            <w:tcW w:w="1352" w:type="dxa"/>
          </w:tcPr>
          <w:p w14:paraId="0DEA465A"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31.5</w:t>
            </w:r>
            <w:r w:rsidRPr="00413DA4">
              <w:rPr>
                <w:rFonts w:ascii="Arial" w:hAnsi="Arial" w:cs="Arial"/>
                <w:bCs/>
                <w:color w:val="1F1F1F"/>
                <w:sz w:val="20"/>
                <w:szCs w:val="20"/>
                <w:shd w:val="clear" w:color="auto" w:fill="FFFFFF"/>
              </w:rPr>
              <w:t>°C</w:t>
            </w:r>
          </w:p>
        </w:tc>
        <w:tc>
          <w:tcPr>
            <w:tcW w:w="2134" w:type="dxa"/>
          </w:tcPr>
          <w:p w14:paraId="6F99AAC2"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500 - 1158</w:t>
            </w:r>
          </w:p>
        </w:tc>
        <w:tc>
          <w:tcPr>
            <w:tcW w:w="1228" w:type="dxa"/>
          </w:tcPr>
          <w:p w14:paraId="7538B9ED"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8</w:t>
            </w:r>
          </w:p>
        </w:tc>
        <w:tc>
          <w:tcPr>
            <w:tcW w:w="1280" w:type="dxa"/>
            <w:vMerge/>
          </w:tcPr>
          <w:p w14:paraId="1C41B734" w14:textId="77777777" w:rsidR="00BE15BD" w:rsidRPr="00413DA4" w:rsidRDefault="00BE15BD" w:rsidP="00413DA4">
            <w:pPr>
              <w:jc w:val="both"/>
              <w:rPr>
                <w:rFonts w:ascii="Arial" w:hAnsi="Arial" w:cs="Arial"/>
                <w:sz w:val="20"/>
                <w:szCs w:val="20"/>
              </w:rPr>
            </w:pPr>
          </w:p>
        </w:tc>
      </w:tr>
      <w:tr w:rsidR="00BE15BD" w:rsidRPr="00413DA4" w14:paraId="75AB3A52" w14:textId="77777777" w:rsidTr="00647BBE">
        <w:trPr>
          <w:trHeight w:hRule="exact" w:val="295"/>
        </w:trPr>
        <w:tc>
          <w:tcPr>
            <w:tcW w:w="813" w:type="dxa"/>
          </w:tcPr>
          <w:p w14:paraId="3CFF2E43"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14</w:t>
            </w:r>
          </w:p>
        </w:tc>
        <w:tc>
          <w:tcPr>
            <w:tcW w:w="2209" w:type="dxa"/>
          </w:tcPr>
          <w:p w14:paraId="249EA652"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GTGCAACGTC</w:t>
            </w:r>
          </w:p>
        </w:tc>
        <w:tc>
          <w:tcPr>
            <w:tcW w:w="1352" w:type="dxa"/>
          </w:tcPr>
          <w:p w14:paraId="755F536E"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34.7</w:t>
            </w:r>
            <w:r w:rsidRPr="00413DA4">
              <w:rPr>
                <w:rFonts w:ascii="Arial" w:hAnsi="Arial" w:cs="Arial"/>
                <w:bCs/>
                <w:color w:val="1F1F1F"/>
                <w:sz w:val="20"/>
                <w:szCs w:val="20"/>
                <w:shd w:val="clear" w:color="auto" w:fill="FFFFFF"/>
              </w:rPr>
              <w:t>°C</w:t>
            </w:r>
          </w:p>
        </w:tc>
        <w:tc>
          <w:tcPr>
            <w:tcW w:w="2134" w:type="dxa"/>
          </w:tcPr>
          <w:p w14:paraId="65109347"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500 - 1208</w:t>
            </w:r>
          </w:p>
        </w:tc>
        <w:tc>
          <w:tcPr>
            <w:tcW w:w="1228" w:type="dxa"/>
          </w:tcPr>
          <w:p w14:paraId="47EEEF6C"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w:t>
            </w:r>
          </w:p>
        </w:tc>
        <w:tc>
          <w:tcPr>
            <w:tcW w:w="1280" w:type="dxa"/>
            <w:vMerge/>
          </w:tcPr>
          <w:p w14:paraId="3463D9E7" w14:textId="77777777" w:rsidR="00BE15BD" w:rsidRPr="00413DA4" w:rsidRDefault="00BE15BD" w:rsidP="00413DA4">
            <w:pPr>
              <w:jc w:val="both"/>
              <w:rPr>
                <w:rFonts w:ascii="Arial" w:hAnsi="Arial" w:cs="Arial"/>
                <w:sz w:val="20"/>
                <w:szCs w:val="20"/>
              </w:rPr>
            </w:pPr>
          </w:p>
        </w:tc>
      </w:tr>
      <w:tr w:rsidR="00BE15BD" w:rsidRPr="00413DA4" w14:paraId="2F9D2C50" w14:textId="77777777" w:rsidTr="00647BBE">
        <w:trPr>
          <w:trHeight w:hRule="exact" w:val="295"/>
        </w:trPr>
        <w:tc>
          <w:tcPr>
            <w:tcW w:w="813" w:type="dxa"/>
          </w:tcPr>
          <w:p w14:paraId="44E95FF6"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15</w:t>
            </w:r>
          </w:p>
        </w:tc>
        <w:tc>
          <w:tcPr>
            <w:tcW w:w="2209" w:type="dxa"/>
          </w:tcPr>
          <w:p w14:paraId="48134A17"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CCCGCTACAC</w:t>
            </w:r>
          </w:p>
        </w:tc>
        <w:tc>
          <w:tcPr>
            <w:tcW w:w="1352" w:type="dxa"/>
          </w:tcPr>
          <w:p w14:paraId="270E3983"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36.9</w:t>
            </w:r>
            <w:r w:rsidRPr="00413DA4">
              <w:rPr>
                <w:rFonts w:ascii="Arial" w:hAnsi="Arial" w:cs="Arial"/>
                <w:bCs/>
                <w:color w:val="1F1F1F"/>
                <w:sz w:val="20"/>
                <w:szCs w:val="20"/>
                <w:shd w:val="clear" w:color="auto" w:fill="FFFFFF"/>
              </w:rPr>
              <w:t>°C</w:t>
            </w:r>
          </w:p>
        </w:tc>
        <w:tc>
          <w:tcPr>
            <w:tcW w:w="2134" w:type="dxa"/>
          </w:tcPr>
          <w:p w14:paraId="67C1124E"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500 - 1295</w:t>
            </w:r>
          </w:p>
        </w:tc>
        <w:tc>
          <w:tcPr>
            <w:tcW w:w="1228" w:type="dxa"/>
          </w:tcPr>
          <w:p w14:paraId="74E8319E"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6</w:t>
            </w:r>
          </w:p>
        </w:tc>
        <w:tc>
          <w:tcPr>
            <w:tcW w:w="1280" w:type="dxa"/>
            <w:vMerge/>
          </w:tcPr>
          <w:p w14:paraId="0AC48133" w14:textId="77777777" w:rsidR="00BE15BD" w:rsidRPr="00413DA4" w:rsidRDefault="00BE15BD" w:rsidP="00413DA4">
            <w:pPr>
              <w:jc w:val="both"/>
              <w:rPr>
                <w:rFonts w:ascii="Arial" w:hAnsi="Arial" w:cs="Arial"/>
                <w:sz w:val="20"/>
                <w:szCs w:val="20"/>
              </w:rPr>
            </w:pPr>
          </w:p>
        </w:tc>
      </w:tr>
      <w:tr w:rsidR="00BE15BD" w:rsidRPr="00413DA4" w14:paraId="77BE64B5" w14:textId="77777777" w:rsidTr="00647BBE">
        <w:trPr>
          <w:trHeight w:hRule="exact" w:val="295"/>
        </w:trPr>
        <w:tc>
          <w:tcPr>
            <w:tcW w:w="6508" w:type="dxa"/>
            <w:gridSpan w:val="4"/>
          </w:tcPr>
          <w:p w14:paraId="3BB9C80A" w14:textId="77777777" w:rsidR="00BE15BD" w:rsidRPr="00413DA4" w:rsidRDefault="00BE15BD" w:rsidP="00413DA4">
            <w:pPr>
              <w:jc w:val="both"/>
              <w:rPr>
                <w:rFonts w:ascii="Arial" w:hAnsi="Arial" w:cs="Arial"/>
                <w:b/>
                <w:bCs/>
                <w:sz w:val="20"/>
                <w:szCs w:val="20"/>
              </w:rPr>
            </w:pPr>
            <w:r w:rsidRPr="00413DA4">
              <w:rPr>
                <w:rFonts w:ascii="Arial" w:hAnsi="Arial" w:cs="Arial"/>
                <w:b/>
                <w:bCs/>
                <w:sz w:val="20"/>
                <w:szCs w:val="20"/>
              </w:rPr>
              <w:t>Total</w:t>
            </w:r>
          </w:p>
        </w:tc>
        <w:tc>
          <w:tcPr>
            <w:tcW w:w="1228" w:type="dxa"/>
          </w:tcPr>
          <w:p w14:paraId="613BEC57" w14:textId="77777777" w:rsidR="00BE15BD" w:rsidRPr="00413DA4" w:rsidRDefault="00BE15BD" w:rsidP="00413DA4">
            <w:pPr>
              <w:jc w:val="both"/>
              <w:rPr>
                <w:rFonts w:ascii="Arial" w:hAnsi="Arial" w:cs="Arial"/>
                <w:b/>
                <w:bCs/>
                <w:sz w:val="20"/>
                <w:szCs w:val="20"/>
              </w:rPr>
            </w:pPr>
            <w:r w:rsidRPr="00413DA4">
              <w:rPr>
                <w:rFonts w:ascii="Arial" w:hAnsi="Arial" w:cs="Arial"/>
                <w:b/>
                <w:bCs/>
                <w:sz w:val="20"/>
                <w:szCs w:val="20"/>
              </w:rPr>
              <w:t>105</w:t>
            </w:r>
          </w:p>
        </w:tc>
        <w:tc>
          <w:tcPr>
            <w:tcW w:w="1280" w:type="dxa"/>
          </w:tcPr>
          <w:p w14:paraId="52E6B519" w14:textId="77777777" w:rsidR="00BE15BD" w:rsidRPr="00413DA4" w:rsidRDefault="00BE15BD" w:rsidP="00413DA4">
            <w:pPr>
              <w:jc w:val="both"/>
              <w:rPr>
                <w:rFonts w:ascii="Arial" w:hAnsi="Arial" w:cs="Arial"/>
                <w:b/>
                <w:bCs/>
                <w:sz w:val="20"/>
                <w:szCs w:val="20"/>
              </w:rPr>
            </w:pPr>
          </w:p>
        </w:tc>
      </w:tr>
    </w:tbl>
    <w:p w14:paraId="789CCB3F" w14:textId="77777777" w:rsidR="00BE15BD" w:rsidRDefault="00BE15BD" w:rsidP="00835FB2">
      <w:pPr>
        <w:spacing w:line="360" w:lineRule="auto"/>
        <w:jc w:val="both"/>
        <w:rPr>
          <w:rFonts w:ascii="Arial" w:hAnsi="Arial" w:cs="Arial"/>
        </w:rPr>
      </w:pPr>
    </w:p>
    <w:p w14:paraId="14F9EB75" w14:textId="29A96947" w:rsidR="00BE15BD" w:rsidRPr="00413DA4" w:rsidRDefault="00BE15BD" w:rsidP="00413DA4">
      <w:pPr>
        <w:spacing w:before="100" w:beforeAutospacing="1" w:after="100" w:afterAutospacing="1" w:line="240" w:lineRule="auto"/>
        <w:jc w:val="both"/>
        <w:rPr>
          <w:rFonts w:ascii="Arial" w:hAnsi="Arial" w:cs="Arial"/>
          <w:b/>
          <w:i/>
          <w:sz w:val="20"/>
          <w:szCs w:val="20"/>
        </w:rPr>
      </w:pPr>
      <w:r w:rsidRPr="00413DA4">
        <w:rPr>
          <w:rFonts w:ascii="Arial" w:hAnsi="Arial" w:cs="Arial"/>
          <w:b/>
          <w:sz w:val="20"/>
          <w:szCs w:val="20"/>
        </w:rPr>
        <w:lastRenderedPageBreak/>
        <w:t>Table. 2</w:t>
      </w:r>
      <w:r w:rsidR="0014082E" w:rsidRPr="00413DA4">
        <w:rPr>
          <w:rFonts w:ascii="Arial" w:hAnsi="Arial" w:cs="Arial"/>
          <w:b/>
          <w:sz w:val="20"/>
          <w:szCs w:val="20"/>
        </w:rPr>
        <w:t>.</w:t>
      </w:r>
      <w:r w:rsidRPr="00413DA4">
        <w:rPr>
          <w:rFonts w:ascii="Arial" w:hAnsi="Arial" w:cs="Arial"/>
          <w:b/>
          <w:sz w:val="20"/>
          <w:szCs w:val="20"/>
        </w:rPr>
        <w:t xml:space="preserve"> List of RAPD primers, total number of amplified fragments, and length of amplified alleles (bp) generated in </w:t>
      </w:r>
      <w:r w:rsidRPr="00413DA4">
        <w:rPr>
          <w:rFonts w:ascii="Arial" w:hAnsi="Arial" w:cs="Arial"/>
          <w:b/>
          <w:i/>
          <w:sz w:val="20"/>
          <w:szCs w:val="20"/>
        </w:rPr>
        <w:t>D. melanoxylon.</w:t>
      </w:r>
    </w:p>
    <w:p w14:paraId="4C675987" w14:textId="32F1D4B8" w:rsidR="00B657A9" w:rsidRPr="00413DA4" w:rsidRDefault="00B22209" w:rsidP="00413DA4">
      <w:pPr>
        <w:spacing w:line="240" w:lineRule="auto"/>
        <w:jc w:val="both"/>
        <w:rPr>
          <w:rFonts w:ascii="Arial" w:hAnsi="Arial" w:cs="Arial"/>
          <w:sz w:val="20"/>
          <w:szCs w:val="20"/>
        </w:rPr>
      </w:pPr>
      <w:r w:rsidRPr="00772C0B">
        <w:rPr>
          <w:rFonts w:ascii="Arial" w:hAnsi="Arial" w:cs="Arial"/>
          <w:noProof/>
        </w:rPr>
        <w:drawing>
          <wp:anchor distT="0" distB="0" distL="114300" distR="114300" simplePos="0" relativeHeight="251669504" behindDoc="0" locked="0" layoutInCell="1" allowOverlap="1" wp14:anchorId="6D0A4095" wp14:editId="2AFFC10A">
            <wp:simplePos x="0" y="0"/>
            <wp:positionH relativeFrom="margin">
              <wp:posOffset>1449082</wp:posOffset>
            </wp:positionH>
            <wp:positionV relativeFrom="paragraph">
              <wp:posOffset>527098</wp:posOffset>
            </wp:positionV>
            <wp:extent cx="2535235" cy="4820436"/>
            <wp:effectExtent l="0" t="0" r="0" b="0"/>
            <wp:wrapNone/>
            <wp:docPr id="41222136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5235" cy="48204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4010" w:rsidRPr="00413DA4">
        <w:rPr>
          <w:rFonts w:ascii="Arial" w:hAnsi="Arial" w:cs="Arial"/>
          <w:sz w:val="20"/>
          <w:szCs w:val="20"/>
        </w:rPr>
        <w:t>The o</w:t>
      </w:r>
      <w:r w:rsidR="00B73581" w:rsidRPr="00413DA4">
        <w:rPr>
          <w:rFonts w:ascii="Arial" w:hAnsi="Arial" w:cs="Arial"/>
          <w:sz w:val="20"/>
          <w:szCs w:val="20"/>
        </w:rPr>
        <w:t xml:space="preserve">ptimized PCR </w:t>
      </w:r>
      <w:r w:rsidR="00D34010" w:rsidRPr="00413DA4">
        <w:rPr>
          <w:rFonts w:ascii="Arial" w:hAnsi="Arial" w:cs="Arial"/>
          <w:sz w:val="20"/>
          <w:szCs w:val="20"/>
        </w:rPr>
        <w:t xml:space="preserve">reaction </w:t>
      </w:r>
      <w:r w:rsidR="00B73581" w:rsidRPr="00413DA4">
        <w:rPr>
          <w:rFonts w:ascii="Arial" w:hAnsi="Arial" w:cs="Arial"/>
          <w:sz w:val="20"/>
          <w:szCs w:val="20"/>
        </w:rPr>
        <w:t xml:space="preserve">produced clear and </w:t>
      </w:r>
      <w:r w:rsidR="00D34010" w:rsidRPr="00413DA4">
        <w:rPr>
          <w:rFonts w:ascii="Arial" w:hAnsi="Arial" w:cs="Arial"/>
          <w:sz w:val="20"/>
          <w:szCs w:val="20"/>
        </w:rPr>
        <w:t xml:space="preserve">scorable </w:t>
      </w:r>
      <w:r w:rsidR="00B73581" w:rsidRPr="00413DA4">
        <w:rPr>
          <w:rFonts w:ascii="Arial" w:hAnsi="Arial" w:cs="Arial"/>
          <w:sz w:val="20"/>
          <w:szCs w:val="20"/>
        </w:rPr>
        <w:t>amplification products ranging from 500 to 2104 bp. Among these,</w:t>
      </w:r>
      <w:r w:rsidR="002F1E34" w:rsidRPr="00413DA4">
        <w:rPr>
          <w:rFonts w:ascii="Arial" w:hAnsi="Arial" w:cs="Arial"/>
          <w:sz w:val="20"/>
          <w:szCs w:val="20"/>
        </w:rPr>
        <w:t xml:space="preserve"> SCoT9,</w:t>
      </w:r>
      <w:r w:rsidR="00B73581" w:rsidRPr="00413DA4">
        <w:rPr>
          <w:rFonts w:ascii="Arial" w:hAnsi="Arial" w:cs="Arial"/>
          <w:sz w:val="20"/>
          <w:szCs w:val="20"/>
        </w:rPr>
        <w:t xml:space="preserve"> SCoT12, SCoT17, and SCoT34 showed the high </w:t>
      </w:r>
      <w:r w:rsidR="00D34010" w:rsidRPr="00413DA4">
        <w:rPr>
          <w:rFonts w:ascii="Arial" w:hAnsi="Arial" w:cs="Arial"/>
          <w:sz w:val="20"/>
          <w:szCs w:val="20"/>
        </w:rPr>
        <w:t>number of alleles</w:t>
      </w:r>
      <w:r w:rsidR="00B73581" w:rsidRPr="00413DA4">
        <w:rPr>
          <w:rFonts w:ascii="Arial" w:hAnsi="Arial" w:cs="Arial"/>
          <w:sz w:val="20"/>
          <w:szCs w:val="20"/>
        </w:rPr>
        <w:t xml:space="preserve">, </w:t>
      </w:r>
      <w:r w:rsidR="00D34010" w:rsidRPr="00413DA4">
        <w:rPr>
          <w:rFonts w:ascii="Arial" w:hAnsi="Arial" w:cs="Arial"/>
          <w:sz w:val="20"/>
          <w:szCs w:val="20"/>
        </w:rPr>
        <w:t xml:space="preserve">i.e. </w:t>
      </w:r>
      <w:r w:rsidR="00B73581" w:rsidRPr="00413DA4">
        <w:rPr>
          <w:rFonts w:ascii="Arial" w:hAnsi="Arial" w:cs="Arial"/>
          <w:sz w:val="20"/>
          <w:szCs w:val="20"/>
        </w:rPr>
        <w:t xml:space="preserve"> 9</w:t>
      </w:r>
      <w:r w:rsidR="003A0C12" w:rsidRPr="00413DA4">
        <w:rPr>
          <w:rFonts w:ascii="Arial" w:hAnsi="Arial" w:cs="Arial"/>
          <w:sz w:val="20"/>
          <w:szCs w:val="20"/>
        </w:rPr>
        <w:t>-</w:t>
      </w:r>
      <w:r w:rsidR="00B73581" w:rsidRPr="00413DA4">
        <w:rPr>
          <w:rFonts w:ascii="Arial" w:hAnsi="Arial" w:cs="Arial"/>
          <w:sz w:val="20"/>
          <w:szCs w:val="20"/>
        </w:rPr>
        <w:t xml:space="preserve">10 distinct and reproducible </w:t>
      </w:r>
      <w:r w:rsidR="00D34010" w:rsidRPr="00413DA4">
        <w:rPr>
          <w:rFonts w:ascii="Arial" w:hAnsi="Arial" w:cs="Arial"/>
          <w:sz w:val="20"/>
          <w:szCs w:val="20"/>
        </w:rPr>
        <w:t>alleles</w:t>
      </w:r>
      <w:r w:rsidR="00B73581" w:rsidRPr="00413DA4">
        <w:rPr>
          <w:rFonts w:ascii="Arial" w:hAnsi="Arial" w:cs="Arial"/>
          <w:sz w:val="20"/>
          <w:szCs w:val="20"/>
        </w:rPr>
        <w:t xml:space="preserve">, whereas SCoT20 </w:t>
      </w:r>
      <w:r w:rsidR="00D34010" w:rsidRPr="00413DA4">
        <w:rPr>
          <w:rFonts w:ascii="Arial" w:hAnsi="Arial" w:cs="Arial"/>
          <w:sz w:val="20"/>
          <w:szCs w:val="20"/>
        </w:rPr>
        <w:t>yielded low number of alleles</w:t>
      </w:r>
      <w:r w:rsidR="00543182" w:rsidRPr="00413DA4">
        <w:rPr>
          <w:rFonts w:ascii="Arial" w:hAnsi="Arial" w:cs="Arial"/>
          <w:sz w:val="20"/>
          <w:szCs w:val="20"/>
        </w:rPr>
        <w:t xml:space="preserve"> </w:t>
      </w:r>
      <w:r w:rsidR="007D5718" w:rsidRPr="00413DA4">
        <w:rPr>
          <w:rFonts w:ascii="Arial" w:hAnsi="Arial" w:cs="Arial"/>
          <w:sz w:val="20"/>
          <w:szCs w:val="20"/>
        </w:rPr>
        <w:t xml:space="preserve">Fig. 5a, 5b, 5c </w:t>
      </w:r>
      <w:r w:rsidR="00611386" w:rsidRPr="00413DA4">
        <w:rPr>
          <w:rFonts w:ascii="Arial" w:hAnsi="Arial" w:cs="Arial"/>
          <w:sz w:val="20"/>
          <w:szCs w:val="20"/>
        </w:rPr>
        <w:t xml:space="preserve">and </w:t>
      </w:r>
      <w:r w:rsidR="007D5718" w:rsidRPr="00413DA4">
        <w:rPr>
          <w:rFonts w:ascii="Arial" w:hAnsi="Arial" w:cs="Arial"/>
          <w:sz w:val="20"/>
          <w:szCs w:val="20"/>
        </w:rPr>
        <w:t>Table 3</w:t>
      </w:r>
      <w:r w:rsidR="00611386" w:rsidRPr="00413DA4">
        <w:rPr>
          <w:rFonts w:ascii="Arial" w:hAnsi="Arial" w:cs="Arial"/>
          <w:sz w:val="20"/>
          <w:szCs w:val="20"/>
        </w:rPr>
        <w:t>.</w:t>
      </w:r>
    </w:p>
    <w:p w14:paraId="5B2F9DE6" w14:textId="7DA80C6E" w:rsidR="00BE15BD" w:rsidRDefault="00BE15BD" w:rsidP="00835FB2">
      <w:pPr>
        <w:spacing w:line="360" w:lineRule="auto"/>
        <w:jc w:val="both"/>
        <w:rPr>
          <w:rFonts w:ascii="Arial" w:hAnsi="Arial" w:cs="Arial"/>
        </w:rPr>
      </w:pPr>
    </w:p>
    <w:p w14:paraId="7C62EA4A" w14:textId="11383DD6" w:rsidR="00BE15BD" w:rsidRDefault="00BE15BD" w:rsidP="00835FB2">
      <w:pPr>
        <w:spacing w:line="360" w:lineRule="auto"/>
        <w:jc w:val="both"/>
        <w:rPr>
          <w:rFonts w:ascii="Arial" w:hAnsi="Arial" w:cs="Arial"/>
        </w:rPr>
      </w:pPr>
    </w:p>
    <w:p w14:paraId="49C0941B" w14:textId="77777777" w:rsidR="00BE15BD" w:rsidRDefault="00BE15BD" w:rsidP="00835FB2">
      <w:pPr>
        <w:spacing w:line="360" w:lineRule="auto"/>
        <w:jc w:val="both"/>
        <w:rPr>
          <w:rFonts w:ascii="Arial" w:hAnsi="Arial" w:cs="Arial"/>
        </w:rPr>
      </w:pPr>
    </w:p>
    <w:p w14:paraId="68376BEC" w14:textId="77777777" w:rsidR="00EE7B0C" w:rsidRPr="00F61A55" w:rsidRDefault="00EE7B0C" w:rsidP="00835FB2">
      <w:pPr>
        <w:spacing w:line="360" w:lineRule="auto"/>
        <w:jc w:val="both"/>
        <w:rPr>
          <w:rFonts w:ascii="Arial" w:hAnsi="Arial" w:cs="Arial"/>
        </w:rPr>
      </w:pPr>
    </w:p>
    <w:p w14:paraId="19315F51" w14:textId="77777777" w:rsidR="0069618E" w:rsidRPr="00ED3FC9" w:rsidRDefault="0069618E" w:rsidP="00835FB2">
      <w:pPr>
        <w:spacing w:line="360" w:lineRule="auto"/>
        <w:jc w:val="both"/>
        <w:rPr>
          <w:rFonts w:ascii="Arial" w:hAnsi="Arial" w:cs="Arial"/>
        </w:rPr>
      </w:pPr>
    </w:p>
    <w:p w14:paraId="251C8272" w14:textId="77777777" w:rsidR="00BE15BD" w:rsidRDefault="00BE15BD" w:rsidP="00835FB2">
      <w:pPr>
        <w:spacing w:line="360" w:lineRule="auto"/>
        <w:jc w:val="both"/>
        <w:rPr>
          <w:rFonts w:ascii="Arial" w:hAnsi="Arial" w:cs="Arial"/>
          <w:b/>
          <w:bCs/>
          <w:sz w:val="28"/>
          <w:szCs w:val="28"/>
        </w:rPr>
      </w:pPr>
    </w:p>
    <w:p w14:paraId="138A5743" w14:textId="77777777" w:rsidR="00BE15BD" w:rsidRDefault="00BE15BD" w:rsidP="00835FB2">
      <w:pPr>
        <w:spacing w:line="360" w:lineRule="auto"/>
        <w:jc w:val="both"/>
        <w:rPr>
          <w:rFonts w:ascii="Arial" w:hAnsi="Arial" w:cs="Arial"/>
          <w:b/>
          <w:bCs/>
          <w:sz w:val="28"/>
          <w:szCs w:val="28"/>
        </w:rPr>
      </w:pPr>
    </w:p>
    <w:p w14:paraId="37F99D35" w14:textId="77777777" w:rsidR="00BE15BD" w:rsidRDefault="00BE15BD" w:rsidP="00835FB2">
      <w:pPr>
        <w:spacing w:line="360" w:lineRule="auto"/>
        <w:jc w:val="both"/>
        <w:rPr>
          <w:rFonts w:ascii="Arial" w:hAnsi="Arial" w:cs="Arial"/>
          <w:b/>
          <w:bCs/>
          <w:sz w:val="28"/>
          <w:szCs w:val="28"/>
        </w:rPr>
      </w:pPr>
    </w:p>
    <w:p w14:paraId="652CDF55" w14:textId="77777777" w:rsidR="00BE15BD" w:rsidRDefault="00BE15BD" w:rsidP="00835FB2">
      <w:pPr>
        <w:spacing w:line="360" w:lineRule="auto"/>
        <w:jc w:val="both"/>
        <w:rPr>
          <w:rFonts w:ascii="Arial" w:hAnsi="Arial" w:cs="Arial"/>
          <w:b/>
          <w:bCs/>
          <w:sz w:val="28"/>
          <w:szCs w:val="28"/>
        </w:rPr>
      </w:pPr>
    </w:p>
    <w:p w14:paraId="31F1F561" w14:textId="77777777" w:rsidR="00BE15BD" w:rsidRDefault="00BE15BD" w:rsidP="00835FB2">
      <w:pPr>
        <w:spacing w:line="360" w:lineRule="auto"/>
        <w:jc w:val="both"/>
        <w:rPr>
          <w:rFonts w:ascii="Arial" w:hAnsi="Arial" w:cs="Arial"/>
          <w:b/>
          <w:bCs/>
          <w:sz w:val="28"/>
          <w:szCs w:val="28"/>
        </w:rPr>
      </w:pPr>
    </w:p>
    <w:p w14:paraId="25FA02AF" w14:textId="77777777" w:rsidR="00BE15BD" w:rsidRDefault="00BE15BD" w:rsidP="00835FB2">
      <w:pPr>
        <w:spacing w:line="360" w:lineRule="auto"/>
        <w:jc w:val="both"/>
        <w:rPr>
          <w:rFonts w:ascii="Arial" w:hAnsi="Arial" w:cs="Arial"/>
          <w:b/>
          <w:bCs/>
          <w:sz w:val="28"/>
          <w:szCs w:val="28"/>
        </w:rPr>
      </w:pPr>
    </w:p>
    <w:p w14:paraId="2625C15B" w14:textId="77777777" w:rsidR="00BE15BD" w:rsidRDefault="00BE15BD" w:rsidP="00835FB2">
      <w:pPr>
        <w:spacing w:line="360" w:lineRule="auto"/>
        <w:jc w:val="both"/>
        <w:rPr>
          <w:rFonts w:ascii="Arial" w:hAnsi="Arial" w:cs="Arial"/>
          <w:b/>
          <w:bCs/>
          <w:sz w:val="28"/>
          <w:szCs w:val="28"/>
        </w:rPr>
      </w:pPr>
    </w:p>
    <w:p w14:paraId="32E2460B" w14:textId="77777777" w:rsidR="00BE15BD" w:rsidRDefault="00BE15BD" w:rsidP="00835FB2">
      <w:pPr>
        <w:spacing w:line="360" w:lineRule="auto"/>
        <w:jc w:val="both"/>
        <w:rPr>
          <w:rFonts w:ascii="Arial" w:hAnsi="Arial" w:cs="Arial"/>
          <w:b/>
          <w:bCs/>
          <w:sz w:val="28"/>
          <w:szCs w:val="28"/>
        </w:rPr>
      </w:pPr>
    </w:p>
    <w:p w14:paraId="762A66AF" w14:textId="77777777" w:rsidR="00BE15BD" w:rsidRDefault="00BE15BD" w:rsidP="00835FB2">
      <w:pPr>
        <w:spacing w:line="360" w:lineRule="auto"/>
        <w:jc w:val="both"/>
        <w:rPr>
          <w:rFonts w:ascii="Arial" w:hAnsi="Arial" w:cs="Arial"/>
          <w:b/>
          <w:bCs/>
          <w:sz w:val="28"/>
          <w:szCs w:val="28"/>
        </w:rPr>
      </w:pPr>
    </w:p>
    <w:p w14:paraId="34ED93B1" w14:textId="77777777" w:rsidR="00413DA4" w:rsidRDefault="00413DA4" w:rsidP="00413DA4">
      <w:pPr>
        <w:tabs>
          <w:tab w:val="left" w:pos="1071"/>
        </w:tabs>
        <w:spacing w:line="240" w:lineRule="auto"/>
        <w:jc w:val="both"/>
        <w:rPr>
          <w:rFonts w:ascii="Arial" w:hAnsi="Arial" w:cs="Arial"/>
          <w:b/>
          <w:bCs/>
          <w:sz w:val="20"/>
          <w:szCs w:val="20"/>
        </w:rPr>
      </w:pPr>
    </w:p>
    <w:p w14:paraId="7261B9BB" w14:textId="77777777" w:rsidR="00413DA4" w:rsidRDefault="00413DA4" w:rsidP="00413DA4">
      <w:pPr>
        <w:tabs>
          <w:tab w:val="left" w:pos="1071"/>
        </w:tabs>
        <w:spacing w:line="240" w:lineRule="auto"/>
        <w:jc w:val="both"/>
        <w:rPr>
          <w:rFonts w:ascii="Arial" w:hAnsi="Arial" w:cs="Arial"/>
          <w:b/>
          <w:bCs/>
          <w:sz w:val="20"/>
          <w:szCs w:val="20"/>
        </w:rPr>
      </w:pPr>
    </w:p>
    <w:p w14:paraId="64594440" w14:textId="1947CBCA" w:rsidR="00BE15BD" w:rsidRPr="00413DA4" w:rsidRDefault="00BE15BD" w:rsidP="00413DA4">
      <w:pPr>
        <w:tabs>
          <w:tab w:val="left" w:pos="1071"/>
        </w:tabs>
        <w:spacing w:line="240" w:lineRule="auto"/>
        <w:jc w:val="both"/>
        <w:rPr>
          <w:rFonts w:ascii="Arial" w:hAnsi="Arial" w:cs="Arial"/>
          <w:b/>
          <w:bCs/>
          <w:sz w:val="20"/>
          <w:szCs w:val="20"/>
        </w:rPr>
        <w:sectPr w:rsidR="00BE15BD" w:rsidRPr="00413DA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r w:rsidRPr="00413DA4">
        <w:rPr>
          <w:rFonts w:ascii="Arial" w:hAnsi="Arial" w:cs="Arial"/>
          <w:b/>
          <w:bCs/>
          <w:sz w:val="20"/>
          <w:szCs w:val="20"/>
        </w:rPr>
        <w:t>Fig. 5a, b and c</w:t>
      </w:r>
      <w:r w:rsidR="0014082E" w:rsidRPr="00413DA4">
        <w:rPr>
          <w:rFonts w:ascii="Arial" w:hAnsi="Arial" w:cs="Arial"/>
          <w:b/>
          <w:bCs/>
          <w:sz w:val="20"/>
          <w:szCs w:val="20"/>
        </w:rPr>
        <w:t>.</w:t>
      </w:r>
      <w:r w:rsidRPr="00413DA4">
        <w:rPr>
          <w:rFonts w:ascii="Arial" w:hAnsi="Arial" w:cs="Arial"/>
          <w:b/>
          <w:bCs/>
          <w:sz w:val="20"/>
          <w:szCs w:val="20"/>
        </w:rPr>
        <w:t xml:space="preserve"> SCoT fingerprinting profile of </w:t>
      </w:r>
      <w:r w:rsidRPr="00413DA4">
        <w:rPr>
          <w:rFonts w:ascii="Arial" w:hAnsi="Arial" w:cs="Arial"/>
          <w:b/>
          <w:bCs/>
          <w:i/>
          <w:iCs/>
          <w:sz w:val="20"/>
          <w:szCs w:val="20"/>
        </w:rPr>
        <w:t>Diospyros melanoxylon</w:t>
      </w:r>
      <w:r w:rsidRPr="00413DA4">
        <w:rPr>
          <w:rFonts w:ascii="Arial" w:hAnsi="Arial" w:cs="Arial"/>
          <w:b/>
          <w:bCs/>
          <w:sz w:val="20"/>
          <w:szCs w:val="20"/>
        </w:rPr>
        <w:t xml:space="preserve"> using nine primers. Images (5a), (5b), and (5c) represent PCR amplification profiles obtained from 36, 42, and 40 cycles, respectively. M is a molecular size marker (500bp).</w:t>
      </w:r>
    </w:p>
    <w:tbl>
      <w:tblPr>
        <w:tblStyle w:val="TableGrid"/>
        <w:tblW w:w="14312" w:type="dxa"/>
        <w:jc w:val="center"/>
        <w:tblLayout w:type="fixed"/>
        <w:tblLook w:val="04A0" w:firstRow="1" w:lastRow="0" w:firstColumn="1" w:lastColumn="0" w:noHBand="0" w:noVBand="1"/>
      </w:tblPr>
      <w:tblGrid>
        <w:gridCol w:w="1129"/>
        <w:gridCol w:w="2977"/>
        <w:gridCol w:w="992"/>
        <w:gridCol w:w="1418"/>
        <w:gridCol w:w="1134"/>
        <w:gridCol w:w="1417"/>
        <w:gridCol w:w="993"/>
        <w:gridCol w:w="1417"/>
        <w:gridCol w:w="1134"/>
        <w:gridCol w:w="1701"/>
      </w:tblGrid>
      <w:tr w:rsidR="00BE15BD" w:rsidRPr="00413DA4" w14:paraId="2E88657B" w14:textId="77777777" w:rsidTr="00F079B0">
        <w:trPr>
          <w:trHeight w:hRule="exact" w:val="565"/>
          <w:jc w:val="center"/>
        </w:trPr>
        <w:tc>
          <w:tcPr>
            <w:tcW w:w="1129" w:type="dxa"/>
            <w:vMerge w:val="restart"/>
            <w:vAlign w:val="center"/>
          </w:tcPr>
          <w:p w14:paraId="374CB7EE" w14:textId="77777777" w:rsidR="00BE15BD" w:rsidRPr="00413DA4" w:rsidRDefault="00BE15BD" w:rsidP="00413DA4">
            <w:pPr>
              <w:jc w:val="both"/>
              <w:rPr>
                <w:rFonts w:ascii="Arial" w:hAnsi="Arial" w:cs="Arial"/>
                <w:b/>
                <w:sz w:val="20"/>
                <w:szCs w:val="20"/>
              </w:rPr>
            </w:pPr>
            <w:r w:rsidRPr="00413DA4">
              <w:rPr>
                <w:rFonts w:ascii="Arial" w:hAnsi="Arial" w:cs="Arial"/>
                <w:b/>
                <w:sz w:val="20"/>
                <w:szCs w:val="20"/>
              </w:rPr>
              <w:lastRenderedPageBreak/>
              <w:t>Primer ID</w:t>
            </w:r>
          </w:p>
        </w:tc>
        <w:tc>
          <w:tcPr>
            <w:tcW w:w="2977" w:type="dxa"/>
            <w:vMerge w:val="restart"/>
            <w:vAlign w:val="center"/>
          </w:tcPr>
          <w:p w14:paraId="1538EC32" w14:textId="77777777" w:rsidR="00BE15BD" w:rsidRPr="00413DA4" w:rsidRDefault="00BE15BD" w:rsidP="00413DA4">
            <w:pPr>
              <w:autoSpaceDE w:val="0"/>
              <w:autoSpaceDN w:val="0"/>
              <w:adjustRightInd w:val="0"/>
              <w:jc w:val="both"/>
              <w:rPr>
                <w:rFonts w:ascii="Arial" w:hAnsi="Arial" w:cs="Arial"/>
                <w:b/>
                <w:bCs/>
                <w:sz w:val="20"/>
                <w:szCs w:val="20"/>
              </w:rPr>
            </w:pPr>
            <w:r w:rsidRPr="00413DA4">
              <w:rPr>
                <w:rFonts w:ascii="Arial" w:hAnsi="Arial" w:cs="Arial"/>
                <w:b/>
                <w:bCs/>
                <w:sz w:val="20"/>
                <w:szCs w:val="20"/>
              </w:rPr>
              <w:t>SCoT Primer Sequence (5’-3’)</w:t>
            </w:r>
          </w:p>
        </w:tc>
        <w:tc>
          <w:tcPr>
            <w:tcW w:w="992" w:type="dxa"/>
            <w:vMerge w:val="restart"/>
            <w:vAlign w:val="center"/>
          </w:tcPr>
          <w:p w14:paraId="43C9FF9F" w14:textId="77777777" w:rsidR="00BE15BD" w:rsidRPr="00413DA4" w:rsidRDefault="00BE15BD" w:rsidP="00413DA4">
            <w:pPr>
              <w:autoSpaceDE w:val="0"/>
              <w:autoSpaceDN w:val="0"/>
              <w:adjustRightInd w:val="0"/>
              <w:jc w:val="both"/>
              <w:rPr>
                <w:rFonts w:ascii="Arial" w:hAnsi="Arial" w:cs="Arial"/>
                <w:b/>
                <w:bCs/>
                <w:sz w:val="20"/>
                <w:szCs w:val="20"/>
              </w:rPr>
            </w:pPr>
            <w:r w:rsidRPr="00413DA4">
              <w:rPr>
                <w:rFonts w:ascii="Arial" w:hAnsi="Arial" w:cs="Arial"/>
                <w:b/>
                <w:sz w:val="20"/>
                <w:szCs w:val="20"/>
              </w:rPr>
              <w:t>T</w:t>
            </w:r>
            <w:r w:rsidRPr="00413DA4">
              <w:rPr>
                <w:rFonts w:ascii="Arial" w:hAnsi="Arial" w:cs="Arial"/>
                <w:b/>
                <w:sz w:val="20"/>
                <w:szCs w:val="20"/>
                <w:vertAlign w:val="subscript"/>
              </w:rPr>
              <w:t>m</w:t>
            </w:r>
          </w:p>
        </w:tc>
        <w:tc>
          <w:tcPr>
            <w:tcW w:w="2552" w:type="dxa"/>
            <w:gridSpan w:val="2"/>
            <w:vAlign w:val="center"/>
          </w:tcPr>
          <w:p w14:paraId="37605F36" w14:textId="77777777" w:rsidR="00BE15BD" w:rsidRPr="00413DA4" w:rsidRDefault="00BE15BD" w:rsidP="00413DA4">
            <w:pPr>
              <w:jc w:val="center"/>
              <w:rPr>
                <w:rFonts w:ascii="Arial" w:hAnsi="Arial" w:cs="Arial"/>
                <w:b/>
                <w:sz w:val="20"/>
                <w:szCs w:val="20"/>
              </w:rPr>
            </w:pPr>
            <w:r w:rsidRPr="00413DA4">
              <w:rPr>
                <w:rFonts w:ascii="Arial" w:hAnsi="Arial" w:cs="Arial"/>
                <w:b/>
                <w:sz w:val="20"/>
                <w:szCs w:val="20"/>
              </w:rPr>
              <w:t>I</w:t>
            </w:r>
          </w:p>
        </w:tc>
        <w:tc>
          <w:tcPr>
            <w:tcW w:w="2410" w:type="dxa"/>
            <w:gridSpan w:val="2"/>
            <w:vAlign w:val="center"/>
          </w:tcPr>
          <w:p w14:paraId="07317C67" w14:textId="77777777" w:rsidR="00BE15BD" w:rsidRPr="00413DA4" w:rsidRDefault="00BE15BD" w:rsidP="00413DA4">
            <w:pPr>
              <w:jc w:val="center"/>
              <w:rPr>
                <w:rFonts w:ascii="Arial" w:hAnsi="Arial" w:cs="Arial"/>
                <w:b/>
                <w:sz w:val="20"/>
                <w:szCs w:val="20"/>
              </w:rPr>
            </w:pPr>
            <w:r w:rsidRPr="00413DA4">
              <w:rPr>
                <w:rFonts w:ascii="Arial" w:hAnsi="Arial" w:cs="Arial"/>
                <w:b/>
                <w:sz w:val="20"/>
                <w:szCs w:val="20"/>
              </w:rPr>
              <w:t>II</w:t>
            </w:r>
          </w:p>
        </w:tc>
        <w:tc>
          <w:tcPr>
            <w:tcW w:w="2551" w:type="dxa"/>
            <w:gridSpan w:val="2"/>
            <w:vAlign w:val="center"/>
          </w:tcPr>
          <w:p w14:paraId="107E3078" w14:textId="77777777" w:rsidR="00BE15BD" w:rsidRPr="00413DA4" w:rsidRDefault="00BE15BD" w:rsidP="00413DA4">
            <w:pPr>
              <w:jc w:val="center"/>
              <w:rPr>
                <w:rFonts w:ascii="Arial" w:hAnsi="Arial" w:cs="Arial"/>
                <w:b/>
                <w:sz w:val="20"/>
                <w:szCs w:val="20"/>
              </w:rPr>
            </w:pPr>
            <w:r w:rsidRPr="00413DA4">
              <w:rPr>
                <w:rFonts w:ascii="Arial" w:hAnsi="Arial" w:cs="Arial"/>
                <w:b/>
                <w:sz w:val="20"/>
                <w:szCs w:val="20"/>
              </w:rPr>
              <w:t>III</w:t>
            </w:r>
          </w:p>
        </w:tc>
        <w:tc>
          <w:tcPr>
            <w:tcW w:w="1701" w:type="dxa"/>
            <w:vMerge w:val="restart"/>
          </w:tcPr>
          <w:p w14:paraId="54163626" w14:textId="77777777" w:rsidR="00BE15BD" w:rsidRPr="00413DA4" w:rsidRDefault="00BE15BD" w:rsidP="00413DA4">
            <w:pPr>
              <w:jc w:val="center"/>
              <w:rPr>
                <w:rFonts w:ascii="Arial" w:hAnsi="Arial" w:cs="Arial"/>
                <w:b/>
                <w:sz w:val="20"/>
                <w:szCs w:val="20"/>
              </w:rPr>
            </w:pPr>
          </w:p>
          <w:p w14:paraId="73281F60" w14:textId="77777777" w:rsidR="00BE15BD" w:rsidRPr="00413DA4" w:rsidRDefault="00BE15BD" w:rsidP="00413DA4">
            <w:pPr>
              <w:jc w:val="center"/>
              <w:rPr>
                <w:rFonts w:ascii="Arial" w:hAnsi="Arial" w:cs="Arial"/>
                <w:b/>
                <w:sz w:val="20"/>
                <w:szCs w:val="20"/>
              </w:rPr>
            </w:pPr>
          </w:p>
          <w:p w14:paraId="6548A254" w14:textId="77777777" w:rsidR="00BE15BD" w:rsidRPr="00413DA4" w:rsidRDefault="00BE15BD" w:rsidP="00413DA4">
            <w:pPr>
              <w:jc w:val="center"/>
              <w:rPr>
                <w:rFonts w:ascii="Arial" w:hAnsi="Arial" w:cs="Arial"/>
                <w:b/>
                <w:sz w:val="20"/>
                <w:szCs w:val="20"/>
              </w:rPr>
            </w:pPr>
            <w:r w:rsidRPr="00413DA4">
              <w:rPr>
                <w:rFonts w:ascii="Arial" w:hAnsi="Arial" w:cs="Arial"/>
                <w:b/>
                <w:sz w:val="20"/>
                <w:szCs w:val="20"/>
              </w:rPr>
              <w:t>Reference</w:t>
            </w:r>
          </w:p>
        </w:tc>
      </w:tr>
      <w:tr w:rsidR="00BE15BD" w:rsidRPr="00413DA4" w14:paraId="05CA92AD" w14:textId="77777777" w:rsidTr="00F079B0">
        <w:trPr>
          <w:trHeight w:hRule="exact" w:val="565"/>
          <w:jc w:val="center"/>
        </w:trPr>
        <w:tc>
          <w:tcPr>
            <w:tcW w:w="1129" w:type="dxa"/>
            <w:vMerge/>
            <w:vAlign w:val="center"/>
          </w:tcPr>
          <w:p w14:paraId="41A9E7EA" w14:textId="77777777" w:rsidR="00BE15BD" w:rsidRPr="00413DA4" w:rsidRDefault="00BE15BD" w:rsidP="00413DA4">
            <w:pPr>
              <w:jc w:val="both"/>
              <w:rPr>
                <w:rFonts w:ascii="Arial" w:hAnsi="Arial" w:cs="Arial"/>
                <w:b/>
                <w:sz w:val="20"/>
                <w:szCs w:val="20"/>
              </w:rPr>
            </w:pPr>
          </w:p>
        </w:tc>
        <w:tc>
          <w:tcPr>
            <w:tcW w:w="2977" w:type="dxa"/>
            <w:vMerge/>
            <w:vAlign w:val="center"/>
          </w:tcPr>
          <w:p w14:paraId="2E32D9BF" w14:textId="77777777" w:rsidR="00BE15BD" w:rsidRPr="00413DA4" w:rsidRDefault="00BE15BD" w:rsidP="00413DA4">
            <w:pPr>
              <w:autoSpaceDE w:val="0"/>
              <w:autoSpaceDN w:val="0"/>
              <w:adjustRightInd w:val="0"/>
              <w:jc w:val="both"/>
              <w:rPr>
                <w:rFonts w:ascii="Arial" w:hAnsi="Arial" w:cs="Arial"/>
                <w:b/>
                <w:bCs/>
                <w:sz w:val="20"/>
                <w:szCs w:val="20"/>
              </w:rPr>
            </w:pPr>
          </w:p>
        </w:tc>
        <w:tc>
          <w:tcPr>
            <w:tcW w:w="992" w:type="dxa"/>
            <w:vMerge/>
            <w:vAlign w:val="center"/>
          </w:tcPr>
          <w:p w14:paraId="6FD830C7" w14:textId="77777777" w:rsidR="00BE15BD" w:rsidRPr="00413DA4" w:rsidRDefault="00BE15BD" w:rsidP="00413DA4">
            <w:pPr>
              <w:autoSpaceDE w:val="0"/>
              <w:autoSpaceDN w:val="0"/>
              <w:adjustRightInd w:val="0"/>
              <w:jc w:val="both"/>
              <w:rPr>
                <w:rFonts w:ascii="Arial" w:hAnsi="Arial" w:cs="Arial"/>
                <w:b/>
                <w:sz w:val="20"/>
                <w:szCs w:val="20"/>
              </w:rPr>
            </w:pPr>
          </w:p>
        </w:tc>
        <w:tc>
          <w:tcPr>
            <w:tcW w:w="2552" w:type="dxa"/>
            <w:gridSpan w:val="2"/>
            <w:vAlign w:val="center"/>
          </w:tcPr>
          <w:p w14:paraId="53D42B91" w14:textId="77777777" w:rsidR="00BE15BD" w:rsidRPr="00413DA4" w:rsidRDefault="00BE15BD" w:rsidP="00413DA4">
            <w:pPr>
              <w:jc w:val="center"/>
              <w:rPr>
                <w:rFonts w:ascii="Arial" w:hAnsi="Arial" w:cs="Arial"/>
                <w:b/>
                <w:sz w:val="20"/>
                <w:szCs w:val="20"/>
              </w:rPr>
            </w:pPr>
            <w:r w:rsidRPr="00413DA4">
              <w:rPr>
                <w:rFonts w:ascii="Arial" w:hAnsi="Arial" w:cs="Arial"/>
                <w:b/>
                <w:sz w:val="20"/>
                <w:szCs w:val="20"/>
              </w:rPr>
              <w:t>36 cycles</w:t>
            </w:r>
          </w:p>
        </w:tc>
        <w:tc>
          <w:tcPr>
            <w:tcW w:w="2410" w:type="dxa"/>
            <w:gridSpan w:val="2"/>
            <w:vAlign w:val="center"/>
          </w:tcPr>
          <w:p w14:paraId="0D983B76" w14:textId="77777777" w:rsidR="00BE15BD" w:rsidRPr="00413DA4" w:rsidRDefault="00BE15BD" w:rsidP="00413DA4">
            <w:pPr>
              <w:jc w:val="center"/>
              <w:rPr>
                <w:rFonts w:ascii="Arial" w:hAnsi="Arial" w:cs="Arial"/>
                <w:b/>
                <w:sz w:val="20"/>
                <w:szCs w:val="20"/>
              </w:rPr>
            </w:pPr>
            <w:r w:rsidRPr="00413DA4">
              <w:rPr>
                <w:rFonts w:ascii="Arial" w:hAnsi="Arial" w:cs="Arial"/>
                <w:b/>
                <w:sz w:val="20"/>
                <w:szCs w:val="20"/>
              </w:rPr>
              <w:t>42 cycles</w:t>
            </w:r>
          </w:p>
        </w:tc>
        <w:tc>
          <w:tcPr>
            <w:tcW w:w="2551" w:type="dxa"/>
            <w:gridSpan w:val="2"/>
            <w:vAlign w:val="center"/>
          </w:tcPr>
          <w:p w14:paraId="242DD2EB" w14:textId="77777777" w:rsidR="00BE15BD" w:rsidRPr="00413DA4" w:rsidRDefault="00BE15BD" w:rsidP="00413DA4">
            <w:pPr>
              <w:jc w:val="center"/>
              <w:rPr>
                <w:rFonts w:ascii="Arial" w:hAnsi="Arial" w:cs="Arial"/>
                <w:b/>
                <w:sz w:val="20"/>
                <w:szCs w:val="20"/>
              </w:rPr>
            </w:pPr>
            <w:r w:rsidRPr="00413DA4">
              <w:rPr>
                <w:rFonts w:ascii="Arial" w:hAnsi="Arial" w:cs="Arial"/>
                <w:b/>
                <w:sz w:val="20"/>
                <w:szCs w:val="20"/>
              </w:rPr>
              <w:t>40 cycles</w:t>
            </w:r>
          </w:p>
        </w:tc>
        <w:tc>
          <w:tcPr>
            <w:tcW w:w="1701" w:type="dxa"/>
            <w:vMerge/>
          </w:tcPr>
          <w:p w14:paraId="0D014BEE" w14:textId="77777777" w:rsidR="00BE15BD" w:rsidRPr="00413DA4" w:rsidRDefault="00BE15BD" w:rsidP="00413DA4">
            <w:pPr>
              <w:jc w:val="center"/>
              <w:rPr>
                <w:rFonts w:ascii="Arial" w:hAnsi="Arial" w:cs="Arial"/>
                <w:b/>
                <w:sz w:val="20"/>
                <w:szCs w:val="20"/>
              </w:rPr>
            </w:pPr>
          </w:p>
        </w:tc>
      </w:tr>
      <w:tr w:rsidR="00BE15BD" w:rsidRPr="00413DA4" w14:paraId="6B2F13F2" w14:textId="77777777" w:rsidTr="00F079B0">
        <w:trPr>
          <w:trHeight w:hRule="exact" w:val="863"/>
          <w:jc w:val="center"/>
        </w:trPr>
        <w:tc>
          <w:tcPr>
            <w:tcW w:w="1129" w:type="dxa"/>
            <w:vMerge/>
            <w:vAlign w:val="center"/>
          </w:tcPr>
          <w:p w14:paraId="4769A694" w14:textId="77777777" w:rsidR="00BE15BD" w:rsidRPr="00413DA4" w:rsidRDefault="00BE15BD" w:rsidP="00413DA4">
            <w:pPr>
              <w:jc w:val="both"/>
              <w:rPr>
                <w:rFonts w:ascii="Arial" w:hAnsi="Arial" w:cs="Arial"/>
                <w:b/>
                <w:sz w:val="20"/>
                <w:szCs w:val="20"/>
              </w:rPr>
            </w:pPr>
          </w:p>
        </w:tc>
        <w:tc>
          <w:tcPr>
            <w:tcW w:w="2977" w:type="dxa"/>
            <w:vMerge/>
            <w:vAlign w:val="center"/>
          </w:tcPr>
          <w:p w14:paraId="3B284A4B" w14:textId="77777777" w:rsidR="00BE15BD" w:rsidRPr="00413DA4" w:rsidRDefault="00BE15BD" w:rsidP="00413DA4">
            <w:pPr>
              <w:autoSpaceDE w:val="0"/>
              <w:autoSpaceDN w:val="0"/>
              <w:adjustRightInd w:val="0"/>
              <w:jc w:val="both"/>
              <w:rPr>
                <w:rFonts w:ascii="Arial" w:hAnsi="Arial" w:cs="Arial"/>
                <w:b/>
                <w:bCs/>
                <w:sz w:val="20"/>
                <w:szCs w:val="20"/>
              </w:rPr>
            </w:pPr>
          </w:p>
        </w:tc>
        <w:tc>
          <w:tcPr>
            <w:tcW w:w="992" w:type="dxa"/>
            <w:vMerge/>
            <w:vAlign w:val="center"/>
          </w:tcPr>
          <w:p w14:paraId="13B6E083" w14:textId="77777777" w:rsidR="00BE15BD" w:rsidRPr="00413DA4" w:rsidRDefault="00BE15BD" w:rsidP="00413DA4">
            <w:pPr>
              <w:autoSpaceDE w:val="0"/>
              <w:autoSpaceDN w:val="0"/>
              <w:adjustRightInd w:val="0"/>
              <w:jc w:val="both"/>
              <w:rPr>
                <w:rFonts w:ascii="Arial" w:hAnsi="Arial" w:cs="Arial"/>
                <w:b/>
                <w:bCs/>
                <w:sz w:val="20"/>
                <w:szCs w:val="20"/>
              </w:rPr>
            </w:pPr>
          </w:p>
        </w:tc>
        <w:tc>
          <w:tcPr>
            <w:tcW w:w="1418" w:type="dxa"/>
            <w:vAlign w:val="center"/>
          </w:tcPr>
          <w:p w14:paraId="69CFBD15" w14:textId="77777777" w:rsidR="00BE15BD" w:rsidRPr="00413DA4" w:rsidRDefault="00BE15BD" w:rsidP="00413DA4">
            <w:pPr>
              <w:jc w:val="both"/>
              <w:rPr>
                <w:rFonts w:ascii="Arial" w:hAnsi="Arial" w:cs="Arial"/>
                <w:b/>
                <w:sz w:val="20"/>
                <w:szCs w:val="20"/>
              </w:rPr>
            </w:pPr>
            <w:r w:rsidRPr="00413DA4">
              <w:rPr>
                <w:rFonts w:ascii="Arial" w:hAnsi="Arial" w:cs="Arial"/>
                <w:b/>
                <w:sz w:val="20"/>
                <w:szCs w:val="20"/>
              </w:rPr>
              <w:t>Length of amplified alleles (bp)</w:t>
            </w:r>
          </w:p>
        </w:tc>
        <w:tc>
          <w:tcPr>
            <w:tcW w:w="1134" w:type="dxa"/>
            <w:vAlign w:val="center"/>
          </w:tcPr>
          <w:p w14:paraId="6195B102" w14:textId="77777777" w:rsidR="00BE15BD" w:rsidRPr="00413DA4" w:rsidRDefault="00BE15BD" w:rsidP="00413DA4">
            <w:pPr>
              <w:jc w:val="both"/>
              <w:rPr>
                <w:rFonts w:ascii="Arial" w:hAnsi="Arial" w:cs="Arial"/>
                <w:b/>
                <w:sz w:val="20"/>
                <w:szCs w:val="20"/>
              </w:rPr>
            </w:pPr>
            <w:r w:rsidRPr="00413DA4">
              <w:rPr>
                <w:rFonts w:ascii="Arial" w:hAnsi="Arial" w:cs="Arial"/>
                <w:b/>
                <w:sz w:val="20"/>
                <w:szCs w:val="20"/>
              </w:rPr>
              <w:t>Total no. of alleles</w:t>
            </w:r>
          </w:p>
        </w:tc>
        <w:tc>
          <w:tcPr>
            <w:tcW w:w="1417" w:type="dxa"/>
            <w:vAlign w:val="center"/>
          </w:tcPr>
          <w:p w14:paraId="46B48686" w14:textId="77777777" w:rsidR="00BE15BD" w:rsidRPr="00413DA4" w:rsidRDefault="00BE15BD" w:rsidP="00413DA4">
            <w:pPr>
              <w:jc w:val="both"/>
              <w:rPr>
                <w:rFonts w:ascii="Arial" w:hAnsi="Arial" w:cs="Arial"/>
                <w:b/>
                <w:sz w:val="20"/>
                <w:szCs w:val="20"/>
              </w:rPr>
            </w:pPr>
            <w:r w:rsidRPr="00413DA4">
              <w:rPr>
                <w:rFonts w:ascii="Arial" w:hAnsi="Arial" w:cs="Arial"/>
                <w:b/>
                <w:sz w:val="20"/>
                <w:szCs w:val="20"/>
              </w:rPr>
              <w:t>Length of amplified alleles (bp)</w:t>
            </w:r>
          </w:p>
        </w:tc>
        <w:tc>
          <w:tcPr>
            <w:tcW w:w="993" w:type="dxa"/>
            <w:vAlign w:val="center"/>
          </w:tcPr>
          <w:p w14:paraId="169992A2" w14:textId="77777777" w:rsidR="00BE15BD" w:rsidRPr="00413DA4" w:rsidRDefault="00BE15BD" w:rsidP="00413DA4">
            <w:pPr>
              <w:jc w:val="both"/>
              <w:rPr>
                <w:rFonts w:ascii="Arial" w:hAnsi="Arial" w:cs="Arial"/>
                <w:b/>
                <w:sz w:val="20"/>
                <w:szCs w:val="20"/>
              </w:rPr>
            </w:pPr>
            <w:r w:rsidRPr="00413DA4">
              <w:rPr>
                <w:rFonts w:ascii="Arial" w:hAnsi="Arial" w:cs="Arial"/>
                <w:b/>
                <w:sz w:val="20"/>
                <w:szCs w:val="20"/>
              </w:rPr>
              <w:t>Total no. of alleles</w:t>
            </w:r>
          </w:p>
        </w:tc>
        <w:tc>
          <w:tcPr>
            <w:tcW w:w="1417" w:type="dxa"/>
            <w:vAlign w:val="center"/>
          </w:tcPr>
          <w:p w14:paraId="1C9AFD10" w14:textId="77777777" w:rsidR="00BE15BD" w:rsidRPr="00413DA4" w:rsidRDefault="00BE15BD" w:rsidP="00413DA4">
            <w:pPr>
              <w:jc w:val="both"/>
              <w:rPr>
                <w:rFonts w:ascii="Arial" w:hAnsi="Arial" w:cs="Arial"/>
                <w:b/>
                <w:sz w:val="20"/>
                <w:szCs w:val="20"/>
              </w:rPr>
            </w:pPr>
            <w:r w:rsidRPr="00413DA4">
              <w:rPr>
                <w:rFonts w:ascii="Arial" w:hAnsi="Arial" w:cs="Arial"/>
                <w:b/>
                <w:sz w:val="20"/>
                <w:szCs w:val="20"/>
              </w:rPr>
              <w:t>Length of amplified alleles (bp)</w:t>
            </w:r>
          </w:p>
        </w:tc>
        <w:tc>
          <w:tcPr>
            <w:tcW w:w="1134" w:type="dxa"/>
            <w:vAlign w:val="center"/>
          </w:tcPr>
          <w:p w14:paraId="00EB08BC" w14:textId="77777777" w:rsidR="00BE15BD" w:rsidRPr="00413DA4" w:rsidRDefault="00BE15BD" w:rsidP="00413DA4">
            <w:pPr>
              <w:jc w:val="both"/>
              <w:rPr>
                <w:rFonts w:ascii="Arial" w:hAnsi="Arial" w:cs="Arial"/>
                <w:b/>
                <w:sz w:val="20"/>
                <w:szCs w:val="20"/>
              </w:rPr>
            </w:pPr>
            <w:r w:rsidRPr="00413DA4">
              <w:rPr>
                <w:rFonts w:ascii="Arial" w:hAnsi="Arial" w:cs="Arial"/>
                <w:b/>
                <w:sz w:val="20"/>
                <w:szCs w:val="20"/>
              </w:rPr>
              <w:t>Total no.</w:t>
            </w:r>
          </w:p>
          <w:p w14:paraId="53BAD76F" w14:textId="77777777" w:rsidR="00BE15BD" w:rsidRPr="00413DA4" w:rsidRDefault="00BE15BD" w:rsidP="00413DA4">
            <w:pPr>
              <w:jc w:val="both"/>
              <w:rPr>
                <w:rFonts w:ascii="Arial" w:hAnsi="Arial" w:cs="Arial"/>
                <w:b/>
                <w:sz w:val="20"/>
                <w:szCs w:val="20"/>
              </w:rPr>
            </w:pPr>
            <w:r w:rsidRPr="00413DA4">
              <w:rPr>
                <w:rFonts w:ascii="Arial" w:hAnsi="Arial" w:cs="Arial"/>
                <w:b/>
                <w:sz w:val="20"/>
                <w:szCs w:val="20"/>
              </w:rPr>
              <w:t xml:space="preserve"> of alleles</w:t>
            </w:r>
          </w:p>
        </w:tc>
        <w:tc>
          <w:tcPr>
            <w:tcW w:w="1701" w:type="dxa"/>
            <w:vMerge/>
          </w:tcPr>
          <w:p w14:paraId="41E78D93" w14:textId="77777777" w:rsidR="00BE15BD" w:rsidRPr="00413DA4" w:rsidRDefault="00BE15BD" w:rsidP="00413DA4">
            <w:pPr>
              <w:jc w:val="both"/>
              <w:rPr>
                <w:rFonts w:ascii="Arial" w:hAnsi="Arial" w:cs="Arial"/>
                <w:b/>
                <w:sz w:val="20"/>
                <w:szCs w:val="20"/>
              </w:rPr>
            </w:pPr>
          </w:p>
        </w:tc>
      </w:tr>
      <w:tr w:rsidR="00BE15BD" w:rsidRPr="00413DA4" w14:paraId="6D6DC58F" w14:textId="77777777" w:rsidTr="00F079B0">
        <w:trPr>
          <w:trHeight w:hRule="exact" w:val="565"/>
          <w:jc w:val="center"/>
        </w:trPr>
        <w:tc>
          <w:tcPr>
            <w:tcW w:w="1129" w:type="dxa"/>
            <w:vAlign w:val="center"/>
          </w:tcPr>
          <w:p w14:paraId="081D1910"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SCoT9</w:t>
            </w:r>
          </w:p>
        </w:tc>
        <w:tc>
          <w:tcPr>
            <w:tcW w:w="2977" w:type="dxa"/>
            <w:vAlign w:val="center"/>
          </w:tcPr>
          <w:p w14:paraId="5F572EE3"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CAACAATGGCTACCAGCA</w:t>
            </w:r>
          </w:p>
        </w:tc>
        <w:tc>
          <w:tcPr>
            <w:tcW w:w="992" w:type="dxa"/>
            <w:vAlign w:val="center"/>
          </w:tcPr>
          <w:p w14:paraId="2EAE9D85"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52.9°C</w:t>
            </w:r>
          </w:p>
        </w:tc>
        <w:tc>
          <w:tcPr>
            <w:tcW w:w="1418" w:type="dxa"/>
            <w:vAlign w:val="center"/>
          </w:tcPr>
          <w:p w14:paraId="7BDDD619"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500-2062</w:t>
            </w:r>
          </w:p>
        </w:tc>
        <w:tc>
          <w:tcPr>
            <w:tcW w:w="1134" w:type="dxa"/>
            <w:vAlign w:val="center"/>
          </w:tcPr>
          <w:p w14:paraId="086B74AC"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6</w:t>
            </w:r>
          </w:p>
        </w:tc>
        <w:tc>
          <w:tcPr>
            <w:tcW w:w="1417" w:type="dxa"/>
            <w:vAlign w:val="center"/>
          </w:tcPr>
          <w:p w14:paraId="1D679A11"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888-2104</w:t>
            </w:r>
          </w:p>
        </w:tc>
        <w:tc>
          <w:tcPr>
            <w:tcW w:w="993" w:type="dxa"/>
            <w:vAlign w:val="center"/>
          </w:tcPr>
          <w:p w14:paraId="2A8E3EC4"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w:t>
            </w:r>
          </w:p>
        </w:tc>
        <w:tc>
          <w:tcPr>
            <w:tcW w:w="1417" w:type="dxa"/>
            <w:vAlign w:val="center"/>
          </w:tcPr>
          <w:p w14:paraId="2E0AAEB6"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500-1939</w:t>
            </w:r>
          </w:p>
        </w:tc>
        <w:tc>
          <w:tcPr>
            <w:tcW w:w="1134" w:type="dxa"/>
            <w:vAlign w:val="center"/>
          </w:tcPr>
          <w:p w14:paraId="6ADD36DC"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9</w:t>
            </w:r>
          </w:p>
        </w:tc>
        <w:tc>
          <w:tcPr>
            <w:tcW w:w="1701" w:type="dxa"/>
            <w:vMerge w:val="restart"/>
          </w:tcPr>
          <w:p w14:paraId="438E7F59" w14:textId="77777777" w:rsidR="00BE15BD" w:rsidRPr="00413DA4" w:rsidRDefault="00BE15BD" w:rsidP="00413DA4">
            <w:pPr>
              <w:jc w:val="both"/>
              <w:rPr>
                <w:rFonts w:ascii="Arial" w:hAnsi="Arial" w:cs="Arial"/>
                <w:sz w:val="20"/>
                <w:szCs w:val="20"/>
              </w:rPr>
            </w:pPr>
          </w:p>
          <w:p w14:paraId="4CB842B0" w14:textId="77777777" w:rsidR="00BE15BD" w:rsidRPr="00413DA4" w:rsidRDefault="00BE15BD" w:rsidP="00413DA4">
            <w:pPr>
              <w:jc w:val="both"/>
              <w:rPr>
                <w:rFonts w:ascii="Arial" w:hAnsi="Arial" w:cs="Arial"/>
                <w:sz w:val="20"/>
                <w:szCs w:val="20"/>
              </w:rPr>
            </w:pPr>
          </w:p>
          <w:p w14:paraId="53E32D1B" w14:textId="77777777" w:rsidR="00BE15BD" w:rsidRPr="00413DA4" w:rsidRDefault="00BE15BD" w:rsidP="00413DA4">
            <w:pPr>
              <w:jc w:val="both"/>
              <w:rPr>
                <w:rFonts w:ascii="Arial" w:hAnsi="Arial" w:cs="Arial"/>
                <w:sz w:val="20"/>
                <w:szCs w:val="20"/>
              </w:rPr>
            </w:pPr>
          </w:p>
          <w:p w14:paraId="4D465679" w14:textId="77777777" w:rsidR="00BE15BD" w:rsidRPr="00413DA4" w:rsidRDefault="00BE15BD" w:rsidP="00413DA4">
            <w:pPr>
              <w:jc w:val="both"/>
              <w:rPr>
                <w:rFonts w:ascii="Arial" w:hAnsi="Arial" w:cs="Arial"/>
                <w:sz w:val="20"/>
                <w:szCs w:val="20"/>
              </w:rPr>
            </w:pPr>
          </w:p>
          <w:p w14:paraId="1E704EDA" w14:textId="77777777" w:rsidR="00BE15BD" w:rsidRPr="00413DA4" w:rsidRDefault="00BE15BD" w:rsidP="00413DA4">
            <w:pPr>
              <w:jc w:val="both"/>
              <w:rPr>
                <w:rFonts w:ascii="Arial" w:hAnsi="Arial" w:cs="Arial"/>
                <w:sz w:val="20"/>
                <w:szCs w:val="20"/>
              </w:rPr>
            </w:pPr>
          </w:p>
          <w:p w14:paraId="558DD471" w14:textId="77777777" w:rsidR="00BE15BD" w:rsidRPr="00413DA4" w:rsidRDefault="00BE15BD" w:rsidP="00413DA4">
            <w:pPr>
              <w:jc w:val="both"/>
              <w:rPr>
                <w:rFonts w:ascii="Arial" w:hAnsi="Arial" w:cs="Arial"/>
                <w:sz w:val="20"/>
                <w:szCs w:val="20"/>
              </w:rPr>
            </w:pPr>
          </w:p>
          <w:p w14:paraId="3D1BC553" w14:textId="2EB720C0" w:rsidR="00BE15BD" w:rsidRPr="00413DA4" w:rsidRDefault="00FF3884" w:rsidP="00413DA4">
            <w:pPr>
              <w:jc w:val="both"/>
              <w:rPr>
                <w:rFonts w:ascii="Arial" w:hAnsi="Arial" w:cs="Arial"/>
                <w:sz w:val="20"/>
                <w:szCs w:val="20"/>
              </w:rPr>
            </w:pPr>
            <w:r>
              <w:rPr>
                <w:rFonts w:ascii="Arial" w:hAnsi="Arial" w:cs="Arial"/>
                <w:sz w:val="20"/>
                <w:szCs w:val="20"/>
              </w:rPr>
              <w:t>Guan et al., 2020</w:t>
            </w:r>
          </w:p>
        </w:tc>
      </w:tr>
      <w:tr w:rsidR="00BE15BD" w:rsidRPr="00413DA4" w14:paraId="6ABFDC89" w14:textId="77777777" w:rsidTr="00F079B0">
        <w:trPr>
          <w:trHeight w:hRule="exact" w:val="565"/>
          <w:jc w:val="center"/>
        </w:trPr>
        <w:tc>
          <w:tcPr>
            <w:tcW w:w="1129" w:type="dxa"/>
            <w:vAlign w:val="center"/>
          </w:tcPr>
          <w:p w14:paraId="2740F8EF"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SCoT12</w:t>
            </w:r>
          </w:p>
        </w:tc>
        <w:tc>
          <w:tcPr>
            <w:tcW w:w="2977" w:type="dxa"/>
            <w:vAlign w:val="center"/>
          </w:tcPr>
          <w:p w14:paraId="029AB794"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ACGACATGGCGACCAACG</w:t>
            </w:r>
          </w:p>
        </w:tc>
        <w:tc>
          <w:tcPr>
            <w:tcW w:w="992" w:type="dxa"/>
            <w:vAlign w:val="center"/>
          </w:tcPr>
          <w:p w14:paraId="04815893"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58.4°C</w:t>
            </w:r>
          </w:p>
        </w:tc>
        <w:tc>
          <w:tcPr>
            <w:tcW w:w="1418" w:type="dxa"/>
            <w:vAlign w:val="center"/>
          </w:tcPr>
          <w:p w14:paraId="712FAE88"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547-1185</w:t>
            </w:r>
          </w:p>
        </w:tc>
        <w:tc>
          <w:tcPr>
            <w:tcW w:w="1134" w:type="dxa"/>
            <w:vAlign w:val="center"/>
          </w:tcPr>
          <w:p w14:paraId="4D4791E7"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6</w:t>
            </w:r>
          </w:p>
        </w:tc>
        <w:tc>
          <w:tcPr>
            <w:tcW w:w="1417" w:type="dxa"/>
            <w:vAlign w:val="center"/>
          </w:tcPr>
          <w:p w14:paraId="4DB53B3C"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500-1132</w:t>
            </w:r>
          </w:p>
        </w:tc>
        <w:tc>
          <w:tcPr>
            <w:tcW w:w="993" w:type="dxa"/>
            <w:vAlign w:val="center"/>
          </w:tcPr>
          <w:p w14:paraId="3CAE515A"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7</w:t>
            </w:r>
          </w:p>
        </w:tc>
        <w:tc>
          <w:tcPr>
            <w:tcW w:w="1417" w:type="dxa"/>
            <w:vAlign w:val="center"/>
          </w:tcPr>
          <w:p w14:paraId="0673BA66"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500-1450</w:t>
            </w:r>
          </w:p>
        </w:tc>
        <w:tc>
          <w:tcPr>
            <w:tcW w:w="1134" w:type="dxa"/>
            <w:vAlign w:val="center"/>
          </w:tcPr>
          <w:p w14:paraId="20C28039"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9</w:t>
            </w:r>
          </w:p>
        </w:tc>
        <w:tc>
          <w:tcPr>
            <w:tcW w:w="1701" w:type="dxa"/>
            <w:vMerge/>
          </w:tcPr>
          <w:p w14:paraId="60BDC1C7" w14:textId="77777777" w:rsidR="00BE15BD" w:rsidRPr="00413DA4" w:rsidRDefault="00BE15BD" w:rsidP="00413DA4">
            <w:pPr>
              <w:jc w:val="both"/>
              <w:rPr>
                <w:rFonts w:ascii="Arial" w:hAnsi="Arial" w:cs="Arial"/>
                <w:sz w:val="20"/>
                <w:szCs w:val="20"/>
              </w:rPr>
            </w:pPr>
          </w:p>
        </w:tc>
      </w:tr>
      <w:tr w:rsidR="00BE15BD" w:rsidRPr="00413DA4" w14:paraId="7C85D0BE" w14:textId="77777777" w:rsidTr="00F079B0">
        <w:trPr>
          <w:trHeight w:hRule="exact" w:val="565"/>
          <w:jc w:val="center"/>
        </w:trPr>
        <w:tc>
          <w:tcPr>
            <w:tcW w:w="1129" w:type="dxa"/>
            <w:vAlign w:val="center"/>
          </w:tcPr>
          <w:p w14:paraId="5D7C6D87"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SCoT17</w:t>
            </w:r>
          </w:p>
        </w:tc>
        <w:tc>
          <w:tcPr>
            <w:tcW w:w="2977" w:type="dxa"/>
            <w:vAlign w:val="center"/>
          </w:tcPr>
          <w:p w14:paraId="0982B441"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ACCATGGCTACCACCGAG</w:t>
            </w:r>
          </w:p>
        </w:tc>
        <w:tc>
          <w:tcPr>
            <w:tcW w:w="992" w:type="dxa"/>
            <w:vAlign w:val="center"/>
          </w:tcPr>
          <w:p w14:paraId="7649DDC7"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57.1°C</w:t>
            </w:r>
          </w:p>
        </w:tc>
        <w:tc>
          <w:tcPr>
            <w:tcW w:w="1418" w:type="dxa"/>
            <w:vAlign w:val="center"/>
          </w:tcPr>
          <w:p w14:paraId="0ACE1607"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800-1255</w:t>
            </w:r>
          </w:p>
        </w:tc>
        <w:tc>
          <w:tcPr>
            <w:tcW w:w="1134" w:type="dxa"/>
            <w:vAlign w:val="center"/>
          </w:tcPr>
          <w:p w14:paraId="1F2FD267"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w:t>
            </w:r>
          </w:p>
        </w:tc>
        <w:tc>
          <w:tcPr>
            <w:tcW w:w="1417" w:type="dxa"/>
            <w:vAlign w:val="center"/>
          </w:tcPr>
          <w:p w14:paraId="08A77451"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500-1124</w:t>
            </w:r>
          </w:p>
        </w:tc>
        <w:tc>
          <w:tcPr>
            <w:tcW w:w="993" w:type="dxa"/>
            <w:vAlign w:val="center"/>
          </w:tcPr>
          <w:p w14:paraId="1B25F210"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w:t>
            </w:r>
          </w:p>
        </w:tc>
        <w:tc>
          <w:tcPr>
            <w:tcW w:w="1417" w:type="dxa"/>
            <w:vAlign w:val="center"/>
          </w:tcPr>
          <w:p w14:paraId="19C410DA"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500-1654</w:t>
            </w:r>
          </w:p>
        </w:tc>
        <w:tc>
          <w:tcPr>
            <w:tcW w:w="1134" w:type="dxa"/>
            <w:vAlign w:val="center"/>
          </w:tcPr>
          <w:p w14:paraId="11C74826"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10</w:t>
            </w:r>
          </w:p>
        </w:tc>
        <w:tc>
          <w:tcPr>
            <w:tcW w:w="1701" w:type="dxa"/>
            <w:vMerge/>
          </w:tcPr>
          <w:p w14:paraId="2527A230" w14:textId="77777777" w:rsidR="00BE15BD" w:rsidRPr="00413DA4" w:rsidRDefault="00BE15BD" w:rsidP="00413DA4">
            <w:pPr>
              <w:jc w:val="both"/>
              <w:rPr>
                <w:rFonts w:ascii="Arial" w:hAnsi="Arial" w:cs="Arial"/>
                <w:sz w:val="20"/>
                <w:szCs w:val="20"/>
              </w:rPr>
            </w:pPr>
          </w:p>
        </w:tc>
      </w:tr>
      <w:tr w:rsidR="00BE15BD" w:rsidRPr="00413DA4" w14:paraId="60BD42AE" w14:textId="77777777" w:rsidTr="00F079B0">
        <w:trPr>
          <w:trHeight w:hRule="exact" w:val="565"/>
          <w:jc w:val="center"/>
        </w:trPr>
        <w:tc>
          <w:tcPr>
            <w:tcW w:w="1129" w:type="dxa"/>
            <w:vAlign w:val="center"/>
          </w:tcPr>
          <w:p w14:paraId="34A609E7"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SCoT20</w:t>
            </w:r>
          </w:p>
        </w:tc>
        <w:tc>
          <w:tcPr>
            <w:tcW w:w="2977" w:type="dxa"/>
            <w:vAlign w:val="center"/>
          </w:tcPr>
          <w:p w14:paraId="60D6A694"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ACCATGGCTACCACCGCG</w:t>
            </w:r>
          </w:p>
        </w:tc>
        <w:tc>
          <w:tcPr>
            <w:tcW w:w="992" w:type="dxa"/>
            <w:vAlign w:val="center"/>
          </w:tcPr>
          <w:p w14:paraId="25C1566E"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60.8°C</w:t>
            </w:r>
          </w:p>
        </w:tc>
        <w:tc>
          <w:tcPr>
            <w:tcW w:w="1418" w:type="dxa"/>
            <w:vAlign w:val="center"/>
          </w:tcPr>
          <w:p w14:paraId="051D8B90"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566-724</w:t>
            </w:r>
          </w:p>
        </w:tc>
        <w:tc>
          <w:tcPr>
            <w:tcW w:w="1134" w:type="dxa"/>
            <w:vAlign w:val="center"/>
          </w:tcPr>
          <w:p w14:paraId="597FBF5E"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2</w:t>
            </w:r>
          </w:p>
        </w:tc>
        <w:tc>
          <w:tcPr>
            <w:tcW w:w="1417" w:type="dxa"/>
            <w:vAlign w:val="center"/>
          </w:tcPr>
          <w:p w14:paraId="14DD71DC"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735</w:t>
            </w:r>
          </w:p>
        </w:tc>
        <w:tc>
          <w:tcPr>
            <w:tcW w:w="993" w:type="dxa"/>
            <w:vAlign w:val="center"/>
          </w:tcPr>
          <w:p w14:paraId="0E65D04E"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0</w:t>
            </w:r>
          </w:p>
        </w:tc>
        <w:tc>
          <w:tcPr>
            <w:tcW w:w="1417" w:type="dxa"/>
            <w:vAlign w:val="center"/>
          </w:tcPr>
          <w:p w14:paraId="72F4E978"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539-1069</w:t>
            </w:r>
          </w:p>
        </w:tc>
        <w:tc>
          <w:tcPr>
            <w:tcW w:w="1134" w:type="dxa"/>
            <w:vAlign w:val="center"/>
          </w:tcPr>
          <w:p w14:paraId="38AD9615"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2</w:t>
            </w:r>
          </w:p>
        </w:tc>
        <w:tc>
          <w:tcPr>
            <w:tcW w:w="1701" w:type="dxa"/>
            <w:vMerge/>
          </w:tcPr>
          <w:p w14:paraId="76637646" w14:textId="77777777" w:rsidR="00BE15BD" w:rsidRPr="00413DA4" w:rsidRDefault="00BE15BD" w:rsidP="00413DA4">
            <w:pPr>
              <w:jc w:val="both"/>
              <w:rPr>
                <w:rFonts w:ascii="Arial" w:hAnsi="Arial" w:cs="Arial"/>
                <w:sz w:val="20"/>
                <w:szCs w:val="20"/>
              </w:rPr>
            </w:pPr>
          </w:p>
        </w:tc>
      </w:tr>
      <w:tr w:rsidR="00BE15BD" w:rsidRPr="00413DA4" w14:paraId="77C0A320" w14:textId="77777777" w:rsidTr="00F079B0">
        <w:trPr>
          <w:trHeight w:hRule="exact" w:val="565"/>
          <w:jc w:val="center"/>
        </w:trPr>
        <w:tc>
          <w:tcPr>
            <w:tcW w:w="1129" w:type="dxa"/>
            <w:vAlign w:val="center"/>
          </w:tcPr>
          <w:p w14:paraId="57B3F2BD"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SCoT23</w:t>
            </w:r>
          </w:p>
        </w:tc>
        <w:tc>
          <w:tcPr>
            <w:tcW w:w="2977" w:type="dxa"/>
            <w:vAlign w:val="center"/>
          </w:tcPr>
          <w:p w14:paraId="2D741B39"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CACCATGGCTACCACCAG</w:t>
            </w:r>
          </w:p>
        </w:tc>
        <w:tc>
          <w:tcPr>
            <w:tcW w:w="992" w:type="dxa"/>
            <w:vAlign w:val="center"/>
          </w:tcPr>
          <w:p w14:paraId="5A451606"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55.7°C</w:t>
            </w:r>
          </w:p>
        </w:tc>
        <w:tc>
          <w:tcPr>
            <w:tcW w:w="1418" w:type="dxa"/>
            <w:vAlign w:val="center"/>
          </w:tcPr>
          <w:p w14:paraId="276AC67D"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500-1428</w:t>
            </w:r>
          </w:p>
        </w:tc>
        <w:tc>
          <w:tcPr>
            <w:tcW w:w="1134" w:type="dxa"/>
            <w:vAlign w:val="center"/>
          </w:tcPr>
          <w:p w14:paraId="464D68E0"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4</w:t>
            </w:r>
          </w:p>
        </w:tc>
        <w:tc>
          <w:tcPr>
            <w:tcW w:w="1417" w:type="dxa"/>
            <w:vAlign w:val="center"/>
          </w:tcPr>
          <w:p w14:paraId="22BD2D72"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633-1283</w:t>
            </w:r>
          </w:p>
        </w:tc>
        <w:tc>
          <w:tcPr>
            <w:tcW w:w="993" w:type="dxa"/>
            <w:vAlign w:val="center"/>
          </w:tcPr>
          <w:p w14:paraId="4E85409C"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4</w:t>
            </w:r>
          </w:p>
        </w:tc>
        <w:tc>
          <w:tcPr>
            <w:tcW w:w="1417" w:type="dxa"/>
            <w:vAlign w:val="center"/>
          </w:tcPr>
          <w:p w14:paraId="690C8479"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500-1288</w:t>
            </w:r>
          </w:p>
        </w:tc>
        <w:tc>
          <w:tcPr>
            <w:tcW w:w="1134" w:type="dxa"/>
            <w:vAlign w:val="center"/>
          </w:tcPr>
          <w:p w14:paraId="20431410"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8</w:t>
            </w:r>
          </w:p>
        </w:tc>
        <w:tc>
          <w:tcPr>
            <w:tcW w:w="1701" w:type="dxa"/>
            <w:vMerge/>
          </w:tcPr>
          <w:p w14:paraId="48657830" w14:textId="77777777" w:rsidR="00BE15BD" w:rsidRPr="00413DA4" w:rsidRDefault="00BE15BD" w:rsidP="00413DA4">
            <w:pPr>
              <w:jc w:val="both"/>
              <w:rPr>
                <w:rFonts w:ascii="Arial" w:hAnsi="Arial" w:cs="Arial"/>
                <w:sz w:val="20"/>
                <w:szCs w:val="20"/>
              </w:rPr>
            </w:pPr>
          </w:p>
        </w:tc>
      </w:tr>
      <w:tr w:rsidR="00BE15BD" w:rsidRPr="00413DA4" w14:paraId="3DFE8453" w14:textId="77777777" w:rsidTr="00F079B0">
        <w:trPr>
          <w:trHeight w:hRule="exact" w:val="565"/>
          <w:jc w:val="center"/>
        </w:trPr>
        <w:tc>
          <w:tcPr>
            <w:tcW w:w="1129" w:type="dxa"/>
            <w:vAlign w:val="center"/>
          </w:tcPr>
          <w:p w14:paraId="343EECB9"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SCoT26</w:t>
            </w:r>
          </w:p>
        </w:tc>
        <w:tc>
          <w:tcPr>
            <w:tcW w:w="2977" w:type="dxa"/>
            <w:vAlign w:val="center"/>
          </w:tcPr>
          <w:p w14:paraId="6D0C56D6"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ACCATGGCTACCACCGTC</w:t>
            </w:r>
          </w:p>
        </w:tc>
        <w:tc>
          <w:tcPr>
            <w:tcW w:w="992" w:type="dxa"/>
            <w:vAlign w:val="center"/>
          </w:tcPr>
          <w:p w14:paraId="0D6C4396"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57.3°C</w:t>
            </w:r>
          </w:p>
        </w:tc>
        <w:tc>
          <w:tcPr>
            <w:tcW w:w="1418" w:type="dxa"/>
            <w:vAlign w:val="center"/>
          </w:tcPr>
          <w:p w14:paraId="0D697E14"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1185-1275</w:t>
            </w:r>
          </w:p>
        </w:tc>
        <w:tc>
          <w:tcPr>
            <w:tcW w:w="1134" w:type="dxa"/>
            <w:vAlign w:val="center"/>
          </w:tcPr>
          <w:p w14:paraId="23167BAA"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3</w:t>
            </w:r>
          </w:p>
        </w:tc>
        <w:tc>
          <w:tcPr>
            <w:tcW w:w="1417" w:type="dxa"/>
            <w:vAlign w:val="center"/>
          </w:tcPr>
          <w:p w14:paraId="3092FDA7"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500-1081</w:t>
            </w:r>
          </w:p>
        </w:tc>
        <w:tc>
          <w:tcPr>
            <w:tcW w:w="993" w:type="dxa"/>
            <w:vAlign w:val="center"/>
          </w:tcPr>
          <w:p w14:paraId="1219C1CB"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w:t>
            </w:r>
          </w:p>
        </w:tc>
        <w:tc>
          <w:tcPr>
            <w:tcW w:w="1417" w:type="dxa"/>
            <w:vAlign w:val="center"/>
          </w:tcPr>
          <w:p w14:paraId="012C3F39"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502-1112</w:t>
            </w:r>
          </w:p>
        </w:tc>
        <w:tc>
          <w:tcPr>
            <w:tcW w:w="1134" w:type="dxa"/>
            <w:vAlign w:val="center"/>
          </w:tcPr>
          <w:p w14:paraId="19822335"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7</w:t>
            </w:r>
          </w:p>
        </w:tc>
        <w:tc>
          <w:tcPr>
            <w:tcW w:w="1701" w:type="dxa"/>
            <w:vMerge/>
          </w:tcPr>
          <w:p w14:paraId="308D7642" w14:textId="77777777" w:rsidR="00BE15BD" w:rsidRPr="00413DA4" w:rsidRDefault="00BE15BD" w:rsidP="00413DA4">
            <w:pPr>
              <w:autoSpaceDE w:val="0"/>
              <w:autoSpaceDN w:val="0"/>
              <w:adjustRightInd w:val="0"/>
              <w:jc w:val="both"/>
              <w:rPr>
                <w:rFonts w:ascii="Arial" w:hAnsi="Arial" w:cs="Arial"/>
                <w:sz w:val="20"/>
                <w:szCs w:val="20"/>
              </w:rPr>
            </w:pPr>
          </w:p>
        </w:tc>
      </w:tr>
      <w:tr w:rsidR="00BE15BD" w:rsidRPr="00413DA4" w14:paraId="67053CD4" w14:textId="77777777" w:rsidTr="00F079B0">
        <w:trPr>
          <w:trHeight w:hRule="exact" w:val="565"/>
          <w:jc w:val="center"/>
        </w:trPr>
        <w:tc>
          <w:tcPr>
            <w:tcW w:w="1129" w:type="dxa"/>
            <w:vAlign w:val="center"/>
          </w:tcPr>
          <w:p w14:paraId="68274B24"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SCoT33</w:t>
            </w:r>
          </w:p>
        </w:tc>
        <w:tc>
          <w:tcPr>
            <w:tcW w:w="2977" w:type="dxa"/>
            <w:vAlign w:val="center"/>
          </w:tcPr>
          <w:p w14:paraId="467A8449"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CCATGGCTACCACCGCAG</w:t>
            </w:r>
          </w:p>
        </w:tc>
        <w:tc>
          <w:tcPr>
            <w:tcW w:w="992" w:type="dxa"/>
            <w:vAlign w:val="center"/>
          </w:tcPr>
          <w:p w14:paraId="6531C70C"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58.9°C</w:t>
            </w:r>
          </w:p>
        </w:tc>
        <w:tc>
          <w:tcPr>
            <w:tcW w:w="1418" w:type="dxa"/>
            <w:vAlign w:val="center"/>
          </w:tcPr>
          <w:p w14:paraId="41AE1218"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500-1024</w:t>
            </w:r>
          </w:p>
        </w:tc>
        <w:tc>
          <w:tcPr>
            <w:tcW w:w="1134" w:type="dxa"/>
            <w:vAlign w:val="center"/>
          </w:tcPr>
          <w:p w14:paraId="4DF8EA6D"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4</w:t>
            </w:r>
          </w:p>
        </w:tc>
        <w:tc>
          <w:tcPr>
            <w:tcW w:w="1417" w:type="dxa"/>
            <w:vAlign w:val="center"/>
          </w:tcPr>
          <w:p w14:paraId="61462AEB"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500-874</w:t>
            </w:r>
          </w:p>
        </w:tc>
        <w:tc>
          <w:tcPr>
            <w:tcW w:w="993" w:type="dxa"/>
            <w:vAlign w:val="center"/>
          </w:tcPr>
          <w:p w14:paraId="5BE9529C"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6</w:t>
            </w:r>
          </w:p>
        </w:tc>
        <w:tc>
          <w:tcPr>
            <w:tcW w:w="1417" w:type="dxa"/>
            <w:vAlign w:val="center"/>
          </w:tcPr>
          <w:p w14:paraId="21131153"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500-1604</w:t>
            </w:r>
          </w:p>
        </w:tc>
        <w:tc>
          <w:tcPr>
            <w:tcW w:w="1134" w:type="dxa"/>
            <w:vAlign w:val="center"/>
          </w:tcPr>
          <w:p w14:paraId="738C7125"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7</w:t>
            </w:r>
          </w:p>
        </w:tc>
        <w:tc>
          <w:tcPr>
            <w:tcW w:w="1701" w:type="dxa"/>
            <w:vMerge/>
          </w:tcPr>
          <w:p w14:paraId="6DDD8A08" w14:textId="77777777" w:rsidR="00BE15BD" w:rsidRPr="00413DA4" w:rsidRDefault="00BE15BD" w:rsidP="00413DA4">
            <w:pPr>
              <w:autoSpaceDE w:val="0"/>
              <w:autoSpaceDN w:val="0"/>
              <w:adjustRightInd w:val="0"/>
              <w:jc w:val="both"/>
              <w:rPr>
                <w:rFonts w:ascii="Arial" w:hAnsi="Arial" w:cs="Arial"/>
                <w:sz w:val="20"/>
                <w:szCs w:val="20"/>
              </w:rPr>
            </w:pPr>
          </w:p>
        </w:tc>
      </w:tr>
      <w:tr w:rsidR="00BE15BD" w:rsidRPr="00413DA4" w14:paraId="4A497AC0" w14:textId="77777777" w:rsidTr="00F079B0">
        <w:trPr>
          <w:trHeight w:hRule="exact" w:val="565"/>
          <w:jc w:val="center"/>
        </w:trPr>
        <w:tc>
          <w:tcPr>
            <w:tcW w:w="1129" w:type="dxa"/>
            <w:vAlign w:val="center"/>
          </w:tcPr>
          <w:p w14:paraId="4EFB8ED2"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SCoT34</w:t>
            </w:r>
          </w:p>
        </w:tc>
        <w:tc>
          <w:tcPr>
            <w:tcW w:w="2977" w:type="dxa"/>
            <w:vAlign w:val="center"/>
          </w:tcPr>
          <w:p w14:paraId="23A2E728"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ACCATGGCTACCACCGCA</w:t>
            </w:r>
          </w:p>
        </w:tc>
        <w:tc>
          <w:tcPr>
            <w:tcW w:w="992" w:type="dxa"/>
            <w:vAlign w:val="center"/>
          </w:tcPr>
          <w:p w14:paraId="3B8AAD58"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59.7°C</w:t>
            </w:r>
          </w:p>
        </w:tc>
        <w:tc>
          <w:tcPr>
            <w:tcW w:w="1418" w:type="dxa"/>
            <w:vAlign w:val="center"/>
          </w:tcPr>
          <w:p w14:paraId="5228CB34"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508-1075</w:t>
            </w:r>
          </w:p>
        </w:tc>
        <w:tc>
          <w:tcPr>
            <w:tcW w:w="1134" w:type="dxa"/>
            <w:vAlign w:val="center"/>
          </w:tcPr>
          <w:p w14:paraId="0208799D"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w:t>
            </w:r>
          </w:p>
        </w:tc>
        <w:tc>
          <w:tcPr>
            <w:tcW w:w="1417" w:type="dxa"/>
            <w:vAlign w:val="center"/>
          </w:tcPr>
          <w:p w14:paraId="1A2E28D8"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500-895</w:t>
            </w:r>
          </w:p>
        </w:tc>
        <w:tc>
          <w:tcPr>
            <w:tcW w:w="993" w:type="dxa"/>
            <w:vAlign w:val="center"/>
          </w:tcPr>
          <w:p w14:paraId="77E1B1C5"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9</w:t>
            </w:r>
          </w:p>
        </w:tc>
        <w:tc>
          <w:tcPr>
            <w:tcW w:w="1417" w:type="dxa"/>
            <w:vAlign w:val="center"/>
          </w:tcPr>
          <w:p w14:paraId="286DD877"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500-927</w:t>
            </w:r>
          </w:p>
        </w:tc>
        <w:tc>
          <w:tcPr>
            <w:tcW w:w="1134" w:type="dxa"/>
            <w:vAlign w:val="center"/>
          </w:tcPr>
          <w:p w14:paraId="1916177D"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10</w:t>
            </w:r>
          </w:p>
        </w:tc>
        <w:tc>
          <w:tcPr>
            <w:tcW w:w="1701" w:type="dxa"/>
            <w:vMerge/>
          </w:tcPr>
          <w:p w14:paraId="7F8FCA1B" w14:textId="77777777" w:rsidR="00BE15BD" w:rsidRPr="00413DA4" w:rsidRDefault="00BE15BD" w:rsidP="00413DA4">
            <w:pPr>
              <w:autoSpaceDE w:val="0"/>
              <w:autoSpaceDN w:val="0"/>
              <w:adjustRightInd w:val="0"/>
              <w:jc w:val="both"/>
              <w:rPr>
                <w:rFonts w:ascii="Arial" w:hAnsi="Arial" w:cs="Arial"/>
                <w:sz w:val="20"/>
                <w:szCs w:val="20"/>
              </w:rPr>
            </w:pPr>
          </w:p>
        </w:tc>
      </w:tr>
      <w:tr w:rsidR="00BE15BD" w:rsidRPr="00413DA4" w14:paraId="775A6F81" w14:textId="77777777" w:rsidTr="00F079B0">
        <w:trPr>
          <w:trHeight w:hRule="exact" w:val="565"/>
          <w:jc w:val="center"/>
        </w:trPr>
        <w:tc>
          <w:tcPr>
            <w:tcW w:w="1129" w:type="dxa"/>
            <w:vAlign w:val="center"/>
          </w:tcPr>
          <w:p w14:paraId="7FF6E4D9" w14:textId="77777777" w:rsidR="00BE15BD" w:rsidRPr="00413DA4" w:rsidRDefault="00BE15BD" w:rsidP="00413DA4">
            <w:pPr>
              <w:jc w:val="both"/>
              <w:rPr>
                <w:rFonts w:ascii="Arial" w:hAnsi="Arial" w:cs="Arial"/>
                <w:sz w:val="20"/>
                <w:szCs w:val="20"/>
              </w:rPr>
            </w:pPr>
            <w:r w:rsidRPr="00413DA4">
              <w:rPr>
                <w:rFonts w:ascii="Arial" w:hAnsi="Arial" w:cs="Arial"/>
                <w:sz w:val="20"/>
                <w:szCs w:val="20"/>
              </w:rPr>
              <w:t>SCoT40</w:t>
            </w:r>
          </w:p>
        </w:tc>
        <w:tc>
          <w:tcPr>
            <w:tcW w:w="2977" w:type="dxa"/>
            <w:vAlign w:val="center"/>
          </w:tcPr>
          <w:p w14:paraId="3DB65583"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CACCATGGCTACCACCAG</w:t>
            </w:r>
          </w:p>
        </w:tc>
        <w:tc>
          <w:tcPr>
            <w:tcW w:w="992" w:type="dxa"/>
            <w:vAlign w:val="center"/>
          </w:tcPr>
          <w:p w14:paraId="16FB6606"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55.7°C</w:t>
            </w:r>
          </w:p>
        </w:tc>
        <w:tc>
          <w:tcPr>
            <w:tcW w:w="1418" w:type="dxa"/>
            <w:vAlign w:val="center"/>
          </w:tcPr>
          <w:p w14:paraId="4585A914"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718-1500</w:t>
            </w:r>
          </w:p>
        </w:tc>
        <w:tc>
          <w:tcPr>
            <w:tcW w:w="1134" w:type="dxa"/>
            <w:vAlign w:val="center"/>
          </w:tcPr>
          <w:p w14:paraId="33B4473F"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w:t>
            </w:r>
          </w:p>
        </w:tc>
        <w:tc>
          <w:tcPr>
            <w:tcW w:w="1417" w:type="dxa"/>
            <w:vAlign w:val="center"/>
          </w:tcPr>
          <w:p w14:paraId="261E13B4"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618-1263</w:t>
            </w:r>
          </w:p>
        </w:tc>
        <w:tc>
          <w:tcPr>
            <w:tcW w:w="993" w:type="dxa"/>
            <w:vAlign w:val="center"/>
          </w:tcPr>
          <w:p w14:paraId="6AE6B5BB"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4</w:t>
            </w:r>
          </w:p>
        </w:tc>
        <w:tc>
          <w:tcPr>
            <w:tcW w:w="1417" w:type="dxa"/>
            <w:vAlign w:val="center"/>
          </w:tcPr>
          <w:p w14:paraId="2FD6C2DE"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545-1288</w:t>
            </w:r>
          </w:p>
        </w:tc>
        <w:tc>
          <w:tcPr>
            <w:tcW w:w="1134" w:type="dxa"/>
            <w:vAlign w:val="center"/>
          </w:tcPr>
          <w:p w14:paraId="5CFE82E8" w14:textId="77777777" w:rsidR="00BE15BD" w:rsidRPr="00413DA4" w:rsidRDefault="00BE15BD" w:rsidP="00413DA4">
            <w:pPr>
              <w:autoSpaceDE w:val="0"/>
              <w:autoSpaceDN w:val="0"/>
              <w:adjustRightInd w:val="0"/>
              <w:jc w:val="both"/>
              <w:rPr>
                <w:rFonts w:ascii="Arial" w:hAnsi="Arial" w:cs="Arial"/>
                <w:sz w:val="20"/>
                <w:szCs w:val="20"/>
              </w:rPr>
            </w:pPr>
            <w:r w:rsidRPr="00413DA4">
              <w:rPr>
                <w:rFonts w:ascii="Arial" w:hAnsi="Arial" w:cs="Arial"/>
                <w:sz w:val="20"/>
                <w:szCs w:val="20"/>
              </w:rPr>
              <w:t>8</w:t>
            </w:r>
          </w:p>
        </w:tc>
        <w:tc>
          <w:tcPr>
            <w:tcW w:w="1701" w:type="dxa"/>
            <w:vMerge/>
          </w:tcPr>
          <w:p w14:paraId="2AF0EA54" w14:textId="77777777" w:rsidR="00BE15BD" w:rsidRPr="00413DA4" w:rsidRDefault="00BE15BD" w:rsidP="00413DA4">
            <w:pPr>
              <w:autoSpaceDE w:val="0"/>
              <w:autoSpaceDN w:val="0"/>
              <w:adjustRightInd w:val="0"/>
              <w:jc w:val="both"/>
              <w:rPr>
                <w:rFonts w:ascii="Arial" w:hAnsi="Arial" w:cs="Arial"/>
                <w:sz w:val="20"/>
                <w:szCs w:val="20"/>
              </w:rPr>
            </w:pPr>
          </w:p>
        </w:tc>
      </w:tr>
      <w:tr w:rsidR="00BE15BD" w:rsidRPr="00413DA4" w14:paraId="47BC98C9" w14:textId="77777777" w:rsidTr="00F079B0">
        <w:trPr>
          <w:trHeight w:hRule="exact" w:val="565"/>
          <w:jc w:val="center"/>
        </w:trPr>
        <w:tc>
          <w:tcPr>
            <w:tcW w:w="5098" w:type="dxa"/>
            <w:gridSpan w:val="3"/>
            <w:vAlign w:val="center"/>
          </w:tcPr>
          <w:p w14:paraId="6374A3A5" w14:textId="77777777" w:rsidR="00BE15BD" w:rsidRPr="00413DA4" w:rsidRDefault="00BE15BD" w:rsidP="00413DA4">
            <w:pPr>
              <w:autoSpaceDE w:val="0"/>
              <w:autoSpaceDN w:val="0"/>
              <w:adjustRightInd w:val="0"/>
              <w:jc w:val="right"/>
              <w:rPr>
                <w:rFonts w:ascii="Arial" w:hAnsi="Arial" w:cs="Arial"/>
                <w:b/>
                <w:sz w:val="20"/>
                <w:szCs w:val="20"/>
              </w:rPr>
            </w:pPr>
            <w:r w:rsidRPr="00413DA4">
              <w:rPr>
                <w:rFonts w:ascii="Arial" w:hAnsi="Arial" w:cs="Arial"/>
                <w:b/>
                <w:sz w:val="20"/>
                <w:szCs w:val="20"/>
              </w:rPr>
              <w:t>Total</w:t>
            </w:r>
          </w:p>
        </w:tc>
        <w:tc>
          <w:tcPr>
            <w:tcW w:w="1418" w:type="dxa"/>
            <w:vAlign w:val="center"/>
          </w:tcPr>
          <w:p w14:paraId="0CB6CD7B" w14:textId="77777777" w:rsidR="00BE15BD" w:rsidRPr="00413DA4" w:rsidRDefault="00BE15BD" w:rsidP="00413DA4">
            <w:pPr>
              <w:autoSpaceDE w:val="0"/>
              <w:autoSpaceDN w:val="0"/>
              <w:adjustRightInd w:val="0"/>
              <w:jc w:val="both"/>
              <w:rPr>
                <w:rFonts w:ascii="Arial" w:hAnsi="Arial" w:cs="Arial"/>
                <w:b/>
                <w:sz w:val="20"/>
                <w:szCs w:val="20"/>
              </w:rPr>
            </w:pPr>
          </w:p>
        </w:tc>
        <w:tc>
          <w:tcPr>
            <w:tcW w:w="1134" w:type="dxa"/>
            <w:vAlign w:val="center"/>
          </w:tcPr>
          <w:p w14:paraId="5BF5A7AC" w14:textId="77777777" w:rsidR="00BE15BD" w:rsidRPr="00413DA4" w:rsidRDefault="00BE15BD" w:rsidP="00413DA4">
            <w:pPr>
              <w:autoSpaceDE w:val="0"/>
              <w:autoSpaceDN w:val="0"/>
              <w:adjustRightInd w:val="0"/>
              <w:jc w:val="both"/>
              <w:rPr>
                <w:rFonts w:ascii="Arial" w:hAnsi="Arial" w:cs="Arial"/>
                <w:b/>
                <w:sz w:val="20"/>
                <w:szCs w:val="20"/>
              </w:rPr>
            </w:pPr>
            <w:r w:rsidRPr="00413DA4">
              <w:rPr>
                <w:rFonts w:ascii="Arial" w:hAnsi="Arial" w:cs="Arial"/>
                <w:b/>
                <w:sz w:val="20"/>
                <w:szCs w:val="20"/>
              </w:rPr>
              <w:t>40</w:t>
            </w:r>
          </w:p>
        </w:tc>
        <w:tc>
          <w:tcPr>
            <w:tcW w:w="1417" w:type="dxa"/>
            <w:vAlign w:val="center"/>
          </w:tcPr>
          <w:p w14:paraId="7A2E4FF7" w14:textId="77777777" w:rsidR="00BE15BD" w:rsidRPr="00413DA4" w:rsidRDefault="00BE15BD" w:rsidP="00413DA4">
            <w:pPr>
              <w:autoSpaceDE w:val="0"/>
              <w:autoSpaceDN w:val="0"/>
              <w:adjustRightInd w:val="0"/>
              <w:jc w:val="both"/>
              <w:rPr>
                <w:rFonts w:ascii="Arial" w:hAnsi="Arial" w:cs="Arial"/>
                <w:b/>
                <w:sz w:val="20"/>
                <w:szCs w:val="20"/>
              </w:rPr>
            </w:pPr>
          </w:p>
        </w:tc>
        <w:tc>
          <w:tcPr>
            <w:tcW w:w="993" w:type="dxa"/>
            <w:vAlign w:val="center"/>
          </w:tcPr>
          <w:p w14:paraId="5DBEB8CE" w14:textId="77777777" w:rsidR="00BE15BD" w:rsidRPr="00413DA4" w:rsidRDefault="00BE15BD" w:rsidP="00413DA4">
            <w:pPr>
              <w:autoSpaceDE w:val="0"/>
              <w:autoSpaceDN w:val="0"/>
              <w:adjustRightInd w:val="0"/>
              <w:jc w:val="both"/>
              <w:rPr>
                <w:rFonts w:ascii="Arial" w:hAnsi="Arial" w:cs="Arial"/>
                <w:b/>
                <w:sz w:val="20"/>
                <w:szCs w:val="20"/>
              </w:rPr>
            </w:pPr>
            <w:r w:rsidRPr="00413DA4">
              <w:rPr>
                <w:rFonts w:ascii="Arial" w:hAnsi="Arial" w:cs="Arial"/>
                <w:b/>
                <w:sz w:val="20"/>
                <w:szCs w:val="20"/>
              </w:rPr>
              <w:t>45</w:t>
            </w:r>
          </w:p>
        </w:tc>
        <w:tc>
          <w:tcPr>
            <w:tcW w:w="1417" w:type="dxa"/>
            <w:vAlign w:val="center"/>
          </w:tcPr>
          <w:p w14:paraId="78C49D43" w14:textId="77777777" w:rsidR="00BE15BD" w:rsidRPr="00413DA4" w:rsidRDefault="00BE15BD" w:rsidP="00413DA4">
            <w:pPr>
              <w:autoSpaceDE w:val="0"/>
              <w:autoSpaceDN w:val="0"/>
              <w:adjustRightInd w:val="0"/>
              <w:jc w:val="both"/>
              <w:rPr>
                <w:rFonts w:ascii="Arial" w:hAnsi="Arial" w:cs="Arial"/>
                <w:b/>
                <w:sz w:val="20"/>
                <w:szCs w:val="20"/>
              </w:rPr>
            </w:pPr>
          </w:p>
        </w:tc>
        <w:tc>
          <w:tcPr>
            <w:tcW w:w="1134" w:type="dxa"/>
            <w:vAlign w:val="center"/>
          </w:tcPr>
          <w:p w14:paraId="29D1F8CB" w14:textId="77777777" w:rsidR="00BE15BD" w:rsidRPr="00413DA4" w:rsidRDefault="00BE15BD" w:rsidP="00413DA4">
            <w:pPr>
              <w:autoSpaceDE w:val="0"/>
              <w:autoSpaceDN w:val="0"/>
              <w:adjustRightInd w:val="0"/>
              <w:jc w:val="both"/>
              <w:rPr>
                <w:rFonts w:ascii="Arial" w:hAnsi="Arial" w:cs="Arial"/>
                <w:b/>
                <w:sz w:val="20"/>
                <w:szCs w:val="20"/>
              </w:rPr>
            </w:pPr>
            <w:r w:rsidRPr="00413DA4">
              <w:rPr>
                <w:rFonts w:ascii="Arial" w:hAnsi="Arial" w:cs="Arial"/>
                <w:b/>
                <w:sz w:val="20"/>
                <w:szCs w:val="20"/>
              </w:rPr>
              <w:t>70</w:t>
            </w:r>
          </w:p>
        </w:tc>
        <w:tc>
          <w:tcPr>
            <w:tcW w:w="1701" w:type="dxa"/>
          </w:tcPr>
          <w:p w14:paraId="77425B7C" w14:textId="77777777" w:rsidR="00BE15BD" w:rsidRPr="00413DA4" w:rsidRDefault="00BE15BD" w:rsidP="00413DA4">
            <w:pPr>
              <w:autoSpaceDE w:val="0"/>
              <w:autoSpaceDN w:val="0"/>
              <w:adjustRightInd w:val="0"/>
              <w:jc w:val="both"/>
              <w:rPr>
                <w:rFonts w:ascii="Arial" w:hAnsi="Arial" w:cs="Arial"/>
                <w:b/>
                <w:sz w:val="20"/>
                <w:szCs w:val="20"/>
              </w:rPr>
            </w:pPr>
          </w:p>
        </w:tc>
      </w:tr>
    </w:tbl>
    <w:p w14:paraId="55C7C5AD" w14:textId="77777777" w:rsidR="00413DA4" w:rsidRDefault="00413DA4" w:rsidP="00413DA4">
      <w:pPr>
        <w:spacing w:line="240" w:lineRule="auto"/>
        <w:jc w:val="both"/>
        <w:rPr>
          <w:rFonts w:ascii="Arial" w:hAnsi="Arial" w:cs="Arial"/>
          <w:b/>
          <w:sz w:val="20"/>
          <w:szCs w:val="20"/>
        </w:rPr>
      </w:pPr>
    </w:p>
    <w:p w14:paraId="5CA142D1" w14:textId="533FE883" w:rsidR="00BE15BD" w:rsidRPr="00413DA4" w:rsidRDefault="00BE15BD" w:rsidP="00413DA4">
      <w:pPr>
        <w:spacing w:line="240" w:lineRule="auto"/>
        <w:jc w:val="both"/>
        <w:rPr>
          <w:rFonts w:ascii="Arial" w:hAnsi="Arial" w:cs="Arial"/>
          <w:b/>
          <w:i/>
          <w:sz w:val="20"/>
          <w:szCs w:val="20"/>
        </w:rPr>
      </w:pPr>
      <w:r w:rsidRPr="00413DA4">
        <w:rPr>
          <w:rFonts w:ascii="Arial" w:hAnsi="Arial" w:cs="Arial"/>
          <w:b/>
          <w:sz w:val="20"/>
          <w:szCs w:val="20"/>
        </w:rPr>
        <w:t>Table. 3</w:t>
      </w:r>
      <w:r w:rsidR="0014082E" w:rsidRPr="00413DA4">
        <w:rPr>
          <w:rFonts w:ascii="Arial" w:hAnsi="Arial" w:cs="Arial"/>
          <w:b/>
          <w:sz w:val="20"/>
          <w:szCs w:val="20"/>
        </w:rPr>
        <w:t>.</w:t>
      </w:r>
      <w:r w:rsidRPr="00413DA4">
        <w:rPr>
          <w:rFonts w:ascii="Arial" w:hAnsi="Arial" w:cs="Arial"/>
          <w:b/>
          <w:sz w:val="20"/>
          <w:szCs w:val="20"/>
        </w:rPr>
        <w:t xml:space="preserve"> List of SCoT primers, total number of amplified fragments, and length of amplified alleles (bp) generated in </w:t>
      </w:r>
      <w:r w:rsidRPr="00413DA4">
        <w:rPr>
          <w:rFonts w:ascii="Arial" w:hAnsi="Arial" w:cs="Arial"/>
          <w:b/>
          <w:i/>
          <w:sz w:val="20"/>
          <w:szCs w:val="20"/>
        </w:rPr>
        <w:t>D. melanoxylon.</w:t>
      </w:r>
    </w:p>
    <w:p w14:paraId="3BDE5F43" w14:textId="77777777" w:rsidR="00BE15BD" w:rsidRDefault="00BE15BD" w:rsidP="00BE15BD">
      <w:pPr>
        <w:tabs>
          <w:tab w:val="left" w:pos="1071"/>
        </w:tabs>
        <w:rPr>
          <w:rFonts w:ascii="Arial" w:hAnsi="Arial" w:cs="Arial"/>
        </w:rPr>
        <w:sectPr w:rsidR="00BE15BD" w:rsidSect="00BE15BD">
          <w:pgSz w:w="16838" w:h="11906" w:orient="landscape"/>
          <w:pgMar w:top="1440" w:right="1440" w:bottom="1440" w:left="1440" w:header="708" w:footer="708" w:gutter="0"/>
          <w:cols w:space="708"/>
          <w:docGrid w:linePitch="360"/>
        </w:sectPr>
      </w:pPr>
    </w:p>
    <w:p w14:paraId="7B686074" w14:textId="50076F6F" w:rsidR="0069618E" w:rsidRPr="00413DA4" w:rsidRDefault="0069618E" w:rsidP="00413DA4">
      <w:pPr>
        <w:spacing w:line="240" w:lineRule="auto"/>
        <w:jc w:val="both"/>
        <w:rPr>
          <w:rFonts w:ascii="Arial" w:hAnsi="Arial" w:cs="Arial"/>
          <w:sz w:val="22"/>
          <w:szCs w:val="22"/>
        </w:rPr>
      </w:pPr>
      <w:r w:rsidRPr="00413DA4">
        <w:rPr>
          <w:rFonts w:ascii="Arial" w:hAnsi="Arial" w:cs="Arial"/>
          <w:b/>
          <w:bCs/>
          <w:sz w:val="22"/>
          <w:szCs w:val="22"/>
        </w:rPr>
        <w:lastRenderedPageBreak/>
        <w:t>4</w:t>
      </w:r>
      <w:r w:rsidR="00BE15BD" w:rsidRPr="00413DA4">
        <w:rPr>
          <w:rFonts w:ascii="Arial" w:hAnsi="Arial" w:cs="Arial"/>
          <w:b/>
          <w:bCs/>
          <w:sz w:val="22"/>
          <w:szCs w:val="22"/>
        </w:rPr>
        <w:t>.</w:t>
      </w:r>
      <w:r w:rsidRPr="00413DA4">
        <w:rPr>
          <w:rFonts w:ascii="Arial" w:hAnsi="Arial" w:cs="Arial"/>
          <w:b/>
          <w:bCs/>
          <w:sz w:val="22"/>
          <w:szCs w:val="22"/>
        </w:rPr>
        <w:t xml:space="preserve"> </w:t>
      </w:r>
      <w:r w:rsidR="0014082E" w:rsidRPr="00413DA4">
        <w:rPr>
          <w:rFonts w:ascii="Arial" w:hAnsi="Arial" w:cs="Arial"/>
          <w:b/>
          <w:bCs/>
          <w:sz w:val="22"/>
          <w:szCs w:val="22"/>
        </w:rPr>
        <w:t>DISCUSSION</w:t>
      </w:r>
      <w:r w:rsidR="0014082E" w:rsidRPr="00413DA4">
        <w:rPr>
          <w:rFonts w:ascii="Arial" w:hAnsi="Arial" w:cs="Arial"/>
          <w:sz w:val="22"/>
          <w:szCs w:val="22"/>
        </w:rPr>
        <w:t xml:space="preserve"> </w:t>
      </w:r>
    </w:p>
    <w:p w14:paraId="0A925F6A" w14:textId="51527286" w:rsidR="00F74548" w:rsidRPr="00413DA4" w:rsidRDefault="00DC52FD" w:rsidP="00413DA4">
      <w:pPr>
        <w:spacing w:line="240" w:lineRule="auto"/>
        <w:jc w:val="both"/>
        <w:rPr>
          <w:rFonts w:ascii="Arial" w:hAnsi="Arial" w:cs="Arial"/>
          <w:sz w:val="20"/>
          <w:szCs w:val="20"/>
        </w:rPr>
      </w:pPr>
      <w:r w:rsidRPr="00413DA4">
        <w:rPr>
          <w:rFonts w:ascii="Arial" w:hAnsi="Arial" w:cs="Arial"/>
          <w:sz w:val="20"/>
          <w:szCs w:val="20"/>
        </w:rPr>
        <w:t>The extraction of genomic DNA from woody plant species encounters substantial obstacles attributable to elevated concentrations of secondary metabolites, specifically polyphenols, polysaccharides, and lignin polymers that undergo co-precipitation with target nucleic acids.  Which demonstrably inhibits enzymatic functions, including interference of PCR amplification of nucleic acids and restriction endonuclease digestion </w:t>
      </w:r>
      <w:r w:rsidR="00897A33" w:rsidRPr="00413DA4">
        <w:rPr>
          <w:rFonts w:ascii="Arial" w:hAnsi="Arial" w:cs="Arial"/>
          <w:sz w:val="20"/>
          <w:szCs w:val="20"/>
        </w:rPr>
        <w:t>(</w:t>
      </w:r>
      <w:r w:rsidR="00EE7B0C" w:rsidRPr="00413DA4">
        <w:rPr>
          <w:rFonts w:ascii="Arial" w:hAnsi="Arial" w:cs="Arial"/>
          <w:sz w:val="20"/>
          <w:szCs w:val="20"/>
        </w:rPr>
        <w:t>Rossini et al., 2025; Garg et al., 2025</w:t>
      </w:r>
      <w:r w:rsidR="00897A33" w:rsidRPr="00413DA4">
        <w:rPr>
          <w:rFonts w:ascii="Arial" w:hAnsi="Arial" w:cs="Arial"/>
          <w:sz w:val="20"/>
          <w:szCs w:val="20"/>
        </w:rPr>
        <w:t>)</w:t>
      </w:r>
      <w:r w:rsidRPr="00413DA4">
        <w:rPr>
          <w:rFonts w:ascii="Arial" w:hAnsi="Arial" w:cs="Arial"/>
          <w:sz w:val="20"/>
          <w:szCs w:val="20"/>
        </w:rPr>
        <w:t xml:space="preserve">.  These contaminants quantifiably reduce the yield and purity of the DNA preparations, consequently compromising suitability of the sample in precision molecular applications </w:t>
      </w:r>
      <w:r w:rsidR="00897A33" w:rsidRPr="00413DA4">
        <w:rPr>
          <w:rFonts w:ascii="Arial" w:hAnsi="Arial" w:cs="Arial"/>
          <w:sz w:val="20"/>
          <w:szCs w:val="20"/>
        </w:rPr>
        <w:t>(</w:t>
      </w:r>
      <w:r w:rsidR="00EE7B0C" w:rsidRPr="00413DA4">
        <w:rPr>
          <w:rFonts w:ascii="Arial" w:hAnsi="Arial" w:cs="Arial"/>
          <w:sz w:val="20"/>
          <w:szCs w:val="20"/>
        </w:rPr>
        <w:t>Mishra et al., 2023</w:t>
      </w:r>
      <w:r w:rsidR="00897A33" w:rsidRPr="00413DA4">
        <w:rPr>
          <w:rFonts w:ascii="Arial" w:hAnsi="Arial" w:cs="Arial"/>
          <w:sz w:val="20"/>
          <w:szCs w:val="20"/>
        </w:rPr>
        <w:t>)</w:t>
      </w:r>
      <w:r w:rsidRPr="00413DA4">
        <w:rPr>
          <w:rFonts w:ascii="Arial" w:hAnsi="Arial" w:cs="Arial"/>
          <w:sz w:val="20"/>
          <w:szCs w:val="20"/>
        </w:rPr>
        <w:t xml:space="preserve">.  </w:t>
      </w:r>
      <w:r w:rsidR="00F74548" w:rsidRPr="00413DA4">
        <w:rPr>
          <w:rFonts w:ascii="Arial" w:hAnsi="Arial" w:cs="Arial"/>
          <w:sz w:val="20"/>
          <w:szCs w:val="20"/>
        </w:rPr>
        <w:t>A key achievement of this work was the extraction of high-quality genomic DNA from leaf tissues rich in secondary metabolites</w:t>
      </w:r>
      <w:r w:rsidR="00731B91" w:rsidRPr="00413DA4">
        <w:rPr>
          <w:rFonts w:ascii="Arial" w:hAnsi="Arial" w:cs="Arial"/>
          <w:sz w:val="20"/>
          <w:szCs w:val="20"/>
        </w:rPr>
        <w:t>,</w:t>
      </w:r>
      <w:r w:rsidR="00F74548" w:rsidRPr="00413DA4">
        <w:rPr>
          <w:rFonts w:ascii="Arial" w:hAnsi="Arial" w:cs="Arial"/>
          <w:sz w:val="20"/>
          <w:szCs w:val="20"/>
        </w:rPr>
        <w:t xml:space="preserve"> an inherent challenge in many forest tree species. Consistent </w:t>
      </w:r>
      <w:r w:rsidR="00731B91" w:rsidRPr="00413DA4">
        <w:rPr>
          <w:rFonts w:ascii="Arial" w:hAnsi="Arial" w:cs="Arial"/>
          <w:sz w:val="20"/>
          <w:szCs w:val="20"/>
        </w:rPr>
        <w:t xml:space="preserve">DNA </w:t>
      </w:r>
      <w:r w:rsidR="00F74548" w:rsidRPr="00413DA4">
        <w:rPr>
          <w:rFonts w:ascii="Arial" w:hAnsi="Arial" w:cs="Arial"/>
          <w:sz w:val="20"/>
          <w:szCs w:val="20"/>
        </w:rPr>
        <w:t xml:space="preserve">yield and purity enabled stable downstream PCR amplification, emphasizing the importance of optimized DNA isolation protocols for recalcitrant woody perennials </w:t>
      </w:r>
      <w:r w:rsidR="00897A33" w:rsidRPr="00413DA4">
        <w:rPr>
          <w:rFonts w:ascii="Arial" w:hAnsi="Arial" w:cs="Arial"/>
          <w:sz w:val="20"/>
          <w:szCs w:val="20"/>
        </w:rPr>
        <w:t>(</w:t>
      </w:r>
      <w:r w:rsidR="00EE7B0C" w:rsidRPr="00413DA4">
        <w:rPr>
          <w:rFonts w:ascii="Arial" w:hAnsi="Arial" w:cs="Arial"/>
          <w:sz w:val="20"/>
          <w:szCs w:val="20"/>
        </w:rPr>
        <w:t>Khanuja et al., 1999; Varma et al., 2007</w:t>
      </w:r>
      <w:r w:rsidR="00897A33" w:rsidRPr="00413DA4">
        <w:rPr>
          <w:rFonts w:ascii="Arial" w:hAnsi="Arial" w:cs="Arial"/>
          <w:sz w:val="20"/>
          <w:szCs w:val="20"/>
        </w:rPr>
        <w:t>)</w:t>
      </w:r>
      <w:r w:rsidR="002B6D5F" w:rsidRPr="00413DA4">
        <w:rPr>
          <w:rFonts w:ascii="Arial" w:hAnsi="Arial" w:cs="Arial"/>
          <w:sz w:val="20"/>
          <w:szCs w:val="20"/>
        </w:rPr>
        <w:t>.</w:t>
      </w:r>
      <w:r w:rsidR="00F74548" w:rsidRPr="00413DA4">
        <w:rPr>
          <w:rFonts w:ascii="Arial" w:hAnsi="Arial" w:cs="Arial"/>
          <w:sz w:val="20"/>
          <w:szCs w:val="20"/>
        </w:rPr>
        <w:t xml:space="preserve"> The integrity and concentration of the genomic DNA </w:t>
      </w:r>
      <w:r w:rsidR="00731B91" w:rsidRPr="00413DA4">
        <w:rPr>
          <w:rFonts w:ascii="Arial" w:hAnsi="Arial" w:cs="Arial"/>
          <w:sz w:val="20"/>
          <w:szCs w:val="20"/>
        </w:rPr>
        <w:t xml:space="preserve">was </w:t>
      </w:r>
      <w:r w:rsidR="00F74548" w:rsidRPr="00413DA4">
        <w:rPr>
          <w:rFonts w:ascii="Arial" w:hAnsi="Arial" w:cs="Arial"/>
          <w:sz w:val="20"/>
          <w:szCs w:val="20"/>
        </w:rPr>
        <w:t xml:space="preserve">critical </w:t>
      </w:r>
      <w:r w:rsidR="00731B91" w:rsidRPr="00413DA4">
        <w:rPr>
          <w:rFonts w:ascii="Arial" w:hAnsi="Arial" w:cs="Arial"/>
          <w:sz w:val="20"/>
          <w:szCs w:val="20"/>
        </w:rPr>
        <w:t xml:space="preserve">for achieving in </w:t>
      </w:r>
      <w:r w:rsidR="00F74548" w:rsidRPr="00413DA4">
        <w:rPr>
          <w:rFonts w:ascii="Arial" w:hAnsi="Arial" w:cs="Arial"/>
          <w:sz w:val="20"/>
          <w:szCs w:val="20"/>
        </w:rPr>
        <w:t xml:space="preserve">distinct and reproducible </w:t>
      </w:r>
      <w:r w:rsidR="00F162CC" w:rsidRPr="00413DA4">
        <w:rPr>
          <w:rFonts w:ascii="Arial" w:hAnsi="Arial" w:cs="Arial"/>
          <w:sz w:val="20"/>
          <w:szCs w:val="20"/>
        </w:rPr>
        <w:t xml:space="preserve">fingerprinting </w:t>
      </w:r>
      <w:r w:rsidR="00F74548" w:rsidRPr="00413DA4">
        <w:rPr>
          <w:rFonts w:ascii="Arial" w:hAnsi="Arial" w:cs="Arial"/>
          <w:sz w:val="20"/>
          <w:szCs w:val="20"/>
        </w:rPr>
        <w:t xml:space="preserve">profiles across </w:t>
      </w:r>
      <w:r w:rsidR="00F162CC" w:rsidRPr="00413DA4">
        <w:rPr>
          <w:rFonts w:ascii="Arial" w:hAnsi="Arial" w:cs="Arial"/>
          <w:sz w:val="20"/>
          <w:szCs w:val="20"/>
        </w:rPr>
        <w:t xml:space="preserve">the </w:t>
      </w:r>
      <w:r w:rsidR="00F74548" w:rsidRPr="00413DA4">
        <w:rPr>
          <w:rFonts w:ascii="Arial" w:hAnsi="Arial" w:cs="Arial"/>
          <w:sz w:val="20"/>
          <w:szCs w:val="20"/>
        </w:rPr>
        <w:t>markers</w:t>
      </w:r>
      <w:r w:rsidR="002B6D5F" w:rsidRPr="00413DA4">
        <w:rPr>
          <w:rFonts w:ascii="Arial" w:hAnsi="Arial" w:cs="Arial"/>
          <w:sz w:val="20"/>
          <w:szCs w:val="20"/>
        </w:rPr>
        <w:t>.</w:t>
      </w:r>
    </w:p>
    <w:p w14:paraId="4E1D1837" w14:textId="6E1FCEC2" w:rsidR="002031F0" w:rsidRPr="00413DA4" w:rsidRDefault="00F74548" w:rsidP="00413DA4">
      <w:pPr>
        <w:spacing w:line="240" w:lineRule="auto"/>
        <w:jc w:val="both"/>
        <w:rPr>
          <w:rFonts w:ascii="Arial" w:hAnsi="Arial" w:cs="Arial"/>
          <w:sz w:val="20"/>
          <w:szCs w:val="20"/>
        </w:rPr>
      </w:pPr>
      <w:r w:rsidRPr="00413DA4">
        <w:rPr>
          <w:rFonts w:ascii="Arial" w:hAnsi="Arial" w:cs="Arial"/>
          <w:sz w:val="20"/>
          <w:szCs w:val="20"/>
        </w:rPr>
        <w:t xml:space="preserve">The presence of multiple di- and tri-nucleotide repeat-based </w:t>
      </w:r>
      <w:r w:rsidR="008C6675" w:rsidRPr="00413DA4">
        <w:rPr>
          <w:rFonts w:ascii="Arial" w:hAnsi="Arial" w:cs="Arial"/>
          <w:sz w:val="20"/>
          <w:szCs w:val="20"/>
        </w:rPr>
        <w:t xml:space="preserve">ISSR </w:t>
      </w:r>
      <w:r w:rsidRPr="00413DA4">
        <w:rPr>
          <w:rFonts w:ascii="Arial" w:hAnsi="Arial" w:cs="Arial"/>
          <w:sz w:val="20"/>
          <w:szCs w:val="20"/>
        </w:rPr>
        <w:t>primers also supports their ability to survey highly mutable regions of the genome, enabl</w:t>
      </w:r>
      <w:r w:rsidR="00076CE5" w:rsidRPr="00413DA4">
        <w:rPr>
          <w:rFonts w:ascii="Arial" w:hAnsi="Arial" w:cs="Arial"/>
          <w:sz w:val="20"/>
          <w:szCs w:val="20"/>
        </w:rPr>
        <w:t>es</w:t>
      </w:r>
      <w:r w:rsidRPr="00413DA4">
        <w:rPr>
          <w:rFonts w:ascii="Arial" w:hAnsi="Arial" w:cs="Arial"/>
          <w:sz w:val="20"/>
          <w:szCs w:val="20"/>
        </w:rPr>
        <w:t xml:space="preserve"> fine-scale differentiation among individuals</w:t>
      </w:r>
      <w:r w:rsidR="007426DA" w:rsidRPr="00413DA4">
        <w:rPr>
          <w:rFonts w:ascii="Arial" w:hAnsi="Arial" w:cs="Arial"/>
          <w:sz w:val="20"/>
          <w:szCs w:val="20"/>
        </w:rPr>
        <w:t xml:space="preserve"> </w:t>
      </w:r>
      <w:r w:rsidR="00897A33" w:rsidRPr="00413DA4">
        <w:rPr>
          <w:rFonts w:ascii="Arial" w:hAnsi="Arial" w:cs="Arial"/>
          <w:sz w:val="20"/>
          <w:szCs w:val="20"/>
        </w:rPr>
        <w:t>(</w:t>
      </w:r>
      <w:r w:rsidR="00EE7B0C" w:rsidRPr="00413DA4">
        <w:rPr>
          <w:rFonts w:ascii="Arial" w:hAnsi="Arial" w:cs="Arial"/>
          <w:sz w:val="20"/>
          <w:szCs w:val="20"/>
        </w:rPr>
        <w:t xml:space="preserve">Abd- Dada et al., 2023; Galvan et al., 2003; </w:t>
      </w:r>
      <w:proofErr w:type="spellStart"/>
      <w:r w:rsidR="00EE7B0C" w:rsidRPr="00413DA4">
        <w:rPr>
          <w:rFonts w:ascii="Arial" w:hAnsi="Arial" w:cs="Arial"/>
          <w:sz w:val="20"/>
          <w:szCs w:val="20"/>
        </w:rPr>
        <w:t>Shooshtari</w:t>
      </w:r>
      <w:proofErr w:type="spellEnd"/>
      <w:r w:rsidR="00EE7B0C" w:rsidRPr="00413DA4">
        <w:rPr>
          <w:rFonts w:ascii="Arial" w:hAnsi="Arial" w:cs="Arial"/>
          <w:sz w:val="20"/>
          <w:szCs w:val="20"/>
        </w:rPr>
        <w:t xml:space="preserve"> et al., 2024</w:t>
      </w:r>
      <w:r w:rsidR="00897A33" w:rsidRPr="00413DA4">
        <w:rPr>
          <w:rFonts w:ascii="Arial" w:hAnsi="Arial" w:cs="Arial"/>
          <w:sz w:val="20"/>
          <w:szCs w:val="20"/>
        </w:rPr>
        <w:t>)</w:t>
      </w:r>
      <w:r w:rsidR="007426DA" w:rsidRPr="00413DA4">
        <w:rPr>
          <w:rFonts w:ascii="Arial" w:hAnsi="Arial" w:cs="Arial"/>
          <w:sz w:val="20"/>
          <w:szCs w:val="20"/>
        </w:rPr>
        <w:t>.</w:t>
      </w:r>
      <w:r w:rsidRPr="00413DA4">
        <w:rPr>
          <w:rFonts w:ascii="Arial" w:hAnsi="Arial" w:cs="Arial"/>
          <w:sz w:val="20"/>
          <w:szCs w:val="20"/>
        </w:rPr>
        <w:t xml:space="preserve"> These findings are consistent with previous reports where ISSR markers demonstrated high polymorphism and repeatability in tree species and long-lived perennials </w:t>
      </w:r>
      <w:r w:rsidR="00897A33" w:rsidRPr="00413DA4">
        <w:rPr>
          <w:rFonts w:ascii="Arial" w:hAnsi="Arial" w:cs="Arial"/>
          <w:sz w:val="20"/>
          <w:szCs w:val="20"/>
        </w:rPr>
        <w:t>(</w:t>
      </w:r>
      <w:r w:rsidR="00EE7B0C" w:rsidRPr="00413DA4">
        <w:rPr>
          <w:rFonts w:ascii="Arial" w:hAnsi="Arial" w:cs="Arial"/>
          <w:sz w:val="20"/>
          <w:szCs w:val="20"/>
        </w:rPr>
        <w:t>Surabhi et al., 2017; Wolfe et</w:t>
      </w:r>
      <w:r w:rsidR="00897A33" w:rsidRPr="00413DA4">
        <w:rPr>
          <w:rFonts w:ascii="Arial" w:hAnsi="Arial" w:cs="Arial"/>
          <w:sz w:val="20"/>
          <w:szCs w:val="20"/>
        </w:rPr>
        <w:t xml:space="preserve"> al</w:t>
      </w:r>
      <w:r w:rsidR="00EE7B0C" w:rsidRPr="00413DA4">
        <w:rPr>
          <w:rFonts w:ascii="Arial" w:hAnsi="Arial" w:cs="Arial"/>
          <w:sz w:val="20"/>
          <w:szCs w:val="20"/>
        </w:rPr>
        <w:t>., 1998</w:t>
      </w:r>
      <w:r w:rsidR="00897A33" w:rsidRPr="00413DA4">
        <w:rPr>
          <w:rFonts w:ascii="Arial" w:hAnsi="Arial" w:cs="Arial"/>
          <w:sz w:val="20"/>
          <w:szCs w:val="20"/>
        </w:rPr>
        <w:t>)</w:t>
      </w:r>
      <w:r w:rsidR="00E3497B" w:rsidRPr="00413DA4">
        <w:rPr>
          <w:rFonts w:ascii="Arial" w:hAnsi="Arial" w:cs="Arial"/>
          <w:sz w:val="20"/>
          <w:szCs w:val="20"/>
        </w:rPr>
        <w:t xml:space="preserve">. </w:t>
      </w:r>
      <w:r w:rsidRPr="00413DA4">
        <w:rPr>
          <w:rFonts w:ascii="Arial" w:hAnsi="Arial" w:cs="Arial"/>
          <w:sz w:val="20"/>
          <w:szCs w:val="20"/>
        </w:rPr>
        <w:t>While RAPD markers are often criticized for issues related to reproducibility</w:t>
      </w:r>
      <w:r w:rsidR="00586AF8" w:rsidRPr="00413DA4">
        <w:rPr>
          <w:rFonts w:ascii="Arial" w:hAnsi="Arial" w:cs="Arial"/>
          <w:sz w:val="20"/>
          <w:szCs w:val="20"/>
        </w:rPr>
        <w:t xml:space="preserve"> </w:t>
      </w:r>
      <w:r w:rsidR="00897A33" w:rsidRPr="00413DA4">
        <w:rPr>
          <w:rFonts w:ascii="Arial" w:hAnsi="Arial" w:cs="Arial"/>
          <w:sz w:val="20"/>
          <w:szCs w:val="20"/>
        </w:rPr>
        <w:t>(</w:t>
      </w:r>
      <w:r w:rsidR="00EE7B0C" w:rsidRPr="00413DA4">
        <w:rPr>
          <w:rFonts w:ascii="Arial" w:hAnsi="Arial" w:cs="Arial"/>
          <w:sz w:val="20"/>
          <w:szCs w:val="20"/>
        </w:rPr>
        <w:t>Mondal and De, 2025</w:t>
      </w:r>
      <w:r w:rsidR="00897A33" w:rsidRPr="00413DA4">
        <w:rPr>
          <w:rFonts w:ascii="Arial" w:hAnsi="Arial" w:cs="Arial"/>
          <w:sz w:val="20"/>
          <w:szCs w:val="20"/>
        </w:rPr>
        <w:t>)</w:t>
      </w:r>
      <w:r w:rsidRPr="00413DA4">
        <w:rPr>
          <w:rFonts w:ascii="Arial" w:hAnsi="Arial" w:cs="Arial"/>
          <w:sz w:val="20"/>
          <w:szCs w:val="20"/>
        </w:rPr>
        <w:t xml:space="preserve">, the carefully optimized reaction conditions particularly annealing temperature and cycle number ensured clear and scorable bands in </w:t>
      </w:r>
      <w:r w:rsidR="002948B2" w:rsidRPr="00413DA4">
        <w:rPr>
          <w:rFonts w:ascii="Arial" w:hAnsi="Arial" w:cs="Arial"/>
          <w:sz w:val="20"/>
          <w:szCs w:val="20"/>
        </w:rPr>
        <w:t xml:space="preserve">our </w:t>
      </w:r>
      <w:r w:rsidRPr="00413DA4">
        <w:rPr>
          <w:rFonts w:ascii="Arial" w:hAnsi="Arial" w:cs="Arial"/>
          <w:sz w:val="20"/>
          <w:szCs w:val="20"/>
        </w:rPr>
        <w:t xml:space="preserve">study. The successful application of RAPDs highlights their utility as rapid, cost-effective markers for preliminary screening and genotype differentiation in </w:t>
      </w:r>
      <w:r w:rsidRPr="00413DA4">
        <w:rPr>
          <w:rFonts w:ascii="Arial" w:hAnsi="Arial" w:cs="Arial"/>
          <w:i/>
          <w:iCs/>
          <w:sz w:val="20"/>
          <w:szCs w:val="20"/>
        </w:rPr>
        <w:t>D. melanoxylon</w:t>
      </w:r>
      <w:r w:rsidRPr="00413DA4">
        <w:rPr>
          <w:rFonts w:ascii="Arial" w:hAnsi="Arial" w:cs="Arial"/>
          <w:sz w:val="20"/>
          <w:szCs w:val="20"/>
        </w:rPr>
        <w:t>.</w:t>
      </w:r>
      <w:r w:rsidR="008C6675" w:rsidRPr="00413DA4">
        <w:rPr>
          <w:rFonts w:ascii="Arial" w:hAnsi="Arial" w:cs="Arial"/>
          <w:sz w:val="20"/>
          <w:szCs w:val="20"/>
        </w:rPr>
        <w:t xml:space="preserve"> </w:t>
      </w:r>
      <w:r w:rsidR="00076CE5" w:rsidRPr="00413DA4">
        <w:rPr>
          <w:rFonts w:ascii="Arial" w:hAnsi="Arial" w:cs="Arial"/>
          <w:sz w:val="20"/>
          <w:szCs w:val="20"/>
        </w:rPr>
        <w:t xml:space="preserve">The </w:t>
      </w:r>
      <w:r w:rsidRPr="00413DA4">
        <w:rPr>
          <w:rFonts w:ascii="Arial" w:hAnsi="Arial" w:cs="Arial"/>
          <w:sz w:val="20"/>
          <w:szCs w:val="20"/>
        </w:rPr>
        <w:t>SCoT markers provide</w:t>
      </w:r>
      <w:r w:rsidR="0077106F" w:rsidRPr="00413DA4">
        <w:rPr>
          <w:rFonts w:ascii="Arial" w:hAnsi="Arial" w:cs="Arial"/>
          <w:sz w:val="20"/>
          <w:szCs w:val="20"/>
        </w:rPr>
        <w:t>d</w:t>
      </w:r>
      <w:r w:rsidRPr="00413DA4">
        <w:rPr>
          <w:rFonts w:ascii="Arial" w:hAnsi="Arial" w:cs="Arial"/>
          <w:sz w:val="20"/>
          <w:szCs w:val="20"/>
        </w:rPr>
        <w:t xml:space="preserve"> a complementary perspective by targeting gene-rich regions associated with the start codon ATG</w:t>
      </w:r>
      <w:r w:rsidR="00336E3D" w:rsidRPr="00413DA4">
        <w:rPr>
          <w:rFonts w:ascii="Arial" w:hAnsi="Arial" w:cs="Arial"/>
          <w:sz w:val="20"/>
          <w:szCs w:val="20"/>
        </w:rPr>
        <w:t xml:space="preserve"> </w:t>
      </w:r>
      <w:r w:rsidR="00897A33" w:rsidRPr="00413DA4">
        <w:rPr>
          <w:rFonts w:ascii="Arial" w:hAnsi="Arial" w:cs="Arial"/>
          <w:sz w:val="20"/>
          <w:szCs w:val="20"/>
        </w:rPr>
        <w:t>(</w:t>
      </w:r>
      <w:r w:rsidR="00EE7B0C" w:rsidRPr="00413DA4">
        <w:rPr>
          <w:rFonts w:ascii="Arial" w:hAnsi="Arial" w:cs="Arial"/>
          <w:sz w:val="20"/>
          <w:szCs w:val="20"/>
        </w:rPr>
        <w:t>Collard and Mackill, 2009</w:t>
      </w:r>
      <w:r w:rsidR="00897A33" w:rsidRPr="00413DA4">
        <w:rPr>
          <w:rFonts w:ascii="Arial" w:hAnsi="Arial" w:cs="Arial"/>
          <w:sz w:val="20"/>
          <w:szCs w:val="20"/>
        </w:rPr>
        <w:t>)</w:t>
      </w:r>
      <w:r w:rsidRPr="00413DA4">
        <w:rPr>
          <w:rFonts w:ascii="Arial" w:hAnsi="Arial" w:cs="Arial"/>
          <w:sz w:val="20"/>
          <w:szCs w:val="20"/>
        </w:rPr>
        <w:t>. This aligns with earlier findings that SCoT markers are highly informative in tree species</w:t>
      </w:r>
      <w:r w:rsidR="006C57A8" w:rsidRPr="00413DA4">
        <w:rPr>
          <w:rFonts w:ascii="Arial" w:hAnsi="Arial" w:cs="Arial"/>
          <w:sz w:val="20"/>
          <w:szCs w:val="20"/>
        </w:rPr>
        <w:t>,</w:t>
      </w:r>
      <w:r w:rsidRPr="00413DA4">
        <w:rPr>
          <w:rFonts w:ascii="Arial" w:hAnsi="Arial" w:cs="Arial"/>
          <w:sz w:val="20"/>
          <w:szCs w:val="20"/>
        </w:rPr>
        <w:t xml:space="preserve"> due to their relatively greater association with expressed genomic regions</w:t>
      </w:r>
      <w:r w:rsidR="00336E3D" w:rsidRPr="00413DA4">
        <w:rPr>
          <w:rFonts w:ascii="Arial" w:hAnsi="Arial" w:cs="Arial"/>
          <w:sz w:val="20"/>
          <w:szCs w:val="20"/>
        </w:rPr>
        <w:t xml:space="preserve"> and universal nature </w:t>
      </w:r>
      <w:r w:rsidR="00897A33" w:rsidRPr="00413DA4">
        <w:rPr>
          <w:rFonts w:ascii="Arial" w:hAnsi="Arial" w:cs="Arial"/>
          <w:sz w:val="20"/>
          <w:szCs w:val="20"/>
        </w:rPr>
        <w:t>(</w:t>
      </w:r>
      <w:r w:rsidR="00EE7B0C" w:rsidRPr="00413DA4">
        <w:rPr>
          <w:rFonts w:ascii="Arial" w:hAnsi="Arial" w:cs="Arial"/>
          <w:sz w:val="20"/>
          <w:szCs w:val="20"/>
        </w:rPr>
        <w:t>Luo et</w:t>
      </w:r>
      <w:r w:rsidR="00897A33" w:rsidRPr="00413DA4">
        <w:rPr>
          <w:rFonts w:ascii="Arial" w:hAnsi="Arial" w:cs="Arial"/>
          <w:sz w:val="20"/>
          <w:szCs w:val="20"/>
        </w:rPr>
        <w:t xml:space="preserve"> </w:t>
      </w:r>
      <w:r w:rsidR="00EE7B0C" w:rsidRPr="00413DA4">
        <w:rPr>
          <w:rFonts w:ascii="Arial" w:hAnsi="Arial" w:cs="Arial"/>
          <w:sz w:val="20"/>
          <w:szCs w:val="20"/>
        </w:rPr>
        <w:t>al., 2010;</w:t>
      </w:r>
      <w:r w:rsidR="00E3498B" w:rsidRPr="00413DA4">
        <w:rPr>
          <w:rFonts w:ascii="Arial" w:hAnsi="Arial" w:cs="Arial"/>
          <w:sz w:val="20"/>
          <w:szCs w:val="20"/>
        </w:rPr>
        <w:t xml:space="preserve"> </w:t>
      </w:r>
      <w:r w:rsidR="00EE7B0C" w:rsidRPr="00413DA4">
        <w:rPr>
          <w:rFonts w:ascii="Arial" w:hAnsi="Arial" w:cs="Arial"/>
          <w:sz w:val="20"/>
          <w:szCs w:val="20"/>
        </w:rPr>
        <w:t>Puneeth et al., 2023; Orman et al., 2025</w:t>
      </w:r>
      <w:r w:rsidR="00897A33" w:rsidRPr="00413DA4">
        <w:rPr>
          <w:rFonts w:ascii="Arial" w:hAnsi="Arial" w:cs="Arial"/>
          <w:sz w:val="20"/>
          <w:szCs w:val="20"/>
        </w:rPr>
        <w:t>)</w:t>
      </w:r>
      <w:r w:rsidRPr="00413DA4">
        <w:rPr>
          <w:rFonts w:ascii="Arial" w:hAnsi="Arial" w:cs="Arial"/>
          <w:sz w:val="20"/>
          <w:szCs w:val="20"/>
        </w:rPr>
        <w:t xml:space="preserve">. </w:t>
      </w:r>
      <w:r w:rsidR="0033647F" w:rsidRPr="00413DA4">
        <w:rPr>
          <w:rFonts w:ascii="Arial" w:hAnsi="Arial" w:cs="Arial"/>
          <w:sz w:val="20"/>
          <w:szCs w:val="20"/>
        </w:rPr>
        <w:t xml:space="preserve">SCoT markers, being gene-targeted, offered unique insights into functionally important regions of the genome </w:t>
      </w:r>
      <w:r w:rsidR="00897A33" w:rsidRPr="00413DA4">
        <w:rPr>
          <w:rFonts w:ascii="Arial" w:hAnsi="Arial" w:cs="Arial"/>
          <w:sz w:val="20"/>
          <w:szCs w:val="20"/>
        </w:rPr>
        <w:t>(</w:t>
      </w:r>
      <w:r w:rsidR="00EE7B0C" w:rsidRPr="00413DA4">
        <w:rPr>
          <w:rFonts w:ascii="Arial" w:hAnsi="Arial" w:cs="Arial"/>
          <w:sz w:val="20"/>
          <w:szCs w:val="20"/>
        </w:rPr>
        <w:t>Badr and Jaki, 2024</w:t>
      </w:r>
      <w:r w:rsidR="00897A33" w:rsidRPr="00413DA4">
        <w:rPr>
          <w:rFonts w:ascii="Arial" w:hAnsi="Arial" w:cs="Arial"/>
          <w:sz w:val="20"/>
          <w:szCs w:val="20"/>
        </w:rPr>
        <w:t>)</w:t>
      </w:r>
      <w:r w:rsidR="0033647F" w:rsidRPr="00413DA4">
        <w:rPr>
          <w:rFonts w:ascii="Arial" w:hAnsi="Arial" w:cs="Arial"/>
          <w:sz w:val="20"/>
          <w:szCs w:val="20"/>
        </w:rPr>
        <w:t xml:space="preserve">. Their strong reproducibility and ability to reveal functional variation make them valuable for exploring adaptive traits and assessing genetic diversity linked to expressed regions, providing a bridge between molecular variation and potential phenotypic diversity </w:t>
      </w:r>
      <w:r w:rsidR="00897A33" w:rsidRPr="00413DA4">
        <w:rPr>
          <w:rFonts w:ascii="Arial" w:hAnsi="Arial" w:cs="Arial"/>
          <w:sz w:val="20"/>
          <w:szCs w:val="20"/>
        </w:rPr>
        <w:t>(</w:t>
      </w:r>
      <w:r w:rsidR="00EE7B0C" w:rsidRPr="00413DA4">
        <w:rPr>
          <w:rFonts w:ascii="Arial" w:hAnsi="Arial" w:cs="Arial"/>
          <w:sz w:val="20"/>
          <w:szCs w:val="20"/>
        </w:rPr>
        <w:t>Collard and Mackill, 2009</w:t>
      </w:r>
      <w:r w:rsidR="00897A33" w:rsidRPr="00413DA4">
        <w:rPr>
          <w:rFonts w:ascii="Arial" w:hAnsi="Arial" w:cs="Arial"/>
          <w:sz w:val="20"/>
          <w:szCs w:val="20"/>
        </w:rPr>
        <w:t>)</w:t>
      </w:r>
      <w:r w:rsidR="0033647F" w:rsidRPr="00413DA4">
        <w:rPr>
          <w:rFonts w:ascii="Arial" w:hAnsi="Arial" w:cs="Arial"/>
          <w:sz w:val="20"/>
          <w:szCs w:val="20"/>
        </w:rPr>
        <w:t xml:space="preserve"> </w:t>
      </w:r>
      <w:r w:rsidRPr="00413DA4">
        <w:rPr>
          <w:rFonts w:ascii="Arial" w:hAnsi="Arial" w:cs="Arial"/>
          <w:sz w:val="20"/>
          <w:szCs w:val="20"/>
        </w:rPr>
        <w:t>The absence or weaker amplification with primer</w:t>
      </w:r>
      <w:r w:rsidR="006C57A8" w:rsidRPr="00413DA4">
        <w:rPr>
          <w:rFonts w:ascii="Arial" w:hAnsi="Arial" w:cs="Arial"/>
          <w:sz w:val="20"/>
          <w:szCs w:val="20"/>
        </w:rPr>
        <w:t>s</w:t>
      </w:r>
      <w:r w:rsidRPr="00413DA4">
        <w:rPr>
          <w:rFonts w:ascii="Arial" w:hAnsi="Arial" w:cs="Arial"/>
          <w:sz w:val="20"/>
          <w:szCs w:val="20"/>
        </w:rPr>
        <w:t xml:space="preserve"> like SCoT20 reflects inherent differences in primer specificity and possible low-copy regions in the </w:t>
      </w:r>
      <w:proofErr w:type="spellStart"/>
      <w:r w:rsidRPr="00413DA4">
        <w:rPr>
          <w:rFonts w:ascii="Arial" w:hAnsi="Arial" w:cs="Arial"/>
          <w:sz w:val="20"/>
          <w:szCs w:val="20"/>
        </w:rPr>
        <w:t>kendu</w:t>
      </w:r>
      <w:proofErr w:type="spellEnd"/>
      <w:r w:rsidRPr="00413DA4">
        <w:rPr>
          <w:rFonts w:ascii="Arial" w:hAnsi="Arial" w:cs="Arial"/>
          <w:sz w:val="20"/>
          <w:szCs w:val="20"/>
        </w:rPr>
        <w:t xml:space="preserve"> genome</w:t>
      </w:r>
      <w:r w:rsidR="007342B3" w:rsidRPr="00413DA4">
        <w:rPr>
          <w:rFonts w:ascii="Arial" w:hAnsi="Arial" w:cs="Arial"/>
          <w:sz w:val="20"/>
          <w:szCs w:val="20"/>
        </w:rPr>
        <w:t xml:space="preserve"> </w:t>
      </w:r>
      <w:r w:rsidR="00897A33" w:rsidRPr="00413DA4">
        <w:rPr>
          <w:rFonts w:ascii="Arial" w:hAnsi="Arial" w:cs="Arial"/>
          <w:sz w:val="20"/>
          <w:szCs w:val="20"/>
        </w:rPr>
        <w:t>(</w:t>
      </w:r>
      <w:r w:rsidR="00EE7B0C" w:rsidRPr="00413DA4">
        <w:rPr>
          <w:rFonts w:ascii="Arial" w:hAnsi="Arial" w:cs="Arial"/>
          <w:sz w:val="20"/>
          <w:szCs w:val="20"/>
        </w:rPr>
        <w:t>Ozbek</w:t>
      </w:r>
      <w:r w:rsidR="0021687A" w:rsidRPr="00413DA4">
        <w:rPr>
          <w:rFonts w:ascii="Arial" w:hAnsi="Arial" w:cs="Arial"/>
          <w:sz w:val="20"/>
          <w:szCs w:val="20"/>
        </w:rPr>
        <w:t>,</w:t>
      </w:r>
      <w:r w:rsidR="00EE7B0C" w:rsidRPr="00413DA4">
        <w:rPr>
          <w:rFonts w:ascii="Arial" w:hAnsi="Arial" w:cs="Arial"/>
          <w:sz w:val="20"/>
          <w:szCs w:val="20"/>
        </w:rPr>
        <w:t xml:space="preserve"> 2024; Rasul et al., 2025</w:t>
      </w:r>
      <w:r w:rsidR="00897A33" w:rsidRPr="00413DA4">
        <w:rPr>
          <w:rFonts w:ascii="Arial" w:hAnsi="Arial" w:cs="Arial"/>
          <w:sz w:val="20"/>
          <w:szCs w:val="20"/>
        </w:rPr>
        <w:t>)</w:t>
      </w:r>
      <w:r w:rsidRPr="00413DA4">
        <w:rPr>
          <w:rFonts w:ascii="Arial" w:hAnsi="Arial" w:cs="Arial"/>
          <w:sz w:val="20"/>
          <w:szCs w:val="20"/>
        </w:rPr>
        <w:t>.</w:t>
      </w:r>
    </w:p>
    <w:p w14:paraId="2C687B66" w14:textId="451C7862" w:rsidR="00F74548" w:rsidRPr="00413DA4" w:rsidRDefault="001B71D3" w:rsidP="00413DA4">
      <w:pPr>
        <w:spacing w:line="240" w:lineRule="auto"/>
        <w:jc w:val="both"/>
        <w:rPr>
          <w:rFonts w:ascii="Arial" w:hAnsi="Arial" w:cs="Arial"/>
          <w:sz w:val="20"/>
          <w:szCs w:val="20"/>
        </w:rPr>
      </w:pPr>
      <w:r w:rsidRPr="00413DA4">
        <w:rPr>
          <w:rFonts w:ascii="Arial" w:hAnsi="Arial" w:cs="Arial"/>
          <w:sz w:val="20"/>
          <w:szCs w:val="20"/>
        </w:rPr>
        <w:t>The comparative analysis of</w:t>
      </w:r>
      <w:r w:rsidR="00F74548" w:rsidRPr="00413DA4">
        <w:rPr>
          <w:rFonts w:ascii="Arial" w:hAnsi="Arial" w:cs="Arial"/>
          <w:sz w:val="20"/>
          <w:szCs w:val="20"/>
        </w:rPr>
        <w:t xml:space="preserve"> </w:t>
      </w:r>
      <w:r w:rsidRPr="00413DA4">
        <w:rPr>
          <w:rFonts w:ascii="Arial" w:hAnsi="Arial" w:cs="Arial"/>
          <w:sz w:val="20"/>
          <w:szCs w:val="20"/>
        </w:rPr>
        <w:t xml:space="preserve">all the </w:t>
      </w:r>
      <w:r w:rsidR="00F74548" w:rsidRPr="00413DA4">
        <w:rPr>
          <w:rFonts w:ascii="Arial" w:hAnsi="Arial" w:cs="Arial"/>
          <w:sz w:val="20"/>
          <w:szCs w:val="20"/>
        </w:rPr>
        <w:t>three marker systems</w:t>
      </w:r>
      <w:r w:rsidRPr="00413DA4">
        <w:rPr>
          <w:rFonts w:ascii="Arial" w:hAnsi="Arial" w:cs="Arial"/>
          <w:sz w:val="20"/>
          <w:szCs w:val="20"/>
        </w:rPr>
        <w:t xml:space="preserve"> revealed that, the </w:t>
      </w:r>
      <w:r w:rsidR="00F74548" w:rsidRPr="00413DA4">
        <w:rPr>
          <w:rFonts w:ascii="Arial" w:hAnsi="Arial" w:cs="Arial"/>
          <w:sz w:val="20"/>
          <w:szCs w:val="20"/>
        </w:rPr>
        <w:t xml:space="preserve">RAPD </w:t>
      </w:r>
      <w:r w:rsidR="00627F3D" w:rsidRPr="00413DA4">
        <w:rPr>
          <w:rFonts w:ascii="Arial" w:hAnsi="Arial" w:cs="Arial"/>
          <w:sz w:val="20"/>
          <w:szCs w:val="20"/>
        </w:rPr>
        <w:t xml:space="preserve">yielded </w:t>
      </w:r>
      <w:r w:rsidR="00F74548" w:rsidRPr="00413DA4">
        <w:rPr>
          <w:rFonts w:ascii="Arial" w:hAnsi="Arial" w:cs="Arial"/>
          <w:sz w:val="20"/>
          <w:szCs w:val="20"/>
        </w:rPr>
        <w:t>highest number of total alleles (105)</w:t>
      </w:r>
      <w:r w:rsidR="008722EB">
        <w:rPr>
          <w:rFonts w:ascii="Arial" w:hAnsi="Arial" w:cs="Arial"/>
          <w:sz w:val="20"/>
          <w:szCs w:val="20"/>
        </w:rPr>
        <w:t xml:space="preserve"> accounted for 38.74% (271 total amplified alleles detected from three marker systems)</w:t>
      </w:r>
      <w:r w:rsidR="00F74548" w:rsidRPr="00413DA4">
        <w:rPr>
          <w:rFonts w:ascii="Arial" w:hAnsi="Arial" w:cs="Arial"/>
          <w:sz w:val="20"/>
          <w:szCs w:val="20"/>
        </w:rPr>
        <w:t xml:space="preserve">, followed by ISSR (96) </w:t>
      </w:r>
      <w:r w:rsidR="008722EB">
        <w:rPr>
          <w:rFonts w:ascii="Arial" w:hAnsi="Arial" w:cs="Arial"/>
          <w:sz w:val="20"/>
          <w:szCs w:val="20"/>
        </w:rPr>
        <w:t xml:space="preserve">35.42% </w:t>
      </w:r>
      <w:r w:rsidR="00F74548" w:rsidRPr="00413DA4">
        <w:rPr>
          <w:rFonts w:ascii="Arial" w:hAnsi="Arial" w:cs="Arial"/>
          <w:sz w:val="20"/>
          <w:szCs w:val="20"/>
        </w:rPr>
        <w:t>and SCoT (70 at optimal cycle number)</w:t>
      </w:r>
      <w:r w:rsidR="008722EB">
        <w:rPr>
          <w:rFonts w:ascii="Arial" w:hAnsi="Arial" w:cs="Arial"/>
          <w:sz w:val="20"/>
          <w:szCs w:val="20"/>
        </w:rPr>
        <w:t xml:space="preserve"> 25.83% of the total amplified fragments detected in the study</w:t>
      </w:r>
      <w:r w:rsidR="00F74548" w:rsidRPr="00413DA4">
        <w:rPr>
          <w:rFonts w:ascii="Arial" w:hAnsi="Arial" w:cs="Arial"/>
          <w:sz w:val="20"/>
          <w:szCs w:val="20"/>
        </w:rPr>
        <w:t xml:space="preserve">. </w:t>
      </w:r>
      <w:r w:rsidRPr="00413DA4">
        <w:rPr>
          <w:rFonts w:ascii="Arial" w:hAnsi="Arial" w:cs="Arial"/>
          <w:sz w:val="20"/>
          <w:szCs w:val="20"/>
        </w:rPr>
        <w:t xml:space="preserve"> Though the </w:t>
      </w:r>
      <w:r w:rsidR="00F74548" w:rsidRPr="00413DA4">
        <w:rPr>
          <w:rFonts w:ascii="Arial" w:hAnsi="Arial" w:cs="Arial"/>
          <w:sz w:val="20"/>
          <w:szCs w:val="20"/>
        </w:rPr>
        <w:t xml:space="preserve">RAPD yielded </w:t>
      </w:r>
      <w:r w:rsidR="00627F3D" w:rsidRPr="00413DA4">
        <w:rPr>
          <w:rFonts w:ascii="Arial" w:hAnsi="Arial" w:cs="Arial"/>
          <w:sz w:val="20"/>
          <w:szCs w:val="20"/>
        </w:rPr>
        <w:t xml:space="preserve">high number of alleles </w:t>
      </w:r>
      <w:r w:rsidRPr="00413DA4">
        <w:rPr>
          <w:rFonts w:ascii="Arial" w:hAnsi="Arial" w:cs="Arial"/>
          <w:sz w:val="20"/>
          <w:szCs w:val="20"/>
        </w:rPr>
        <w:t xml:space="preserve">in </w:t>
      </w:r>
      <w:r w:rsidR="00F74548" w:rsidRPr="00413DA4">
        <w:rPr>
          <w:rFonts w:ascii="Arial" w:hAnsi="Arial" w:cs="Arial"/>
          <w:sz w:val="20"/>
          <w:szCs w:val="20"/>
        </w:rPr>
        <w:t xml:space="preserve">overall, ISSR exhibited higher consistency and clarity, while SCoT contributed unique gene-targeted information. </w:t>
      </w:r>
      <w:r w:rsidR="00627F3D" w:rsidRPr="00413DA4">
        <w:rPr>
          <w:rFonts w:ascii="Arial" w:hAnsi="Arial" w:cs="Arial"/>
          <w:sz w:val="20"/>
          <w:szCs w:val="20"/>
        </w:rPr>
        <w:t xml:space="preserve">The combined application of these markers </w:t>
      </w:r>
      <w:r w:rsidR="00F74548" w:rsidRPr="00413DA4">
        <w:rPr>
          <w:rFonts w:ascii="Arial" w:hAnsi="Arial" w:cs="Arial"/>
          <w:sz w:val="20"/>
          <w:szCs w:val="20"/>
        </w:rPr>
        <w:t>thus enhances the depth and breadth of genomic interrogation</w:t>
      </w:r>
      <w:r w:rsidR="00586AF8" w:rsidRPr="00413DA4">
        <w:rPr>
          <w:rFonts w:ascii="Arial" w:hAnsi="Arial" w:cs="Arial"/>
          <w:sz w:val="20"/>
          <w:szCs w:val="20"/>
        </w:rPr>
        <w:t xml:space="preserve"> </w:t>
      </w:r>
      <w:r w:rsidR="00897A33" w:rsidRPr="00413DA4">
        <w:rPr>
          <w:rFonts w:ascii="Arial" w:hAnsi="Arial" w:cs="Arial"/>
          <w:sz w:val="20"/>
          <w:szCs w:val="20"/>
        </w:rPr>
        <w:t>(</w:t>
      </w:r>
      <w:r w:rsidR="00EE7B0C" w:rsidRPr="00413DA4">
        <w:rPr>
          <w:rFonts w:ascii="Arial" w:hAnsi="Arial" w:cs="Arial"/>
          <w:sz w:val="20"/>
          <w:szCs w:val="20"/>
        </w:rPr>
        <w:t xml:space="preserve">Tiwari et al., 2016; Gogoi et al., 2020; </w:t>
      </w:r>
      <w:proofErr w:type="spellStart"/>
      <w:r w:rsidR="008121C0" w:rsidRPr="00413DA4">
        <w:rPr>
          <w:rFonts w:ascii="Arial" w:hAnsi="Arial" w:cs="Arial"/>
          <w:sz w:val="20"/>
          <w:szCs w:val="20"/>
        </w:rPr>
        <w:t>Porandla</w:t>
      </w:r>
      <w:proofErr w:type="spellEnd"/>
      <w:r w:rsidR="008121C0" w:rsidRPr="00413DA4">
        <w:rPr>
          <w:rFonts w:ascii="Arial" w:hAnsi="Arial" w:cs="Arial"/>
          <w:sz w:val="20"/>
          <w:szCs w:val="20"/>
        </w:rPr>
        <w:t xml:space="preserve"> et al., 2025</w:t>
      </w:r>
      <w:r w:rsidR="00897A33" w:rsidRPr="00413DA4">
        <w:rPr>
          <w:rFonts w:ascii="Arial" w:hAnsi="Arial" w:cs="Arial"/>
          <w:sz w:val="20"/>
          <w:szCs w:val="20"/>
        </w:rPr>
        <w:t>)</w:t>
      </w:r>
      <w:r w:rsidR="00586AF8" w:rsidRPr="00413DA4">
        <w:rPr>
          <w:rFonts w:ascii="Arial" w:hAnsi="Arial" w:cs="Arial"/>
          <w:sz w:val="20"/>
          <w:szCs w:val="20"/>
        </w:rPr>
        <w:t>.</w:t>
      </w:r>
      <w:r w:rsidR="00F74548" w:rsidRPr="00413DA4">
        <w:rPr>
          <w:rFonts w:ascii="Arial" w:hAnsi="Arial" w:cs="Arial"/>
          <w:sz w:val="20"/>
          <w:szCs w:val="20"/>
        </w:rPr>
        <w:t xml:space="preserve"> The complementary nature of these </w:t>
      </w:r>
      <w:r w:rsidR="00290B31" w:rsidRPr="00413DA4">
        <w:rPr>
          <w:rFonts w:ascii="Arial" w:hAnsi="Arial" w:cs="Arial"/>
          <w:sz w:val="20"/>
          <w:szCs w:val="20"/>
        </w:rPr>
        <w:t xml:space="preserve">three </w:t>
      </w:r>
      <w:r w:rsidR="00F74548" w:rsidRPr="00413DA4">
        <w:rPr>
          <w:rFonts w:ascii="Arial" w:hAnsi="Arial" w:cs="Arial"/>
          <w:sz w:val="20"/>
          <w:szCs w:val="20"/>
        </w:rPr>
        <w:t>markers provide</w:t>
      </w:r>
      <w:r w:rsidR="00290B31" w:rsidRPr="00413DA4">
        <w:rPr>
          <w:rFonts w:ascii="Arial" w:hAnsi="Arial" w:cs="Arial"/>
          <w:sz w:val="20"/>
          <w:szCs w:val="20"/>
        </w:rPr>
        <w:t>d</w:t>
      </w:r>
      <w:r w:rsidR="00F74548" w:rsidRPr="00413DA4">
        <w:rPr>
          <w:rFonts w:ascii="Arial" w:hAnsi="Arial" w:cs="Arial"/>
          <w:sz w:val="20"/>
          <w:szCs w:val="20"/>
        </w:rPr>
        <w:t xml:space="preserve"> a strong rationale for integrated </w:t>
      </w:r>
      <w:r w:rsidR="00DA3E0F" w:rsidRPr="00413DA4">
        <w:rPr>
          <w:rFonts w:ascii="Arial" w:hAnsi="Arial" w:cs="Arial"/>
          <w:sz w:val="20"/>
          <w:szCs w:val="20"/>
        </w:rPr>
        <w:t xml:space="preserve">platform in </w:t>
      </w:r>
      <w:r w:rsidR="006C57A8" w:rsidRPr="00413DA4">
        <w:rPr>
          <w:rFonts w:ascii="Arial" w:hAnsi="Arial" w:cs="Arial"/>
          <w:sz w:val="20"/>
          <w:szCs w:val="20"/>
        </w:rPr>
        <w:t xml:space="preserve">conducting future studies on </w:t>
      </w:r>
      <w:r w:rsidR="00DA3E0F" w:rsidRPr="00413DA4">
        <w:rPr>
          <w:rFonts w:ascii="Arial" w:hAnsi="Arial" w:cs="Arial"/>
          <w:sz w:val="20"/>
          <w:szCs w:val="20"/>
        </w:rPr>
        <w:t xml:space="preserve">intra and inter-population genetic variation </w:t>
      </w:r>
      <w:r w:rsidR="006C57A8" w:rsidRPr="00413DA4">
        <w:rPr>
          <w:rFonts w:ascii="Arial" w:hAnsi="Arial" w:cs="Arial"/>
          <w:sz w:val="20"/>
          <w:szCs w:val="20"/>
        </w:rPr>
        <w:t xml:space="preserve">for </w:t>
      </w:r>
      <w:r w:rsidR="00F74548" w:rsidRPr="00413DA4">
        <w:rPr>
          <w:rFonts w:ascii="Arial" w:hAnsi="Arial" w:cs="Arial"/>
          <w:sz w:val="20"/>
          <w:szCs w:val="20"/>
        </w:rPr>
        <w:t xml:space="preserve">species like </w:t>
      </w:r>
      <w:r w:rsidR="00F74548" w:rsidRPr="00413DA4">
        <w:rPr>
          <w:rFonts w:ascii="Arial" w:hAnsi="Arial" w:cs="Arial"/>
          <w:i/>
          <w:iCs/>
          <w:sz w:val="20"/>
          <w:szCs w:val="20"/>
        </w:rPr>
        <w:t>D. melanoxylon</w:t>
      </w:r>
      <w:r w:rsidR="00F74548" w:rsidRPr="00413DA4">
        <w:rPr>
          <w:rFonts w:ascii="Arial" w:hAnsi="Arial" w:cs="Arial"/>
          <w:sz w:val="20"/>
          <w:szCs w:val="20"/>
        </w:rPr>
        <w:t xml:space="preserve">, where </w:t>
      </w:r>
      <w:r w:rsidR="006C57A8" w:rsidRPr="00413DA4">
        <w:rPr>
          <w:rFonts w:ascii="Arial" w:hAnsi="Arial" w:cs="Arial"/>
          <w:sz w:val="20"/>
          <w:szCs w:val="20"/>
        </w:rPr>
        <w:t xml:space="preserve">data base </w:t>
      </w:r>
      <w:r w:rsidR="00F74548" w:rsidRPr="00413DA4">
        <w:rPr>
          <w:rFonts w:ascii="Arial" w:hAnsi="Arial" w:cs="Arial"/>
          <w:sz w:val="20"/>
          <w:szCs w:val="20"/>
        </w:rPr>
        <w:t>information is still sparse.</w:t>
      </w:r>
    </w:p>
    <w:p w14:paraId="3F52D32B" w14:textId="20D5AE51" w:rsidR="00F74548" w:rsidRPr="00413DA4" w:rsidRDefault="00F74548" w:rsidP="00413DA4">
      <w:pPr>
        <w:spacing w:line="240" w:lineRule="auto"/>
        <w:jc w:val="both"/>
        <w:rPr>
          <w:rFonts w:ascii="Arial" w:hAnsi="Arial" w:cs="Arial"/>
          <w:sz w:val="20"/>
          <w:szCs w:val="20"/>
        </w:rPr>
      </w:pPr>
      <w:r w:rsidRPr="00413DA4">
        <w:rPr>
          <w:rFonts w:ascii="Arial" w:hAnsi="Arial" w:cs="Arial"/>
          <w:sz w:val="20"/>
          <w:szCs w:val="20"/>
        </w:rPr>
        <w:t xml:space="preserve">The </w:t>
      </w:r>
      <w:r w:rsidR="00DA3E0F" w:rsidRPr="00413DA4">
        <w:rPr>
          <w:rFonts w:ascii="Arial" w:hAnsi="Arial" w:cs="Arial"/>
          <w:sz w:val="20"/>
          <w:szCs w:val="20"/>
        </w:rPr>
        <w:t xml:space="preserve">study </w:t>
      </w:r>
      <w:r w:rsidR="00CA662E" w:rsidRPr="00413DA4">
        <w:rPr>
          <w:rFonts w:ascii="Arial" w:hAnsi="Arial" w:cs="Arial"/>
          <w:sz w:val="20"/>
          <w:szCs w:val="20"/>
        </w:rPr>
        <w:t>emphasizes</w:t>
      </w:r>
      <w:r w:rsidRPr="00413DA4">
        <w:rPr>
          <w:rFonts w:ascii="Arial" w:hAnsi="Arial" w:cs="Arial"/>
          <w:sz w:val="20"/>
          <w:szCs w:val="20"/>
        </w:rPr>
        <w:t xml:space="preserve"> that optimized PCR parameters, including annealing temperature and cycle number, are essential for achieving reproducible</w:t>
      </w:r>
      <w:r w:rsidR="006C57A8" w:rsidRPr="00413DA4">
        <w:rPr>
          <w:rFonts w:ascii="Arial" w:hAnsi="Arial" w:cs="Arial"/>
          <w:sz w:val="20"/>
          <w:szCs w:val="20"/>
        </w:rPr>
        <w:t xml:space="preserve"> fingerprinting profiles</w:t>
      </w:r>
      <w:r w:rsidRPr="00413DA4">
        <w:rPr>
          <w:rFonts w:ascii="Arial" w:hAnsi="Arial" w:cs="Arial"/>
          <w:sz w:val="20"/>
          <w:szCs w:val="20"/>
        </w:rPr>
        <w:t xml:space="preserve"> </w:t>
      </w:r>
      <w:r w:rsidR="00897A33" w:rsidRPr="00413DA4">
        <w:rPr>
          <w:rFonts w:ascii="Arial" w:hAnsi="Arial" w:cs="Arial"/>
          <w:sz w:val="20"/>
          <w:szCs w:val="20"/>
        </w:rPr>
        <w:t>(</w:t>
      </w:r>
      <w:r w:rsidR="008121C0" w:rsidRPr="00413DA4">
        <w:rPr>
          <w:rFonts w:ascii="Arial" w:hAnsi="Arial" w:cs="Arial"/>
          <w:sz w:val="20"/>
          <w:szCs w:val="20"/>
        </w:rPr>
        <w:t>Potter et al., 2023; Sisodiya et al., 2025</w:t>
      </w:r>
      <w:r w:rsidR="00897A33" w:rsidRPr="00413DA4">
        <w:rPr>
          <w:rFonts w:ascii="Arial" w:hAnsi="Arial" w:cs="Arial"/>
          <w:sz w:val="20"/>
          <w:szCs w:val="20"/>
        </w:rPr>
        <w:t>)</w:t>
      </w:r>
      <w:r w:rsidR="00E3497B" w:rsidRPr="00413DA4">
        <w:rPr>
          <w:rFonts w:ascii="Arial" w:hAnsi="Arial" w:cs="Arial"/>
          <w:sz w:val="20"/>
          <w:szCs w:val="20"/>
        </w:rPr>
        <w:t xml:space="preserve">. </w:t>
      </w:r>
      <w:r w:rsidRPr="00413DA4">
        <w:rPr>
          <w:rFonts w:ascii="Arial" w:hAnsi="Arial" w:cs="Arial"/>
          <w:sz w:val="20"/>
          <w:szCs w:val="20"/>
        </w:rPr>
        <w:t xml:space="preserve">The comparison of 36-, 40-, and 42-cycle regimes for SCoT markers clearly demonstrated that 40 cycles provided the </w:t>
      </w:r>
      <w:r w:rsidR="00174120" w:rsidRPr="00413DA4">
        <w:rPr>
          <w:rFonts w:ascii="Arial" w:hAnsi="Arial" w:cs="Arial"/>
          <w:sz w:val="20"/>
          <w:szCs w:val="20"/>
        </w:rPr>
        <w:t xml:space="preserve">optimum </w:t>
      </w:r>
      <w:r w:rsidRPr="00413DA4">
        <w:rPr>
          <w:rFonts w:ascii="Arial" w:hAnsi="Arial" w:cs="Arial"/>
          <w:sz w:val="20"/>
          <w:szCs w:val="20"/>
        </w:rPr>
        <w:t>amplification efficiency</w:t>
      </w:r>
      <w:r w:rsidR="002B08B1" w:rsidRPr="00413DA4">
        <w:rPr>
          <w:rFonts w:ascii="Arial" w:hAnsi="Arial" w:cs="Arial"/>
          <w:sz w:val="20"/>
          <w:szCs w:val="20"/>
        </w:rPr>
        <w:t xml:space="preserve"> (Fig.</w:t>
      </w:r>
      <w:r w:rsidR="00174120" w:rsidRPr="00413DA4">
        <w:rPr>
          <w:rFonts w:ascii="Arial" w:hAnsi="Arial" w:cs="Arial"/>
          <w:sz w:val="20"/>
          <w:szCs w:val="20"/>
        </w:rPr>
        <w:t xml:space="preserve"> </w:t>
      </w:r>
      <w:r w:rsidR="00611386" w:rsidRPr="00413DA4">
        <w:rPr>
          <w:rFonts w:ascii="Arial" w:hAnsi="Arial" w:cs="Arial"/>
          <w:sz w:val="20"/>
          <w:szCs w:val="20"/>
        </w:rPr>
        <w:t>5a</w:t>
      </w:r>
      <w:r w:rsidR="002B08B1" w:rsidRPr="00413DA4">
        <w:rPr>
          <w:rFonts w:ascii="Arial" w:hAnsi="Arial" w:cs="Arial"/>
          <w:sz w:val="20"/>
          <w:szCs w:val="20"/>
        </w:rPr>
        <w:t xml:space="preserve">, </w:t>
      </w:r>
      <w:r w:rsidR="006C57A8" w:rsidRPr="00413DA4">
        <w:rPr>
          <w:rFonts w:ascii="Arial" w:hAnsi="Arial" w:cs="Arial"/>
          <w:sz w:val="20"/>
          <w:szCs w:val="20"/>
        </w:rPr>
        <w:t>5</w:t>
      </w:r>
      <w:r w:rsidR="00611386" w:rsidRPr="00413DA4">
        <w:rPr>
          <w:rFonts w:ascii="Arial" w:hAnsi="Arial" w:cs="Arial"/>
          <w:sz w:val="20"/>
          <w:szCs w:val="20"/>
        </w:rPr>
        <w:t>b</w:t>
      </w:r>
      <w:r w:rsidR="002B08B1" w:rsidRPr="00413DA4">
        <w:rPr>
          <w:rFonts w:ascii="Arial" w:hAnsi="Arial" w:cs="Arial"/>
          <w:sz w:val="20"/>
          <w:szCs w:val="20"/>
        </w:rPr>
        <w:t xml:space="preserve">, and </w:t>
      </w:r>
      <w:r w:rsidR="006C57A8" w:rsidRPr="00413DA4">
        <w:rPr>
          <w:rFonts w:ascii="Arial" w:hAnsi="Arial" w:cs="Arial"/>
          <w:sz w:val="20"/>
          <w:szCs w:val="20"/>
        </w:rPr>
        <w:t>5</w:t>
      </w:r>
      <w:r w:rsidR="00611386" w:rsidRPr="00413DA4">
        <w:rPr>
          <w:rFonts w:ascii="Arial" w:hAnsi="Arial" w:cs="Arial"/>
          <w:sz w:val="20"/>
          <w:szCs w:val="20"/>
        </w:rPr>
        <w:t>c</w:t>
      </w:r>
      <w:r w:rsidR="002B08B1" w:rsidRPr="00413DA4">
        <w:rPr>
          <w:rFonts w:ascii="Arial" w:hAnsi="Arial" w:cs="Arial"/>
          <w:sz w:val="20"/>
          <w:szCs w:val="20"/>
        </w:rPr>
        <w:t>)</w:t>
      </w:r>
      <w:r w:rsidRPr="00413DA4">
        <w:rPr>
          <w:rFonts w:ascii="Arial" w:hAnsi="Arial" w:cs="Arial"/>
          <w:sz w:val="20"/>
          <w:szCs w:val="20"/>
        </w:rPr>
        <w:t>, generating nearly twice the number of distinct allelic fragments compared to other cycle settings. Th</w:t>
      </w:r>
      <w:r w:rsidR="006C57A8" w:rsidRPr="00413DA4">
        <w:rPr>
          <w:rFonts w:ascii="Arial" w:hAnsi="Arial" w:cs="Arial"/>
          <w:sz w:val="20"/>
          <w:szCs w:val="20"/>
        </w:rPr>
        <w:t>e</w:t>
      </w:r>
      <w:r w:rsidRPr="00413DA4">
        <w:rPr>
          <w:rFonts w:ascii="Arial" w:hAnsi="Arial" w:cs="Arial"/>
          <w:sz w:val="20"/>
          <w:szCs w:val="20"/>
        </w:rPr>
        <w:t xml:space="preserve"> cycle-dependent variation highlights the importance of PCR</w:t>
      </w:r>
      <w:r w:rsidR="00290B31" w:rsidRPr="00413DA4">
        <w:rPr>
          <w:rFonts w:ascii="Arial" w:hAnsi="Arial" w:cs="Arial"/>
          <w:sz w:val="20"/>
          <w:szCs w:val="20"/>
        </w:rPr>
        <w:t xml:space="preserve"> </w:t>
      </w:r>
      <w:r w:rsidR="00174120" w:rsidRPr="00413DA4">
        <w:rPr>
          <w:rFonts w:ascii="Arial" w:hAnsi="Arial" w:cs="Arial"/>
          <w:sz w:val="20"/>
          <w:szCs w:val="20"/>
        </w:rPr>
        <w:t xml:space="preserve">optimization </w:t>
      </w:r>
      <w:r w:rsidR="0010302D" w:rsidRPr="00413DA4">
        <w:rPr>
          <w:rFonts w:ascii="Arial" w:hAnsi="Arial" w:cs="Arial"/>
          <w:sz w:val="20"/>
          <w:szCs w:val="20"/>
        </w:rPr>
        <w:t>in</w:t>
      </w:r>
      <w:r w:rsidRPr="00413DA4">
        <w:rPr>
          <w:rFonts w:ascii="Arial" w:hAnsi="Arial" w:cs="Arial"/>
          <w:sz w:val="20"/>
          <w:szCs w:val="20"/>
        </w:rPr>
        <w:t xml:space="preserve"> establishing reliable </w:t>
      </w:r>
      <w:r w:rsidR="000E70C0" w:rsidRPr="00413DA4">
        <w:rPr>
          <w:rFonts w:ascii="Arial" w:hAnsi="Arial" w:cs="Arial"/>
          <w:sz w:val="20"/>
          <w:szCs w:val="20"/>
        </w:rPr>
        <w:t>fingerprinting</w:t>
      </w:r>
      <w:r w:rsidR="00290B31" w:rsidRPr="00413DA4">
        <w:rPr>
          <w:rFonts w:ascii="Arial" w:hAnsi="Arial" w:cs="Arial"/>
          <w:sz w:val="20"/>
          <w:szCs w:val="20"/>
        </w:rPr>
        <w:t xml:space="preserve"> profiles</w:t>
      </w:r>
      <w:r w:rsidRPr="00413DA4">
        <w:rPr>
          <w:rFonts w:ascii="Arial" w:hAnsi="Arial" w:cs="Arial"/>
          <w:sz w:val="20"/>
          <w:szCs w:val="20"/>
        </w:rPr>
        <w:t>.</w:t>
      </w:r>
    </w:p>
    <w:p w14:paraId="1E8B9C18" w14:textId="7B546E8F" w:rsidR="00543182" w:rsidRPr="00413DA4" w:rsidRDefault="00B73581" w:rsidP="00413DA4">
      <w:pPr>
        <w:spacing w:line="240" w:lineRule="auto"/>
        <w:jc w:val="both"/>
        <w:rPr>
          <w:rFonts w:ascii="Arial" w:hAnsi="Arial" w:cs="Arial"/>
          <w:sz w:val="20"/>
          <w:szCs w:val="20"/>
        </w:rPr>
      </w:pPr>
      <w:r w:rsidRPr="00413DA4">
        <w:rPr>
          <w:rFonts w:ascii="Arial" w:hAnsi="Arial" w:cs="Arial"/>
          <w:sz w:val="20"/>
          <w:szCs w:val="20"/>
        </w:rPr>
        <w:t>Collectively, the ISSR, RAPD, and SCoT marker systems revealed</w:t>
      </w:r>
      <w:r w:rsidR="003A0C12" w:rsidRPr="00413DA4">
        <w:rPr>
          <w:rFonts w:ascii="Arial" w:hAnsi="Arial" w:cs="Arial"/>
          <w:sz w:val="20"/>
          <w:szCs w:val="20"/>
        </w:rPr>
        <w:t xml:space="preserve"> </w:t>
      </w:r>
      <w:r w:rsidRPr="00413DA4">
        <w:rPr>
          <w:rFonts w:ascii="Arial" w:hAnsi="Arial" w:cs="Arial"/>
          <w:sz w:val="20"/>
          <w:szCs w:val="20"/>
        </w:rPr>
        <w:t xml:space="preserve">high reproducibility, confirming their effectiveness </w:t>
      </w:r>
      <w:r w:rsidR="004746EC" w:rsidRPr="00413DA4">
        <w:rPr>
          <w:rFonts w:ascii="Arial" w:hAnsi="Arial" w:cs="Arial"/>
          <w:sz w:val="20"/>
          <w:szCs w:val="20"/>
        </w:rPr>
        <w:t xml:space="preserve">and applicability </w:t>
      </w:r>
      <w:r w:rsidRPr="00413DA4">
        <w:rPr>
          <w:rFonts w:ascii="Arial" w:hAnsi="Arial" w:cs="Arial"/>
          <w:sz w:val="20"/>
          <w:szCs w:val="20"/>
        </w:rPr>
        <w:t xml:space="preserve">for molecular characterization of </w:t>
      </w:r>
      <w:r w:rsidRPr="00413DA4">
        <w:rPr>
          <w:rFonts w:ascii="Arial" w:hAnsi="Arial" w:cs="Arial"/>
          <w:i/>
          <w:iCs/>
          <w:sz w:val="20"/>
          <w:szCs w:val="20"/>
        </w:rPr>
        <w:t>D. melanoxylon</w:t>
      </w:r>
      <w:r w:rsidRPr="00413DA4">
        <w:rPr>
          <w:rFonts w:ascii="Arial" w:hAnsi="Arial" w:cs="Arial"/>
          <w:sz w:val="20"/>
          <w:szCs w:val="20"/>
        </w:rPr>
        <w:t xml:space="preserve">. The integration of these markers establishes a comprehensive </w:t>
      </w:r>
      <w:r w:rsidR="004746EC" w:rsidRPr="00413DA4">
        <w:rPr>
          <w:rFonts w:ascii="Arial" w:hAnsi="Arial" w:cs="Arial"/>
          <w:sz w:val="20"/>
          <w:szCs w:val="20"/>
        </w:rPr>
        <w:t xml:space="preserve">synergistic </w:t>
      </w:r>
      <w:r w:rsidRPr="00413DA4">
        <w:rPr>
          <w:rFonts w:ascii="Arial" w:hAnsi="Arial" w:cs="Arial"/>
          <w:sz w:val="20"/>
          <w:szCs w:val="20"/>
        </w:rPr>
        <w:t>molecular framework for evaluating genetic variability, de</w:t>
      </w:r>
      <w:r w:rsidR="00573692" w:rsidRPr="00413DA4">
        <w:rPr>
          <w:rFonts w:ascii="Arial" w:hAnsi="Arial" w:cs="Arial"/>
          <w:sz w:val="20"/>
          <w:szCs w:val="20"/>
        </w:rPr>
        <w:t>scrib</w:t>
      </w:r>
      <w:r w:rsidRPr="00413DA4">
        <w:rPr>
          <w:rFonts w:ascii="Arial" w:hAnsi="Arial" w:cs="Arial"/>
          <w:sz w:val="20"/>
          <w:szCs w:val="20"/>
        </w:rPr>
        <w:t xml:space="preserve">ing population structure, and </w:t>
      </w:r>
      <w:r w:rsidR="004746EC" w:rsidRPr="00413DA4">
        <w:rPr>
          <w:rFonts w:ascii="Arial" w:hAnsi="Arial" w:cs="Arial"/>
          <w:sz w:val="20"/>
          <w:szCs w:val="20"/>
        </w:rPr>
        <w:t xml:space="preserve">delivering </w:t>
      </w:r>
      <w:r w:rsidR="00DC52FD" w:rsidRPr="00413DA4">
        <w:rPr>
          <w:rFonts w:ascii="Arial" w:hAnsi="Arial" w:cs="Arial"/>
          <w:sz w:val="20"/>
          <w:szCs w:val="20"/>
        </w:rPr>
        <w:t xml:space="preserve">effective </w:t>
      </w:r>
      <w:r w:rsidR="004746EC" w:rsidRPr="00413DA4">
        <w:rPr>
          <w:rFonts w:ascii="Arial" w:hAnsi="Arial" w:cs="Arial"/>
          <w:sz w:val="20"/>
          <w:szCs w:val="20"/>
        </w:rPr>
        <w:t xml:space="preserve">conservation strategies within and among populations of </w:t>
      </w:r>
      <w:proofErr w:type="spellStart"/>
      <w:r w:rsidR="004746EC" w:rsidRPr="00413DA4">
        <w:rPr>
          <w:rFonts w:ascii="Arial" w:hAnsi="Arial" w:cs="Arial"/>
          <w:sz w:val="20"/>
          <w:szCs w:val="20"/>
        </w:rPr>
        <w:t>kendu</w:t>
      </w:r>
      <w:proofErr w:type="spellEnd"/>
      <w:r w:rsidR="004746EC" w:rsidRPr="00413DA4">
        <w:rPr>
          <w:rFonts w:ascii="Arial" w:hAnsi="Arial" w:cs="Arial"/>
          <w:sz w:val="20"/>
          <w:szCs w:val="20"/>
        </w:rPr>
        <w:t xml:space="preserve">. </w:t>
      </w:r>
    </w:p>
    <w:p w14:paraId="3DBF15F2" w14:textId="0C5FB2EC" w:rsidR="00DC52FD" w:rsidRPr="00413DA4" w:rsidRDefault="00DC52FD" w:rsidP="00413DA4">
      <w:pPr>
        <w:spacing w:line="240" w:lineRule="auto"/>
        <w:jc w:val="both"/>
        <w:rPr>
          <w:rFonts w:ascii="Arial" w:hAnsi="Arial" w:cs="Arial"/>
          <w:sz w:val="20"/>
          <w:szCs w:val="20"/>
        </w:rPr>
      </w:pPr>
      <w:r w:rsidRPr="00413DA4">
        <w:rPr>
          <w:rFonts w:ascii="Arial" w:hAnsi="Arial" w:cs="Arial"/>
          <w:sz w:val="20"/>
          <w:szCs w:val="20"/>
        </w:rPr>
        <w:t xml:space="preserve">The present study successfully established reproducible fingerprinting profiles using three different marker systems for </w:t>
      </w:r>
      <w:r w:rsidRPr="00413DA4">
        <w:rPr>
          <w:rFonts w:ascii="Arial" w:hAnsi="Arial" w:cs="Arial"/>
          <w:i/>
          <w:iCs/>
          <w:sz w:val="20"/>
          <w:szCs w:val="20"/>
        </w:rPr>
        <w:t>D. melanoxylon</w:t>
      </w:r>
      <w:r w:rsidRPr="00413DA4">
        <w:rPr>
          <w:rFonts w:ascii="Arial" w:hAnsi="Arial" w:cs="Arial"/>
          <w:sz w:val="20"/>
          <w:szCs w:val="20"/>
        </w:rPr>
        <w:t>,</w:t>
      </w:r>
      <w:r w:rsidRPr="00413DA4" w:rsidDel="00162DEA">
        <w:rPr>
          <w:rFonts w:ascii="Arial" w:hAnsi="Arial" w:cs="Arial"/>
          <w:sz w:val="20"/>
          <w:szCs w:val="20"/>
        </w:rPr>
        <w:t xml:space="preserve"> </w:t>
      </w:r>
      <w:r w:rsidRPr="00413DA4">
        <w:rPr>
          <w:rFonts w:ascii="Arial" w:hAnsi="Arial" w:cs="Arial"/>
          <w:sz w:val="20"/>
          <w:szCs w:val="20"/>
        </w:rPr>
        <w:t>an important forest tree species,</w:t>
      </w:r>
      <w:r w:rsidRPr="00413DA4" w:rsidDel="00162DEA">
        <w:rPr>
          <w:rFonts w:ascii="Arial" w:hAnsi="Arial" w:cs="Arial"/>
          <w:sz w:val="20"/>
          <w:szCs w:val="20"/>
        </w:rPr>
        <w:t xml:space="preserve"> </w:t>
      </w:r>
      <w:r w:rsidRPr="00413DA4">
        <w:rPr>
          <w:rFonts w:ascii="Arial" w:hAnsi="Arial" w:cs="Arial"/>
          <w:sz w:val="20"/>
          <w:szCs w:val="20"/>
        </w:rPr>
        <w:t xml:space="preserve">where the genetic and genome </w:t>
      </w:r>
      <w:r w:rsidRPr="00413DA4">
        <w:rPr>
          <w:rFonts w:ascii="Arial" w:hAnsi="Arial" w:cs="Arial"/>
          <w:sz w:val="20"/>
          <w:szCs w:val="20"/>
        </w:rPr>
        <w:lastRenderedPageBreak/>
        <w:t>resources are scar</w:t>
      </w:r>
      <w:r w:rsidR="008722EB">
        <w:rPr>
          <w:rFonts w:ascii="Arial" w:hAnsi="Arial" w:cs="Arial"/>
          <w:sz w:val="20"/>
          <w:szCs w:val="20"/>
        </w:rPr>
        <w:t>c</w:t>
      </w:r>
      <w:r w:rsidRPr="00413DA4">
        <w:rPr>
          <w:rFonts w:ascii="Arial" w:hAnsi="Arial" w:cs="Arial"/>
          <w:sz w:val="20"/>
          <w:szCs w:val="20"/>
        </w:rPr>
        <w:t xml:space="preserve">e. Standardization of PCR based DNA fingerprinting protocols using three marker systems allowed robust amplification of complementary genomic regions of </w:t>
      </w:r>
      <w:proofErr w:type="spellStart"/>
      <w:r w:rsidRPr="00413DA4">
        <w:rPr>
          <w:rFonts w:ascii="Arial" w:hAnsi="Arial" w:cs="Arial"/>
          <w:sz w:val="20"/>
          <w:szCs w:val="20"/>
        </w:rPr>
        <w:t>kendu</w:t>
      </w:r>
      <w:proofErr w:type="spellEnd"/>
      <w:r w:rsidRPr="00413DA4">
        <w:rPr>
          <w:rFonts w:ascii="Arial" w:hAnsi="Arial" w:cs="Arial"/>
          <w:sz w:val="20"/>
          <w:szCs w:val="20"/>
        </w:rPr>
        <w:t xml:space="preserve">, thereby creating a reliable platform for future genetic diversity assessment and population structure studies. The results clearly demonstrate that all the three marker systems contributed uniquely and synergistically to </w:t>
      </w:r>
      <w:r w:rsidR="0033647F" w:rsidRPr="00413DA4">
        <w:rPr>
          <w:rFonts w:ascii="Arial" w:hAnsi="Arial" w:cs="Arial"/>
          <w:sz w:val="20"/>
          <w:szCs w:val="20"/>
        </w:rPr>
        <w:t xml:space="preserve">span complementary </w:t>
      </w:r>
      <w:r w:rsidRPr="00413DA4">
        <w:rPr>
          <w:rFonts w:ascii="Arial" w:hAnsi="Arial" w:cs="Arial"/>
          <w:sz w:val="20"/>
          <w:szCs w:val="20"/>
        </w:rPr>
        <w:t>genomic regions</w:t>
      </w:r>
      <w:r w:rsidR="0033647F" w:rsidRPr="00413DA4">
        <w:rPr>
          <w:rFonts w:ascii="Arial" w:hAnsi="Arial" w:cs="Arial"/>
          <w:sz w:val="20"/>
          <w:szCs w:val="20"/>
        </w:rPr>
        <w:t xml:space="preserve"> of </w:t>
      </w:r>
      <w:proofErr w:type="spellStart"/>
      <w:r w:rsidR="0033647F" w:rsidRPr="00413DA4">
        <w:rPr>
          <w:rFonts w:ascii="Arial" w:hAnsi="Arial" w:cs="Arial"/>
          <w:sz w:val="20"/>
          <w:szCs w:val="20"/>
        </w:rPr>
        <w:t>kendu</w:t>
      </w:r>
      <w:proofErr w:type="spellEnd"/>
      <w:r w:rsidRPr="00413DA4">
        <w:rPr>
          <w:rFonts w:ascii="Arial" w:hAnsi="Arial" w:cs="Arial"/>
          <w:sz w:val="20"/>
          <w:szCs w:val="20"/>
        </w:rPr>
        <w:t>.</w:t>
      </w:r>
    </w:p>
    <w:p w14:paraId="29422AFD" w14:textId="6B05F92D" w:rsidR="00760FC7" w:rsidRPr="00413DA4" w:rsidRDefault="0069618E" w:rsidP="00413DA4">
      <w:pPr>
        <w:spacing w:line="240" w:lineRule="auto"/>
        <w:jc w:val="both"/>
        <w:rPr>
          <w:rFonts w:ascii="Arial" w:hAnsi="Arial" w:cs="Arial"/>
          <w:sz w:val="22"/>
          <w:szCs w:val="22"/>
        </w:rPr>
      </w:pPr>
      <w:r w:rsidRPr="00413DA4">
        <w:rPr>
          <w:rFonts w:ascii="Arial" w:hAnsi="Arial" w:cs="Arial"/>
          <w:b/>
          <w:bCs/>
          <w:sz w:val="22"/>
          <w:szCs w:val="22"/>
        </w:rPr>
        <w:t>5</w:t>
      </w:r>
      <w:r w:rsidR="0014082E" w:rsidRPr="00413DA4">
        <w:rPr>
          <w:rFonts w:ascii="Arial" w:hAnsi="Arial" w:cs="Arial"/>
          <w:b/>
          <w:bCs/>
          <w:sz w:val="22"/>
          <w:szCs w:val="22"/>
        </w:rPr>
        <w:t>.</w:t>
      </w:r>
      <w:r w:rsidR="0077495C" w:rsidRPr="00413DA4">
        <w:rPr>
          <w:rFonts w:ascii="Arial" w:hAnsi="Arial" w:cs="Arial"/>
          <w:b/>
          <w:bCs/>
          <w:sz w:val="22"/>
          <w:szCs w:val="22"/>
        </w:rPr>
        <w:t xml:space="preserve"> </w:t>
      </w:r>
      <w:r w:rsidR="0014082E" w:rsidRPr="00413DA4">
        <w:rPr>
          <w:rFonts w:ascii="Arial" w:hAnsi="Arial" w:cs="Arial"/>
          <w:b/>
          <w:bCs/>
          <w:sz w:val="22"/>
          <w:szCs w:val="22"/>
        </w:rPr>
        <w:t>CONCLUSION</w:t>
      </w:r>
    </w:p>
    <w:p w14:paraId="608A78C1" w14:textId="24378D38" w:rsidR="000E2968" w:rsidRDefault="00B73581" w:rsidP="00413DA4">
      <w:pPr>
        <w:spacing w:line="240" w:lineRule="auto"/>
        <w:jc w:val="both"/>
        <w:rPr>
          <w:rFonts w:ascii="Arial" w:hAnsi="Arial" w:cs="Arial"/>
          <w:sz w:val="20"/>
          <w:szCs w:val="20"/>
        </w:rPr>
      </w:pPr>
      <w:r w:rsidRPr="00413DA4">
        <w:rPr>
          <w:rFonts w:ascii="Arial" w:hAnsi="Arial" w:cs="Arial"/>
          <w:sz w:val="20"/>
          <w:szCs w:val="20"/>
        </w:rPr>
        <w:t xml:space="preserve">In this study, efficient and reproducible molecular markers protocols were optimized for DNA isolation and genetic analysis in </w:t>
      </w:r>
      <w:r w:rsidRPr="00413DA4">
        <w:rPr>
          <w:rFonts w:ascii="Arial" w:hAnsi="Arial" w:cs="Arial"/>
          <w:i/>
          <w:iCs/>
          <w:sz w:val="20"/>
          <w:szCs w:val="20"/>
        </w:rPr>
        <w:t>D</w:t>
      </w:r>
      <w:r w:rsidR="00B109DA" w:rsidRPr="00413DA4">
        <w:rPr>
          <w:rFonts w:ascii="Arial" w:hAnsi="Arial" w:cs="Arial"/>
          <w:i/>
          <w:iCs/>
          <w:sz w:val="20"/>
          <w:szCs w:val="20"/>
        </w:rPr>
        <w:t>.</w:t>
      </w:r>
      <w:r w:rsidRPr="00413DA4">
        <w:rPr>
          <w:rFonts w:ascii="Arial" w:hAnsi="Arial" w:cs="Arial"/>
          <w:i/>
          <w:iCs/>
          <w:sz w:val="20"/>
          <w:szCs w:val="20"/>
        </w:rPr>
        <w:t xml:space="preserve"> melanoxylon</w:t>
      </w:r>
      <w:r w:rsidRPr="00413DA4">
        <w:rPr>
          <w:rFonts w:ascii="Arial" w:hAnsi="Arial" w:cs="Arial"/>
          <w:sz w:val="20"/>
          <w:szCs w:val="20"/>
        </w:rPr>
        <w:t xml:space="preserve"> using ISSR, RAPD, and SCoT markers. The </w:t>
      </w:r>
      <w:r w:rsidR="00174120" w:rsidRPr="00413DA4">
        <w:rPr>
          <w:rFonts w:ascii="Arial" w:hAnsi="Arial" w:cs="Arial"/>
          <w:sz w:val="20"/>
          <w:szCs w:val="20"/>
        </w:rPr>
        <w:t xml:space="preserve">optimized </w:t>
      </w:r>
      <w:r w:rsidRPr="00413DA4">
        <w:rPr>
          <w:rFonts w:ascii="Arial" w:hAnsi="Arial" w:cs="Arial"/>
          <w:sz w:val="20"/>
          <w:szCs w:val="20"/>
        </w:rPr>
        <w:t>conditions produced clear</w:t>
      </w:r>
      <w:r w:rsidR="00174120" w:rsidRPr="00413DA4">
        <w:rPr>
          <w:rFonts w:ascii="Arial" w:hAnsi="Arial" w:cs="Arial"/>
          <w:sz w:val="20"/>
          <w:szCs w:val="20"/>
        </w:rPr>
        <w:t>, reproducible and</w:t>
      </w:r>
      <w:r w:rsidRPr="00413DA4">
        <w:rPr>
          <w:rFonts w:ascii="Arial" w:hAnsi="Arial" w:cs="Arial"/>
          <w:sz w:val="20"/>
          <w:szCs w:val="20"/>
        </w:rPr>
        <w:t xml:space="preserve"> </w:t>
      </w:r>
      <w:r w:rsidR="00174120" w:rsidRPr="00413DA4">
        <w:rPr>
          <w:rFonts w:ascii="Arial" w:hAnsi="Arial" w:cs="Arial"/>
          <w:sz w:val="20"/>
          <w:szCs w:val="20"/>
        </w:rPr>
        <w:t xml:space="preserve">scorable </w:t>
      </w:r>
      <w:r w:rsidRPr="00413DA4">
        <w:rPr>
          <w:rFonts w:ascii="Arial" w:hAnsi="Arial" w:cs="Arial"/>
          <w:sz w:val="20"/>
          <w:szCs w:val="20"/>
        </w:rPr>
        <w:t xml:space="preserve">amplification profiles, confirming their reliability for DNA fingerprinting and genetic diversity assessment. Among the tested </w:t>
      </w:r>
      <w:r w:rsidR="00174120" w:rsidRPr="00413DA4">
        <w:rPr>
          <w:rFonts w:ascii="Arial" w:hAnsi="Arial" w:cs="Arial"/>
          <w:sz w:val="20"/>
          <w:szCs w:val="20"/>
        </w:rPr>
        <w:t>markers</w:t>
      </w:r>
      <w:r w:rsidRPr="00413DA4">
        <w:rPr>
          <w:rFonts w:ascii="Arial" w:hAnsi="Arial" w:cs="Arial"/>
          <w:sz w:val="20"/>
          <w:szCs w:val="20"/>
        </w:rPr>
        <w:t xml:space="preserve">, ISSR </w:t>
      </w:r>
      <w:r w:rsidR="00565591" w:rsidRPr="00413DA4">
        <w:rPr>
          <w:rFonts w:ascii="Arial" w:hAnsi="Arial" w:cs="Arial"/>
          <w:sz w:val="20"/>
          <w:szCs w:val="20"/>
        </w:rPr>
        <w:t>(AC)</w:t>
      </w:r>
      <w:r w:rsidR="00565591" w:rsidRPr="00413DA4">
        <w:rPr>
          <w:rFonts w:ascii="Arial" w:hAnsi="Arial" w:cs="Arial"/>
          <w:sz w:val="20"/>
          <w:szCs w:val="20"/>
          <w:vertAlign w:val="subscript"/>
        </w:rPr>
        <w:t xml:space="preserve">8 </w:t>
      </w:r>
      <w:r w:rsidR="00565591" w:rsidRPr="00413DA4">
        <w:rPr>
          <w:rFonts w:ascii="Arial" w:hAnsi="Arial" w:cs="Arial"/>
          <w:sz w:val="20"/>
          <w:szCs w:val="20"/>
        </w:rPr>
        <w:t xml:space="preserve">T, </w:t>
      </w:r>
      <w:r w:rsidRPr="00413DA4">
        <w:rPr>
          <w:rFonts w:ascii="Arial" w:hAnsi="Arial" w:cs="Arial"/>
          <w:sz w:val="20"/>
          <w:szCs w:val="20"/>
        </w:rPr>
        <w:t>(GA)</w:t>
      </w:r>
      <w:r w:rsidRPr="00413DA4">
        <w:rPr>
          <w:rFonts w:ascii="Cambria Math" w:hAnsi="Cambria Math" w:cs="Cambria Math"/>
          <w:sz w:val="20"/>
          <w:szCs w:val="20"/>
        </w:rPr>
        <w:t>₈</w:t>
      </w:r>
      <w:r w:rsidRPr="00413DA4">
        <w:rPr>
          <w:rFonts w:ascii="Arial" w:hAnsi="Arial" w:cs="Arial"/>
          <w:sz w:val="20"/>
          <w:szCs w:val="20"/>
        </w:rPr>
        <w:t>YT,</w:t>
      </w:r>
      <w:r w:rsidR="00565591" w:rsidRPr="00413DA4">
        <w:rPr>
          <w:rFonts w:ascii="Arial" w:hAnsi="Arial" w:cs="Arial"/>
          <w:sz w:val="20"/>
          <w:szCs w:val="20"/>
        </w:rPr>
        <w:t xml:space="preserve"> (GA)</w:t>
      </w:r>
      <w:r w:rsidR="00565591" w:rsidRPr="00413DA4">
        <w:rPr>
          <w:rFonts w:ascii="Cambria Math" w:hAnsi="Cambria Math" w:cs="Cambria Math"/>
          <w:sz w:val="20"/>
          <w:szCs w:val="20"/>
        </w:rPr>
        <w:t>₈</w:t>
      </w:r>
      <w:r w:rsidR="00565591" w:rsidRPr="00413DA4">
        <w:rPr>
          <w:rFonts w:ascii="Arial" w:hAnsi="Arial" w:cs="Arial"/>
          <w:sz w:val="20"/>
          <w:szCs w:val="20"/>
        </w:rPr>
        <w:t>T, (AC)</w:t>
      </w:r>
      <w:r w:rsidR="00565591" w:rsidRPr="00413DA4">
        <w:rPr>
          <w:rFonts w:ascii="Arial" w:hAnsi="Arial" w:cs="Arial"/>
          <w:sz w:val="20"/>
          <w:szCs w:val="20"/>
          <w:vertAlign w:val="subscript"/>
        </w:rPr>
        <w:t xml:space="preserve">8 </w:t>
      </w:r>
      <w:r w:rsidR="00565591" w:rsidRPr="00413DA4">
        <w:rPr>
          <w:rFonts w:ascii="Arial" w:hAnsi="Arial" w:cs="Arial"/>
          <w:sz w:val="20"/>
          <w:szCs w:val="20"/>
        </w:rPr>
        <w:t>C</w:t>
      </w:r>
      <w:r w:rsidR="002E615F" w:rsidRPr="00413DA4">
        <w:rPr>
          <w:rFonts w:ascii="Arial" w:hAnsi="Arial" w:cs="Arial"/>
          <w:sz w:val="20"/>
          <w:szCs w:val="20"/>
        </w:rPr>
        <w:t xml:space="preserve"> and CAGCGACAAG</w:t>
      </w:r>
      <w:r w:rsidR="00565591" w:rsidRPr="00413DA4">
        <w:rPr>
          <w:rFonts w:ascii="Arial" w:hAnsi="Arial" w:cs="Arial"/>
          <w:sz w:val="20"/>
          <w:szCs w:val="20"/>
        </w:rPr>
        <w:t xml:space="preserve"> showed the highest amplification efficiency by covering </w:t>
      </w:r>
      <w:r w:rsidR="002E615F" w:rsidRPr="00413DA4">
        <w:rPr>
          <w:rFonts w:ascii="Arial" w:hAnsi="Arial" w:cs="Arial"/>
          <w:sz w:val="20"/>
          <w:szCs w:val="20"/>
        </w:rPr>
        <w:t>45.8</w:t>
      </w:r>
      <w:r w:rsidR="002271C2" w:rsidRPr="00413DA4">
        <w:rPr>
          <w:rFonts w:ascii="Arial" w:hAnsi="Arial" w:cs="Arial"/>
          <w:sz w:val="20"/>
          <w:szCs w:val="20"/>
        </w:rPr>
        <w:t>% of the genome</w:t>
      </w:r>
      <w:r w:rsidR="0027270D" w:rsidRPr="00413DA4">
        <w:rPr>
          <w:rFonts w:ascii="Arial" w:hAnsi="Arial" w:cs="Arial"/>
          <w:sz w:val="20"/>
          <w:szCs w:val="20"/>
        </w:rPr>
        <w:t>.</w:t>
      </w:r>
      <w:r w:rsidR="002271C2" w:rsidRPr="00413DA4">
        <w:rPr>
          <w:rFonts w:ascii="Arial" w:hAnsi="Arial" w:cs="Arial"/>
          <w:sz w:val="20"/>
          <w:szCs w:val="20"/>
        </w:rPr>
        <w:t xml:space="preserve"> </w:t>
      </w:r>
      <w:r w:rsidR="0027270D" w:rsidRPr="00413DA4">
        <w:rPr>
          <w:rFonts w:ascii="Arial" w:hAnsi="Arial" w:cs="Arial"/>
          <w:sz w:val="20"/>
          <w:szCs w:val="20"/>
        </w:rPr>
        <w:t>In comparison</w:t>
      </w:r>
      <w:r w:rsidR="002271C2" w:rsidRPr="00413DA4">
        <w:rPr>
          <w:rFonts w:ascii="Arial" w:hAnsi="Arial" w:cs="Arial"/>
          <w:sz w:val="20"/>
          <w:szCs w:val="20"/>
        </w:rPr>
        <w:t xml:space="preserve"> the </w:t>
      </w:r>
      <w:r w:rsidR="002E615F" w:rsidRPr="00413DA4">
        <w:rPr>
          <w:rFonts w:ascii="Arial" w:hAnsi="Arial" w:cs="Arial"/>
          <w:sz w:val="20"/>
          <w:szCs w:val="20"/>
        </w:rPr>
        <w:t xml:space="preserve">SCoT23, SCoT40, SCoT9, SCoT12, </w:t>
      </w:r>
      <w:r w:rsidRPr="00413DA4">
        <w:rPr>
          <w:rFonts w:ascii="Arial" w:hAnsi="Arial" w:cs="Arial"/>
          <w:sz w:val="20"/>
          <w:szCs w:val="20"/>
        </w:rPr>
        <w:t xml:space="preserve">SCoT17, </w:t>
      </w:r>
      <w:r w:rsidR="002E615F" w:rsidRPr="00413DA4">
        <w:rPr>
          <w:rFonts w:ascii="Arial" w:hAnsi="Arial" w:cs="Arial"/>
          <w:sz w:val="20"/>
          <w:szCs w:val="20"/>
        </w:rPr>
        <w:t xml:space="preserve">and </w:t>
      </w:r>
      <w:r w:rsidRPr="00413DA4">
        <w:rPr>
          <w:rFonts w:ascii="Arial" w:hAnsi="Arial" w:cs="Arial"/>
          <w:sz w:val="20"/>
          <w:szCs w:val="20"/>
        </w:rPr>
        <w:t>SCoT34</w:t>
      </w:r>
      <w:r w:rsidR="002E615F" w:rsidRPr="00413DA4">
        <w:rPr>
          <w:rFonts w:ascii="Arial" w:hAnsi="Arial" w:cs="Arial"/>
          <w:sz w:val="20"/>
          <w:szCs w:val="20"/>
        </w:rPr>
        <w:t xml:space="preserve"> </w:t>
      </w:r>
      <w:r w:rsidR="0027270D" w:rsidRPr="00413DA4">
        <w:rPr>
          <w:rFonts w:ascii="Arial" w:hAnsi="Arial" w:cs="Arial"/>
          <w:sz w:val="20"/>
          <w:szCs w:val="20"/>
        </w:rPr>
        <w:t>showed broader genome coverage of 77.1%</w:t>
      </w:r>
      <w:r w:rsidRPr="00413DA4">
        <w:rPr>
          <w:rFonts w:ascii="Arial" w:hAnsi="Arial" w:cs="Arial"/>
          <w:sz w:val="20"/>
          <w:szCs w:val="20"/>
        </w:rPr>
        <w:t xml:space="preserve"> and RAPD </w:t>
      </w:r>
      <w:r w:rsidR="0027270D" w:rsidRPr="00413DA4">
        <w:rPr>
          <w:rFonts w:ascii="Arial" w:hAnsi="Arial" w:cs="Arial"/>
          <w:sz w:val="20"/>
          <w:szCs w:val="20"/>
        </w:rPr>
        <w:t xml:space="preserve">markers CCGCCTAGTC, ACCTGGACAC, GACCGCTTGT, AGCCAGCGAA, </w:t>
      </w:r>
      <w:r w:rsidRPr="00413DA4">
        <w:rPr>
          <w:rFonts w:ascii="Arial" w:hAnsi="Arial" w:cs="Arial"/>
          <w:sz w:val="20"/>
          <w:szCs w:val="20"/>
        </w:rPr>
        <w:t>CACACTCCAG</w:t>
      </w:r>
      <w:r w:rsidR="0027270D" w:rsidRPr="00413DA4">
        <w:rPr>
          <w:rFonts w:ascii="Arial" w:hAnsi="Arial" w:cs="Arial"/>
          <w:sz w:val="20"/>
          <w:szCs w:val="20"/>
        </w:rPr>
        <w:t>, CCGCCCAAAC, CACCTTTCCC covered 59% of the genome</w:t>
      </w:r>
      <w:r w:rsidRPr="00413DA4">
        <w:rPr>
          <w:rFonts w:ascii="Arial" w:hAnsi="Arial" w:cs="Arial"/>
          <w:sz w:val="20"/>
          <w:szCs w:val="20"/>
        </w:rPr>
        <w:t xml:space="preserve">. These findings establish a robust molecular framework for large-scale genetic characterization of </w:t>
      </w:r>
      <w:r w:rsidRPr="00413DA4">
        <w:rPr>
          <w:rFonts w:ascii="Arial" w:hAnsi="Arial" w:cs="Arial"/>
          <w:i/>
          <w:iCs/>
          <w:sz w:val="20"/>
          <w:szCs w:val="20"/>
        </w:rPr>
        <w:t>D. melanoxylon</w:t>
      </w:r>
      <w:r w:rsidR="00174120" w:rsidRPr="00413DA4">
        <w:rPr>
          <w:rFonts w:ascii="Arial" w:hAnsi="Arial" w:cs="Arial"/>
          <w:i/>
          <w:iCs/>
          <w:sz w:val="20"/>
          <w:szCs w:val="20"/>
        </w:rPr>
        <w:t xml:space="preserve"> </w:t>
      </w:r>
      <w:r w:rsidR="00174120" w:rsidRPr="00413DA4">
        <w:rPr>
          <w:rFonts w:ascii="Arial" w:hAnsi="Arial" w:cs="Arial"/>
          <w:sz w:val="20"/>
          <w:szCs w:val="20"/>
        </w:rPr>
        <w:t>populations</w:t>
      </w:r>
      <w:r w:rsidRPr="00413DA4">
        <w:rPr>
          <w:rFonts w:ascii="Arial" w:hAnsi="Arial" w:cs="Arial"/>
          <w:sz w:val="20"/>
          <w:szCs w:val="20"/>
        </w:rPr>
        <w:t>. The optimized protocols can be effectively applied in future genetic</w:t>
      </w:r>
      <w:r w:rsidR="00D570AD" w:rsidRPr="00413DA4">
        <w:rPr>
          <w:rFonts w:ascii="Arial" w:hAnsi="Arial" w:cs="Arial"/>
          <w:sz w:val="20"/>
          <w:szCs w:val="20"/>
        </w:rPr>
        <w:t xml:space="preserve"> </w:t>
      </w:r>
      <w:r w:rsidR="00A92AC2" w:rsidRPr="00413DA4">
        <w:rPr>
          <w:rFonts w:ascii="Arial" w:hAnsi="Arial" w:cs="Arial"/>
          <w:sz w:val="20"/>
          <w:szCs w:val="20"/>
        </w:rPr>
        <w:t xml:space="preserve">diversity </w:t>
      </w:r>
      <w:r w:rsidR="001E147F" w:rsidRPr="00413DA4">
        <w:rPr>
          <w:rFonts w:ascii="Arial" w:hAnsi="Arial" w:cs="Arial"/>
          <w:sz w:val="20"/>
          <w:szCs w:val="20"/>
        </w:rPr>
        <w:t xml:space="preserve">assessment </w:t>
      </w:r>
      <w:r w:rsidR="00D570AD" w:rsidRPr="00413DA4">
        <w:rPr>
          <w:rFonts w:ascii="Arial" w:hAnsi="Arial" w:cs="Arial"/>
          <w:sz w:val="20"/>
          <w:szCs w:val="20"/>
        </w:rPr>
        <w:t>studies</w:t>
      </w:r>
      <w:r w:rsidRPr="00413DA4">
        <w:rPr>
          <w:rFonts w:ascii="Arial" w:hAnsi="Arial" w:cs="Arial"/>
          <w:sz w:val="20"/>
          <w:szCs w:val="20"/>
        </w:rPr>
        <w:t xml:space="preserve">, phylogeographic mapping, and identification of superior </w:t>
      </w:r>
      <w:r w:rsidR="00D570AD" w:rsidRPr="00413DA4">
        <w:rPr>
          <w:rFonts w:ascii="Arial" w:hAnsi="Arial" w:cs="Arial"/>
          <w:sz w:val="20"/>
          <w:szCs w:val="20"/>
        </w:rPr>
        <w:t xml:space="preserve">clones.  In addition, </w:t>
      </w:r>
      <w:r w:rsidR="00174120" w:rsidRPr="00413DA4">
        <w:rPr>
          <w:rFonts w:ascii="Arial" w:hAnsi="Arial" w:cs="Arial"/>
          <w:sz w:val="20"/>
          <w:szCs w:val="20"/>
        </w:rPr>
        <w:t>cross introduction of germplasm to restore optimal genetic variation</w:t>
      </w:r>
      <w:r w:rsidR="00D570AD" w:rsidRPr="00413DA4">
        <w:rPr>
          <w:rFonts w:ascii="Arial" w:hAnsi="Arial" w:cs="Arial"/>
          <w:sz w:val="20"/>
          <w:szCs w:val="20"/>
        </w:rPr>
        <w:t xml:space="preserve"> of a particular population, where the genetic diversity dropped significantly, minimizing the impact of plant diseases, and protecting the population from the climate change factors</w:t>
      </w:r>
      <w:r w:rsidR="00174120" w:rsidRPr="00413DA4">
        <w:rPr>
          <w:rFonts w:ascii="Arial" w:hAnsi="Arial" w:cs="Arial"/>
          <w:sz w:val="20"/>
          <w:szCs w:val="20"/>
        </w:rPr>
        <w:t xml:space="preserve">. </w:t>
      </w:r>
      <w:r w:rsidRPr="00413DA4">
        <w:rPr>
          <w:rFonts w:ascii="Arial" w:hAnsi="Arial" w:cs="Arial"/>
          <w:sz w:val="20"/>
          <w:szCs w:val="20"/>
        </w:rPr>
        <w:t>Integration with advanced genomic and metabolomic tools will further enhance understanding of the species adaptive diversity and support its conservation</w:t>
      </w:r>
      <w:r w:rsidR="00D570AD" w:rsidRPr="00413DA4">
        <w:rPr>
          <w:rFonts w:ascii="Arial" w:hAnsi="Arial" w:cs="Arial"/>
          <w:sz w:val="20"/>
          <w:szCs w:val="20"/>
        </w:rPr>
        <w:t xml:space="preserve">, restoration and species </w:t>
      </w:r>
      <w:r w:rsidR="009E0E35" w:rsidRPr="00413DA4">
        <w:rPr>
          <w:rFonts w:ascii="Arial" w:hAnsi="Arial" w:cs="Arial"/>
          <w:sz w:val="20"/>
          <w:szCs w:val="20"/>
        </w:rPr>
        <w:t xml:space="preserve">genetic </w:t>
      </w:r>
      <w:r w:rsidRPr="00413DA4">
        <w:rPr>
          <w:rFonts w:ascii="Arial" w:hAnsi="Arial" w:cs="Arial"/>
          <w:sz w:val="20"/>
          <w:szCs w:val="20"/>
        </w:rPr>
        <w:t>improvement</w:t>
      </w:r>
      <w:r w:rsidR="00D570AD" w:rsidRPr="00413DA4">
        <w:rPr>
          <w:rFonts w:ascii="Arial" w:hAnsi="Arial" w:cs="Arial"/>
          <w:sz w:val="20"/>
          <w:szCs w:val="20"/>
        </w:rPr>
        <w:t xml:space="preserve"> programs</w:t>
      </w:r>
      <w:r w:rsidRPr="00413DA4">
        <w:rPr>
          <w:rFonts w:ascii="Arial" w:hAnsi="Arial" w:cs="Arial"/>
          <w:sz w:val="20"/>
          <w:szCs w:val="20"/>
        </w:rPr>
        <w:t>.</w:t>
      </w:r>
    </w:p>
    <w:p w14:paraId="0EDD3D77" w14:textId="77777777" w:rsidR="00413DA4" w:rsidRPr="00413DA4" w:rsidRDefault="00413DA4" w:rsidP="00413DA4">
      <w:pPr>
        <w:spacing w:line="240" w:lineRule="auto"/>
        <w:jc w:val="both"/>
        <w:rPr>
          <w:rFonts w:ascii="Arial" w:hAnsi="Arial" w:cs="Arial"/>
          <w:sz w:val="20"/>
          <w:szCs w:val="20"/>
        </w:rPr>
      </w:pPr>
    </w:p>
    <w:p w14:paraId="6B4F9A96" w14:textId="77777777" w:rsidR="00216354" w:rsidRPr="00413DA4" w:rsidRDefault="00216354" w:rsidP="00413DA4">
      <w:pPr>
        <w:spacing w:after="0" w:line="360" w:lineRule="auto"/>
        <w:jc w:val="both"/>
        <w:rPr>
          <w:rFonts w:ascii="Arial" w:hAnsi="Arial" w:cs="Arial"/>
          <w:b/>
          <w:bCs/>
          <w:color w:val="000000" w:themeColor="text1"/>
          <w:sz w:val="22"/>
          <w:szCs w:val="22"/>
        </w:rPr>
      </w:pPr>
      <w:r>
        <w:rPr>
          <w:rFonts w:ascii="Arial" w:hAnsi="Arial" w:cs="Arial"/>
          <w:b/>
          <w:bCs/>
          <w:color w:val="000000" w:themeColor="text1"/>
          <w:sz w:val="28"/>
          <w:szCs w:val="28"/>
        </w:rPr>
        <w:t xml:space="preserve"> </w:t>
      </w:r>
      <w:r w:rsidRPr="00413DA4">
        <w:rPr>
          <w:rFonts w:ascii="Arial" w:hAnsi="Arial" w:cs="Arial"/>
          <w:b/>
          <w:bCs/>
          <w:color w:val="000000" w:themeColor="text1"/>
          <w:sz w:val="22"/>
          <w:szCs w:val="22"/>
        </w:rPr>
        <w:t>Abbreviations</w:t>
      </w:r>
    </w:p>
    <w:p w14:paraId="7C6517B7" w14:textId="62360A17" w:rsidR="00FA3850" w:rsidRPr="00413DA4" w:rsidRDefault="00FA3850" w:rsidP="00413DA4">
      <w:pPr>
        <w:spacing w:after="0" w:line="240" w:lineRule="auto"/>
        <w:ind w:left="141"/>
        <w:jc w:val="both"/>
        <w:rPr>
          <w:rFonts w:ascii="Arial" w:hAnsi="Arial" w:cs="Arial"/>
          <w:color w:val="0D0D0D" w:themeColor="text1" w:themeTint="F2"/>
          <w:sz w:val="20"/>
          <w:szCs w:val="20"/>
        </w:rPr>
      </w:pPr>
      <w:r w:rsidRPr="00413DA4">
        <w:rPr>
          <w:rFonts w:ascii="Arial" w:hAnsi="Arial" w:cs="Arial"/>
          <w:color w:val="0D0D0D" w:themeColor="text1" w:themeTint="F2"/>
          <w:sz w:val="20"/>
          <w:szCs w:val="20"/>
        </w:rPr>
        <w:t>DNA- Deoxyribonucleic acid</w:t>
      </w:r>
    </w:p>
    <w:p w14:paraId="692C9A2D" w14:textId="77777777" w:rsidR="00965098" w:rsidRPr="00413DA4" w:rsidRDefault="00965098" w:rsidP="00413DA4">
      <w:pPr>
        <w:spacing w:after="0" w:line="240" w:lineRule="auto"/>
        <w:ind w:left="141"/>
        <w:jc w:val="both"/>
        <w:rPr>
          <w:rFonts w:ascii="Arial" w:hAnsi="Arial" w:cs="Arial"/>
          <w:color w:val="0D0D0D" w:themeColor="text1" w:themeTint="F2"/>
          <w:sz w:val="20"/>
          <w:szCs w:val="20"/>
        </w:rPr>
      </w:pPr>
      <w:r w:rsidRPr="00413DA4">
        <w:rPr>
          <w:rFonts w:ascii="Arial" w:hAnsi="Arial" w:cs="Arial"/>
          <w:color w:val="0D0D0D" w:themeColor="text1" w:themeTint="F2"/>
          <w:sz w:val="20"/>
          <w:szCs w:val="20"/>
        </w:rPr>
        <w:t>EtBr- Ethidium bromide</w:t>
      </w:r>
    </w:p>
    <w:p w14:paraId="3DDBDF49" w14:textId="69331EAC" w:rsidR="00216354" w:rsidRPr="00413DA4" w:rsidRDefault="00216354" w:rsidP="00413DA4">
      <w:pPr>
        <w:spacing w:after="0" w:line="240" w:lineRule="auto"/>
        <w:ind w:left="141"/>
        <w:jc w:val="both"/>
        <w:rPr>
          <w:rFonts w:ascii="Arial" w:hAnsi="Arial" w:cs="Arial"/>
          <w:color w:val="0D0D0D" w:themeColor="text1" w:themeTint="F2"/>
          <w:sz w:val="20"/>
          <w:szCs w:val="20"/>
        </w:rPr>
      </w:pPr>
      <w:r w:rsidRPr="00413DA4">
        <w:rPr>
          <w:rFonts w:ascii="Arial" w:hAnsi="Arial" w:cs="Arial"/>
          <w:color w:val="0D0D0D" w:themeColor="text1" w:themeTint="F2"/>
          <w:sz w:val="20"/>
          <w:szCs w:val="20"/>
        </w:rPr>
        <w:t>ISSR- Inter simple sequence repeats</w:t>
      </w:r>
    </w:p>
    <w:p w14:paraId="6589936C" w14:textId="2BB49313" w:rsidR="00216354" w:rsidRPr="00413DA4" w:rsidRDefault="00216354" w:rsidP="00413DA4">
      <w:pPr>
        <w:spacing w:after="0" w:line="240" w:lineRule="auto"/>
        <w:ind w:left="141"/>
        <w:jc w:val="both"/>
        <w:rPr>
          <w:rFonts w:ascii="Arial" w:hAnsi="Arial" w:cs="Arial"/>
          <w:color w:val="0D0D0D" w:themeColor="text1" w:themeTint="F2"/>
          <w:sz w:val="20"/>
          <w:szCs w:val="20"/>
        </w:rPr>
      </w:pPr>
      <w:r w:rsidRPr="00413DA4">
        <w:rPr>
          <w:rFonts w:ascii="Arial" w:hAnsi="Arial" w:cs="Arial"/>
          <w:color w:val="0D0D0D" w:themeColor="text1" w:themeTint="F2"/>
          <w:sz w:val="20"/>
          <w:szCs w:val="20"/>
        </w:rPr>
        <w:t>PCR- Polymerase chain reaction</w:t>
      </w:r>
    </w:p>
    <w:p w14:paraId="0F69E44C" w14:textId="75E20E1F" w:rsidR="00216354" w:rsidRPr="00413DA4" w:rsidRDefault="00216354" w:rsidP="00413DA4">
      <w:pPr>
        <w:spacing w:after="0" w:line="240" w:lineRule="auto"/>
        <w:ind w:left="141"/>
        <w:jc w:val="both"/>
        <w:rPr>
          <w:rFonts w:ascii="Arial" w:hAnsi="Arial" w:cs="Arial"/>
          <w:color w:val="0D0D0D" w:themeColor="text1" w:themeTint="F2"/>
          <w:sz w:val="20"/>
          <w:szCs w:val="20"/>
        </w:rPr>
      </w:pPr>
      <w:r w:rsidRPr="00413DA4">
        <w:rPr>
          <w:rFonts w:ascii="Arial" w:hAnsi="Arial" w:cs="Arial"/>
          <w:color w:val="0D0D0D" w:themeColor="text1" w:themeTint="F2"/>
          <w:sz w:val="20"/>
          <w:szCs w:val="20"/>
        </w:rPr>
        <w:t>RAPD- Random amplified polymorphic DNA</w:t>
      </w:r>
    </w:p>
    <w:p w14:paraId="70775CFA" w14:textId="3C971161" w:rsidR="00216354" w:rsidRPr="00413DA4" w:rsidRDefault="00216354" w:rsidP="00413DA4">
      <w:pPr>
        <w:spacing w:after="0" w:line="240" w:lineRule="auto"/>
        <w:ind w:left="141"/>
        <w:jc w:val="both"/>
        <w:rPr>
          <w:rFonts w:ascii="Arial" w:hAnsi="Arial" w:cs="Arial"/>
          <w:color w:val="000000" w:themeColor="text1"/>
          <w:sz w:val="20"/>
          <w:szCs w:val="20"/>
        </w:rPr>
      </w:pPr>
      <w:r w:rsidRPr="00413DA4">
        <w:rPr>
          <w:rFonts w:ascii="Arial" w:hAnsi="Arial" w:cs="Arial"/>
          <w:color w:val="0D0D0D" w:themeColor="text1" w:themeTint="F2"/>
          <w:sz w:val="20"/>
          <w:szCs w:val="20"/>
        </w:rPr>
        <w:t>SCoT- Start codon-targeted polymorphism</w:t>
      </w:r>
    </w:p>
    <w:p w14:paraId="60771C01" w14:textId="77777777" w:rsidR="00FC6589" w:rsidRDefault="00FC6589" w:rsidP="00216354">
      <w:pPr>
        <w:spacing w:line="360" w:lineRule="auto"/>
        <w:jc w:val="both"/>
        <w:rPr>
          <w:rFonts w:ascii="Arial" w:hAnsi="Arial" w:cs="Arial"/>
          <w:b/>
          <w:bCs/>
          <w:color w:val="000000" w:themeColor="text1"/>
          <w:sz w:val="28"/>
          <w:szCs w:val="28"/>
        </w:rPr>
      </w:pPr>
    </w:p>
    <w:p w14:paraId="6D24C19C" w14:textId="77777777" w:rsidR="008722EB" w:rsidRPr="00413DA4" w:rsidRDefault="008722EB" w:rsidP="008722EB">
      <w:pPr>
        <w:spacing w:line="240" w:lineRule="auto"/>
        <w:jc w:val="both"/>
        <w:rPr>
          <w:rFonts w:ascii="Arial" w:hAnsi="Arial" w:cs="Arial"/>
          <w:b/>
          <w:bCs/>
          <w:color w:val="000000" w:themeColor="text1"/>
          <w:sz w:val="22"/>
          <w:szCs w:val="22"/>
        </w:rPr>
      </w:pPr>
      <w:r w:rsidRPr="00413DA4">
        <w:rPr>
          <w:rFonts w:ascii="Arial" w:hAnsi="Arial" w:cs="Arial"/>
          <w:b/>
          <w:bCs/>
          <w:color w:val="000000" w:themeColor="text1"/>
          <w:sz w:val="22"/>
          <w:szCs w:val="22"/>
        </w:rPr>
        <w:t>Funding</w:t>
      </w:r>
    </w:p>
    <w:p w14:paraId="3624813F" w14:textId="77777777" w:rsidR="008722EB" w:rsidRPr="00413DA4" w:rsidRDefault="008722EB" w:rsidP="008722EB">
      <w:pPr>
        <w:spacing w:line="240" w:lineRule="auto"/>
        <w:jc w:val="both"/>
        <w:rPr>
          <w:rFonts w:ascii="Arial" w:hAnsi="Arial" w:cs="Arial"/>
          <w:b/>
          <w:bCs/>
          <w:color w:val="000000" w:themeColor="text1"/>
          <w:sz w:val="20"/>
          <w:szCs w:val="20"/>
        </w:rPr>
      </w:pPr>
      <w:r w:rsidRPr="00413DA4">
        <w:rPr>
          <w:rFonts w:ascii="Arial" w:eastAsia="Times New Roman" w:hAnsi="Arial" w:cs="Arial"/>
          <w:sz w:val="20"/>
          <w:szCs w:val="20"/>
        </w:rPr>
        <w:t>This study was supported by the research grant to G.K. Surabhi by Forest, Environment and Climate Change Department, Government of Odisha, India is gratefully acknowledged.</w:t>
      </w:r>
    </w:p>
    <w:p w14:paraId="317F263A" w14:textId="77777777" w:rsidR="008722EB" w:rsidRPr="00413DA4" w:rsidRDefault="008722EB" w:rsidP="008722EB">
      <w:pPr>
        <w:spacing w:line="240" w:lineRule="auto"/>
        <w:jc w:val="both"/>
        <w:rPr>
          <w:rFonts w:ascii="Arial" w:hAnsi="Arial" w:cs="Arial"/>
          <w:b/>
          <w:bCs/>
          <w:color w:val="000000" w:themeColor="text1"/>
        </w:rPr>
      </w:pPr>
      <w:r w:rsidRPr="00413DA4">
        <w:rPr>
          <w:rFonts w:ascii="Arial" w:hAnsi="Arial" w:cs="Arial"/>
          <w:b/>
          <w:bCs/>
          <w:color w:val="000000" w:themeColor="text1"/>
          <w:sz w:val="22"/>
          <w:szCs w:val="22"/>
        </w:rPr>
        <w:t>Acknowledgments</w:t>
      </w:r>
    </w:p>
    <w:p w14:paraId="6A9ACA93" w14:textId="77777777" w:rsidR="00E52A0A" w:rsidRDefault="008722EB" w:rsidP="00413DA4">
      <w:pPr>
        <w:spacing w:line="240" w:lineRule="auto"/>
        <w:jc w:val="both"/>
        <w:rPr>
          <w:rFonts w:ascii="Arial" w:hAnsi="Arial" w:cs="Arial"/>
          <w:sz w:val="20"/>
          <w:szCs w:val="20"/>
        </w:rPr>
      </w:pPr>
      <w:r w:rsidRPr="00413DA4">
        <w:rPr>
          <w:rFonts w:ascii="Arial" w:hAnsi="Arial" w:cs="Arial"/>
          <w:sz w:val="20"/>
          <w:szCs w:val="20"/>
        </w:rPr>
        <w:t xml:space="preserve">We wish to thank Chief Executive, Regional Plant Resource Centre for facilities. </w:t>
      </w:r>
    </w:p>
    <w:p w14:paraId="268BB7D1" w14:textId="670FF79A" w:rsidR="00216354" w:rsidRPr="00413DA4" w:rsidRDefault="00362290" w:rsidP="00413DA4">
      <w:pPr>
        <w:spacing w:line="240" w:lineRule="auto"/>
        <w:jc w:val="both"/>
        <w:rPr>
          <w:rFonts w:ascii="Arial" w:hAnsi="Arial" w:cs="Arial"/>
          <w:b/>
          <w:bCs/>
          <w:color w:val="000000" w:themeColor="text1"/>
          <w:sz w:val="22"/>
          <w:szCs w:val="22"/>
        </w:rPr>
      </w:pPr>
      <w:r w:rsidRPr="00413DA4">
        <w:rPr>
          <w:rFonts w:ascii="Arial" w:hAnsi="Arial" w:cs="Arial"/>
          <w:b/>
          <w:bCs/>
          <w:color w:val="000000" w:themeColor="text1"/>
          <w:sz w:val="22"/>
          <w:szCs w:val="22"/>
        </w:rPr>
        <w:t>Declarations</w:t>
      </w:r>
    </w:p>
    <w:p w14:paraId="591790A9" w14:textId="3D2CAC0F" w:rsidR="00216354" w:rsidRPr="00413DA4" w:rsidRDefault="00216354" w:rsidP="00413DA4">
      <w:pPr>
        <w:spacing w:line="240" w:lineRule="auto"/>
        <w:jc w:val="both"/>
        <w:rPr>
          <w:rFonts w:ascii="Arial" w:hAnsi="Arial" w:cs="Arial"/>
          <w:b/>
          <w:bCs/>
          <w:color w:val="000000" w:themeColor="text1"/>
          <w:sz w:val="22"/>
          <w:szCs w:val="22"/>
        </w:rPr>
      </w:pPr>
      <w:r w:rsidRPr="00413DA4">
        <w:rPr>
          <w:rFonts w:ascii="Arial" w:hAnsi="Arial" w:cs="Arial"/>
          <w:b/>
          <w:bCs/>
          <w:color w:val="000000" w:themeColor="text1"/>
          <w:sz w:val="22"/>
          <w:szCs w:val="22"/>
        </w:rPr>
        <w:t>Competing interests</w:t>
      </w:r>
    </w:p>
    <w:p w14:paraId="58E30461" w14:textId="77777777" w:rsidR="00E52A0A" w:rsidRDefault="00216354" w:rsidP="003A7A74">
      <w:pPr>
        <w:pStyle w:val="NoSpacing"/>
        <w:rPr>
          <w:rFonts w:ascii="Arial" w:hAnsi="Arial" w:cs="Arial"/>
          <w:color w:val="000000" w:themeColor="text1"/>
          <w:sz w:val="20"/>
          <w:szCs w:val="20"/>
        </w:rPr>
      </w:pPr>
      <w:r w:rsidRPr="00413DA4">
        <w:rPr>
          <w:rFonts w:ascii="Arial" w:hAnsi="Arial" w:cs="Arial"/>
          <w:color w:val="000000" w:themeColor="text1"/>
          <w:sz w:val="20"/>
          <w:szCs w:val="20"/>
        </w:rPr>
        <w:t>The authors declare no competing interests.</w:t>
      </w:r>
      <w:bookmarkStart w:id="0" w:name="_Hlk219284361"/>
      <w:bookmarkStart w:id="1" w:name="_Hlk198031404"/>
    </w:p>
    <w:p w14:paraId="657C6536" w14:textId="77777777" w:rsidR="00E52A0A" w:rsidRDefault="00E52A0A" w:rsidP="003A7A74">
      <w:pPr>
        <w:pStyle w:val="NoSpacing"/>
        <w:rPr>
          <w:rFonts w:ascii="Arial" w:hAnsi="Arial" w:cs="Arial"/>
          <w:color w:val="000000" w:themeColor="text1"/>
          <w:sz w:val="20"/>
          <w:szCs w:val="20"/>
        </w:rPr>
      </w:pPr>
    </w:p>
    <w:p w14:paraId="015F24CD" w14:textId="182BDAFA" w:rsidR="003A7A74" w:rsidRPr="00E52A0A" w:rsidRDefault="003A7A74" w:rsidP="003A7A74">
      <w:pPr>
        <w:pStyle w:val="NoSpacing"/>
        <w:rPr>
          <w:rFonts w:ascii="Arial" w:hAnsi="Arial" w:cs="Arial"/>
          <w:b/>
          <w:bCs/>
        </w:rPr>
      </w:pPr>
      <w:r w:rsidRPr="00E52A0A">
        <w:rPr>
          <w:rFonts w:ascii="Arial" w:hAnsi="Arial" w:cs="Arial"/>
          <w:b/>
          <w:bCs/>
        </w:rPr>
        <w:t>Disclaimer (Artificial intelligence)</w:t>
      </w:r>
    </w:p>
    <w:p w14:paraId="3A138618" w14:textId="77777777" w:rsidR="003A7A74" w:rsidRPr="008C1872" w:rsidRDefault="003A7A74" w:rsidP="003A7A74">
      <w:pPr>
        <w:pStyle w:val="NoSpacing"/>
        <w:rPr>
          <w:rFonts w:ascii="Arial" w:hAnsi="Arial" w:cs="Arial"/>
        </w:rPr>
      </w:pPr>
    </w:p>
    <w:p w14:paraId="1A0C1459" w14:textId="77777777" w:rsidR="003A7A74" w:rsidRPr="008C1872" w:rsidRDefault="003A7A74" w:rsidP="003A7A74">
      <w:pPr>
        <w:pStyle w:val="NoSpacing"/>
        <w:rPr>
          <w:rFonts w:ascii="Arial" w:hAnsi="Arial" w:cs="Arial"/>
        </w:rPr>
      </w:pPr>
      <w:r w:rsidRPr="008C1872">
        <w:rPr>
          <w:rFonts w:ascii="Arial" w:hAnsi="Arial" w:cs="Arial"/>
        </w:rPr>
        <w:t xml:space="preserve">Author(s) hereby </w:t>
      </w:r>
      <w:proofErr w:type="gramStart"/>
      <w:r w:rsidRPr="008C1872">
        <w:rPr>
          <w:rFonts w:ascii="Arial" w:hAnsi="Arial" w:cs="Arial"/>
        </w:rPr>
        <w:t>declare</w:t>
      </w:r>
      <w:proofErr w:type="gramEnd"/>
      <w:r w:rsidRPr="008C1872">
        <w:rPr>
          <w:rFonts w:ascii="Arial" w:hAnsi="Arial" w:cs="Arial"/>
        </w:rPr>
        <w:t xml:space="preserve"> that NO generative AI technologies such as Large Language Models (ChatGPT, COPILOT, etc.) and text-to-image generators have been used during the writing or editing of this manuscript</w:t>
      </w:r>
      <w:bookmarkEnd w:id="0"/>
      <w:r w:rsidRPr="008C1872">
        <w:rPr>
          <w:rFonts w:ascii="Arial" w:hAnsi="Arial" w:cs="Arial"/>
        </w:rPr>
        <w:t xml:space="preserve">. </w:t>
      </w:r>
    </w:p>
    <w:bookmarkEnd w:id="1"/>
    <w:p w14:paraId="0416FFC7" w14:textId="77777777" w:rsidR="003A7A74" w:rsidRDefault="003A7A74" w:rsidP="00835FB2">
      <w:pPr>
        <w:spacing w:line="360" w:lineRule="auto"/>
        <w:jc w:val="both"/>
        <w:rPr>
          <w:rFonts w:ascii="Arial" w:hAnsi="Arial" w:cs="Arial"/>
          <w:b/>
          <w:bCs/>
        </w:rPr>
      </w:pPr>
    </w:p>
    <w:p w14:paraId="166894FA" w14:textId="49692F26" w:rsidR="00B3525C" w:rsidRPr="0087772E" w:rsidRDefault="0014082E" w:rsidP="0087772E">
      <w:pPr>
        <w:spacing w:line="360" w:lineRule="auto"/>
        <w:jc w:val="both"/>
        <w:rPr>
          <w:rFonts w:ascii="Arial" w:hAnsi="Arial" w:cs="Arial"/>
          <w:b/>
          <w:bCs/>
          <w:sz w:val="22"/>
          <w:szCs w:val="22"/>
        </w:rPr>
      </w:pPr>
      <w:r w:rsidRPr="00413DA4">
        <w:rPr>
          <w:rFonts w:ascii="Arial" w:hAnsi="Arial" w:cs="Arial"/>
          <w:b/>
          <w:bCs/>
          <w:sz w:val="22"/>
          <w:szCs w:val="22"/>
        </w:rPr>
        <w:t>REFERENCES</w:t>
      </w:r>
    </w:p>
    <w:p w14:paraId="6DB0F058" w14:textId="77777777" w:rsidR="0087772E" w:rsidRPr="00755099" w:rsidRDefault="0087772E" w:rsidP="0087772E">
      <w:pPr>
        <w:spacing w:line="240" w:lineRule="auto"/>
        <w:ind w:left="567" w:hanging="567"/>
        <w:jc w:val="both"/>
        <w:rPr>
          <w:rFonts w:ascii="Arial" w:hAnsi="Arial" w:cs="Arial"/>
          <w:b/>
          <w:bCs/>
          <w:sz w:val="20"/>
          <w:szCs w:val="20"/>
        </w:rPr>
      </w:pPr>
      <w:r w:rsidRPr="00755099">
        <w:rPr>
          <w:rFonts w:ascii="Arial" w:hAnsi="Arial" w:cs="Arial"/>
          <w:sz w:val="20"/>
          <w:szCs w:val="20"/>
        </w:rPr>
        <w:lastRenderedPageBreak/>
        <w:t xml:space="preserve">Abd-Dada, H., Bouda, S., </w:t>
      </w:r>
      <w:proofErr w:type="spellStart"/>
      <w:r w:rsidRPr="00755099">
        <w:rPr>
          <w:rFonts w:ascii="Arial" w:hAnsi="Arial" w:cs="Arial"/>
          <w:sz w:val="20"/>
          <w:szCs w:val="20"/>
        </w:rPr>
        <w:t>Khachtib</w:t>
      </w:r>
      <w:proofErr w:type="spellEnd"/>
      <w:r w:rsidRPr="00755099">
        <w:rPr>
          <w:rFonts w:ascii="Arial" w:hAnsi="Arial" w:cs="Arial"/>
          <w:sz w:val="20"/>
          <w:szCs w:val="20"/>
        </w:rPr>
        <w:t xml:space="preserve">, Y., Ait Bella, Y., &amp; </w:t>
      </w:r>
      <w:proofErr w:type="spellStart"/>
      <w:r w:rsidRPr="00755099">
        <w:rPr>
          <w:rFonts w:ascii="Arial" w:hAnsi="Arial" w:cs="Arial"/>
          <w:sz w:val="20"/>
          <w:szCs w:val="20"/>
        </w:rPr>
        <w:t>Haddioui</w:t>
      </w:r>
      <w:proofErr w:type="spellEnd"/>
      <w:r w:rsidRPr="00755099">
        <w:rPr>
          <w:rFonts w:ascii="Arial" w:hAnsi="Arial" w:cs="Arial"/>
          <w:sz w:val="20"/>
          <w:szCs w:val="20"/>
        </w:rPr>
        <w:t>, A. (2023). Use of ISSR markers to assess the genetic diversity of an endemic plant of Morocco (</w:t>
      </w:r>
      <w:r w:rsidRPr="00755099">
        <w:rPr>
          <w:rFonts w:ascii="Arial" w:hAnsi="Arial" w:cs="Arial"/>
          <w:i/>
          <w:iCs/>
          <w:sz w:val="20"/>
          <w:szCs w:val="20"/>
        </w:rPr>
        <w:t xml:space="preserve">Euphorbia </w:t>
      </w:r>
      <w:proofErr w:type="spellStart"/>
      <w:r w:rsidRPr="00755099">
        <w:rPr>
          <w:rFonts w:ascii="Arial" w:hAnsi="Arial" w:cs="Arial"/>
          <w:i/>
          <w:iCs/>
          <w:sz w:val="20"/>
          <w:szCs w:val="20"/>
        </w:rPr>
        <w:t>resinifera</w:t>
      </w:r>
      <w:proofErr w:type="spellEnd"/>
      <w:r w:rsidRPr="00755099">
        <w:rPr>
          <w:rFonts w:ascii="Arial" w:hAnsi="Arial" w:cs="Arial"/>
          <w:i/>
          <w:iCs/>
          <w:sz w:val="20"/>
          <w:szCs w:val="20"/>
        </w:rPr>
        <w:t xml:space="preserve"> </w:t>
      </w:r>
      <w:r w:rsidRPr="00755099">
        <w:rPr>
          <w:rFonts w:ascii="Arial" w:hAnsi="Arial" w:cs="Arial"/>
          <w:sz w:val="20"/>
          <w:szCs w:val="20"/>
        </w:rPr>
        <w:t>O</w:t>
      </w:r>
      <w:r w:rsidRPr="00755099">
        <w:rPr>
          <w:rFonts w:ascii="Arial" w:hAnsi="Arial" w:cs="Arial"/>
          <w:i/>
          <w:iCs/>
          <w:sz w:val="20"/>
          <w:szCs w:val="20"/>
        </w:rPr>
        <w:t xml:space="preserve">. </w:t>
      </w:r>
      <w:r w:rsidRPr="00755099">
        <w:rPr>
          <w:rFonts w:ascii="Arial" w:hAnsi="Arial" w:cs="Arial"/>
          <w:sz w:val="20"/>
          <w:szCs w:val="20"/>
        </w:rPr>
        <w:t>Berg</w:t>
      </w:r>
      <w:r w:rsidRPr="00755099">
        <w:rPr>
          <w:rFonts w:ascii="Arial" w:hAnsi="Arial" w:cs="Arial"/>
          <w:i/>
          <w:iCs/>
          <w:sz w:val="20"/>
          <w:szCs w:val="20"/>
        </w:rPr>
        <w:t>.</w:t>
      </w:r>
      <w:r w:rsidRPr="00755099">
        <w:rPr>
          <w:rFonts w:ascii="Arial" w:hAnsi="Arial" w:cs="Arial"/>
          <w:sz w:val="20"/>
          <w:szCs w:val="20"/>
        </w:rPr>
        <w:t xml:space="preserve">). </w:t>
      </w:r>
      <w:r w:rsidRPr="00755099">
        <w:rPr>
          <w:rFonts w:ascii="Arial" w:hAnsi="Arial" w:cs="Arial"/>
          <w:i/>
          <w:iCs/>
          <w:sz w:val="20"/>
          <w:szCs w:val="20"/>
        </w:rPr>
        <w:t xml:space="preserve">Journal of Genetic Engineering and </w:t>
      </w:r>
      <w:proofErr w:type="spellStart"/>
      <w:r w:rsidRPr="00755099">
        <w:rPr>
          <w:rFonts w:ascii="Arial" w:hAnsi="Arial" w:cs="Arial"/>
          <w:i/>
          <w:iCs/>
          <w:sz w:val="20"/>
          <w:szCs w:val="20"/>
        </w:rPr>
        <w:t>Biotechnplogy</w:t>
      </w:r>
      <w:proofErr w:type="spellEnd"/>
      <w:r w:rsidRPr="00755099">
        <w:rPr>
          <w:rFonts w:ascii="Arial" w:hAnsi="Arial" w:cs="Arial"/>
          <w:sz w:val="20"/>
          <w:szCs w:val="20"/>
        </w:rPr>
        <w:t xml:space="preserve">, 21(1):91 </w:t>
      </w:r>
      <w:hyperlink r:id="rId19" w:history="1">
        <w:r w:rsidRPr="00644060">
          <w:rPr>
            <w:rStyle w:val="Hyperlink"/>
            <w:rFonts w:ascii="Arial" w:hAnsi="Arial" w:cs="Arial"/>
            <w:sz w:val="20"/>
            <w:szCs w:val="20"/>
          </w:rPr>
          <w:t>https://doi.org/10.1186/s43141-023-00543-4</w:t>
        </w:r>
      </w:hyperlink>
      <w:r w:rsidRPr="00755099">
        <w:rPr>
          <w:rFonts w:ascii="Arial" w:hAnsi="Arial" w:cs="Arial"/>
          <w:sz w:val="20"/>
          <w:szCs w:val="20"/>
        </w:rPr>
        <w:t xml:space="preserve"> </w:t>
      </w:r>
    </w:p>
    <w:p w14:paraId="38015FF2"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Al Rashid, M.H., Mandal, V., Mandal, S.C., &amp; Amirthalingam, R. (2017). </w:t>
      </w:r>
      <w:r w:rsidRPr="00755099">
        <w:rPr>
          <w:rFonts w:ascii="Arial" w:hAnsi="Arial" w:cs="Arial"/>
          <w:i/>
          <w:iCs/>
          <w:sz w:val="20"/>
          <w:szCs w:val="20"/>
        </w:rPr>
        <w:t>Diospyros Melanoxylon</w:t>
      </w:r>
      <w:r w:rsidRPr="00755099">
        <w:rPr>
          <w:rFonts w:ascii="Arial" w:hAnsi="Arial" w:cs="Arial"/>
          <w:sz w:val="20"/>
          <w:szCs w:val="20"/>
        </w:rPr>
        <w:t xml:space="preserve"> </w:t>
      </w:r>
      <w:proofErr w:type="spellStart"/>
      <w:r w:rsidRPr="00755099">
        <w:rPr>
          <w:rFonts w:ascii="Arial" w:hAnsi="Arial" w:cs="Arial"/>
          <w:sz w:val="20"/>
          <w:szCs w:val="20"/>
        </w:rPr>
        <w:t>Roxb</w:t>
      </w:r>
      <w:proofErr w:type="spellEnd"/>
      <w:r w:rsidRPr="00755099">
        <w:rPr>
          <w:rFonts w:ascii="Arial" w:hAnsi="Arial" w:cs="Arial"/>
          <w:sz w:val="20"/>
          <w:szCs w:val="20"/>
        </w:rPr>
        <w:t xml:space="preserve"> in cancer prevention: Pharmacological screening, pharmacokinetics and clinical studies. </w:t>
      </w:r>
      <w:r w:rsidRPr="00755099">
        <w:rPr>
          <w:rFonts w:ascii="Arial" w:hAnsi="Arial" w:cs="Arial"/>
          <w:i/>
          <w:iCs/>
          <w:sz w:val="20"/>
          <w:szCs w:val="20"/>
        </w:rPr>
        <w:t>International Journal of Pharmacognosy,</w:t>
      </w:r>
      <w:r w:rsidRPr="00755099">
        <w:rPr>
          <w:rFonts w:ascii="Arial" w:hAnsi="Arial" w:cs="Arial"/>
          <w:sz w:val="20"/>
          <w:szCs w:val="20"/>
        </w:rPr>
        <w:t xml:space="preserve"> 4(7):217-23. </w:t>
      </w:r>
      <w:hyperlink r:id="rId20" w:history="1">
        <w:r w:rsidRPr="00755099">
          <w:rPr>
            <w:rStyle w:val="Hyperlink"/>
            <w:rFonts w:ascii="Arial" w:hAnsi="Arial" w:cs="Arial"/>
            <w:sz w:val="20"/>
            <w:szCs w:val="20"/>
          </w:rPr>
          <w:t>http://dx.doi.org/10.13040/IJPSR.0975-8232.IJP.4(7)217-23</w:t>
        </w:r>
      </w:hyperlink>
    </w:p>
    <w:p w14:paraId="27CAAA0C" w14:textId="77777777" w:rsidR="0087772E" w:rsidRPr="00755099" w:rsidRDefault="0087772E" w:rsidP="0087772E">
      <w:pPr>
        <w:spacing w:line="240" w:lineRule="auto"/>
        <w:ind w:left="643" w:hanging="643"/>
        <w:jc w:val="both"/>
        <w:rPr>
          <w:rFonts w:ascii="Arial" w:hAnsi="Arial" w:cs="Arial"/>
          <w:color w:val="0D0D0D" w:themeColor="text1" w:themeTint="F2"/>
          <w:sz w:val="20"/>
          <w:szCs w:val="20"/>
        </w:rPr>
      </w:pPr>
      <w:r w:rsidRPr="00755099">
        <w:rPr>
          <w:rFonts w:ascii="Arial" w:hAnsi="Arial" w:cs="Arial"/>
          <w:color w:val="0D0D0D" w:themeColor="text1" w:themeTint="F2"/>
          <w:sz w:val="20"/>
          <w:szCs w:val="20"/>
        </w:rPr>
        <w:t xml:space="preserve">Altaf, M.T., Nadeem, M.A., Ali, A., Liaqat, W., Bedir, M., Baran, N., Ilić, A., Ilyas, M.K., Ghafoor, A., Dogan, H., &amp; Aasim, M. (2025). Applicability of Start Codon Targeted (SCoT) markers for the assessment of genetic diversity in bread wheat germplasm. </w:t>
      </w:r>
      <w:r w:rsidRPr="00755099">
        <w:rPr>
          <w:rFonts w:ascii="Arial" w:hAnsi="Arial" w:cs="Arial"/>
          <w:i/>
          <w:iCs/>
          <w:color w:val="0D0D0D" w:themeColor="text1" w:themeTint="F2"/>
          <w:sz w:val="20"/>
          <w:szCs w:val="20"/>
        </w:rPr>
        <w:t>Genetic Resources and Crop Evolution,</w:t>
      </w:r>
      <w:r w:rsidRPr="00755099">
        <w:rPr>
          <w:rFonts w:ascii="Arial" w:hAnsi="Arial" w:cs="Arial"/>
          <w:color w:val="0D0D0D" w:themeColor="text1" w:themeTint="F2"/>
          <w:sz w:val="20"/>
          <w:szCs w:val="20"/>
        </w:rPr>
        <w:t xml:space="preserve"> 72(1):1205-18. </w:t>
      </w:r>
      <w:hyperlink r:id="rId21" w:history="1">
        <w:r w:rsidRPr="00755099">
          <w:rPr>
            <w:rStyle w:val="Hyperlink"/>
            <w:rFonts w:ascii="Arial" w:hAnsi="Arial" w:cs="Arial"/>
            <w:sz w:val="20"/>
            <w:szCs w:val="20"/>
          </w:rPr>
          <w:t>https://doi.org/10.1007/s10722-024-02016-0</w:t>
        </w:r>
      </w:hyperlink>
    </w:p>
    <w:p w14:paraId="24EA4DC0"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Badr, A., &amp; Zaki, H. (2024). Genetic diversity of </w:t>
      </w:r>
      <w:r w:rsidRPr="00755099">
        <w:rPr>
          <w:rFonts w:ascii="Arial" w:hAnsi="Arial" w:cs="Arial"/>
          <w:i/>
          <w:iCs/>
          <w:sz w:val="20"/>
          <w:szCs w:val="20"/>
        </w:rPr>
        <w:t xml:space="preserve">Citrullus </w:t>
      </w:r>
      <w:proofErr w:type="spellStart"/>
      <w:r w:rsidRPr="00755099">
        <w:rPr>
          <w:rFonts w:ascii="Arial" w:hAnsi="Arial" w:cs="Arial"/>
          <w:i/>
          <w:iCs/>
          <w:sz w:val="20"/>
          <w:szCs w:val="20"/>
        </w:rPr>
        <w:t>colocynthis</w:t>
      </w:r>
      <w:proofErr w:type="spellEnd"/>
      <w:r w:rsidRPr="00755099">
        <w:rPr>
          <w:rFonts w:ascii="Arial" w:hAnsi="Arial" w:cs="Arial"/>
          <w:sz w:val="20"/>
          <w:szCs w:val="20"/>
        </w:rPr>
        <w:t xml:space="preserve"> populations using phytochemical analysis and SCoT marker variations. </w:t>
      </w:r>
      <w:r w:rsidRPr="00755099">
        <w:rPr>
          <w:rFonts w:ascii="Arial" w:hAnsi="Arial" w:cs="Arial"/>
          <w:i/>
          <w:sz w:val="20"/>
          <w:szCs w:val="20"/>
        </w:rPr>
        <w:t>Genetic Resources and Crop Evolution,</w:t>
      </w:r>
      <w:r w:rsidRPr="00755099">
        <w:rPr>
          <w:rFonts w:ascii="Arial" w:hAnsi="Arial" w:cs="Arial"/>
          <w:iCs/>
          <w:sz w:val="20"/>
          <w:szCs w:val="20"/>
        </w:rPr>
        <w:t xml:space="preserve"> </w:t>
      </w:r>
      <w:r w:rsidRPr="00755099">
        <w:rPr>
          <w:rFonts w:ascii="Arial" w:hAnsi="Arial" w:cs="Arial"/>
          <w:sz w:val="20"/>
          <w:szCs w:val="20"/>
        </w:rPr>
        <w:t xml:space="preserve">71(5):2341-53.  </w:t>
      </w:r>
      <w:hyperlink r:id="rId22" w:history="1">
        <w:r w:rsidRPr="00755099">
          <w:rPr>
            <w:rStyle w:val="Hyperlink"/>
            <w:rFonts w:ascii="Arial" w:hAnsi="Arial" w:cs="Arial"/>
            <w:sz w:val="20"/>
            <w:szCs w:val="20"/>
          </w:rPr>
          <w:t>https://doi.org/10.1007/s10722-023-01783-6</w:t>
        </w:r>
      </w:hyperlink>
    </w:p>
    <w:p w14:paraId="4BB58BDA" w14:textId="77777777" w:rsidR="0087772E" w:rsidRDefault="0087772E" w:rsidP="0087772E">
      <w:pPr>
        <w:spacing w:line="240" w:lineRule="auto"/>
        <w:ind w:left="643" w:hanging="643"/>
        <w:jc w:val="both"/>
      </w:pPr>
      <w:r w:rsidRPr="00755099">
        <w:rPr>
          <w:rFonts w:ascii="Arial" w:hAnsi="Arial" w:cs="Arial"/>
          <w:color w:val="000000" w:themeColor="text1"/>
          <w:sz w:val="20"/>
          <w:szCs w:val="20"/>
        </w:rPr>
        <w:t xml:space="preserve">Banu, S., Baruah, D., Bhagwat, R.M., Sarkar, P., Bhowmick, A., &amp; </w:t>
      </w:r>
      <w:proofErr w:type="spellStart"/>
      <w:r w:rsidRPr="00755099">
        <w:rPr>
          <w:rFonts w:ascii="Arial" w:hAnsi="Arial" w:cs="Arial"/>
          <w:color w:val="000000" w:themeColor="text1"/>
          <w:sz w:val="20"/>
          <w:szCs w:val="20"/>
        </w:rPr>
        <w:t>Kadoo</w:t>
      </w:r>
      <w:proofErr w:type="spellEnd"/>
      <w:r w:rsidRPr="00755099">
        <w:rPr>
          <w:rFonts w:ascii="Arial" w:hAnsi="Arial" w:cs="Arial"/>
          <w:color w:val="000000" w:themeColor="text1"/>
          <w:sz w:val="20"/>
          <w:szCs w:val="20"/>
        </w:rPr>
        <w:t xml:space="preserve">, N.Y. (2015).  Analysis of genetic variability in </w:t>
      </w:r>
      <w:r w:rsidRPr="00755099">
        <w:rPr>
          <w:rFonts w:ascii="Arial" w:hAnsi="Arial" w:cs="Arial"/>
          <w:i/>
          <w:iCs/>
          <w:color w:val="000000" w:themeColor="text1"/>
          <w:sz w:val="20"/>
          <w:szCs w:val="20"/>
        </w:rPr>
        <w:t xml:space="preserve">Aquilaria </w:t>
      </w:r>
      <w:proofErr w:type="spellStart"/>
      <w:r w:rsidRPr="00755099">
        <w:rPr>
          <w:rFonts w:ascii="Arial" w:hAnsi="Arial" w:cs="Arial"/>
          <w:i/>
          <w:iCs/>
          <w:color w:val="000000" w:themeColor="text1"/>
          <w:sz w:val="20"/>
          <w:szCs w:val="20"/>
        </w:rPr>
        <w:t>malaccensis</w:t>
      </w:r>
      <w:proofErr w:type="spellEnd"/>
      <w:r w:rsidRPr="00755099">
        <w:rPr>
          <w:rFonts w:ascii="Arial" w:hAnsi="Arial" w:cs="Arial"/>
          <w:i/>
          <w:iCs/>
          <w:color w:val="000000" w:themeColor="text1"/>
          <w:sz w:val="20"/>
          <w:szCs w:val="20"/>
        </w:rPr>
        <w:t xml:space="preserve"> </w:t>
      </w:r>
      <w:r w:rsidRPr="00755099">
        <w:rPr>
          <w:rFonts w:ascii="Arial" w:hAnsi="Arial" w:cs="Arial"/>
          <w:color w:val="000000" w:themeColor="text1"/>
          <w:sz w:val="20"/>
          <w:szCs w:val="20"/>
        </w:rPr>
        <w:t xml:space="preserve">from </w:t>
      </w:r>
      <w:proofErr w:type="spellStart"/>
      <w:r w:rsidRPr="00755099">
        <w:rPr>
          <w:rFonts w:ascii="Arial" w:hAnsi="Arial" w:cs="Arial"/>
          <w:color w:val="000000" w:themeColor="text1"/>
          <w:sz w:val="20"/>
          <w:szCs w:val="20"/>
        </w:rPr>
        <w:t>Bramhaputra</w:t>
      </w:r>
      <w:proofErr w:type="spellEnd"/>
      <w:r w:rsidRPr="00755099">
        <w:rPr>
          <w:rFonts w:ascii="Arial" w:hAnsi="Arial" w:cs="Arial"/>
          <w:color w:val="000000" w:themeColor="text1"/>
          <w:sz w:val="20"/>
          <w:szCs w:val="20"/>
        </w:rPr>
        <w:t xml:space="preserve"> valley, Assam, India using ISSR markers. </w:t>
      </w:r>
      <w:r w:rsidRPr="00755099">
        <w:rPr>
          <w:rFonts w:ascii="Arial" w:hAnsi="Arial" w:cs="Arial"/>
          <w:i/>
          <w:iCs/>
          <w:color w:val="000000" w:themeColor="text1"/>
          <w:sz w:val="20"/>
          <w:szCs w:val="20"/>
        </w:rPr>
        <w:t>Flora-Morphology, Distribution, Functional Ecology of Plants</w:t>
      </w:r>
      <w:r w:rsidRPr="00755099">
        <w:rPr>
          <w:rFonts w:ascii="Arial" w:hAnsi="Arial" w:cs="Arial"/>
          <w:color w:val="000000" w:themeColor="text1"/>
          <w:sz w:val="20"/>
          <w:szCs w:val="20"/>
        </w:rPr>
        <w:t xml:space="preserve">, 217:24-32. </w:t>
      </w:r>
      <w:hyperlink r:id="rId23" w:history="1">
        <w:r w:rsidRPr="00755099">
          <w:rPr>
            <w:rStyle w:val="Hyperlink"/>
            <w:rFonts w:ascii="Arial" w:hAnsi="Arial" w:cs="Arial"/>
            <w:sz w:val="20"/>
            <w:szCs w:val="20"/>
          </w:rPr>
          <w:t>http://dx.doi.org/10.1016/j.flora.2015.09.007</w:t>
        </w:r>
      </w:hyperlink>
    </w:p>
    <w:p w14:paraId="44D9096A" w14:textId="7F30CA32" w:rsidR="00855BA5" w:rsidRPr="00755099" w:rsidRDefault="00855BA5" w:rsidP="00855BA5">
      <w:pPr>
        <w:spacing w:line="240" w:lineRule="auto"/>
        <w:ind w:left="643" w:hanging="643"/>
        <w:jc w:val="both"/>
        <w:rPr>
          <w:rFonts w:ascii="Arial" w:hAnsi="Arial" w:cs="Arial"/>
          <w:sz w:val="20"/>
          <w:szCs w:val="20"/>
        </w:rPr>
      </w:pPr>
      <w:r w:rsidRPr="00EC12D9">
        <w:rPr>
          <w:rFonts w:ascii="Arial" w:hAnsi="Arial" w:cs="Arial"/>
          <w:sz w:val="20"/>
          <w:szCs w:val="20"/>
        </w:rPr>
        <w:t xml:space="preserve">Bertola, L.D., </w:t>
      </w:r>
      <w:proofErr w:type="spellStart"/>
      <w:r w:rsidRPr="00EC12D9">
        <w:rPr>
          <w:rFonts w:ascii="Arial" w:hAnsi="Arial" w:cs="Arial"/>
          <w:sz w:val="20"/>
          <w:szCs w:val="20"/>
        </w:rPr>
        <w:t>Brüniche</w:t>
      </w:r>
      <w:proofErr w:type="spellEnd"/>
      <w:r w:rsidRPr="00EC12D9">
        <w:rPr>
          <w:rFonts w:ascii="Cambria Math" w:hAnsi="Cambria Math" w:cs="Cambria Math"/>
          <w:sz w:val="20"/>
          <w:szCs w:val="20"/>
        </w:rPr>
        <w:t>‐</w:t>
      </w:r>
      <w:r w:rsidRPr="00EC12D9">
        <w:rPr>
          <w:rFonts w:ascii="Arial" w:hAnsi="Arial" w:cs="Arial"/>
          <w:sz w:val="20"/>
          <w:szCs w:val="20"/>
        </w:rPr>
        <w:t>Olsen, A., Kershaw, F., Russo, I.R.M., MacDonald, A.J., Sunnucks, P., Bruford, M.W., Cadena, C.D., Ewart, K.M., De Bruyn, M. and Eldridge, M.D.</w:t>
      </w:r>
      <w:r>
        <w:rPr>
          <w:rFonts w:ascii="Arial" w:hAnsi="Arial" w:cs="Arial"/>
          <w:sz w:val="20"/>
          <w:szCs w:val="20"/>
        </w:rPr>
        <w:t xml:space="preserve"> (</w:t>
      </w:r>
      <w:r w:rsidRPr="00EC12D9">
        <w:rPr>
          <w:rFonts w:ascii="Arial" w:hAnsi="Arial" w:cs="Arial"/>
          <w:sz w:val="20"/>
          <w:szCs w:val="20"/>
        </w:rPr>
        <w:t>2024</w:t>
      </w:r>
      <w:r>
        <w:rPr>
          <w:rFonts w:ascii="Arial" w:hAnsi="Arial" w:cs="Arial"/>
          <w:sz w:val="20"/>
          <w:szCs w:val="20"/>
        </w:rPr>
        <w:t>)</w:t>
      </w:r>
      <w:r w:rsidRPr="00EC12D9">
        <w:rPr>
          <w:rFonts w:ascii="Arial" w:hAnsi="Arial" w:cs="Arial"/>
          <w:sz w:val="20"/>
          <w:szCs w:val="20"/>
        </w:rPr>
        <w:t>. A pragmatic approach for integrating molecular tools into biodiversity conservation. </w:t>
      </w:r>
      <w:r w:rsidRPr="00EC12D9">
        <w:rPr>
          <w:rFonts w:ascii="Arial" w:hAnsi="Arial" w:cs="Arial"/>
          <w:i/>
          <w:iCs/>
          <w:sz w:val="20"/>
          <w:szCs w:val="20"/>
        </w:rPr>
        <w:t>Conservation Science and Practice</w:t>
      </w:r>
      <w:r w:rsidRPr="00EC12D9">
        <w:rPr>
          <w:rFonts w:ascii="Arial" w:hAnsi="Arial" w:cs="Arial"/>
          <w:sz w:val="20"/>
          <w:szCs w:val="20"/>
        </w:rPr>
        <w:t>, </w:t>
      </w:r>
      <w:r w:rsidRPr="00EC12D9">
        <w:rPr>
          <w:rFonts w:ascii="Arial" w:hAnsi="Arial" w:cs="Arial"/>
          <w:i/>
          <w:iCs/>
          <w:sz w:val="20"/>
          <w:szCs w:val="20"/>
        </w:rPr>
        <w:t>6</w:t>
      </w:r>
      <w:r w:rsidRPr="00EC12D9">
        <w:rPr>
          <w:rFonts w:ascii="Arial" w:hAnsi="Arial" w:cs="Arial"/>
          <w:sz w:val="20"/>
          <w:szCs w:val="20"/>
        </w:rPr>
        <w:t>(1), p.e13053.</w:t>
      </w:r>
      <w:r>
        <w:rPr>
          <w:rFonts w:ascii="Arial" w:hAnsi="Arial" w:cs="Arial"/>
          <w:sz w:val="20"/>
          <w:szCs w:val="20"/>
        </w:rPr>
        <w:t xml:space="preserve"> </w:t>
      </w:r>
      <w:hyperlink r:id="rId24" w:history="1">
        <w:r w:rsidRPr="00285490">
          <w:rPr>
            <w:rStyle w:val="Hyperlink"/>
            <w:rFonts w:ascii="Arial" w:hAnsi="Arial" w:cs="Arial"/>
            <w:sz w:val="20"/>
            <w:szCs w:val="20"/>
          </w:rPr>
          <w:t>https://doi.org/10.1111/csp2.13053</w:t>
        </w:r>
      </w:hyperlink>
      <w:r>
        <w:rPr>
          <w:rFonts w:ascii="Arial" w:hAnsi="Arial" w:cs="Arial"/>
          <w:sz w:val="20"/>
          <w:szCs w:val="20"/>
        </w:rPr>
        <w:t xml:space="preserve"> </w:t>
      </w:r>
    </w:p>
    <w:p w14:paraId="0EC30084" w14:textId="77777777" w:rsidR="0087772E" w:rsidRPr="00755099" w:rsidRDefault="0087772E" w:rsidP="0087772E">
      <w:pPr>
        <w:spacing w:line="240" w:lineRule="auto"/>
        <w:ind w:left="643" w:hanging="643"/>
        <w:jc w:val="both"/>
        <w:rPr>
          <w:rFonts w:ascii="Arial" w:hAnsi="Arial" w:cs="Arial"/>
          <w:sz w:val="20"/>
          <w:szCs w:val="20"/>
        </w:rPr>
      </w:pPr>
      <w:proofErr w:type="spellStart"/>
      <w:r w:rsidRPr="00755099">
        <w:rPr>
          <w:rFonts w:ascii="Arial" w:hAnsi="Arial" w:cs="Arial"/>
          <w:sz w:val="20"/>
          <w:szCs w:val="20"/>
        </w:rPr>
        <w:t>Chandrashikha</w:t>
      </w:r>
      <w:proofErr w:type="spellEnd"/>
      <w:r w:rsidRPr="00755099">
        <w:rPr>
          <w:rFonts w:ascii="Arial" w:hAnsi="Arial" w:cs="Arial"/>
          <w:sz w:val="20"/>
          <w:szCs w:val="20"/>
        </w:rPr>
        <w:t>, P., Prajapati, R.K., &amp; Prakash, N.A. (2021). Evaluation of chemical composition and changes occur under fridge storage of tendu nectar (</w:t>
      </w:r>
      <w:r w:rsidRPr="00755099">
        <w:rPr>
          <w:rFonts w:ascii="Arial" w:hAnsi="Arial" w:cs="Arial"/>
          <w:i/>
          <w:iCs/>
          <w:sz w:val="20"/>
          <w:szCs w:val="20"/>
        </w:rPr>
        <w:t xml:space="preserve">Diospyros melanoxylon </w:t>
      </w:r>
      <w:proofErr w:type="spellStart"/>
      <w:r w:rsidRPr="00755099">
        <w:rPr>
          <w:rFonts w:ascii="Arial" w:hAnsi="Arial" w:cs="Arial"/>
          <w:i/>
          <w:iCs/>
          <w:sz w:val="20"/>
          <w:szCs w:val="20"/>
        </w:rPr>
        <w:t>Roxb</w:t>
      </w:r>
      <w:proofErr w:type="spellEnd"/>
      <w:r w:rsidRPr="00755099">
        <w:rPr>
          <w:rFonts w:ascii="Arial" w:hAnsi="Arial" w:cs="Arial"/>
          <w:sz w:val="20"/>
          <w:szCs w:val="20"/>
        </w:rPr>
        <w:t xml:space="preserve">.).  </w:t>
      </w:r>
      <w:r w:rsidRPr="00755099">
        <w:rPr>
          <w:rFonts w:ascii="Arial" w:hAnsi="Arial" w:cs="Arial"/>
          <w:i/>
          <w:iCs/>
          <w:sz w:val="20"/>
          <w:szCs w:val="20"/>
        </w:rPr>
        <w:t>Journal of Pharmaceutical Innovation</w:t>
      </w:r>
      <w:r w:rsidRPr="00755099">
        <w:rPr>
          <w:rFonts w:ascii="Arial" w:hAnsi="Arial" w:cs="Arial"/>
          <w:sz w:val="20"/>
          <w:szCs w:val="20"/>
        </w:rPr>
        <w:t xml:space="preserve">, 10(11): 21-29. </w:t>
      </w:r>
      <w:hyperlink r:id="rId25" w:history="1">
        <w:r w:rsidRPr="00755099">
          <w:rPr>
            <w:rStyle w:val="Hyperlink"/>
            <w:rFonts w:ascii="Arial" w:hAnsi="Arial" w:cs="Arial"/>
            <w:sz w:val="20"/>
            <w:szCs w:val="20"/>
          </w:rPr>
          <w:t>http://www.thepharmajournal.com</w:t>
        </w:r>
      </w:hyperlink>
    </w:p>
    <w:p w14:paraId="69F78504"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Collard, B.C., &amp; Mackill, D.J. (2009). Start codon targeted (SCoT) polymorphism: a simple, novel DNA marker technique for generating gene-targeted markers in plants. </w:t>
      </w:r>
      <w:r w:rsidRPr="00755099">
        <w:rPr>
          <w:rFonts w:ascii="Arial" w:hAnsi="Arial" w:cs="Arial"/>
          <w:i/>
          <w:iCs/>
          <w:sz w:val="20"/>
          <w:szCs w:val="20"/>
        </w:rPr>
        <w:t>Plant Molecular Biology Reporter,</w:t>
      </w:r>
      <w:r w:rsidRPr="00755099">
        <w:rPr>
          <w:rFonts w:ascii="Arial" w:hAnsi="Arial" w:cs="Arial"/>
          <w:sz w:val="20"/>
          <w:szCs w:val="20"/>
        </w:rPr>
        <w:t xml:space="preserve"> 27(1):86-93. </w:t>
      </w:r>
      <w:hyperlink r:id="rId26" w:history="1">
        <w:r w:rsidRPr="00755099">
          <w:rPr>
            <w:rStyle w:val="Hyperlink"/>
            <w:rFonts w:ascii="Arial" w:hAnsi="Arial" w:cs="Arial"/>
            <w:sz w:val="20"/>
            <w:szCs w:val="20"/>
          </w:rPr>
          <w:t>https://doi.org/10.1007/s11105-008-0060-5</w:t>
        </w:r>
      </w:hyperlink>
    </w:p>
    <w:p w14:paraId="57B6EC14"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Deng, L., Liang, Q., He, X., Luo, C., Chen, H., &amp; Qin, Z. (2015). Investigation and analysis of genetic diversity of </w:t>
      </w:r>
      <w:r w:rsidRPr="00755099">
        <w:rPr>
          <w:rFonts w:ascii="Arial" w:hAnsi="Arial" w:cs="Arial"/>
          <w:i/>
          <w:iCs/>
          <w:sz w:val="20"/>
          <w:szCs w:val="20"/>
        </w:rPr>
        <w:t>Diospyros</w:t>
      </w:r>
      <w:r w:rsidRPr="00755099">
        <w:rPr>
          <w:rFonts w:ascii="Arial" w:hAnsi="Arial" w:cs="Arial"/>
          <w:sz w:val="20"/>
          <w:szCs w:val="20"/>
        </w:rPr>
        <w:t xml:space="preserve"> germplasms using SCoT molecular markers in Guangxi. </w:t>
      </w:r>
      <w:r w:rsidRPr="00755099">
        <w:rPr>
          <w:rFonts w:ascii="Arial" w:hAnsi="Arial" w:cs="Arial"/>
          <w:i/>
          <w:iCs/>
          <w:sz w:val="20"/>
          <w:szCs w:val="20"/>
        </w:rPr>
        <w:t>PLOS One,</w:t>
      </w:r>
      <w:r w:rsidRPr="00755099">
        <w:rPr>
          <w:rFonts w:ascii="Arial" w:hAnsi="Arial" w:cs="Arial"/>
          <w:sz w:val="20"/>
          <w:szCs w:val="20"/>
        </w:rPr>
        <w:t xml:space="preserve"> 10(8):1-13 </w:t>
      </w:r>
      <w:hyperlink r:id="rId27" w:history="1">
        <w:r w:rsidRPr="00755099">
          <w:rPr>
            <w:rStyle w:val="Hyperlink"/>
            <w:rFonts w:ascii="Arial" w:hAnsi="Arial" w:cs="Arial"/>
            <w:sz w:val="20"/>
            <w:szCs w:val="20"/>
          </w:rPr>
          <w:t>10.1371/journal.pone.0136510</w:t>
        </w:r>
      </w:hyperlink>
    </w:p>
    <w:p w14:paraId="1F8B9E40"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Diallo, S., Badiane, F.A., </w:t>
      </w:r>
      <w:proofErr w:type="spellStart"/>
      <w:r w:rsidRPr="00755099">
        <w:rPr>
          <w:rFonts w:ascii="Arial" w:hAnsi="Arial" w:cs="Arial"/>
          <w:sz w:val="20"/>
          <w:szCs w:val="20"/>
        </w:rPr>
        <w:t>Kabkia</w:t>
      </w:r>
      <w:proofErr w:type="spellEnd"/>
      <w:r w:rsidRPr="00755099">
        <w:rPr>
          <w:rFonts w:ascii="Arial" w:hAnsi="Arial" w:cs="Arial"/>
          <w:sz w:val="20"/>
          <w:szCs w:val="20"/>
        </w:rPr>
        <w:t xml:space="preserve">, B.N., </w:t>
      </w:r>
      <w:proofErr w:type="spellStart"/>
      <w:r w:rsidRPr="00755099">
        <w:rPr>
          <w:rFonts w:ascii="Arial" w:hAnsi="Arial" w:cs="Arial"/>
          <w:sz w:val="20"/>
          <w:szCs w:val="20"/>
        </w:rPr>
        <w:t>Diédhiou</w:t>
      </w:r>
      <w:proofErr w:type="spellEnd"/>
      <w:r w:rsidRPr="00755099">
        <w:rPr>
          <w:rFonts w:ascii="Arial" w:hAnsi="Arial" w:cs="Arial"/>
          <w:sz w:val="20"/>
          <w:szCs w:val="20"/>
        </w:rPr>
        <w:t xml:space="preserve">, I., Diouf, M., &amp; Diouf, D. (2024). Genetic diversity and population structure of cowpea mutant collection using SSR and ISSR molecular markers. </w:t>
      </w:r>
      <w:r w:rsidRPr="00755099">
        <w:rPr>
          <w:rFonts w:ascii="Arial" w:hAnsi="Arial" w:cs="Arial"/>
          <w:i/>
          <w:iCs/>
          <w:sz w:val="20"/>
          <w:szCs w:val="20"/>
        </w:rPr>
        <w:t>Scientific Reports,</w:t>
      </w:r>
      <w:r w:rsidRPr="00755099">
        <w:rPr>
          <w:rFonts w:ascii="Arial" w:hAnsi="Arial" w:cs="Arial"/>
          <w:sz w:val="20"/>
          <w:szCs w:val="20"/>
        </w:rPr>
        <w:t xml:space="preserve"> 14(1):31833.  </w:t>
      </w:r>
      <w:hyperlink r:id="rId28" w:history="1">
        <w:r w:rsidRPr="00755099">
          <w:rPr>
            <w:rStyle w:val="Hyperlink"/>
            <w:rFonts w:ascii="Arial" w:hAnsi="Arial" w:cs="Arial"/>
            <w:sz w:val="20"/>
            <w:szCs w:val="20"/>
          </w:rPr>
          <w:t>https://doi.org/10.1038/s41598-024-83087-y</w:t>
        </w:r>
      </w:hyperlink>
    </w:p>
    <w:p w14:paraId="4A42AEB4" w14:textId="77777777" w:rsidR="0087772E" w:rsidRPr="00755099" w:rsidRDefault="0087772E" w:rsidP="0087772E">
      <w:pPr>
        <w:spacing w:line="240" w:lineRule="auto"/>
        <w:ind w:left="643" w:hanging="643"/>
        <w:rPr>
          <w:rFonts w:ascii="Arial" w:hAnsi="Arial" w:cs="Arial"/>
          <w:sz w:val="20"/>
          <w:szCs w:val="20"/>
        </w:rPr>
      </w:pPr>
      <w:r w:rsidRPr="00755099">
        <w:rPr>
          <w:rFonts w:ascii="Arial" w:hAnsi="Arial" w:cs="Arial"/>
          <w:sz w:val="20"/>
          <w:szCs w:val="20"/>
        </w:rPr>
        <w:t xml:space="preserve">Galván, M.Z., Bornet, B., </w:t>
      </w:r>
      <w:proofErr w:type="spellStart"/>
      <w:r w:rsidRPr="00755099">
        <w:rPr>
          <w:rFonts w:ascii="Arial" w:hAnsi="Arial" w:cs="Arial"/>
          <w:sz w:val="20"/>
          <w:szCs w:val="20"/>
        </w:rPr>
        <w:t>Balatti</w:t>
      </w:r>
      <w:proofErr w:type="spellEnd"/>
      <w:r w:rsidRPr="00755099">
        <w:rPr>
          <w:rFonts w:ascii="Arial" w:hAnsi="Arial" w:cs="Arial"/>
          <w:sz w:val="20"/>
          <w:szCs w:val="20"/>
        </w:rPr>
        <w:t xml:space="preserve">, P.A., &amp; </w:t>
      </w:r>
      <w:proofErr w:type="spellStart"/>
      <w:r w:rsidRPr="00755099">
        <w:rPr>
          <w:rFonts w:ascii="Arial" w:hAnsi="Arial" w:cs="Arial"/>
          <w:sz w:val="20"/>
          <w:szCs w:val="20"/>
        </w:rPr>
        <w:t>Branchard</w:t>
      </w:r>
      <w:proofErr w:type="spellEnd"/>
      <w:r w:rsidRPr="00755099">
        <w:rPr>
          <w:rFonts w:ascii="Arial" w:hAnsi="Arial" w:cs="Arial"/>
          <w:sz w:val="20"/>
          <w:szCs w:val="20"/>
        </w:rPr>
        <w:t>, M. (2003). Inter simple sequence repeat (ISSR) markers as a tool for the assessment of both genetic diversity and gene pool origin in common bean (</w:t>
      </w:r>
      <w:r w:rsidRPr="00755099">
        <w:rPr>
          <w:rFonts w:ascii="Arial" w:hAnsi="Arial" w:cs="Arial"/>
          <w:i/>
          <w:iCs/>
          <w:sz w:val="20"/>
          <w:szCs w:val="20"/>
        </w:rPr>
        <w:t xml:space="preserve">Phaseolus vulgaris </w:t>
      </w:r>
      <w:r w:rsidRPr="00755099">
        <w:rPr>
          <w:rFonts w:ascii="Arial" w:hAnsi="Arial" w:cs="Arial"/>
          <w:sz w:val="20"/>
          <w:szCs w:val="20"/>
        </w:rPr>
        <w:t>L</w:t>
      </w:r>
      <w:r w:rsidRPr="00755099">
        <w:rPr>
          <w:rFonts w:ascii="Arial" w:hAnsi="Arial" w:cs="Arial"/>
          <w:i/>
          <w:iCs/>
          <w:sz w:val="20"/>
          <w:szCs w:val="20"/>
        </w:rPr>
        <w:t>.</w:t>
      </w:r>
      <w:r w:rsidRPr="00755099">
        <w:rPr>
          <w:rFonts w:ascii="Arial" w:hAnsi="Arial" w:cs="Arial"/>
          <w:sz w:val="20"/>
          <w:szCs w:val="20"/>
        </w:rPr>
        <w:t xml:space="preserve">). </w:t>
      </w:r>
      <w:proofErr w:type="spellStart"/>
      <w:r w:rsidRPr="00755099">
        <w:rPr>
          <w:rFonts w:ascii="Arial" w:hAnsi="Arial" w:cs="Arial"/>
          <w:i/>
          <w:iCs/>
          <w:sz w:val="20"/>
          <w:szCs w:val="20"/>
        </w:rPr>
        <w:t>Euphytica</w:t>
      </w:r>
      <w:proofErr w:type="spellEnd"/>
      <w:r w:rsidRPr="00755099">
        <w:rPr>
          <w:rFonts w:ascii="Arial" w:hAnsi="Arial" w:cs="Arial"/>
          <w:i/>
          <w:iCs/>
          <w:sz w:val="20"/>
          <w:szCs w:val="20"/>
        </w:rPr>
        <w:t>,</w:t>
      </w:r>
      <w:r w:rsidRPr="00755099">
        <w:rPr>
          <w:rFonts w:ascii="Arial" w:hAnsi="Arial" w:cs="Arial"/>
          <w:sz w:val="20"/>
          <w:szCs w:val="20"/>
        </w:rPr>
        <w:t xml:space="preserve"> 132(3):297-301. </w:t>
      </w:r>
      <w:hyperlink r:id="rId29" w:tgtFrame="_blank" w:history="1">
        <w:r w:rsidRPr="00755099">
          <w:rPr>
            <w:rStyle w:val="Hyperlink"/>
            <w:rFonts w:ascii="Arial" w:hAnsi="Arial" w:cs="Arial"/>
            <w:sz w:val="20"/>
            <w:szCs w:val="20"/>
          </w:rPr>
          <w:t>https://doi.org/10.1023/A:1025032622411</w:t>
        </w:r>
      </w:hyperlink>
    </w:p>
    <w:p w14:paraId="7B3504BB" w14:textId="77777777" w:rsidR="0087772E" w:rsidRPr="00755099" w:rsidRDefault="0087772E" w:rsidP="0087772E">
      <w:pPr>
        <w:spacing w:line="240" w:lineRule="auto"/>
        <w:ind w:left="643" w:hanging="643"/>
        <w:jc w:val="both"/>
        <w:rPr>
          <w:rStyle w:val="Hyperlink"/>
          <w:rFonts w:ascii="Arial" w:hAnsi="Arial" w:cs="Arial"/>
          <w:sz w:val="20"/>
          <w:szCs w:val="20"/>
        </w:rPr>
      </w:pPr>
      <w:r w:rsidRPr="00755099">
        <w:rPr>
          <w:rFonts w:ascii="Arial" w:hAnsi="Arial" w:cs="Arial"/>
          <w:sz w:val="20"/>
          <w:szCs w:val="20"/>
        </w:rPr>
        <w:t xml:space="preserve">Garg, R., Kaler, S., Kumar, A., &amp; Kant, R. (2025). High-yield DNA extraction protocol for </w:t>
      </w:r>
      <w:proofErr w:type="spellStart"/>
      <w:r w:rsidRPr="00755099">
        <w:rPr>
          <w:rFonts w:ascii="Arial" w:hAnsi="Arial" w:cs="Arial"/>
          <w:i/>
          <w:iCs/>
          <w:sz w:val="20"/>
          <w:szCs w:val="20"/>
        </w:rPr>
        <w:t>Azadirachta</w:t>
      </w:r>
      <w:proofErr w:type="spellEnd"/>
      <w:r w:rsidRPr="00755099">
        <w:rPr>
          <w:rFonts w:ascii="Arial" w:hAnsi="Arial" w:cs="Arial"/>
          <w:i/>
          <w:iCs/>
          <w:sz w:val="20"/>
          <w:szCs w:val="20"/>
        </w:rPr>
        <w:t xml:space="preserve"> indica</w:t>
      </w:r>
      <w:r w:rsidRPr="00755099">
        <w:rPr>
          <w:rFonts w:ascii="Arial" w:hAnsi="Arial" w:cs="Arial"/>
          <w:sz w:val="20"/>
          <w:szCs w:val="20"/>
        </w:rPr>
        <w:t xml:space="preserve"> overcoming metabolite interference. </w:t>
      </w:r>
      <w:r w:rsidRPr="00755099">
        <w:rPr>
          <w:rFonts w:ascii="Arial" w:hAnsi="Arial" w:cs="Arial"/>
          <w:i/>
          <w:iCs/>
          <w:sz w:val="20"/>
          <w:szCs w:val="20"/>
        </w:rPr>
        <w:t>Academia Molecular Biology and Genomics,</w:t>
      </w:r>
      <w:r w:rsidRPr="00755099">
        <w:rPr>
          <w:rFonts w:ascii="Arial" w:hAnsi="Arial" w:cs="Arial"/>
          <w:sz w:val="20"/>
          <w:szCs w:val="20"/>
        </w:rPr>
        <w:t xml:space="preserve"> 2(2):1-8. </w:t>
      </w:r>
      <w:hyperlink r:id="rId30" w:history="1">
        <w:r w:rsidRPr="00755099">
          <w:rPr>
            <w:rStyle w:val="Hyperlink"/>
            <w:rFonts w:ascii="Arial" w:hAnsi="Arial" w:cs="Arial"/>
            <w:sz w:val="20"/>
            <w:szCs w:val="20"/>
          </w:rPr>
          <w:t>https://doi.org/10.20935/AcadMolBioGen7730</w:t>
        </w:r>
      </w:hyperlink>
    </w:p>
    <w:p w14:paraId="3C0375DE"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Gogoi, B., Wann, S.B., &amp; Saikia, S.P. (2020). Comparative assessment of ISSR, RAPD, and SCoT markers for genetic diversity in </w:t>
      </w:r>
      <w:r w:rsidRPr="00755099">
        <w:rPr>
          <w:rFonts w:ascii="Arial" w:hAnsi="Arial" w:cs="Arial"/>
          <w:i/>
          <w:iCs/>
          <w:sz w:val="20"/>
          <w:szCs w:val="20"/>
        </w:rPr>
        <w:t>Clerodendrum</w:t>
      </w:r>
      <w:r w:rsidRPr="00755099">
        <w:rPr>
          <w:rFonts w:ascii="Arial" w:hAnsi="Arial" w:cs="Arial"/>
          <w:sz w:val="20"/>
          <w:szCs w:val="20"/>
        </w:rPr>
        <w:t xml:space="preserve"> species of North East India. </w:t>
      </w:r>
      <w:r w:rsidRPr="00755099">
        <w:rPr>
          <w:rFonts w:ascii="Arial" w:hAnsi="Arial" w:cs="Arial"/>
          <w:i/>
          <w:iCs/>
          <w:sz w:val="20"/>
          <w:szCs w:val="20"/>
        </w:rPr>
        <w:t>Molecular Biology Reports,</w:t>
      </w:r>
      <w:r w:rsidRPr="00755099">
        <w:rPr>
          <w:rFonts w:ascii="Arial" w:hAnsi="Arial" w:cs="Arial"/>
          <w:sz w:val="20"/>
          <w:szCs w:val="20"/>
        </w:rPr>
        <w:t> 47(10):7365-77</w:t>
      </w:r>
      <w:r w:rsidRPr="00755099" w:rsidDel="007426DA">
        <w:rPr>
          <w:rFonts w:ascii="Arial" w:hAnsi="Arial" w:cs="Arial"/>
          <w:sz w:val="20"/>
          <w:szCs w:val="20"/>
        </w:rPr>
        <w:t>.</w:t>
      </w:r>
      <w:r w:rsidRPr="00755099">
        <w:rPr>
          <w:rFonts w:ascii="Arial" w:hAnsi="Arial" w:cs="Arial"/>
          <w:sz w:val="20"/>
          <w:szCs w:val="20"/>
        </w:rPr>
        <w:t xml:space="preserve"> </w:t>
      </w:r>
      <w:r w:rsidRPr="00755099" w:rsidDel="007426DA">
        <w:rPr>
          <w:rFonts w:ascii="Arial" w:hAnsi="Arial" w:cs="Arial"/>
          <w:sz w:val="20"/>
          <w:szCs w:val="20"/>
        </w:rPr>
        <w:t xml:space="preserve"> </w:t>
      </w:r>
      <w:hyperlink r:id="rId31" w:history="1">
        <w:r w:rsidRPr="00755099" w:rsidDel="007426DA">
          <w:rPr>
            <w:rStyle w:val="Hyperlink"/>
            <w:rFonts w:ascii="Arial" w:hAnsi="Arial" w:cs="Arial"/>
            <w:sz w:val="20"/>
            <w:szCs w:val="20"/>
          </w:rPr>
          <w:t>https://doi.org/10.1007/s11105-008-0060-5</w:t>
        </w:r>
      </w:hyperlink>
    </w:p>
    <w:p w14:paraId="6BCD89E8" w14:textId="77777777" w:rsidR="0087772E" w:rsidRPr="00755099" w:rsidRDefault="0087772E" w:rsidP="0087772E">
      <w:pPr>
        <w:spacing w:line="240" w:lineRule="auto"/>
        <w:ind w:left="643" w:hanging="643"/>
        <w:jc w:val="both"/>
        <w:rPr>
          <w:rFonts w:ascii="Arial" w:hAnsi="Arial" w:cs="Arial"/>
          <w:color w:val="467886" w:themeColor="hyperlink"/>
          <w:sz w:val="20"/>
          <w:szCs w:val="20"/>
          <w:u w:val="single"/>
        </w:rPr>
      </w:pPr>
      <w:r w:rsidRPr="00755099">
        <w:rPr>
          <w:rFonts w:ascii="Arial" w:hAnsi="Arial" w:cs="Arial"/>
          <w:sz w:val="20"/>
          <w:szCs w:val="20"/>
        </w:rPr>
        <w:t xml:space="preserve">Guan, C., Chachar, S., Zhang, P., Hu, C., Wang, R., &amp; Yang, Y. (2020). Inter-and intra-specific genetic diversity in </w:t>
      </w:r>
      <w:r w:rsidRPr="00755099">
        <w:rPr>
          <w:rFonts w:ascii="Arial" w:hAnsi="Arial" w:cs="Arial"/>
          <w:i/>
          <w:iCs/>
          <w:sz w:val="20"/>
          <w:szCs w:val="20"/>
        </w:rPr>
        <w:t>Diospyros</w:t>
      </w:r>
      <w:r w:rsidRPr="00755099">
        <w:rPr>
          <w:rFonts w:ascii="Arial" w:hAnsi="Arial" w:cs="Arial"/>
          <w:sz w:val="20"/>
          <w:szCs w:val="20"/>
        </w:rPr>
        <w:t xml:space="preserve"> using SCoT and IRAP markers. </w:t>
      </w:r>
      <w:r w:rsidRPr="00755099">
        <w:rPr>
          <w:rFonts w:ascii="Arial" w:hAnsi="Arial" w:cs="Arial"/>
          <w:i/>
          <w:iCs/>
          <w:sz w:val="20"/>
          <w:szCs w:val="20"/>
        </w:rPr>
        <w:t>Horticultural Plant Journal,</w:t>
      </w:r>
      <w:r w:rsidRPr="00755099">
        <w:rPr>
          <w:rFonts w:ascii="Arial" w:hAnsi="Arial" w:cs="Arial"/>
          <w:sz w:val="20"/>
          <w:szCs w:val="20"/>
        </w:rPr>
        <w:t xml:space="preserve"> 6(2):71-80. </w:t>
      </w:r>
      <w:hyperlink r:id="rId32" w:history="1">
        <w:r w:rsidRPr="00755099">
          <w:rPr>
            <w:rStyle w:val="Hyperlink"/>
            <w:rFonts w:ascii="Arial" w:hAnsi="Arial" w:cs="Arial"/>
            <w:sz w:val="20"/>
            <w:szCs w:val="20"/>
          </w:rPr>
          <w:t>https://doi.org/10.1016/j.hpj.2019.12.005</w:t>
        </w:r>
      </w:hyperlink>
    </w:p>
    <w:p w14:paraId="47307554"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lastRenderedPageBreak/>
        <w:t xml:space="preserve">Gupta, V., Maithili, V., &amp; Vishwakarma, P.K. (2013). Comparative study of analgesic activity of </w:t>
      </w:r>
      <w:r w:rsidRPr="00755099">
        <w:rPr>
          <w:rFonts w:ascii="Arial" w:hAnsi="Arial" w:cs="Arial"/>
          <w:i/>
          <w:iCs/>
          <w:sz w:val="20"/>
          <w:szCs w:val="20"/>
        </w:rPr>
        <w:t>Diospyros melanoxylon</w:t>
      </w:r>
      <w:r w:rsidRPr="00755099">
        <w:rPr>
          <w:rFonts w:ascii="Arial" w:hAnsi="Arial" w:cs="Arial"/>
          <w:sz w:val="20"/>
          <w:szCs w:val="20"/>
        </w:rPr>
        <w:t xml:space="preserve"> (</w:t>
      </w:r>
      <w:proofErr w:type="spellStart"/>
      <w:r w:rsidRPr="00755099">
        <w:rPr>
          <w:rFonts w:ascii="Arial" w:hAnsi="Arial" w:cs="Arial"/>
          <w:sz w:val="20"/>
          <w:szCs w:val="20"/>
        </w:rPr>
        <w:t>Roxb</w:t>
      </w:r>
      <w:proofErr w:type="spellEnd"/>
      <w:r w:rsidRPr="00755099">
        <w:rPr>
          <w:rFonts w:ascii="Arial" w:hAnsi="Arial" w:cs="Arial"/>
          <w:sz w:val="20"/>
          <w:szCs w:val="20"/>
        </w:rPr>
        <w:t xml:space="preserve">.) bark and root bark. </w:t>
      </w:r>
      <w:r w:rsidRPr="00755099">
        <w:rPr>
          <w:rFonts w:ascii="Arial" w:hAnsi="Arial" w:cs="Arial"/>
          <w:i/>
          <w:iCs/>
          <w:sz w:val="20"/>
          <w:szCs w:val="20"/>
        </w:rPr>
        <w:t>Journal of Natural Remedies</w:t>
      </w:r>
      <w:r w:rsidRPr="00755099">
        <w:rPr>
          <w:rFonts w:ascii="Arial" w:hAnsi="Arial" w:cs="Arial"/>
          <w:sz w:val="20"/>
          <w:szCs w:val="20"/>
        </w:rPr>
        <w:t xml:space="preserve">, 13(1):15–18. </w:t>
      </w:r>
      <w:hyperlink r:id="rId33" w:history="1">
        <w:r w:rsidRPr="00755099">
          <w:rPr>
            <w:rStyle w:val="Hyperlink"/>
            <w:rFonts w:ascii="Arial" w:hAnsi="Arial" w:cs="Arial"/>
            <w:sz w:val="20"/>
            <w:szCs w:val="20"/>
          </w:rPr>
          <w:t>https://www.researchgate.net/publication/250002953</w:t>
        </w:r>
      </w:hyperlink>
    </w:p>
    <w:p w14:paraId="2911EEA9" w14:textId="77777777" w:rsidR="0087772E" w:rsidRPr="00755099" w:rsidRDefault="0087772E" w:rsidP="0087772E">
      <w:pPr>
        <w:spacing w:after="0" w:line="240" w:lineRule="auto"/>
        <w:ind w:left="643" w:hanging="643"/>
        <w:jc w:val="both"/>
        <w:rPr>
          <w:rFonts w:ascii="Arial" w:hAnsi="Arial" w:cs="Arial"/>
          <w:color w:val="000000" w:themeColor="text1"/>
          <w:sz w:val="20"/>
          <w:szCs w:val="20"/>
        </w:rPr>
      </w:pPr>
      <w:r w:rsidRPr="00755099">
        <w:rPr>
          <w:rFonts w:ascii="Arial" w:hAnsi="Arial" w:cs="Arial"/>
          <w:color w:val="000000" w:themeColor="text1"/>
          <w:sz w:val="20"/>
          <w:szCs w:val="20"/>
        </w:rPr>
        <w:t xml:space="preserve">Hamdan, Y.A., </w:t>
      </w:r>
      <w:proofErr w:type="spellStart"/>
      <w:r w:rsidRPr="00755099">
        <w:rPr>
          <w:rFonts w:ascii="Arial" w:hAnsi="Arial" w:cs="Arial"/>
          <w:color w:val="000000" w:themeColor="text1"/>
          <w:sz w:val="20"/>
          <w:szCs w:val="20"/>
        </w:rPr>
        <w:t>Hawamda</w:t>
      </w:r>
      <w:proofErr w:type="spellEnd"/>
      <w:r w:rsidRPr="00755099">
        <w:rPr>
          <w:rFonts w:ascii="Arial" w:hAnsi="Arial" w:cs="Arial"/>
          <w:color w:val="000000" w:themeColor="text1"/>
          <w:sz w:val="20"/>
          <w:szCs w:val="20"/>
        </w:rPr>
        <w:t>, A.I., Basheer-</w:t>
      </w:r>
      <w:proofErr w:type="spellStart"/>
      <w:r w:rsidRPr="00755099">
        <w:rPr>
          <w:rFonts w:ascii="Arial" w:hAnsi="Arial" w:cs="Arial"/>
          <w:color w:val="000000" w:themeColor="text1"/>
          <w:sz w:val="20"/>
          <w:szCs w:val="20"/>
        </w:rPr>
        <w:t>Salimia</w:t>
      </w:r>
      <w:proofErr w:type="spellEnd"/>
      <w:r w:rsidRPr="00755099">
        <w:rPr>
          <w:rFonts w:ascii="Arial" w:hAnsi="Arial" w:cs="Arial"/>
          <w:color w:val="000000" w:themeColor="text1"/>
          <w:sz w:val="20"/>
          <w:szCs w:val="20"/>
        </w:rPr>
        <w:t>, R., &amp; Salman, M. (2024). Genetic diversity assessment of Palestinian okra landraces (</w:t>
      </w:r>
      <w:r w:rsidRPr="00755099">
        <w:rPr>
          <w:rFonts w:ascii="Arial" w:hAnsi="Arial" w:cs="Arial"/>
          <w:i/>
          <w:iCs/>
          <w:color w:val="000000" w:themeColor="text1"/>
          <w:sz w:val="20"/>
          <w:szCs w:val="20"/>
        </w:rPr>
        <w:t>Abelmoschus esculentus</w:t>
      </w:r>
      <w:r w:rsidRPr="00755099">
        <w:rPr>
          <w:rFonts w:ascii="Arial" w:hAnsi="Arial" w:cs="Arial"/>
          <w:color w:val="000000" w:themeColor="text1"/>
          <w:sz w:val="20"/>
          <w:szCs w:val="20"/>
        </w:rPr>
        <w:t xml:space="preserve"> L.) through RAPD marker. </w:t>
      </w:r>
      <w:r w:rsidRPr="00755099">
        <w:rPr>
          <w:rFonts w:ascii="Arial" w:hAnsi="Arial" w:cs="Arial"/>
          <w:i/>
          <w:iCs/>
          <w:color w:val="000000" w:themeColor="text1"/>
          <w:sz w:val="20"/>
          <w:szCs w:val="20"/>
        </w:rPr>
        <w:t xml:space="preserve">Genetic Resources and Crop Evolution, </w:t>
      </w:r>
      <w:r w:rsidRPr="00755099">
        <w:rPr>
          <w:rFonts w:ascii="Arial" w:hAnsi="Arial" w:cs="Arial"/>
          <w:color w:val="000000" w:themeColor="text1"/>
          <w:sz w:val="20"/>
          <w:szCs w:val="20"/>
        </w:rPr>
        <w:t xml:space="preserve">71(7):3555–3562. </w:t>
      </w:r>
      <w:hyperlink r:id="rId34" w:history="1">
        <w:r w:rsidRPr="00755099">
          <w:rPr>
            <w:rStyle w:val="Hyperlink"/>
            <w:rFonts w:ascii="Arial" w:hAnsi="Arial" w:cs="Arial"/>
            <w:sz w:val="20"/>
            <w:szCs w:val="20"/>
          </w:rPr>
          <w:t>https://doi.org/10.21203/rs.3.rs-3536240/v1</w:t>
        </w:r>
      </w:hyperlink>
    </w:p>
    <w:p w14:paraId="2FFD8663"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Hinge, V.R., Shaikh, I.M., Chavhan, R.L., Deshmukh, A.S., </w:t>
      </w:r>
      <w:proofErr w:type="spellStart"/>
      <w:r w:rsidRPr="00755099">
        <w:rPr>
          <w:rFonts w:ascii="Arial" w:hAnsi="Arial" w:cs="Arial"/>
          <w:sz w:val="20"/>
          <w:szCs w:val="20"/>
        </w:rPr>
        <w:t>Shelake</w:t>
      </w:r>
      <w:proofErr w:type="spellEnd"/>
      <w:r w:rsidRPr="00755099">
        <w:rPr>
          <w:rFonts w:ascii="Arial" w:hAnsi="Arial" w:cs="Arial"/>
          <w:sz w:val="20"/>
          <w:szCs w:val="20"/>
        </w:rPr>
        <w:t xml:space="preserve">, R.M., </w:t>
      </w:r>
      <w:proofErr w:type="spellStart"/>
      <w:r w:rsidRPr="00755099">
        <w:rPr>
          <w:rFonts w:ascii="Arial" w:hAnsi="Arial" w:cs="Arial"/>
          <w:sz w:val="20"/>
          <w:szCs w:val="20"/>
        </w:rPr>
        <w:t>Ghuge</w:t>
      </w:r>
      <w:proofErr w:type="spellEnd"/>
      <w:r w:rsidRPr="00755099">
        <w:rPr>
          <w:rFonts w:ascii="Arial" w:hAnsi="Arial" w:cs="Arial"/>
          <w:sz w:val="20"/>
          <w:szCs w:val="20"/>
        </w:rPr>
        <w:t xml:space="preserve">, S.A., </w:t>
      </w:r>
      <w:proofErr w:type="spellStart"/>
      <w:r w:rsidRPr="00755099">
        <w:rPr>
          <w:rFonts w:ascii="Arial" w:hAnsi="Arial" w:cs="Arial"/>
          <w:sz w:val="20"/>
          <w:szCs w:val="20"/>
        </w:rPr>
        <w:t>Dethe</w:t>
      </w:r>
      <w:proofErr w:type="spellEnd"/>
      <w:r w:rsidRPr="00755099">
        <w:rPr>
          <w:rFonts w:ascii="Arial" w:hAnsi="Arial" w:cs="Arial"/>
          <w:sz w:val="20"/>
          <w:szCs w:val="20"/>
        </w:rPr>
        <w:t>, A.M., Suprasanna, P., &amp; Kadam, U.S. (2022). Assessment of genetic diversity and volatile content of commercially grown banana (</w:t>
      </w:r>
      <w:r w:rsidRPr="00755099">
        <w:rPr>
          <w:rFonts w:ascii="Arial" w:hAnsi="Arial" w:cs="Arial"/>
          <w:i/>
          <w:iCs/>
          <w:sz w:val="20"/>
          <w:szCs w:val="20"/>
        </w:rPr>
        <w:t>Musa spp</w:t>
      </w:r>
      <w:r w:rsidRPr="00755099">
        <w:rPr>
          <w:rFonts w:ascii="Arial" w:hAnsi="Arial" w:cs="Arial"/>
          <w:sz w:val="20"/>
          <w:szCs w:val="20"/>
        </w:rPr>
        <w:t xml:space="preserve">.) cultivars. </w:t>
      </w:r>
      <w:r w:rsidRPr="00755099">
        <w:rPr>
          <w:rFonts w:ascii="Arial" w:hAnsi="Arial" w:cs="Arial"/>
          <w:i/>
          <w:iCs/>
          <w:sz w:val="20"/>
          <w:szCs w:val="20"/>
        </w:rPr>
        <w:t>Scientific Reports,</w:t>
      </w:r>
      <w:r w:rsidRPr="00755099">
        <w:rPr>
          <w:rFonts w:ascii="Arial" w:hAnsi="Arial" w:cs="Arial"/>
          <w:sz w:val="20"/>
          <w:szCs w:val="20"/>
        </w:rPr>
        <w:t xml:space="preserve"> 12(1):7979.  </w:t>
      </w:r>
      <w:hyperlink r:id="rId35" w:history="1">
        <w:r w:rsidRPr="00755099">
          <w:rPr>
            <w:rStyle w:val="Hyperlink"/>
            <w:rFonts w:ascii="Arial" w:hAnsi="Arial" w:cs="Arial"/>
            <w:sz w:val="20"/>
            <w:szCs w:val="20"/>
          </w:rPr>
          <w:t>https://doi.org/10.1038/s41598-022-11992-1</w:t>
        </w:r>
      </w:hyperlink>
    </w:p>
    <w:p w14:paraId="2C195843" w14:textId="77777777" w:rsidR="0087772E" w:rsidRPr="00755099" w:rsidRDefault="0087772E" w:rsidP="0087772E">
      <w:pPr>
        <w:spacing w:after="0" w:line="240" w:lineRule="auto"/>
        <w:ind w:left="643" w:hanging="643"/>
        <w:jc w:val="both"/>
        <w:rPr>
          <w:rFonts w:ascii="Arial" w:hAnsi="Arial" w:cs="Arial"/>
          <w:color w:val="000000" w:themeColor="text1"/>
          <w:sz w:val="20"/>
          <w:szCs w:val="20"/>
        </w:rPr>
      </w:pPr>
      <w:r w:rsidRPr="00755099">
        <w:rPr>
          <w:rFonts w:ascii="Arial" w:hAnsi="Arial" w:cs="Arial"/>
          <w:color w:val="000000" w:themeColor="text1"/>
          <w:sz w:val="20"/>
          <w:szCs w:val="20"/>
        </w:rPr>
        <w:t>Ho, V.T., Ngo, T.K., Phan, T.H., Ta, T.T., &amp; Tran, T.K. (2021). Genetic diversity among passion fruit (</w:t>
      </w:r>
      <w:r w:rsidRPr="00755099">
        <w:rPr>
          <w:rFonts w:ascii="Arial" w:hAnsi="Arial" w:cs="Arial"/>
          <w:i/>
          <w:iCs/>
          <w:color w:val="000000" w:themeColor="text1"/>
          <w:sz w:val="20"/>
          <w:szCs w:val="20"/>
        </w:rPr>
        <w:t>Passiflora edulis</w:t>
      </w:r>
      <w:r w:rsidRPr="00755099">
        <w:rPr>
          <w:rFonts w:ascii="Arial" w:hAnsi="Arial" w:cs="Arial"/>
          <w:color w:val="000000" w:themeColor="text1"/>
          <w:sz w:val="20"/>
          <w:szCs w:val="20"/>
        </w:rPr>
        <w:t xml:space="preserve">) accessions of Southern Vietnam using RAPD and ISSR markers.  </w:t>
      </w:r>
      <w:r w:rsidRPr="00755099">
        <w:rPr>
          <w:rFonts w:ascii="Arial" w:hAnsi="Arial" w:cs="Arial"/>
          <w:i/>
          <w:iCs/>
          <w:color w:val="000000" w:themeColor="text1"/>
          <w:sz w:val="20"/>
          <w:szCs w:val="20"/>
        </w:rPr>
        <w:t>SABRAO Journal of Breeding and Genetics,</w:t>
      </w:r>
      <w:r w:rsidRPr="00755099">
        <w:rPr>
          <w:rFonts w:ascii="Arial" w:hAnsi="Arial" w:cs="Arial"/>
          <w:color w:val="000000" w:themeColor="text1"/>
          <w:sz w:val="20"/>
          <w:szCs w:val="20"/>
        </w:rPr>
        <w:t xml:space="preserve"> 53 (1): 1-14. </w:t>
      </w:r>
      <w:hyperlink r:id="rId36" w:history="1">
        <w:r w:rsidRPr="00755099">
          <w:rPr>
            <w:rStyle w:val="Hyperlink"/>
            <w:rFonts w:ascii="Arial" w:hAnsi="Arial" w:cs="Arial"/>
            <w:sz w:val="20"/>
            <w:szCs w:val="20"/>
          </w:rPr>
          <w:t>http://sabraojournal.org/wp-content/uploads/2021/03/SABRAO-J-Breed-Genet-53-1-1-14-HO.pdf</w:t>
        </w:r>
      </w:hyperlink>
    </w:p>
    <w:p w14:paraId="635BC313" w14:textId="77777777" w:rsidR="0087772E" w:rsidRPr="00755099" w:rsidRDefault="0087772E" w:rsidP="0087772E">
      <w:pPr>
        <w:spacing w:after="0" w:line="240" w:lineRule="auto"/>
        <w:ind w:left="643" w:hanging="643"/>
        <w:jc w:val="both"/>
        <w:rPr>
          <w:rFonts w:ascii="Arial" w:hAnsi="Arial" w:cs="Arial"/>
          <w:sz w:val="20"/>
          <w:szCs w:val="20"/>
        </w:rPr>
      </w:pPr>
      <w:r w:rsidRPr="00755099">
        <w:rPr>
          <w:rFonts w:ascii="Arial" w:hAnsi="Arial" w:cs="Arial"/>
          <w:color w:val="000000" w:themeColor="text1"/>
          <w:sz w:val="20"/>
          <w:szCs w:val="20"/>
        </w:rPr>
        <w:t xml:space="preserve">Hromadová, Z., </w:t>
      </w:r>
      <w:proofErr w:type="spellStart"/>
      <w:r w:rsidRPr="00755099">
        <w:rPr>
          <w:rFonts w:ascii="Arial" w:hAnsi="Arial" w:cs="Arial"/>
          <w:color w:val="000000" w:themeColor="text1"/>
          <w:sz w:val="20"/>
          <w:szCs w:val="20"/>
        </w:rPr>
        <w:t>Gálová</w:t>
      </w:r>
      <w:proofErr w:type="spellEnd"/>
      <w:r w:rsidRPr="00755099">
        <w:rPr>
          <w:rFonts w:ascii="Arial" w:hAnsi="Arial" w:cs="Arial"/>
          <w:color w:val="000000" w:themeColor="text1"/>
          <w:sz w:val="20"/>
          <w:szCs w:val="20"/>
        </w:rPr>
        <w:t xml:space="preserve">, Z., Mikolášová, L., Balážová, Ž., </w:t>
      </w:r>
      <w:proofErr w:type="spellStart"/>
      <w:r w:rsidRPr="00755099">
        <w:rPr>
          <w:rFonts w:ascii="Arial" w:hAnsi="Arial" w:cs="Arial"/>
          <w:color w:val="000000" w:themeColor="text1"/>
          <w:sz w:val="20"/>
          <w:szCs w:val="20"/>
        </w:rPr>
        <w:t>Vivodík</w:t>
      </w:r>
      <w:proofErr w:type="spellEnd"/>
      <w:r w:rsidRPr="00755099">
        <w:rPr>
          <w:rFonts w:ascii="Arial" w:hAnsi="Arial" w:cs="Arial"/>
          <w:color w:val="000000" w:themeColor="text1"/>
          <w:sz w:val="20"/>
          <w:szCs w:val="20"/>
        </w:rPr>
        <w:t xml:space="preserve">, M., </w:t>
      </w:r>
      <w:proofErr w:type="gramStart"/>
      <w:r w:rsidRPr="00755099">
        <w:rPr>
          <w:rFonts w:ascii="Arial" w:hAnsi="Arial" w:cs="Arial"/>
          <w:color w:val="000000" w:themeColor="text1"/>
          <w:sz w:val="20"/>
          <w:szCs w:val="20"/>
        </w:rPr>
        <w:t xml:space="preserve">&amp;  </w:t>
      </w:r>
      <w:proofErr w:type="spellStart"/>
      <w:r w:rsidRPr="00755099">
        <w:rPr>
          <w:rFonts w:ascii="Arial" w:hAnsi="Arial" w:cs="Arial"/>
          <w:color w:val="000000" w:themeColor="text1"/>
          <w:sz w:val="20"/>
          <w:szCs w:val="20"/>
        </w:rPr>
        <w:t>Chňapek</w:t>
      </w:r>
      <w:proofErr w:type="spellEnd"/>
      <w:proofErr w:type="gramEnd"/>
      <w:r w:rsidRPr="00755099">
        <w:rPr>
          <w:rFonts w:ascii="Arial" w:hAnsi="Arial" w:cs="Arial"/>
          <w:color w:val="000000" w:themeColor="text1"/>
          <w:sz w:val="20"/>
          <w:szCs w:val="20"/>
        </w:rPr>
        <w:t xml:space="preserve">, M. (2023). Efficiency of RAPD and SCoT markers in the genetic diversity assessment of the common bean. </w:t>
      </w:r>
      <w:r w:rsidRPr="00755099">
        <w:rPr>
          <w:rFonts w:ascii="Arial" w:hAnsi="Arial" w:cs="Arial"/>
          <w:i/>
          <w:iCs/>
          <w:color w:val="000000" w:themeColor="text1"/>
          <w:sz w:val="20"/>
          <w:szCs w:val="20"/>
        </w:rPr>
        <w:t>Plants,</w:t>
      </w:r>
      <w:r w:rsidRPr="00755099">
        <w:rPr>
          <w:rFonts w:ascii="Arial" w:hAnsi="Arial" w:cs="Arial"/>
          <w:color w:val="000000" w:themeColor="text1"/>
          <w:sz w:val="20"/>
          <w:szCs w:val="20"/>
        </w:rPr>
        <w:t xml:space="preserve"> 12(15):2763. </w:t>
      </w:r>
      <w:hyperlink r:id="rId37" w:history="1">
        <w:r w:rsidRPr="00755099">
          <w:rPr>
            <w:rStyle w:val="Hyperlink"/>
            <w:rFonts w:ascii="Arial" w:hAnsi="Arial" w:cs="Arial"/>
            <w:sz w:val="20"/>
            <w:szCs w:val="20"/>
          </w:rPr>
          <w:t>https://doi.org/10.3390/plants12152763</w:t>
        </w:r>
      </w:hyperlink>
    </w:p>
    <w:p w14:paraId="5257ADB5" w14:textId="77777777" w:rsidR="0087772E" w:rsidRPr="00755099" w:rsidRDefault="0087772E" w:rsidP="0087772E">
      <w:pPr>
        <w:spacing w:line="240" w:lineRule="auto"/>
        <w:ind w:left="643" w:hanging="643"/>
        <w:jc w:val="both"/>
        <w:rPr>
          <w:rFonts w:ascii="Arial" w:hAnsi="Arial" w:cs="Arial"/>
          <w:sz w:val="20"/>
          <w:szCs w:val="20"/>
        </w:rPr>
      </w:pPr>
      <w:proofErr w:type="spellStart"/>
      <w:r w:rsidRPr="00755099">
        <w:rPr>
          <w:rFonts w:ascii="Arial" w:hAnsi="Arial" w:cs="Arial"/>
          <w:sz w:val="20"/>
          <w:szCs w:val="20"/>
        </w:rPr>
        <w:t>Kallamadi</w:t>
      </w:r>
      <w:proofErr w:type="spellEnd"/>
      <w:r w:rsidRPr="00755099">
        <w:rPr>
          <w:rFonts w:ascii="Arial" w:hAnsi="Arial" w:cs="Arial"/>
          <w:sz w:val="20"/>
          <w:szCs w:val="20"/>
        </w:rPr>
        <w:t xml:space="preserve">, P.R., </w:t>
      </w:r>
      <w:proofErr w:type="spellStart"/>
      <w:r w:rsidRPr="00755099">
        <w:rPr>
          <w:rFonts w:ascii="Arial" w:hAnsi="Arial" w:cs="Arial"/>
          <w:sz w:val="20"/>
          <w:szCs w:val="20"/>
        </w:rPr>
        <w:t>Nadigatla</w:t>
      </w:r>
      <w:proofErr w:type="spellEnd"/>
      <w:r w:rsidRPr="00755099">
        <w:rPr>
          <w:rFonts w:ascii="Arial" w:hAnsi="Arial" w:cs="Arial"/>
          <w:sz w:val="20"/>
          <w:szCs w:val="20"/>
        </w:rPr>
        <w:t xml:space="preserve">, V.G., &amp; </w:t>
      </w:r>
      <w:proofErr w:type="spellStart"/>
      <w:r w:rsidRPr="00755099">
        <w:rPr>
          <w:rFonts w:ascii="Arial" w:hAnsi="Arial" w:cs="Arial"/>
          <w:sz w:val="20"/>
          <w:szCs w:val="20"/>
        </w:rPr>
        <w:t>Mulpuri</w:t>
      </w:r>
      <w:proofErr w:type="spellEnd"/>
      <w:r w:rsidRPr="00755099">
        <w:rPr>
          <w:rFonts w:ascii="Arial" w:hAnsi="Arial" w:cs="Arial"/>
          <w:sz w:val="20"/>
          <w:szCs w:val="20"/>
        </w:rPr>
        <w:t>, S. (2015). Molecular diversity in castor (</w:t>
      </w:r>
      <w:r w:rsidRPr="00755099">
        <w:rPr>
          <w:rFonts w:ascii="Arial" w:hAnsi="Arial" w:cs="Arial"/>
          <w:i/>
          <w:iCs/>
          <w:sz w:val="20"/>
          <w:szCs w:val="20"/>
        </w:rPr>
        <w:t>Ricinus communis</w:t>
      </w:r>
      <w:r w:rsidRPr="00755099">
        <w:rPr>
          <w:rFonts w:ascii="Arial" w:hAnsi="Arial" w:cs="Arial"/>
          <w:sz w:val="20"/>
          <w:szCs w:val="20"/>
        </w:rPr>
        <w:t xml:space="preserve"> L.). </w:t>
      </w:r>
      <w:r w:rsidRPr="00755099">
        <w:rPr>
          <w:rFonts w:ascii="Arial" w:hAnsi="Arial" w:cs="Arial"/>
          <w:i/>
          <w:iCs/>
          <w:sz w:val="20"/>
          <w:szCs w:val="20"/>
        </w:rPr>
        <w:t>Industrial Crops and Products,</w:t>
      </w:r>
      <w:r w:rsidRPr="00755099">
        <w:rPr>
          <w:rFonts w:ascii="Arial" w:hAnsi="Arial" w:cs="Arial"/>
          <w:sz w:val="20"/>
          <w:szCs w:val="20"/>
        </w:rPr>
        <w:t xml:space="preserve"> 66:271-81. </w:t>
      </w:r>
      <w:hyperlink r:id="rId38" w:tgtFrame="_blank" w:tooltip="Persistent link using digital object identifier" w:history="1">
        <w:r w:rsidRPr="00755099">
          <w:rPr>
            <w:rStyle w:val="Hyperlink"/>
            <w:rFonts w:ascii="Arial" w:hAnsi="Arial" w:cs="Arial"/>
            <w:sz w:val="20"/>
            <w:szCs w:val="20"/>
          </w:rPr>
          <w:t>https://doi.org/10.1016/j.indcrop.2014.12.061</w:t>
        </w:r>
      </w:hyperlink>
    </w:p>
    <w:p w14:paraId="08AFD19F"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Khanuja, S.P., </w:t>
      </w:r>
      <w:proofErr w:type="spellStart"/>
      <w:r w:rsidRPr="00755099">
        <w:rPr>
          <w:rFonts w:ascii="Arial" w:hAnsi="Arial" w:cs="Arial"/>
          <w:sz w:val="20"/>
          <w:szCs w:val="20"/>
        </w:rPr>
        <w:t>Shasany</w:t>
      </w:r>
      <w:proofErr w:type="spellEnd"/>
      <w:r w:rsidRPr="00755099">
        <w:rPr>
          <w:rFonts w:ascii="Arial" w:hAnsi="Arial" w:cs="Arial"/>
          <w:sz w:val="20"/>
          <w:szCs w:val="20"/>
        </w:rPr>
        <w:t xml:space="preserve">, A.K., </w:t>
      </w:r>
      <w:proofErr w:type="spellStart"/>
      <w:r w:rsidRPr="00755099">
        <w:rPr>
          <w:rFonts w:ascii="Arial" w:hAnsi="Arial" w:cs="Arial"/>
          <w:sz w:val="20"/>
          <w:szCs w:val="20"/>
        </w:rPr>
        <w:t>Darokar</w:t>
      </w:r>
      <w:proofErr w:type="spellEnd"/>
      <w:r w:rsidRPr="00755099">
        <w:rPr>
          <w:rFonts w:ascii="Arial" w:hAnsi="Arial" w:cs="Arial"/>
          <w:sz w:val="20"/>
          <w:szCs w:val="20"/>
        </w:rPr>
        <w:t>, M.P., &amp; Kumar, S. (1999). Rapid isolation of DNA from dry and fresh samples of plants producing large amounts of secondary metabolites and essential oils.  </w:t>
      </w:r>
      <w:r w:rsidRPr="00755099">
        <w:rPr>
          <w:rFonts w:ascii="Arial" w:hAnsi="Arial" w:cs="Arial"/>
          <w:i/>
          <w:iCs/>
          <w:sz w:val="20"/>
          <w:szCs w:val="20"/>
        </w:rPr>
        <w:t xml:space="preserve">Plant Molecular Biology Reporter, </w:t>
      </w:r>
      <w:r w:rsidRPr="00755099">
        <w:rPr>
          <w:rFonts w:ascii="Arial" w:hAnsi="Arial" w:cs="Arial"/>
          <w:sz w:val="20"/>
          <w:szCs w:val="20"/>
        </w:rPr>
        <w:t xml:space="preserve">17(1):74. </w:t>
      </w:r>
      <w:hyperlink r:id="rId39" w:history="1">
        <w:r w:rsidRPr="00755099">
          <w:rPr>
            <w:rStyle w:val="Hyperlink"/>
            <w:rFonts w:ascii="Arial" w:hAnsi="Arial" w:cs="Arial"/>
            <w:sz w:val="20"/>
            <w:szCs w:val="20"/>
          </w:rPr>
          <w:t>https://doi.org/10.1023/A:1007528101452</w:t>
        </w:r>
      </w:hyperlink>
    </w:p>
    <w:p w14:paraId="5C098492" w14:textId="77777777" w:rsidR="0087772E" w:rsidRDefault="0087772E" w:rsidP="0087772E">
      <w:pPr>
        <w:spacing w:after="0" w:line="240" w:lineRule="auto"/>
        <w:ind w:left="643" w:hanging="643"/>
        <w:jc w:val="both"/>
        <w:rPr>
          <w:rFonts w:ascii="Arial" w:hAnsi="Arial" w:cs="Arial"/>
          <w:color w:val="000000" w:themeColor="text1"/>
          <w:sz w:val="20"/>
          <w:szCs w:val="20"/>
        </w:rPr>
      </w:pPr>
      <w:r w:rsidRPr="00755099">
        <w:rPr>
          <w:rFonts w:ascii="Arial" w:hAnsi="Arial" w:cs="Arial"/>
          <w:color w:val="000000" w:themeColor="text1"/>
          <w:sz w:val="20"/>
          <w:szCs w:val="20"/>
        </w:rPr>
        <w:t xml:space="preserve">Kumar, V., &amp; Yadav, H. K. (2019). Assessment of genetic diversity in </w:t>
      </w:r>
      <w:r w:rsidRPr="00755099">
        <w:rPr>
          <w:rFonts w:ascii="Arial" w:hAnsi="Arial" w:cs="Arial"/>
          <w:i/>
          <w:iCs/>
          <w:color w:val="000000" w:themeColor="text1"/>
          <w:sz w:val="20"/>
          <w:szCs w:val="20"/>
        </w:rPr>
        <w:t>Lepidium sativum L</w:t>
      </w:r>
      <w:r w:rsidRPr="00755099">
        <w:rPr>
          <w:rFonts w:ascii="Arial" w:hAnsi="Arial" w:cs="Arial"/>
          <w:color w:val="000000" w:themeColor="text1"/>
          <w:sz w:val="20"/>
          <w:szCs w:val="20"/>
        </w:rPr>
        <w:t>. using inter simple sequence repeat (ISSR) marker.  </w:t>
      </w:r>
      <w:r w:rsidRPr="00755099">
        <w:rPr>
          <w:rFonts w:ascii="Arial" w:hAnsi="Arial" w:cs="Arial"/>
          <w:i/>
          <w:iCs/>
          <w:color w:val="000000" w:themeColor="text1"/>
          <w:sz w:val="20"/>
          <w:szCs w:val="20"/>
        </w:rPr>
        <w:t>Physiology and Molecular Biology of Plants,</w:t>
      </w:r>
      <w:r w:rsidRPr="00755099">
        <w:rPr>
          <w:rFonts w:ascii="Arial" w:hAnsi="Arial" w:cs="Arial"/>
          <w:color w:val="000000" w:themeColor="text1"/>
          <w:sz w:val="20"/>
          <w:szCs w:val="20"/>
        </w:rPr>
        <w:t> </w:t>
      </w:r>
      <w:r w:rsidRPr="00755099">
        <w:rPr>
          <w:rFonts w:ascii="Arial" w:hAnsi="Arial" w:cs="Arial"/>
          <w:i/>
          <w:iCs/>
          <w:color w:val="000000" w:themeColor="text1"/>
          <w:sz w:val="20"/>
          <w:szCs w:val="20"/>
        </w:rPr>
        <w:t>25</w:t>
      </w:r>
      <w:r w:rsidRPr="00755099">
        <w:rPr>
          <w:rFonts w:ascii="Arial" w:hAnsi="Arial" w:cs="Arial"/>
          <w:color w:val="000000" w:themeColor="text1"/>
          <w:sz w:val="20"/>
          <w:szCs w:val="20"/>
        </w:rPr>
        <w:t xml:space="preserve">(2): 399-406. </w:t>
      </w:r>
      <w:hyperlink r:id="rId40" w:history="1">
        <w:r w:rsidRPr="00755099">
          <w:rPr>
            <w:rStyle w:val="Hyperlink"/>
            <w:rFonts w:ascii="Arial" w:hAnsi="Arial" w:cs="Arial"/>
            <w:sz w:val="20"/>
            <w:szCs w:val="20"/>
          </w:rPr>
          <w:t>https://doi.org/10.1007/s12298-018-0622-4</w:t>
        </w:r>
      </w:hyperlink>
      <w:r w:rsidRPr="00755099" w:rsidDel="000C705D">
        <w:rPr>
          <w:rFonts w:ascii="Arial" w:hAnsi="Arial" w:cs="Arial"/>
          <w:color w:val="000000" w:themeColor="text1"/>
          <w:sz w:val="20"/>
          <w:szCs w:val="20"/>
        </w:rPr>
        <w:t xml:space="preserve"> </w:t>
      </w:r>
    </w:p>
    <w:p w14:paraId="33868FC9" w14:textId="77777777" w:rsidR="00855BA5" w:rsidRDefault="00855BA5" w:rsidP="0087772E">
      <w:pPr>
        <w:spacing w:after="0" w:line="240" w:lineRule="auto"/>
        <w:ind w:left="643" w:hanging="643"/>
        <w:jc w:val="both"/>
        <w:rPr>
          <w:rFonts w:ascii="Arial" w:hAnsi="Arial" w:cs="Arial"/>
          <w:color w:val="000000" w:themeColor="text1"/>
          <w:sz w:val="20"/>
          <w:szCs w:val="20"/>
        </w:rPr>
      </w:pPr>
    </w:p>
    <w:p w14:paraId="4532384D" w14:textId="77777777" w:rsidR="00855BA5" w:rsidRPr="00755099" w:rsidRDefault="00855BA5" w:rsidP="00855BA5">
      <w:pPr>
        <w:spacing w:after="0" w:line="240" w:lineRule="auto"/>
        <w:ind w:left="643" w:hanging="643"/>
        <w:jc w:val="both"/>
        <w:rPr>
          <w:rFonts w:ascii="Arial" w:hAnsi="Arial" w:cs="Arial"/>
          <w:color w:val="000000" w:themeColor="text1"/>
          <w:sz w:val="20"/>
          <w:szCs w:val="20"/>
        </w:rPr>
      </w:pPr>
      <w:r w:rsidRPr="00EC12D9">
        <w:rPr>
          <w:rFonts w:ascii="Arial" w:hAnsi="Arial" w:cs="Arial"/>
          <w:color w:val="000000" w:themeColor="text1"/>
          <w:sz w:val="20"/>
          <w:szCs w:val="20"/>
        </w:rPr>
        <w:t>Kumar, R., Das, S.P., Choudhury, B.U., Kumar, A., Prakash, N.R., Verma, R., Chakraborti, M., Devi, A.G., Bhattacharjee, B., Das, R. and Das, B.</w:t>
      </w:r>
      <w:r>
        <w:rPr>
          <w:rFonts w:ascii="Arial" w:hAnsi="Arial" w:cs="Arial"/>
          <w:color w:val="000000" w:themeColor="text1"/>
          <w:sz w:val="20"/>
          <w:szCs w:val="20"/>
        </w:rPr>
        <w:t xml:space="preserve"> (</w:t>
      </w:r>
      <w:r w:rsidRPr="00EC12D9">
        <w:rPr>
          <w:rFonts w:ascii="Arial" w:hAnsi="Arial" w:cs="Arial"/>
          <w:color w:val="000000" w:themeColor="text1"/>
          <w:sz w:val="20"/>
          <w:szCs w:val="20"/>
        </w:rPr>
        <w:t>2024</w:t>
      </w:r>
      <w:r>
        <w:rPr>
          <w:rFonts w:ascii="Arial" w:hAnsi="Arial" w:cs="Arial"/>
          <w:color w:val="000000" w:themeColor="text1"/>
          <w:sz w:val="20"/>
          <w:szCs w:val="20"/>
        </w:rPr>
        <w:t>)</w:t>
      </w:r>
      <w:r w:rsidRPr="00EC12D9">
        <w:rPr>
          <w:rFonts w:ascii="Arial" w:hAnsi="Arial" w:cs="Arial"/>
          <w:color w:val="000000" w:themeColor="text1"/>
          <w:sz w:val="20"/>
          <w:szCs w:val="20"/>
        </w:rPr>
        <w:t>. Advances in genomic tools for plant breeding: harnessing DNA molecular markers, genomic selection, and genome editing. </w:t>
      </w:r>
      <w:r w:rsidRPr="00EC12D9">
        <w:rPr>
          <w:rFonts w:ascii="Arial" w:hAnsi="Arial" w:cs="Arial"/>
          <w:i/>
          <w:iCs/>
          <w:color w:val="000000" w:themeColor="text1"/>
          <w:sz w:val="20"/>
          <w:szCs w:val="20"/>
        </w:rPr>
        <w:t>Biological Research</w:t>
      </w:r>
      <w:r w:rsidRPr="00EC12D9">
        <w:rPr>
          <w:rFonts w:ascii="Arial" w:hAnsi="Arial" w:cs="Arial"/>
          <w:color w:val="000000" w:themeColor="text1"/>
          <w:sz w:val="20"/>
          <w:szCs w:val="20"/>
        </w:rPr>
        <w:t>, </w:t>
      </w:r>
      <w:r w:rsidRPr="00EC12D9">
        <w:rPr>
          <w:rFonts w:ascii="Arial" w:hAnsi="Arial" w:cs="Arial"/>
          <w:i/>
          <w:iCs/>
          <w:color w:val="000000" w:themeColor="text1"/>
          <w:sz w:val="20"/>
          <w:szCs w:val="20"/>
        </w:rPr>
        <w:t>57</w:t>
      </w:r>
      <w:r w:rsidRPr="00EC12D9">
        <w:rPr>
          <w:rFonts w:ascii="Arial" w:hAnsi="Arial" w:cs="Arial"/>
          <w:color w:val="000000" w:themeColor="text1"/>
          <w:sz w:val="20"/>
          <w:szCs w:val="20"/>
        </w:rPr>
        <w:t>(1), p.80.</w:t>
      </w:r>
      <w:r>
        <w:rPr>
          <w:rFonts w:ascii="Arial" w:hAnsi="Arial" w:cs="Arial"/>
          <w:color w:val="000000" w:themeColor="text1"/>
          <w:sz w:val="20"/>
          <w:szCs w:val="20"/>
        </w:rPr>
        <w:t xml:space="preserve"> </w:t>
      </w:r>
      <w:hyperlink r:id="rId41" w:history="1">
        <w:r w:rsidRPr="00285490">
          <w:rPr>
            <w:rStyle w:val="Hyperlink"/>
            <w:rFonts w:ascii="Arial" w:hAnsi="Arial" w:cs="Arial"/>
            <w:sz w:val="20"/>
            <w:szCs w:val="20"/>
          </w:rPr>
          <w:t>https://doi.org/10.1186/s40659-024-00562-6</w:t>
        </w:r>
      </w:hyperlink>
      <w:r>
        <w:rPr>
          <w:rFonts w:ascii="Arial" w:hAnsi="Arial" w:cs="Arial"/>
          <w:color w:val="000000" w:themeColor="text1"/>
          <w:sz w:val="20"/>
          <w:szCs w:val="20"/>
        </w:rPr>
        <w:t xml:space="preserve"> </w:t>
      </w:r>
    </w:p>
    <w:p w14:paraId="36AB71C0" w14:textId="77777777" w:rsidR="00855BA5" w:rsidRPr="00755099" w:rsidRDefault="00855BA5" w:rsidP="0087772E">
      <w:pPr>
        <w:spacing w:after="0" w:line="240" w:lineRule="auto"/>
        <w:ind w:left="643" w:hanging="643"/>
        <w:jc w:val="both"/>
        <w:rPr>
          <w:rFonts w:ascii="Arial" w:hAnsi="Arial" w:cs="Arial"/>
          <w:color w:val="000000" w:themeColor="text1"/>
          <w:sz w:val="20"/>
          <w:szCs w:val="20"/>
        </w:rPr>
      </w:pPr>
    </w:p>
    <w:p w14:paraId="742FBDA3" w14:textId="77777777" w:rsidR="0087772E" w:rsidRPr="00755099" w:rsidRDefault="0087772E" w:rsidP="0087772E">
      <w:pPr>
        <w:spacing w:after="0" w:line="240" w:lineRule="auto"/>
        <w:ind w:left="643" w:hanging="643"/>
        <w:jc w:val="both"/>
        <w:rPr>
          <w:rFonts w:ascii="Arial" w:hAnsi="Arial" w:cs="Arial"/>
          <w:sz w:val="20"/>
          <w:szCs w:val="20"/>
        </w:rPr>
      </w:pPr>
      <w:r w:rsidRPr="00755099">
        <w:rPr>
          <w:rFonts w:ascii="Arial" w:hAnsi="Arial" w:cs="Arial"/>
          <w:color w:val="000000" w:themeColor="text1"/>
          <w:sz w:val="20"/>
          <w:szCs w:val="20"/>
        </w:rPr>
        <w:t xml:space="preserve">Kumari, A., &amp; Kumar, A. (2020). Assessment of genetic diversity of </w:t>
      </w:r>
      <w:r w:rsidRPr="00755099">
        <w:rPr>
          <w:rFonts w:ascii="Arial" w:hAnsi="Arial" w:cs="Arial"/>
          <w:i/>
          <w:iCs/>
          <w:color w:val="000000" w:themeColor="text1"/>
          <w:sz w:val="20"/>
          <w:szCs w:val="20"/>
        </w:rPr>
        <w:t>Diospyros melanoxylon</w:t>
      </w:r>
      <w:r w:rsidRPr="00755099">
        <w:rPr>
          <w:rFonts w:ascii="Arial" w:hAnsi="Arial" w:cs="Arial"/>
          <w:color w:val="000000" w:themeColor="text1"/>
          <w:sz w:val="20"/>
          <w:szCs w:val="20"/>
        </w:rPr>
        <w:t xml:space="preserve"> </w:t>
      </w:r>
      <w:proofErr w:type="spellStart"/>
      <w:r w:rsidRPr="00755099">
        <w:rPr>
          <w:rFonts w:ascii="Arial" w:hAnsi="Arial" w:cs="Arial"/>
          <w:color w:val="000000" w:themeColor="text1"/>
          <w:sz w:val="20"/>
          <w:szCs w:val="20"/>
        </w:rPr>
        <w:t>Roxb</w:t>
      </w:r>
      <w:proofErr w:type="spellEnd"/>
      <w:r w:rsidRPr="00755099">
        <w:rPr>
          <w:rFonts w:ascii="Arial" w:hAnsi="Arial" w:cs="Arial"/>
          <w:color w:val="000000" w:themeColor="text1"/>
          <w:sz w:val="20"/>
          <w:szCs w:val="20"/>
        </w:rPr>
        <w:t>. (</w:t>
      </w:r>
      <w:proofErr w:type="spellStart"/>
      <w:r w:rsidRPr="00755099">
        <w:rPr>
          <w:rFonts w:ascii="Arial" w:hAnsi="Arial" w:cs="Arial"/>
          <w:color w:val="000000" w:themeColor="text1"/>
          <w:sz w:val="20"/>
          <w:szCs w:val="20"/>
        </w:rPr>
        <w:t>kendu</w:t>
      </w:r>
      <w:proofErr w:type="spellEnd"/>
      <w:r w:rsidRPr="00755099">
        <w:rPr>
          <w:rFonts w:ascii="Arial" w:hAnsi="Arial" w:cs="Arial"/>
          <w:color w:val="000000" w:themeColor="text1"/>
          <w:sz w:val="20"/>
          <w:szCs w:val="20"/>
        </w:rPr>
        <w:t>) growing in Jharkhand, India using ISSR markers. </w:t>
      </w:r>
      <w:r w:rsidRPr="00755099">
        <w:rPr>
          <w:rFonts w:ascii="Arial" w:hAnsi="Arial" w:cs="Arial"/>
          <w:i/>
          <w:iCs/>
          <w:color w:val="000000" w:themeColor="text1"/>
          <w:sz w:val="20"/>
          <w:szCs w:val="20"/>
        </w:rPr>
        <w:t>The Journal of Plant Science Research,</w:t>
      </w:r>
      <w:r w:rsidRPr="00755099">
        <w:rPr>
          <w:rFonts w:ascii="Arial" w:hAnsi="Arial" w:cs="Arial"/>
          <w:color w:val="000000" w:themeColor="text1"/>
          <w:sz w:val="20"/>
          <w:szCs w:val="20"/>
        </w:rPr>
        <w:t xml:space="preserve"> 37(1): 23-31. </w:t>
      </w:r>
      <w:hyperlink r:id="rId42" w:history="1">
        <w:r w:rsidRPr="00755099">
          <w:rPr>
            <w:rStyle w:val="Hyperlink"/>
            <w:rFonts w:ascii="Arial" w:hAnsi="Arial" w:cs="Arial"/>
            <w:sz w:val="20"/>
            <w:szCs w:val="20"/>
          </w:rPr>
          <w:t>http://doi.org/10.17605/OSF.IO/RC37F</w:t>
        </w:r>
      </w:hyperlink>
      <w:r w:rsidRPr="00755099">
        <w:rPr>
          <w:rFonts w:ascii="Arial" w:hAnsi="Arial" w:cs="Arial"/>
          <w:color w:val="000000" w:themeColor="text1"/>
          <w:sz w:val="20"/>
          <w:szCs w:val="20"/>
        </w:rPr>
        <w:t xml:space="preserve"> </w:t>
      </w:r>
    </w:p>
    <w:p w14:paraId="668B05EE" w14:textId="77777777" w:rsidR="0087772E" w:rsidRPr="00755099" w:rsidRDefault="0087772E" w:rsidP="0087772E">
      <w:pPr>
        <w:spacing w:line="240" w:lineRule="auto"/>
        <w:ind w:left="643" w:hanging="643"/>
        <w:jc w:val="both"/>
        <w:rPr>
          <w:rFonts w:ascii="Arial" w:hAnsi="Arial" w:cs="Arial"/>
          <w:b/>
          <w:bCs/>
          <w:sz w:val="20"/>
          <w:szCs w:val="20"/>
        </w:rPr>
      </w:pPr>
      <w:r w:rsidRPr="00755099">
        <w:rPr>
          <w:rFonts w:ascii="Arial" w:hAnsi="Arial" w:cs="Arial"/>
          <w:sz w:val="20"/>
          <w:szCs w:val="20"/>
        </w:rPr>
        <w:t xml:space="preserve">Kumari, A., &amp; Kumar, A. (2021). Assessment of genetic diversity of </w:t>
      </w:r>
      <w:r w:rsidRPr="00755099">
        <w:rPr>
          <w:rFonts w:ascii="Arial" w:hAnsi="Arial" w:cs="Arial"/>
          <w:i/>
          <w:iCs/>
          <w:sz w:val="20"/>
          <w:szCs w:val="20"/>
        </w:rPr>
        <w:t>Diospyros melanoxylon</w:t>
      </w:r>
      <w:r w:rsidRPr="00755099">
        <w:rPr>
          <w:rFonts w:ascii="Arial" w:hAnsi="Arial" w:cs="Arial"/>
          <w:sz w:val="20"/>
          <w:szCs w:val="20"/>
        </w:rPr>
        <w:t xml:space="preserve"> </w:t>
      </w:r>
      <w:proofErr w:type="spellStart"/>
      <w:r w:rsidRPr="00755099">
        <w:rPr>
          <w:rFonts w:ascii="Arial" w:hAnsi="Arial" w:cs="Arial"/>
          <w:sz w:val="20"/>
          <w:szCs w:val="20"/>
        </w:rPr>
        <w:t>Roxb</w:t>
      </w:r>
      <w:proofErr w:type="spellEnd"/>
      <w:r w:rsidRPr="00755099">
        <w:rPr>
          <w:rFonts w:ascii="Arial" w:hAnsi="Arial" w:cs="Arial"/>
          <w:sz w:val="20"/>
          <w:szCs w:val="20"/>
        </w:rPr>
        <w:t>. (</w:t>
      </w:r>
      <w:proofErr w:type="spellStart"/>
      <w:r w:rsidRPr="00755099">
        <w:rPr>
          <w:rFonts w:ascii="Arial" w:hAnsi="Arial" w:cs="Arial"/>
          <w:sz w:val="20"/>
          <w:szCs w:val="20"/>
        </w:rPr>
        <w:t>kendu</w:t>
      </w:r>
      <w:proofErr w:type="spellEnd"/>
      <w:r w:rsidRPr="00755099">
        <w:rPr>
          <w:rFonts w:ascii="Arial" w:hAnsi="Arial" w:cs="Arial"/>
          <w:sz w:val="20"/>
          <w:szCs w:val="20"/>
        </w:rPr>
        <w:t xml:space="preserve">) growing in Jharkhand, India using RAPD markers. </w:t>
      </w:r>
      <w:r w:rsidRPr="00755099">
        <w:rPr>
          <w:rFonts w:ascii="Arial" w:hAnsi="Arial" w:cs="Arial"/>
          <w:i/>
          <w:iCs/>
          <w:sz w:val="20"/>
          <w:szCs w:val="20"/>
        </w:rPr>
        <w:t>The Journal of Plant Science Research,</w:t>
      </w:r>
      <w:r w:rsidRPr="00755099">
        <w:rPr>
          <w:rFonts w:ascii="Arial" w:hAnsi="Arial" w:cs="Arial"/>
          <w:sz w:val="20"/>
          <w:szCs w:val="20"/>
        </w:rPr>
        <w:t xml:space="preserve"> 37(1):23-31. </w:t>
      </w:r>
      <w:hyperlink r:id="rId43" w:history="1">
        <w:r w:rsidRPr="00755099">
          <w:rPr>
            <w:rStyle w:val="Hyperlink"/>
            <w:rFonts w:ascii="Arial" w:hAnsi="Arial" w:cs="Arial"/>
            <w:sz w:val="20"/>
            <w:szCs w:val="20"/>
          </w:rPr>
          <w:t>https://doi.org/10.32381/JPSR.2021.37.01.3</w:t>
        </w:r>
      </w:hyperlink>
    </w:p>
    <w:p w14:paraId="7E6F7511"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Kumari, G., &amp; Wani, A. M. (2015). Seed source variability in half sib families of </w:t>
      </w:r>
      <w:r w:rsidRPr="00755099">
        <w:rPr>
          <w:rFonts w:ascii="Arial" w:hAnsi="Arial" w:cs="Arial"/>
          <w:i/>
          <w:iCs/>
          <w:sz w:val="20"/>
          <w:szCs w:val="20"/>
        </w:rPr>
        <w:t xml:space="preserve">Diospyros melanoxylon </w:t>
      </w:r>
      <w:proofErr w:type="spellStart"/>
      <w:r w:rsidRPr="00755099">
        <w:rPr>
          <w:rFonts w:ascii="Arial" w:hAnsi="Arial" w:cs="Arial"/>
          <w:i/>
          <w:iCs/>
          <w:sz w:val="20"/>
          <w:szCs w:val="20"/>
        </w:rPr>
        <w:t>Roxb</w:t>
      </w:r>
      <w:proofErr w:type="spellEnd"/>
      <w:r w:rsidRPr="00755099">
        <w:rPr>
          <w:rFonts w:ascii="Arial" w:hAnsi="Arial" w:cs="Arial"/>
          <w:sz w:val="20"/>
          <w:szCs w:val="20"/>
        </w:rPr>
        <w:t xml:space="preserve">. under open field condition. </w:t>
      </w:r>
      <w:r w:rsidRPr="00755099">
        <w:rPr>
          <w:rFonts w:ascii="Arial" w:hAnsi="Arial" w:cs="Arial"/>
          <w:i/>
          <w:iCs/>
          <w:sz w:val="20"/>
          <w:szCs w:val="20"/>
        </w:rPr>
        <w:t>International Journal of Advanced Research</w:t>
      </w:r>
      <w:r w:rsidRPr="00755099">
        <w:rPr>
          <w:rFonts w:ascii="Arial" w:hAnsi="Arial" w:cs="Arial"/>
          <w:sz w:val="20"/>
          <w:szCs w:val="20"/>
        </w:rPr>
        <w:t xml:space="preserve">, 3(11):161-8 </w:t>
      </w:r>
      <w:hyperlink r:id="rId44" w:history="1">
        <w:r w:rsidRPr="00755099">
          <w:rPr>
            <w:rStyle w:val="Hyperlink"/>
            <w:rFonts w:ascii="Arial" w:hAnsi="Arial" w:cs="Arial"/>
            <w:sz w:val="20"/>
            <w:szCs w:val="20"/>
          </w:rPr>
          <w:t>https://www.researchgate.net/publication/312369001</w:t>
        </w:r>
      </w:hyperlink>
    </w:p>
    <w:p w14:paraId="14EB05D0"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Kumari, G., &amp; Wani, A. M. (2017). Genetic variability in thirty half-sib families of </w:t>
      </w:r>
      <w:r w:rsidRPr="00755099">
        <w:rPr>
          <w:rFonts w:ascii="Arial" w:hAnsi="Arial" w:cs="Arial"/>
          <w:i/>
          <w:iCs/>
          <w:sz w:val="20"/>
          <w:szCs w:val="20"/>
        </w:rPr>
        <w:t>Diospyros melanoxylon</w:t>
      </w:r>
      <w:r w:rsidRPr="00755099">
        <w:rPr>
          <w:rFonts w:ascii="Arial" w:hAnsi="Arial" w:cs="Arial"/>
          <w:sz w:val="20"/>
          <w:szCs w:val="20"/>
        </w:rPr>
        <w:t xml:space="preserve"> (</w:t>
      </w:r>
      <w:proofErr w:type="spellStart"/>
      <w:r w:rsidRPr="00755099">
        <w:rPr>
          <w:rFonts w:ascii="Arial" w:hAnsi="Arial" w:cs="Arial"/>
          <w:sz w:val="20"/>
          <w:szCs w:val="20"/>
        </w:rPr>
        <w:t>Roxb</w:t>
      </w:r>
      <w:proofErr w:type="spellEnd"/>
      <w:r w:rsidRPr="00755099">
        <w:rPr>
          <w:rFonts w:ascii="Arial" w:hAnsi="Arial" w:cs="Arial"/>
          <w:sz w:val="20"/>
          <w:szCs w:val="20"/>
        </w:rPr>
        <w:t>.).</w:t>
      </w:r>
      <w:r w:rsidRPr="00755099">
        <w:rPr>
          <w:rFonts w:ascii="Arial" w:hAnsi="Arial" w:cs="Arial"/>
          <w:b/>
          <w:bCs/>
          <w:color w:val="767676"/>
          <w:sz w:val="20"/>
          <w:szCs w:val="20"/>
          <w:shd w:val="clear" w:color="auto" w:fill="FFFFFF"/>
        </w:rPr>
        <w:t xml:space="preserve"> </w:t>
      </w:r>
      <w:r w:rsidRPr="00755099">
        <w:rPr>
          <w:rFonts w:ascii="Arial" w:hAnsi="Arial" w:cs="Arial"/>
          <w:i/>
          <w:iCs/>
          <w:sz w:val="20"/>
          <w:szCs w:val="20"/>
        </w:rPr>
        <w:t>International Journal of Engineering Science Technology and Research,</w:t>
      </w:r>
      <w:r w:rsidRPr="00755099">
        <w:rPr>
          <w:rFonts w:ascii="Arial" w:hAnsi="Arial" w:cs="Arial"/>
          <w:sz w:val="20"/>
          <w:szCs w:val="20"/>
        </w:rPr>
        <w:t xml:space="preserve"> 4(6):314-319. </w:t>
      </w:r>
      <w:hyperlink r:id="rId45" w:history="1">
        <w:r w:rsidRPr="00755099">
          <w:rPr>
            <w:rStyle w:val="Hyperlink"/>
            <w:rFonts w:ascii="Arial" w:hAnsi="Arial" w:cs="Arial"/>
            <w:sz w:val="20"/>
            <w:szCs w:val="20"/>
          </w:rPr>
          <w:t>https://www.researchgate.net/publication/318982466</w:t>
        </w:r>
      </w:hyperlink>
      <w:r w:rsidRPr="00755099">
        <w:rPr>
          <w:rFonts w:ascii="Arial" w:hAnsi="Arial" w:cs="Arial"/>
          <w:sz w:val="20"/>
          <w:szCs w:val="20"/>
        </w:rPr>
        <w:t xml:space="preserve"> </w:t>
      </w:r>
    </w:p>
    <w:p w14:paraId="174AC120" w14:textId="77777777" w:rsidR="0087772E" w:rsidRPr="00755099" w:rsidRDefault="0087772E" w:rsidP="0087772E">
      <w:pPr>
        <w:spacing w:line="240" w:lineRule="auto"/>
        <w:ind w:left="643" w:hanging="643"/>
        <w:jc w:val="both"/>
        <w:rPr>
          <w:rStyle w:val="Hyperlink"/>
          <w:rFonts w:ascii="Arial" w:hAnsi="Arial" w:cs="Arial"/>
          <w:sz w:val="20"/>
          <w:szCs w:val="20"/>
        </w:rPr>
      </w:pPr>
      <w:r w:rsidRPr="00755099">
        <w:rPr>
          <w:rFonts w:ascii="Arial" w:hAnsi="Arial" w:cs="Arial"/>
          <w:sz w:val="20"/>
          <w:szCs w:val="20"/>
        </w:rPr>
        <w:t xml:space="preserve">Luo, C., He, X.H., Chen, H., Ou, S.J., &amp; Gao, M.P. (2010). Analysis of diversity and relationships among mango cultivars using Start Codon Targeted (SCoT) markers. </w:t>
      </w:r>
      <w:r w:rsidRPr="00755099">
        <w:rPr>
          <w:rFonts w:ascii="Arial" w:hAnsi="Arial" w:cs="Arial"/>
          <w:i/>
          <w:iCs/>
          <w:sz w:val="20"/>
          <w:szCs w:val="20"/>
        </w:rPr>
        <w:t>Biochemical Systematics and Ecology,</w:t>
      </w:r>
      <w:r w:rsidRPr="00755099">
        <w:rPr>
          <w:rFonts w:ascii="Arial" w:hAnsi="Arial" w:cs="Arial"/>
          <w:sz w:val="20"/>
          <w:szCs w:val="20"/>
        </w:rPr>
        <w:t xml:space="preserve"> 38(6):1176-84. </w:t>
      </w:r>
      <w:hyperlink r:id="rId46" w:tgtFrame="_blank" w:tooltip="Persistent link using digital object identifier" w:history="1">
        <w:r w:rsidRPr="00755099">
          <w:rPr>
            <w:rStyle w:val="Hyperlink"/>
            <w:rFonts w:ascii="Arial" w:hAnsi="Arial" w:cs="Arial"/>
            <w:sz w:val="20"/>
            <w:szCs w:val="20"/>
          </w:rPr>
          <w:t>https://doi.org/10.1016/j.bse.2010.11.004</w:t>
        </w:r>
      </w:hyperlink>
      <w:r w:rsidRPr="00755099" w:rsidDel="00B53FA0">
        <w:rPr>
          <w:rFonts w:ascii="Arial" w:hAnsi="Arial" w:cs="Arial"/>
          <w:sz w:val="20"/>
          <w:szCs w:val="20"/>
        </w:rPr>
        <w:t xml:space="preserve"> </w:t>
      </w:r>
    </w:p>
    <w:p w14:paraId="29DFA3D2"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Mishra, G., Meena, R.K., Kant, R., Pandey, S., </w:t>
      </w:r>
      <w:proofErr w:type="spellStart"/>
      <w:r w:rsidRPr="00755099">
        <w:rPr>
          <w:rFonts w:ascii="Arial" w:hAnsi="Arial" w:cs="Arial"/>
          <w:sz w:val="20"/>
          <w:szCs w:val="20"/>
        </w:rPr>
        <w:t>Ginwal</w:t>
      </w:r>
      <w:proofErr w:type="spellEnd"/>
      <w:r w:rsidRPr="00755099">
        <w:rPr>
          <w:rFonts w:ascii="Arial" w:hAnsi="Arial" w:cs="Arial"/>
          <w:sz w:val="20"/>
          <w:szCs w:val="20"/>
        </w:rPr>
        <w:t xml:space="preserve">, H.S., &amp; Bhandari, M.S. (2023). An improved </w:t>
      </w:r>
      <w:proofErr w:type="spellStart"/>
      <w:r w:rsidRPr="00755099">
        <w:rPr>
          <w:rFonts w:ascii="Arial" w:hAnsi="Arial" w:cs="Arial"/>
          <w:i/>
          <w:iCs/>
          <w:sz w:val="20"/>
          <w:szCs w:val="20"/>
        </w:rPr>
        <w:t>Shorea</w:t>
      </w:r>
      <w:proofErr w:type="spellEnd"/>
      <w:r w:rsidRPr="00755099">
        <w:rPr>
          <w:rFonts w:ascii="Arial" w:hAnsi="Arial" w:cs="Arial"/>
          <w:i/>
          <w:iCs/>
          <w:sz w:val="20"/>
          <w:szCs w:val="20"/>
        </w:rPr>
        <w:t xml:space="preserve"> robusta</w:t>
      </w:r>
      <w:r w:rsidRPr="00755099">
        <w:rPr>
          <w:rFonts w:ascii="Arial" w:hAnsi="Arial" w:cs="Arial"/>
          <w:sz w:val="20"/>
          <w:szCs w:val="20"/>
        </w:rPr>
        <w:t xml:space="preserve"> genomic DNA extraction protocol with high PCR fidelity. </w:t>
      </w:r>
      <w:r w:rsidRPr="00755099">
        <w:rPr>
          <w:rFonts w:ascii="Arial" w:hAnsi="Arial" w:cs="Arial"/>
          <w:i/>
          <w:iCs/>
          <w:sz w:val="20"/>
          <w:szCs w:val="20"/>
        </w:rPr>
        <w:t>Biology Methods &amp; Protocols,</w:t>
      </w:r>
      <w:r w:rsidRPr="00755099">
        <w:rPr>
          <w:rFonts w:ascii="Arial" w:hAnsi="Arial" w:cs="Arial"/>
          <w:sz w:val="20"/>
          <w:szCs w:val="20"/>
        </w:rPr>
        <w:t xml:space="preserve"> 8(1):1-6. </w:t>
      </w:r>
      <w:hyperlink r:id="rId47" w:history="1">
        <w:r w:rsidRPr="00755099">
          <w:rPr>
            <w:rStyle w:val="Hyperlink"/>
            <w:rFonts w:ascii="Arial" w:hAnsi="Arial" w:cs="Arial"/>
            <w:sz w:val="20"/>
            <w:szCs w:val="20"/>
          </w:rPr>
          <w:t>https://doi.org/10.1093/biomethods/bpad039</w:t>
        </w:r>
      </w:hyperlink>
    </w:p>
    <w:p w14:paraId="039C75CD" w14:textId="77777777" w:rsidR="0087772E" w:rsidRPr="00755099" w:rsidRDefault="0087772E" w:rsidP="0087772E">
      <w:pPr>
        <w:spacing w:after="0" w:line="240" w:lineRule="auto"/>
        <w:ind w:left="643" w:hanging="643"/>
        <w:jc w:val="both"/>
        <w:rPr>
          <w:rFonts w:ascii="Arial" w:hAnsi="Arial" w:cs="Arial"/>
          <w:color w:val="000000" w:themeColor="text1"/>
          <w:sz w:val="20"/>
          <w:szCs w:val="20"/>
        </w:rPr>
      </w:pPr>
      <w:r w:rsidRPr="00755099">
        <w:rPr>
          <w:rFonts w:ascii="Arial" w:hAnsi="Arial" w:cs="Arial"/>
          <w:color w:val="222222"/>
          <w:sz w:val="20"/>
          <w:szCs w:val="20"/>
          <w:shd w:val="clear" w:color="auto" w:fill="FFFFFF"/>
        </w:rPr>
        <w:t>Mohamed, A.M., Bakry, H.S., Soltan, H.A., &amp; Asaad, M.R</w:t>
      </w:r>
      <w:r w:rsidRPr="00755099">
        <w:rPr>
          <w:rFonts w:ascii="Arial" w:hAnsi="Arial" w:cs="Arial"/>
          <w:color w:val="000000" w:themeColor="text1"/>
          <w:sz w:val="20"/>
          <w:szCs w:val="20"/>
        </w:rPr>
        <w:t>. (2025).  Combining ability and genetic diversity of promising maize (</w:t>
      </w:r>
      <w:r w:rsidRPr="00755099">
        <w:rPr>
          <w:rFonts w:ascii="Arial" w:hAnsi="Arial" w:cs="Arial"/>
          <w:i/>
          <w:color w:val="000000" w:themeColor="text1"/>
          <w:sz w:val="20"/>
          <w:szCs w:val="20"/>
        </w:rPr>
        <w:t>Zea mays</w:t>
      </w:r>
      <w:r w:rsidRPr="00755099">
        <w:rPr>
          <w:rFonts w:ascii="Arial" w:hAnsi="Arial" w:cs="Arial"/>
          <w:color w:val="000000" w:themeColor="text1"/>
          <w:sz w:val="20"/>
          <w:szCs w:val="20"/>
        </w:rPr>
        <w:t xml:space="preserve"> L.) inbred lines under varying water regimes assessed via diallel analysis and RAPD markers. </w:t>
      </w:r>
      <w:r w:rsidRPr="00755099">
        <w:rPr>
          <w:rFonts w:ascii="Arial" w:hAnsi="Arial" w:cs="Arial"/>
          <w:i/>
          <w:iCs/>
          <w:color w:val="000000" w:themeColor="text1"/>
          <w:sz w:val="20"/>
          <w:szCs w:val="20"/>
        </w:rPr>
        <w:t>Zagazig Journal of Agricultural Research,</w:t>
      </w:r>
      <w:r w:rsidRPr="00755099">
        <w:rPr>
          <w:rFonts w:ascii="Arial" w:hAnsi="Arial" w:cs="Arial"/>
          <w:color w:val="000000" w:themeColor="text1"/>
          <w:sz w:val="20"/>
          <w:szCs w:val="20"/>
        </w:rPr>
        <w:t xml:space="preserve"> 52(3) 513-527.</w:t>
      </w:r>
      <w:r w:rsidRPr="00755099">
        <w:rPr>
          <w:rFonts w:ascii="Arial" w:hAnsi="Arial" w:cs="Arial"/>
          <w:sz w:val="20"/>
          <w:szCs w:val="20"/>
        </w:rPr>
        <w:t xml:space="preserve"> </w:t>
      </w:r>
      <w:hyperlink r:id="rId48" w:history="1">
        <w:r w:rsidRPr="00755099">
          <w:rPr>
            <w:rStyle w:val="Hyperlink"/>
            <w:rFonts w:ascii="Arial" w:hAnsi="Arial" w:cs="Arial"/>
            <w:sz w:val="20"/>
            <w:szCs w:val="20"/>
          </w:rPr>
          <w:t>https://doi.org/10.21608/zjar.2025.445122</w:t>
        </w:r>
      </w:hyperlink>
    </w:p>
    <w:p w14:paraId="245FEA07"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color w:val="222222"/>
          <w:sz w:val="20"/>
          <w:szCs w:val="20"/>
          <w:shd w:val="clear" w:color="auto" w:fill="FFFFFF"/>
        </w:rPr>
        <w:lastRenderedPageBreak/>
        <w:t xml:space="preserve">Mondal, A., &amp; De, K.K. (2025). </w:t>
      </w:r>
      <w:r w:rsidRPr="00755099">
        <w:rPr>
          <w:rFonts w:ascii="Arial" w:hAnsi="Arial" w:cs="Arial"/>
          <w:sz w:val="20"/>
          <w:szCs w:val="20"/>
        </w:rPr>
        <w:t>Genetic diversity investigation of some Darjeeling Himalayan Rhododendron species based on RAPD method. </w:t>
      </w:r>
      <w:r w:rsidRPr="00755099">
        <w:rPr>
          <w:rFonts w:ascii="Arial" w:hAnsi="Arial" w:cs="Arial"/>
          <w:i/>
          <w:sz w:val="20"/>
          <w:szCs w:val="20"/>
        </w:rPr>
        <w:t>Journal of Applied Biology &amp; Biotechnology,</w:t>
      </w:r>
      <w:r w:rsidRPr="00755099">
        <w:rPr>
          <w:rFonts w:ascii="Arial" w:hAnsi="Arial" w:cs="Arial"/>
          <w:sz w:val="20"/>
          <w:szCs w:val="20"/>
        </w:rPr>
        <w:t xml:space="preserve"> 13(2): 215-221. </w:t>
      </w:r>
      <w:hyperlink r:id="rId49" w:history="1">
        <w:r w:rsidRPr="00755099">
          <w:rPr>
            <w:rStyle w:val="Hyperlink"/>
            <w:rFonts w:ascii="Arial" w:hAnsi="Arial" w:cs="Arial"/>
            <w:sz w:val="20"/>
            <w:szCs w:val="20"/>
          </w:rPr>
          <w:t>https://doi.org/10.7324/JABB.2025.209056</w:t>
        </w:r>
      </w:hyperlink>
    </w:p>
    <w:p w14:paraId="0EA1DCFF" w14:textId="77777777" w:rsidR="0087772E" w:rsidRPr="00755099" w:rsidRDefault="0087772E" w:rsidP="0087772E">
      <w:pPr>
        <w:spacing w:after="0" w:line="240" w:lineRule="auto"/>
        <w:ind w:left="643" w:hanging="643"/>
        <w:jc w:val="both"/>
        <w:rPr>
          <w:rFonts w:ascii="Arial" w:hAnsi="Arial" w:cs="Arial"/>
          <w:color w:val="000000" w:themeColor="text1"/>
          <w:sz w:val="20"/>
          <w:szCs w:val="20"/>
        </w:rPr>
      </w:pPr>
      <w:r w:rsidRPr="00755099">
        <w:rPr>
          <w:rFonts w:ascii="Arial" w:hAnsi="Arial" w:cs="Arial"/>
          <w:color w:val="222222"/>
          <w:sz w:val="20"/>
          <w:szCs w:val="20"/>
          <w:shd w:val="clear" w:color="auto" w:fill="FFFFFF"/>
        </w:rPr>
        <w:t>Mousa, M.A., Abo-</w:t>
      </w:r>
      <w:proofErr w:type="spellStart"/>
      <w:r w:rsidRPr="00755099">
        <w:rPr>
          <w:rFonts w:ascii="Arial" w:hAnsi="Arial" w:cs="Arial"/>
          <w:color w:val="222222"/>
          <w:sz w:val="20"/>
          <w:szCs w:val="20"/>
          <w:shd w:val="clear" w:color="auto" w:fill="FFFFFF"/>
        </w:rPr>
        <w:t>Elyousr</w:t>
      </w:r>
      <w:proofErr w:type="spellEnd"/>
      <w:r w:rsidRPr="00755099">
        <w:rPr>
          <w:rFonts w:ascii="Arial" w:hAnsi="Arial" w:cs="Arial"/>
          <w:color w:val="222222"/>
          <w:sz w:val="20"/>
          <w:szCs w:val="20"/>
          <w:shd w:val="clear" w:color="auto" w:fill="FFFFFF"/>
        </w:rPr>
        <w:t>, K.A., &amp; Ibrahim, O.H</w:t>
      </w:r>
      <w:r w:rsidRPr="00755099">
        <w:rPr>
          <w:rFonts w:ascii="Arial" w:hAnsi="Arial" w:cs="Arial"/>
          <w:sz w:val="20"/>
          <w:szCs w:val="20"/>
        </w:rPr>
        <w:t xml:space="preserve">. (2023). Evaluation of genetic variability within a collection of Cumin genotypes using RAPD, ISSR, SRAP and </w:t>
      </w:r>
      <w:proofErr w:type="spellStart"/>
      <w:r w:rsidRPr="00755099" w:rsidDel="00DC55F1">
        <w:rPr>
          <w:rFonts w:ascii="Arial" w:hAnsi="Arial" w:cs="Arial"/>
          <w:sz w:val="20"/>
          <w:szCs w:val="20"/>
        </w:rPr>
        <w:t>scot</w:t>
      </w:r>
      <w:proofErr w:type="spellEnd"/>
      <w:r w:rsidRPr="00755099" w:rsidDel="00DC55F1">
        <w:rPr>
          <w:rFonts w:ascii="Arial" w:hAnsi="Arial" w:cs="Arial"/>
          <w:sz w:val="20"/>
          <w:szCs w:val="20"/>
        </w:rPr>
        <w:t xml:space="preserve"> </w:t>
      </w:r>
      <w:r w:rsidRPr="00755099">
        <w:rPr>
          <w:rFonts w:ascii="Arial" w:hAnsi="Arial" w:cs="Arial"/>
          <w:sz w:val="20"/>
          <w:szCs w:val="20"/>
        </w:rPr>
        <w:t>SCoT markers and variability of in vitro callus induced therefrom. </w:t>
      </w:r>
      <w:proofErr w:type="spellStart"/>
      <w:r w:rsidRPr="00755099">
        <w:rPr>
          <w:rFonts w:ascii="Arial" w:hAnsi="Arial" w:cs="Arial"/>
          <w:i/>
          <w:sz w:val="20"/>
          <w:szCs w:val="20"/>
        </w:rPr>
        <w:t>Horticulturae</w:t>
      </w:r>
      <w:proofErr w:type="spellEnd"/>
      <w:r w:rsidRPr="00755099">
        <w:rPr>
          <w:rFonts w:ascii="Arial" w:hAnsi="Arial" w:cs="Arial"/>
          <w:iCs/>
          <w:sz w:val="20"/>
          <w:szCs w:val="20"/>
        </w:rPr>
        <w:t>, 9</w:t>
      </w:r>
      <w:r w:rsidRPr="00755099">
        <w:rPr>
          <w:rFonts w:ascii="Arial" w:hAnsi="Arial" w:cs="Arial"/>
          <w:sz w:val="20"/>
          <w:szCs w:val="20"/>
        </w:rPr>
        <w:t>(7): 742.</w:t>
      </w:r>
      <w:hyperlink r:id="rId50" w:history="1">
        <w:r w:rsidRPr="00755099">
          <w:rPr>
            <w:rStyle w:val="Hyperlink"/>
            <w:rFonts w:ascii="Arial" w:hAnsi="Arial" w:cs="Arial"/>
            <w:sz w:val="20"/>
            <w:szCs w:val="20"/>
          </w:rPr>
          <w:t>https://doi.org/10.3390/horticulturae9070742</w:t>
        </w:r>
      </w:hyperlink>
    </w:p>
    <w:p w14:paraId="72A7DCEE"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Ninh, T.T., Nguyen, T.P., Dang, H.T., Chu, H.D., Dinh, T.S., Nguyen, X.C., Pham, T.D., Nguyen, T.H., &amp; Nong, T.H. (2024). Assessment of genetic diversity of </w:t>
      </w:r>
      <w:r w:rsidRPr="00755099">
        <w:rPr>
          <w:rFonts w:ascii="Arial" w:hAnsi="Arial" w:cs="Arial"/>
          <w:i/>
          <w:iCs/>
          <w:sz w:val="20"/>
          <w:szCs w:val="20"/>
        </w:rPr>
        <w:t xml:space="preserve">Stephania rotunda </w:t>
      </w:r>
      <w:r w:rsidRPr="00755099">
        <w:rPr>
          <w:rFonts w:ascii="Arial" w:hAnsi="Arial" w:cs="Arial"/>
          <w:sz w:val="20"/>
          <w:szCs w:val="20"/>
        </w:rPr>
        <w:t>Lour. collected in Northern Vietnam using RAPD and ISSR markers. </w:t>
      </w:r>
      <w:r w:rsidRPr="00755099">
        <w:rPr>
          <w:rFonts w:ascii="Arial" w:hAnsi="Arial" w:cs="Arial"/>
          <w:i/>
          <w:sz w:val="20"/>
          <w:szCs w:val="20"/>
        </w:rPr>
        <w:t>Australian Journal of Crop Science,</w:t>
      </w:r>
      <w:r w:rsidRPr="00755099">
        <w:rPr>
          <w:rFonts w:ascii="Arial" w:hAnsi="Arial" w:cs="Arial"/>
          <w:sz w:val="20"/>
          <w:szCs w:val="20"/>
        </w:rPr>
        <w:t> </w:t>
      </w:r>
      <w:r w:rsidRPr="00755099">
        <w:rPr>
          <w:rFonts w:ascii="Arial" w:hAnsi="Arial" w:cs="Arial"/>
          <w:iCs/>
          <w:sz w:val="20"/>
          <w:szCs w:val="20"/>
        </w:rPr>
        <w:t>18</w:t>
      </w:r>
      <w:r w:rsidRPr="00755099">
        <w:rPr>
          <w:rFonts w:ascii="Arial" w:hAnsi="Arial" w:cs="Arial"/>
          <w:sz w:val="20"/>
          <w:szCs w:val="20"/>
        </w:rPr>
        <w:t xml:space="preserve">(7): 374-381. </w:t>
      </w:r>
      <w:hyperlink r:id="rId51" w:history="1">
        <w:r w:rsidRPr="00755099">
          <w:rPr>
            <w:rStyle w:val="Hyperlink"/>
            <w:rFonts w:ascii="Arial" w:hAnsi="Arial" w:cs="Arial"/>
            <w:sz w:val="20"/>
            <w:szCs w:val="20"/>
          </w:rPr>
          <w:t>https://doi.org/10.21475/ajcs.24.18.07.pne19</w:t>
        </w:r>
      </w:hyperlink>
      <w:r w:rsidRPr="00755099">
        <w:rPr>
          <w:rFonts w:ascii="Arial" w:hAnsi="Arial" w:cs="Arial"/>
          <w:sz w:val="20"/>
          <w:szCs w:val="20"/>
        </w:rPr>
        <w:t xml:space="preserve"> </w:t>
      </w:r>
    </w:p>
    <w:p w14:paraId="2CD37C71"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color w:val="222222"/>
          <w:sz w:val="20"/>
          <w:szCs w:val="20"/>
          <w:shd w:val="clear" w:color="auto" w:fill="FFFFFF"/>
        </w:rPr>
        <w:t>Orman, E., Çakar, D., Alkan, M., Özer, G., Güler, E., &amp; Gündoğdu, M</w:t>
      </w:r>
      <w:r w:rsidRPr="00755099">
        <w:rPr>
          <w:rFonts w:ascii="Arial" w:hAnsi="Arial" w:cs="Arial"/>
          <w:sz w:val="20"/>
          <w:szCs w:val="20"/>
        </w:rPr>
        <w:t>. (2025). Genetic diversity and population structure of Turkish European chestnut (</w:t>
      </w:r>
      <w:r w:rsidRPr="00755099">
        <w:rPr>
          <w:rFonts w:ascii="Arial" w:hAnsi="Arial" w:cs="Arial"/>
          <w:i/>
          <w:sz w:val="20"/>
          <w:szCs w:val="20"/>
        </w:rPr>
        <w:t>Castanea sativa</w:t>
      </w:r>
      <w:r w:rsidRPr="00755099">
        <w:rPr>
          <w:rFonts w:ascii="Arial" w:hAnsi="Arial" w:cs="Arial"/>
          <w:sz w:val="20"/>
          <w:szCs w:val="20"/>
        </w:rPr>
        <w:t>) genotypes assessed using start codon targeted polymorphism (SCoT) markers. </w:t>
      </w:r>
      <w:r w:rsidRPr="00755099">
        <w:rPr>
          <w:rFonts w:ascii="Arial" w:hAnsi="Arial" w:cs="Arial"/>
          <w:i/>
          <w:sz w:val="20"/>
          <w:szCs w:val="20"/>
        </w:rPr>
        <w:t>Genetic Resources and Crop Evolution,</w:t>
      </w:r>
      <w:r w:rsidRPr="00755099">
        <w:rPr>
          <w:rFonts w:ascii="Arial" w:hAnsi="Arial" w:cs="Arial"/>
          <w:iCs/>
          <w:sz w:val="20"/>
          <w:szCs w:val="20"/>
        </w:rPr>
        <w:t xml:space="preserve"> </w:t>
      </w:r>
      <w:r w:rsidRPr="00755099">
        <w:rPr>
          <w:rFonts w:ascii="Arial" w:hAnsi="Arial" w:cs="Arial"/>
          <w:bCs/>
          <w:color w:val="222222"/>
          <w:sz w:val="20"/>
          <w:szCs w:val="20"/>
          <w:shd w:val="clear" w:color="auto" w:fill="FFFFFF"/>
        </w:rPr>
        <w:t>72</w:t>
      </w:r>
      <w:r w:rsidRPr="00755099">
        <w:rPr>
          <w:rFonts w:ascii="Arial" w:hAnsi="Arial" w:cs="Arial"/>
          <w:color w:val="222222"/>
          <w:sz w:val="20"/>
          <w:szCs w:val="20"/>
          <w:shd w:val="clear" w:color="auto" w:fill="FFFFFF"/>
        </w:rPr>
        <w:t>: 6507–6519</w:t>
      </w:r>
      <w:r w:rsidRPr="00755099">
        <w:rPr>
          <w:rFonts w:ascii="Arial" w:hAnsi="Arial" w:cs="Arial"/>
          <w:sz w:val="20"/>
          <w:szCs w:val="20"/>
        </w:rPr>
        <w:t>.</w:t>
      </w:r>
      <w:r w:rsidRPr="00755099" w:rsidDel="007426DA">
        <w:rPr>
          <w:rFonts w:ascii="Arial" w:hAnsi="Arial" w:cs="Arial"/>
          <w:sz w:val="20"/>
          <w:szCs w:val="20"/>
        </w:rPr>
        <w:t xml:space="preserve"> </w:t>
      </w:r>
      <w:hyperlink r:id="rId52" w:history="1">
        <w:r w:rsidRPr="00755099">
          <w:rPr>
            <w:rStyle w:val="Hyperlink"/>
            <w:rFonts w:ascii="Arial" w:hAnsi="Arial" w:cs="Arial"/>
            <w:sz w:val="20"/>
            <w:szCs w:val="20"/>
            <w:shd w:val="clear" w:color="auto" w:fill="FFFFFF"/>
          </w:rPr>
          <w:t>https://doi.org/10.1007/s10722-025-02342-x</w:t>
        </w:r>
      </w:hyperlink>
    </w:p>
    <w:p w14:paraId="4859B6C5"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Özbek, Ö. (2024). Molecular markers used to reveal genetic diversity and phylogenetic relationships in crop plants. </w:t>
      </w:r>
      <w:r w:rsidRPr="00755099">
        <w:rPr>
          <w:rFonts w:ascii="Arial" w:hAnsi="Arial" w:cs="Arial"/>
          <w:i/>
          <w:sz w:val="20"/>
          <w:szCs w:val="20"/>
        </w:rPr>
        <w:t>OBM Genetics,</w:t>
      </w:r>
      <w:r w:rsidRPr="00755099">
        <w:rPr>
          <w:rFonts w:ascii="Arial" w:hAnsi="Arial" w:cs="Arial"/>
          <w:sz w:val="20"/>
          <w:szCs w:val="20"/>
        </w:rPr>
        <w:t xml:space="preserve"> </w:t>
      </w:r>
      <w:r w:rsidRPr="00755099">
        <w:rPr>
          <w:rFonts w:ascii="Arial" w:hAnsi="Arial" w:cs="Arial"/>
          <w:iCs/>
          <w:sz w:val="20"/>
          <w:szCs w:val="20"/>
        </w:rPr>
        <w:t>8</w:t>
      </w:r>
      <w:r w:rsidRPr="00755099">
        <w:rPr>
          <w:rFonts w:ascii="Arial" w:hAnsi="Arial" w:cs="Arial"/>
          <w:sz w:val="20"/>
          <w:szCs w:val="20"/>
        </w:rPr>
        <w:t xml:space="preserve">(4):25. </w:t>
      </w:r>
      <w:hyperlink r:id="rId53" w:history="1">
        <w:r w:rsidRPr="00755099">
          <w:rPr>
            <w:rStyle w:val="Hyperlink"/>
            <w:rFonts w:ascii="Arial" w:hAnsi="Arial" w:cs="Arial"/>
            <w:sz w:val="20"/>
            <w:szCs w:val="20"/>
          </w:rPr>
          <w:t>http://dx.doi.org/10.21926/obm.genet.2404274</w:t>
        </w:r>
      </w:hyperlink>
      <w:r w:rsidRPr="00755099">
        <w:rPr>
          <w:rFonts w:ascii="Arial" w:hAnsi="Arial" w:cs="Arial"/>
          <w:sz w:val="20"/>
          <w:szCs w:val="20"/>
        </w:rPr>
        <w:t xml:space="preserve"> </w:t>
      </w:r>
    </w:p>
    <w:p w14:paraId="34C5747D" w14:textId="77777777" w:rsidR="0087772E" w:rsidRPr="00755099" w:rsidRDefault="0087772E" w:rsidP="0087772E">
      <w:pPr>
        <w:spacing w:line="240" w:lineRule="auto"/>
        <w:ind w:left="643" w:hanging="643"/>
        <w:jc w:val="both"/>
        <w:rPr>
          <w:rFonts w:ascii="Arial" w:hAnsi="Arial" w:cs="Arial"/>
          <w:color w:val="0D0D0D" w:themeColor="text1" w:themeTint="F2"/>
          <w:sz w:val="20"/>
          <w:szCs w:val="20"/>
        </w:rPr>
      </w:pPr>
      <w:r w:rsidRPr="00755099">
        <w:rPr>
          <w:rFonts w:ascii="Arial" w:hAnsi="Arial" w:cs="Arial"/>
          <w:color w:val="0D0D0D" w:themeColor="text1" w:themeTint="F2"/>
          <w:sz w:val="20"/>
          <w:szCs w:val="20"/>
        </w:rPr>
        <w:t xml:space="preserve">Pan, H., Deng, L., Zhu, K., Shi, D., Wang, F., &amp; Cui, G. (2024). Evaluation of genetic diversity and population structure of </w:t>
      </w:r>
      <w:proofErr w:type="spellStart"/>
      <w:r w:rsidRPr="00755099">
        <w:rPr>
          <w:rFonts w:ascii="Arial" w:hAnsi="Arial" w:cs="Arial"/>
          <w:i/>
          <w:color w:val="0D0D0D" w:themeColor="text1" w:themeTint="F2"/>
          <w:sz w:val="20"/>
          <w:szCs w:val="20"/>
        </w:rPr>
        <w:t>Annamocarya</w:t>
      </w:r>
      <w:proofErr w:type="spellEnd"/>
      <w:r w:rsidRPr="00755099">
        <w:rPr>
          <w:rFonts w:ascii="Arial" w:hAnsi="Arial" w:cs="Arial"/>
          <w:i/>
          <w:color w:val="0D0D0D" w:themeColor="text1" w:themeTint="F2"/>
          <w:sz w:val="20"/>
          <w:szCs w:val="20"/>
        </w:rPr>
        <w:t xml:space="preserve"> sinensis</w:t>
      </w:r>
      <w:r w:rsidRPr="00755099">
        <w:rPr>
          <w:rFonts w:ascii="Arial" w:hAnsi="Arial" w:cs="Arial"/>
          <w:color w:val="0D0D0D" w:themeColor="text1" w:themeTint="F2"/>
          <w:sz w:val="20"/>
          <w:szCs w:val="20"/>
        </w:rPr>
        <w:t xml:space="preserve"> using SCoT markers. </w:t>
      </w:r>
      <w:r w:rsidRPr="00755099">
        <w:rPr>
          <w:rFonts w:ascii="Arial" w:hAnsi="Arial" w:cs="Arial"/>
          <w:i/>
          <w:iCs/>
          <w:color w:val="0D0D0D" w:themeColor="text1" w:themeTint="F2"/>
          <w:sz w:val="20"/>
          <w:szCs w:val="20"/>
        </w:rPr>
        <w:t>PLOS One,</w:t>
      </w:r>
      <w:r w:rsidRPr="00755099">
        <w:rPr>
          <w:rFonts w:ascii="Arial" w:hAnsi="Arial" w:cs="Arial"/>
          <w:color w:val="0D0D0D" w:themeColor="text1" w:themeTint="F2"/>
          <w:sz w:val="20"/>
          <w:szCs w:val="20"/>
        </w:rPr>
        <w:t xml:space="preserve"> 19(9</w:t>
      </w:r>
      <w:proofErr w:type="gramStart"/>
      <w:r w:rsidRPr="00755099">
        <w:rPr>
          <w:rFonts w:ascii="Arial" w:hAnsi="Arial" w:cs="Arial"/>
          <w:color w:val="0D0D0D" w:themeColor="text1" w:themeTint="F2"/>
          <w:sz w:val="20"/>
          <w:szCs w:val="20"/>
        </w:rPr>
        <w:t>):e</w:t>
      </w:r>
      <w:proofErr w:type="gramEnd"/>
      <w:r w:rsidRPr="00755099">
        <w:rPr>
          <w:rFonts w:ascii="Arial" w:hAnsi="Arial" w:cs="Arial"/>
          <w:color w:val="0D0D0D" w:themeColor="text1" w:themeTint="F2"/>
          <w:sz w:val="20"/>
          <w:szCs w:val="20"/>
        </w:rPr>
        <w:t>0309283.</w:t>
      </w:r>
      <w:r w:rsidRPr="00755099">
        <w:rPr>
          <w:rFonts w:ascii="Arial" w:hAnsi="Arial" w:cs="Arial"/>
          <w:sz w:val="20"/>
          <w:szCs w:val="20"/>
        </w:rPr>
        <w:t xml:space="preserve"> </w:t>
      </w:r>
      <w:hyperlink r:id="rId54" w:history="1">
        <w:r w:rsidRPr="00755099">
          <w:rPr>
            <w:rStyle w:val="Hyperlink"/>
            <w:rFonts w:ascii="Arial" w:hAnsi="Arial" w:cs="Arial"/>
            <w:sz w:val="20"/>
            <w:szCs w:val="20"/>
          </w:rPr>
          <w:t>https://doi.org/10.1371/journal.pone.0309283</w:t>
        </w:r>
      </w:hyperlink>
      <w:r w:rsidRPr="00755099">
        <w:rPr>
          <w:rFonts w:ascii="Arial" w:hAnsi="Arial" w:cs="Arial"/>
          <w:color w:val="0D0D0D" w:themeColor="text1" w:themeTint="F2"/>
          <w:sz w:val="20"/>
          <w:szCs w:val="20"/>
        </w:rPr>
        <w:t>.</w:t>
      </w:r>
    </w:p>
    <w:p w14:paraId="1612BFD9" w14:textId="77777777" w:rsidR="0087772E" w:rsidRPr="00755099" w:rsidRDefault="0087772E" w:rsidP="0087772E">
      <w:pPr>
        <w:spacing w:line="240" w:lineRule="auto"/>
        <w:ind w:left="643" w:hanging="643"/>
        <w:jc w:val="both"/>
        <w:rPr>
          <w:rFonts w:ascii="Arial" w:hAnsi="Arial" w:cs="Arial"/>
          <w:sz w:val="20"/>
          <w:szCs w:val="20"/>
        </w:rPr>
      </w:pPr>
      <w:proofErr w:type="spellStart"/>
      <w:r w:rsidRPr="00755099">
        <w:rPr>
          <w:rFonts w:ascii="Arial" w:hAnsi="Arial" w:cs="Arial"/>
          <w:sz w:val="20"/>
          <w:szCs w:val="20"/>
        </w:rPr>
        <w:t>Poeaim</w:t>
      </w:r>
      <w:proofErr w:type="spellEnd"/>
      <w:r w:rsidRPr="00755099">
        <w:rPr>
          <w:rFonts w:ascii="Arial" w:hAnsi="Arial" w:cs="Arial"/>
          <w:sz w:val="20"/>
          <w:szCs w:val="20"/>
        </w:rPr>
        <w:t xml:space="preserve">, S., </w:t>
      </w:r>
      <w:proofErr w:type="spellStart"/>
      <w:r w:rsidRPr="00755099">
        <w:rPr>
          <w:rFonts w:ascii="Arial" w:hAnsi="Arial" w:cs="Arial"/>
          <w:sz w:val="20"/>
          <w:szCs w:val="20"/>
        </w:rPr>
        <w:t>Sangsoy</w:t>
      </w:r>
      <w:proofErr w:type="spellEnd"/>
      <w:r w:rsidRPr="00755099">
        <w:rPr>
          <w:rFonts w:ascii="Arial" w:hAnsi="Arial" w:cs="Arial"/>
          <w:sz w:val="20"/>
          <w:szCs w:val="20"/>
        </w:rPr>
        <w:t xml:space="preserve">, V., &amp; </w:t>
      </w:r>
      <w:proofErr w:type="spellStart"/>
      <w:r w:rsidRPr="00755099">
        <w:rPr>
          <w:rFonts w:ascii="Arial" w:hAnsi="Arial" w:cs="Arial"/>
          <w:sz w:val="20"/>
          <w:szCs w:val="20"/>
        </w:rPr>
        <w:t>Tangthirasunun</w:t>
      </w:r>
      <w:proofErr w:type="spellEnd"/>
      <w:r w:rsidRPr="00755099">
        <w:rPr>
          <w:rFonts w:ascii="Arial" w:hAnsi="Arial" w:cs="Arial"/>
          <w:sz w:val="20"/>
          <w:szCs w:val="20"/>
        </w:rPr>
        <w:t>, N. (2025). Evaluation of genetic diversity by molecular markers in Indian gooseberry (</w:t>
      </w:r>
      <w:r w:rsidRPr="00755099">
        <w:rPr>
          <w:rFonts w:ascii="Arial" w:hAnsi="Arial" w:cs="Arial"/>
          <w:i/>
          <w:sz w:val="20"/>
          <w:szCs w:val="20"/>
        </w:rPr>
        <w:t xml:space="preserve">Phyllanthus </w:t>
      </w:r>
      <w:proofErr w:type="spellStart"/>
      <w:r w:rsidRPr="00755099">
        <w:rPr>
          <w:rFonts w:ascii="Arial" w:hAnsi="Arial" w:cs="Arial"/>
          <w:i/>
          <w:sz w:val="20"/>
          <w:szCs w:val="20"/>
        </w:rPr>
        <w:t>emblica</w:t>
      </w:r>
      <w:proofErr w:type="spellEnd"/>
      <w:r w:rsidRPr="00755099">
        <w:rPr>
          <w:rFonts w:ascii="Arial" w:hAnsi="Arial" w:cs="Arial"/>
          <w:sz w:val="20"/>
          <w:szCs w:val="20"/>
        </w:rPr>
        <w:t>). </w:t>
      </w:r>
      <w:r w:rsidRPr="00755099">
        <w:rPr>
          <w:rFonts w:ascii="Arial" w:hAnsi="Arial" w:cs="Arial"/>
          <w:i/>
          <w:sz w:val="20"/>
          <w:szCs w:val="20"/>
        </w:rPr>
        <w:t>International Journal of Agriculture and Technology,</w:t>
      </w:r>
      <w:r w:rsidRPr="00755099">
        <w:rPr>
          <w:rFonts w:ascii="Arial" w:hAnsi="Arial" w:cs="Arial"/>
          <w:iCs/>
          <w:sz w:val="20"/>
          <w:szCs w:val="20"/>
        </w:rPr>
        <w:t> 21</w:t>
      </w:r>
      <w:r w:rsidRPr="00755099">
        <w:rPr>
          <w:rFonts w:ascii="Arial" w:hAnsi="Arial" w:cs="Arial"/>
          <w:sz w:val="20"/>
          <w:szCs w:val="20"/>
        </w:rPr>
        <w:t xml:space="preserve">(1): 177-190. </w:t>
      </w:r>
      <w:hyperlink r:id="rId55" w:history="1">
        <w:r w:rsidRPr="00755099">
          <w:rPr>
            <w:rStyle w:val="Hyperlink"/>
            <w:rFonts w:ascii="Arial" w:hAnsi="Arial" w:cs="Arial"/>
            <w:sz w:val="20"/>
            <w:szCs w:val="20"/>
          </w:rPr>
          <w:t>https://li04.tci-thaijo.org/index.php/IJAT/article/view/4105</w:t>
        </w:r>
      </w:hyperlink>
      <w:r w:rsidRPr="00755099">
        <w:rPr>
          <w:rFonts w:ascii="Arial" w:hAnsi="Arial" w:cs="Arial"/>
          <w:sz w:val="20"/>
          <w:szCs w:val="20"/>
        </w:rPr>
        <w:t xml:space="preserve"> </w:t>
      </w:r>
    </w:p>
    <w:p w14:paraId="6856928A" w14:textId="77777777" w:rsidR="0087772E" w:rsidRPr="00755099" w:rsidRDefault="0087772E" w:rsidP="0087772E">
      <w:pPr>
        <w:spacing w:line="240" w:lineRule="auto"/>
        <w:ind w:left="643" w:hanging="643"/>
        <w:jc w:val="both"/>
        <w:rPr>
          <w:rFonts w:ascii="Arial" w:hAnsi="Arial" w:cs="Arial"/>
          <w:color w:val="222222"/>
          <w:sz w:val="20"/>
          <w:szCs w:val="20"/>
          <w:shd w:val="clear" w:color="auto" w:fill="FFFFFF"/>
        </w:rPr>
      </w:pPr>
      <w:proofErr w:type="spellStart"/>
      <w:r w:rsidRPr="00755099">
        <w:rPr>
          <w:rFonts w:ascii="Arial" w:hAnsi="Arial" w:cs="Arial"/>
          <w:color w:val="222222"/>
          <w:sz w:val="20"/>
          <w:szCs w:val="20"/>
          <w:shd w:val="clear" w:color="auto" w:fill="FFFFFF"/>
        </w:rPr>
        <w:t>Porandla</w:t>
      </w:r>
      <w:proofErr w:type="spellEnd"/>
      <w:r w:rsidRPr="00755099">
        <w:rPr>
          <w:rFonts w:ascii="Arial" w:hAnsi="Arial" w:cs="Arial"/>
          <w:color w:val="222222"/>
          <w:sz w:val="20"/>
          <w:szCs w:val="20"/>
          <w:shd w:val="clear" w:color="auto" w:fill="FFFFFF"/>
        </w:rPr>
        <w:t xml:space="preserve">, M., Dhondi, P., </w:t>
      </w:r>
      <w:proofErr w:type="spellStart"/>
      <w:r w:rsidRPr="00755099">
        <w:rPr>
          <w:rFonts w:ascii="Arial" w:hAnsi="Arial" w:cs="Arial"/>
          <w:color w:val="222222"/>
          <w:sz w:val="20"/>
          <w:szCs w:val="20"/>
          <w:shd w:val="clear" w:color="auto" w:fill="FFFFFF"/>
        </w:rPr>
        <w:t>Lingampelly</w:t>
      </w:r>
      <w:proofErr w:type="spellEnd"/>
      <w:r w:rsidRPr="00755099">
        <w:rPr>
          <w:rFonts w:ascii="Arial" w:hAnsi="Arial" w:cs="Arial"/>
          <w:color w:val="222222"/>
          <w:sz w:val="20"/>
          <w:szCs w:val="20"/>
          <w:shd w:val="clear" w:color="auto" w:fill="FFFFFF"/>
        </w:rPr>
        <w:t xml:space="preserve">, A., Kamilla, P., </w:t>
      </w:r>
      <w:proofErr w:type="spellStart"/>
      <w:r w:rsidRPr="00755099">
        <w:rPr>
          <w:rFonts w:ascii="Arial" w:hAnsi="Arial" w:cs="Arial"/>
          <w:color w:val="222222"/>
          <w:sz w:val="20"/>
          <w:szCs w:val="20"/>
          <w:shd w:val="clear" w:color="auto" w:fill="FFFFFF"/>
        </w:rPr>
        <w:t>Abbagani</w:t>
      </w:r>
      <w:proofErr w:type="spellEnd"/>
      <w:r w:rsidRPr="00755099">
        <w:rPr>
          <w:rFonts w:ascii="Arial" w:hAnsi="Arial" w:cs="Arial"/>
          <w:color w:val="222222"/>
          <w:sz w:val="20"/>
          <w:szCs w:val="20"/>
          <w:shd w:val="clear" w:color="auto" w:fill="FFFFFF"/>
        </w:rPr>
        <w:t>, S., Kondi, R.K.R., &amp; Kasula, K. (2025). Molecular insights into the genetic diversity of </w:t>
      </w:r>
      <w:r w:rsidRPr="00755099">
        <w:rPr>
          <w:rFonts w:ascii="Arial" w:hAnsi="Arial" w:cs="Arial"/>
          <w:i/>
          <w:iCs/>
          <w:color w:val="222222"/>
          <w:sz w:val="20"/>
          <w:szCs w:val="20"/>
          <w:shd w:val="clear" w:color="auto" w:fill="FFFFFF"/>
        </w:rPr>
        <w:t>Curcuma longa</w:t>
      </w:r>
      <w:r w:rsidRPr="00755099">
        <w:rPr>
          <w:rFonts w:ascii="Arial" w:hAnsi="Arial" w:cs="Arial"/>
          <w:color w:val="222222"/>
          <w:sz w:val="20"/>
          <w:szCs w:val="20"/>
          <w:shd w:val="clear" w:color="auto" w:fill="FFFFFF"/>
        </w:rPr>
        <w:t xml:space="preserve"> L.: a comparative study with RAPD, ISSR and </w:t>
      </w:r>
      <w:proofErr w:type="spellStart"/>
      <w:r w:rsidRPr="00755099">
        <w:rPr>
          <w:rFonts w:ascii="Arial" w:hAnsi="Arial" w:cs="Arial"/>
          <w:color w:val="222222"/>
          <w:sz w:val="20"/>
          <w:szCs w:val="20"/>
          <w:shd w:val="clear" w:color="auto" w:fill="FFFFFF"/>
        </w:rPr>
        <w:t>scot</w:t>
      </w:r>
      <w:proofErr w:type="spellEnd"/>
      <w:r w:rsidRPr="00755099">
        <w:rPr>
          <w:rFonts w:ascii="Arial" w:hAnsi="Arial" w:cs="Arial"/>
          <w:color w:val="222222"/>
          <w:sz w:val="20"/>
          <w:szCs w:val="20"/>
          <w:shd w:val="clear" w:color="auto" w:fill="FFFFFF"/>
        </w:rPr>
        <w:t xml:space="preserve"> markers. </w:t>
      </w:r>
      <w:r w:rsidRPr="00755099">
        <w:rPr>
          <w:rFonts w:ascii="Arial" w:hAnsi="Arial" w:cs="Arial"/>
          <w:i/>
          <w:iCs/>
          <w:color w:val="222222"/>
          <w:sz w:val="20"/>
          <w:szCs w:val="20"/>
          <w:shd w:val="clear" w:color="auto" w:fill="FFFFFF"/>
        </w:rPr>
        <w:t>Discover Plants</w:t>
      </w:r>
      <w:r w:rsidRPr="00755099">
        <w:rPr>
          <w:rFonts w:ascii="Arial" w:hAnsi="Arial" w:cs="Arial"/>
          <w:color w:val="222222"/>
          <w:sz w:val="20"/>
          <w:szCs w:val="20"/>
          <w:shd w:val="clear" w:color="auto" w:fill="FFFFFF"/>
        </w:rPr>
        <w:t xml:space="preserve">, 2:345. </w:t>
      </w:r>
      <w:hyperlink r:id="rId56" w:history="1">
        <w:r w:rsidRPr="00755099">
          <w:rPr>
            <w:rStyle w:val="Hyperlink"/>
            <w:rFonts w:ascii="Arial" w:hAnsi="Arial" w:cs="Arial"/>
            <w:sz w:val="20"/>
            <w:szCs w:val="20"/>
            <w:shd w:val="clear" w:color="auto" w:fill="FFFFFF"/>
          </w:rPr>
          <w:t>https://doi.org/10.1007/s44372-025-00423-w</w:t>
        </w:r>
      </w:hyperlink>
    </w:p>
    <w:p w14:paraId="5C40A680"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color w:val="222222"/>
          <w:sz w:val="20"/>
          <w:szCs w:val="20"/>
          <w:shd w:val="clear" w:color="auto" w:fill="FFFFFF"/>
        </w:rPr>
        <w:t xml:space="preserve">Potter, K.M., Jetton, R.M., Whittier, W.A., Crane, B.S., Hipkins, V.D., Echt. C.S., &amp; Hodge, G.R. (2023). </w:t>
      </w:r>
      <w:r w:rsidRPr="00755099">
        <w:rPr>
          <w:rFonts w:ascii="Arial" w:hAnsi="Arial" w:cs="Arial"/>
          <w:sz w:val="20"/>
          <w:szCs w:val="20"/>
        </w:rPr>
        <w:t>Table Mountain Pine (</w:t>
      </w:r>
      <w:r w:rsidRPr="00755099">
        <w:rPr>
          <w:rFonts w:ascii="Arial" w:hAnsi="Arial" w:cs="Arial"/>
          <w:i/>
          <w:sz w:val="20"/>
          <w:szCs w:val="20"/>
        </w:rPr>
        <w:t xml:space="preserve">Pinus </w:t>
      </w:r>
      <w:proofErr w:type="spellStart"/>
      <w:r w:rsidRPr="00755099">
        <w:rPr>
          <w:rFonts w:ascii="Arial" w:hAnsi="Arial" w:cs="Arial"/>
          <w:i/>
          <w:sz w:val="20"/>
          <w:szCs w:val="20"/>
        </w:rPr>
        <w:t>pungens</w:t>
      </w:r>
      <w:proofErr w:type="spellEnd"/>
      <w:r w:rsidRPr="00755099">
        <w:rPr>
          <w:rFonts w:ascii="Arial" w:hAnsi="Arial" w:cs="Arial"/>
          <w:sz w:val="20"/>
          <w:szCs w:val="20"/>
        </w:rPr>
        <w:t xml:space="preserve">): Genetic Diversity and Conservation of an </w:t>
      </w:r>
      <w:proofErr w:type="spellStart"/>
      <w:r w:rsidRPr="00755099">
        <w:rPr>
          <w:rFonts w:ascii="Arial" w:hAnsi="Arial" w:cs="Arial"/>
          <w:sz w:val="20"/>
          <w:szCs w:val="20"/>
        </w:rPr>
        <w:t>Imperiled</w:t>
      </w:r>
      <w:proofErr w:type="spellEnd"/>
      <w:r w:rsidRPr="00755099">
        <w:rPr>
          <w:rFonts w:ascii="Arial" w:hAnsi="Arial" w:cs="Arial"/>
          <w:sz w:val="20"/>
          <w:szCs w:val="20"/>
        </w:rPr>
        <w:t xml:space="preserve"> Conifer. </w:t>
      </w:r>
      <w:r w:rsidRPr="00755099">
        <w:rPr>
          <w:rFonts w:ascii="Arial" w:hAnsi="Arial" w:cs="Arial"/>
          <w:i/>
          <w:iCs/>
          <w:sz w:val="20"/>
          <w:szCs w:val="20"/>
        </w:rPr>
        <w:t>Forest Science</w:t>
      </w:r>
      <w:r w:rsidRPr="00755099">
        <w:rPr>
          <w:rFonts w:ascii="Arial" w:hAnsi="Arial" w:cs="Arial"/>
          <w:iCs/>
          <w:sz w:val="20"/>
          <w:szCs w:val="20"/>
        </w:rPr>
        <w:t>, 69</w:t>
      </w:r>
      <w:r w:rsidRPr="00755099">
        <w:rPr>
          <w:rFonts w:ascii="Arial" w:hAnsi="Arial" w:cs="Arial"/>
          <w:sz w:val="20"/>
          <w:szCs w:val="20"/>
        </w:rPr>
        <w:t xml:space="preserve">(1): 58-72. </w:t>
      </w:r>
      <w:hyperlink r:id="rId57" w:history="1">
        <w:r w:rsidRPr="00755099">
          <w:rPr>
            <w:rStyle w:val="Hyperlink"/>
            <w:rFonts w:ascii="Arial" w:hAnsi="Arial" w:cs="Arial"/>
            <w:sz w:val="20"/>
            <w:szCs w:val="20"/>
          </w:rPr>
          <w:t>https://doi.org/10.1093/forsci/fxac043</w:t>
        </w:r>
      </w:hyperlink>
    </w:p>
    <w:p w14:paraId="37406BB2"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Puneeth, P.V., Lata, S., Yadav, R.K., Wankhede, D.P., Tomar, B.S., Choudary, H., Tomer, A., </w:t>
      </w:r>
      <w:proofErr w:type="spellStart"/>
      <w:r w:rsidRPr="00755099">
        <w:rPr>
          <w:rFonts w:ascii="Arial" w:hAnsi="Arial" w:cs="Arial"/>
          <w:sz w:val="20"/>
          <w:szCs w:val="20"/>
        </w:rPr>
        <w:t>Bidaramali</w:t>
      </w:r>
      <w:proofErr w:type="spellEnd"/>
      <w:r w:rsidRPr="00755099">
        <w:rPr>
          <w:rFonts w:ascii="Arial" w:hAnsi="Arial" w:cs="Arial"/>
          <w:sz w:val="20"/>
          <w:szCs w:val="20"/>
        </w:rPr>
        <w:t>, V., &amp; Talukdar, A. (2023). Exploring the genetic diversity using CAAT box-derived polymorphism (CBDP) and start codon targeted (SCoT) markers in cultivated and wild species of okra (</w:t>
      </w:r>
      <w:r w:rsidRPr="00755099">
        <w:rPr>
          <w:rFonts w:ascii="Arial" w:hAnsi="Arial" w:cs="Arial"/>
          <w:i/>
          <w:sz w:val="20"/>
          <w:szCs w:val="20"/>
        </w:rPr>
        <w:t>Abelmoschus esculentus</w:t>
      </w:r>
      <w:r w:rsidRPr="00755099">
        <w:rPr>
          <w:rFonts w:ascii="Arial" w:hAnsi="Arial" w:cs="Arial"/>
          <w:sz w:val="20"/>
          <w:szCs w:val="20"/>
        </w:rPr>
        <w:t xml:space="preserve"> (L.) Moench). </w:t>
      </w:r>
      <w:r w:rsidRPr="00755099">
        <w:rPr>
          <w:rFonts w:ascii="Arial" w:hAnsi="Arial" w:cs="Arial"/>
          <w:i/>
          <w:sz w:val="20"/>
          <w:szCs w:val="20"/>
        </w:rPr>
        <w:t>Genetic Resources and Crop Evolution,</w:t>
      </w:r>
      <w:r w:rsidRPr="00755099">
        <w:rPr>
          <w:rFonts w:ascii="Arial" w:hAnsi="Arial" w:cs="Arial"/>
          <w:iCs/>
          <w:sz w:val="20"/>
          <w:szCs w:val="20"/>
        </w:rPr>
        <w:t xml:space="preserve"> 70</w:t>
      </w:r>
      <w:r w:rsidRPr="00755099">
        <w:rPr>
          <w:rFonts w:ascii="Arial" w:hAnsi="Arial" w:cs="Arial"/>
          <w:sz w:val="20"/>
          <w:szCs w:val="20"/>
        </w:rPr>
        <w:t xml:space="preserve">(3): 749-761. </w:t>
      </w:r>
      <w:hyperlink r:id="rId58" w:history="1">
        <w:r w:rsidRPr="00755099">
          <w:rPr>
            <w:rStyle w:val="Hyperlink"/>
            <w:rFonts w:ascii="Arial" w:hAnsi="Arial" w:cs="Arial"/>
            <w:sz w:val="20"/>
            <w:szCs w:val="20"/>
          </w:rPr>
          <w:t>https://doi.org/10.1007/s10722-022-01458-8</w:t>
        </w:r>
      </w:hyperlink>
    </w:p>
    <w:p w14:paraId="3D70546B"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Qureshi, F.Q., &amp; Reddy, V.V. (2025). Systematic Review on phytochemical and Pharmacological Aspects of </w:t>
      </w:r>
      <w:r w:rsidRPr="00755099">
        <w:rPr>
          <w:rFonts w:ascii="Arial" w:hAnsi="Arial" w:cs="Arial"/>
          <w:i/>
          <w:iCs/>
          <w:sz w:val="20"/>
          <w:szCs w:val="20"/>
        </w:rPr>
        <w:t>Diospyros Melanoxylon Roxb</w:t>
      </w:r>
      <w:r w:rsidRPr="00755099">
        <w:rPr>
          <w:rFonts w:ascii="Arial" w:hAnsi="Arial" w:cs="Arial"/>
          <w:sz w:val="20"/>
          <w:szCs w:val="20"/>
        </w:rPr>
        <w:t>. </w:t>
      </w:r>
      <w:r w:rsidRPr="00755099">
        <w:rPr>
          <w:rFonts w:ascii="Arial" w:hAnsi="Arial" w:cs="Arial"/>
          <w:i/>
          <w:sz w:val="20"/>
          <w:szCs w:val="20"/>
        </w:rPr>
        <w:t>Journal of Pharmacological and Pharmaceutical Research,</w:t>
      </w:r>
      <w:r w:rsidRPr="00755099">
        <w:rPr>
          <w:rFonts w:ascii="Arial" w:hAnsi="Arial" w:cs="Arial"/>
          <w:sz w:val="20"/>
          <w:szCs w:val="20"/>
        </w:rPr>
        <w:t> </w:t>
      </w:r>
      <w:r w:rsidRPr="00755099">
        <w:rPr>
          <w:rFonts w:ascii="Arial" w:hAnsi="Arial" w:cs="Arial"/>
          <w:iCs/>
          <w:sz w:val="20"/>
          <w:szCs w:val="20"/>
        </w:rPr>
        <w:t>2</w:t>
      </w:r>
      <w:r w:rsidRPr="00755099">
        <w:rPr>
          <w:rFonts w:ascii="Arial" w:hAnsi="Arial" w:cs="Arial"/>
          <w:sz w:val="20"/>
          <w:szCs w:val="20"/>
        </w:rPr>
        <w:t xml:space="preserve">(1): 24-24. </w:t>
      </w:r>
      <w:r w:rsidRPr="00755099">
        <w:rPr>
          <w:rFonts w:ascii="Arial" w:hAnsi="Arial" w:cs="Arial"/>
          <w:b/>
          <w:bCs/>
          <w:sz w:val="20"/>
          <w:szCs w:val="20"/>
        </w:rPr>
        <w:t> </w:t>
      </w:r>
      <w:hyperlink r:id="rId59" w:history="1">
        <w:r w:rsidRPr="00755099">
          <w:rPr>
            <w:rStyle w:val="Hyperlink"/>
            <w:rFonts w:ascii="Arial" w:hAnsi="Arial" w:cs="Arial"/>
            <w:sz w:val="20"/>
            <w:szCs w:val="20"/>
          </w:rPr>
          <w:t>http://dx.doi.org/10.5455/JPPR.20250117044642</w:t>
        </w:r>
      </w:hyperlink>
      <w:r w:rsidRPr="00755099">
        <w:rPr>
          <w:rFonts w:ascii="Arial" w:hAnsi="Arial" w:cs="Arial"/>
          <w:sz w:val="20"/>
          <w:szCs w:val="20"/>
        </w:rPr>
        <w:t xml:space="preserve"> </w:t>
      </w:r>
    </w:p>
    <w:p w14:paraId="19637506" w14:textId="77777777" w:rsidR="0087772E" w:rsidRPr="00755099" w:rsidDel="00222B7F"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Rasul, K.S., Majeed, H.O., Faraj, J.M., Lateef, D.D., &amp; Tahir, N.A. (2025). Genetic diversity and relationships among </w:t>
      </w:r>
      <w:r w:rsidRPr="00755099">
        <w:rPr>
          <w:rFonts w:ascii="Arial" w:hAnsi="Arial" w:cs="Arial"/>
          <w:i/>
          <w:sz w:val="20"/>
          <w:szCs w:val="20"/>
        </w:rPr>
        <w:t xml:space="preserve">Iris </w:t>
      </w:r>
      <w:proofErr w:type="spellStart"/>
      <w:r w:rsidRPr="00755099">
        <w:rPr>
          <w:rFonts w:ascii="Arial" w:hAnsi="Arial" w:cs="Arial"/>
          <w:i/>
          <w:sz w:val="20"/>
          <w:szCs w:val="20"/>
        </w:rPr>
        <w:t>aucheri</w:t>
      </w:r>
      <w:proofErr w:type="spellEnd"/>
      <w:r w:rsidRPr="00755099">
        <w:rPr>
          <w:rFonts w:ascii="Arial" w:hAnsi="Arial" w:cs="Arial"/>
          <w:sz w:val="20"/>
          <w:szCs w:val="20"/>
        </w:rPr>
        <w:t xml:space="preserve"> genotypes determined via ISSR and CDDP markers. </w:t>
      </w:r>
      <w:r w:rsidRPr="00755099">
        <w:rPr>
          <w:rFonts w:ascii="Arial" w:hAnsi="Arial" w:cs="Arial"/>
          <w:i/>
          <w:sz w:val="20"/>
          <w:szCs w:val="20"/>
        </w:rPr>
        <w:t xml:space="preserve">Genetic Resources and Crop Evolution, </w:t>
      </w:r>
      <w:r w:rsidRPr="00755099">
        <w:rPr>
          <w:rFonts w:ascii="Arial" w:hAnsi="Arial" w:cs="Arial"/>
          <w:sz w:val="20"/>
          <w:szCs w:val="20"/>
        </w:rPr>
        <w:t>72(3): 3235-3248.</w:t>
      </w:r>
      <w:r w:rsidRPr="00755099">
        <w:rPr>
          <w:rFonts w:ascii="Arial" w:hAnsi="Arial" w:cs="Arial"/>
          <w:color w:val="222222"/>
          <w:sz w:val="20"/>
          <w:szCs w:val="20"/>
          <w:shd w:val="clear" w:color="auto" w:fill="FFFFFF"/>
        </w:rPr>
        <w:t xml:space="preserve"> </w:t>
      </w:r>
      <w:hyperlink r:id="rId60" w:history="1">
        <w:r w:rsidRPr="00755099">
          <w:rPr>
            <w:rStyle w:val="Hyperlink"/>
            <w:rFonts w:ascii="Arial" w:hAnsi="Arial" w:cs="Arial"/>
            <w:sz w:val="20"/>
            <w:szCs w:val="20"/>
            <w:shd w:val="clear" w:color="auto" w:fill="FFFFFF"/>
          </w:rPr>
          <w:t>https://doi.org/10.1007/s10722-024-02152-7</w:t>
        </w:r>
      </w:hyperlink>
      <w:r w:rsidRPr="00755099">
        <w:rPr>
          <w:rFonts w:ascii="Arial" w:hAnsi="Arial" w:cs="Arial"/>
          <w:color w:val="222222"/>
          <w:sz w:val="20"/>
          <w:szCs w:val="20"/>
          <w:shd w:val="clear" w:color="auto" w:fill="FFFFFF"/>
        </w:rPr>
        <w:t xml:space="preserve"> </w:t>
      </w:r>
    </w:p>
    <w:p w14:paraId="178D2D17"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Rathore, J. S. (</w:t>
      </w:r>
      <w:r w:rsidRPr="00755099">
        <w:rPr>
          <w:rFonts w:ascii="Arial" w:hAnsi="Arial" w:cs="Arial"/>
          <w:iCs/>
          <w:sz w:val="20"/>
          <w:szCs w:val="20"/>
        </w:rPr>
        <w:t>1972</w:t>
      </w:r>
      <w:r w:rsidRPr="00755099">
        <w:rPr>
          <w:rFonts w:ascii="Arial" w:hAnsi="Arial" w:cs="Arial"/>
          <w:sz w:val="20"/>
          <w:szCs w:val="20"/>
        </w:rPr>
        <w:t xml:space="preserve">). </w:t>
      </w:r>
      <w:r w:rsidRPr="00755099">
        <w:rPr>
          <w:rFonts w:ascii="Arial" w:hAnsi="Arial" w:cs="Arial"/>
          <w:i/>
          <w:iCs/>
          <w:sz w:val="20"/>
          <w:szCs w:val="20"/>
        </w:rPr>
        <w:t>Diospyros melanoxylon</w:t>
      </w:r>
      <w:r w:rsidRPr="00755099">
        <w:rPr>
          <w:rFonts w:ascii="Arial" w:hAnsi="Arial" w:cs="Arial"/>
          <w:sz w:val="20"/>
          <w:szCs w:val="20"/>
        </w:rPr>
        <w:t>, a bread-winner tree of India. </w:t>
      </w:r>
      <w:r w:rsidRPr="00755099">
        <w:rPr>
          <w:rFonts w:ascii="Arial" w:hAnsi="Arial" w:cs="Arial"/>
          <w:i/>
          <w:sz w:val="20"/>
          <w:szCs w:val="20"/>
        </w:rPr>
        <w:t>Economic Botany,</w:t>
      </w:r>
      <w:r w:rsidRPr="00755099">
        <w:rPr>
          <w:rFonts w:ascii="Arial" w:hAnsi="Arial" w:cs="Arial"/>
          <w:iCs/>
          <w:sz w:val="20"/>
          <w:szCs w:val="20"/>
        </w:rPr>
        <w:t xml:space="preserve"> 26</w:t>
      </w:r>
      <w:r w:rsidRPr="00755099">
        <w:rPr>
          <w:rFonts w:ascii="Arial" w:hAnsi="Arial" w:cs="Arial"/>
          <w:sz w:val="20"/>
          <w:szCs w:val="20"/>
        </w:rPr>
        <w:t>(4): 333-339.</w:t>
      </w:r>
      <w:r w:rsidRPr="00755099">
        <w:rPr>
          <w:rFonts w:ascii="Arial" w:hAnsi="Arial" w:cs="Arial"/>
          <w:color w:val="222222"/>
          <w:sz w:val="20"/>
          <w:szCs w:val="20"/>
          <w:shd w:val="clear" w:color="auto" w:fill="FFFFFF"/>
        </w:rPr>
        <w:t xml:space="preserve"> </w:t>
      </w:r>
      <w:hyperlink r:id="rId61" w:history="1">
        <w:r w:rsidRPr="00755099">
          <w:rPr>
            <w:rStyle w:val="Hyperlink"/>
            <w:rFonts w:ascii="Arial" w:hAnsi="Arial" w:cs="Arial"/>
            <w:sz w:val="20"/>
            <w:szCs w:val="20"/>
          </w:rPr>
          <w:t>https://doi.org/10.1007/BF02860703</w:t>
        </w:r>
      </w:hyperlink>
    </w:p>
    <w:p w14:paraId="1E0790E4"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color w:val="222222"/>
          <w:sz w:val="20"/>
          <w:szCs w:val="20"/>
          <w:shd w:val="clear" w:color="auto" w:fill="FFFFFF"/>
        </w:rPr>
        <w:t>Rathore, K., Singh, V. K., Jain, P., Rao, S.P., Ahmed, Z., &amp; Singh, V.D. (</w:t>
      </w:r>
      <w:r w:rsidRPr="00755099">
        <w:rPr>
          <w:rFonts w:ascii="Arial" w:hAnsi="Arial" w:cs="Arial"/>
          <w:iCs/>
          <w:sz w:val="20"/>
          <w:szCs w:val="20"/>
        </w:rPr>
        <w:t>2014</w:t>
      </w:r>
      <w:r w:rsidRPr="00755099">
        <w:rPr>
          <w:rFonts w:ascii="Arial" w:hAnsi="Arial" w:cs="Arial"/>
          <w:color w:val="222222"/>
          <w:sz w:val="20"/>
          <w:szCs w:val="20"/>
          <w:shd w:val="clear" w:color="auto" w:fill="FFFFFF"/>
        </w:rPr>
        <w:t>).</w:t>
      </w:r>
      <w:r w:rsidRPr="00755099">
        <w:rPr>
          <w:rFonts w:ascii="Arial" w:hAnsi="Arial" w:cs="Arial"/>
          <w:sz w:val="20"/>
          <w:szCs w:val="20"/>
        </w:rPr>
        <w:t xml:space="preserve"> In-vitro and in-vivo antiadipogenic, hypolipidemic and antidiabetic activity of </w:t>
      </w:r>
      <w:r w:rsidRPr="00755099">
        <w:rPr>
          <w:rFonts w:ascii="Arial" w:hAnsi="Arial" w:cs="Arial"/>
          <w:i/>
          <w:sz w:val="20"/>
          <w:szCs w:val="20"/>
        </w:rPr>
        <w:t>Diospyros melanoxylon</w:t>
      </w:r>
      <w:r w:rsidRPr="00755099">
        <w:rPr>
          <w:rFonts w:ascii="Arial" w:hAnsi="Arial" w:cs="Arial"/>
          <w:sz w:val="20"/>
          <w:szCs w:val="20"/>
        </w:rPr>
        <w:t xml:space="preserve"> (</w:t>
      </w:r>
      <w:proofErr w:type="spellStart"/>
      <w:r w:rsidRPr="00755099">
        <w:rPr>
          <w:rFonts w:ascii="Arial" w:hAnsi="Arial" w:cs="Arial"/>
          <w:sz w:val="20"/>
          <w:szCs w:val="20"/>
        </w:rPr>
        <w:t>Roxb</w:t>
      </w:r>
      <w:proofErr w:type="spellEnd"/>
      <w:r w:rsidRPr="00755099">
        <w:rPr>
          <w:rFonts w:ascii="Arial" w:hAnsi="Arial" w:cs="Arial"/>
          <w:sz w:val="20"/>
          <w:szCs w:val="20"/>
        </w:rPr>
        <w:t>). </w:t>
      </w:r>
      <w:r w:rsidRPr="00755099">
        <w:rPr>
          <w:rFonts w:ascii="Arial" w:hAnsi="Arial" w:cs="Arial"/>
          <w:i/>
          <w:sz w:val="20"/>
          <w:szCs w:val="20"/>
        </w:rPr>
        <w:t>Journal of Ethnopharmacology,</w:t>
      </w:r>
      <w:r w:rsidRPr="00755099">
        <w:rPr>
          <w:rFonts w:ascii="Arial" w:hAnsi="Arial" w:cs="Arial"/>
          <w:sz w:val="20"/>
          <w:szCs w:val="20"/>
        </w:rPr>
        <w:t> </w:t>
      </w:r>
      <w:r w:rsidRPr="00755099">
        <w:rPr>
          <w:rFonts w:ascii="Arial" w:hAnsi="Arial" w:cs="Arial"/>
          <w:iCs/>
          <w:sz w:val="20"/>
          <w:szCs w:val="20"/>
        </w:rPr>
        <w:t>155</w:t>
      </w:r>
      <w:r w:rsidRPr="00755099">
        <w:rPr>
          <w:rFonts w:ascii="Arial" w:hAnsi="Arial" w:cs="Arial"/>
          <w:sz w:val="20"/>
          <w:szCs w:val="20"/>
        </w:rPr>
        <w:t xml:space="preserve">(2):1171-1176. </w:t>
      </w:r>
      <w:hyperlink r:id="rId62" w:history="1">
        <w:r w:rsidRPr="00755099">
          <w:rPr>
            <w:rStyle w:val="Hyperlink"/>
            <w:rFonts w:ascii="Arial" w:hAnsi="Arial" w:cs="Arial"/>
            <w:sz w:val="20"/>
            <w:szCs w:val="20"/>
          </w:rPr>
          <w:t>https://doi.org/10.1016/j.jep.2014.06.050</w:t>
        </w:r>
      </w:hyperlink>
    </w:p>
    <w:p w14:paraId="234E43E3" w14:textId="77777777" w:rsidR="0087772E" w:rsidRPr="00755099" w:rsidRDefault="0087772E" w:rsidP="0087772E">
      <w:pPr>
        <w:spacing w:line="240" w:lineRule="auto"/>
        <w:ind w:left="643" w:hanging="643"/>
        <w:jc w:val="both"/>
        <w:rPr>
          <w:rStyle w:val="Hyperlink"/>
          <w:rFonts w:ascii="Arial" w:hAnsi="Arial" w:cs="Arial"/>
          <w:sz w:val="20"/>
          <w:szCs w:val="20"/>
        </w:rPr>
      </w:pPr>
      <w:r w:rsidRPr="00755099">
        <w:rPr>
          <w:rFonts w:ascii="Arial" w:hAnsi="Arial" w:cs="Arial"/>
          <w:sz w:val="20"/>
          <w:szCs w:val="20"/>
        </w:rPr>
        <w:t xml:space="preserve">Rossini, B.C., Guyot, R., Alcantara, M.A., Batista, A.C., Bourgeois, Y., de Moraes, Silvestre, M.A., Alves, P.F., de Moraes, S.M., de Moraes, M.L., &amp; Marino, C.L. (2025). High-quality DNA extraction method enabling long-read sequencing in challenging native plant </w:t>
      </w:r>
      <w:r w:rsidRPr="00755099">
        <w:rPr>
          <w:rFonts w:ascii="Arial" w:hAnsi="Arial" w:cs="Arial"/>
          <w:sz w:val="20"/>
          <w:szCs w:val="20"/>
        </w:rPr>
        <w:lastRenderedPageBreak/>
        <w:t>species.  </w:t>
      </w:r>
      <w:r w:rsidRPr="00755099">
        <w:rPr>
          <w:rFonts w:ascii="Arial" w:hAnsi="Arial" w:cs="Arial"/>
          <w:i/>
          <w:iCs/>
          <w:sz w:val="20"/>
          <w:szCs w:val="20"/>
        </w:rPr>
        <w:t>Academia Molecular Biology and Genomics,</w:t>
      </w:r>
      <w:r w:rsidRPr="00755099">
        <w:rPr>
          <w:rFonts w:ascii="Arial" w:hAnsi="Arial" w:cs="Arial"/>
          <w:sz w:val="20"/>
          <w:szCs w:val="20"/>
        </w:rPr>
        <w:t xml:space="preserve"> 2(4):1-9. </w:t>
      </w:r>
      <w:hyperlink r:id="rId63" w:history="1">
        <w:r w:rsidRPr="00755099">
          <w:rPr>
            <w:rStyle w:val="Hyperlink"/>
            <w:rFonts w:ascii="Arial" w:hAnsi="Arial" w:cs="Arial"/>
            <w:sz w:val="20"/>
            <w:szCs w:val="20"/>
          </w:rPr>
          <w:t>https://doi.org/10.20935/AcadMolBioGen7956</w:t>
        </w:r>
      </w:hyperlink>
    </w:p>
    <w:p w14:paraId="0C8F12C4" w14:textId="77777777" w:rsidR="0087772E" w:rsidRPr="00755099" w:rsidRDefault="0087772E" w:rsidP="0087772E">
      <w:pPr>
        <w:spacing w:line="240" w:lineRule="auto"/>
        <w:ind w:left="643" w:hanging="643"/>
        <w:jc w:val="both"/>
        <w:rPr>
          <w:rFonts w:ascii="Arial" w:hAnsi="Arial" w:cs="Arial"/>
          <w:sz w:val="20"/>
          <w:szCs w:val="20"/>
        </w:rPr>
      </w:pPr>
      <w:proofErr w:type="spellStart"/>
      <w:r w:rsidRPr="00755099">
        <w:rPr>
          <w:rFonts w:ascii="Arial" w:hAnsi="Arial" w:cs="Arial"/>
          <w:sz w:val="20"/>
          <w:szCs w:val="20"/>
        </w:rPr>
        <w:t>Shooshtari</w:t>
      </w:r>
      <w:proofErr w:type="spellEnd"/>
      <w:r w:rsidRPr="00755099">
        <w:rPr>
          <w:rFonts w:ascii="Arial" w:hAnsi="Arial" w:cs="Arial"/>
          <w:sz w:val="20"/>
          <w:szCs w:val="20"/>
        </w:rPr>
        <w:t>, L., Pour-</w:t>
      </w:r>
      <w:proofErr w:type="spellStart"/>
      <w:r w:rsidRPr="00755099">
        <w:rPr>
          <w:rFonts w:ascii="Arial" w:hAnsi="Arial" w:cs="Arial"/>
          <w:sz w:val="20"/>
          <w:szCs w:val="20"/>
        </w:rPr>
        <w:t>Aboughadareh</w:t>
      </w:r>
      <w:proofErr w:type="spellEnd"/>
      <w:r w:rsidRPr="00755099">
        <w:rPr>
          <w:rFonts w:ascii="Arial" w:hAnsi="Arial" w:cs="Arial"/>
          <w:sz w:val="20"/>
          <w:szCs w:val="20"/>
        </w:rPr>
        <w:t xml:space="preserve">, A., </w:t>
      </w:r>
      <w:proofErr w:type="spellStart"/>
      <w:r w:rsidRPr="00755099">
        <w:rPr>
          <w:rFonts w:ascii="Arial" w:hAnsi="Arial" w:cs="Arial"/>
          <w:sz w:val="20"/>
          <w:szCs w:val="20"/>
        </w:rPr>
        <w:t>Etminan</w:t>
      </w:r>
      <w:proofErr w:type="spellEnd"/>
      <w:r w:rsidRPr="00755099">
        <w:rPr>
          <w:rFonts w:ascii="Arial" w:hAnsi="Arial" w:cs="Arial"/>
          <w:sz w:val="20"/>
          <w:szCs w:val="20"/>
        </w:rPr>
        <w:t>, A., Ghorbanpour, M., &amp; Bocianowski, J. (2024). Genetic diversity and population structure of Iranian oak (</w:t>
      </w:r>
      <w:r w:rsidRPr="00755099">
        <w:rPr>
          <w:rFonts w:ascii="Arial" w:hAnsi="Arial" w:cs="Arial"/>
          <w:i/>
          <w:sz w:val="20"/>
          <w:szCs w:val="20"/>
        </w:rPr>
        <w:t>Quercus spp</w:t>
      </w:r>
      <w:r w:rsidRPr="00755099">
        <w:rPr>
          <w:rFonts w:ascii="Arial" w:hAnsi="Arial" w:cs="Arial"/>
          <w:sz w:val="20"/>
          <w:szCs w:val="20"/>
        </w:rPr>
        <w:t>.) accessions based on ISSR and CBDP markers. </w:t>
      </w:r>
      <w:r w:rsidRPr="00755099">
        <w:rPr>
          <w:rFonts w:ascii="Arial" w:hAnsi="Arial" w:cs="Arial"/>
          <w:i/>
          <w:sz w:val="20"/>
          <w:szCs w:val="20"/>
        </w:rPr>
        <w:t>Genetic Resources and Crop Evolution,</w:t>
      </w:r>
      <w:r w:rsidRPr="00755099">
        <w:rPr>
          <w:rFonts w:ascii="Arial" w:hAnsi="Arial" w:cs="Arial"/>
          <w:iCs/>
          <w:sz w:val="20"/>
          <w:szCs w:val="20"/>
        </w:rPr>
        <w:t xml:space="preserve"> 71</w:t>
      </w:r>
      <w:r w:rsidRPr="00755099">
        <w:rPr>
          <w:rFonts w:ascii="Arial" w:hAnsi="Arial" w:cs="Arial"/>
          <w:sz w:val="20"/>
          <w:szCs w:val="20"/>
        </w:rPr>
        <w:t xml:space="preserve">(8): 5127-5139. </w:t>
      </w:r>
      <w:hyperlink r:id="rId64" w:history="1">
        <w:r w:rsidRPr="00755099">
          <w:rPr>
            <w:rStyle w:val="Hyperlink"/>
            <w:rFonts w:ascii="Arial" w:hAnsi="Arial" w:cs="Arial"/>
            <w:sz w:val="20"/>
            <w:szCs w:val="20"/>
          </w:rPr>
          <w:t>https://doi.org/10.1007/s10722-024-01857-z</w:t>
        </w:r>
      </w:hyperlink>
      <w:r w:rsidRPr="00755099">
        <w:rPr>
          <w:rFonts w:ascii="Arial" w:hAnsi="Arial" w:cs="Arial"/>
          <w:sz w:val="20"/>
          <w:szCs w:val="20"/>
        </w:rPr>
        <w:t xml:space="preserve"> </w:t>
      </w:r>
    </w:p>
    <w:p w14:paraId="67CF9EA0"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Sisodiya, S., Debnath, M., Jain, D., &amp; Shekhawat, S.S. (2025). An integrated approach using morphological, biochemical, and RAPD markers to assess the genetic diversity of Olive (</w:t>
      </w:r>
      <w:r w:rsidRPr="00755099">
        <w:rPr>
          <w:rFonts w:ascii="Arial" w:hAnsi="Arial" w:cs="Arial"/>
          <w:i/>
          <w:sz w:val="20"/>
          <w:szCs w:val="20"/>
        </w:rPr>
        <w:t>Olea Europaea</w:t>
      </w:r>
      <w:r w:rsidRPr="00755099">
        <w:rPr>
          <w:rFonts w:ascii="Arial" w:hAnsi="Arial" w:cs="Arial"/>
          <w:sz w:val="20"/>
          <w:szCs w:val="20"/>
        </w:rPr>
        <w:t xml:space="preserve"> L.) cultivars in India. </w:t>
      </w:r>
      <w:r w:rsidRPr="00755099">
        <w:rPr>
          <w:rFonts w:ascii="Arial" w:hAnsi="Arial" w:cs="Arial"/>
          <w:i/>
          <w:sz w:val="20"/>
          <w:szCs w:val="20"/>
        </w:rPr>
        <w:t>Scientific Reports</w:t>
      </w:r>
      <w:r w:rsidRPr="00755099">
        <w:rPr>
          <w:rFonts w:ascii="Arial" w:hAnsi="Arial" w:cs="Arial"/>
          <w:iCs/>
          <w:sz w:val="20"/>
          <w:szCs w:val="20"/>
        </w:rPr>
        <w:t>,</w:t>
      </w:r>
      <w:r w:rsidRPr="00755099">
        <w:rPr>
          <w:rFonts w:ascii="Arial" w:hAnsi="Arial" w:cs="Arial"/>
          <w:sz w:val="20"/>
          <w:szCs w:val="20"/>
        </w:rPr>
        <w:t> </w:t>
      </w:r>
      <w:r w:rsidRPr="00755099">
        <w:rPr>
          <w:rFonts w:ascii="Arial" w:hAnsi="Arial" w:cs="Arial"/>
          <w:iCs/>
          <w:sz w:val="20"/>
          <w:szCs w:val="20"/>
        </w:rPr>
        <w:t>15</w:t>
      </w:r>
      <w:r w:rsidRPr="00755099">
        <w:rPr>
          <w:rFonts w:ascii="Arial" w:hAnsi="Arial" w:cs="Arial"/>
          <w:sz w:val="20"/>
          <w:szCs w:val="20"/>
        </w:rPr>
        <w:t xml:space="preserve">(1):18664. </w:t>
      </w:r>
      <w:hyperlink r:id="rId65" w:history="1">
        <w:r w:rsidRPr="00755099">
          <w:rPr>
            <w:rStyle w:val="Hyperlink"/>
            <w:rFonts w:ascii="Arial" w:hAnsi="Arial" w:cs="Arial"/>
            <w:sz w:val="20"/>
            <w:szCs w:val="20"/>
          </w:rPr>
          <w:t>https://doi.org/10.1038/s41598-025-02815-0</w:t>
        </w:r>
      </w:hyperlink>
    </w:p>
    <w:p w14:paraId="23054D86"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Surabhi, G.K., &amp; </w:t>
      </w:r>
      <w:proofErr w:type="spellStart"/>
      <w:r w:rsidRPr="00755099">
        <w:rPr>
          <w:rFonts w:ascii="Arial" w:hAnsi="Arial" w:cs="Arial"/>
          <w:sz w:val="20"/>
          <w:szCs w:val="20"/>
        </w:rPr>
        <w:t>Pattanayak</w:t>
      </w:r>
      <w:proofErr w:type="spellEnd"/>
      <w:r w:rsidRPr="00755099">
        <w:rPr>
          <w:rFonts w:ascii="Arial" w:hAnsi="Arial" w:cs="Arial"/>
          <w:sz w:val="20"/>
          <w:szCs w:val="20"/>
        </w:rPr>
        <w:t xml:space="preserve">, S. (2015). Deciphering the genetic identity and fidelity of banana through inter simple sequence repeats fingerprinting. </w:t>
      </w:r>
      <w:r w:rsidRPr="00755099">
        <w:rPr>
          <w:rFonts w:ascii="Arial" w:hAnsi="Arial" w:cs="Arial"/>
          <w:i/>
          <w:iCs/>
          <w:sz w:val="20"/>
          <w:szCs w:val="20"/>
        </w:rPr>
        <w:t>Horticultural Biotechnology Research,</w:t>
      </w:r>
      <w:r w:rsidRPr="00755099">
        <w:rPr>
          <w:rFonts w:ascii="Arial" w:hAnsi="Arial" w:cs="Arial"/>
          <w:sz w:val="20"/>
          <w:szCs w:val="20"/>
        </w:rPr>
        <w:t xml:space="preserve"> 8(1):16-22. </w:t>
      </w:r>
      <w:hyperlink r:id="rId66" w:history="1">
        <w:r w:rsidRPr="00755099">
          <w:rPr>
            <w:rStyle w:val="Hyperlink"/>
            <w:rFonts w:ascii="Arial" w:hAnsi="Arial" w:cs="Arial"/>
            <w:sz w:val="20"/>
            <w:szCs w:val="20"/>
          </w:rPr>
          <w:t>https://updatepublishing.com/journal/index.php/hbr/article/view/2902</w:t>
        </w:r>
      </w:hyperlink>
    </w:p>
    <w:p w14:paraId="1D7BC8A7"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Surabhi, G.K., Mohanty, S., Meher, R.K., Mukherjee, A.K., &amp; Vemireddy, L.N. (2017). Assessment of genetic diversity in </w:t>
      </w:r>
      <w:proofErr w:type="spellStart"/>
      <w:r w:rsidRPr="00755099">
        <w:rPr>
          <w:rFonts w:ascii="Arial" w:hAnsi="Arial" w:cs="Arial"/>
          <w:i/>
          <w:iCs/>
          <w:sz w:val="20"/>
          <w:szCs w:val="20"/>
        </w:rPr>
        <w:t>Shorea</w:t>
      </w:r>
      <w:proofErr w:type="spellEnd"/>
      <w:r w:rsidRPr="00755099">
        <w:rPr>
          <w:rFonts w:ascii="Arial" w:hAnsi="Arial" w:cs="Arial"/>
          <w:i/>
          <w:iCs/>
          <w:sz w:val="20"/>
          <w:szCs w:val="20"/>
        </w:rPr>
        <w:t xml:space="preserve"> robusta</w:t>
      </w:r>
      <w:r w:rsidRPr="00755099">
        <w:rPr>
          <w:rFonts w:ascii="Arial" w:hAnsi="Arial" w:cs="Arial"/>
          <w:sz w:val="20"/>
          <w:szCs w:val="20"/>
        </w:rPr>
        <w:t>: an economically important tropical tree species. </w:t>
      </w:r>
      <w:r w:rsidRPr="00755099">
        <w:rPr>
          <w:rFonts w:ascii="Arial" w:hAnsi="Arial" w:cs="Arial"/>
          <w:i/>
          <w:sz w:val="20"/>
          <w:szCs w:val="20"/>
        </w:rPr>
        <w:t>Journal of Applied Biology &amp; Biotechnology,</w:t>
      </w:r>
      <w:r w:rsidRPr="00755099">
        <w:rPr>
          <w:rFonts w:ascii="Arial" w:hAnsi="Arial" w:cs="Arial"/>
          <w:iCs/>
          <w:sz w:val="20"/>
          <w:szCs w:val="20"/>
        </w:rPr>
        <w:t xml:space="preserve"> 5</w:t>
      </w:r>
      <w:r w:rsidRPr="00755099">
        <w:rPr>
          <w:rFonts w:ascii="Arial" w:hAnsi="Arial" w:cs="Arial"/>
          <w:sz w:val="20"/>
          <w:szCs w:val="20"/>
        </w:rPr>
        <w:t xml:space="preserve">(2): 110-117. </w:t>
      </w:r>
      <w:hyperlink r:id="rId67" w:history="1">
        <w:r w:rsidRPr="00755099">
          <w:rPr>
            <w:rStyle w:val="Hyperlink"/>
            <w:rFonts w:ascii="Arial" w:hAnsi="Arial" w:cs="Arial"/>
            <w:sz w:val="20"/>
            <w:szCs w:val="20"/>
          </w:rPr>
          <w:t>10.7324/JABB.2017.50218</w:t>
        </w:r>
      </w:hyperlink>
    </w:p>
    <w:p w14:paraId="30CD6046"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Thakur, K., Barik, S., Raju, N., Gadhiya, J.D., Kumar, S., &amp; Mishra, S. (</w:t>
      </w:r>
      <w:r w:rsidRPr="00755099">
        <w:rPr>
          <w:rFonts w:ascii="Arial" w:hAnsi="Arial" w:cs="Arial"/>
          <w:iCs/>
          <w:sz w:val="20"/>
          <w:szCs w:val="20"/>
        </w:rPr>
        <w:t>2025</w:t>
      </w:r>
      <w:r w:rsidRPr="00755099">
        <w:rPr>
          <w:rFonts w:ascii="Arial" w:hAnsi="Arial" w:cs="Arial"/>
          <w:sz w:val="20"/>
          <w:szCs w:val="20"/>
        </w:rPr>
        <w:t xml:space="preserve">). Medicinal and economical uses of </w:t>
      </w:r>
      <w:r w:rsidRPr="00755099">
        <w:rPr>
          <w:rFonts w:ascii="Arial" w:hAnsi="Arial" w:cs="Arial"/>
          <w:i/>
          <w:iCs/>
          <w:sz w:val="20"/>
          <w:szCs w:val="20"/>
        </w:rPr>
        <w:t>Diospyros melanoxylon.</w:t>
      </w:r>
      <w:r w:rsidRPr="00755099">
        <w:rPr>
          <w:rFonts w:ascii="Arial" w:hAnsi="Arial" w:cs="Arial"/>
          <w:sz w:val="20"/>
          <w:szCs w:val="20"/>
        </w:rPr>
        <w:t xml:space="preserve"> </w:t>
      </w:r>
      <w:r w:rsidRPr="00755099">
        <w:rPr>
          <w:rFonts w:ascii="Arial" w:hAnsi="Arial" w:cs="Arial"/>
          <w:i/>
          <w:sz w:val="20"/>
          <w:szCs w:val="20"/>
        </w:rPr>
        <w:t>Medicinal Trees of India</w:t>
      </w:r>
      <w:r w:rsidRPr="00755099">
        <w:rPr>
          <w:rFonts w:ascii="Arial" w:hAnsi="Arial" w:cs="Arial"/>
          <w:iCs/>
          <w:sz w:val="20"/>
          <w:szCs w:val="20"/>
        </w:rPr>
        <w:t xml:space="preserve">, </w:t>
      </w:r>
      <w:r w:rsidRPr="00755099">
        <w:rPr>
          <w:rFonts w:ascii="Arial" w:hAnsi="Arial" w:cs="Arial"/>
          <w:sz w:val="20"/>
          <w:szCs w:val="20"/>
        </w:rPr>
        <w:t xml:space="preserve">2: 41-51. </w:t>
      </w:r>
      <w:hyperlink r:id="rId68" w:history="1">
        <w:r w:rsidRPr="00755099">
          <w:rPr>
            <w:rStyle w:val="Hyperlink"/>
            <w:rFonts w:ascii="Arial" w:hAnsi="Arial" w:cs="Arial"/>
            <w:sz w:val="20"/>
            <w:szCs w:val="20"/>
          </w:rPr>
          <w:t>https://doi.org/10.5281/zenodo.15905932</w:t>
        </w:r>
      </w:hyperlink>
    </w:p>
    <w:p w14:paraId="51F31A58"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 xml:space="preserve">Tiwari, G., Singh, R., Singh, N., Choudhury, D.R., Paliwal, R., Kumar, A., &amp; Gupta, V. (2016). Study of arbitrarily amplified (RAPD and ISSR) and gene targeted (SCoT and CBDP) markers for genetic diversity and population structure in </w:t>
      </w:r>
      <w:proofErr w:type="spellStart"/>
      <w:r w:rsidRPr="00755099">
        <w:rPr>
          <w:rFonts w:ascii="Arial" w:hAnsi="Arial" w:cs="Arial"/>
          <w:sz w:val="20"/>
          <w:szCs w:val="20"/>
        </w:rPr>
        <w:t>Kalmegh</w:t>
      </w:r>
      <w:proofErr w:type="spellEnd"/>
      <w:r w:rsidRPr="00755099">
        <w:rPr>
          <w:rFonts w:ascii="Arial" w:hAnsi="Arial" w:cs="Arial"/>
          <w:sz w:val="20"/>
          <w:szCs w:val="20"/>
        </w:rPr>
        <w:t xml:space="preserve"> [</w:t>
      </w:r>
      <w:r w:rsidRPr="00755099">
        <w:rPr>
          <w:rFonts w:ascii="Arial" w:hAnsi="Arial" w:cs="Arial"/>
          <w:i/>
          <w:sz w:val="20"/>
          <w:szCs w:val="20"/>
        </w:rPr>
        <w:t>Andrographis paniculata</w:t>
      </w:r>
      <w:r w:rsidRPr="00755099">
        <w:rPr>
          <w:rFonts w:ascii="Arial" w:hAnsi="Arial" w:cs="Arial"/>
          <w:sz w:val="20"/>
          <w:szCs w:val="20"/>
        </w:rPr>
        <w:t xml:space="preserve"> (Burm. f.) Nees].  </w:t>
      </w:r>
      <w:r w:rsidRPr="00755099">
        <w:rPr>
          <w:rFonts w:ascii="Arial" w:hAnsi="Arial" w:cs="Arial"/>
          <w:i/>
          <w:sz w:val="20"/>
          <w:szCs w:val="20"/>
        </w:rPr>
        <w:t>Industrial Crops and Products,</w:t>
      </w:r>
      <w:r w:rsidRPr="00755099">
        <w:rPr>
          <w:rFonts w:ascii="Arial" w:hAnsi="Arial" w:cs="Arial"/>
          <w:iCs/>
          <w:sz w:val="20"/>
          <w:szCs w:val="20"/>
        </w:rPr>
        <w:t xml:space="preserve"> 86</w:t>
      </w:r>
      <w:r w:rsidRPr="00755099">
        <w:rPr>
          <w:rFonts w:ascii="Arial" w:hAnsi="Arial" w:cs="Arial"/>
          <w:sz w:val="20"/>
          <w:szCs w:val="20"/>
        </w:rPr>
        <w:t>:</w:t>
      </w:r>
      <w:r w:rsidRPr="00755099" w:rsidDel="0046518A">
        <w:rPr>
          <w:rFonts w:ascii="Arial" w:hAnsi="Arial" w:cs="Arial"/>
          <w:sz w:val="20"/>
          <w:szCs w:val="20"/>
        </w:rPr>
        <w:t xml:space="preserve"> </w:t>
      </w:r>
      <w:r w:rsidRPr="00755099">
        <w:rPr>
          <w:rFonts w:ascii="Arial" w:hAnsi="Arial" w:cs="Arial"/>
          <w:sz w:val="20"/>
          <w:szCs w:val="20"/>
        </w:rPr>
        <w:t xml:space="preserve">1-11. </w:t>
      </w:r>
      <w:hyperlink r:id="rId69" w:history="1">
        <w:r w:rsidRPr="00755099">
          <w:rPr>
            <w:rStyle w:val="Hyperlink"/>
            <w:rFonts w:ascii="Arial" w:hAnsi="Arial" w:cs="Arial"/>
            <w:sz w:val="20"/>
            <w:szCs w:val="20"/>
          </w:rPr>
          <w:t>https://doi.org/10.1016/j.indcrop.2016.03.031</w:t>
        </w:r>
      </w:hyperlink>
      <w:r w:rsidRPr="00755099">
        <w:rPr>
          <w:rFonts w:ascii="Arial" w:hAnsi="Arial" w:cs="Arial"/>
          <w:sz w:val="20"/>
          <w:szCs w:val="20"/>
        </w:rPr>
        <w:t xml:space="preserve"> </w:t>
      </w:r>
    </w:p>
    <w:p w14:paraId="764695A8"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color w:val="0D0D0D" w:themeColor="text1" w:themeTint="F2"/>
          <w:sz w:val="20"/>
          <w:szCs w:val="20"/>
        </w:rPr>
        <w:t xml:space="preserve">Varma, A., </w:t>
      </w:r>
      <w:proofErr w:type="spellStart"/>
      <w:r w:rsidRPr="00755099">
        <w:rPr>
          <w:rFonts w:ascii="Arial" w:hAnsi="Arial" w:cs="Arial"/>
          <w:color w:val="0D0D0D" w:themeColor="text1" w:themeTint="F2"/>
          <w:sz w:val="20"/>
          <w:szCs w:val="20"/>
        </w:rPr>
        <w:t>Padh</w:t>
      </w:r>
      <w:proofErr w:type="spellEnd"/>
      <w:r w:rsidRPr="00755099">
        <w:rPr>
          <w:rFonts w:ascii="Arial" w:hAnsi="Arial" w:cs="Arial"/>
          <w:color w:val="0D0D0D" w:themeColor="text1" w:themeTint="F2"/>
          <w:sz w:val="20"/>
          <w:szCs w:val="20"/>
        </w:rPr>
        <w:t xml:space="preserve">, H., &amp; Shrivastava, N. (2007). Plant genomic DNA isolation: an art or a science. </w:t>
      </w:r>
      <w:r w:rsidRPr="00755099">
        <w:rPr>
          <w:rFonts w:ascii="Arial" w:hAnsi="Arial" w:cs="Arial"/>
          <w:i/>
          <w:iCs/>
          <w:color w:val="0D0D0D" w:themeColor="text1" w:themeTint="F2"/>
          <w:sz w:val="20"/>
          <w:szCs w:val="20"/>
        </w:rPr>
        <w:t>Biotechnology Journal: Healthcare Nutrition Technology</w:t>
      </w:r>
      <w:r w:rsidRPr="00755099">
        <w:rPr>
          <w:rFonts w:ascii="Arial" w:hAnsi="Arial" w:cs="Arial"/>
          <w:color w:val="0D0D0D" w:themeColor="text1" w:themeTint="F2"/>
          <w:sz w:val="20"/>
          <w:szCs w:val="20"/>
        </w:rPr>
        <w:t xml:space="preserve">, 2(3):386-92. </w:t>
      </w:r>
      <w:hyperlink r:id="rId70" w:history="1">
        <w:r w:rsidRPr="00755099">
          <w:rPr>
            <w:rStyle w:val="Hyperlink"/>
            <w:rFonts w:ascii="Arial" w:hAnsi="Arial" w:cs="Arial"/>
            <w:sz w:val="20"/>
            <w:szCs w:val="20"/>
          </w:rPr>
          <w:t>https://doi.org/10.1002/biot.200600195</w:t>
        </w:r>
      </w:hyperlink>
      <w:r w:rsidRPr="00755099" w:rsidDel="005578BF">
        <w:rPr>
          <w:rFonts w:ascii="Arial" w:hAnsi="Arial" w:cs="Arial"/>
          <w:color w:val="0D0D0D" w:themeColor="text1" w:themeTint="F2"/>
          <w:sz w:val="20"/>
          <w:szCs w:val="20"/>
        </w:rPr>
        <w:t xml:space="preserve"> </w:t>
      </w:r>
      <w:r w:rsidRPr="00755099">
        <w:rPr>
          <w:rFonts w:ascii="Arial" w:hAnsi="Arial" w:cs="Arial"/>
          <w:sz w:val="20"/>
          <w:szCs w:val="20"/>
        </w:rPr>
        <w:t xml:space="preserve"> </w:t>
      </w:r>
    </w:p>
    <w:p w14:paraId="0CE83942" w14:textId="77777777" w:rsidR="0087772E" w:rsidRPr="00755099" w:rsidRDefault="0087772E" w:rsidP="0087772E">
      <w:pPr>
        <w:spacing w:line="240" w:lineRule="auto"/>
        <w:ind w:left="643" w:hanging="643"/>
        <w:jc w:val="both"/>
        <w:rPr>
          <w:rStyle w:val="Hyperlink"/>
          <w:rFonts w:ascii="Arial" w:hAnsi="Arial" w:cs="Arial"/>
          <w:sz w:val="20"/>
          <w:szCs w:val="20"/>
        </w:rPr>
      </w:pPr>
      <w:r w:rsidRPr="00755099">
        <w:rPr>
          <w:rFonts w:ascii="Arial" w:hAnsi="Arial" w:cs="Arial"/>
          <w:sz w:val="20"/>
          <w:szCs w:val="20"/>
        </w:rPr>
        <w:t xml:space="preserve">Wolfe, A.D., Xiang, Q.Y., &amp; Kephart, S.R. (1998). Assessing hybridization in natural populations of </w:t>
      </w:r>
      <w:r w:rsidRPr="00755099">
        <w:rPr>
          <w:rFonts w:ascii="Arial" w:hAnsi="Arial" w:cs="Arial"/>
          <w:i/>
          <w:sz w:val="20"/>
          <w:szCs w:val="20"/>
        </w:rPr>
        <w:t>Penstemon</w:t>
      </w:r>
      <w:r w:rsidRPr="00755099">
        <w:rPr>
          <w:rFonts w:ascii="Arial" w:hAnsi="Arial" w:cs="Arial"/>
          <w:sz w:val="20"/>
          <w:szCs w:val="20"/>
        </w:rPr>
        <w:t xml:space="preserve"> (Scrophulariaceae) using hypervariable inter simple sequence repeat (ISSR) bands. </w:t>
      </w:r>
      <w:r w:rsidRPr="00755099">
        <w:rPr>
          <w:rFonts w:ascii="Arial" w:hAnsi="Arial" w:cs="Arial"/>
          <w:i/>
          <w:sz w:val="20"/>
          <w:szCs w:val="20"/>
        </w:rPr>
        <w:t>Molecular Ecology,</w:t>
      </w:r>
      <w:r w:rsidRPr="00755099">
        <w:rPr>
          <w:rFonts w:ascii="Arial" w:hAnsi="Arial" w:cs="Arial"/>
          <w:sz w:val="20"/>
          <w:szCs w:val="20"/>
        </w:rPr>
        <w:t> </w:t>
      </w:r>
      <w:r w:rsidRPr="00755099">
        <w:rPr>
          <w:rFonts w:ascii="Arial" w:hAnsi="Arial" w:cs="Arial"/>
          <w:iCs/>
          <w:sz w:val="20"/>
          <w:szCs w:val="20"/>
        </w:rPr>
        <w:t>7</w:t>
      </w:r>
      <w:r w:rsidRPr="00755099">
        <w:rPr>
          <w:rFonts w:ascii="Arial" w:hAnsi="Arial" w:cs="Arial"/>
          <w:sz w:val="20"/>
          <w:szCs w:val="20"/>
        </w:rPr>
        <w:t xml:space="preserve">(9):1107-1125. </w:t>
      </w:r>
      <w:hyperlink r:id="rId71" w:history="1">
        <w:r w:rsidRPr="00755099">
          <w:rPr>
            <w:rStyle w:val="Hyperlink"/>
            <w:rFonts w:ascii="Arial" w:hAnsi="Arial" w:cs="Arial"/>
            <w:sz w:val="20"/>
            <w:szCs w:val="20"/>
          </w:rPr>
          <w:t>https://doi.org/10.1046/j.1365-294x.1998.00425.x</w:t>
        </w:r>
      </w:hyperlink>
      <w:r w:rsidRPr="00755099">
        <w:rPr>
          <w:rFonts w:ascii="Arial" w:hAnsi="Arial" w:cs="Arial"/>
          <w:sz w:val="20"/>
          <w:szCs w:val="20"/>
        </w:rPr>
        <w:t xml:space="preserve"> </w:t>
      </w:r>
    </w:p>
    <w:p w14:paraId="43E949C1" w14:textId="77777777" w:rsidR="0087772E" w:rsidRPr="00755099" w:rsidRDefault="0087772E" w:rsidP="0087772E">
      <w:pPr>
        <w:spacing w:line="240" w:lineRule="auto"/>
        <w:ind w:left="643" w:hanging="643"/>
        <w:jc w:val="both"/>
        <w:rPr>
          <w:rFonts w:ascii="Arial" w:hAnsi="Arial" w:cs="Arial"/>
          <w:sz w:val="20"/>
          <w:szCs w:val="20"/>
        </w:rPr>
      </w:pPr>
      <w:r w:rsidRPr="00755099">
        <w:rPr>
          <w:rFonts w:ascii="Arial" w:hAnsi="Arial" w:cs="Arial"/>
          <w:sz w:val="20"/>
          <w:szCs w:val="20"/>
        </w:rPr>
        <w:t>Yang, Y., Yang, T., &amp; Jing, Z. (2015). Genetic diversity and taxonomic studies of date plum (</w:t>
      </w:r>
      <w:r w:rsidRPr="00755099">
        <w:rPr>
          <w:rFonts w:ascii="Arial" w:hAnsi="Arial" w:cs="Arial"/>
          <w:i/>
          <w:sz w:val="20"/>
          <w:szCs w:val="20"/>
        </w:rPr>
        <w:t>Diospyros lotus</w:t>
      </w:r>
      <w:r w:rsidRPr="00755099">
        <w:rPr>
          <w:rFonts w:ascii="Arial" w:hAnsi="Arial" w:cs="Arial"/>
          <w:sz w:val="20"/>
          <w:szCs w:val="20"/>
        </w:rPr>
        <w:t xml:space="preserve"> L.) using morphological traits and SCoT markers. </w:t>
      </w:r>
      <w:r w:rsidRPr="00755099">
        <w:rPr>
          <w:rFonts w:ascii="Arial" w:hAnsi="Arial" w:cs="Arial"/>
          <w:i/>
          <w:sz w:val="20"/>
          <w:szCs w:val="20"/>
        </w:rPr>
        <w:t>Biochemical Systematics and Ecology,</w:t>
      </w:r>
      <w:r w:rsidRPr="00755099">
        <w:rPr>
          <w:rFonts w:ascii="Arial" w:hAnsi="Arial" w:cs="Arial"/>
          <w:sz w:val="20"/>
          <w:szCs w:val="20"/>
        </w:rPr>
        <w:t xml:space="preserve"> </w:t>
      </w:r>
      <w:r w:rsidRPr="00755099">
        <w:rPr>
          <w:rFonts w:ascii="Arial" w:hAnsi="Arial" w:cs="Arial"/>
          <w:iCs/>
          <w:sz w:val="20"/>
          <w:szCs w:val="20"/>
        </w:rPr>
        <w:t>61:</w:t>
      </w:r>
      <w:r w:rsidRPr="00755099" w:rsidDel="0046518A">
        <w:rPr>
          <w:rFonts w:ascii="Arial" w:hAnsi="Arial" w:cs="Arial"/>
          <w:sz w:val="20"/>
          <w:szCs w:val="20"/>
        </w:rPr>
        <w:t xml:space="preserve"> </w:t>
      </w:r>
      <w:r w:rsidRPr="00755099">
        <w:rPr>
          <w:rFonts w:ascii="Arial" w:hAnsi="Arial" w:cs="Arial"/>
          <w:sz w:val="20"/>
          <w:szCs w:val="20"/>
        </w:rPr>
        <w:t xml:space="preserve">253-259. </w:t>
      </w:r>
      <w:hyperlink r:id="rId72" w:tgtFrame="_blank" w:tooltip="Persistent link using digital object identifier" w:history="1">
        <w:r w:rsidRPr="00755099">
          <w:rPr>
            <w:rStyle w:val="Hyperlink"/>
            <w:rFonts w:ascii="Arial" w:hAnsi="Arial" w:cs="Arial"/>
            <w:sz w:val="20"/>
            <w:szCs w:val="20"/>
          </w:rPr>
          <w:t>https://doi.org/10.1016/j.bse.2015.06.008</w:t>
        </w:r>
      </w:hyperlink>
    </w:p>
    <w:p w14:paraId="3024E059" w14:textId="62572500" w:rsidR="00E7315F" w:rsidRDefault="0087772E" w:rsidP="008C196F">
      <w:pPr>
        <w:spacing w:line="360" w:lineRule="auto"/>
        <w:jc w:val="both"/>
        <w:rPr>
          <w:rFonts w:ascii="Arial" w:hAnsi="Arial" w:cs="Arial"/>
          <w:b/>
          <w:bCs/>
        </w:rPr>
      </w:pPr>
      <w:r>
        <w:rPr>
          <w:rFonts w:ascii="Arial" w:hAnsi="Arial" w:cs="Arial"/>
          <w:b/>
          <w:bCs/>
        </w:rPr>
        <w:t xml:space="preserve"> </w:t>
      </w:r>
    </w:p>
    <w:p w14:paraId="7AB1F4AF" w14:textId="77777777" w:rsidR="00E7315F" w:rsidRDefault="00E7315F" w:rsidP="008C196F">
      <w:pPr>
        <w:spacing w:line="360" w:lineRule="auto"/>
        <w:jc w:val="both"/>
        <w:rPr>
          <w:rFonts w:ascii="Arial" w:hAnsi="Arial" w:cs="Arial"/>
          <w:b/>
          <w:bCs/>
        </w:rPr>
      </w:pPr>
    </w:p>
    <w:p w14:paraId="47B56587" w14:textId="77777777" w:rsidR="00F20644" w:rsidRDefault="00F20644" w:rsidP="008C196F">
      <w:pPr>
        <w:spacing w:line="360" w:lineRule="auto"/>
        <w:jc w:val="both"/>
        <w:rPr>
          <w:rFonts w:ascii="Arial" w:hAnsi="Arial" w:cs="Arial"/>
          <w:b/>
          <w:bCs/>
        </w:rPr>
      </w:pPr>
    </w:p>
    <w:p w14:paraId="57C76E6D" w14:textId="77777777" w:rsidR="00F20644" w:rsidRDefault="00F20644" w:rsidP="008C196F">
      <w:pPr>
        <w:spacing w:line="360" w:lineRule="auto"/>
        <w:jc w:val="both"/>
        <w:rPr>
          <w:rFonts w:ascii="Arial" w:hAnsi="Arial" w:cs="Arial"/>
          <w:b/>
          <w:bCs/>
        </w:rPr>
      </w:pPr>
    </w:p>
    <w:p w14:paraId="3570A566" w14:textId="77777777" w:rsidR="00F20644" w:rsidRDefault="00F20644" w:rsidP="008C196F">
      <w:pPr>
        <w:spacing w:line="360" w:lineRule="auto"/>
        <w:jc w:val="both"/>
        <w:rPr>
          <w:rFonts w:ascii="Arial" w:hAnsi="Arial" w:cs="Arial"/>
          <w:b/>
          <w:bCs/>
        </w:rPr>
      </w:pPr>
    </w:p>
    <w:sectPr w:rsidR="00F20644" w:rsidSect="001408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AF450" w14:textId="77777777" w:rsidR="00662305" w:rsidRDefault="00662305" w:rsidP="003033E1">
      <w:pPr>
        <w:spacing w:after="0" w:line="240" w:lineRule="auto"/>
      </w:pPr>
      <w:r>
        <w:separator/>
      </w:r>
    </w:p>
  </w:endnote>
  <w:endnote w:type="continuationSeparator" w:id="0">
    <w:p w14:paraId="446CACD7" w14:textId="77777777" w:rsidR="00662305" w:rsidRDefault="00662305" w:rsidP="00303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8F19D" w14:textId="77777777" w:rsidR="00573013" w:rsidRDefault="00573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257508"/>
      <w:docPartObj>
        <w:docPartGallery w:val="Page Numbers (Bottom of Page)"/>
        <w:docPartUnique/>
      </w:docPartObj>
    </w:sdtPr>
    <w:sdtContent>
      <w:sdt>
        <w:sdtPr>
          <w:id w:val="-1769616900"/>
          <w:docPartObj>
            <w:docPartGallery w:val="Page Numbers (Top of Page)"/>
            <w:docPartUnique/>
          </w:docPartObj>
        </w:sdtPr>
        <w:sdtContent>
          <w:p w14:paraId="4DF15814" w14:textId="407D6197" w:rsidR="00F06EE7" w:rsidRDefault="00F06EE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7A6C9AC" w14:textId="77777777" w:rsidR="00F06EE7" w:rsidRDefault="00F06E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8851" w14:textId="77777777" w:rsidR="00573013" w:rsidRDefault="00573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50298" w14:textId="77777777" w:rsidR="00662305" w:rsidRDefault="00662305" w:rsidP="003033E1">
      <w:pPr>
        <w:spacing w:after="0" w:line="240" w:lineRule="auto"/>
      </w:pPr>
      <w:r>
        <w:separator/>
      </w:r>
    </w:p>
  </w:footnote>
  <w:footnote w:type="continuationSeparator" w:id="0">
    <w:p w14:paraId="3F93B758" w14:textId="77777777" w:rsidR="00662305" w:rsidRDefault="00662305" w:rsidP="00303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24D9" w14:textId="06FC7F5B" w:rsidR="00573013" w:rsidRDefault="00000000">
    <w:pPr>
      <w:pStyle w:val="Header"/>
    </w:pPr>
    <w:r>
      <w:rPr>
        <w:noProof/>
      </w:rPr>
      <w:pict w14:anchorId="26257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2CB1" w14:textId="4F320B6B" w:rsidR="00573013" w:rsidRDefault="00000000">
    <w:pPr>
      <w:pStyle w:val="Header"/>
    </w:pPr>
    <w:r>
      <w:rPr>
        <w:noProof/>
      </w:rPr>
      <w:pict w14:anchorId="089EC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DCB2" w14:textId="7F8FEA70" w:rsidR="00573013" w:rsidRDefault="00000000">
    <w:pPr>
      <w:pStyle w:val="Header"/>
    </w:pPr>
    <w:r>
      <w:rPr>
        <w:noProof/>
      </w:rPr>
      <w:pict w14:anchorId="09398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043"/>
    <w:multiLevelType w:val="hybridMultilevel"/>
    <w:tmpl w:val="64E40D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684C2F"/>
    <w:multiLevelType w:val="hybridMultilevel"/>
    <w:tmpl w:val="816A3B8E"/>
    <w:lvl w:ilvl="0" w:tplc="D9564D28">
      <w:start w:val="1"/>
      <w:numFmt w:val="decimal"/>
      <w:lvlText w:val="%1"/>
      <w:lvlJc w:val="left"/>
      <w:pPr>
        <w:ind w:left="1003" w:hanging="360"/>
      </w:pPr>
      <w:rPr>
        <w:rFonts w:hint="default"/>
      </w:rPr>
    </w:lvl>
    <w:lvl w:ilvl="1" w:tplc="40090019" w:tentative="1">
      <w:start w:val="1"/>
      <w:numFmt w:val="lowerLetter"/>
      <w:lvlText w:val="%2."/>
      <w:lvlJc w:val="left"/>
      <w:pPr>
        <w:ind w:left="1723" w:hanging="360"/>
      </w:pPr>
    </w:lvl>
    <w:lvl w:ilvl="2" w:tplc="4009001B" w:tentative="1">
      <w:start w:val="1"/>
      <w:numFmt w:val="lowerRoman"/>
      <w:lvlText w:val="%3."/>
      <w:lvlJc w:val="right"/>
      <w:pPr>
        <w:ind w:left="2443" w:hanging="180"/>
      </w:pPr>
    </w:lvl>
    <w:lvl w:ilvl="3" w:tplc="4009000F" w:tentative="1">
      <w:start w:val="1"/>
      <w:numFmt w:val="decimal"/>
      <w:lvlText w:val="%4."/>
      <w:lvlJc w:val="left"/>
      <w:pPr>
        <w:ind w:left="3163" w:hanging="360"/>
      </w:pPr>
    </w:lvl>
    <w:lvl w:ilvl="4" w:tplc="40090019" w:tentative="1">
      <w:start w:val="1"/>
      <w:numFmt w:val="lowerLetter"/>
      <w:lvlText w:val="%5."/>
      <w:lvlJc w:val="left"/>
      <w:pPr>
        <w:ind w:left="3883" w:hanging="360"/>
      </w:pPr>
    </w:lvl>
    <w:lvl w:ilvl="5" w:tplc="4009001B" w:tentative="1">
      <w:start w:val="1"/>
      <w:numFmt w:val="lowerRoman"/>
      <w:lvlText w:val="%6."/>
      <w:lvlJc w:val="right"/>
      <w:pPr>
        <w:ind w:left="4603" w:hanging="180"/>
      </w:pPr>
    </w:lvl>
    <w:lvl w:ilvl="6" w:tplc="4009000F" w:tentative="1">
      <w:start w:val="1"/>
      <w:numFmt w:val="decimal"/>
      <w:lvlText w:val="%7."/>
      <w:lvlJc w:val="left"/>
      <w:pPr>
        <w:ind w:left="5323" w:hanging="360"/>
      </w:pPr>
    </w:lvl>
    <w:lvl w:ilvl="7" w:tplc="40090019" w:tentative="1">
      <w:start w:val="1"/>
      <w:numFmt w:val="lowerLetter"/>
      <w:lvlText w:val="%8."/>
      <w:lvlJc w:val="left"/>
      <w:pPr>
        <w:ind w:left="6043" w:hanging="360"/>
      </w:pPr>
    </w:lvl>
    <w:lvl w:ilvl="8" w:tplc="4009001B" w:tentative="1">
      <w:start w:val="1"/>
      <w:numFmt w:val="lowerRoman"/>
      <w:lvlText w:val="%9."/>
      <w:lvlJc w:val="right"/>
      <w:pPr>
        <w:ind w:left="6763" w:hanging="180"/>
      </w:pPr>
    </w:lvl>
  </w:abstractNum>
  <w:abstractNum w:abstractNumId="2" w15:restartNumberingAfterBreak="0">
    <w:nsid w:val="09536FF7"/>
    <w:multiLevelType w:val="hybridMultilevel"/>
    <w:tmpl w:val="BBB211B8"/>
    <w:lvl w:ilvl="0" w:tplc="19B80254">
      <w:start w:val="35"/>
      <w:numFmt w:val="decimal"/>
      <w:lvlText w:val="%1"/>
      <w:lvlJc w:val="left"/>
      <w:pPr>
        <w:ind w:left="643" w:hanging="360"/>
      </w:pPr>
      <w:rPr>
        <w:rFonts w:hint="default"/>
        <w:color w:val="auto"/>
        <w:u w:val="none"/>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3" w15:restartNumberingAfterBreak="0">
    <w:nsid w:val="0F607693"/>
    <w:multiLevelType w:val="hybridMultilevel"/>
    <w:tmpl w:val="62B662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0909A5"/>
    <w:multiLevelType w:val="hybridMultilevel"/>
    <w:tmpl w:val="463268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3B06CE7"/>
    <w:multiLevelType w:val="hybridMultilevel"/>
    <w:tmpl w:val="4ACA99FC"/>
    <w:lvl w:ilvl="0" w:tplc="E8EE7CE2">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DC67E47"/>
    <w:multiLevelType w:val="hybridMultilevel"/>
    <w:tmpl w:val="762E2C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07B55A0"/>
    <w:multiLevelType w:val="hybridMultilevel"/>
    <w:tmpl w:val="90C0A690"/>
    <w:lvl w:ilvl="0" w:tplc="567E98F6">
      <w:start w:val="40"/>
      <w:numFmt w:val="decimal"/>
      <w:lvlText w:val="%1"/>
      <w:lvlJc w:val="left"/>
      <w:pPr>
        <w:ind w:left="643" w:hanging="360"/>
      </w:pPr>
      <w:rPr>
        <w:rFonts w:hint="defaul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8" w15:restartNumberingAfterBreak="0">
    <w:nsid w:val="20DB28EF"/>
    <w:multiLevelType w:val="multilevel"/>
    <w:tmpl w:val="1632FF0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70E6F4A"/>
    <w:multiLevelType w:val="multilevel"/>
    <w:tmpl w:val="84A8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01745"/>
    <w:multiLevelType w:val="hybridMultilevel"/>
    <w:tmpl w:val="E362DC76"/>
    <w:lvl w:ilvl="0" w:tplc="567E98F6">
      <w:start w:val="40"/>
      <w:numFmt w:val="decimal"/>
      <w:lvlText w:val="%1"/>
      <w:lvlJc w:val="left"/>
      <w:pPr>
        <w:ind w:left="643"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E1E6653"/>
    <w:multiLevelType w:val="hybridMultilevel"/>
    <w:tmpl w:val="989E80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E356703"/>
    <w:multiLevelType w:val="multilevel"/>
    <w:tmpl w:val="4DDC608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6E53F3C"/>
    <w:multiLevelType w:val="hybridMultilevel"/>
    <w:tmpl w:val="6DC490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7B72EA3"/>
    <w:multiLevelType w:val="multilevel"/>
    <w:tmpl w:val="D61683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37BD0D01"/>
    <w:multiLevelType w:val="hybridMultilevel"/>
    <w:tmpl w:val="10140EE0"/>
    <w:lvl w:ilvl="0" w:tplc="9CBC3F70">
      <w:start w:val="33"/>
      <w:numFmt w:val="decimal"/>
      <w:lvlText w:val="%1"/>
      <w:lvlJc w:val="left"/>
      <w:pPr>
        <w:ind w:left="643" w:hanging="360"/>
      </w:pPr>
      <w:rPr>
        <w:rFonts w:hint="defaul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16" w15:restartNumberingAfterBreak="0">
    <w:nsid w:val="37F331DE"/>
    <w:multiLevelType w:val="multilevel"/>
    <w:tmpl w:val="929251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39775CB8"/>
    <w:multiLevelType w:val="multilevel"/>
    <w:tmpl w:val="909649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3C4846A7"/>
    <w:multiLevelType w:val="hybridMultilevel"/>
    <w:tmpl w:val="8EA82800"/>
    <w:lvl w:ilvl="0" w:tplc="0AA25A0C">
      <w:start w:val="1"/>
      <w:numFmt w:val="decimal"/>
      <w:lvlText w:val="%1."/>
      <w:lvlJc w:val="left"/>
      <w:pPr>
        <w:ind w:left="643" w:hanging="360"/>
      </w:pPr>
      <w:rPr>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18A0B0C"/>
    <w:multiLevelType w:val="multilevel"/>
    <w:tmpl w:val="DF2ACFB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4511AB2"/>
    <w:multiLevelType w:val="multilevel"/>
    <w:tmpl w:val="9814E57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46917412"/>
    <w:multiLevelType w:val="multilevel"/>
    <w:tmpl w:val="6E7289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490D30BB"/>
    <w:multiLevelType w:val="multilevel"/>
    <w:tmpl w:val="89364C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491912E9"/>
    <w:multiLevelType w:val="hybridMultilevel"/>
    <w:tmpl w:val="614E7BBC"/>
    <w:lvl w:ilvl="0" w:tplc="F1CCE15E">
      <w:start w:val="45"/>
      <w:numFmt w:val="decimal"/>
      <w:lvlText w:val="%1"/>
      <w:lvlJc w:val="left"/>
      <w:pPr>
        <w:ind w:left="643" w:hanging="360"/>
      </w:pPr>
      <w:rPr>
        <w:rFonts w:hint="defaul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24" w15:restartNumberingAfterBreak="0">
    <w:nsid w:val="4E1551A8"/>
    <w:multiLevelType w:val="multilevel"/>
    <w:tmpl w:val="BFA4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566612"/>
    <w:multiLevelType w:val="hybridMultilevel"/>
    <w:tmpl w:val="4E0A271C"/>
    <w:lvl w:ilvl="0" w:tplc="52B0AD8C">
      <w:start w:val="44"/>
      <w:numFmt w:val="decimal"/>
      <w:lvlText w:val="%1"/>
      <w:lvlJc w:val="left"/>
      <w:pPr>
        <w:ind w:left="643" w:hanging="360"/>
      </w:pPr>
      <w:rPr>
        <w:rFonts w:hint="defaul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26" w15:restartNumberingAfterBreak="0">
    <w:nsid w:val="53454C1B"/>
    <w:multiLevelType w:val="hybridMultilevel"/>
    <w:tmpl w:val="F23A44A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5CF85977"/>
    <w:multiLevelType w:val="multilevel"/>
    <w:tmpl w:val="F73E97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60450C72"/>
    <w:multiLevelType w:val="hybridMultilevel"/>
    <w:tmpl w:val="697C1F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24D6D89"/>
    <w:multiLevelType w:val="multilevel"/>
    <w:tmpl w:val="F7B0B5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6409764B"/>
    <w:multiLevelType w:val="hybridMultilevel"/>
    <w:tmpl w:val="B388E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1724D1"/>
    <w:multiLevelType w:val="multilevel"/>
    <w:tmpl w:val="63E4A7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65874BD8"/>
    <w:multiLevelType w:val="multilevel"/>
    <w:tmpl w:val="E4BECF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66D72538"/>
    <w:multiLevelType w:val="multilevel"/>
    <w:tmpl w:val="097066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67323C28"/>
    <w:multiLevelType w:val="hybridMultilevel"/>
    <w:tmpl w:val="15B2B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1300A2"/>
    <w:multiLevelType w:val="multilevel"/>
    <w:tmpl w:val="E70AF6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6A6876CF"/>
    <w:multiLevelType w:val="multilevel"/>
    <w:tmpl w:val="72F6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021F05"/>
    <w:multiLevelType w:val="hybridMultilevel"/>
    <w:tmpl w:val="582638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0C926DB"/>
    <w:multiLevelType w:val="hybridMultilevel"/>
    <w:tmpl w:val="A98496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18129134">
    <w:abstractNumId w:val="8"/>
  </w:num>
  <w:num w:numId="2" w16cid:durableId="1420054781">
    <w:abstractNumId w:val="27"/>
  </w:num>
  <w:num w:numId="3" w16cid:durableId="801197137">
    <w:abstractNumId w:val="36"/>
  </w:num>
  <w:num w:numId="4" w16cid:durableId="1564633404">
    <w:abstractNumId w:val="35"/>
  </w:num>
  <w:num w:numId="5" w16cid:durableId="1709604208">
    <w:abstractNumId w:val="19"/>
  </w:num>
  <w:num w:numId="6" w16cid:durableId="167410458">
    <w:abstractNumId w:val="33"/>
  </w:num>
  <w:num w:numId="7" w16cid:durableId="1441101903">
    <w:abstractNumId w:val="17"/>
  </w:num>
  <w:num w:numId="8" w16cid:durableId="1395927239">
    <w:abstractNumId w:val="29"/>
  </w:num>
  <w:num w:numId="9" w16cid:durableId="1007441964">
    <w:abstractNumId w:val="21"/>
  </w:num>
  <w:num w:numId="10" w16cid:durableId="347409693">
    <w:abstractNumId w:val="32"/>
  </w:num>
  <w:num w:numId="11" w16cid:durableId="1672751685">
    <w:abstractNumId w:val="22"/>
  </w:num>
  <w:num w:numId="12" w16cid:durableId="1581670303">
    <w:abstractNumId w:val="12"/>
  </w:num>
  <w:num w:numId="13" w16cid:durableId="1536043998">
    <w:abstractNumId w:val="20"/>
  </w:num>
  <w:num w:numId="14" w16cid:durableId="1634868831">
    <w:abstractNumId w:val="24"/>
  </w:num>
  <w:num w:numId="15" w16cid:durableId="1563786249">
    <w:abstractNumId w:val="9"/>
  </w:num>
  <w:num w:numId="16" w16cid:durableId="60950676">
    <w:abstractNumId w:val="14"/>
  </w:num>
  <w:num w:numId="17" w16cid:durableId="1880850103">
    <w:abstractNumId w:val="31"/>
  </w:num>
  <w:num w:numId="18" w16cid:durableId="2088653824">
    <w:abstractNumId w:val="16"/>
  </w:num>
  <w:num w:numId="19" w16cid:durableId="1388409487">
    <w:abstractNumId w:val="13"/>
  </w:num>
  <w:num w:numId="20" w16cid:durableId="364866715">
    <w:abstractNumId w:val="26"/>
  </w:num>
  <w:num w:numId="21" w16cid:durableId="1938127362">
    <w:abstractNumId w:val="34"/>
  </w:num>
  <w:num w:numId="22" w16cid:durableId="1133983378">
    <w:abstractNumId w:val="30"/>
  </w:num>
  <w:num w:numId="23" w16cid:durableId="854534235">
    <w:abstractNumId w:val="4"/>
  </w:num>
  <w:num w:numId="24" w16cid:durableId="1391416068">
    <w:abstractNumId w:val="0"/>
  </w:num>
  <w:num w:numId="25" w16cid:durableId="1233732451">
    <w:abstractNumId w:val="38"/>
  </w:num>
  <w:num w:numId="26" w16cid:durableId="1113405602">
    <w:abstractNumId w:val="37"/>
  </w:num>
  <w:num w:numId="27" w16cid:durableId="2009015495">
    <w:abstractNumId w:val="6"/>
  </w:num>
  <w:num w:numId="28" w16cid:durableId="1936863410">
    <w:abstractNumId w:val="11"/>
  </w:num>
  <w:num w:numId="29" w16cid:durableId="1657536823">
    <w:abstractNumId w:val="3"/>
  </w:num>
  <w:num w:numId="30" w16cid:durableId="1723365950">
    <w:abstractNumId w:val="28"/>
  </w:num>
  <w:num w:numId="31" w16cid:durableId="1585989430">
    <w:abstractNumId w:val="5"/>
  </w:num>
  <w:num w:numId="32" w16cid:durableId="257057211">
    <w:abstractNumId w:val="18"/>
  </w:num>
  <w:num w:numId="33" w16cid:durableId="670258013">
    <w:abstractNumId w:val="2"/>
  </w:num>
  <w:num w:numId="34" w16cid:durableId="589119663">
    <w:abstractNumId w:val="23"/>
  </w:num>
  <w:num w:numId="35" w16cid:durableId="1234465163">
    <w:abstractNumId w:val="25"/>
  </w:num>
  <w:num w:numId="36" w16cid:durableId="1704624087">
    <w:abstractNumId w:val="7"/>
  </w:num>
  <w:num w:numId="37" w16cid:durableId="1692874286">
    <w:abstractNumId w:val="15"/>
  </w:num>
  <w:num w:numId="38" w16cid:durableId="676076221">
    <w:abstractNumId w:val="10"/>
  </w:num>
  <w:num w:numId="39" w16cid:durableId="1373731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E1"/>
    <w:rsid w:val="000051B2"/>
    <w:rsid w:val="0001798B"/>
    <w:rsid w:val="00024A08"/>
    <w:rsid w:val="00040000"/>
    <w:rsid w:val="00040629"/>
    <w:rsid w:val="000440E7"/>
    <w:rsid w:val="000451DB"/>
    <w:rsid w:val="000454CC"/>
    <w:rsid w:val="00045E1B"/>
    <w:rsid w:val="00051F45"/>
    <w:rsid w:val="0005237B"/>
    <w:rsid w:val="000563C5"/>
    <w:rsid w:val="000624E4"/>
    <w:rsid w:val="00065FB8"/>
    <w:rsid w:val="00066E9C"/>
    <w:rsid w:val="000675EE"/>
    <w:rsid w:val="00070FA3"/>
    <w:rsid w:val="00074206"/>
    <w:rsid w:val="00076CE5"/>
    <w:rsid w:val="0007738A"/>
    <w:rsid w:val="00080732"/>
    <w:rsid w:val="000812C1"/>
    <w:rsid w:val="000840A7"/>
    <w:rsid w:val="0008587F"/>
    <w:rsid w:val="0009538F"/>
    <w:rsid w:val="000970D6"/>
    <w:rsid w:val="000A2B6D"/>
    <w:rsid w:val="000A62B2"/>
    <w:rsid w:val="000A7200"/>
    <w:rsid w:val="000B0201"/>
    <w:rsid w:val="000B02D0"/>
    <w:rsid w:val="000B0AD9"/>
    <w:rsid w:val="000B0D25"/>
    <w:rsid w:val="000B4594"/>
    <w:rsid w:val="000C5BC7"/>
    <w:rsid w:val="000C652A"/>
    <w:rsid w:val="000C69D4"/>
    <w:rsid w:val="000C705D"/>
    <w:rsid w:val="000D52D6"/>
    <w:rsid w:val="000D5962"/>
    <w:rsid w:val="000E01B7"/>
    <w:rsid w:val="000E0EAA"/>
    <w:rsid w:val="000E2968"/>
    <w:rsid w:val="000E70C0"/>
    <w:rsid w:val="000F2244"/>
    <w:rsid w:val="000F3FE4"/>
    <w:rsid w:val="000F521E"/>
    <w:rsid w:val="000F65EF"/>
    <w:rsid w:val="000F66EE"/>
    <w:rsid w:val="000F7174"/>
    <w:rsid w:val="0010302D"/>
    <w:rsid w:val="00110FEE"/>
    <w:rsid w:val="00111DE6"/>
    <w:rsid w:val="00113DAB"/>
    <w:rsid w:val="00131B40"/>
    <w:rsid w:val="001402F9"/>
    <w:rsid w:val="00140338"/>
    <w:rsid w:val="0014082E"/>
    <w:rsid w:val="00141AA9"/>
    <w:rsid w:val="001423EB"/>
    <w:rsid w:val="00144BDB"/>
    <w:rsid w:val="00147876"/>
    <w:rsid w:val="00151CE3"/>
    <w:rsid w:val="00162DEA"/>
    <w:rsid w:val="0016699F"/>
    <w:rsid w:val="001669E8"/>
    <w:rsid w:val="001709D5"/>
    <w:rsid w:val="00170B7C"/>
    <w:rsid w:val="00172557"/>
    <w:rsid w:val="00174120"/>
    <w:rsid w:val="0018191A"/>
    <w:rsid w:val="00184156"/>
    <w:rsid w:val="001846BE"/>
    <w:rsid w:val="00185A31"/>
    <w:rsid w:val="001944E1"/>
    <w:rsid w:val="001A1CDC"/>
    <w:rsid w:val="001A7D70"/>
    <w:rsid w:val="001B005E"/>
    <w:rsid w:val="001B1291"/>
    <w:rsid w:val="001B2998"/>
    <w:rsid w:val="001B71D3"/>
    <w:rsid w:val="001B7EB8"/>
    <w:rsid w:val="001C2C01"/>
    <w:rsid w:val="001C4230"/>
    <w:rsid w:val="001C4E92"/>
    <w:rsid w:val="001C526D"/>
    <w:rsid w:val="001C59A0"/>
    <w:rsid w:val="001C7E04"/>
    <w:rsid w:val="001D40AC"/>
    <w:rsid w:val="001D4848"/>
    <w:rsid w:val="001D4F36"/>
    <w:rsid w:val="001D54DD"/>
    <w:rsid w:val="001D6B77"/>
    <w:rsid w:val="001E147F"/>
    <w:rsid w:val="001E2B44"/>
    <w:rsid w:val="001E4381"/>
    <w:rsid w:val="001E4496"/>
    <w:rsid w:val="001F15F4"/>
    <w:rsid w:val="001F2D37"/>
    <w:rsid w:val="002031F0"/>
    <w:rsid w:val="002035C4"/>
    <w:rsid w:val="002050C5"/>
    <w:rsid w:val="002066E0"/>
    <w:rsid w:val="00211B10"/>
    <w:rsid w:val="002131F8"/>
    <w:rsid w:val="00216354"/>
    <w:rsid w:val="0021687A"/>
    <w:rsid w:val="002239F1"/>
    <w:rsid w:val="002242E9"/>
    <w:rsid w:val="00226254"/>
    <w:rsid w:val="00226A6A"/>
    <w:rsid w:val="002271C2"/>
    <w:rsid w:val="00231124"/>
    <w:rsid w:val="00241FEA"/>
    <w:rsid w:val="00250C25"/>
    <w:rsid w:val="002561C9"/>
    <w:rsid w:val="00256AAC"/>
    <w:rsid w:val="00270B2F"/>
    <w:rsid w:val="0027270D"/>
    <w:rsid w:val="00273B91"/>
    <w:rsid w:val="00275165"/>
    <w:rsid w:val="00277E76"/>
    <w:rsid w:val="0028139F"/>
    <w:rsid w:val="002840EC"/>
    <w:rsid w:val="00284674"/>
    <w:rsid w:val="002864D1"/>
    <w:rsid w:val="00287675"/>
    <w:rsid w:val="00290B31"/>
    <w:rsid w:val="00290F19"/>
    <w:rsid w:val="002948B2"/>
    <w:rsid w:val="002950AA"/>
    <w:rsid w:val="002A09E9"/>
    <w:rsid w:val="002A1358"/>
    <w:rsid w:val="002A1FD0"/>
    <w:rsid w:val="002A2B7F"/>
    <w:rsid w:val="002A329E"/>
    <w:rsid w:val="002A3A91"/>
    <w:rsid w:val="002B08B1"/>
    <w:rsid w:val="002B18D6"/>
    <w:rsid w:val="002B6D5F"/>
    <w:rsid w:val="002B6F58"/>
    <w:rsid w:val="002C1162"/>
    <w:rsid w:val="002C664C"/>
    <w:rsid w:val="002D4234"/>
    <w:rsid w:val="002D56FE"/>
    <w:rsid w:val="002D5E7D"/>
    <w:rsid w:val="002D696B"/>
    <w:rsid w:val="002D7F48"/>
    <w:rsid w:val="002E615F"/>
    <w:rsid w:val="002E6335"/>
    <w:rsid w:val="002E6B0D"/>
    <w:rsid w:val="002F142C"/>
    <w:rsid w:val="002F1E34"/>
    <w:rsid w:val="002F27BA"/>
    <w:rsid w:val="002F3B65"/>
    <w:rsid w:val="002F710F"/>
    <w:rsid w:val="00300889"/>
    <w:rsid w:val="003033E1"/>
    <w:rsid w:val="00303EE8"/>
    <w:rsid w:val="003101AD"/>
    <w:rsid w:val="003114ED"/>
    <w:rsid w:val="003142F8"/>
    <w:rsid w:val="00317999"/>
    <w:rsid w:val="003206A7"/>
    <w:rsid w:val="00321713"/>
    <w:rsid w:val="00325EBE"/>
    <w:rsid w:val="00331FDF"/>
    <w:rsid w:val="00332E0B"/>
    <w:rsid w:val="00335FAE"/>
    <w:rsid w:val="0033647F"/>
    <w:rsid w:val="00336E3D"/>
    <w:rsid w:val="00342F47"/>
    <w:rsid w:val="003542F6"/>
    <w:rsid w:val="003611D7"/>
    <w:rsid w:val="003615D5"/>
    <w:rsid w:val="00362290"/>
    <w:rsid w:val="00362AAD"/>
    <w:rsid w:val="0036385D"/>
    <w:rsid w:val="00363F4D"/>
    <w:rsid w:val="00365D35"/>
    <w:rsid w:val="00366AB2"/>
    <w:rsid w:val="00377748"/>
    <w:rsid w:val="00377C8E"/>
    <w:rsid w:val="00383C4C"/>
    <w:rsid w:val="00384F9A"/>
    <w:rsid w:val="003872B0"/>
    <w:rsid w:val="00390094"/>
    <w:rsid w:val="003908DF"/>
    <w:rsid w:val="0039501B"/>
    <w:rsid w:val="0039722F"/>
    <w:rsid w:val="003A0C12"/>
    <w:rsid w:val="003A0C2C"/>
    <w:rsid w:val="003A4EBF"/>
    <w:rsid w:val="003A544A"/>
    <w:rsid w:val="003A76D1"/>
    <w:rsid w:val="003A7A74"/>
    <w:rsid w:val="003B174D"/>
    <w:rsid w:val="003B1819"/>
    <w:rsid w:val="003B43CB"/>
    <w:rsid w:val="003B73E1"/>
    <w:rsid w:val="003C1D40"/>
    <w:rsid w:val="003C2EA5"/>
    <w:rsid w:val="003C4B3B"/>
    <w:rsid w:val="003D285F"/>
    <w:rsid w:val="003D3485"/>
    <w:rsid w:val="003E1BB9"/>
    <w:rsid w:val="003E5188"/>
    <w:rsid w:val="003E6BC6"/>
    <w:rsid w:val="003F0A55"/>
    <w:rsid w:val="003F1A65"/>
    <w:rsid w:val="003F2033"/>
    <w:rsid w:val="003F3D78"/>
    <w:rsid w:val="003F4C68"/>
    <w:rsid w:val="003F54EE"/>
    <w:rsid w:val="00401A94"/>
    <w:rsid w:val="00401E7D"/>
    <w:rsid w:val="00407FBB"/>
    <w:rsid w:val="00411DBD"/>
    <w:rsid w:val="00413DA4"/>
    <w:rsid w:val="00413FBD"/>
    <w:rsid w:val="00416BEE"/>
    <w:rsid w:val="0042151A"/>
    <w:rsid w:val="004226EE"/>
    <w:rsid w:val="00423F6F"/>
    <w:rsid w:val="00424281"/>
    <w:rsid w:val="00431000"/>
    <w:rsid w:val="0043129B"/>
    <w:rsid w:val="0043246D"/>
    <w:rsid w:val="004444F1"/>
    <w:rsid w:val="00447495"/>
    <w:rsid w:val="0044774B"/>
    <w:rsid w:val="00451369"/>
    <w:rsid w:val="00451E4E"/>
    <w:rsid w:val="00452A49"/>
    <w:rsid w:val="00453ACF"/>
    <w:rsid w:val="0045592F"/>
    <w:rsid w:val="00456E81"/>
    <w:rsid w:val="0046518A"/>
    <w:rsid w:val="0046660D"/>
    <w:rsid w:val="004746EC"/>
    <w:rsid w:val="00485263"/>
    <w:rsid w:val="00492889"/>
    <w:rsid w:val="00492B01"/>
    <w:rsid w:val="00494A91"/>
    <w:rsid w:val="00494C9B"/>
    <w:rsid w:val="004979D9"/>
    <w:rsid w:val="004A2CE2"/>
    <w:rsid w:val="004A308E"/>
    <w:rsid w:val="004B46B0"/>
    <w:rsid w:val="004C02E7"/>
    <w:rsid w:val="004C1464"/>
    <w:rsid w:val="004C5C44"/>
    <w:rsid w:val="004D0A91"/>
    <w:rsid w:val="004D1700"/>
    <w:rsid w:val="004D3B3B"/>
    <w:rsid w:val="004D44E1"/>
    <w:rsid w:val="004E022A"/>
    <w:rsid w:val="004E0EE8"/>
    <w:rsid w:val="004E7482"/>
    <w:rsid w:val="004E7D77"/>
    <w:rsid w:val="004F0709"/>
    <w:rsid w:val="004F248C"/>
    <w:rsid w:val="004F3739"/>
    <w:rsid w:val="004F5824"/>
    <w:rsid w:val="004F5BA8"/>
    <w:rsid w:val="00501703"/>
    <w:rsid w:val="00505C43"/>
    <w:rsid w:val="0051038A"/>
    <w:rsid w:val="00510C06"/>
    <w:rsid w:val="00511B92"/>
    <w:rsid w:val="00512B62"/>
    <w:rsid w:val="00513F07"/>
    <w:rsid w:val="005147AD"/>
    <w:rsid w:val="005149A3"/>
    <w:rsid w:val="0053045F"/>
    <w:rsid w:val="005306C5"/>
    <w:rsid w:val="005318AB"/>
    <w:rsid w:val="00531C7E"/>
    <w:rsid w:val="005338D4"/>
    <w:rsid w:val="0053542A"/>
    <w:rsid w:val="00536322"/>
    <w:rsid w:val="005422B9"/>
    <w:rsid w:val="00543182"/>
    <w:rsid w:val="00545057"/>
    <w:rsid w:val="0054641C"/>
    <w:rsid w:val="005578BF"/>
    <w:rsid w:val="00565591"/>
    <w:rsid w:val="005660FE"/>
    <w:rsid w:val="00571735"/>
    <w:rsid w:val="00573013"/>
    <w:rsid w:val="00573692"/>
    <w:rsid w:val="00574B58"/>
    <w:rsid w:val="00576DCB"/>
    <w:rsid w:val="005770B4"/>
    <w:rsid w:val="0058120F"/>
    <w:rsid w:val="00584A74"/>
    <w:rsid w:val="005858BB"/>
    <w:rsid w:val="00586AF8"/>
    <w:rsid w:val="0059016E"/>
    <w:rsid w:val="005910DC"/>
    <w:rsid w:val="00592B8F"/>
    <w:rsid w:val="005970C4"/>
    <w:rsid w:val="005A08FC"/>
    <w:rsid w:val="005A1223"/>
    <w:rsid w:val="005A2827"/>
    <w:rsid w:val="005A3EAB"/>
    <w:rsid w:val="005A5043"/>
    <w:rsid w:val="005A54DB"/>
    <w:rsid w:val="005A5914"/>
    <w:rsid w:val="005B1B06"/>
    <w:rsid w:val="005B61BF"/>
    <w:rsid w:val="005B6638"/>
    <w:rsid w:val="005B6B0A"/>
    <w:rsid w:val="005C734E"/>
    <w:rsid w:val="005D05D8"/>
    <w:rsid w:val="005D0D19"/>
    <w:rsid w:val="005D2DBE"/>
    <w:rsid w:val="005D3BEB"/>
    <w:rsid w:val="005D5316"/>
    <w:rsid w:val="005D5745"/>
    <w:rsid w:val="005D7E9B"/>
    <w:rsid w:val="005E3474"/>
    <w:rsid w:val="005E3D7A"/>
    <w:rsid w:val="005E5968"/>
    <w:rsid w:val="005E6432"/>
    <w:rsid w:val="005E71B7"/>
    <w:rsid w:val="0060223B"/>
    <w:rsid w:val="00602B06"/>
    <w:rsid w:val="006068F1"/>
    <w:rsid w:val="00611386"/>
    <w:rsid w:val="00612C0D"/>
    <w:rsid w:val="0061491F"/>
    <w:rsid w:val="00620450"/>
    <w:rsid w:val="0062076D"/>
    <w:rsid w:val="00622A6A"/>
    <w:rsid w:val="006257A9"/>
    <w:rsid w:val="00627F3D"/>
    <w:rsid w:val="00634673"/>
    <w:rsid w:val="00635A2A"/>
    <w:rsid w:val="00641EF4"/>
    <w:rsid w:val="00650892"/>
    <w:rsid w:val="00652725"/>
    <w:rsid w:val="00657DE6"/>
    <w:rsid w:val="00657F49"/>
    <w:rsid w:val="00662305"/>
    <w:rsid w:val="00664837"/>
    <w:rsid w:val="006676E5"/>
    <w:rsid w:val="0067673E"/>
    <w:rsid w:val="0067747E"/>
    <w:rsid w:val="0067785B"/>
    <w:rsid w:val="00683CD0"/>
    <w:rsid w:val="00684DB0"/>
    <w:rsid w:val="0068716D"/>
    <w:rsid w:val="00687F5B"/>
    <w:rsid w:val="00691079"/>
    <w:rsid w:val="006912AB"/>
    <w:rsid w:val="00692C47"/>
    <w:rsid w:val="0069618E"/>
    <w:rsid w:val="006A7701"/>
    <w:rsid w:val="006B1C3D"/>
    <w:rsid w:val="006C57A8"/>
    <w:rsid w:val="006C5BC3"/>
    <w:rsid w:val="006C7061"/>
    <w:rsid w:val="006D33EA"/>
    <w:rsid w:val="006E03C4"/>
    <w:rsid w:val="006E0A62"/>
    <w:rsid w:val="006E6E6A"/>
    <w:rsid w:val="006E735E"/>
    <w:rsid w:val="006F0DFF"/>
    <w:rsid w:val="006F2638"/>
    <w:rsid w:val="006F4EC7"/>
    <w:rsid w:val="006F74C1"/>
    <w:rsid w:val="006F7A21"/>
    <w:rsid w:val="007003EC"/>
    <w:rsid w:val="007013F2"/>
    <w:rsid w:val="0070206A"/>
    <w:rsid w:val="00702DDD"/>
    <w:rsid w:val="0071021E"/>
    <w:rsid w:val="00710E78"/>
    <w:rsid w:val="007137E6"/>
    <w:rsid w:val="00713BBF"/>
    <w:rsid w:val="007147AE"/>
    <w:rsid w:val="00714F01"/>
    <w:rsid w:val="007279DC"/>
    <w:rsid w:val="00731634"/>
    <w:rsid w:val="00731B91"/>
    <w:rsid w:val="00733CD2"/>
    <w:rsid w:val="007342B3"/>
    <w:rsid w:val="007349CD"/>
    <w:rsid w:val="00740235"/>
    <w:rsid w:val="007404E4"/>
    <w:rsid w:val="00741EB5"/>
    <w:rsid w:val="007426DA"/>
    <w:rsid w:val="00747C94"/>
    <w:rsid w:val="00750048"/>
    <w:rsid w:val="007506B7"/>
    <w:rsid w:val="007530FF"/>
    <w:rsid w:val="0075427D"/>
    <w:rsid w:val="00760FC7"/>
    <w:rsid w:val="00767C96"/>
    <w:rsid w:val="0077106F"/>
    <w:rsid w:val="007718CB"/>
    <w:rsid w:val="007719B7"/>
    <w:rsid w:val="00772C0B"/>
    <w:rsid w:val="0077495C"/>
    <w:rsid w:val="00776BD1"/>
    <w:rsid w:val="0078270B"/>
    <w:rsid w:val="00783540"/>
    <w:rsid w:val="00784ADE"/>
    <w:rsid w:val="00786490"/>
    <w:rsid w:val="007864F9"/>
    <w:rsid w:val="00787199"/>
    <w:rsid w:val="007873A6"/>
    <w:rsid w:val="007921EC"/>
    <w:rsid w:val="007928AF"/>
    <w:rsid w:val="007945B2"/>
    <w:rsid w:val="007A2877"/>
    <w:rsid w:val="007A2C9E"/>
    <w:rsid w:val="007A4003"/>
    <w:rsid w:val="007A5671"/>
    <w:rsid w:val="007A5D92"/>
    <w:rsid w:val="007B3D73"/>
    <w:rsid w:val="007B3E19"/>
    <w:rsid w:val="007B5883"/>
    <w:rsid w:val="007C0A4E"/>
    <w:rsid w:val="007C4C47"/>
    <w:rsid w:val="007D452F"/>
    <w:rsid w:val="007D5718"/>
    <w:rsid w:val="007E0964"/>
    <w:rsid w:val="007E351D"/>
    <w:rsid w:val="007E3AD5"/>
    <w:rsid w:val="007E3CE1"/>
    <w:rsid w:val="007E57D6"/>
    <w:rsid w:val="007F1E4D"/>
    <w:rsid w:val="007F43A7"/>
    <w:rsid w:val="007F6811"/>
    <w:rsid w:val="0080058E"/>
    <w:rsid w:val="008007D5"/>
    <w:rsid w:val="008019F2"/>
    <w:rsid w:val="0080545D"/>
    <w:rsid w:val="008121C0"/>
    <w:rsid w:val="00831A12"/>
    <w:rsid w:val="0083518A"/>
    <w:rsid w:val="00835FB2"/>
    <w:rsid w:val="008401C1"/>
    <w:rsid w:val="00845B74"/>
    <w:rsid w:val="0085057A"/>
    <w:rsid w:val="008556DD"/>
    <w:rsid w:val="00855BA5"/>
    <w:rsid w:val="00861B8A"/>
    <w:rsid w:val="008669D0"/>
    <w:rsid w:val="00867DBC"/>
    <w:rsid w:val="008722EB"/>
    <w:rsid w:val="008745D2"/>
    <w:rsid w:val="00875B10"/>
    <w:rsid w:val="00877013"/>
    <w:rsid w:val="0087772E"/>
    <w:rsid w:val="00880B34"/>
    <w:rsid w:val="00885118"/>
    <w:rsid w:val="008877E8"/>
    <w:rsid w:val="008908D1"/>
    <w:rsid w:val="00891201"/>
    <w:rsid w:val="00891845"/>
    <w:rsid w:val="008941BF"/>
    <w:rsid w:val="00897A33"/>
    <w:rsid w:val="00897C53"/>
    <w:rsid w:val="008A5C5F"/>
    <w:rsid w:val="008A611A"/>
    <w:rsid w:val="008B2EF0"/>
    <w:rsid w:val="008B61E3"/>
    <w:rsid w:val="008B78F9"/>
    <w:rsid w:val="008C1872"/>
    <w:rsid w:val="008C196F"/>
    <w:rsid w:val="008C6675"/>
    <w:rsid w:val="008C78CB"/>
    <w:rsid w:val="008D2C38"/>
    <w:rsid w:val="008D3E61"/>
    <w:rsid w:val="008D74E1"/>
    <w:rsid w:val="008E6892"/>
    <w:rsid w:val="008E68FE"/>
    <w:rsid w:val="008F42D7"/>
    <w:rsid w:val="008F7E56"/>
    <w:rsid w:val="00900CCB"/>
    <w:rsid w:val="009077CA"/>
    <w:rsid w:val="00920BC8"/>
    <w:rsid w:val="0092385C"/>
    <w:rsid w:val="00927117"/>
    <w:rsid w:val="00944ED3"/>
    <w:rsid w:val="00954301"/>
    <w:rsid w:val="0096219A"/>
    <w:rsid w:val="00963F4D"/>
    <w:rsid w:val="00964D1D"/>
    <w:rsid w:val="00965098"/>
    <w:rsid w:val="00972672"/>
    <w:rsid w:val="009738D6"/>
    <w:rsid w:val="00985E99"/>
    <w:rsid w:val="00990B78"/>
    <w:rsid w:val="009944DF"/>
    <w:rsid w:val="00995CD0"/>
    <w:rsid w:val="00997F2F"/>
    <w:rsid w:val="009A1414"/>
    <w:rsid w:val="009A3B4B"/>
    <w:rsid w:val="009A3ECB"/>
    <w:rsid w:val="009A7635"/>
    <w:rsid w:val="009A7696"/>
    <w:rsid w:val="009C6A2A"/>
    <w:rsid w:val="009D373B"/>
    <w:rsid w:val="009D68DD"/>
    <w:rsid w:val="009E002C"/>
    <w:rsid w:val="009E011C"/>
    <w:rsid w:val="009E0E35"/>
    <w:rsid w:val="009E371B"/>
    <w:rsid w:val="009E6C34"/>
    <w:rsid w:val="009F036E"/>
    <w:rsid w:val="009F286D"/>
    <w:rsid w:val="00A00240"/>
    <w:rsid w:val="00A03064"/>
    <w:rsid w:val="00A06818"/>
    <w:rsid w:val="00A073ED"/>
    <w:rsid w:val="00A1200A"/>
    <w:rsid w:val="00A15A68"/>
    <w:rsid w:val="00A2011C"/>
    <w:rsid w:val="00A214E6"/>
    <w:rsid w:val="00A25EEB"/>
    <w:rsid w:val="00A25EFF"/>
    <w:rsid w:val="00A25F43"/>
    <w:rsid w:val="00A269AB"/>
    <w:rsid w:val="00A32AD0"/>
    <w:rsid w:val="00A3370F"/>
    <w:rsid w:val="00A37535"/>
    <w:rsid w:val="00A42540"/>
    <w:rsid w:val="00A43000"/>
    <w:rsid w:val="00A4463E"/>
    <w:rsid w:val="00A46FB0"/>
    <w:rsid w:val="00A53566"/>
    <w:rsid w:val="00A63C86"/>
    <w:rsid w:val="00A64ADE"/>
    <w:rsid w:val="00A651C3"/>
    <w:rsid w:val="00A72F35"/>
    <w:rsid w:val="00A74CE4"/>
    <w:rsid w:val="00A75A9B"/>
    <w:rsid w:val="00A77B2C"/>
    <w:rsid w:val="00A82C8C"/>
    <w:rsid w:val="00A84494"/>
    <w:rsid w:val="00A848D6"/>
    <w:rsid w:val="00A86BF2"/>
    <w:rsid w:val="00A86C5A"/>
    <w:rsid w:val="00A90758"/>
    <w:rsid w:val="00A91627"/>
    <w:rsid w:val="00A92AC2"/>
    <w:rsid w:val="00A954B8"/>
    <w:rsid w:val="00A979BA"/>
    <w:rsid w:val="00AA1104"/>
    <w:rsid w:val="00AA2048"/>
    <w:rsid w:val="00AA2C27"/>
    <w:rsid w:val="00AA7790"/>
    <w:rsid w:val="00AB2634"/>
    <w:rsid w:val="00AB3317"/>
    <w:rsid w:val="00AC16F4"/>
    <w:rsid w:val="00AC4A9B"/>
    <w:rsid w:val="00AC5059"/>
    <w:rsid w:val="00AD2508"/>
    <w:rsid w:val="00AD2A94"/>
    <w:rsid w:val="00AD3AAA"/>
    <w:rsid w:val="00AE529A"/>
    <w:rsid w:val="00AE7EA0"/>
    <w:rsid w:val="00AF0171"/>
    <w:rsid w:val="00AF61CE"/>
    <w:rsid w:val="00AF7E06"/>
    <w:rsid w:val="00B01B23"/>
    <w:rsid w:val="00B07CA8"/>
    <w:rsid w:val="00B109DA"/>
    <w:rsid w:val="00B10B32"/>
    <w:rsid w:val="00B10D01"/>
    <w:rsid w:val="00B119C5"/>
    <w:rsid w:val="00B126D5"/>
    <w:rsid w:val="00B14548"/>
    <w:rsid w:val="00B16816"/>
    <w:rsid w:val="00B22209"/>
    <w:rsid w:val="00B22D3C"/>
    <w:rsid w:val="00B23445"/>
    <w:rsid w:val="00B237AB"/>
    <w:rsid w:val="00B32516"/>
    <w:rsid w:val="00B3525C"/>
    <w:rsid w:val="00B367FE"/>
    <w:rsid w:val="00B42B6C"/>
    <w:rsid w:val="00B42F20"/>
    <w:rsid w:val="00B456A8"/>
    <w:rsid w:val="00B51EA2"/>
    <w:rsid w:val="00B53FA0"/>
    <w:rsid w:val="00B54C94"/>
    <w:rsid w:val="00B55FF7"/>
    <w:rsid w:val="00B562FC"/>
    <w:rsid w:val="00B57FD2"/>
    <w:rsid w:val="00B6062B"/>
    <w:rsid w:val="00B6129B"/>
    <w:rsid w:val="00B632D4"/>
    <w:rsid w:val="00B63E02"/>
    <w:rsid w:val="00B640EB"/>
    <w:rsid w:val="00B657A9"/>
    <w:rsid w:val="00B66378"/>
    <w:rsid w:val="00B72630"/>
    <w:rsid w:val="00B73581"/>
    <w:rsid w:val="00B76243"/>
    <w:rsid w:val="00B777AE"/>
    <w:rsid w:val="00B81A05"/>
    <w:rsid w:val="00B81C4A"/>
    <w:rsid w:val="00B8247F"/>
    <w:rsid w:val="00B852A4"/>
    <w:rsid w:val="00B930C9"/>
    <w:rsid w:val="00B93C5F"/>
    <w:rsid w:val="00B955E3"/>
    <w:rsid w:val="00B96903"/>
    <w:rsid w:val="00BA1128"/>
    <w:rsid w:val="00BA4AC7"/>
    <w:rsid w:val="00BA7962"/>
    <w:rsid w:val="00BB0DD1"/>
    <w:rsid w:val="00BB124B"/>
    <w:rsid w:val="00BB260A"/>
    <w:rsid w:val="00BB5779"/>
    <w:rsid w:val="00BB6A3F"/>
    <w:rsid w:val="00BC0C7D"/>
    <w:rsid w:val="00BC57E6"/>
    <w:rsid w:val="00BC7F62"/>
    <w:rsid w:val="00BE0A1E"/>
    <w:rsid w:val="00BE15BD"/>
    <w:rsid w:val="00BE2F1B"/>
    <w:rsid w:val="00BE4148"/>
    <w:rsid w:val="00BE7E23"/>
    <w:rsid w:val="00BF252C"/>
    <w:rsid w:val="00BF2E1F"/>
    <w:rsid w:val="00BF7C60"/>
    <w:rsid w:val="00C04384"/>
    <w:rsid w:val="00C14931"/>
    <w:rsid w:val="00C150FE"/>
    <w:rsid w:val="00C1696B"/>
    <w:rsid w:val="00C22552"/>
    <w:rsid w:val="00C24859"/>
    <w:rsid w:val="00C26040"/>
    <w:rsid w:val="00C334FC"/>
    <w:rsid w:val="00C40096"/>
    <w:rsid w:val="00C44D0D"/>
    <w:rsid w:val="00C4662B"/>
    <w:rsid w:val="00C5251A"/>
    <w:rsid w:val="00C541DA"/>
    <w:rsid w:val="00C6466B"/>
    <w:rsid w:val="00C655D2"/>
    <w:rsid w:val="00C66120"/>
    <w:rsid w:val="00C700CA"/>
    <w:rsid w:val="00C70818"/>
    <w:rsid w:val="00C71BF0"/>
    <w:rsid w:val="00C72740"/>
    <w:rsid w:val="00C73640"/>
    <w:rsid w:val="00C90946"/>
    <w:rsid w:val="00C932C4"/>
    <w:rsid w:val="00C962A7"/>
    <w:rsid w:val="00C97AA9"/>
    <w:rsid w:val="00CA0C5A"/>
    <w:rsid w:val="00CA2A11"/>
    <w:rsid w:val="00CA493B"/>
    <w:rsid w:val="00CA662E"/>
    <w:rsid w:val="00CA7F19"/>
    <w:rsid w:val="00CB19BB"/>
    <w:rsid w:val="00CB2529"/>
    <w:rsid w:val="00CB772D"/>
    <w:rsid w:val="00CC02DE"/>
    <w:rsid w:val="00CC4909"/>
    <w:rsid w:val="00CD0B08"/>
    <w:rsid w:val="00CD35C6"/>
    <w:rsid w:val="00CE60DE"/>
    <w:rsid w:val="00CF3B99"/>
    <w:rsid w:val="00CF7623"/>
    <w:rsid w:val="00D02157"/>
    <w:rsid w:val="00D027CA"/>
    <w:rsid w:val="00D04D52"/>
    <w:rsid w:val="00D04E3F"/>
    <w:rsid w:val="00D04FA3"/>
    <w:rsid w:val="00D055A6"/>
    <w:rsid w:val="00D073B5"/>
    <w:rsid w:val="00D1440A"/>
    <w:rsid w:val="00D14E7D"/>
    <w:rsid w:val="00D1629D"/>
    <w:rsid w:val="00D1750F"/>
    <w:rsid w:val="00D2246C"/>
    <w:rsid w:val="00D26A06"/>
    <w:rsid w:val="00D33C23"/>
    <w:rsid w:val="00D33CE3"/>
    <w:rsid w:val="00D34010"/>
    <w:rsid w:val="00D34FB1"/>
    <w:rsid w:val="00D37AE7"/>
    <w:rsid w:val="00D42818"/>
    <w:rsid w:val="00D45B19"/>
    <w:rsid w:val="00D52025"/>
    <w:rsid w:val="00D5632D"/>
    <w:rsid w:val="00D570AD"/>
    <w:rsid w:val="00D60044"/>
    <w:rsid w:val="00D614F9"/>
    <w:rsid w:val="00D63ACA"/>
    <w:rsid w:val="00D65FAD"/>
    <w:rsid w:val="00D776D8"/>
    <w:rsid w:val="00D86B07"/>
    <w:rsid w:val="00D9263A"/>
    <w:rsid w:val="00D931F9"/>
    <w:rsid w:val="00D965E1"/>
    <w:rsid w:val="00DA25C8"/>
    <w:rsid w:val="00DA3E0F"/>
    <w:rsid w:val="00DA44F3"/>
    <w:rsid w:val="00DA50BC"/>
    <w:rsid w:val="00DA79F5"/>
    <w:rsid w:val="00DB21CA"/>
    <w:rsid w:val="00DB714E"/>
    <w:rsid w:val="00DC511D"/>
    <w:rsid w:val="00DC5275"/>
    <w:rsid w:val="00DC52FD"/>
    <w:rsid w:val="00DC55F1"/>
    <w:rsid w:val="00DC7307"/>
    <w:rsid w:val="00DD1F31"/>
    <w:rsid w:val="00DD4B12"/>
    <w:rsid w:val="00DE104F"/>
    <w:rsid w:val="00DE1AD9"/>
    <w:rsid w:val="00DE2D0F"/>
    <w:rsid w:val="00DE3BF5"/>
    <w:rsid w:val="00DE554D"/>
    <w:rsid w:val="00DE69F8"/>
    <w:rsid w:val="00DF4212"/>
    <w:rsid w:val="00DF6B87"/>
    <w:rsid w:val="00E0305B"/>
    <w:rsid w:val="00E04A55"/>
    <w:rsid w:val="00E04FAD"/>
    <w:rsid w:val="00E065E2"/>
    <w:rsid w:val="00E1479A"/>
    <w:rsid w:val="00E14FFC"/>
    <w:rsid w:val="00E159B5"/>
    <w:rsid w:val="00E1641D"/>
    <w:rsid w:val="00E17114"/>
    <w:rsid w:val="00E1716F"/>
    <w:rsid w:val="00E20027"/>
    <w:rsid w:val="00E23933"/>
    <w:rsid w:val="00E33988"/>
    <w:rsid w:val="00E3497B"/>
    <w:rsid w:val="00E3498B"/>
    <w:rsid w:val="00E35DDD"/>
    <w:rsid w:val="00E45484"/>
    <w:rsid w:val="00E46530"/>
    <w:rsid w:val="00E520A8"/>
    <w:rsid w:val="00E52A0A"/>
    <w:rsid w:val="00E56A29"/>
    <w:rsid w:val="00E62B23"/>
    <w:rsid w:val="00E666AF"/>
    <w:rsid w:val="00E66981"/>
    <w:rsid w:val="00E7315F"/>
    <w:rsid w:val="00E73DE5"/>
    <w:rsid w:val="00E804DD"/>
    <w:rsid w:val="00E81593"/>
    <w:rsid w:val="00E82B12"/>
    <w:rsid w:val="00E83B88"/>
    <w:rsid w:val="00E85959"/>
    <w:rsid w:val="00E879A4"/>
    <w:rsid w:val="00E87F5A"/>
    <w:rsid w:val="00E90CE6"/>
    <w:rsid w:val="00E95AE7"/>
    <w:rsid w:val="00EA1D44"/>
    <w:rsid w:val="00EA3A14"/>
    <w:rsid w:val="00EA3AD5"/>
    <w:rsid w:val="00EA7771"/>
    <w:rsid w:val="00EB251A"/>
    <w:rsid w:val="00EB31C6"/>
    <w:rsid w:val="00EB572D"/>
    <w:rsid w:val="00EC0788"/>
    <w:rsid w:val="00EC1EFD"/>
    <w:rsid w:val="00EC2557"/>
    <w:rsid w:val="00EC2E40"/>
    <w:rsid w:val="00ED00C5"/>
    <w:rsid w:val="00ED0270"/>
    <w:rsid w:val="00ED3FC9"/>
    <w:rsid w:val="00ED5FDC"/>
    <w:rsid w:val="00ED767B"/>
    <w:rsid w:val="00EE7B0C"/>
    <w:rsid w:val="00EF420E"/>
    <w:rsid w:val="00EF69AA"/>
    <w:rsid w:val="00EF771F"/>
    <w:rsid w:val="00F0400F"/>
    <w:rsid w:val="00F05F23"/>
    <w:rsid w:val="00F06EE7"/>
    <w:rsid w:val="00F073F3"/>
    <w:rsid w:val="00F079B0"/>
    <w:rsid w:val="00F12543"/>
    <w:rsid w:val="00F16274"/>
    <w:rsid w:val="00F162CC"/>
    <w:rsid w:val="00F20644"/>
    <w:rsid w:val="00F24B13"/>
    <w:rsid w:val="00F26B96"/>
    <w:rsid w:val="00F26C26"/>
    <w:rsid w:val="00F27F27"/>
    <w:rsid w:val="00F34C43"/>
    <w:rsid w:val="00F35822"/>
    <w:rsid w:val="00F379D6"/>
    <w:rsid w:val="00F42B42"/>
    <w:rsid w:val="00F4378F"/>
    <w:rsid w:val="00F44625"/>
    <w:rsid w:val="00F51FCE"/>
    <w:rsid w:val="00F619C7"/>
    <w:rsid w:val="00F61A55"/>
    <w:rsid w:val="00F64522"/>
    <w:rsid w:val="00F6662E"/>
    <w:rsid w:val="00F667EF"/>
    <w:rsid w:val="00F67669"/>
    <w:rsid w:val="00F67D0A"/>
    <w:rsid w:val="00F72D3E"/>
    <w:rsid w:val="00F72DCE"/>
    <w:rsid w:val="00F74548"/>
    <w:rsid w:val="00F75E0A"/>
    <w:rsid w:val="00F77CFD"/>
    <w:rsid w:val="00F80473"/>
    <w:rsid w:val="00F80AA3"/>
    <w:rsid w:val="00F81557"/>
    <w:rsid w:val="00F8352B"/>
    <w:rsid w:val="00F853C7"/>
    <w:rsid w:val="00F861C7"/>
    <w:rsid w:val="00F87CBB"/>
    <w:rsid w:val="00F90E05"/>
    <w:rsid w:val="00F918D0"/>
    <w:rsid w:val="00FA1456"/>
    <w:rsid w:val="00FA2427"/>
    <w:rsid w:val="00FA3850"/>
    <w:rsid w:val="00FB0FFC"/>
    <w:rsid w:val="00FB3116"/>
    <w:rsid w:val="00FB4E07"/>
    <w:rsid w:val="00FC0DB1"/>
    <w:rsid w:val="00FC16DD"/>
    <w:rsid w:val="00FC24FE"/>
    <w:rsid w:val="00FC282B"/>
    <w:rsid w:val="00FC2E12"/>
    <w:rsid w:val="00FC3875"/>
    <w:rsid w:val="00FC6589"/>
    <w:rsid w:val="00FD4B91"/>
    <w:rsid w:val="00FE311C"/>
    <w:rsid w:val="00FE4B71"/>
    <w:rsid w:val="00FE4C22"/>
    <w:rsid w:val="00FE51EC"/>
    <w:rsid w:val="00FE6378"/>
    <w:rsid w:val="00FE7C52"/>
    <w:rsid w:val="00FF20EC"/>
    <w:rsid w:val="00FF2B8D"/>
    <w:rsid w:val="00FF3884"/>
    <w:rsid w:val="00FF57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A0015"/>
  <w15:chartTrackingRefBased/>
  <w15:docId w15:val="{546EBA2E-E7F1-4E1E-B2E5-D6532B15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AC7"/>
  </w:style>
  <w:style w:type="paragraph" w:styleId="Heading1">
    <w:name w:val="heading 1"/>
    <w:basedOn w:val="Normal"/>
    <w:next w:val="Normal"/>
    <w:link w:val="Heading1Char"/>
    <w:uiPriority w:val="9"/>
    <w:qFormat/>
    <w:rsid w:val="007E3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3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C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C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C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C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C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C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C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3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CE1"/>
    <w:rPr>
      <w:rFonts w:eastAsiaTheme="majorEastAsia" w:cstheme="majorBidi"/>
      <w:color w:val="272727" w:themeColor="text1" w:themeTint="D8"/>
    </w:rPr>
  </w:style>
  <w:style w:type="paragraph" w:styleId="Title">
    <w:name w:val="Title"/>
    <w:basedOn w:val="Normal"/>
    <w:next w:val="Normal"/>
    <w:link w:val="TitleChar"/>
    <w:uiPriority w:val="10"/>
    <w:qFormat/>
    <w:rsid w:val="007E3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C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CE1"/>
    <w:pPr>
      <w:spacing w:before="160"/>
      <w:jc w:val="center"/>
    </w:pPr>
    <w:rPr>
      <w:i/>
      <w:iCs/>
      <w:color w:val="404040" w:themeColor="text1" w:themeTint="BF"/>
    </w:rPr>
  </w:style>
  <w:style w:type="character" w:customStyle="1" w:styleId="QuoteChar">
    <w:name w:val="Quote Char"/>
    <w:basedOn w:val="DefaultParagraphFont"/>
    <w:link w:val="Quote"/>
    <w:uiPriority w:val="29"/>
    <w:rsid w:val="007E3CE1"/>
    <w:rPr>
      <w:i/>
      <w:iCs/>
      <w:color w:val="404040" w:themeColor="text1" w:themeTint="BF"/>
    </w:rPr>
  </w:style>
  <w:style w:type="paragraph" w:styleId="ListParagraph">
    <w:name w:val="List Paragraph"/>
    <w:basedOn w:val="Normal"/>
    <w:uiPriority w:val="34"/>
    <w:qFormat/>
    <w:rsid w:val="007E3CE1"/>
    <w:pPr>
      <w:ind w:left="720"/>
      <w:contextualSpacing/>
    </w:pPr>
  </w:style>
  <w:style w:type="character" w:styleId="IntenseEmphasis">
    <w:name w:val="Intense Emphasis"/>
    <w:basedOn w:val="DefaultParagraphFont"/>
    <w:uiPriority w:val="21"/>
    <w:qFormat/>
    <w:rsid w:val="007E3CE1"/>
    <w:rPr>
      <w:i/>
      <w:iCs/>
      <w:color w:val="0F4761" w:themeColor="accent1" w:themeShade="BF"/>
    </w:rPr>
  </w:style>
  <w:style w:type="paragraph" w:styleId="IntenseQuote">
    <w:name w:val="Intense Quote"/>
    <w:basedOn w:val="Normal"/>
    <w:next w:val="Normal"/>
    <w:link w:val="IntenseQuoteChar"/>
    <w:uiPriority w:val="30"/>
    <w:qFormat/>
    <w:rsid w:val="007E3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CE1"/>
    <w:rPr>
      <w:i/>
      <w:iCs/>
      <w:color w:val="0F4761" w:themeColor="accent1" w:themeShade="BF"/>
    </w:rPr>
  </w:style>
  <w:style w:type="character" w:styleId="IntenseReference">
    <w:name w:val="Intense Reference"/>
    <w:basedOn w:val="DefaultParagraphFont"/>
    <w:uiPriority w:val="32"/>
    <w:qFormat/>
    <w:rsid w:val="007E3CE1"/>
    <w:rPr>
      <w:b/>
      <w:bCs/>
      <w:smallCaps/>
      <w:color w:val="0F4761" w:themeColor="accent1" w:themeShade="BF"/>
      <w:spacing w:val="5"/>
    </w:rPr>
  </w:style>
  <w:style w:type="paragraph" w:styleId="Header">
    <w:name w:val="header"/>
    <w:basedOn w:val="Normal"/>
    <w:link w:val="HeaderChar"/>
    <w:uiPriority w:val="99"/>
    <w:unhideWhenUsed/>
    <w:rsid w:val="003033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3E1"/>
  </w:style>
  <w:style w:type="paragraph" w:styleId="Footer">
    <w:name w:val="footer"/>
    <w:basedOn w:val="Normal"/>
    <w:link w:val="FooterChar"/>
    <w:uiPriority w:val="99"/>
    <w:unhideWhenUsed/>
    <w:rsid w:val="00303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3E1"/>
  </w:style>
  <w:style w:type="paragraph" w:styleId="NormalWeb">
    <w:name w:val="Normal (Web)"/>
    <w:basedOn w:val="Normal"/>
    <w:uiPriority w:val="99"/>
    <w:unhideWhenUsed/>
    <w:rsid w:val="00634673"/>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table" w:styleId="TableGrid">
    <w:name w:val="Table Grid"/>
    <w:basedOn w:val="TableNormal"/>
    <w:uiPriority w:val="39"/>
    <w:rsid w:val="00634673"/>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34673"/>
    <w:rPr>
      <w:i/>
      <w:iCs/>
    </w:rPr>
  </w:style>
  <w:style w:type="character" w:styleId="Strong">
    <w:name w:val="Strong"/>
    <w:basedOn w:val="DefaultParagraphFont"/>
    <w:uiPriority w:val="22"/>
    <w:qFormat/>
    <w:rsid w:val="00C44D0D"/>
    <w:rPr>
      <w:b/>
      <w:bCs/>
    </w:rPr>
  </w:style>
  <w:style w:type="paragraph" w:styleId="Revision">
    <w:name w:val="Revision"/>
    <w:hidden/>
    <w:uiPriority w:val="99"/>
    <w:semiHidden/>
    <w:rsid w:val="00760FC7"/>
    <w:pPr>
      <w:spacing w:after="0" w:line="240" w:lineRule="auto"/>
    </w:pPr>
  </w:style>
  <w:style w:type="character" w:styleId="Hyperlink">
    <w:name w:val="Hyperlink"/>
    <w:basedOn w:val="DefaultParagraphFont"/>
    <w:uiPriority w:val="99"/>
    <w:unhideWhenUsed/>
    <w:rsid w:val="005B61BF"/>
    <w:rPr>
      <w:color w:val="467886" w:themeColor="hyperlink"/>
      <w:u w:val="single"/>
    </w:rPr>
  </w:style>
  <w:style w:type="character" w:styleId="UnresolvedMention">
    <w:name w:val="Unresolved Mention"/>
    <w:basedOn w:val="DefaultParagraphFont"/>
    <w:uiPriority w:val="99"/>
    <w:semiHidden/>
    <w:unhideWhenUsed/>
    <w:rsid w:val="00C962A7"/>
    <w:rPr>
      <w:color w:val="605E5C"/>
      <w:shd w:val="clear" w:color="auto" w:fill="E1DFDD"/>
    </w:rPr>
  </w:style>
  <w:style w:type="character" w:styleId="CommentReference">
    <w:name w:val="annotation reference"/>
    <w:basedOn w:val="DefaultParagraphFont"/>
    <w:uiPriority w:val="99"/>
    <w:semiHidden/>
    <w:unhideWhenUsed/>
    <w:rsid w:val="00545057"/>
    <w:rPr>
      <w:sz w:val="16"/>
      <w:szCs w:val="16"/>
    </w:rPr>
  </w:style>
  <w:style w:type="paragraph" w:styleId="CommentText">
    <w:name w:val="annotation text"/>
    <w:basedOn w:val="Normal"/>
    <w:link w:val="CommentTextChar"/>
    <w:uiPriority w:val="99"/>
    <w:unhideWhenUsed/>
    <w:rsid w:val="00545057"/>
    <w:pPr>
      <w:spacing w:line="240" w:lineRule="auto"/>
    </w:pPr>
    <w:rPr>
      <w:sz w:val="20"/>
      <w:szCs w:val="20"/>
    </w:rPr>
  </w:style>
  <w:style w:type="character" w:customStyle="1" w:styleId="CommentTextChar">
    <w:name w:val="Comment Text Char"/>
    <w:basedOn w:val="DefaultParagraphFont"/>
    <w:link w:val="CommentText"/>
    <w:uiPriority w:val="99"/>
    <w:rsid w:val="00545057"/>
    <w:rPr>
      <w:sz w:val="20"/>
      <w:szCs w:val="20"/>
    </w:rPr>
  </w:style>
  <w:style w:type="paragraph" w:styleId="CommentSubject">
    <w:name w:val="annotation subject"/>
    <w:basedOn w:val="CommentText"/>
    <w:next w:val="CommentText"/>
    <w:link w:val="CommentSubjectChar"/>
    <w:uiPriority w:val="99"/>
    <w:semiHidden/>
    <w:unhideWhenUsed/>
    <w:rsid w:val="00545057"/>
    <w:rPr>
      <w:b/>
      <w:bCs/>
    </w:rPr>
  </w:style>
  <w:style w:type="character" w:customStyle="1" w:styleId="CommentSubjectChar">
    <w:name w:val="Comment Subject Char"/>
    <w:basedOn w:val="CommentTextChar"/>
    <w:link w:val="CommentSubject"/>
    <w:uiPriority w:val="99"/>
    <w:semiHidden/>
    <w:rsid w:val="00545057"/>
    <w:rPr>
      <w:b/>
      <w:bCs/>
      <w:sz w:val="20"/>
      <w:szCs w:val="20"/>
    </w:rPr>
  </w:style>
  <w:style w:type="character" w:styleId="FollowedHyperlink">
    <w:name w:val="FollowedHyperlink"/>
    <w:basedOn w:val="DefaultParagraphFont"/>
    <w:uiPriority w:val="99"/>
    <w:semiHidden/>
    <w:unhideWhenUsed/>
    <w:rsid w:val="008C196F"/>
    <w:rPr>
      <w:color w:val="96607D" w:themeColor="followedHyperlink"/>
      <w:u w:val="single"/>
    </w:rPr>
  </w:style>
  <w:style w:type="paragraph" w:styleId="NoSpacing">
    <w:name w:val="No Spacing"/>
    <w:uiPriority w:val="1"/>
    <w:qFormat/>
    <w:rsid w:val="003A7A74"/>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1105-008-0060-5" TargetMode="External"/><Relationship Id="rId21" Type="http://schemas.openxmlformats.org/officeDocument/2006/relationships/hyperlink" Target="https://doi.org/10.1007/s10722-024-02016-0" TargetMode="External"/><Relationship Id="rId42" Type="http://schemas.openxmlformats.org/officeDocument/2006/relationships/hyperlink" Target="http://doi.org/10.17605/OSF.IO/RC37F" TargetMode="External"/><Relationship Id="rId47" Type="http://schemas.openxmlformats.org/officeDocument/2006/relationships/hyperlink" Target="https://doi.org/10.1093/biomethods/bpad039" TargetMode="External"/><Relationship Id="rId63" Type="http://schemas.openxmlformats.org/officeDocument/2006/relationships/hyperlink" Target="https://doi.org/10.20935/AcadMolBioGen7956" TargetMode="External"/><Relationship Id="rId68" Type="http://schemas.openxmlformats.org/officeDocument/2006/relationships/hyperlink" Target="https://doi.org/10.5281/zenodo.15905932" TargetMode="Externa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doi.org/10.1023/A:1025032622411" TargetMode="External"/><Relationship Id="rId11" Type="http://schemas.openxmlformats.org/officeDocument/2006/relationships/image" Target="media/image4.jpeg"/><Relationship Id="rId24" Type="http://schemas.openxmlformats.org/officeDocument/2006/relationships/hyperlink" Target="https://doi.org/10.1111/csp2.13053" TargetMode="External"/><Relationship Id="rId32" Type="http://schemas.openxmlformats.org/officeDocument/2006/relationships/hyperlink" Target="https://doi.org/10.1016/j.hpj.2019.12.005" TargetMode="External"/><Relationship Id="rId37" Type="http://schemas.openxmlformats.org/officeDocument/2006/relationships/hyperlink" Target="https://doi.org/10.3390/plants12152763" TargetMode="External"/><Relationship Id="rId40" Type="http://schemas.openxmlformats.org/officeDocument/2006/relationships/hyperlink" Target="https://doi.org/10.1007/s12298-018-0622-4%20" TargetMode="External"/><Relationship Id="rId45" Type="http://schemas.openxmlformats.org/officeDocument/2006/relationships/hyperlink" Target="https://www.researchgate.net/publication/318982466" TargetMode="External"/><Relationship Id="rId53" Type="http://schemas.openxmlformats.org/officeDocument/2006/relationships/hyperlink" Target="http://dx.doi.org/10.21926/obm.genet.2404274" TargetMode="External"/><Relationship Id="rId58" Type="http://schemas.openxmlformats.org/officeDocument/2006/relationships/hyperlink" Target="https://doi.org/10.1007/s10722-022-01458-8" TargetMode="External"/><Relationship Id="rId66" Type="http://schemas.openxmlformats.org/officeDocument/2006/relationships/hyperlink" Target="https://updatepublishing.com/journal/index.php/hbr/article/view/2902"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007/BF02860703" TargetMode="External"/><Relationship Id="rId19" Type="http://schemas.openxmlformats.org/officeDocument/2006/relationships/hyperlink" Target="https://doi.org/10.1186/s43141-023-00543-4" TargetMode="External"/><Relationship Id="rId14" Type="http://schemas.openxmlformats.org/officeDocument/2006/relationships/header" Target="header2.xml"/><Relationship Id="rId22" Type="http://schemas.openxmlformats.org/officeDocument/2006/relationships/hyperlink" Target="https://doi.org/10.1007/s10722-023-01783-6" TargetMode="External"/><Relationship Id="rId27" Type="http://schemas.openxmlformats.org/officeDocument/2006/relationships/hyperlink" Target="file:///G:/10.1371/journal.pone.0136510" TargetMode="External"/><Relationship Id="rId30" Type="http://schemas.openxmlformats.org/officeDocument/2006/relationships/hyperlink" Target="https://doi.org/10.20935/AcadMolBioGen7730" TargetMode="External"/><Relationship Id="rId35" Type="http://schemas.openxmlformats.org/officeDocument/2006/relationships/hyperlink" Target="https://doi.org/10.1038/s41598-022-11992-1" TargetMode="External"/><Relationship Id="rId43" Type="http://schemas.openxmlformats.org/officeDocument/2006/relationships/hyperlink" Target="https://doi.org/10.32381/JPSR.2021.37.01.3" TargetMode="External"/><Relationship Id="rId48" Type="http://schemas.openxmlformats.org/officeDocument/2006/relationships/hyperlink" Target="https://doi.org/10.21608/zjar.2025.445122" TargetMode="External"/><Relationship Id="rId56" Type="http://schemas.openxmlformats.org/officeDocument/2006/relationships/hyperlink" Target="https://doi.org/10.1007/s44372-025-00423-w" TargetMode="External"/><Relationship Id="rId64" Type="http://schemas.openxmlformats.org/officeDocument/2006/relationships/hyperlink" Target="https://doi.org/10.1007/s10722-024-01857-z" TargetMode="External"/><Relationship Id="rId69" Type="http://schemas.openxmlformats.org/officeDocument/2006/relationships/hyperlink" Target="https://doi.org/10.1016/j.indcrop.2016.03.031" TargetMode="External"/><Relationship Id="rId8" Type="http://schemas.openxmlformats.org/officeDocument/2006/relationships/image" Target="media/image1.jpeg"/><Relationship Id="rId51" Type="http://schemas.openxmlformats.org/officeDocument/2006/relationships/hyperlink" Target="https://doi.org/10.21475/ajcs.24.18.07.pne19" TargetMode="External"/><Relationship Id="rId72" Type="http://schemas.openxmlformats.org/officeDocument/2006/relationships/hyperlink" Target="https://doi.org/10.1016/j.bse.2015.06.008" TargetMode="Externa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eader" Target="header3.xml"/><Relationship Id="rId25" Type="http://schemas.openxmlformats.org/officeDocument/2006/relationships/hyperlink" Target="http://www.thepharmajournal.com/" TargetMode="External"/><Relationship Id="rId33" Type="http://schemas.openxmlformats.org/officeDocument/2006/relationships/hyperlink" Target="https://www.researchgate.net/publication/250002953" TargetMode="External"/><Relationship Id="rId38" Type="http://schemas.openxmlformats.org/officeDocument/2006/relationships/hyperlink" Target="https://doi.org/10.1016/j.indcrop.2014.12.061" TargetMode="External"/><Relationship Id="rId46" Type="http://schemas.openxmlformats.org/officeDocument/2006/relationships/hyperlink" Target="https://doi.org/10.1016/j.bse.2010.11.004" TargetMode="External"/><Relationship Id="rId59" Type="http://schemas.openxmlformats.org/officeDocument/2006/relationships/hyperlink" Target="http://dx.doi.org/10.5455/JPPR.20250117044642" TargetMode="External"/><Relationship Id="rId67" Type="http://schemas.openxmlformats.org/officeDocument/2006/relationships/hyperlink" Target="file:///G:/10.7324/JABB.2017.50218" TargetMode="External"/><Relationship Id="rId20" Type="http://schemas.openxmlformats.org/officeDocument/2006/relationships/hyperlink" Target="http://dx.doi.org/10.13040/IJPSR.0975-8232.IJP.4(7)217-23" TargetMode="External"/><Relationship Id="rId41" Type="http://schemas.openxmlformats.org/officeDocument/2006/relationships/hyperlink" Target="https://doi.org/10.1186/s40659-024-00562-6" TargetMode="External"/><Relationship Id="rId54" Type="http://schemas.openxmlformats.org/officeDocument/2006/relationships/hyperlink" Target="https://doi.org/10.1371/journal.pone.0309283" TargetMode="External"/><Relationship Id="rId62" Type="http://schemas.openxmlformats.org/officeDocument/2006/relationships/hyperlink" Target="https://doi.org/10.1016/j.jep.2014.06.050" TargetMode="External"/><Relationship Id="rId70" Type="http://schemas.openxmlformats.org/officeDocument/2006/relationships/hyperlink" Target="https://doi.org/10.1002/biot.200600195%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dx.doi.org/10.1016/j.flora.2015.09.007" TargetMode="External"/><Relationship Id="rId28" Type="http://schemas.openxmlformats.org/officeDocument/2006/relationships/hyperlink" Target="https://doi.org/10.1038/s41598-024-83087-y" TargetMode="External"/><Relationship Id="rId36" Type="http://schemas.openxmlformats.org/officeDocument/2006/relationships/hyperlink" Target="http://sabraojournal.org/wp-content/uploads/2021/03/SABRAO-J-Breed-Genet-53-1-1-14-HO.pdf" TargetMode="External"/><Relationship Id="rId49" Type="http://schemas.openxmlformats.org/officeDocument/2006/relationships/hyperlink" Target="https://doi.org/10.7324/JABB.2025.209056" TargetMode="External"/><Relationship Id="rId57" Type="http://schemas.openxmlformats.org/officeDocument/2006/relationships/hyperlink" Target="https://doi.org/10.1093/forsci/fxac043" TargetMode="External"/><Relationship Id="rId10" Type="http://schemas.openxmlformats.org/officeDocument/2006/relationships/image" Target="media/image3.jpeg"/><Relationship Id="rId31" Type="http://schemas.openxmlformats.org/officeDocument/2006/relationships/hyperlink" Target="https://doi.org/10.1007/s11105-008-0060-5" TargetMode="External"/><Relationship Id="rId44" Type="http://schemas.openxmlformats.org/officeDocument/2006/relationships/hyperlink" Target="https://www.researchgate.net/publication/312369001" TargetMode="External"/><Relationship Id="rId52" Type="http://schemas.openxmlformats.org/officeDocument/2006/relationships/hyperlink" Target="https://doi.org/10.1007/s10722-025-02342-x" TargetMode="External"/><Relationship Id="rId60" Type="http://schemas.openxmlformats.org/officeDocument/2006/relationships/hyperlink" Target="https://doi.org/10.1007/s10722-024-02152-7" TargetMode="External"/><Relationship Id="rId65" Type="http://schemas.openxmlformats.org/officeDocument/2006/relationships/hyperlink" Target="https://doi.org/10.1038/s41598-025-02815-0"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doi.org/10.1023/A:1007528101452" TargetMode="External"/><Relationship Id="rId34" Type="http://schemas.openxmlformats.org/officeDocument/2006/relationships/hyperlink" Target="https://doi.org/10.21203/rs.3.rs-3536240/v1" TargetMode="External"/><Relationship Id="rId50" Type="http://schemas.openxmlformats.org/officeDocument/2006/relationships/hyperlink" Target="https://doi.org/10.3390/horticulturae9070742" TargetMode="External"/><Relationship Id="rId55" Type="http://schemas.openxmlformats.org/officeDocument/2006/relationships/hyperlink" Target="https://li04.tci-thaijo.org/index.php/IJAT/article/view/4105" TargetMode="External"/><Relationship Id="rId7" Type="http://schemas.openxmlformats.org/officeDocument/2006/relationships/endnotes" Target="endnotes.xml"/><Relationship Id="rId71" Type="http://schemas.openxmlformats.org/officeDocument/2006/relationships/hyperlink" Target="https://doi.org/10.1046/j.1365-294x.1998.00425.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47170-F6F6-4DB8-B522-7C320F580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7250</Words>
  <Characters>41328</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Pradhan</dc:creator>
  <cp:lastModifiedBy>Giridara Kumar Surabhi</cp:lastModifiedBy>
  <cp:revision>4</cp:revision>
  <cp:lastPrinted>2025-12-10T11:05:00Z</cp:lastPrinted>
  <dcterms:created xsi:type="dcterms:W3CDTF">2026-02-19T06:48:00Z</dcterms:created>
  <dcterms:modified xsi:type="dcterms:W3CDTF">2026-02-19T06:51:00Z</dcterms:modified>
</cp:coreProperties>
</file>