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712E" w14:textId="6EE4FF6E" w:rsidR="0044518A" w:rsidRPr="00BA7EE4" w:rsidRDefault="0044518A" w:rsidP="0044518A">
      <w:pPr>
        <w:spacing w:line="360" w:lineRule="auto"/>
        <w:jc w:val="both"/>
        <w:rPr>
          <w:rFonts w:ascii="Times New Roman" w:hAnsi="Times New Roman" w:cs="Times New Roman"/>
          <w:sz w:val="24"/>
          <w:szCs w:val="24"/>
        </w:rPr>
      </w:pPr>
      <w:r w:rsidRPr="00BA7EE4">
        <w:rPr>
          <w:rFonts w:ascii="Times New Roman" w:hAnsi="Times New Roman" w:cs="Times New Roman"/>
          <w:b/>
          <w:bCs/>
          <w:sz w:val="24"/>
          <w:szCs w:val="24"/>
        </w:rPr>
        <w:t>Incidence and risk factors of subclinical mastitis in dairy cattle in and around Jabalpur, Madhya Pradesh</w:t>
      </w:r>
      <w:r w:rsidR="006D35FB">
        <w:rPr>
          <w:rFonts w:ascii="Times New Roman" w:hAnsi="Times New Roman" w:cs="Times New Roman"/>
          <w:b/>
          <w:bCs/>
          <w:sz w:val="24"/>
          <w:szCs w:val="24"/>
        </w:rPr>
        <w:t>, India</w:t>
      </w:r>
    </w:p>
    <w:p w14:paraId="18BEA8C9" w14:textId="77777777" w:rsidR="00430690" w:rsidRDefault="00430690" w:rsidP="0044518A">
      <w:pPr>
        <w:spacing w:line="360" w:lineRule="auto"/>
        <w:jc w:val="both"/>
        <w:rPr>
          <w:rFonts w:ascii="Times New Roman" w:hAnsi="Times New Roman" w:cs="Times New Roman"/>
          <w:b/>
          <w:bCs/>
          <w:sz w:val="24"/>
          <w:szCs w:val="24"/>
        </w:rPr>
      </w:pPr>
      <w:bookmarkStart w:id="0" w:name="_GoBack"/>
      <w:bookmarkEnd w:id="0"/>
    </w:p>
    <w:p w14:paraId="0D921EB7" w14:textId="3623DC14" w:rsidR="0044518A"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Abstract</w:t>
      </w:r>
    </w:p>
    <w:p w14:paraId="3BED7A24" w14:textId="3CCC66E5" w:rsidR="00D161B1" w:rsidRPr="00D161B1" w:rsidRDefault="00F51033" w:rsidP="0044518A">
      <w:pPr>
        <w:spacing w:line="360" w:lineRule="auto"/>
        <w:jc w:val="both"/>
        <w:rPr>
          <w:rFonts w:ascii="Times New Roman" w:hAnsi="Times New Roman" w:cs="Times New Roman"/>
          <w:sz w:val="24"/>
          <w:szCs w:val="24"/>
        </w:rPr>
      </w:pPr>
      <w:r w:rsidRPr="00332402">
        <w:rPr>
          <w:rFonts w:ascii="Times New Roman" w:hAnsi="Times New Roman" w:cs="Times New Roman"/>
          <w:sz w:val="24"/>
          <w:szCs w:val="24"/>
          <w:highlight w:val="yellow"/>
        </w:rPr>
        <w:t>Subclinical mastitis (SCM) is a prevalent and economically significant disease in dairy cattle, causing hidden losses through reduced productivity and milk quality. Elevated somatic cell count (SCC) is a key indicator of SCM, which is influenced by factors like age, parity, and lactation stage, but region-specific data is limited in central India.</w:t>
      </w:r>
      <w:r>
        <w:rPr>
          <w:rFonts w:ascii="Times New Roman" w:hAnsi="Times New Roman" w:cs="Times New Roman"/>
          <w:sz w:val="24"/>
          <w:szCs w:val="24"/>
        </w:rPr>
        <w:t xml:space="preserve"> </w:t>
      </w:r>
      <w:r w:rsidR="00D161B1" w:rsidRPr="00D161B1">
        <w:rPr>
          <w:rFonts w:ascii="Times New Roman" w:hAnsi="Times New Roman" w:cs="Times New Roman"/>
          <w:sz w:val="24"/>
          <w:szCs w:val="24"/>
        </w:rPr>
        <w:t xml:space="preserve">A field-based epidemiological study was conducted to determine the incidence and major risk factors associated with SCM in dairy cattle maintained in and around Jabalpur, Madhya Pradesh. Following baseline screening, only newly detected cases of SCM occurring during a six-month study period (July–December 2025) were included. A total of 204 lactating cattle from organized and unorganized dairy units were monitored using the Modified California Mastitis Test (MCMT) and somatic cell count (SCC). Animals showing a positive MCMT reaction along with SCC values greater than 2.5 × 10⁵ cells/mL were considered SCM-positive. Animal-wise incidence of SCM during the study period was 26.96%, while quarter-wise incidence was 20.74%. Hind quarters were more frequently affected than </w:t>
      </w:r>
      <w:proofErr w:type="spellStart"/>
      <w:r w:rsidR="00D161B1" w:rsidRPr="00D161B1">
        <w:rPr>
          <w:rFonts w:ascii="Times New Roman" w:hAnsi="Times New Roman" w:cs="Times New Roman"/>
          <w:sz w:val="24"/>
          <w:szCs w:val="24"/>
        </w:rPr>
        <w:t>fore</w:t>
      </w:r>
      <w:proofErr w:type="spellEnd"/>
      <w:r w:rsidR="00D161B1" w:rsidRPr="00D161B1">
        <w:rPr>
          <w:rFonts w:ascii="Times New Roman" w:hAnsi="Times New Roman" w:cs="Times New Roman"/>
          <w:sz w:val="24"/>
          <w:szCs w:val="24"/>
        </w:rPr>
        <w:t xml:space="preserve"> quarters, with the right hind quarter showing the highest involvement. Incidence was significantly higher in cattle aged 5–8 years, in third and fourth parity animals, and during early lactation. The findings reveal a considerable hidden burden of SCM under field conditions and highlight the need for routine field-level screening and targeted mastitis control strategies focusing on high-risk groups in smallholder dairy systems.</w:t>
      </w:r>
    </w:p>
    <w:p w14:paraId="54BF358B" w14:textId="5B73B7E4" w:rsidR="00AA1313" w:rsidRPr="00BA7EE4" w:rsidRDefault="0044518A" w:rsidP="0044518A">
      <w:pPr>
        <w:spacing w:line="360" w:lineRule="auto"/>
        <w:jc w:val="both"/>
        <w:rPr>
          <w:rFonts w:ascii="Times New Roman" w:hAnsi="Times New Roman" w:cs="Times New Roman"/>
          <w:sz w:val="24"/>
          <w:szCs w:val="24"/>
        </w:rPr>
      </w:pPr>
      <w:r w:rsidRPr="00BA7EE4">
        <w:rPr>
          <w:rFonts w:ascii="Times New Roman" w:hAnsi="Times New Roman" w:cs="Times New Roman"/>
          <w:b/>
          <w:bCs/>
          <w:sz w:val="24"/>
          <w:szCs w:val="24"/>
        </w:rPr>
        <w:t>Key words:</w:t>
      </w:r>
      <w:r w:rsidRPr="00BA7EE4">
        <w:rPr>
          <w:rFonts w:ascii="Times New Roman" w:hAnsi="Times New Roman" w:cs="Times New Roman"/>
          <w:sz w:val="24"/>
          <w:szCs w:val="24"/>
        </w:rPr>
        <w:t xml:space="preserve"> Subclinical mastitis, incidence, risk factors, dairy cattle, somatic cell count</w:t>
      </w:r>
    </w:p>
    <w:p w14:paraId="3D350988" w14:textId="77777777" w:rsidR="0044518A" w:rsidRPr="00BA7EE4" w:rsidRDefault="0044518A" w:rsidP="0044518A">
      <w:pPr>
        <w:spacing w:line="360" w:lineRule="auto"/>
        <w:jc w:val="both"/>
        <w:rPr>
          <w:rFonts w:ascii="Times New Roman" w:hAnsi="Times New Roman" w:cs="Times New Roman"/>
          <w:sz w:val="24"/>
          <w:szCs w:val="24"/>
        </w:rPr>
      </w:pPr>
    </w:p>
    <w:p w14:paraId="2E6E5283" w14:textId="44D798B0"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INTRODUCTION</w:t>
      </w:r>
    </w:p>
    <w:p w14:paraId="59604128"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Subclinical mastitis (SCM) is one of the most prevalent and economically important diseases affecting dairy cattle. Unlike clinical mastitis, SCM does not manifest visible signs of udder inflammation; however, it is characterized by elevated somatic cell count (SCC), altered milk composition and reduced milk yield. Due to its silent nature, SCM often remains undetected for prolonged periods, allowing chronic inflammation of the mammary gland to persist and increasing the risk of recurrent intramammary infections. Consequently, </w:t>
      </w:r>
      <w:r w:rsidRPr="00BA7EE4">
        <w:rPr>
          <w:rFonts w:ascii="Times New Roman" w:hAnsi="Times New Roman" w:cs="Times New Roman"/>
          <w:sz w:val="24"/>
          <w:szCs w:val="24"/>
        </w:rPr>
        <w:lastRenderedPageBreak/>
        <w:t xml:space="preserve">SCM results in substantial hidden economic losses through reduced productivity, compromised milk quality and increased culling rates (Kavitha </w:t>
      </w:r>
      <w:r w:rsidRPr="003D09C5">
        <w:rPr>
          <w:rFonts w:ascii="Times New Roman" w:hAnsi="Times New Roman" w:cs="Times New Roman"/>
          <w:i/>
          <w:iCs/>
          <w:sz w:val="24"/>
          <w:szCs w:val="24"/>
        </w:rPr>
        <w:t>et al</w:t>
      </w:r>
      <w:r w:rsidRPr="00BA7EE4">
        <w:rPr>
          <w:rFonts w:ascii="Times New Roman" w:hAnsi="Times New Roman" w:cs="Times New Roman"/>
          <w:sz w:val="24"/>
          <w:szCs w:val="24"/>
        </w:rPr>
        <w:t>., 2009).</w:t>
      </w:r>
    </w:p>
    <w:p w14:paraId="5CB08601"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Somatic cell count is widely accepted as a reliable indicator of udder health and mammary inflammation. Elevated SCC reflects leukocyte infiltration into the mammary gland in response to infection or tissue injury, leading to impaired secretory activity of mammary epithelial cells. Persistent elevation of SCC has been associated with reduced lactose synthesis, altered milk constituents and overall decline in milk yield, adversely affecting herd profitability (Joshi and Gokhale, 2006).</w:t>
      </w:r>
    </w:p>
    <w:p w14:paraId="7B11B278"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In India, SCM has been reported to be more prevalent than clinical mastitis, with incidence varying widely depending on region, production system, management practices and diagnostic criteria. Higher incidence is commonly reported in peri-urban and intensive dairy systems, where increased milk production, environmental contamination and management stress predispose animals to intramammary infections (Malik and Verma, 2017; </w:t>
      </w:r>
      <w:proofErr w:type="spellStart"/>
      <w:r w:rsidRPr="00BA7EE4">
        <w:rPr>
          <w:rFonts w:ascii="Times New Roman" w:hAnsi="Times New Roman" w:cs="Times New Roman"/>
          <w:sz w:val="24"/>
          <w:szCs w:val="24"/>
        </w:rPr>
        <w:t>Maramulla</w:t>
      </w:r>
      <w:proofErr w:type="spellEnd"/>
      <w:r w:rsidRPr="00BA7EE4">
        <w:rPr>
          <w:rFonts w:ascii="Times New Roman" w:hAnsi="Times New Roman" w:cs="Times New Roman"/>
          <w:sz w:val="24"/>
          <w:szCs w:val="24"/>
        </w:rPr>
        <w:t xml:space="preserve"> et al., 2024).</w:t>
      </w:r>
    </w:p>
    <w:p w14:paraId="70F8AB30" w14:textId="1F2C23AB"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Several host-related factors such as age, parity and stage of lactation have been shown to influence susceptibility to SCM. Older and multiparous cows, as well as animals in early lactation are considered more vulnerable due to cumulative udder stress, negative energy balance and transient immunosuppression (Santman-Berends </w:t>
      </w:r>
      <w:r w:rsidRPr="003D09C5">
        <w:rPr>
          <w:rFonts w:ascii="Times New Roman" w:hAnsi="Times New Roman" w:cs="Times New Roman"/>
          <w:i/>
          <w:iCs/>
          <w:sz w:val="24"/>
          <w:szCs w:val="24"/>
        </w:rPr>
        <w:t>et al</w:t>
      </w:r>
      <w:r w:rsidRPr="00BA7EE4">
        <w:rPr>
          <w:rFonts w:ascii="Times New Roman" w:hAnsi="Times New Roman" w:cs="Times New Roman"/>
          <w:sz w:val="24"/>
          <w:szCs w:val="24"/>
        </w:rPr>
        <w:t xml:space="preserve">., 2012; McDougall </w:t>
      </w:r>
      <w:r w:rsidRPr="003D09C5">
        <w:rPr>
          <w:rFonts w:ascii="Times New Roman" w:hAnsi="Times New Roman" w:cs="Times New Roman"/>
          <w:i/>
          <w:iCs/>
          <w:sz w:val="24"/>
          <w:szCs w:val="24"/>
        </w:rPr>
        <w:t>et al</w:t>
      </w:r>
      <w:r w:rsidRPr="00BA7EE4">
        <w:rPr>
          <w:rFonts w:ascii="Times New Roman" w:hAnsi="Times New Roman" w:cs="Times New Roman"/>
          <w:sz w:val="24"/>
          <w:szCs w:val="24"/>
        </w:rPr>
        <w:t>., 2022). However, region-specific epidemiological data remain limited for central India, particularly for Madhya Pradesh.</w:t>
      </w:r>
      <w:r w:rsidR="00CC47D0">
        <w:rPr>
          <w:rFonts w:ascii="Times New Roman" w:hAnsi="Times New Roman" w:cs="Times New Roman"/>
          <w:sz w:val="24"/>
          <w:szCs w:val="24"/>
        </w:rPr>
        <w:t xml:space="preserve"> Furthermore, u</w:t>
      </w:r>
      <w:r w:rsidR="00CC47D0" w:rsidRPr="00CC47D0">
        <w:rPr>
          <w:rFonts w:ascii="Times New Roman" w:hAnsi="Times New Roman" w:cs="Times New Roman"/>
          <w:sz w:val="24"/>
          <w:szCs w:val="24"/>
        </w:rPr>
        <w:t>nderstanding the incidence of SCM provides insight into ongoing disease dynamics and aids in designing timely preventive interventions under field conditions</w:t>
      </w:r>
      <w:r w:rsidR="00CC47D0">
        <w:rPr>
          <w:rFonts w:ascii="Times New Roman" w:hAnsi="Times New Roman" w:cs="Times New Roman"/>
          <w:sz w:val="24"/>
          <w:szCs w:val="24"/>
        </w:rPr>
        <w:t>.</w:t>
      </w:r>
    </w:p>
    <w:p w14:paraId="0ECC4B8C"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Therefore, the present study was undertaken to determine the incidence of subclinical mastitis and to evaluate the association of major risk factors such as quarter involvement, age, parity and stage of lactation in dairy cattle maintained in and around Jabalpur, Madhya Pradesh.</w:t>
      </w:r>
    </w:p>
    <w:p w14:paraId="1FD97939"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MATERIALS AND METHODS</w:t>
      </w:r>
    </w:p>
    <w:p w14:paraId="750C4EFA"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Study area and duration</w:t>
      </w:r>
    </w:p>
    <w:p w14:paraId="743ED3C3"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The study was conducted in and around Jabalpur district of Madhya Pradesh from July to December 2025. Animals were screened at organized dairy farms, private dairies </w:t>
      </w:r>
      <w:r w:rsidRPr="00BA7EE4">
        <w:rPr>
          <w:rFonts w:ascii="Times New Roman" w:hAnsi="Times New Roman" w:cs="Times New Roman"/>
          <w:sz w:val="24"/>
          <w:szCs w:val="24"/>
        </w:rPr>
        <w:lastRenderedPageBreak/>
        <w:t>and the Veterinary Clinical Complex, College of Veterinary Science and Animal Husbandry, NDVSU, Jabalpur.</w:t>
      </w:r>
    </w:p>
    <w:p w14:paraId="294EE54A"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Animals screened</w:t>
      </w:r>
    </w:p>
    <w:p w14:paraId="52BF0EB0" w14:textId="67E921F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A total of 204 lactating cattle, irrespective of breed, age, parity and stage of lactation, were included in the study. Animals showing clinical signs of mastitis were excluded. A total of 810 functional quarters were examined (six blind teats excluded).</w:t>
      </w:r>
      <w:r w:rsidR="00CC47D0" w:rsidRPr="00CC47D0">
        <w:t xml:space="preserve"> </w:t>
      </w:r>
      <w:r w:rsidR="00CC47D0" w:rsidRPr="00CC47D0">
        <w:rPr>
          <w:rFonts w:ascii="Times New Roman" w:hAnsi="Times New Roman" w:cs="Times New Roman"/>
          <w:sz w:val="24"/>
          <w:szCs w:val="24"/>
        </w:rPr>
        <w:t>Prior to initiation of the present investigation, lactating dairy cattle in the study area had been screened for subclinical mastitis as part of routine field surveillance to establish baseline prevalence. Animals identified as subclinical mastitis–negative during this initial screening were subsequently included for follow-up. Only newly detected cases of subclinical mastitis occurring during the six-month study period (July–December 2025) were recorded; therefore, the present investigation represents a longitudinal field-based study aimed at estimating incidence.</w:t>
      </w:r>
    </w:p>
    <w:p w14:paraId="06A368BB"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Diagnosis of subclinical mastitis</w:t>
      </w:r>
    </w:p>
    <w:p w14:paraId="45F58BE6" w14:textId="02005445"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Milk samples were screened using the Modified California Mastitis Test (MCMT)</w:t>
      </w:r>
      <w:r w:rsidR="00D1628C" w:rsidRPr="00BA7EE4">
        <w:rPr>
          <w:rFonts w:ascii="Times New Roman" w:hAnsi="Times New Roman" w:cs="Times New Roman"/>
          <w:sz w:val="24"/>
          <w:szCs w:val="24"/>
        </w:rPr>
        <w:t xml:space="preserve"> as shown in Figure 1</w:t>
      </w:r>
      <w:r w:rsidRPr="00BA7EE4">
        <w:rPr>
          <w:rFonts w:ascii="Times New Roman" w:hAnsi="Times New Roman" w:cs="Times New Roman"/>
          <w:sz w:val="24"/>
          <w:szCs w:val="24"/>
        </w:rPr>
        <w:t>. Somatic cell count was estimated using an automated milk analyser</w:t>
      </w:r>
      <w:r w:rsidR="00D1628C" w:rsidRPr="00BA7EE4">
        <w:rPr>
          <w:rFonts w:ascii="Times New Roman" w:hAnsi="Times New Roman" w:cs="Times New Roman"/>
          <w:sz w:val="24"/>
          <w:szCs w:val="24"/>
        </w:rPr>
        <w:t xml:space="preserve"> (Figure 2)</w:t>
      </w:r>
      <w:r w:rsidRPr="00BA7EE4">
        <w:rPr>
          <w:rFonts w:ascii="Times New Roman" w:hAnsi="Times New Roman" w:cs="Times New Roman"/>
          <w:sz w:val="24"/>
          <w:szCs w:val="24"/>
        </w:rPr>
        <w:t xml:space="preserve">. </w:t>
      </w:r>
      <w:r w:rsidR="00BC468A" w:rsidRPr="00BC468A">
        <w:rPr>
          <w:rFonts w:ascii="Times New Roman" w:hAnsi="Times New Roman" w:cs="Times New Roman"/>
          <w:sz w:val="24"/>
          <w:szCs w:val="24"/>
        </w:rPr>
        <w:t>Animals showing a positive Modified California Mastitis Test (MCMT) reaction along with a somatic cell count greater than 2.5 × 10⁵ cells/mL were considered positive for subclinical mastitis.</w:t>
      </w:r>
    </w:p>
    <w:p w14:paraId="7804D8B5"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Recording of risk factors</w:t>
      </w:r>
    </w:p>
    <w:p w14:paraId="6CFA9601"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Information regarding age, parity, stage of lactation and quarter involvement was recorded for each animal at the time of screening.</w:t>
      </w:r>
    </w:p>
    <w:p w14:paraId="6459A71C"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Statistical analysis</w:t>
      </w:r>
    </w:p>
    <w:p w14:paraId="5E6CDC06" w14:textId="77777777"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Incidence was expressed as percentage. Association of SCM with age, parity, stage of lactation and quarter involvement was analysed using Chi-square test. Differences were considered significant at P &lt; 0.05.</w:t>
      </w:r>
    </w:p>
    <w:p w14:paraId="1141BFE1" w14:textId="2284D9F2" w:rsidR="0044518A" w:rsidRPr="00BA7EE4" w:rsidRDefault="0044518A" w:rsidP="0044518A">
      <w:pPr>
        <w:spacing w:line="360" w:lineRule="auto"/>
        <w:jc w:val="both"/>
        <w:rPr>
          <w:rFonts w:ascii="Times New Roman" w:hAnsi="Times New Roman" w:cs="Times New Roman"/>
          <w:sz w:val="24"/>
          <w:szCs w:val="24"/>
        </w:rPr>
      </w:pPr>
    </w:p>
    <w:p w14:paraId="226ACB38"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RESULTS AND DISCUSSION</w:t>
      </w:r>
    </w:p>
    <w:p w14:paraId="7602EAD3"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Overall incidence of subclinical mastitis</w:t>
      </w:r>
    </w:p>
    <w:p w14:paraId="68F7856E" w14:textId="1C2C5F74" w:rsidR="0044518A" w:rsidRPr="00BA7EE4" w:rsidRDefault="00395C30" w:rsidP="00BA7EE4">
      <w:pPr>
        <w:spacing w:line="360" w:lineRule="auto"/>
        <w:ind w:firstLine="1418"/>
        <w:jc w:val="both"/>
        <w:rPr>
          <w:rFonts w:ascii="Times New Roman" w:hAnsi="Times New Roman" w:cs="Times New Roman"/>
          <w:sz w:val="24"/>
          <w:szCs w:val="24"/>
        </w:rPr>
      </w:pPr>
      <w:r w:rsidRPr="00395C30">
        <w:rPr>
          <w:rFonts w:ascii="Times New Roman" w:hAnsi="Times New Roman" w:cs="Times New Roman"/>
          <w:sz w:val="24"/>
          <w:szCs w:val="24"/>
        </w:rPr>
        <w:lastRenderedPageBreak/>
        <w:t>In the present investigation, out of 204 lactating dairy cattle screened using Modified California Mastitis Test (MCMT) and somatic cell count (SCC), 55 animals were found positive for subclinical mastitis, resulting in an animal-wise incidence of 26.96%. On a quarter basis, 168 out of 810 functional quarters (20.74%) were affected by SCM. These findings clearly indicate that more than one-fourth of apparently healthy lactating cattle in and around Jabalpur were harbouring subclinical intramammary infections without showing any overt clinical signs.</w:t>
      </w:r>
      <w:r w:rsidR="00D1628C" w:rsidRPr="00BA7EE4">
        <w:rPr>
          <w:rFonts w:ascii="Times New Roman" w:hAnsi="Times New Roman" w:cs="Times New Roman"/>
          <w:sz w:val="24"/>
          <w:szCs w:val="24"/>
        </w:rPr>
        <w:t xml:space="preserve"> (</w:t>
      </w:r>
      <w:r w:rsidR="00D1628C" w:rsidRPr="003D09C5">
        <w:rPr>
          <w:rFonts w:ascii="Times New Roman" w:hAnsi="Times New Roman" w:cs="Times New Roman"/>
          <w:sz w:val="24"/>
          <w:szCs w:val="24"/>
        </w:rPr>
        <w:t>Table 1</w:t>
      </w:r>
      <w:r w:rsidR="003D09C5" w:rsidRPr="003D09C5">
        <w:rPr>
          <w:rFonts w:ascii="Times New Roman" w:hAnsi="Times New Roman" w:cs="Times New Roman"/>
          <w:sz w:val="24"/>
          <w:szCs w:val="24"/>
        </w:rPr>
        <w:t>; Figure 3A</w:t>
      </w:r>
      <w:r w:rsidR="00D1628C" w:rsidRPr="00BA7EE4">
        <w:rPr>
          <w:rFonts w:ascii="Times New Roman" w:hAnsi="Times New Roman" w:cs="Times New Roman"/>
          <w:sz w:val="24"/>
          <w:szCs w:val="24"/>
        </w:rPr>
        <w:t>)</w:t>
      </w:r>
      <w:r w:rsidR="0044518A" w:rsidRPr="00BA7EE4">
        <w:rPr>
          <w:rFonts w:ascii="Times New Roman" w:hAnsi="Times New Roman" w:cs="Times New Roman"/>
          <w:sz w:val="24"/>
          <w:szCs w:val="24"/>
        </w:rPr>
        <w:t>.</w:t>
      </w:r>
    </w:p>
    <w:p w14:paraId="19F4FC4C" w14:textId="77777777" w:rsidR="00A617CF" w:rsidRPr="00BA7EE4" w:rsidRDefault="00A617CF" w:rsidP="00A617CF">
      <w:pPr>
        <w:pStyle w:val="ListParagraph"/>
        <w:spacing w:after="120" w:line="360" w:lineRule="auto"/>
        <w:ind w:left="0"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incidence recorded aligns with earlier Indian studies documenting SCM prevalence ranging between 30 and 45 per cent (Kavitha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2009 and Malik and Verma, 2017) under field. Variability across study may reflect differences in management practices, diagnostic criteria, production intensity, environmental exposure.</w:t>
      </w:r>
    </w:p>
    <w:p w14:paraId="667F9D50" w14:textId="77777777" w:rsidR="00A617CF" w:rsidRPr="00BA7EE4" w:rsidRDefault="00A617CF" w:rsidP="00A617CF">
      <w:pPr>
        <w:pStyle w:val="ListParagraph"/>
        <w:spacing w:after="120" w:line="360" w:lineRule="auto"/>
        <w:ind w:left="0"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Higher incidence of subclinical mastitis has been consistently reported in improved and peri-urban dairy systems. Joshi and Gokhale (2006) documented SCM incidence ranging from approximately 40 per cent to over 70 per cent in improved and peri-urban herds, emphasizing the predominance of subclinical infections over clinical mastitis. Similarly, </w:t>
      </w:r>
      <w:proofErr w:type="spellStart"/>
      <w:r w:rsidRPr="00BA7EE4">
        <w:rPr>
          <w:rFonts w:ascii="Times New Roman" w:hAnsi="Times New Roman" w:cs="Times New Roman"/>
          <w:color w:val="000000" w:themeColor="text1"/>
          <w:sz w:val="24"/>
          <w:szCs w:val="24"/>
        </w:rPr>
        <w:t>Maramulla</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(2024) reported a high incidence of 63.41 per cent in dairy herds around Hyderabad, which was attributed to intensive management practices, higher milk production and increased physiological stress.</w:t>
      </w:r>
    </w:p>
    <w:p w14:paraId="063E679A" w14:textId="646CE498" w:rsidR="00A617CF" w:rsidRDefault="00A617CF" w:rsidP="00BA7EE4">
      <w:pPr>
        <w:pStyle w:val="ListParagraph"/>
        <w:spacing w:after="120" w:line="360" w:lineRule="auto"/>
        <w:ind w:left="0"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In contrast, markedly lower incidence rates have been reported in well-managed dairy systems. McDougall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(2025) recorded an incidence of only 0.08 new high-SCC cases per cow per month in New Zealand herds, while </w:t>
      </w:r>
      <w:proofErr w:type="spellStart"/>
      <w:r w:rsidRPr="00BA7EE4">
        <w:rPr>
          <w:rFonts w:ascii="Times New Roman" w:hAnsi="Times New Roman" w:cs="Times New Roman"/>
          <w:color w:val="000000" w:themeColor="text1"/>
          <w:sz w:val="24"/>
          <w:szCs w:val="24"/>
        </w:rPr>
        <w:t>Busanello</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(2017) observed an average incidence of 0.17 new SCM cases per cow per month across 517 Brazilian herds, values considered low to moderate. These differences are largely attributable to variations in management quality, with poor hygiene, inconsistent milking routines and inadequate teat sanitation being associated with higher SCM incidence in developing regions (</w:t>
      </w:r>
      <w:proofErr w:type="spellStart"/>
      <w:r w:rsidRPr="00BA7EE4">
        <w:rPr>
          <w:rFonts w:ascii="Times New Roman" w:hAnsi="Times New Roman" w:cs="Times New Roman"/>
          <w:color w:val="000000" w:themeColor="text1"/>
          <w:sz w:val="24"/>
          <w:szCs w:val="24"/>
        </w:rPr>
        <w:t>Yohannis</w:t>
      </w:r>
      <w:proofErr w:type="spellEnd"/>
      <w:r w:rsidRPr="00BA7EE4">
        <w:rPr>
          <w:rFonts w:ascii="Times New Roman" w:hAnsi="Times New Roman" w:cs="Times New Roman"/>
          <w:color w:val="000000" w:themeColor="text1"/>
          <w:sz w:val="24"/>
          <w:szCs w:val="24"/>
        </w:rPr>
        <w:t xml:space="preserve"> and </w:t>
      </w:r>
      <w:proofErr w:type="spellStart"/>
      <w:r w:rsidRPr="00BA7EE4">
        <w:rPr>
          <w:rFonts w:ascii="Times New Roman" w:hAnsi="Times New Roman" w:cs="Times New Roman"/>
          <w:color w:val="000000" w:themeColor="text1"/>
          <w:sz w:val="24"/>
          <w:szCs w:val="24"/>
        </w:rPr>
        <w:t>Molla</w:t>
      </w:r>
      <w:proofErr w:type="spellEnd"/>
      <w:r w:rsidRPr="00BA7EE4">
        <w:rPr>
          <w:rFonts w:ascii="Times New Roman" w:hAnsi="Times New Roman" w:cs="Times New Roman"/>
          <w:color w:val="000000" w:themeColor="text1"/>
          <w:sz w:val="24"/>
          <w:szCs w:val="24"/>
        </w:rPr>
        <w:t xml:space="preserve">, 2013 and Kavitha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2009), whereas structured mastitis control programs, improved milking hygiene and regular teat disinfection contribute to substantially lower incidence rates in organized dairy systems.</w:t>
      </w:r>
    </w:p>
    <w:p w14:paraId="75E93410" w14:textId="0AD957CC" w:rsidR="00C37FD0" w:rsidRPr="00C37FD0" w:rsidRDefault="00C37FD0" w:rsidP="00C37FD0">
      <w:pPr>
        <w:pStyle w:val="ListParagraph"/>
        <w:spacing w:after="120" w:line="360" w:lineRule="auto"/>
        <w:ind w:left="0" w:firstLine="1440"/>
        <w:jc w:val="both"/>
        <w:rPr>
          <w:rFonts w:ascii="Times New Roman" w:hAnsi="Times New Roman" w:cs="Times New Roman"/>
          <w:color w:val="000000" w:themeColor="text1"/>
          <w:sz w:val="24"/>
          <w:szCs w:val="24"/>
        </w:rPr>
      </w:pPr>
      <w:r w:rsidRPr="00395C30">
        <w:rPr>
          <w:rFonts w:ascii="Times New Roman" w:hAnsi="Times New Roman" w:cs="Times New Roman"/>
          <w:color w:val="000000" w:themeColor="text1"/>
          <w:sz w:val="24"/>
          <w:szCs w:val="24"/>
        </w:rPr>
        <w:t>The moderate incidence observed in the present study highlights the hidden burden of SCM under field conditions, where routine mastitis screening is seldom practised.</w:t>
      </w:r>
      <w:r>
        <w:rPr>
          <w:rFonts w:ascii="Times New Roman" w:hAnsi="Times New Roman" w:cs="Times New Roman"/>
          <w:color w:val="000000" w:themeColor="text1"/>
          <w:sz w:val="24"/>
          <w:szCs w:val="24"/>
        </w:rPr>
        <w:t xml:space="preserve"> </w:t>
      </w:r>
      <w:r w:rsidRPr="00BA7EE4">
        <w:rPr>
          <w:rFonts w:ascii="Times New Roman" w:hAnsi="Times New Roman" w:cs="Times New Roman"/>
          <w:color w:val="000000" w:themeColor="text1"/>
          <w:sz w:val="24"/>
          <w:szCs w:val="24"/>
        </w:rPr>
        <w:t>The absence of overt clinical signs in affected animals highlights the silent nature of the disease and underscores the importance of routine screening for early detection under field conditions.</w:t>
      </w:r>
    </w:p>
    <w:p w14:paraId="1E3D49A5" w14:textId="77777777" w:rsidR="00BA7EE4" w:rsidRPr="00BA7EE4" w:rsidRDefault="00BA7EE4" w:rsidP="00BA7EE4">
      <w:pPr>
        <w:pStyle w:val="ListParagraph"/>
        <w:spacing w:after="120" w:line="360" w:lineRule="auto"/>
        <w:ind w:left="0" w:firstLine="1440"/>
        <w:jc w:val="both"/>
        <w:rPr>
          <w:rFonts w:ascii="Times New Roman" w:hAnsi="Times New Roman" w:cs="Times New Roman"/>
          <w:color w:val="000000" w:themeColor="text1"/>
          <w:sz w:val="24"/>
          <w:szCs w:val="24"/>
        </w:rPr>
      </w:pPr>
    </w:p>
    <w:p w14:paraId="685B378E"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lastRenderedPageBreak/>
        <w:t>Quarter-wise distribution</w:t>
      </w:r>
    </w:p>
    <w:p w14:paraId="0E6F25A5" w14:textId="1E75374B" w:rsidR="0044518A" w:rsidRDefault="00C37FD0" w:rsidP="00C37FD0">
      <w:pPr>
        <w:spacing w:line="360" w:lineRule="auto"/>
        <w:ind w:firstLine="1418"/>
        <w:jc w:val="both"/>
        <w:rPr>
          <w:rFonts w:ascii="Times New Roman" w:hAnsi="Times New Roman" w:cs="Times New Roman"/>
          <w:sz w:val="24"/>
          <w:szCs w:val="24"/>
        </w:rPr>
      </w:pPr>
      <w:r w:rsidRPr="00C37FD0">
        <w:rPr>
          <w:rFonts w:ascii="Times New Roman" w:hAnsi="Times New Roman" w:cs="Times New Roman"/>
          <w:sz w:val="24"/>
          <w:szCs w:val="24"/>
        </w:rPr>
        <w:t xml:space="preserve">Analysis of quarter-wise distribution revealed that hind quarters were more frequently affected than </w:t>
      </w:r>
      <w:proofErr w:type="spellStart"/>
      <w:r w:rsidRPr="00C37FD0">
        <w:rPr>
          <w:rFonts w:ascii="Times New Roman" w:hAnsi="Times New Roman" w:cs="Times New Roman"/>
          <w:sz w:val="24"/>
          <w:szCs w:val="24"/>
        </w:rPr>
        <w:t>fore</w:t>
      </w:r>
      <w:proofErr w:type="spellEnd"/>
      <w:r w:rsidRPr="00C37FD0">
        <w:rPr>
          <w:rFonts w:ascii="Times New Roman" w:hAnsi="Times New Roman" w:cs="Times New Roman"/>
          <w:sz w:val="24"/>
          <w:szCs w:val="24"/>
        </w:rPr>
        <w:t xml:space="preserve"> quarters, with the right hind quarter showing the highest involvement, followed by the left hind, right fore and left </w:t>
      </w:r>
      <w:proofErr w:type="spellStart"/>
      <w:r w:rsidRPr="00C37FD0">
        <w:rPr>
          <w:rFonts w:ascii="Times New Roman" w:hAnsi="Times New Roman" w:cs="Times New Roman"/>
          <w:sz w:val="24"/>
          <w:szCs w:val="24"/>
        </w:rPr>
        <w:t>fore</w:t>
      </w:r>
      <w:proofErr w:type="spellEnd"/>
      <w:r w:rsidRPr="00C37FD0">
        <w:rPr>
          <w:rFonts w:ascii="Times New Roman" w:hAnsi="Times New Roman" w:cs="Times New Roman"/>
          <w:sz w:val="24"/>
          <w:szCs w:val="24"/>
        </w:rPr>
        <w:t xml:space="preserve"> quarters. Out of the total 168 affected quarters, 100 (59.52%) belonged to hind quarters, whereas only 68 (40.48%) were fore quarters</w:t>
      </w:r>
      <w:r w:rsidR="00D1628C" w:rsidRPr="00BA7EE4">
        <w:rPr>
          <w:rFonts w:ascii="Times New Roman" w:hAnsi="Times New Roman" w:cs="Times New Roman"/>
          <w:sz w:val="24"/>
          <w:szCs w:val="24"/>
        </w:rPr>
        <w:t xml:space="preserve"> (Table 2</w:t>
      </w:r>
      <w:r w:rsidR="003B5E84">
        <w:rPr>
          <w:rFonts w:ascii="Times New Roman" w:hAnsi="Times New Roman" w:cs="Times New Roman"/>
          <w:sz w:val="24"/>
          <w:szCs w:val="24"/>
        </w:rPr>
        <w:t>; Figure 3B</w:t>
      </w:r>
      <w:r w:rsidR="00D1628C" w:rsidRPr="00BA7EE4">
        <w:rPr>
          <w:rFonts w:ascii="Times New Roman" w:hAnsi="Times New Roman" w:cs="Times New Roman"/>
          <w:sz w:val="24"/>
          <w:szCs w:val="24"/>
        </w:rPr>
        <w:t>)</w:t>
      </w:r>
      <w:r w:rsidR="0044518A" w:rsidRPr="00BA7EE4">
        <w:rPr>
          <w:rFonts w:ascii="Times New Roman" w:hAnsi="Times New Roman" w:cs="Times New Roman"/>
          <w:sz w:val="24"/>
          <w:szCs w:val="24"/>
        </w:rPr>
        <w:t>.</w:t>
      </w:r>
    </w:p>
    <w:p w14:paraId="272FDB4E" w14:textId="77777777" w:rsidR="00A617CF" w:rsidRPr="00BA7EE4" w:rsidRDefault="00A617CF" w:rsidP="00A617CF">
      <w:pPr>
        <w:spacing w:after="40" w:line="360"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Comparable distribution patterns have been reported in previous studies as well. Biffa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(2005) and Sharma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(2012) documented a higher prevalence of subclinical mastitis in hindquarters, attributing this to greater exposure of hind teats to environmental contaminants such as </w:t>
      </w:r>
      <w:proofErr w:type="spellStart"/>
      <w:r w:rsidRPr="00BA7EE4">
        <w:rPr>
          <w:rFonts w:ascii="Times New Roman" w:hAnsi="Times New Roman" w:cs="Times New Roman"/>
          <w:color w:val="000000" w:themeColor="text1"/>
          <w:sz w:val="24"/>
          <w:szCs w:val="24"/>
        </w:rPr>
        <w:t>feces</w:t>
      </w:r>
      <w:proofErr w:type="spellEnd"/>
      <w:r w:rsidRPr="00BA7EE4">
        <w:rPr>
          <w:rFonts w:ascii="Times New Roman" w:hAnsi="Times New Roman" w:cs="Times New Roman"/>
          <w:color w:val="000000" w:themeColor="text1"/>
          <w:sz w:val="24"/>
          <w:szCs w:val="24"/>
        </w:rPr>
        <w:t xml:space="preserve">, urine and mud. Similarly, Sori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(2005) and Sharma and Sindhu (2007) reported the RH quarter as the most commonly affected, possibly due to anatomical positioning of the udder and milking-related factors such as incomplete milk evacuation.</w:t>
      </w:r>
    </w:p>
    <w:p w14:paraId="71FCF608" w14:textId="77777777" w:rsidR="00A617CF" w:rsidRDefault="00A617CF" w:rsidP="00A617CF">
      <w:pPr>
        <w:pStyle w:val="ListParagraph"/>
        <w:spacing w:after="40" w:line="360" w:lineRule="auto"/>
        <w:ind w:left="0"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In contrast, the forequarters, particularly the Left Fore (LF) quarter, showed the lowest incidence of infection in the present study. </w:t>
      </w:r>
      <w:proofErr w:type="spellStart"/>
      <w:r w:rsidRPr="00BA7EE4">
        <w:rPr>
          <w:rFonts w:ascii="Times New Roman" w:hAnsi="Times New Roman" w:cs="Times New Roman"/>
          <w:color w:val="000000" w:themeColor="text1"/>
          <w:sz w:val="24"/>
          <w:szCs w:val="24"/>
        </w:rPr>
        <w:t>Radostits</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(2000) suggested that comparatively lower milk yield, better accessibility during milking and ease of cleaning of the forequarters may contribute to their reduced susceptibility. The higher involvement of the RH quarter observed in the present study is further supported by Shittu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(2008), who noted that cattle frequently lie on their right side after feeding, increasing the likelihood of contact between the RH teat and contaminated ground surfaces. Such risks may be further amplified in unorganized dairy management systems characterized by suboptimal hygiene and housing conditions.</w:t>
      </w:r>
    </w:p>
    <w:p w14:paraId="55AD8107" w14:textId="0E36296F" w:rsidR="00C37FD0" w:rsidRPr="00BA7EE4" w:rsidRDefault="00C37FD0" w:rsidP="00A617CF">
      <w:pPr>
        <w:pStyle w:val="ListParagraph"/>
        <w:spacing w:after="40" w:line="360" w:lineRule="auto"/>
        <w:ind w:left="0" w:firstLine="1440"/>
        <w:jc w:val="both"/>
        <w:rPr>
          <w:rFonts w:ascii="Times New Roman" w:hAnsi="Times New Roman" w:cs="Times New Roman"/>
          <w:color w:val="000000" w:themeColor="text1"/>
          <w:sz w:val="24"/>
          <w:szCs w:val="24"/>
        </w:rPr>
      </w:pPr>
      <w:r w:rsidRPr="00C37FD0">
        <w:rPr>
          <w:rFonts w:ascii="Times New Roman" w:hAnsi="Times New Roman" w:cs="Times New Roman"/>
          <w:color w:val="000000" w:themeColor="text1"/>
          <w:sz w:val="24"/>
          <w:szCs w:val="24"/>
        </w:rPr>
        <w:t>The higher susceptibility of hind quarters observed in the present study may be attributed to several anatomical and management-related factors. Hind quarters are more exposed to environmental contamination from dung, urine and wet flooring, particularly under field conditions where animals are often housed on unpaved or poorly drained floors. Additionally, during recumbency, hind quarters are more likely to come in direct contact with contaminated bedding material, increasing the risk of environmental mastitis pathogens gaining access to the teat canal.</w:t>
      </w:r>
    </w:p>
    <w:p w14:paraId="2F85F6F8" w14:textId="77777777" w:rsidR="00A617CF" w:rsidRPr="00BA7EE4" w:rsidRDefault="00A617CF" w:rsidP="0044518A">
      <w:pPr>
        <w:spacing w:line="360" w:lineRule="auto"/>
        <w:jc w:val="both"/>
        <w:rPr>
          <w:rFonts w:ascii="Times New Roman" w:hAnsi="Times New Roman" w:cs="Times New Roman"/>
          <w:sz w:val="24"/>
          <w:szCs w:val="24"/>
        </w:rPr>
      </w:pPr>
    </w:p>
    <w:p w14:paraId="05363803"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Age-wise incidence</w:t>
      </w:r>
    </w:p>
    <w:p w14:paraId="0C0F7AAC" w14:textId="2737F1C2" w:rsidR="0044518A" w:rsidRPr="00BA7EE4"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Age had a significant influence on SCM incidence. The highest incidence was recorded in cattle aged 5–6 years (42.50%) and 7–8 years (38.09%), whereas the lowest </w:t>
      </w:r>
      <w:r w:rsidRPr="00BA7EE4">
        <w:rPr>
          <w:rFonts w:ascii="Times New Roman" w:hAnsi="Times New Roman" w:cs="Times New Roman"/>
          <w:sz w:val="24"/>
          <w:szCs w:val="24"/>
        </w:rPr>
        <w:lastRenderedPageBreak/>
        <w:t>incidence was observed in the 3–</w:t>
      </w:r>
      <w:proofErr w:type="gramStart"/>
      <w:r w:rsidRPr="00BA7EE4">
        <w:rPr>
          <w:rFonts w:ascii="Times New Roman" w:hAnsi="Times New Roman" w:cs="Times New Roman"/>
          <w:sz w:val="24"/>
          <w:szCs w:val="24"/>
        </w:rPr>
        <w:t>4 year</w:t>
      </w:r>
      <w:proofErr w:type="gramEnd"/>
      <w:r w:rsidRPr="00BA7EE4">
        <w:rPr>
          <w:rFonts w:ascii="Times New Roman" w:hAnsi="Times New Roman" w:cs="Times New Roman"/>
          <w:sz w:val="24"/>
          <w:szCs w:val="24"/>
        </w:rPr>
        <w:t xml:space="preserve"> age group (7.</w:t>
      </w:r>
      <w:r w:rsidR="00BC468A">
        <w:rPr>
          <w:rFonts w:ascii="Times New Roman" w:hAnsi="Times New Roman" w:cs="Times New Roman"/>
          <w:sz w:val="24"/>
          <w:szCs w:val="24"/>
        </w:rPr>
        <w:t>54</w:t>
      </w:r>
      <w:r w:rsidRPr="00BA7EE4">
        <w:rPr>
          <w:rFonts w:ascii="Times New Roman" w:hAnsi="Times New Roman" w:cs="Times New Roman"/>
          <w:sz w:val="24"/>
          <w:szCs w:val="24"/>
        </w:rPr>
        <w:t>%)</w:t>
      </w:r>
      <w:r w:rsidR="0087475C">
        <w:rPr>
          <w:rFonts w:ascii="Times New Roman" w:hAnsi="Times New Roman" w:cs="Times New Roman"/>
          <w:sz w:val="24"/>
          <w:szCs w:val="24"/>
        </w:rPr>
        <w:t>.</w:t>
      </w:r>
      <w:r w:rsidR="0087475C" w:rsidRPr="0087475C">
        <w:t xml:space="preserve"> </w:t>
      </w:r>
      <w:r w:rsidR="0087475C" w:rsidRPr="0087475C">
        <w:rPr>
          <w:rFonts w:ascii="Times New Roman" w:hAnsi="Times New Roman" w:cs="Times New Roman"/>
          <w:sz w:val="24"/>
          <w:szCs w:val="24"/>
        </w:rPr>
        <w:t>A decline in incidence was again observed in animals aged above 10 years.</w:t>
      </w:r>
      <w:r w:rsidR="00D1628C" w:rsidRPr="00BA7EE4">
        <w:rPr>
          <w:rFonts w:ascii="Times New Roman" w:hAnsi="Times New Roman" w:cs="Times New Roman"/>
          <w:sz w:val="24"/>
          <w:szCs w:val="24"/>
        </w:rPr>
        <w:t xml:space="preserve"> (Table 3</w:t>
      </w:r>
      <w:r w:rsidR="00781E68">
        <w:rPr>
          <w:rFonts w:ascii="Times New Roman" w:hAnsi="Times New Roman" w:cs="Times New Roman"/>
          <w:sz w:val="24"/>
          <w:szCs w:val="24"/>
        </w:rPr>
        <w:t>; Figure 3C</w:t>
      </w:r>
      <w:r w:rsidR="00D1628C" w:rsidRPr="00BA7EE4">
        <w:rPr>
          <w:rFonts w:ascii="Times New Roman" w:hAnsi="Times New Roman" w:cs="Times New Roman"/>
          <w:sz w:val="24"/>
          <w:szCs w:val="24"/>
        </w:rPr>
        <w:t>)</w:t>
      </w:r>
      <w:r w:rsidRPr="00BA7EE4">
        <w:rPr>
          <w:rFonts w:ascii="Times New Roman" w:hAnsi="Times New Roman" w:cs="Times New Roman"/>
          <w:sz w:val="24"/>
          <w:szCs w:val="24"/>
        </w:rPr>
        <w:t>.</w:t>
      </w:r>
    </w:p>
    <w:p w14:paraId="37FE52B3" w14:textId="77777777" w:rsidR="00A617CF" w:rsidRPr="00BA7EE4" w:rsidRDefault="00A617CF" w:rsidP="00A617CF">
      <w:pPr>
        <w:spacing w:after="40" w:line="360"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results indicated a higher incidence of subclinical mastitis in mid-aged cattle, particularly between 5 to 8 years of age. Similar observations have been reported by </w:t>
      </w:r>
      <w:proofErr w:type="spellStart"/>
      <w:r w:rsidRPr="00BA7EE4">
        <w:rPr>
          <w:rFonts w:ascii="Times New Roman" w:hAnsi="Times New Roman" w:cs="Times New Roman"/>
          <w:color w:val="000000" w:themeColor="text1"/>
          <w:sz w:val="24"/>
          <w:szCs w:val="24"/>
        </w:rPr>
        <w:t>Maramulla</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(2024), who documented higher SCM incidence in cows aged 5-7 years. Ali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(2021) and </w:t>
      </w:r>
      <w:proofErr w:type="spellStart"/>
      <w:r w:rsidRPr="00BA7EE4">
        <w:rPr>
          <w:rFonts w:ascii="Times New Roman" w:hAnsi="Times New Roman" w:cs="Times New Roman"/>
          <w:color w:val="000000" w:themeColor="text1"/>
          <w:sz w:val="24"/>
          <w:szCs w:val="24"/>
        </w:rPr>
        <w:t>Mramba</w:t>
      </w:r>
      <w:proofErr w:type="spellEnd"/>
      <w:r w:rsidRPr="00BA7EE4">
        <w:rPr>
          <w:rFonts w:ascii="Times New Roman" w:hAnsi="Times New Roman" w:cs="Times New Roman"/>
          <w:color w:val="000000" w:themeColor="text1"/>
          <w:sz w:val="24"/>
          <w:szCs w:val="24"/>
        </w:rPr>
        <w:t xml:space="preserve"> and Mohamed (2024) also reported increased susceptibility in mature cows, attributing it to repeated lactations, cumulative udder stress and prolonged exposure to environmental pathogens. </w:t>
      </w:r>
      <w:proofErr w:type="spellStart"/>
      <w:r w:rsidRPr="00BA7EE4">
        <w:rPr>
          <w:rFonts w:ascii="Times New Roman" w:hAnsi="Times New Roman" w:cs="Times New Roman"/>
          <w:color w:val="000000" w:themeColor="text1"/>
          <w:sz w:val="24"/>
          <w:szCs w:val="24"/>
        </w:rPr>
        <w:t>Mulugeta</w:t>
      </w:r>
      <w:proofErr w:type="spellEnd"/>
      <w:r w:rsidRPr="00BA7EE4">
        <w:rPr>
          <w:rFonts w:ascii="Times New Roman" w:hAnsi="Times New Roman" w:cs="Times New Roman"/>
          <w:color w:val="000000" w:themeColor="text1"/>
          <w:sz w:val="24"/>
          <w:szCs w:val="24"/>
        </w:rPr>
        <w:t xml:space="preserve"> and </w:t>
      </w:r>
      <w:proofErr w:type="spellStart"/>
      <w:r w:rsidRPr="00BA7EE4">
        <w:rPr>
          <w:rFonts w:ascii="Times New Roman" w:hAnsi="Times New Roman" w:cs="Times New Roman"/>
          <w:color w:val="000000" w:themeColor="text1"/>
          <w:sz w:val="24"/>
          <w:szCs w:val="24"/>
        </w:rPr>
        <w:t>Wassie</w:t>
      </w:r>
      <w:proofErr w:type="spellEnd"/>
      <w:r w:rsidRPr="00BA7EE4">
        <w:rPr>
          <w:rFonts w:ascii="Times New Roman" w:hAnsi="Times New Roman" w:cs="Times New Roman"/>
          <w:color w:val="000000" w:themeColor="text1"/>
          <w:sz w:val="24"/>
          <w:szCs w:val="24"/>
        </w:rPr>
        <w:t xml:space="preserve"> (2013) further associated higher SCM prevalence in older cattle with compromised teat-end integrity and declining milking hygiene over successive lactations.</w:t>
      </w:r>
    </w:p>
    <w:p w14:paraId="32B7699B" w14:textId="77777777" w:rsidR="00A617CF" w:rsidRPr="00BA7EE4" w:rsidRDefault="00A617CF" w:rsidP="00A617CF">
      <w:pPr>
        <w:spacing w:after="40" w:line="360"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In contrast, the comparatively low incidence observed in younger cattle (3-4 years) agrees with the findings of </w:t>
      </w:r>
      <w:proofErr w:type="spellStart"/>
      <w:r w:rsidRPr="00BA7EE4">
        <w:rPr>
          <w:rFonts w:ascii="Times New Roman" w:hAnsi="Times New Roman" w:cs="Times New Roman"/>
          <w:color w:val="000000" w:themeColor="text1"/>
          <w:sz w:val="24"/>
          <w:szCs w:val="24"/>
        </w:rPr>
        <w:t>Khasapane</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(2023), who reported better teat sphincter tone and more effective immune responses in younger animals.</w:t>
      </w:r>
    </w:p>
    <w:p w14:paraId="40F955A6" w14:textId="77777777" w:rsidR="0087475C" w:rsidRPr="0087475C" w:rsidRDefault="0087475C" w:rsidP="0087475C">
      <w:pPr>
        <w:spacing w:line="360" w:lineRule="auto"/>
        <w:ind w:firstLine="1418"/>
        <w:jc w:val="both"/>
        <w:rPr>
          <w:rFonts w:ascii="Times New Roman" w:hAnsi="Times New Roman" w:cs="Times New Roman"/>
          <w:sz w:val="24"/>
          <w:szCs w:val="24"/>
        </w:rPr>
      </w:pPr>
      <w:r w:rsidRPr="0087475C">
        <w:rPr>
          <w:rFonts w:ascii="Times New Roman" w:hAnsi="Times New Roman" w:cs="Times New Roman"/>
          <w:sz w:val="24"/>
          <w:szCs w:val="24"/>
        </w:rPr>
        <w:t>These findings indicate that age is an important host-related risk factor for SCM and that middle-aged, high-producing cows represent a critical target group for mastitis prevention programmes.</w:t>
      </w:r>
    </w:p>
    <w:p w14:paraId="48E1D913" w14:textId="5EA69711" w:rsidR="0044518A" w:rsidRPr="00BA7EE4" w:rsidRDefault="0044518A" w:rsidP="0044518A">
      <w:pPr>
        <w:spacing w:line="360" w:lineRule="auto"/>
        <w:jc w:val="both"/>
        <w:rPr>
          <w:rFonts w:ascii="Times New Roman" w:hAnsi="Times New Roman" w:cs="Times New Roman"/>
          <w:sz w:val="24"/>
          <w:szCs w:val="24"/>
        </w:rPr>
      </w:pPr>
    </w:p>
    <w:p w14:paraId="1B517769"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Parity-wise incidence</w:t>
      </w:r>
    </w:p>
    <w:p w14:paraId="1F5EB1E4" w14:textId="5258DCCA" w:rsidR="0044518A"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Parity exerted a significant effect on SCM occurrence. </w:t>
      </w:r>
      <w:r w:rsidR="0087475C" w:rsidRPr="0087475C">
        <w:rPr>
          <w:rFonts w:ascii="Times New Roman" w:hAnsi="Times New Roman" w:cs="Times New Roman"/>
          <w:sz w:val="24"/>
          <w:szCs w:val="24"/>
        </w:rPr>
        <w:t>The highest incidence was recorded in third parity (62.50%), followed by fourth parity (52.17%) and sixth parity (38.46%), whereas</w:t>
      </w:r>
      <w:r w:rsidR="0087475C">
        <w:rPr>
          <w:rFonts w:ascii="Times New Roman" w:hAnsi="Times New Roman" w:cs="Times New Roman"/>
          <w:sz w:val="24"/>
          <w:szCs w:val="24"/>
        </w:rPr>
        <w:t xml:space="preserve"> the</w:t>
      </w:r>
      <w:r w:rsidR="0087475C" w:rsidRPr="0087475C">
        <w:rPr>
          <w:rFonts w:ascii="Times New Roman" w:hAnsi="Times New Roman" w:cs="Times New Roman"/>
          <w:sz w:val="24"/>
          <w:szCs w:val="24"/>
        </w:rPr>
        <w:t xml:space="preserve"> lowest incidence (6.06%)</w:t>
      </w:r>
      <w:r w:rsidR="0087475C">
        <w:rPr>
          <w:rFonts w:ascii="Times New Roman" w:hAnsi="Times New Roman" w:cs="Times New Roman"/>
          <w:sz w:val="24"/>
          <w:szCs w:val="24"/>
        </w:rPr>
        <w:t xml:space="preserve"> was shown by </w:t>
      </w:r>
      <w:r w:rsidR="0087475C" w:rsidRPr="0087475C">
        <w:rPr>
          <w:rFonts w:ascii="Times New Roman" w:hAnsi="Times New Roman" w:cs="Times New Roman"/>
          <w:sz w:val="24"/>
          <w:szCs w:val="24"/>
        </w:rPr>
        <w:t xml:space="preserve">primiparous cows </w:t>
      </w:r>
      <w:r w:rsidR="00D1628C" w:rsidRPr="00BA7EE4">
        <w:rPr>
          <w:rFonts w:ascii="Times New Roman" w:hAnsi="Times New Roman" w:cs="Times New Roman"/>
          <w:sz w:val="24"/>
          <w:szCs w:val="24"/>
        </w:rPr>
        <w:t>(Table 4</w:t>
      </w:r>
      <w:r w:rsidR="00781E68">
        <w:rPr>
          <w:rFonts w:ascii="Times New Roman" w:hAnsi="Times New Roman" w:cs="Times New Roman"/>
          <w:sz w:val="24"/>
          <w:szCs w:val="24"/>
        </w:rPr>
        <w:t>; Figure 3D</w:t>
      </w:r>
      <w:r w:rsidR="00D1628C" w:rsidRPr="00BA7EE4">
        <w:rPr>
          <w:rFonts w:ascii="Times New Roman" w:hAnsi="Times New Roman" w:cs="Times New Roman"/>
          <w:sz w:val="24"/>
          <w:szCs w:val="24"/>
        </w:rPr>
        <w:t>)</w:t>
      </w:r>
      <w:r w:rsidRPr="00BA7EE4">
        <w:rPr>
          <w:rFonts w:ascii="Times New Roman" w:hAnsi="Times New Roman" w:cs="Times New Roman"/>
          <w:sz w:val="24"/>
          <w:szCs w:val="24"/>
        </w:rPr>
        <w:t>.</w:t>
      </w:r>
    </w:p>
    <w:p w14:paraId="4558CEED" w14:textId="77777777" w:rsidR="00A617CF" w:rsidRPr="00BA7EE4" w:rsidRDefault="00A617CF" w:rsidP="0087475C">
      <w:pPr>
        <w:spacing w:after="40" w:line="360" w:lineRule="auto"/>
        <w:ind w:firstLine="1418"/>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present study indicated that the occurrence of subclinical mastitis increased after the first parity and peaked during the mid-parity period. This trend is supported by the findings of </w:t>
      </w:r>
      <w:proofErr w:type="spellStart"/>
      <w:r w:rsidRPr="00BA7EE4">
        <w:rPr>
          <w:rFonts w:ascii="Times New Roman" w:hAnsi="Times New Roman" w:cs="Times New Roman"/>
          <w:color w:val="000000" w:themeColor="text1"/>
          <w:sz w:val="24"/>
          <w:szCs w:val="24"/>
        </w:rPr>
        <w:t>Mazreku</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(2025) and Ali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(2021), who reported a significantly higher prevalence of subclinical mastitis in multiparous cows than in primiparous animals. The increased susceptibility during mid-parity has been associated with cumulative teat-end wear, repeated exposure to mastitis pathogens and higher milk yield coupled with increased metabolic demand during peak production stages (</w:t>
      </w:r>
      <w:proofErr w:type="spellStart"/>
      <w:r w:rsidRPr="00BA7EE4">
        <w:rPr>
          <w:rFonts w:ascii="Times New Roman" w:hAnsi="Times New Roman" w:cs="Times New Roman"/>
          <w:color w:val="000000" w:themeColor="text1"/>
          <w:sz w:val="24"/>
          <w:szCs w:val="24"/>
        </w:rPr>
        <w:t>Mramba</w:t>
      </w:r>
      <w:proofErr w:type="spellEnd"/>
      <w:r w:rsidRPr="00BA7EE4">
        <w:rPr>
          <w:rFonts w:ascii="Times New Roman" w:hAnsi="Times New Roman" w:cs="Times New Roman"/>
          <w:color w:val="000000" w:themeColor="text1"/>
          <w:sz w:val="24"/>
          <w:szCs w:val="24"/>
        </w:rPr>
        <w:t xml:space="preserve"> and Mohamed, 2024).</w:t>
      </w:r>
    </w:p>
    <w:p w14:paraId="7B073BE0" w14:textId="77777777" w:rsidR="00A617CF" w:rsidRDefault="00A617CF" w:rsidP="00A617CF">
      <w:pPr>
        <w:spacing w:after="40" w:line="360"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comparatively lower occurrence of subclinical mastitis in primiparous cows observed in the present study is in agreement with </w:t>
      </w:r>
      <w:proofErr w:type="spellStart"/>
      <w:r w:rsidRPr="00BA7EE4">
        <w:rPr>
          <w:rFonts w:ascii="Times New Roman" w:hAnsi="Times New Roman" w:cs="Times New Roman"/>
          <w:color w:val="000000" w:themeColor="text1"/>
          <w:sz w:val="24"/>
          <w:szCs w:val="24"/>
        </w:rPr>
        <w:t>Khasapane</w:t>
      </w:r>
      <w:proofErr w:type="spellEnd"/>
      <w:r w:rsidRPr="00BA7EE4">
        <w:rPr>
          <w:rFonts w:ascii="Times New Roman" w:hAnsi="Times New Roman" w:cs="Times New Roman"/>
          <w:color w:val="000000" w:themeColor="text1"/>
          <w:sz w:val="24"/>
          <w:szCs w:val="24"/>
        </w:rPr>
        <w:t xml:space="preserve">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(2023), who attributed this </w:t>
      </w:r>
      <w:r w:rsidRPr="00BA7EE4">
        <w:rPr>
          <w:rFonts w:ascii="Times New Roman" w:hAnsi="Times New Roman" w:cs="Times New Roman"/>
          <w:color w:val="000000" w:themeColor="text1"/>
          <w:sz w:val="24"/>
          <w:szCs w:val="24"/>
        </w:rPr>
        <w:lastRenderedPageBreak/>
        <w:t>to stronger teat sphincter tone, healthier udder tissue and minimal prior exposure to intramammary infections. Similarly, the reduced incidence noted in late-parity cows (7th and 8th parity) may be related to lower milk yield and reduced physiological stress, which could limit pathogen proliferation and udder tissue damage.</w:t>
      </w:r>
    </w:p>
    <w:p w14:paraId="4CB9B25A" w14:textId="5283C4EA" w:rsidR="0087475C" w:rsidRPr="00BA7EE4" w:rsidRDefault="0087475C" w:rsidP="00A617CF">
      <w:pPr>
        <w:spacing w:after="40" w:line="360" w:lineRule="auto"/>
        <w:ind w:firstLine="1440"/>
        <w:jc w:val="both"/>
        <w:rPr>
          <w:rFonts w:ascii="Times New Roman" w:hAnsi="Times New Roman" w:cs="Times New Roman"/>
          <w:color w:val="000000" w:themeColor="text1"/>
          <w:sz w:val="24"/>
          <w:szCs w:val="24"/>
        </w:rPr>
      </w:pPr>
      <w:r w:rsidRPr="0087475C">
        <w:rPr>
          <w:rFonts w:ascii="Times New Roman" w:hAnsi="Times New Roman" w:cs="Times New Roman"/>
          <w:color w:val="000000" w:themeColor="text1"/>
          <w:sz w:val="24"/>
          <w:szCs w:val="24"/>
        </w:rPr>
        <w:t>The present findings clearly indicate that mid-parity cows (3rd–5th lactation) constitute the most vulnerable group and should receive priority attention in mastitis surveillance and control programmes.</w:t>
      </w:r>
    </w:p>
    <w:p w14:paraId="0B6F061D" w14:textId="77777777" w:rsidR="0044518A" w:rsidRPr="00BA7EE4"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Stage of lactation</w:t>
      </w:r>
    </w:p>
    <w:p w14:paraId="3D4A2C60" w14:textId="056F0DAF" w:rsidR="0044518A" w:rsidRDefault="0044518A" w:rsidP="00BA7EE4">
      <w:pPr>
        <w:spacing w:line="360" w:lineRule="auto"/>
        <w:ind w:firstLine="1418"/>
        <w:jc w:val="both"/>
        <w:rPr>
          <w:rFonts w:ascii="Times New Roman" w:hAnsi="Times New Roman" w:cs="Times New Roman"/>
          <w:sz w:val="24"/>
          <w:szCs w:val="24"/>
        </w:rPr>
      </w:pPr>
      <w:r w:rsidRPr="00BA7EE4">
        <w:rPr>
          <w:rFonts w:ascii="Times New Roman" w:hAnsi="Times New Roman" w:cs="Times New Roman"/>
          <w:sz w:val="24"/>
          <w:szCs w:val="24"/>
        </w:rPr>
        <w:t xml:space="preserve">Stage of lactation significantly influenced SCM incidence. </w:t>
      </w:r>
      <w:r w:rsidR="0087475C" w:rsidRPr="0087475C">
        <w:rPr>
          <w:rFonts w:ascii="Times New Roman" w:hAnsi="Times New Roman" w:cs="Times New Roman"/>
          <w:sz w:val="24"/>
          <w:szCs w:val="24"/>
        </w:rPr>
        <w:t xml:space="preserve">The highest incidence was recorded during early lactation (44.26%), followed by mid lactation (30.50%), whereas the lowest incidence was observed during late lactation (11.90%) </w:t>
      </w:r>
      <w:r w:rsidR="00D1628C" w:rsidRPr="00BA7EE4">
        <w:rPr>
          <w:rFonts w:ascii="Times New Roman" w:hAnsi="Times New Roman" w:cs="Times New Roman"/>
          <w:sz w:val="24"/>
          <w:szCs w:val="24"/>
        </w:rPr>
        <w:t>(Table 5</w:t>
      </w:r>
      <w:r w:rsidR="00781E68">
        <w:rPr>
          <w:rFonts w:ascii="Times New Roman" w:hAnsi="Times New Roman" w:cs="Times New Roman"/>
          <w:sz w:val="24"/>
          <w:szCs w:val="24"/>
        </w:rPr>
        <w:t>; Figure 3E</w:t>
      </w:r>
      <w:r w:rsidR="00D1628C" w:rsidRPr="00BA7EE4">
        <w:rPr>
          <w:rFonts w:ascii="Times New Roman" w:hAnsi="Times New Roman" w:cs="Times New Roman"/>
          <w:sz w:val="24"/>
          <w:szCs w:val="24"/>
        </w:rPr>
        <w:t>)</w:t>
      </w:r>
      <w:r w:rsidRPr="00BA7EE4">
        <w:rPr>
          <w:rFonts w:ascii="Times New Roman" w:hAnsi="Times New Roman" w:cs="Times New Roman"/>
          <w:sz w:val="24"/>
          <w:szCs w:val="24"/>
        </w:rPr>
        <w:t>.</w:t>
      </w:r>
    </w:p>
    <w:p w14:paraId="3BAA4425" w14:textId="102A36ED" w:rsidR="00395C30" w:rsidRPr="00BA7EE4" w:rsidRDefault="00395C30" w:rsidP="00BA7EE4">
      <w:pPr>
        <w:spacing w:line="360" w:lineRule="auto"/>
        <w:ind w:firstLine="1418"/>
        <w:jc w:val="both"/>
        <w:rPr>
          <w:rFonts w:ascii="Times New Roman" w:hAnsi="Times New Roman" w:cs="Times New Roman"/>
          <w:sz w:val="24"/>
          <w:szCs w:val="24"/>
        </w:rPr>
      </w:pPr>
      <w:r w:rsidRPr="00395C30">
        <w:rPr>
          <w:rFonts w:ascii="Times New Roman" w:hAnsi="Times New Roman" w:cs="Times New Roman"/>
          <w:sz w:val="24"/>
          <w:szCs w:val="24"/>
        </w:rPr>
        <w:t>Early lactation is a physiologically critical period characterized by negative energy balance, hormonal fluctuations and transient immunosuppression, which collectively reduce the animal’s ability to combat intramammary infections. Additionally, the periparturient period is associated with increased exposure to environmental pathogens, especially under field conditions where calving hygiene may be suboptimal.</w:t>
      </w:r>
    </w:p>
    <w:p w14:paraId="164C14EF" w14:textId="77777777" w:rsidR="00A617CF" w:rsidRPr="00BA7EE4" w:rsidRDefault="00A617CF" w:rsidP="00A617CF">
      <w:pPr>
        <w:spacing w:after="240" w:line="379"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higher incidence of subclinical mastitis observed during early lactation in the present study is in close agreement with several earlier reports. Patel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(2023) documented the highest SCM prevalence during early lactation in Gir cows whereas Tanvi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(2024) reported increased SCM occurrence immediately after calving, attributing it to transition stress, negative energy balance and transient immunosuppression. Yadav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(2019) also observed greater udder susceptibility during early lactation due to physiological strain and peak milk production.</w:t>
      </w:r>
    </w:p>
    <w:p w14:paraId="7FCBDB41" w14:textId="77777777" w:rsidR="00A617CF" w:rsidRPr="00BA7EE4" w:rsidRDefault="00A617CF" w:rsidP="00A617CF">
      <w:pPr>
        <w:spacing w:after="240" w:line="379" w:lineRule="auto"/>
        <w:ind w:firstLine="1440"/>
        <w:jc w:val="both"/>
        <w:rPr>
          <w:rFonts w:ascii="Times New Roman" w:hAnsi="Times New Roman" w:cs="Times New Roman"/>
          <w:color w:val="000000" w:themeColor="text1"/>
          <w:sz w:val="24"/>
          <w:szCs w:val="24"/>
        </w:rPr>
      </w:pPr>
      <w:r w:rsidRPr="00BA7EE4">
        <w:rPr>
          <w:rFonts w:ascii="Times New Roman" w:hAnsi="Times New Roman" w:cs="Times New Roman"/>
          <w:color w:val="000000" w:themeColor="text1"/>
          <w:sz w:val="24"/>
          <w:szCs w:val="24"/>
        </w:rPr>
        <w:t xml:space="preserve">The moderate incidence recorded during mid-lactation corresponds with the findings of Bhuiyan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(2020), who suggested that sustained milk yield and prolonged exposure to environmental pathogens may increase infection risk during this stage. In contrast, the comparatively lower incidence observed during late lactation may be related to reduced milk secretion and partial recovery of immune function, as reported by Patel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(2023) and Yadav </w:t>
      </w:r>
      <w:r w:rsidRPr="00BA7EE4">
        <w:rPr>
          <w:rFonts w:ascii="Times New Roman" w:hAnsi="Times New Roman" w:cs="Times New Roman"/>
          <w:i/>
          <w:iCs/>
          <w:color w:val="000000" w:themeColor="text1"/>
          <w:sz w:val="24"/>
          <w:szCs w:val="24"/>
        </w:rPr>
        <w:t>et al.</w:t>
      </w:r>
      <w:r w:rsidRPr="00BA7EE4">
        <w:rPr>
          <w:rFonts w:ascii="Times New Roman" w:hAnsi="Times New Roman" w:cs="Times New Roman"/>
          <w:color w:val="000000" w:themeColor="text1"/>
          <w:sz w:val="24"/>
          <w:szCs w:val="24"/>
        </w:rPr>
        <w:t xml:space="preserve"> (2019).</w:t>
      </w:r>
    </w:p>
    <w:p w14:paraId="331E0821" w14:textId="15D28378" w:rsidR="0044518A" w:rsidRDefault="0087475C" w:rsidP="0087475C">
      <w:pPr>
        <w:spacing w:line="360" w:lineRule="auto"/>
        <w:ind w:firstLine="1418"/>
        <w:jc w:val="both"/>
        <w:rPr>
          <w:rFonts w:ascii="Times New Roman" w:hAnsi="Times New Roman" w:cs="Times New Roman"/>
          <w:sz w:val="24"/>
          <w:szCs w:val="24"/>
        </w:rPr>
      </w:pPr>
      <w:r w:rsidRPr="0087475C">
        <w:rPr>
          <w:rFonts w:ascii="Times New Roman" w:hAnsi="Times New Roman" w:cs="Times New Roman"/>
          <w:sz w:val="24"/>
          <w:szCs w:val="24"/>
        </w:rPr>
        <w:lastRenderedPageBreak/>
        <w:t>The present findings emphasize the importance of periparturient mastitis management, including pre-calving hygiene, dry period management and early lactation monitoring, to reduce the incidence of SCM in dairy herds.</w:t>
      </w:r>
    </w:p>
    <w:p w14:paraId="36C6597C" w14:textId="77777777" w:rsidR="002D44C0" w:rsidRPr="002D44C0" w:rsidRDefault="002D44C0" w:rsidP="002D44C0">
      <w:pPr>
        <w:spacing w:line="360" w:lineRule="auto"/>
        <w:jc w:val="both"/>
        <w:rPr>
          <w:rFonts w:ascii="Times New Roman" w:hAnsi="Times New Roman" w:cs="Times New Roman"/>
          <w:b/>
          <w:bCs/>
          <w:sz w:val="24"/>
          <w:szCs w:val="24"/>
        </w:rPr>
      </w:pPr>
      <w:r w:rsidRPr="002D44C0">
        <w:rPr>
          <w:rFonts w:ascii="Times New Roman" w:hAnsi="Times New Roman" w:cs="Times New Roman"/>
          <w:b/>
          <w:bCs/>
          <w:sz w:val="24"/>
          <w:szCs w:val="24"/>
        </w:rPr>
        <w:t>Epidemiological significance and field implications</w:t>
      </w:r>
    </w:p>
    <w:p w14:paraId="7263AFA7" w14:textId="77777777" w:rsidR="002D44C0" w:rsidRPr="002D44C0" w:rsidRDefault="002D44C0" w:rsidP="002D44C0">
      <w:pPr>
        <w:spacing w:line="360" w:lineRule="auto"/>
        <w:ind w:firstLine="1418"/>
        <w:jc w:val="both"/>
        <w:rPr>
          <w:rFonts w:ascii="Times New Roman" w:hAnsi="Times New Roman" w:cs="Times New Roman"/>
          <w:sz w:val="24"/>
          <w:szCs w:val="24"/>
        </w:rPr>
      </w:pPr>
      <w:r w:rsidRPr="002D44C0">
        <w:rPr>
          <w:rFonts w:ascii="Times New Roman" w:hAnsi="Times New Roman" w:cs="Times New Roman"/>
          <w:sz w:val="24"/>
          <w:szCs w:val="24"/>
        </w:rPr>
        <w:t>The overall findings of the present study clearly demonstrate that subclinical mastitis is widely prevalent in dairy cattle in and around Jabalpur, with significant associations observed with quarter involvement, age, parity and stage of lactation. The use of MCMT in combination with SCC estimation proved effective for detection of SCM under field conditions, reinforcing its suitability as a routine screening tool in resource-limited settings.</w:t>
      </w:r>
    </w:p>
    <w:p w14:paraId="7556900D" w14:textId="77777777" w:rsidR="002D44C0" w:rsidRPr="002D44C0" w:rsidRDefault="002D44C0" w:rsidP="002D44C0">
      <w:pPr>
        <w:spacing w:line="360" w:lineRule="auto"/>
        <w:ind w:firstLine="1418"/>
        <w:jc w:val="both"/>
        <w:rPr>
          <w:rFonts w:ascii="Times New Roman" w:hAnsi="Times New Roman" w:cs="Times New Roman"/>
          <w:sz w:val="24"/>
          <w:szCs w:val="24"/>
        </w:rPr>
      </w:pPr>
      <w:r w:rsidRPr="002D44C0">
        <w:rPr>
          <w:rFonts w:ascii="Times New Roman" w:hAnsi="Times New Roman" w:cs="Times New Roman"/>
          <w:sz w:val="24"/>
          <w:szCs w:val="24"/>
        </w:rPr>
        <w:t>The moderate incidence observed in this study suggests that a substantial proportion of milk produced in the region may have compromised quality due to elevated SCC, posing both economic and public health concerns. Elevated SCC not only reduces milk yield and alters milk composition but also negatively affects processing characteristics and shelf life of dairy products (Joshi and Gokhale, 2006; Sharma et al., 2012).</w:t>
      </w:r>
    </w:p>
    <w:p w14:paraId="194E2784" w14:textId="26A3A475" w:rsidR="002D44C0" w:rsidRPr="00BA7EE4" w:rsidRDefault="002D44C0" w:rsidP="002D44C0">
      <w:pPr>
        <w:spacing w:line="360" w:lineRule="auto"/>
        <w:ind w:firstLine="1418"/>
        <w:jc w:val="both"/>
        <w:rPr>
          <w:rFonts w:ascii="Times New Roman" w:hAnsi="Times New Roman" w:cs="Times New Roman"/>
          <w:sz w:val="24"/>
          <w:szCs w:val="24"/>
        </w:rPr>
      </w:pPr>
      <w:r w:rsidRPr="002D44C0">
        <w:rPr>
          <w:rFonts w:ascii="Times New Roman" w:hAnsi="Times New Roman" w:cs="Times New Roman"/>
          <w:sz w:val="24"/>
          <w:szCs w:val="24"/>
        </w:rPr>
        <w:t>From an epidemiological perspective, the identification of high-risk groups such as hind quarters, middle-aged cows, mid-parity animals and early lactation stage provides valuable insights for designing targeted mastitis control strategies. Risk-based screening and management interventions are likely to be more cost-effective than blanket approaches, particularly in smallholder and peri-urban dairy systems.</w:t>
      </w:r>
    </w:p>
    <w:p w14:paraId="222AB0C2" w14:textId="77777777" w:rsidR="0044518A"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CONCLUSION</w:t>
      </w:r>
    </w:p>
    <w:p w14:paraId="4AA6535C" w14:textId="5FB02C50" w:rsidR="002D44C0" w:rsidRDefault="002D44C0" w:rsidP="0044518A">
      <w:pPr>
        <w:spacing w:line="360" w:lineRule="auto"/>
        <w:jc w:val="both"/>
        <w:rPr>
          <w:rFonts w:ascii="Times New Roman" w:hAnsi="Times New Roman" w:cs="Times New Roman"/>
          <w:sz w:val="24"/>
          <w:szCs w:val="24"/>
        </w:rPr>
      </w:pPr>
      <w:r w:rsidRPr="002D44C0">
        <w:rPr>
          <w:rFonts w:ascii="Times New Roman" w:hAnsi="Times New Roman" w:cs="Times New Roman"/>
          <w:sz w:val="24"/>
          <w:szCs w:val="24"/>
        </w:rPr>
        <w:t xml:space="preserve">The present study contributes region-specific epidemiological data on subclinical mastitis from central India, where such information is limited. The findings corroborate earlier reports from other regions while highlighting local risk factors under prevailing management conditions. </w:t>
      </w:r>
      <w:r w:rsidR="00BC468A" w:rsidRPr="00BC468A">
        <w:rPr>
          <w:rFonts w:ascii="Times New Roman" w:hAnsi="Times New Roman" w:cs="Times New Roman"/>
          <w:sz w:val="24"/>
          <w:szCs w:val="24"/>
        </w:rPr>
        <w:t>The identification of high-risk groups such as middle-aged, multiparous cows and animals in early lactation provides a basis for targeted mastitis surveillance programmes. Routine MCMT-based screening at field level may help reduce the hidden burden of SCM and improve milk quality in smallholder dairy systems.</w:t>
      </w:r>
    </w:p>
    <w:p w14:paraId="37F627B6" w14:textId="795E396B" w:rsidR="00010514" w:rsidRDefault="00010514" w:rsidP="0044518A">
      <w:pPr>
        <w:spacing w:line="360" w:lineRule="auto"/>
        <w:jc w:val="both"/>
        <w:rPr>
          <w:rFonts w:ascii="Times New Roman" w:hAnsi="Times New Roman" w:cs="Times New Roman"/>
          <w:sz w:val="24"/>
          <w:szCs w:val="24"/>
        </w:rPr>
      </w:pPr>
    </w:p>
    <w:p w14:paraId="2ECDC8F0" w14:textId="27A27DD3" w:rsidR="00010514" w:rsidRDefault="00010514" w:rsidP="0044518A">
      <w:pPr>
        <w:spacing w:line="360" w:lineRule="auto"/>
        <w:jc w:val="both"/>
        <w:rPr>
          <w:rFonts w:ascii="Times New Roman" w:hAnsi="Times New Roman" w:cs="Times New Roman"/>
          <w:sz w:val="24"/>
          <w:szCs w:val="24"/>
        </w:rPr>
      </w:pPr>
    </w:p>
    <w:p w14:paraId="266C105F" w14:textId="77777777" w:rsidR="00010514" w:rsidRDefault="00010514" w:rsidP="00010514">
      <w:pPr>
        <w:pStyle w:val="NoSpacing"/>
        <w:rPr>
          <w:rFonts w:ascii="Arial" w:hAnsi="Arial" w:cs="Arial"/>
          <w:highlight w:val="yellow"/>
        </w:rPr>
      </w:pPr>
      <w:bookmarkStart w:id="1" w:name="_Hlk198031404"/>
      <w:r>
        <w:rPr>
          <w:rFonts w:ascii="Arial" w:hAnsi="Arial" w:cs="Arial"/>
          <w:highlight w:val="yellow"/>
        </w:rPr>
        <w:t>Disclaimer (Artificial intelligence)</w:t>
      </w:r>
    </w:p>
    <w:p w14:paraId="1ABCDFAF" w14:textId="77777777" w:rsidR="00010514" w:rsidRDefault="00010514" w:rsidP="00010514">
      <w:pPr>
        <w:pStyle w:val="NoSpacing"/>
        <w:rPr>
          <w:rFonts w:ascii="Arial" w:hAnsi="Arial" w:cs="Arial"/>
          <w:highlight w:val="yellow"/>
        </w:rPr>
      </w:pPr>
    </w:p>
    <w:p w14:paraId="5ADE07E0" w14:textId="77777777" w:rsidR="00010514" w:rsidRDefault="00010514" w:rsidP="00010514">
      <w:pPr>
        <w:pStyle w:val="NoSpacing"/>
        <w:rPr>
          <w:rFonts w:ascii="Arial" w:hAnsi="Arial" w:cs="Arial"/>
          <w:highlight w:val="yellow"/>
        </w:rPr>
      </w:pPr>
      <w:r>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1FC1CAF1" w14:textId="77777777" w:rsidR="00010514" w:rsidRPr="002D44C0" w:rsidRDefault="00010514" w:rsidP="0044518A">
      <w:pPr>
        <w:spacing w:line="360" w:lineRule="auto"/>
        <w:jc w:val="both"/>
        <w:rPr>
          <w:rFonts w:ascii="Times New Roman" w:hAnsi="Times New Roman" w:cs="Times New Roman"/>
          <w:sz w:val="24"/>
          <w:szCs w:val="24"/>
        </w:rPr>
      </w:pPr>
    </w:p>
    <w:p w14:paraId="5D4EE367" w14:textId="77777777" w:rsidR="00430690" w:rsidRDefault="00430690" w:rsidP="0044518A">
      <w:pPr>
        <w:spacing w:line="360" w:lineRule="auto"/>
        <w:jc w:val="both"/>
        <w:rPr>
          <w:rFonts w:ascii="Times New Roman" w:hAnsi="Times New Roman" w:cs="Times New Roman"/>
          <w:b/>
          <w:bCs/>
          <w:sz w:val="24"/>
          <w:szCs w:val="24"/>
        </w:rPr>
      </w:pPr>
    </w:p>
    <w:p w14:paraId="1CE77D94" w14:textId="655DDF5D" w:rsidR="0044518A" w:rsidRDefault="0044518A" w:rsidP="0044518A">
      <w:pPr>
        <w:spacing w:line="360" w:lineRule="auto"/>
        <w:jc w:val="both"/>
        <w:rPr>
          <w:rFonts w:ascii="Times New Roman" w:hAnsi="Times New Roman" w:cs="Times New Roman"/>
          <w:b/>
          <w:bCs/>
          <w:sz w:val="24"/>
          <w:szCs w:val="24"/>
        </w:rPr>
      </w:pPr>
      <w:r w:rsidRPr="00BA7EE4">
        <w:rPr>
          <w:rFonts w:ascii="Times New Roman" w:hAnsi="Times New Roman" w:cs="Times New Roman"/>
          <w:b/>
          <w:bCs/>
          <w:sz w:val="24"/>
          <w:szCs w:val="24"/>
        </w:rPr>
        <w:t xml:space="preserve">REFERENCES </w:t>
      </w:r>
    </w:p>
    <w:p w14:paraId="6C033398"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Ali A, Ganie SA, Mir MR, Ahmad SB, Bhat RR, Mir BA. (2021). Risk factors associated with subclinical mastitis in dairy cows reared in district Ganderbal, </w:t>
      </w:r>
      <w:r w:rsidRPr="009D3B1F">
        <w:rPr>
          <w:rFonts w:ascii="Times New Roman" w:hAnsi="Times New Roman" w:cs="Times New Roman"/>
          <w:i/>
          <w:iCs/>
          <w:sz w:val="24"/>
          <w:szCs w:val="24"/>
        </w:rPr>
        <w:t>Jammu and Kashmir. Journal of Veterinary and Animal Sciences</w:t>
      </w:r>
      <w:r w:rsidRPr="009D3B1F">
        <w:rPr>
          <w:rFonts w:ascii="Times New Roman" w:hAnsi="Times New Roman" w:cs="Times New Roman"/>
          <w:sz w:val="24"/>
          <w:szCs w:val="24"/>
        </w:rPr>
        <w:t xml:space="preserve"> 52(4): 418-422.</w:t>
      </w:r>
    </w:p>
    <w:p w14:paraId="51DF33E5"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Bhuiyan MU, Shahadat HM, Chakma SS, Islam F, Islam R, Islam T, Mahfuz S. (2020). Prevalence of subclinical mastitis of dairy cows in </w:t>
      </w:r>
      <w:proofErr w:type="spellStart"/>
      <w:r w:rsidRPr="009D3B1F">
        <w:rPr>
          <w:rFonts w:ascii="Times New Roman" w:hAnsi="Times New Roman" w:cs="Times New Roman"/>
          <w:sz w:val="24"/>
          <w:szCs w:val="24"/>
        </w:rPr>
        <w:t>Bijoynagar</w:t>
      </w:r>
      <w:proofErr w:type="spellEnd"/>
      <w:r w:rsidRPr="009D3B1F">
        <w:rPr>
          <w:rFonts w:ascii="Times New Roman" w:hAnsi="Times New Roman" w:cs="Times New Roman"/>
          <w:sz w:val="24"/>
          <w:szCs w:val="24"/>
        </w:rPr>
        <w:t xml:space="preserve"> </w:t>
      </w:r>
      <w:proofErr w:type="spellStart"/>
      <w:r w:rsidRPr="009D3B1F">
        <w:rPr>
          <w:rFonts w:ascii="Times New Roman" w:hAnsi="Times New Roman" w:cs="Times New Roman"/>
          <w:sz w:val="24"/>
          <w:szCs w:val="24"/>
        </w:rPr>
        <w:t>Upazila</w:t>
      </w:r>
      <w:proofErr w:type="spellEnd"/>
      <w:r w:rsidRPr="009D3B1F">
        <w:rPr>
          <w:rFonts w:ascii="Times New Roman" w:hAnsi="Times New Roman" w:cs="Times New Roman"/>
          <w:sz w:val="24"/>
          <w:szCs w:val="24"/>
        </w:rPr>
        <w:t xml:space="preserve"> under </w:t>
      </w:r>
      <w:proofErr w:type="spellStart"/>
      <w:r w:rsidRPr="009D3B1F">
        <w:rPr>
          <w:rFonts w:ascii="Times New Roman" w:hAnsi="Times New Roman" w:cs="Times New Roman"/>
          <w:sz w:val="24"/>
          <w:szCs w:val="24"/>
        </w:rPr>
        <w:t>Brahmanbaria</w:t>
      </w:r>
      <w:proofErr w:type="spellEnd"/>
      <w:r w:rsidRPr="009D3B1F">
        <w:rPr>
          <w:rFonts w:ascii="Times New Roman" w:hAnsi="Times New Roman" w:cs="Times New Roman"/>
          <w:sz w:val="24"/>
          <w:szCs w:val="24"/>
        </w:rPr>
        <w:t xml:space="preserve"> District of Bangladesh. </w:t>
      </w:r>
      <w:r w:rsidRPr="009D3B1F">
        <w:rPr>
          <w:rFonts w:ascii="Times New Roman" w:hAnsi="Times New Roman" w:cs="Times New Roman"/>
          <w:i/>
          <w:iCs/>
          <w:sz w:val="24"/>
          <w:szCs w:val="24"/>
        </w:rPr>
        <w:t>Advances in Animal and Veterinary Sciences</w:t>
      </w:r>
      <w:r w:rsidRPr="009D3B1F">
        <w:rPr>
          <w:rFonts w:ascii="Times New Roman" w:hAnsi="Times New Roman" w:cs="Times New Roman"/>
          <w:sz w:val="24"/>
          <w:szCs w:val="24"/>
        </w:rPr>
        <w:t xml:space="preserve"> 8(4): 364-369.</w:t>
      </w:r>
    </w:p>
    <w:p w14:paraId="7AD6C4C2"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Biffa D, Debela E, Beyene F. (2005). Prevalence and risk factors of mastitis in lactating dairy cows in Southern Ethiopia. </w:t>
      </w:r>
      <w:r w:rsidRPr="009D3B1F">
        <w:rPr>
          <w:rFonts w:ascii="Times New Roman" w:hAnsi="Times New Roman" w:cs="Times New Roman"/>
          <w:i/>
          <w:iCs/>
          <w:sz w:val="24"/>
          <w:szCs w:val="24"/>
        </w:rPr>
        <w:t>International Journal of Applied Research in Veterinary Medicine</w:t>
      </w:r>
      <w:r w:rsidRPr="009D3B1F">
        <w:rPr>
          <w:rFonts w:ascii="Times New Roman" w:hAnsi="Times New Roman" w:cs="Times New Roman"/>
          <w:sz w:val="24"/>
          <w:szCs w:val="24"/>
        </w:rPr>
        <w:t xml:space="preserve"> 3(3): 189-198.</w:t>
      </w:r>
    </w:p>
    <w:p w14:paraId="1C474E40"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Busanello</w:t>
      </w:r>
      <w:proofErr w:type="spellEnd"/>
      <w:r w:rsidRPr="009D3B1F">
        <w:rPr>
          <w:rFonts w:ascii="Times New Roman" w:hAnsi="Times New Roman" w:cs="Times New Roman"/>
          <w:sz w:val="24"/>
          <w:szCs w:val="24"/>
        </w:rPr>
        <w:t xml:space="preserve"> M, Rossi RS, </w:t>
      </w:r>
      <w:proofErr w:type="spellStart"/>
      <w:r w:rsidRPr="009D3B1F">
        <w:rPr>
          <w:rFonts w:ascii="Times New Roman" w:hAnsi="Times New Roman" w:cs="Times New Roman"/>
          <w:sz w:val="24"/>
          <w:szCs w:val="24"/>
        </w:rPr>
        <w:t>Cassoli</w:t>
      </w:r>
      <w:proofErr w:type="spellEnd"/>
      <w:r w:rsidRPr="009D3B1F">
        <w:rPr>
          <w:rFonts w:ascii="Times New Roman" w:hAnsi="Times New Roman" w:cs="Times New Roman"/>
          <w:sz w:val="24"/>
          <w:szCs w:val="24"/>
        </w:rPr>
        <w:t xml:space="preserve"> LD, Pantoja JC, Machado PF. (2017). Estimation of prevalence and incidence of subclinical mastitis in a large population of Brazilian dairy herds. </w:t>
      </w:r>
      <w:r w:rsidRPr="009D3B1F">
        <w:rPr>
          <w:rFonts w:ascii="Times New Roman" w:hAnsi="Times New Roman" w:cs="Times New Roman"/>
          <w:i/>
          <w:iCs/>
          <w:sz w:val="24"/>
          <w:szCs w:val="24"/>
        </w:rPr>
        <w:t>Journal of Dairy Science</w:t>
      </w:r>
      <w:r w:rsidRPr="009D3B1F">
        <w:rPr>
          <w:rFonts w:ascii="Times New Roman" w:hAnsi="Times New Roman" w:cs="Times New Roman"/>
          <w:sz w:val="24"/>
          <w:szCs w:val="24"/>
        </w:rPr>
        <w:t xml:space="preserve"> 100(8): 6545-6553.</w:t>
      </w:r>
    </w:p>
    <w:p w14:paraId="7691A5D1"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Joshi S, Gokhale S. (2006). Status of mastitis as an emerging disease in improved and peri-urban dairy farms in India. </w:t>
      </w:r>
      <w:r w:rsidRPr="009D3B1F">
        <w:rPr>
          <w:rFonts w:ascii="Times New Roman" w:hAnsi="Times New Roman" w:cs="Times New Roman"/>
          <w:i/>
          <w:iCs/>
          <w:sz w:val="24"/>
          <w:szCs w:val="24"/>
        </w:rPr>
        <w:t>Annals of the New York Academy of Sciences</w:t>
      </w:r>
      <w:r w:rsidRPr="009D3B1F">
        <w:rPr>
          <w:rFonts w:ascii="Times New Roman" w:hAnsi="Times New Roman" w:cs="Times New Roman"/>
          <w:sz w:val="24"/>
          <w:szCs w:val="24"/>
        </w:rPr>
        <w:t xml:space="preserve"> 1081(1): 74-83.</w:t>
      </w:r>
    </w:p>
    <w:p w14:paraId="4C934873"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Kavitha KL, Rajesh K, Suresh K, Satheesh K, Sundar NS. (2009). Buffalo mastitis-risk factors. </w:t>
      </w:r>
      <w:r w:rsidRPr="009D3B1F">
        <w:rPr>
          <w:rFonts w:ascii="Times New Roman" w:hAnsi="Times New Roman" w:cs="Times New Roman"/>
          <w:i/>
          <w:iCs/>
          <w:sz w:val="24"/>
          <w:szCs w:val="24"/>
        </w:rPr>
        <w:t>Buffalo Bulletin</w:t>
      </w:r>
      <w:r w:rsidRPr="009D3B1F">
        <w:rPr>
          <w:rFonts w:ascii="Times New Roman" w:hAnsi="Times New Roman" w:cs="Times New Roman"/>
          <w:sz w:val="24"/>
          <w:szCs w:val="24"/>
        </w:rPr>
        <w:t xml:space="preserve"> 28(3): 134-137.</w:t>
      </w:r>
    </w:p>
    <w:p w14:paraId="494F31A1"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Khasapane</w:t>
      </w:r>
      <w:proofErr w:type="spellEnd"/>
      <w:r w:rsidRPr="009D3B1F">
        <w:rPr>
          <w:rFonts w:ascii="Times New Roman" w:hAnsi="Times New Roman" w:cs="Times New Roman"/>
          <w:sz w:val="24"/>
          <w:szCs w:val="24"/>
        </w:rPr>
        <w:t xml:space="preserve"> NG, </w:t>
      </w:r>
      <w:proofErr w:type="spellStart"/>
      <w:r w:rsidRPr="009D3B1F">
        <w:rPr>
          <w:rFonts w:ascii="Times New Roman" w:hAnsi="Times New Roman" w:cs="Times New Roman"/>
          <w:sz w:val="24"/>
          <w:szCs w:val="24"/>
        </w:rPr>
        <w:t>Byaruhanga</w:t>
      </w:r>
      <w:proofErr w:type="spellEnd"/>
      <w:r w:rsidRPr="009D3B1F">
        <w:rPr>
          <w:rFonts w:ascii="Times New Roman" w:hAnsi="Times New Roman" w:cs="Times New Roman"/>
          <w:sz w:val="24"/>
          <w:szCs w:val="24"/>
        </w:rPr>
        <w:t xml:space="preserve"> C, </w:t>
      </w:r>
      <w:proofErr w:type="spellStart"/>
      <w:r w:rsidRPr="009D3B1F">
        <w:rPr>
          <w:rFonts w:ascii="Times New Roman" w:hAnsi="Times New Roman" w:cs="Times New Roman"/>
          <w:sz w:val="24"/>
          <w:szCs w:val="24"/>
        </w:rPr>
        <w:t>Thekisoe</w:t>
      </w:r>
      <w:proofErr w:type="spellEnd"/>
      <w:r w:rsidRPr="009D3B1F">
        <w:rPr>
          <w:rFonts w:ascii="Times New Roman" w:hAnsi="Times New Roman" w:cs="Times New Roman"/>
          <w:sz w:val="24"/>
          <w:szCs w:val="24"/>
        </w:rPr>
        <w:t xml:space="preserve"> O, </w:t>
      </w:r>
      <w:proofErr w:type="spellStart"/>
      <w:r w:rsidRPr="009D3B1F">
        <w:rPr>
          <w:rFonts w:ascii="Times New Roman" w:hAnsi="Times New Roman" w:cs="Times New Roman"/>
          <w:sz w:val="24"/>
          <w:szCs w:val="24"/>
        </w:rPr>
        <w:t>Nkhebenyane</w:t>
      </w:r>
      <w:proofErr w:type="spellEnd"/>
      <w:r w:rsidRPr="009D3B1F">
        <w:rPr>
          <w:rFonts w:ascii="Times New Roman" w:hAnsi="Times New Roman" w:cs="Times New Roman"/>
          <w:sz w:val="24"/>
          <w:szCs w:val="24"/>
        </w:rPr>
        <w:t xml:space="preserve"> SJ, Khumalo ZTH. (2023). Prevalence of subclinical mastitis, its associated bacterial isolates and risk factors among cattle in Africa: A systematic review and meta-analysis. </w:t>
      </w:r>
      <w:r w:rsidRPr="009D3B1F">
        <w:rPr>
          <w:rFonts w:ascii="Times New Roman" w:hAnsi="Times New Roman" w:cs="Times New Roman"/>
          <w:i/>
          <w:iCs/>
          <w:sz w:val="24"/>
          <w:szCs w:val="24"/>
        </w:rPr>
        <w:t>BMC Veterinary Research</w:t>
      </w:r>
      <w:r w:rsidRPr="009D3B1F">
        <w:rPr>
          <w:rFonts w:ascii="Times New Roman" w:hAnsi="Times New Roman" w:cs="Times New Roman"/>
          <w:sz w:val="24"/>
          <w:szCs w:val="24"/>
        </w:rPr>
        <w:t xml:space="preserve"> 19: 123.</w:t>
      </w:r>
    </w:p>
    <w:p w14:paraId="7E2FBCC2"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Malik MH, Verma HK. (2017). Prevalence, economic impact and risk factors associated with mastitis in dairy animals of Punjab. </w:t>
      </w:r>
      <w:r w:rsidRPr="009D3B1F">
        <w:rPr>
          <w:rFonts w:ascii="Times New Roman" w:hAnsi="Times New Roman" w:cs="Times New Roman"/>
          <w:i/>
          <w:iCs/>
          <w:sz w:val="24"/>
          <w:szCs w:val="24"/>
        </w:rPr>
        <w:t>Indian Journal of Animal Sciences</w:t>
      </w:r>
      <w:r w:rsidRPr="009D3B1F">
        <w:rPr>
          <w:rFonts w:ascii="Times New Roman" w:hAnsi="Times New Roman" w:cs="Times New Roman"/>
          <w:sz w:val="24"/>
          <w:szCs w:val="24"/>
        </w:rPr>
        <w:t xml:space="preserve"> 87(12): 1452-1456.</w:t>
      </w:r>
    </w:p>
    <w:p w14:paraId="0869656D"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lastRenderedPageBreak/>
        <w:t>Maramulla</w:t>
      </w:r>
      <w:proofErr w:type="spellEnd"/>
      <w:r w:rsidRPr="009D3B1F">
        <w:rPr>
          <w:rFonts w:ascii="Times New Roman" w:hAnsi="Times New Roman" w:cs="Times New Roman"/>
          <w:sz w:val="24"/>
          <w:szCs w:val="24"/>
        </w:rPr>
        <w:t xml:space="preserve"> A, </w:t>
      </w:r>
      <w:proofErr w:type="spellStart"/>
      <w:r w:rsidRPr="009D3B1F">
        <w:rPr>
          <w:rFonts w:ascii="Times New Roman" w:hAnsi="Times New Roman" w:cs="Times New Roman"/>
          <w:sz w:val="24"/>
          <w:szCs w:val="24"/>
        </w:rPr>
        <w:t>Ambica</w:t>
      </w:r>
      <w:proofErr w:type="spellEnd"/>
      <w:r w:rsidRPr="009D3B1F">
        <w:rPr>
          <w:rFonts w:ascii="Times New Roman" w:hAnsi="Times New Roman" w:cs="Times New Roman"/>
          <w:sz w:val="24"/>
          <w:szCs w:val="24"/>
        </w:rPr>
        <w:t xml:space="preserve"> G, Lakshmi K, Swathi B. (2024). Milk composition and haematological changes in subclinical mastitis affected cows. </w:t>
      </w:r>
      <w:r w:rsidRPr="009D3B1F">
        <w:rPr>
          <w:rFonts w:ascii="Times New Roman" w:hAnsi="Times New Roman" w:cs="Times New Roman"/>
          <w:i/>
          <w:iCs/>
          <w:sz w:val="24"/>
          <w:szCs w:val="24"/>
        </w:rPr>
        <w:t xml:space="preserve">Journal of Experimental Zoology India </w:t>
      </w:r>
      <w:r w:rsidRPr="009D3B1F">
        <w:rPr>
          <w:rFonts w:ascii="Times New Roman" w:hAnsi="Times New Roman" w:cs="Times New Roman"/>
          <w:sz w:val="24"/>
          <w:szCs w:val="24"/>
        </w:rPr>
        <w:t>27(1): 605.</w:t>
      </w:r>
    </w:p>
    <w:p w14:paraId="4E64BF51"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Mazreku</w:t>
      </w:r>
      <w:proofErr w:type="spellEnd"/>
      <w:r w:rsidRPr="009D3B1F">
        <w:rPr>
          <w:rFonts w:ascii="Times New Roman" w:hAnsi="Times New Roman" w:cs="Times New Roman"/>
          <w:sz w:val="24"/>
          <w:szCs w:val="24"/>
        </w:rPr>
        <w:t xml:space="preserve"> N, </w:t>
      </w:r>
      <w:proofErr w:type="spellStart"/>
      <w:r w:rsidRPr="009D3B1F">
        <w:rPr>
          <w:rFonts w:ascii="Times New Roman" w:hAnsi="Times New Roman" w:cs="Times New Roman"/>
          <w:sz w:val="24"/>
          <w:szCs w:val="24"/>
        </w:rPr>
        <w:t>Sylejmani</w:t>
      </w:r>
      <w:proofErr w:type="spellEnd"/>
      <w:r w:rsidRPr="009D3B1F">
        <w:rPr>
          <w:rFonts w:ascii="Times New Roman" w:hAnsi="Times New Roman" w:cs="Times New Roman"/>
          <w:sz w:val="24"/>
          <w:szCs w:val="24"/>
        </w:rPr>
        <w:t xml:space="preserve"> D, </w:t>
      </w:r>
      <w:proofErr w:type="spellStart"/>
      <w:r w:rsidRPr="009D3B1F">
        <w:rPr>
          <w:rFonts w:ascii="Times New Roman" w:hAnsi="Times New Roman" w:cs="Times New Roman"/>
          <w:sz w:val="24"/>
          <w:szCs w:val="24"/>
        </w:rPr>
        <w:t>Robaj</w:t>
      </w:r>
      <w:proofErr w:type="spellEnd"/>
      <w:r w:rsidRPr="009D3B1F">
        <w:rPr>
          <w:rFonts w:ascii="Times New Roman" w:hAnsi="Times New Roman" w:cs="Times New Roman"/>
          <w:sz w:val="24"/>
          <w:szCs w:val="24"/>
        </w:rPr>
        <w:t xml:space="preserve"> A. (2025). Prevalence of subclinical mastitis, related risk factors, and antimicrobial susceptibility of bacteria isolated from the milk of dairy cows in Kosovo. </w:t>
      </w:r>
      <w:proofErr w:type="spellStart"/>
      <w:r w:rsidRPr="009D3B1F">
        <w:rPr>
          <w:rFonts w:ascii="Times New Roman" w:hAnsi="Times New Roman" w:cs="Times New Roman"/>
          <w:sz w:val="24"/>
          <w:szCs w:val="24"/>
        </w:rPr>
        <w:t>Veterinarni</w:t>
      </w:r>
      <w:proofErr w:type="spellEnd"/>
      <w:r w:rsidRPr="009D3B1F">
        <w:rPr>
          <w:rFonts w:ascii="Times New Roman" w:hAnsi="Times New Roman" w:cs="Times New Roman"/>
          <w:sz w:val="24"/>
          <w:szCs w:val="24"/>
        </w:rPr>
        <w:t xml:space="preserve"> </w:t>
      </w:r>
      <w:proofErr w:type="spellStart"/>
      <w:r w:rsidRPr="009D3B1F">
        <w:rPr>
          <w:rFonts w:ascii="Times New Roman" w:hAnsi="Times New Roman" w:cs="Times New Roman"/>
          <w:sz w:val="24"/>
          <w:szCs w:val="24"/>
        </w:rPr>
        <w:t>Medicina</w:t>
      </w:r>
      <w:proofErr w:type="spellEnd"/>
      <w:r w:rsidRPr="009D3B1F">
        <w:rPr>
          <w:rFonts w:ascii="Times New Roman" w:hAnsi="Times New Roman" w:cs="Times New Roman"/>
          <w:sz w:val="24"/>
          <w:szCs w:val="24"/>
        </w:rPr>
        <w:t xml:space="preserve"> 70(4): 117-123.</w:t>
      </w:r>
    </w:p>
    <w:p w14:paraId="0A0C7386"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McDougall S, Williamson J, Gohary K, Lacy-Hulbert J. (2022). Risk factors for clinical or subclinical mastitis following infusion of internal teat sealant alone at the end of lactation in cows with low somatic cell counts. </w:t>
      </w:r>
      <w:r w:rsidRPr="009D3B1F">
        <w:rPr>
          <w:rFonts w:ascii="Times New Roman" w:hAnsi="Times New Roman" w:cs="Times New Roman"/>
          <w:i/>
          <w:iCs/>
          <w:sz w:val="24"/>
          <w:szCs w:val="24"/>
        </w:rPr>
        <w:t xml:space="preserve">New Zealand Veterinary Journal </w:t>
      </w:r>
      <w:r w:rsidRPr="009D3B1F">
        <w:rPr>
          <w:rFonts w:ascii="Times New Roman" w:hAnsi="Times New Roman" w:cs="Times New Roman"/>
          <w:sz w:val="24"/>
          <w:szCs w:val="24"/>
        </w:rPr>
        <w:t>70(2): 79-87.</w:t>
      </w:r>
    </w:p>
    <w:p w14:paraId="1AB8A124"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McDougall S, Williamson J, Lacy-Hulbert J, Steele N, Eastwood C. (2025). Clinical and subclinical mastitis incidence in pasture-based dairy cows. </w:t>
      </w:r>
      <w:r w:rsidRPr="009D3B1F">
        <w:rPr>
          <w:rFonts w:ascii="Times New Roman" w:hAnsi="Times New Roman" w:cs="Times New Roman"/>
          <w:i/>
          <w:iCs/>
          <w:sz w:val="24"/>
          <w:szCs w:val="24"/>
        </w:rPr>
        <w:t>New Zealand Veterinary Journal</w:t>
      </w:r>
      <w:r w:rsidRPr="009D3B1F">
        <w:rPr>
          <w:rFonts w:ascii="Times New Roman" w:hAnsi="Times New Roman" w:cs="Times New Roman"/>
          <w:sz w:val="24"/>
          <w:szCs w:val="24"/>
        </w:rPr>
        <w:t xml:space="preserve"> 73(5): 316-327.</w:t>
      </w:r>
    </w:p>
    <w:p w14:paraId="380AA42A"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Mramba</w:t>
      </w:r>
      <w:proofErr w:type="spellEnd"/>
      <w:r w:rsidRPr="009D3B1F">
        <w:rPr>
          <w:rFonts w:ascii="Times New Roman" w:hAnsi="Times New Roman" w:cs="Times New Roman"/>
          <w:sz w:val="24"/>
          <w:szCs w:val="24"/>
        </w:rPr>
        <w:t xml:space="preserve"> RP, Mohamed MA. (2024). The prevalence and factors associated with mastitis in dairy cows kept by small-scale farmers in Dodoma, Tanzania. </w:t>
      </w:r>
      <w:proofErr w:type="spellStart"/>
      <w:r w:rsidRPr="009D3B1F">
        <w:rPr>
          <w:rFonts w:ascii="Times New Roman" w:hAnsi="Times New Roman" w:cs="Times New Roman"/>
          <w:i/>
          <w:iCs/>
          <w:sz w:val="24"/>
          <w:szCs w:val="24"/>
        </w:rPr>
        <w:t>Heliyon</w:t>
      </w:r>
      <w:proofErr w:type="spellEnd"/>
      <w:r w:rsidRPr="009D3B1F">
        <w:rPr>
          <w:rFonts w:ascii="Times New Roman" w:hAnsi="Times New Roman" w:cs="Times New Roman"/>
          <w:sz w:val="24"/>
          <w:szCs w:val="24"/>
        </w:rPr>
        <w:t xml:space="preserve"> 10(13): e34122. </w:t>
      </w:r>
      <w:hyperlink r:id="rId8" w:tgtFrame="_blank" w:history="1">
        <w:r w:rsidRPr="009D3B1F">
          <w:rPr>
            <w:rStyle w:val="Hyperlink"/>
            <w:rFonts w:ascii="Times New Roman" w:hAnsi="Times New Roman" w:cs="Times New Roman"/>
            <w:sz w:val="24"/>
            <w:szCs w:val="24"/>
          </w:rPr>
          <w:t>https://doi.org/10.1016/j.heliyon.2024.e34122</w:t>
        </w:r>
      </w:hyperlink>
    </w:p>
    <w:p w14:paraId="0B48C10B"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Mulugeta</w:t>
      </w:r>
      <w:proofErr w:type="spellEnd"/>
      <w:r w:rsidRPr="009D3B1F">
        <w:rPr>
          <w:rFonts w:ascii="Times New Roman" w:hAnsi="Times New Roman" w:cs="Times New Roman"/>
          <w:sz w:val="24"/>
          <w:szCs w:val="24"/>
        </w:rPr>
        <w:t xml:space="preserve"> Y, </w:t>
      </w:r>
      <w:proofErr w:type="spellStart"/>
      <w:r w:rsidRPr="009D3B1F">
        <w:rPr>
          <w:rFonts w:ascii="Times New Roman" w:hAnsi="Times New Roman" w:cs="Times New Roman"/>
          <w:sz w:val="24"/>
          <w:szCs w:val="24"/>
        </w:rPr>
        <w:t>Wassie</w:t>
      </w:r>
      <w:proofErr w:type="spellEnd"/>
      <w:r w:rsidRPr="009D3B1F">
        <w:rPr>
          <w:rFonts w:ascii="Times New Roman" w:hAnsi="Times New Roman" w:cs="Times New Roman"/>
          <w:sz w:val="24"/>
          <w:szCs w:val="24"/>
        </w:rPr>
        <w:t xml:space="preserve"> M. (2013). Prevalence, risk factors and major bacterial causes of bovine mastitis in and around </w:t>
      </w:r>
      <w:proofErr w:type="spellStart"/>
      <w:r w:rsidRPr="009D3B1F">
        <w:rPr>
          <w:rFonts w:ascii="Times New Roman" w:hAnsi="Times New Roman" w:cs="Times New Roman"/>
          <w:sz w:val="24"/>
          <w:szCs w:val="24"/>
        </w:rPr>
        <w:t>Wolaita</w:t>
      </w:r>
      <w:proofErr w:type="spellEnd"/>
      <w:r w:rsidRPr="009D3B1F">
        <w:rPr>
          <w:rFonts w:ascii="Times New Roman" w:hAnsi="Times New Roman" w:cs="Times New Roman"/>
          <w:sz w:val="24"/>
          <w:szCs w:val="24"/>
        </w:rPr>
        <w:t xml:space="preserve"> </w:t>
      </w:r>
      <w:proofErr w:type="spellStart"/>
      <w:r w:rsidRPr="009D3B1F">
        <w:rPr>
          <w:rFonts w:ascii="Times New Roman" w:hAnsi="Times New Roman" w:cs="Times New Roman"/>
          <w:sz w:val="24"/>
          <w:szCs w:val="24"/>
        </w:rPr>
        <w:t>Sodo</w:t>
      </w:r>
      <w:proofErr w:type="spellEnd"/>
      <w:r w:rsidRPr="009D3B1F">
        <w:rPr>
          <w:rFonts w:ascii="Times New Roman" w:hAnsi="Times New Roman" w:cs="Times New Roman"/>
          <w:sz w:val="24"/>
          <w:szCs w:val="24"/>
        </w:rPr>
        <w:t xml:space="preserve">, Southern Ethiopia. </w:t>
      </w:r>
      <w:r w:rsidRPr="009D3B1F">
        <w:rPr>
          <w:rFonts w:ascii="Times New Roman" w:hAnsi="Times New Roman" w:cs="Times New Roman"/>
          <w:i/>
          <w:iCs/>
          <w:sz w:val="24"/>
          <w:szCs w:val="24"/>
        </w:rPr>
        <w:t>African Journal of Microbiology Research</w:t>
      </w:r>
      <w:r w:rsidRPr="009D3B1F">
        <w:rPr>
          <w:rFonts w:ascii="Times New Roman" w:hAnsi="Times New Roman" w:cs="Times New Roman"/>
          <w:sz w:val="24"/>
          <w:szCs w:val="24"/>
        </w:rPr>
        <w:t xml:space="preserve"> 7(48): 5400-5405.</w:t>
      </w:r>
    </w:p>
    <w:p w14:paraId="0122780D"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Patel BR, Vagh AA, Vala KB, Patel AC. (2023). Prevalence of subclinical mastitis in Gir Cows in and around Junagadh District of Gujarat. </w:t>
      </w:r>
      <w:r w:rsidRPr="009D3B1F">
        <w:rPr>
          <w:rFonts w:ascii="Times New Roman" w:hAnsi="Times New Roman" w:cs="Times New Roman"/>
          <w:i/>
          <w:iCs/>
          <w:sz w:val="24"/>
          <w:szCs w:val="24"/>
        </w:rPr>
        <w:t>Indian Journal of Veterinary Sciences and Biotechnology</w:t>
      </w:r>
      <w:r w:rsidRPr="009D3B1F">
        <w:rPr>
          <w:rFonts w:ascii="Times New Roman" w:hAnsi="Times New Roman" w:cs="Times New Roman"/>
          <w:sz w:val="24"/>
          <w:szCs w:val="24"/>
        </w:rPr>
        <w:t xml:space="preserve"> 19(4): 50-54.</w:t>
      </w:r>
    </w:p>
    <w:p w14:paraId="22642EEA" w14:textId="77777777" w:rsid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Radostits</w:t>
      </w:r>
      <w:proofErr w:type="spellEnd"/>
      <w:r w:rsidRPr="009D3B1F">
        <w:rPr>
          <w:rFonts w:ascii="Times New Roman" w:hAnsi="Times New Roman" w:cs="Times New Roman"/>
          <w:sz w:val="24"/>
          <w:szCs w:val="24"/>
        </w:rPr>
        <w:t xml:space="preserve"> OM, Gay CC, Blood DC, Hinchcliff KW, Gay C. (2000). Veterinary Medicine: A Textbook of the Diseases of Cattle, Sheep, Pigs, Goats and Horses. 9th </w:t>
      </w:r>
      <w:proofErr w:type="spellStart"/>
      <w:r w:rsidRPr="009D3B1F">
        <w:rPr>
          <w:rFonts w:ascii="Times New Roman" w:hAnsi="Times New Roman" w:cs="Times New Roman"/>
          <w:sz w:val="24"/>
          <w:szCs w:val="24"/>
        </w:rPr>
        <w:t>edn</w:t>
      </w:r>
      <w:proofErr w:type="spellEnd"/>
      <w:r w:rsidRPr="009D3B1F">
        <w:rPr>
          <w:rFonts w:ascii="Times New Roman" w:hAnsi="Times New Roman" w:cs="Times New Roman"/>
          <w:sz w:val="24"/>
          <w:szCs w:val="24"/>
        </w:rPr>
        <w:t>. Saunders Ltd., London, UK. pp. 1877.</w:t>
      </w:r>
    </w:p>
    <w:p w14:paraId="5D84A963" w14:textId="07EAD470" w:rsidR="0098170E" w:rsidRPr="009D3B1F" w:rsidRDefault="0098170E" w:rsidP="0098170E">
      <w:pPr>
        <w:spacing w:line="360" w:lineRule="auto"/>
        <w:ind w:left="1418" w:hanging="1418"/>
        <w:jc w:val="both"/>
        <w:rPr>
          <w:rFonts w:ascii="Times New Roman" w:hAnsi="Times New Roman" w:cs="Times New Roman"/>
          <w:sz w:val="24"/>
          <w:szCs w:val="24"/>
        </w:rPr>
      </w:pPr>
      <w:r w:rsidRPr="0098170E">
        <w:rPr>
          <w:rFonts w:ascii="Times New Roman" w:hAnsi="Times New Roman" w:cs="Times New Roman"/>
          <w:sz w:val="24"/>
          <w:szCs w:val="24"/>
        </w:rPr>
        <w:t xml:space="preserve">Rendel, J., </w:t>
      </w:r>
      <w:r>
        <w:rPr>
          <w:rFonts w:ascii="Times New Roman" w:hAnsi="Times New Roman" w:cs="Times New Roman"/>
          <w:sz w:val="24"/>
          <w:szCs w:val="24"/>
        </w:rPr>
        <w:t>and</w:t>
      </w:r>
      <w:r w:rsidRPr="0098170E">
        <w:rPr>
          <w:rFonts w:ascii="Times New Roman" w:hAnsi="Times New Roman" w:cs="Times New Roman"/>
          <w:sz w:val="24"/>
          <w:szCs w:val="24"/>
        </w:rPr>
        <w:t xml:space="preserve"> Sundberg, T. (1962). Factors influencing the type and incidence of mastitis in Swedish dairy cattle. </w:t>
      </w:r>
      <w:r w:rsidRPr="0098170E">
        <w:rPr>
          <w:rFonts w:ascii="Times New Roman" w:hAnsi="Times New Roman" w:cs="Times New Roman"/>
          <w:i/>
          <w:iCs/>
          <w:sz w:val="24"/>
          <w:szCs w:val="24"/>
        </w:rPr>
        <w:t xml:space="preserve">Acta </w:t>
      </w:r>
      <w:proofErr w:type="spellStart"/>
      <w:r w:rsidRPr="0098170E">
        <w:rPr>
          <w:rFonts w:ascii="Times New Roman" w:hAnsi="Times New Roman" w:cs="Times New Roman"/>
          <w:i/>
          <w:iCs/>
          <w:sz w:val="24"/>
          <w:szCs w:val="24"/>
        </w:rPr>
        <w:t>Veterinaria</w:t>
      </w:r>
      <w:proofErr w:type="spellEnd"/>
      <w:r w:rsidRPr="0098170E">
        <w:rPr>
          <w:rFonts w:ascii="Times New Roman" w:hAnsi="Times New Roman" w:cs="Times New Roman"/>
          <w:i/>
          <w:iCs/>
          <w:sz w:val="24"/>
          <w:szCs w:val="24"/>
        </w:rPr>
        <w:t xml:space="preserve"> </w:t>
      </w:r>
      <w:proofErr w:type="spellStart"/>
      <w:r w:rsidRPr="0098170E">
        <w:rPr>
          <w:rFonts w:ascii="Times New Roman" w:hAnsi="Times New Roman" w:cs="Times New Roman"/>
          <w:i/>
          <w:iCs/>
          <w:sz w:val="24"/>
          <w:szCs w:val="24"/>
        </w:rPr>
        <w:t>Scandinavica</w:t>
      </w:r>
      <w:proofErr w:type="spellEnd"/>
      <w:r w:rsidRPr="0098170E">
        <w:rPr>
          <w:rFonts w:ascii="Times New Roman" w:hAnsi="Times New Roman" w:cs="Times New Roman"/>
          <w:sz w:val="24"/>
          <w:szCs w:val="24"/>
        </w:rPr>
        <w:t>, 3(1), 13-32.</w:t>
      </w:r>
    </w:p>
    <w:p w14:paraId="78689694" w14:textId="77777777" w:rsidR="009D3B1F" w:rsidRPr="009D3B1F" w:rsidRDefault="009D3B1F" w:rsidP="009D3B1F">
      <w:pPr>
        <w:spacing w:line="360" w:lineRule="auto"/>
        <w:ind w:left="1418" w:hanging="1418"/>
        <w:jc w:val="both"/>
        <w:rPr>
          <w:rFonts w:ascii="Times New Roman" w:hAnsi="Times New Roman" w:cs="Times New Roman"/>
          <w:sz w:val="24"/>
          <w:szCs w:val="24"/>
        </w:rPr>
      </w:pPr>
      <w:proofErr w:type="spellStart"/>
      <w:r w:rsidRPr="009D3B1F">
        <w:rPr>
          <w:rFonts w:ascii="Times New Roman" w:hAnsi="Times New Roman" w:cs="Times New Roman"/>
          <w:sz w:val="24"/>
          <w:szCs w:val="24"/>
        </w:rPr>
        <w:t>Santman</w:t>
      </w:r>
      <w:proofErr w:type="spellEnd"/>
      <w:r w:rsidRPr="009D3B1F">
        <w:rPr>
          <w:rFonts w:ascii="Times New Roman" w:hAnsi="Times New Roman" w:cs="Times New Roman"/>
          <w:sz w:val="24"/>
          <w:szCs w:val="24"/>
        </w:rPr>
        <w:t xml:space="preserve">-Berends IMGA, </w:t>
      </w:r>
      <w:proofErr w:type="spellStart"/>
      <w:r w:rsidRPr="009D3B1F">
        <w:rPr>
          <w:rFonts w:ascii="Times New Roman" w:hAnsi="Times New Roman" w:cs="Times New Roman"/>
          <w:sz w:val="24"/>
          <w:szCs w:val="24"/>
        </w:rPr>
        <w:t>Riekerink</w:t>
      </w:r>
      <w:proofErr w:type="spellEnd"/>
      <w:r w:rsidRPr="009D3B1F">
        <w:rPr>
          <w:rFonts w:ascii="Times New Roman" w:hAnsi="Times New Roman" w:cs="Times New Roman"/>
          <w:sz w:val="24"/>
          <w:szCs w:val="24"/>
        </w:rPr>
        <w:t xml:space="preserve"> RO, </w:t>
      </w:r>
      <w:proofErr w:type="spellStart"/>
      <w:r w:rsidRPr="009D3B1F">
        <w:rPr>
          <w:rFonts w:ascii="Times New Roman" w:hAnsi="Times New Roman" w:cs="Times New Roman"/>
          <w:sz w:val="24"/>
          <w:szCs w:val="24"/>
        </w:rPr>
        <w:t>Sampimon</w:t>
      </w:r>
      <w:proofErr w:type="spellEnd"/>
      <w:r w:rsidRPr="009D3B1F">
        <w:rPr>
          <w:rFonts w:ascii="Times New Roman" w:hAnsi="Times New Roman" w:cs="Times New Roman"/>
          <w:sz w:val="24"/>
          <w:szCs w:val="24"/>
        </w:rPr>
        <w:t xml:space="preserve"> OC, Van Schaik G, Lam TJGM. (2012). Incidence of subclinical mastitis in Dutch dairy heifers in the first 100 days in lactation and associated risk factors. </w:t>
      </w:r>
      <w:r w:rsidRPr="009D3B1F">
        <w:rPr>
          <w:rFonts w:ascii="Times New Roman" w:hAnsi="Times New Roman" w:cs="Times New Roman"/>
          <w:i/>
          <w:iCs/>
          <w:sz w:val="24"/>
          <w:szCs w:val="24"/>
        </w:rPr>
        <w:t>Journal of Dairy Science</w:t>
      </w:r>
      <w:r w:rsidRPr="009D3B1F">
        <w:rPr>
          <w:rFonts w:ascii="Times New Roman" w:hAnsi="Times New Roman" w:cs="Times New Roman"/>
          <w:sz w:val="24"/>
          <w:szCs w:val="24"/>
        </w:rPr>
        <w:t xml:space="preserve"> 95(5): 2476-2484.</w:t>
      </w:r>
    </w:p>
    <w:p w14:paraId="5F65B3B9"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lastRenderedPageBreak/>
        <w:t xml:space="preserve">Sharma A, Sindhu N. (2007). Occurrence of clinical and subclinical mastitis in buffaloes in the State of Haryana (India). </w:t>
      </w:r>
      <w:r w:rsidRPr="009D3B1F">
        <w:rPr>
          <w:rFonts w:ascii="Times New Roman" w:hAnsi="Times New Roman" w:cs="Times New Roman"/>
          <w:i/>
          <w:iCs/>
          <w:sz w:val="24"/>
          <w:szCs w:val="24"/>
        </w:rPr>
        <w:t>Italian Journal of Animal Science</w:t>
      </w:r>
      <w:r w:rsidRPr="009D3B1F">
        <w:rPr>
          <w:rFonts w:ascii="Times New Roman" w:hAnsi="Times New Roman" w:cs="Times New Roman"/>
          <w:sz w:val="24"/>
          <w:szCs w:val="24"/>
        </w:rPr>
        <w:t xml:space="preserve"> 6(2): 965-967.</w:t>
      </w:r>
    </w:p>
    <w:p w14:paraId="5BAC9D7E"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Sharma N, Rho GJ, Hong YH, Kang TY, Lee HK, Hur TY, Jeong DK. (2012). Bovine mastitis: an Asian perspective. </w:t>
      </w:r>
      <w:r w:rsidRPr="009D3B1F">
        <w:rPr>
          <w:rFonts w:ascii="Times New Roman" w:hAnsi="Times New Roman" w:cs="Times New Roman"/>
          <w:i/>
          <w:iCs/>
          <w:sz w:val="24"/>
          <w:szCs w:val="24"/>
        </w:rPr>
        <w:t>Asian Journal of Animal and Veterinary Advances</w:t>
      </w:r>
      <w:r w:rsidRPr="009D3B1F">
        <w:rPr>
          <w:rFonts w:ascii="Times New Roman" w:hAnsi="Times New Roman" w:cs="Times New Roman"/>
          <w:sz w:val="24"/>
          <w:szCs w:val="24"/>
        </w:rPr>
        <w:t xml:space="preserve"> 7(6): 454-476.</w:t>
      </w:r>
    </w:p>
    <w:p w14:paraId="0822CA16"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Shittu A, Chafe UM, Buhari S, </w:t>
      </w:r>
      <w:proofErr w:type="spellStart"/>
      <w:r w:rsidRPr="009D3B1F">
        <w:rPr>
          <w:rFonts w:ascii="Times New Roman" w:hAnsi="Times New Roman" w:cs="Times New Roman"/>
          <w:sz w:val="24"/>
          <w:szCs w:val="24"/>
        </w:rPr>
        <w:t>Junaidu</w:t>
      </w:r>
      <w:proofErr w:type="spellEnd"/>
      <w:r w:rsidRPr="009D3B1F">
        <w:rPr>
          <w:rFonts w:ascii="Times New Roman" w:hAnsi="Times New Roman" w:cs="Times New Roman"/>
          <w:sz w:val="24"/>
          <w:szCs w:val="24"/>
        </w:rPr>
        <w:t xml:space="preserve"> AU, </w:t>
      </w:r>
      <w:proofErr w:type="spellStart"/>
      <w:r w:rsidRPr="009D3B1F">
        <w:rPr>
          <w:rFonts w:ascii="Times New Roman" w:hAnsi="Times New Roman" w:cs="Times New Roman"/>
          <w:sz w:val="24"/>
          <w:szCs w:val="24"/>
        </w:rPr>
        <w:t>Magaji</w:t>
      </w:r>
      <w:proofErr w:type="spellEnd"/>
      <w:r w:rsidRPr="009D3B1F">
        <w:rPr>
          <w:rFonts w:ascii="Times New Roman" w:hAnsi="Times New Roman" w:cs="Times New Roman"/>
          <w:sz w:val="24"/>
          <w:szCs w:val="24"/>
        </w:rPr>
        <w:t xml:space="preserve"> A, Salihu MD, Lawal MD. (2008). An overview of mastitis in Sokoto Red goat, Nigeria. S</w:t>
      </w:r>
      <w:r w:rsidRPr="009D3B1F">
        <w:rPr>
          <w:rFonts w:ascii="Times New Roman" w:hAnsi="Times New Roman" w:cs="Times New Roman"/>
          <w:i/>
          <w:iCs/>
          <w:sz w:val="24"/>
          <w:szCs w:val="24"/>
        </w:rPr>
        <w:t xml:space="preserve">okoto Journal of Veterinary Sciences </w:t>
      </w:r>
      <w:r w:rsidRPr="009D3B1F">
        <w:rPr>
          <w:rFonts w:ascii="Times New Roman" w:hAnsi="Times New Roman" w:cs="Times New Roman"/>
          <w:sz w:val="24"/>
          <w:szCs w:val="24"/>
        </w:rPr>
        <w:t>7(1): 65-70.</w:t>
      </w:r>
    </w:p>
    <w:p w14:paraId="39AF6344" w14:textId="77777777" w:rsid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Sori H, </w:t>
      </w:r>
      <w:proofErr w:type="spellStart"/>
      <w:r w:rsidRPr="009D3B1F">
        <w:rPr>
          <w:rFonts w:ascii="Times New Roman" w:hAnsi="Times New Roman" w:cs="Times New Roman"/>
          <w:sz w:val="24"/>
          <w:szCs w:val="24"/>
        </w:rPr>
        <w:t>Zerihun</w:t>
      </w:r>
      <w:proofErr w:type="spellEnd"/>
      <w:r w:rsidRPr="009D3B1F">
        <w:rPr>
          <w:rFonts w:ascii="Times New Roman" w:hAnsi="Times New Roman" w:cs="Times New Roman"/>
          <w:sz w:val="24"/>
          <w:szCs w:val="24"/>
        </w:rPr>
        <w:t xml:space="preserve"> A, </w:t>
      </w:r>
      <w:proofErr w:type="spellStart"/>
      <w:r w:rsidRPr="009D3B1F">
        <w:rPr>
          <w:rFonts w:ascii="Times New Roman" w:hAnsi="Times New Roman" w:cs="Times New Roman"/>
          <w:sz w:val="24"/>
          <w:szCs w:val="24"/>
        </w:rPr>
        <w:t>Abdicho</w:t>
      </w:r>
      <w:proofErr w:type="spellEnd"/>
      <w:r w:rsidRPr="009D3B1F">
        <w:rPr>
          <w:rFonts w:ascii="Times New Roman" w:hAnsi="Times New Roman" w:cs="Times New Roman"/>
          <w:sz w:val="24"/>
          <w:szCs w:val="24"/>
        </w:rPr>
        <w:t xml:space="preserve"> S. (2005). Dairy cattle mastitis in and around </w:t>
      </w:r>
      <w:proofErr w:type="spellStart"/>
      <w:r w:rsidRPr="009D3B1F">
        <w:rPr>
          <w:rFonts w:ascii="Times New Roman" w:hAnsi="Times New Roman" w:cs="Times New Roman"/>
          <w:sz w:val="24"/>
          <w:szCs w:val="24"/>
        </w:rPr>
        <w:t>Sebeta</w:t>
      </w:r>
      <w:proofErr w:type="spellEnd"/>
      <w:r w:rsidRPr="009D3B1F">
        <w:rPr>
          <w:rFonts w:ascii="Times New Roman" w:hAnsi="Times New Roman" w:cs="Times New Roman"/>
          <w:sz w:val="24"/>
          <w:szCs w:val="24"/>
        </w:rPr>
        <w:t xml:space="preserve">, Ethiopia. </w:t>
      </w:r>
      <w:r w:rsidRPr="009D3B1F">
        <w:rPr>
          <w:rFonts w:ascii="Times New Roman" w:hAnsi="Times New Roman" w:cs="Times New Roman"/>
          <w:i/>
          <w:iCs/>
          <w:sz w:val="24"/>
          <w:szCs w:val="24"/>
        </w:rPr>
        <w:t>International Journal of Applied Research in Veterinary Medicine</w:t>
      </w:r>
      <w:r w:rsidRPr="009D3B1F">
        <w:rPr>
          <w:rFonts w:ascii="Times New Roman" w:hAnsi="Times New Roman" w:cs="Times New Roman"/>
          <w:sz w:val="24"/>
          <w:szCs w:val="24"/>
        </w:rPr>
        <w:t xml:space="preserve"> 3(4): 332-338.</w:t>
      </w:r>
    </w:p>
    <w:p w14:paraId="6027D063" w14:textId="268796AC" w:rsidR="0098170E" w:rsidRPr="009D3B1F" w:rsidRDefault="0098170E" w:rsidP="0098170E">
      <w:pPr>
        <w:spacing w:line="360" w:lineRule="auto"/>
        <w:ind w:left="1418" w:hanging="1418"/>
        <w:jc w:val="both"/>
        <w:rPr>
          <w:rFonts w:ascii="Times New Roman" w:hAnsi="Times New Roman" w:cs="Times New Roman"/>
          <w:sz w:val="24"/>
          <w:szCs w:val="24"/>
        </w:rPr>
      </w:pPr>
      <w:proofErr w:type="spellStart"/>
      <w:r w:rsidRPr="0098170E">
        <w:rPr>
          <w:rFonts w:ascii="Times New Roman" w:hAnsi="Times New Roman" w:cs="Times New Roman"/>
          <w:sz w:val="24"/>
          <w:szCs w:val="24"/>
        </w:rPr>
        <w:t>Steeneveld</w:t>
      </w:r>
      <w:proofErr w:type="spellEnd"/>
      <w:r w:rsidRPr="0098170E">
        <w:rPr>
          <w:rFonts w:ascii="Times New Roman" w:hAnsi="Times New Roman" w:cs="Times New Roman"/>
          <w:sz w:val="24"/>
          <w:szCs w:val="24"/>
        </w:rPr>
        <w:t xml:space="preserve">, W., Hogeveen, H., Barkema, H. W., van den Broek, J., &amp; </w:t>
      </w:r>
      <w:proofErr w:type="spellStart"/>
      <w:r w:rsidRPr="0098170E">
        <w:rPr>
          <w:rFonts w:ascii="Times New Roman" w:hAnsi="Times New Roman" w:cs="Times New Roman"/>
          <w:sz w:val="24"/>
          <w:szCs w:val="24"/>
        </w:rPr>
        <w:t>Huirne</w:t>
      </w:r>
      <w:proofErr w:type="spellEnd"/>
      <w:r w:rsidRPr="0098170E">
        <w:rPr>
          <w:rFonts w:ascii="Times New Roman" w:hAnsi="Times New Roman" w:cs="Times New Roman"/>
          <w:sz w:val="24"/>
          <w:szCs w:val="24"/>
        </w:rPr>
        <w:t xml:space="preserve">, R. B. (2008). The influence of cow factors on the incidence of clinical mastitis in dairy cows. </w:t>
      </w:r>
      <w:r w:rsidRPr="0098170E">
        <w:rPr>
          <w:rFonts w:ascii="Times New Roman" w:hAnsi="Times New Roman" w:cs="Times New Roman"/>
          <w:i/>
          <w:iCs/>
          <w:sz w:val="24"/>
          <w:szCs w:val="24"/>
        </w:rPr>
        <w:t>Journal of dairy science</w:t>
      </w:r>
      <w:r w:rsidRPr="0098170E">
        <w:rPr>
          <w:rFonts w:ascii="Times New Roman" w:hAnsi="Times New Roman" w:cs="Times New Roman"/>
          <w:sz w:val="24"/>
          <w:szCs w:val="24"/>
        </w:rPr>
        <w:t>, 91(4), 1391-1402.</w:t>
      </w:r>
    </w:p>
    <w:p w14:paraId="1880072A" w14:textId="77777777" w:rsidR="009D3B1F" w:rsidRPr="009D3B1F" w:rsidRDefault="009D3B1F" w:rsidP="009D3B1F">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Tanvi TZ, </w:t>
      </w:r>
      <w:proofErr w:type="spellStart"/>
      <w:r w:rsidRPr="009D3B1F">
        <w:rPr>
          <w:rFonts w:ascii="Times New Roman" w:hAnsi="Times New Roman" w:cs="Times New Roman"/>
          <w:sz w:val="24"/>
          <w:szCs w:val="24"/>
        </w:rPr>
        <w:t>Sahidul</w:t>
      </w:r>
      <w:proofErr w:type="spellEnd"/>
      <w:r w:rsidRPr="009D3B1F">
        <w:rPr>
          <w:rFonts w:ascii="Times New Roman" w:hAnsi="Times New Roman" w:cs="Times New Roman"/>
          <w:sz w:val="24"/>
          <w:szCs w:val="24"/>
        </w:rPr>
        <w:t xml:space="preserve"> Islam M, </w:t>
      </w:r>
      <w:proofErr w:type="spellStart"/>
      <w:r w:rsidRPr="009D3B1F">
        <w:rPr>
          <w:rFonts w:ascii="Times New Roman" w:hAnsi="Times New Roman" w:cs="Times New Roman"/>
          <w:sz w:val="24"/>
          <w:szCs w:val="24"/>
        </w:rPr>
        <w:t>Asaduzzaman</w:t>
      </w:r>
      <w:proofErr w:type="spellEnd"/>
      <w:r w:rsidRPr="009D3B1F">
        <w:rPr>
          <w:rFonts w:ascii="Times New Roman" w:hAnsi="Times New Roman" w:cs="Times New Roman"/>
          <w:sz w:val="24"/>
          <w:szCs w:val="24"/>
        </w:rPr>
        <w:t xml:space="preserve"> </w:t>
      </w:r>
      <w:proofErr w:type="spellStart"/>
      <w:r w:rsidRPr="009D3B1F">
        <w:rPr>
          <w:rFonts w:ascii="Times New Roman" w:hAnsi="Times New Roman" w:cs="Times New Roman"/>
          <w:sz w:val="24"/>
          <w:szCs w:val="24"/>
        </w:rPr>
        <w:t>Lovelu</w:t>
      </w:r>
      <w:proofErr w:type="spellEnd"/>
      <w:r w:rsidRPr="009D3B1F">
        <w:rPr>
          <w:rFonts w:ascii="Times New Roman" w:hAnsi="Times New Roman" w:cs="Times New Roman"/>
          <w:sz w:val="24"/>
          <w:szCs w:val="24"/>
        </w:rPr>
        <w:t xml:space="preserve"> M, </w:t>
      </w:r>
      <w:proofErr w:type="spellStart"/>
      <w:r w:rsidRPr="009D3B1F">
        <w:rPr>
          <w:rFonts w:ascii="Times New Roman" w:hAnsi="Times New Roman" w:cs="Times New Roman"/>
          <w:sz w:val="24"/>
          <w:szCs w:val="24"/>
        </w:rPr>
        <w:t>Akter</w:t>
      </w:r>
      <w:proofErr w:type="spellEnd"/>
      <w:r w:rsidRPr="009D3B1F">
        <w:rPr>
          <w:rFonts w:ascii="Times New Roman" w:hAnsi="Times New Roman" w:cs="Times New Roman"/>
          <w:sz w:val="24"/>
          <w:szCs w:val="24"/>
        </w:rPr>
        <w:t xml:space="preserve"> Mir D, Bahar F. (2024). Prevalence of bovine subclinical mastitis and associated risk factors at Sylhet district in Bangladesh. </w:t>
      </w:r>
      <w:r w:rsidRPr="009D3B1F">
        <w:rPr>
          <w:rFonts w:ascii="Times New Roman" w:hAnsi="Times New Roman" w:cs="Times New Roman"/>
          <w:i/>
          <w:iCs/>
          <w:sz w:val="24"/>
          <w:szCs w:val="24"/>
        </w:rPr>
        <w:t>Asian Journal of Research in Animal and Veterinary Sciences</w:t>
      </w:r>
      <w:r w:rsidRPr="009D3B1F">
        <w:rPr>
          <w:rFonts w:ascii="Times New Roman" w:hAnsi="Times New Roman" w:cs="Times New Roman"/>
          <w:sz w:val="24"/>
          <w:szCs w:val="24"/>
        </w:rPr>
        <w:t xml:space="preserve"> 7(3): 208-215.</w:t>
      </w:r>
    </w:p>
    <w:p w14:paraId="6CD8A456" w14:textId="6C36E749" w:rsidR="009D3B1F" w:rsidRDefault="009D3B1F" w:rsidP="00D161B1">
      <w:pPr>
        <w:spacing w:line="360" w:lineRule="auto"/>
        <w:ind w:left="1418" w:hanging="1418"/>
        <w:jc w:val="both"/>
        <w:rPr>
          <w:rFonts w:ascii="Times New Roman" w:hAnsi="Times New Roman" w:cs="Times New Roman"/>
          <w:sz w:val="24"/>
          <w:szCs w:val="24"/>
        </w:rPr>
      </w:pPr>
      <w:r w:rsidRPr="009D3B1F">
        <w:rPr>
          <w:rFonts w:ascii="Times New Roman" w:hAnsi="Times New Roman" w:cs="Times New Roman"/>
          <w:sz w:val="24"/>
          <w:szCs w:val="24"/>
        </w:rPr>
        <w:t xml:space="preserve">Yadav R, Kumar P, Sandeep. (2019). Prevalence of bovine subclinical mastitis in </w:t>
      </w:r>
      <w:proofErr w:type="spellStart"/>
      <w:r w:rsidRPr="009D3B1F">
        <w:rPr>
          <w:rFonts w:ascii="Times New Roman" w:hAnsi="Times New Roman" w:cs="Times New Roman"/>
          <w:sz w:val="24"/>
          <w:szCs w:val="24"/>
        </w:rPr>
        <w:t>Mahendergarh</w:t>
      </w:r>
      <w:proofErr w:type="spellEnd"/>
      <w:r w:rsidRPr="009D3B1F">
        <w:rPr>
          <w:rFonts w:ascii="Times New Roman" w:hAnsi="Times New Roman" w:cs="Times New Roman"/>
          <w:sz w:val="24"/>
          <w:szCs w:val="24"/>
        </w:rPr>
        <w:t xml:space="preserve"> and Rewari districts of south Haryana. </w:t>
      </w:r>
      <w:r w:rsidRPr="009D3B1F">
        <w:rPr>
          <w:rFonts w:ascii="Times New Roman" w:hAnsi="Times New Roman" w:cs="Times New Roman"/>
          <w:i/>
          <w:iCs/>
          <w:sz w:val="24"/>
          <w:szCs w:val="24"/>
        </w:rPr>
        <w:t>Haryana Veterinarian</w:t>
      </w:r>
      <w:r w:rsidRPr="009D3B1F">
        <w:rPr>
          <w:rFonts w:ascii="Times New Roman" w:hAnsi="Times New Roman" w:cs="Times New Roman"/>
          <w:sz w:val="24"/>
          <w:szCs w:val="24"/>
        </w:rPr>
        <w:t xml:space="preserve"> 58(1): 97-100</w:t>
      </w:r>
      <w:r w:rsidR="0098170E">
        <w:rPr>
          <w:rFonts w:ascii="Times New Roman" w:hAnsi="Times New Roman" w:cs="Times New Roman"/>
          <w:sz w:val="24"/>
          <w:szCs w:val="24"/>
        </w:rPr>
        <w:t>.</w:t>
      </w:r>
    </w:p>
    <w:p w14:paraId="572730B7" w14:textId="77777777" w:rsidR="0098170E" w:rsidRDefault="0098170E" w:rsidP="00D161B1">
      <w:pPr>
        <w:spacing w:line="360" w:lineRule="auto"/>
        <w:ind w:left="1418" w:hanging="1418"/>
        <w:jc w:val="both"/>
        <w:rPr>
          <w:rFonts w:ascii="Times New Roman" w:hAnsi="Times New Roman" w:cs="Times New Roman"/>
          <w:sz w:val="24"/>
          <w:szCs w:val="24"/>
        </w:rPr>
      </w:pPr>
    </w:p>
    <w:p w14:paraId="474A260C" w14:textId="77777777" w:rsidR="00D161B1" w:rsidRDefault="00D161B1" w:rsidP="00D161B1">
      <w:pPr>
        <w:spacing w:line="360" w:lineRule="auto"/>
        <w:ind w:left="1418" w:hanging="1418"/>
        <w:jc w:val="both"/>
        <w:rPr>
          <w:rFonts w:ascii="Times New Roman" w:hAnsi="Times New Roman" w:cs="Times New Roman"/>
          <w:sz w:val="24"/>
          <w:szCs w:val="24"/>
        </w:rPr>
      </w:pPr>
    </w:p>
    <w:p w14:paraId="2D5EF98E" w14:textId="77777777" w:rsidR="00D161B1" w:rsidRPr="00D161B1" w:rsidRDefault="00D161B1" w:rsidP="00D161B1">
      <w:pPr>
        <w:spacing w:line="360" w:lineRule="auto"/>
        <w:ind w:left="1418" w:hanging="1418"/>
        <w:jc w:val="both"/>
        <w:rPr>
          <w:rFonts w:ascii="Times New Roman" w:hAnsi="Times New Roman" w:cs="Times New Roman"/>
          <w:sz w:val="24"/>
          <w:szCs w:val="24"/>
        </w:rPr>
      </w:pPr>
    </w:p>
    <w:p w14:paraId="17836411" w14:textId="0EACE674" w:rsidR="00837976" w:rsidRPr="00BA7EE4" w:rsidRDefault="00837976" w:rsidP="00EF362D">
      <w:pPr>
        <w:spacing w:line="360" w:lineRule="auto"/>
        <w:jc w:val="both"/>
        <w:rPr>
          <w:rFonts w:ascii="Times New Roman" w:hAnsi="Times New Roman" w:cs="Times New Roman"/>
          <w:b/>
          <w:bCs/>
          <w:sz w:val="24"/>
          <w:szCs w:val="24"/>
        </w:rPr>
      </w:pPr>
      <w:r w:rsidRPr="00BA7EE4">
        <w:rPr>
          <w:rFonts w:ascii="Times New Roman" w:hAnsi="Times New Roman" w:cs="Times New Roman"/>
          <w:b/>
          <w:bCs/>
          <w:color w:val="000000" w:themeColor="text1"/>
          <w:sz w:val="24"/>
          <w:szCs w:val="24"/>
          <w:lang w:val="en-US"/>
        </w:rPr>
        <w:t xml:space="preserve">Table </w:t>
      </w:r>
      <w:r w:rsidR="00872161">
        <w:rPr>
          <w:rFonts w:ascii="Times New Roman" w:hAnsi="Times New Roman" w:cs="Times New Roman"/>
          <w:b/>
          <w:bCs/>
          <w:color w:val="000000" w:themeColor="text1"/>
          <w:sz w:val="24"/>
          <w:szCs w:val="24"/>
          <w:lang w:val="en-US"/>
        </w:rPr>
        <w:t>1</w:t>
      </w:r>
      <w:r w:rsidRPr="00BA7EE4">
        <w:rPr>
          <w:rFonts w:ascii="Times New Roman" w:hAnsi="Times New Roman" w:cs="Times New Roman"/>
          <w:b/>
          <w:bCs/>
          <w:color w:val="000000" w:themeColor="text1"/>
          <w:sz w:val="24"/>
          <w:szCs w:val="24"/>
          <w:lang w:val="en-US"/>
        </w:rPr>
        <w:t>: Incidence of subclinical mastitis in cattle at Jabalpur</w:t>
      </w:r>
    </w:p>
    <w:tbl>
      <w:tblPr>
        <w:tblStyle w:val="TableGrid"/>
        <w:tblW w:w="0" w:type="auto"/>
        <w:jc w:val="center"/>
        <w:tblLook w:val="04A0" w:firstRow="1" w:lastRow="0" w:firstColumn="1" w:lastColumn="0" w:noHBand="0" w:noVBand="1"/>
      </w:tblPr>
      <w:tblGrid>
        <w:gridCol w:w="2028"/>
        <w:gridCol w:w="2028"/>
        <w:gridCol w:w="2028"/>
        <w:gridCol w:w="1991"/>
      </w:tblGrid>
      <w:tr w:rsidR="00837976" w:rsidRPr="00BA7EE4" w14:paraId="354CF29C" w14:textId="77777777" w:rsidTr="00277896">
        <w:trPr>
          <w:trHeight w:val="708"/>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14:paraId="26A292C1" w14:textId="77777777" w:rsidR="00837976" w:rsidRPr="00BA7EE4" w:rsidRDefault="00837976" w:rsidP="00277896">
            <w:pPr>
              <w:pStyle w:val="ListParagraph"/>
              <w:spacing w:before="60" w:after="60"/>
              <w:ind w:left="0"/>
              <w:jc w:val="center"/>
              <w:rPr>
                <w:b/>
                <w:bCs/>
                <w:color w:val="000000" w:themeColor="text1"/>
                <w:sz w:val="24"/>
                <w:szCs w:val="24"/>
                <w:lang w:val="en-US" w:eastAsia="en-IN"/>
              </w:rPr>
            </w:pPr>
            <w:r w:rsidRPr="00BA7EE4">
              <w:rPr>
                <w:b/>
                <w:bCs/>
                <w:color w:val="000000" w:themeColor="text1"/>
                <w:sz w:val="24"/>
                <w:szCs w:val="24"/>
                <w:lang w:val="en-US" w:eastAsia="en-IN"/>
              </w:rPr>
              <w:t>Particulars</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5E4C0E4" w14:textId="77777777" w:rsidR="00837976" w:rsidRPr="00BA7EE4" w:rsidRDefault="00837976" w:rsidP="00277896">
            <w:pPr>
              <w:pStyle w:val="ListParagraph"/>
              <w:spacing w:before="60" w:after="60"/>
              <w:ind w:left="0"/>
              <w:jc w:val="center"/>
              <w:rPr>
                <w:b/>
                <w:bCs/>
                <w:color w:val="000000" w:themeColor="text1"/>
                <w:sz w:val="24"/>
                <w:szCs w:val="24"/>
                <w:lang w:val="en-US" w:eastAsia="en-IN"/>
              </w:rPr>
            </w:pPr>
            <w:r w:rsidRPr="00BA7EE4">
              <w:rPr>
                <w:b/>
                <w:bCs/>
                <w:color w:val="000000" w:themeColor="text1"/>
                <w:sz w:val="24"/>
                <w:szCs w:val="24"/>
                <w:lang w:val="en-US" w:eastAsia="en-IN"/>
              </w:rPr>
              <w:t>No. Screened</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3C8CF4E" w14:textId="77777777" w:rsidR="00837976" w:rsidRPr="00BA7EE4" w:rsidRDefault="00837976" w:rsidP="00277896">
            <w:pPr>
              <w:pStyle w:val="ListParagraph"/>
              <w:spacing w:before="60" w:after="60"/>
              <w:ind w:left="0"/>
              <w:jc w:val="center"/>
              <w:rPr>
                <w:b/>
                <w:bCs/>
                <w:color w:val="000000" w:themeColor="text1"/>
                <w:sz w:val="24"/>
                <w:szCs w:val="24"/>
                <w:lang w:val="en-US" w:eastAsia="en-IN"/>
              </w:rPr>
            </w:pPr>
            <w:r w:rsidRPr="00BA7EE4">
              <w:rPr>
                <w:b/>
                <w:bCs/>
                <w:color w:val="000000" w:themeColor="text1"/>
                <w:sz w:val="24"/>
                <w:szCs w:val="24"/>
                <w:lang w:val="en-US" w:eastAsia="en-IN"/>
              </w:rPr>
              <w:t>No. Affected with SCM</w:t>
            </w:r>
          </w:p>
        </w:tc>
        <w:tc>
          <w:tcPr>
            <w:tcW w:w="1991" w:type="dxa"/>
            <w:tcBorders>
              <w:top w:val="single" w:sz="4" w:space="0" w:color="auto"/>
              <w:left w:val="single" w:sz="4" w:space="0" w:color="auto"/>
              <w:bottom w:val="single" w:sz="4" w:space="0" w:color="auto"/>
              <w:right w:val="single" w:sz="4" w:space="0" w:color="auto"/>
            </w:tcBorders>
            <w:vAlign w:val="center"/>
            <w:hideMark/>
          </w:tcPr>
          <w:p w14:paraId="79C5D36D" w14:textId="77777777" w:rsidR="00837976" w:rsidRPr="00BA7EE4" w:rsidRDefault="00837976" w:rsidP="00277896">
            <w:pPr>
              <w:pStyle w:val="ListParagraph"/>
              <w:spacing w:before="60" w:after="60"/>
              <w:ind w:left="0"/>
              <w:jc w:val="center"/>
              <w:rPr>
                <w:b/>
                <w:bCs/>
                <w:color w:val="000000" w:themeColor="text1"/>
                <w:sz w:val="24"/>
                <w:szCs w:val="24"/>
                <w:lang w:val="en-US" w:eastAsia="en-IN"/>
              </w:rPr>
            </w:pPr>
            <w:r w:rsidRPr="00BA7EE4">
              <w:rPr>
                <w:b/>
                <w:bCs/>
                <w:color w:val="000000" w:themeColor="text1"/>
                <w:sz w:val="24"/>
                <w:szCs w:val="24"/>
                <w:lang w:val="en-US" w:eastAsia="en-IN"/>
              </w:rPr>
              <w:t>Incidence (%)</w:t>
            </w:r>
          </w:p>
        </w:tc>
      </w:tr>
      <w:tr w:rsidR="00837976" w:rsidRPr="00BA7EE4" w14:paraId="2FEBD6E2" w14:textId="77777777" w:rsidTr="00277896">
        <w:trPr>
          <w:trHeight w:val="603"/>
          <w:jc w:val="center"/>
        </w:trPr>
        <w:tc>
          <w:tcPr>
            <w:tcW w:w="2028" w:type="dxa"/>
            <w:tcBorders>
              <w:top w:val="single" w:sz="4" w:space="0" w:color="auto"/>
              <w:left w:val="single" w:sz="4" w:space="0" w:color="auto"/>
              <w:bottom w:val="single" w:sz="4" w:space="0" w:color="auto"/>
              <w:right w:val="single" w:sz="4" w:space="0" w:color="auto"/>
            </w:tcBorders>
            <w:hideMark/>
          </w:tcPr>
          <w:p w14:paraId="640427CE" w14:textId="77777777" w:rsidR="00837976" w:rsidRPr="00BA7EE4" w:rsidRDefault="00837976" w:rsidP="00277896">
            <w:pPr>
              <w:pStyle w:val="ListParagraph"/>
              <w:spacing w:before="60" w:after="60"/>
              <w:ind w:left="0"/>
              <w:jc w:val="both"/>
              <w:rPr>
                <w:color w:val="000000" w:themeColor="text1"/>
                <w:sz w:val="24"/>
                <w:szCs w:val="24"/>
                <w:lang w:val="en-US" w:eastAsia="en-IN"/>
              </w:rPr>
            </w:pPr>
            <w:r w:rsidRPr="00BA7EE4">
              <w:rPr>
                <w:color w:val="000000" w:themeColor="text1"/>
                <w:sz w:val="24"/>
                <w:szCs w:val="24"/>
                <w:lang w:val="en-US" w:eastAsia="en-IN"/>
              </w:rPr>
              <w:t xml:space="preserve">Total number of cattle </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E780193"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204</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CE121EC"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55</w:t>
            </w:r>
          </w:p>
        </w:tc>
        <w:tc>
          <w:tcPr>
            <w:tcW w:w="1991" w:type="dxa"/>
            <w:tcBorders>
              <w:top w:val="single" w:sz="4" w:space="0" w:color="auto"/>
              <w:left w:val="single" w:sz="4" w:space="0" w:color="auto"/>
              <w:bottom w:val="single" w:sz="4" w:space="0" w:color="auto"/>
              <w:right w:val="single" w:sz="4" w:space="0" w:color="auto"/>
            </w:tcBorders>
            <w:vAlign w:val="center"/>
            <w:hideMark/>
          </w:tcPr>
          <w:p w14:paraId="53DF1314"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26.96</w:t>
            </w:r>
          </w:p>
        </w:tc>
      </w:tr>
      <w:tr w:rsidR="00837976" w:rsidRPr="00BA7EE4" w14:paraId="427A15A2" w14:textId="77777777" w:rsidTr="00277896">
        <w:trPr>
          <w:trHeight w:val="603"/>
          <w:jc w:val="center"/>
        </w:trPr>
        <w:tc>
          <w:tcPr>
            <w:tcW w:w="2028" w:type="dxa"/>
            <w:tcBorders>
              <w:top w:val="single" w:sz="4" w:space="0" w:color="auto"/>
              <w:left w:val="single" w:sz="4" w:space="0" w:color="auto"/>
              <w:bottom w:val="single" w:sz="4" w:space="0" w:color="auto"/>
              <w:right w:val="single" w:sz="4" w:space="0" w:color="auto"/>
            </w:tcBorders>
            <w:hideMark/>
          </w:tcPr>
          <w:p w14:paraId="059F762B" w14:textId="77777777" w:rsidR="00837976" w:rsidRPr="00BA7EE4" w:rsidRDefault="00837976" w:rsidP="00277896">
            <w:pPr>
              <w:pStyle w:val="ListParagraph"/>
              <w:spacing w:before="60" w:after="60"/>
              <w:ind w:left="0"/>
              <w:jc w:val="both"/>
              <w:rPr>
                <w:color w:val="000000" w:themeColor="text1"/>
                <w:sz w:val="24"/>
                <w:szCs w:val="24"/>
                <w:lang w:val="en-US" w:eastAsia="en-IN"/>
              </w:rPr>
            </w:pPr>
            <w:r w:rsidRPr="00BA7EE4">
              <w:rPr>
                <w:color w:val="000000" w:themeColor="text1"/>
                <w:sz w:val="24"/>
                <w:szCs w:val="24"/>
                <w:lang w:val="en-US" w:eastAsia="en-IN"/>
              </w:rPr>
              <w:lastRenderedPageBreak/>
              <w:t>Total number of quarters</w:t>
            </w:r>
          </w:p>
        </w:tc>
        <w:tc>
          <w:tcPr>
            <w:tcW w:w="2028" w:type="dxa"/>
            <w:tcBorders>
              <w:top w:val="single" w:sz="4" w:space="0" w:color="auto"/>
              <w:left w:val="single" w:sz="4" w:space="0" w:color="auto"/>
              <w:bottom w:val="single" w:sz="4" w:space="0" w:color="auto"/>
              <w:right w:val="single" w:sz="4" w:space="0" w:color="auto"/>
            </w:tcBorders>
            <w:vAlign w:val="center"/>
            <w:hideMark/>
          </w:tcPr>
          <w:p w14:paraId="51850FD5"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810 (6 blind)</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8BD51C4"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168</w:t>
            </w:r>
          </w:p>
        </w:tc>
        <w:tc>
          <w:tcPr>
            <w:tcW w:w="1991" w:type="dxa"/>
            <w:tcBorders>
              <w:top w:val="single" w:sz="4" w:space="0" w:color="auto"/>
              <w:left w:val="single" w:sz="4" w:space="0" w:color="auto"/>
              <w:bottom w:val="single" w:sz="4" w:space="0" w:color="auto"/>
              <w:right w:val="single" w:sz="4" w:space="0" w:color="auto"/>
            </w:tcBorders>
            <w:vAlign w:val="center"/>
            <w:hideMark/>
          </w:tcPr>
          <w:p w14:paraId="11F6C1EB" w14:textId="77777777" w:rsidR="00837976" w:rsidRPr="00BA7EE4" w:rsidRDefault="00837976" w:rsidP="00277896">
            <w:pPr>
              <w:pStyle w:val="ListParagraph"/>
              <w:spacing w:before="60" w:after="60"/>
              <w:ind w:left="0"/>
              <w:jc w:val="center"/>
              <w:rPr>
                <w:color w:val="000000" w:themeColor="text1"/>
                <w:sz w:val="24"/>
                <w:szCs w:val="24"/>
                <w:lang w:val="en-US" w:eastAsia="en-IN"/>
              </w:rPr>
            </w:pPr>
            <w:r w:rsidRPr="00BA7EE4">
              <w:rPr>
                <w:color w:val="000000" w:themeColor="text1"/>
                <w:sz w:val="24"/>
                <w:szCs w:val="24"/>
                <w:lang w:val="en-US" w:eastAsia="en-IN"/>
              </w:rPr>
              <w:t>20.74</w:t>
            </w:r>
          </w:p>
        </w:tc>
      </w:tr>
    </w:tbl>
    <w:p w14:paraId="5835116D" w14:textId="77777777" w:rsidR="0044518A" w:rsidRDefault="0044518A" w:rsidP="0044518A">
      <w:pPr>
        <w:spacing w:line="360" w:lineRule="auto"/>
        <w:jc w:val="both"/>
        <w:rPr>
          <w:rFonts w:ascii="Times New Roman" w:hAnsi="Times New Roman" w:cs="Times New Roman"/>
          <w:sz w:val="24"/>
          <w:szCs w:val="24"/>
        </w:rPr>
      </w:pPr>
    </w:p>
    <w:p w14:paraId="728827B5" w14:textId="77777777" w:rsidR="0098170E" w:rsidRPr="00BA7EE4" w:rsidRDefault="0098170E" w:rsidP="0044518A">
      <w:pPr>
        <w:spacing w:line="360" w:lineRule="auto"/>
        <w:jc w:val="both"/>
        <w:rPr>
          <w:rFonts w:ascii="Times New Roman" w:hAnsi="Times New Roman" w:cs="Times New Roman"/>
          <w:sz w:val="24"/>
          <w:szCs w:val="24"/>
        </w:rPr>
      </w:pPr>
    </w:p>
    <w:p w14:paraId="55F09895" w14:textId="66D44BB0" w:rsidR="00EF362D" w:rsidRPr="00BA7EE4" w:rsidRDefault="00EF362D" w:rsidP="00EF362D">
      <w:pPr>
        <w:pStyle w:val="ListParagraph"/>
        <w:spacing w:after="120" w:line="240" w:lineRule="auto"/>
        <w:ind w:left="1170" w:hanging="1170"/>
        <w:jc w:val="both"/>
        <w:rPr>
          <w:rFonts w:ascii="Times New Roman" w:hAnsi="Times New Roman" w:cs="Times New Roman"/>
          <w:b/>
          <w:bCs/>
          <w:color w:val="000000" w:themeColor="text1"/>
          <w:sz w:val="24"/>
          <w:szCs w:val="24"/>
          <w:lang w:val="en-US"/>
        </w:rPr>
      </w:pPr>
      <w:r w:rsidRPr="00BA7EE4">
        <w:rPr>
          <w:rFonts w:ascii="Times New Roman" w:hAnsi="Times New Roman" w:cs="Times New Roman"/>
          <w:b/>
          <w:bCs/>
          <w:color w:val="000000" w:themeColor="text1"/>
          <w:sz w:val="24"/>
          <w:szCs w:val="24"/>
        </w:rPr>
        <w:t xml:space="preserve">Table </w:t>
      </w:r>
      <w:r w:rsidR="00872161">
        <w:rPr>
          <w:rFonts w:ascii="Times New Roman" w:hAnsi="Times New Roman" w:cs="Times New Roman"/>
          <w:b/>
          <w:bCs/>
          <w:color w:val="000000" w:themeColor="text1"/>
          <w:sz w:val="24"/>
          <w:szCs w:val="24"/>
        </w:rPr>
        <w:t>2</w:t>
      </w:r>
      <w:r w:rsidRPr="00BA7EE4">
        <w:rPr>
          <w:rFonts w:ascii="Times New Roman" w:hAnsi="Times New Roman" w:cs="Times New Roman"/>
          <w:b/>
          <w:bCs/>
          <w:color w:val="000000" w:themeColor="text1"/>
          <w:sz w:val="24"/>
          <w:szCs w:val="24"/>
        </w:rPr>
        <w:t xml:space="preserve">: </w:t>
      </w:r>
      <w:r w:rsidRPr="00BA7EE4">
        <w:rPr>
          <w:rFonts w:ascii="Times New Roman" w:hAnsi="Times New Roman" w:cs="Times New Roman"/>
          <w:b/>
          <w:bCs/>
          <w:color w:val="000000" w:themeColor="text1"/>
          <w:sz w:val="24"/>
          <w:szCs w:val="24"/>
        </w:rPr>
        <w:tab/>
        <w:t>Quarter-wise incidence of subclinical mastitis in cattle at Jabalpur</w:t>
      </w:r>
    </w:p>
    <w:tbl>
      <w:tblPr>
        <w:tblStyle w:val="TableGrid"/>
        <w:tblW w:w="0" w:type="auto"/>
        <w:jc w:val="center"/>
        <w:tblLook w:val="04A0" w:firstRow="1" w:lastRow="0" w:firstColumn="1" w:lastColumn="0" w:noHBand="0" w:noVBand="1"/>
      </w:tblPr>
      <w:tblGrid>
        <w:gridCol w:w="1697"/>
        <w:gridCol w:w="2029"/>
        <w:gridCol w:w="2383"/>
        <w:gridCol w:w="2103"/>
      </w:tblGrid>
      <w:tr w:rsidR="00EF362D" w:rsidRPr="00BA7EE4" w14:paraId="099D33D8" w14:textId="77777777" w:rsidTr="00277896">
        <w:trPr>
          <w:trHeight w:val="57"/>
          <w:jc w:val="center"/>
        </w:trPr>
        <w:tc>
          <w:tcPr>
            <w:tcW w:w="3726" w:type="dxa"/>
            <w:gridSpan w:val="2"/>
            <w:tcBorders>
              <w:top w:val="single" w:sz="4" w:space="0" w:color="auto"/>
              <w:left w:val="single" w:sz="4" w:space="0" w:color="auto"/>
              <w:bottom w:val="single" w:sz="4" w:space="0" w:color="auto"/>
              <w:right w:val="single" w:sz="4" w:space="0" w:color="auto"/>
            </w:tcBorders>
            <w:vAlign w:val="center"/>
            <w:hideMark/>
          </w:tcPr>
          <w:p w14:paraId="0A1A7B8D"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Quarter’s position</w:t>
            </w:r>
          </w:p>
        </w:tc>
        <w:tc>
          <w:tcPr>
            <w:tcW w:w="2383" w:type="dxa"/>
            <w:tcBorders>
              <w:top w:val="single" w:sz="4" w:space="0" w:color="auto"/>
              <w:left w:val="single" w:sz="4" w:space="0" w:color="auto"/>
              <w:bottom w:val="single" w:sz="4" w:space="0" w:color="auto"/>
              <w:right w:val="single" w:sz="4" w:space="0" w:color="auto"/>
            </w:tcBorders>
            <w:vAlign w:val="center"/>
            <w:hideMark/>
          </w:tcPr>
          <w:p w14:paraId="35028785"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No. of quarters affected (n=168)</w:t>
            </w:r>
          </w:p>
        </w:tc>
        <w:tc>
          <w:tcPr>
            <w:tcW w:w="2103" w:type="dxa"/>
            <w:tcBorders>
              <w:top w:val="single" w:sz="4" w:space="0" w:color="auto"/>
              <w:left w:val="single" w:sz="4" w:space="0" w:color="auto"/>
              <w:bottom w:val="single" w:sz="4" w:space="0" w:color="auto"/>
              <w:right w:val="single" w:sz="4" w:space="0" w:color="auto"/>
            </w:tcBorders>
            <w:vAlign w:val="center"/>
            <w:hideMark/>
          </w:tcPr>
          <w:p w14:paraId="3D15D51B"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Percentage (%)</w:t>
            </w:r>
          </w:p>
        </w:tc>
      </w:tr>
      <w:tr w:rsidR="00EF362D" w:rsidRPr="00BA7EE4" w14:paraId="4EF57EF3" w14:textId="77777777" w:rsidTr="00277896">
        <w:trPr>
          <w:trHeight w:val="57"/>
          <w:jc w:val="center"/>
        </w:trPr>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6EDAA06F" w14:textId="77777777" w:rsidR="00EF362D" w:rsidRPr="00BA7EE4" w:rsidRDefault="00EF362D" w:rsidP="00277896">
            <w:pPr>
              <w:pStyle w:val="ListParagraph"/>
              <w:spacing w:before="80" w:after="80"/>
              <w:ind w:left="0"/>
              <w:rPr>
                <w:color w:val="000000" w:themeColor="text1"/>
                <w:sz w:val="24"/>
                <w:szCs w:val="24"/>
                <w:lang w:val="en-US" w:eastAsia="en-IN"/>
              </w:rPr>
            </w:pPr>
            <w:r w:rsidRPr="00BA7EE4">
              <w:rPr>
                <w:color w:val="000000" w:themeColor="text1"/>
                <w:sz w:val="24"/>
                <w:szCs w:val="24"/>
                <w:lang w:val="en-US" w:eastAsia="en-IN"/>
              </w:rPr>
              <w:t>Right</w:t>
            </w:r>
          </w:p>
        </w:tc>
        <w:tc>
          <w:tcPr>
            <w:tcW w:w="2029" w:type="dxa"/>
            <w:tcBorders>
              <w:top w:val="single" w:sz="4" w:space="0" w:color="auto"/>
              <w:left w:val="single" w:sz="4" w:space="0" w:color="auto"/>
              <w:bottom w:val="single" w:sz="4" w:space="0" w:color="auto"/>
              <w:right w:val="single" w:sz="4" w:space="0" w:color="auto"/>
            </w:tcBorders>
            <w:vAlign w:val="center"/>
            <w:hideMark/>
          </w:tcPr>
          <w:p w14:paraId="5449C0A7"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Fore</w:t>
            </w:r>
          </w:p>
        </w:tc>
        <w:tc>
          <w:tcPr>
            <w:tcW w:w="2383" w:type="dxa"/>
            <w:tcBorders>
              <w:top w:val="single" w:sz="4" w:space="0" w:color="auto"/>
              <w:left w:val="single" w:sz="4" w:space="0" w:color="auto"/>
              <w:bottom w:val="single" w:sz="4" w:space="0" w:color="auto"/>
              <w:right w:val="single" w:sz="4" w:space="0" w:color="auto"/>
            </w:tcBorders>
            <w:vAlign w:val="center"/>
            <w:hideMark/>
          </w:tcPr>
          <w:p w14:paraId="2C70AA19"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41</w:t>
            </w:r>
          </w:p>
        </w:tc>
        <w:tc>
          <w:tcPr>
            <w:tcW w:w="2103" w:type="dxa"/>
            <w:tcBorders>
              <w:top w:val="single" w:sz="4" w:space="0" w:color="auto"/>
              <w:left w:val="single" w:sz="4" w:space="0" w:color="auto"/>
              <w:bottom w:val="single" w:sz="4" w:space="0" w:color="auto"/>
              <w:right w:val="single" w:sz="4" w:space="0" w:color="auto"/>
            </w:tcBorders>
            <w:vAlign w:val="center"/>
            <w:hideMark/>
          </w:tcPr>
          <w:p w14:paraId="793A5C57"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24.40</w:t>
            </w:r>
          </w:p>
        </w:tc>
      </w:tr>
      <w:tr w:rsidR="00EF362D" w:rsidRPr="00BA7EE4" w14:paraId="622CC3BF" w14:textId="77777777" w:rsidTr="00277896">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4082B" w14:textId="77777777" w:rsidR="00EF362D" w:rsidRPr="00BA7EE4" w:rsidRDefault="00EF362D" w:rsidP="00277896">
            <w:pPr>
              <w:spacing w:before="80" w:after="80"/>
              <w:rPr>
                <w:color w:val="000000" w:themeColor="text1"/>
                <w:sz w:val="24"/>
                <w:szCs w:val="24"/>
                <w:lang w:val="en-US" w:eastAsia="en-IN"/>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0A8A35F0"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Hind</w:t>
            </w:r>
          </w:p>
        </w:tc>
        <w:tc>
          <w:tcPr>
            <w:tcW w:w="2383" w:type="dxa"/>
            <w:tcBorders>
              <w:top w:val="single" w:sz="4" w:space="0" w:color="auto"/>
              <w:left w:val="single" w:sz="4" w:space="0" w:color="auto"/>
              <w:bottom w:val="single" w:sz="4" w:space="0" w:color="auto"/>
              <w:right w:val="single" w:sz="4" w:space="0" w:color="auto"/>
            </w:tcBorders>
            <w:vAlign w:val="center"/>
            <w:hideMark/>
          </w:tcPr>
          <w:p w14:paraId="7343E345"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52</w:t>
            </w:r>
          </w:p>
        </w:tc>
        <w:tc>
          <w:tcPr>
            <w:tcW w:w="2103" w:type="dxa"/>
            <w:tcBorders>
              <w:top w:val="single" w:sz="4" w:space="0" w:color="auto"/>
              <w:left w:val="single" w:sz="4" w:space="0" w:color="auto"/>
              <w:bottom w:val="single" w:sz="4" w:space="0" w:color="auto"/>
              <w:right w:val="single" w:sz="4" w:space="0" w:color="auto"/>
            </w:tcBorders>
            <w:vAlign w:val="center"/>
            <w:hideMark/>
          </w:tcPr>
          <w:p w14:paraId="0E72B8EB"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30.95</w:t>
            </w:r>
          </w:p>
        </w:tc>
      </w:tr>
      <w:tr w:rsidR="00EF362D" w:rsidRPr="00BA7EE4" w14:paraId="0D2CD6C8" w14:textId="77777777" w:rsidTr="00277896">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E4EF3" w14:textId="77777777" w:rsidR="00EF362D" w:rsidRPr="00BA7EE4" w:rsidRDefault="00EF362D" w:rsidP="00277896">
            <w:pPr>
              <w:spacing w:before="80" w:after="80"/>
              <w:rPr>
                <w:color w:val="000000" w:themeColor="text1"/>
                <w:sz w:val="24"/>
                <w:szCs w:val="24"/>
                <w:lang w:val="en-US" w:eastAsia="en-IN"/>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3F07B4F1"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Total</w:t>
            </w:r>
          </w:p>
        </w:tc>
        <w:tc>
          <w:tcPr>
            <w:tcW w:w="2383" w:type="dxa"/>
            <w:tcBorders>
              <w:top w:val="single" w:sz="4" w:space="0" w:color="auto"/>
              <w:left w:val="single" w:sz="4" w:space="0" w:color="auto"/>
              <w:bottom w:val="single" w:sz="4" w:space="0" w:color="auto"/>
              <w:right w:val="single" w:sz="4" w:space="0" w:color="auto"/>
            </w:tcBorders>
            <w:vAlign w:val="center"/>
            <w:hideMark/>
          </w:tcPr>
          <w:p w14:paraId="25B55446"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93</w:t>
            </w:r>
          </w:p>
        </w:tc>
        <w:tc>
          <w:tcPr>
            <w:tcW w:w="2103" w:type="dxa"/>
            <w:tcBorders>
              <w:top w:val="single" w:sz="4" w:space="0" w:color="auto"/>
              <w:left w:val="single" w:sz="4" w:space="0" w:color="auto"/>
              <w:bottom w:val="single" w:sz="4" w:space="0" w:color="auto"/>
              <w:right w:val="single" w:sz="4" w:space="0" w:color="auto"/>
            </w:tcBorders>
            <w:vAlign w:val="center"/>
            <w:hideMark/>
          </w:tcPr>
          <w:p w14:paraId="386EC949"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55.35</w:t>
            </w:r>
          </w:p>
        </w:tc>
      </w:tr>
      <w:tr w:rsidR="00EF362D" w:rsidRPr="00BA7EE4" w14:paraId="44335CEA" w14:textId="77777777" w:rsidTr="00277896">
        <w:trPr>
          <w:trHeight w:val="57"/>
          <w:jc w:val="center"/>
        </w:trPr>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0C38614B" w14:textId="77777777" w:rsidR="00EF362D" w:rsidRPr="00BA7EE4" w:rsidRDefault="00EF362D" w:rsidP="00277896">
            <w:pPr>
              <w:pStyle w:val="ListParagraph"/>
              <w:spacing w:before="80" w:after="80"/>
              <w:ind w:left="0"/>
              <w:rPr>
                <w:color w:val="000000" w:themeColor="text1"/>
                <w:sz w:val="24"/>
                <w:szCs w:val="24"/>
                <w:lang w:val="en-US" w:eastAsia="en-IN"/>
              </w:rPr>
            </w:pPr>
            <w:r w:rsidRPr="00BA7EE4">
              <w:rPr>
                <w:color w:val="000000" w:themeColor="text1"/>
                <w:sz w:val="24"/>
                <w:szCs w:val="24"/>
                <w:lang w:val="en-US" w:eastAsia="en-IN"/>
              </w:rPr>
              <w:t>Left</w:t>
            </w:r>
          </w:p>
        </w:tc>
        <w:tc>
          <w:tcPr>
            <w:tcW w:w="2029" w:type="dxa"/>
            <w:tcBorders>
              <w:top w:val="single" w:sz="4" w:space="0" w:color="auto"/>
              <w:left w:val="single" w:sz="4" w:space="0" w:color="auto"/>
              <w:bottom w:val="single" w:sz="4" w:space="0" w:color="auto"/>
              <w:right w:val="single" w:sz="4" w:space="0" w:color="auto"/>
            </w:tcBorders>
            <w:vAlign w:val="center"/>
            <w:hideMark/>
          </w:tcPr>
          <w:p w14:paraId="69F93B48"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Fore</w:t>
            </w:r>
          </w:p>
        </w:tc>
        <w:tc>
          <w:tcPr>
            <w:tcW w:w="2383" w:type="dxa"/>
            <w:tcBorders>
              <w:top w:val="single" w:sz="4" w:space="0" w:color="auto"/>
              <w:left w:val="single" w:sz="4" w:space="0" w:color="auto"/>
              <w:bottom w:val="single" w:sz="4" w:space="0" w:color="auto"/>
              <w:right w:val="single" w:sz="4" w:space="0" w:color="auto"/>
            </w:tcBorders>
            <w:vAlign w:val="center"/>
            <w:hideMark/>
          </w:tcPr>
          <w:p w14:paraId="19642C79"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27</w:t>
            </w:r>
          </w:p>
        </w:tc>
        <w:tc>
          <w:tcPr>
            <w:tcW w:w="2103" w:type="dxa"/>
            <w:tcBorders>
              <w:top w:val="single" w:sz="4" w:space="0" w:color="auto"/>
              <w:left w:val="single" w:sz="4" w:space="0" w:color="auto"/>
              <w:bottom w:val="single" w:sz="4" w:space="0" w:color="auto"/>
              <w:right w:val="single" w:sz="4" w:space="0" w:color="auto"/>
            </w:tcBorders>
            <w:vAlign w:val="center"/>
            <w:hideMark/>
          </w:tcPr>
          <w:p w14:paraId="330AE657"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16.07</w:t>
            </w:r>
          </w:p>
        </w:tc>
      </w:tr>
      <w:tr w:rsidR="00EF362D" w:rsidRPr="00BA7EE4" w14:paraId="5A0D5353" w14:textId="77777777" w:rsidTr="00277896">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05786" w14:textId="77777777" w:rsidR="00EF362D" w:rsidRPr="00BA7EE4" w:rsidRDefault="00EF362D" w:rsidP="00277896">
            <w:pPr>
              <w:spacing w:before="80" w:after="80"/>
              <w:rPr>
                <w:color w:val="000000" w:themeColor="text1"/>
                <w:sz w:val="24"/>
                <w:szCs w:val="24"/>
                <w:lang w:val="en-US" w:eastAsia="en-IN"/>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33AA7357"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Hind</w:t>
            </w:r>
          </w:p>
        </w:tc>
        <w:tc>
          <w:tcPr>
            <w:tcW w:w="2383" w:type="dxa"/>
            <w:tcBorders>
              <w:top w:val="single" w:sz="4" w:space="0" w:color="auto"/>
              <w:left w:val="single" w:sz="4" w:space="0" w:color="auto"/>
              <w:bottom w:val="single" w:sz="4" w:space="0" w:color="auto"/>
              <w:right w:val="single" w:sz="4" w:space="0" w:color="auto"/>
            </w:tcBorders>
            <w:vAlign w:val="center"/>
            <w:hideMark/>
          </w:tcPr>
          <w:p w14:paraId="2D17AB45"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48</w:t>
            </w:r>
          </w:p>
        </w:tc>
        <w:tc>
          <w:tcPr>
            <w:tcW w:w="2103" w:type="dxa"/>
            <w:tcBorders>
              <w:top w:val="single" w:sz="4" w:space="0" w:color="auto"/>
              <w:left w:val="single" w:sz="4" w:space="0" w:color="auto"/>
              <w:bottom w:val="single" w:sz="4" w:space="0" w:color="auto"/>
              <w:right w:val="single" w:sz="4" w:space="0" w:color="auto"/>
            </w:tcBorders>
            <w:vAlign w:val="center"/>
            <w:hideMark/>
          </w:tcPr>
          <w:p w14:paraId="0012532B" w14:textId="77777777" w:rsidR="00EF362D" w:rsidRPr="00BA7EE4" w:rsidRDefault="00EF362D" w:rsidP="00277896">
            <w:pPr>
              <w:pStyle w:val="ListParagraph"/>
              <w:spacing w:before="80" w:after="80"/>
              <w:ind w:left="0"/>
              <w:jc w:val="center"/>
              <w:rPr>
                <w:color w:val="000000" w:themeColor="text1"/>
                <w:sz w:val="24"/>
                <w:szCs w:val="24"/>
                <w:lang w:val="en-US" w:eastAsia="en-IN"/>
              </w:rPr>
            </w:pPr>
            <w:r w:rsidRPr="00BA7EE4">
              <w:rPr>
                <w:color w:val="000000" w:themeColor="text1"/>
                <w:sz w:val="24"/>
                <w:szCs w:val="24"/>
                <w:lang w:val="en-US" w:eastAsia="en-IN"/>
              </w:rPr>
              <w:t>28.57</w:t>
            </w:r>
          </w:p>
        </w:tc>
      </w:tr>
      <w:tr w:rsidR="00EF362D" w:rsidRPr="00BA7EE4" w14:paraId="75FF299F" w14:textId="77777777" w:rsidTr="00277896">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29046" w14:textId="77777777" w:rsidR="00EF362D" w:rsidRPr="00BA7EE4" w:rsidRDefault="00EF362D" w:rsidP="00277896">
            <w:pPr>
              <w:spacing w:before="80" w:after="80"/>
              <w:rPr>
                <w:color w:val="000000" w:themeColor="text1"/>
                <w:sz w:val="24"/>
                <w:szCs w:val="24"/>
                <w:lang w:val="en-US" w:eastAsia="en-IN"/>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30A5B9A1"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Total</w:t>
            </w:r>
          </w:p>
        </w:tc>
        <w:tc>
          <w:tcPr>
            <w:tcW w:w="2383" w:type="dxa"/>
            <w:tcBorders>
              <w:top w:val="single" w:sz="4" w:space="0" w:color="auto"/>
              <w:left w:val="single" w:sz="4" w:space="0" w:color="auto"/>
              <w:bottom w:val="single" w:sz="4" w:space="0" w:color="auto"/>
              <w:right w:val="single" w:sz="4" w:space="0" w:color="auto"/>
            </w:tcBorders>
            <w:vAlign w:val="center"/>
            <w:hideMark/>
          </w:tcPr>
          <w:p w14:paraId="60CF140D"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75</w:t>
            </w:r>
          </w:p>
        </w:tc>
        <w:tc>
          <w:tcPr>
            <w:tcW w:w="2103" w:type="dxa"/>
            <w:tcBorders>
              <w:top w:val="single" w:sz="4" w:space="0" w:color="auto"/>
              <w:left w:val="single" w:sz="4" w:space="0" w:color="auto"/>
              <w:bottom w:val="single" w:sz="4" w:space="0" w:color="auto"/>
              <w:right w:val="single" w:sz="4" w:space="0" w:color="auto"/>
            </w:tcBorders>
            <w:vAlign w:val="center"/>
            <w:hideMark/>
          </w:tcPr>
          <w:p w14:paraId="03412A44" w14:textId="77777777" w:rsidR="00EF362D" w:rsidRPr="00BA7EE4" w:rsidRDefault="00EF362D" w:rsidP="00277896">
            <w:pPr>
              <w:pStyle w:val="ListParagraph"/>
              <w:spacing w:before="80" w:after="80"/>
              <w:ind w:left="0"/>
              <w:jc w:val="center"/>
              <w:rPr>
                <w:b/>
                <w:bCs/>
                <w:color w:val="000000" w:themeColor="text1"/>
                <w:sz w:val="24"/>
                <w:szCs w:val="24"/>
                <w:lang w:val="en-US" w:eastAsia="en-IN"/>
              </w:rPr>
            </w:pPr>
            <w:r w:rsidRPr="00BA7EE4">
              <w:rPr>
                <w:b/>
                <w:bCs/>
                <w:color w:val="000000" w:themeColor="text1"/>
                <w:sz w:val="24"/>
                <w:szCs w:val="24"/>
                <w:lang w:val="en-US" w:eastAsia="en-IN"/>
              </w:rPr>
              <w:t>44.64</w:t>
            </w:r>
          </w:p>
        </w:tc>
      </w:tr>
    </w:tbl>
    <w:p w14:paraId="7E296C2F" w14:textId="77777777" w:rsidR="003D09C5" w:rsidRDefault="003D09C5" w:rsidP="00EF362D">
      <w:pPr>
        <w:pStyle w:val="ListParagraph"/>
        <w:spacing w:after="120" w:line="360" w:lineRule="auto"/>
        <w:ind w:left="0"/>
        <w:jc w:val="both"/>
        <w:rPr>
          <w:rFonts w:ascii="Times New Roman" w:hAnsi="Times New Roman" w:cs="Times New Roman"/>
          <w:b/>
          <w:color w:val="000000" w:themeColor="text1"/>
          <w:sz w:val="24"/>
          <w:szCs w:val="24"/>
        </w:rPr>
      </w:pPr>
    </w:p>
    <w:p w14:paraId="04645C40" w14:textId="32DFE7EC" w:rsidR="00EF362D" w:rsidRPr="00BA7EE4" w:rsidRDefault="00EF362D" w:rsidP="00EF362D">
      <w:pPr>
        <w:pStyle w:val="ListParagraph"/>
        <w:spacing w:after="120" w:line="360" w:lineRule="auto"/>
        <w:ind w:left="0"/>
        <w:jc w:val="both"/>
        <w:rPr>
          <w:rFonts w:ascii="Times New Roman" w:hAnsi="Times New Roman" w:cs="Times New Roman"/>
          <w:b/>
          <w:color w:val="000000" w:themeColor="text1"/>
          <w:sz w:val="24"/>
          <w:szCs w:val="24"/>
        </w:rPr>
      </w:pPr>
      <w:r w:rsidRPr="00BA7EE4">
        <w:rPr>
          <w:rFonts w:ascii="Times New Roman" w:hAnsi="Times New Roman" w:cs="Times New Roman"/>
          <w:b/>
          <w:color w:val="000000" w:themeColor="text1"/>
          <w:sz w:val="24"/>
          <w:szCs w:val="24"/>
        </w:rPr>
        <w:t xml:space="preserve">Table </w:t>
      </w:r>
      <w:r w:rsidR="00872161">
        <w:rPr>
          <w:rFonts w:ascii="Times New Roman" w:hAnsi="Times New Roman" w:cs="Times New Roman"/>
          <w:b/>
          <w:color w:val="000000" w:themeColor="text1"/>
          <w:sz w:val="24"/>
          <w:szCs w:val="24"/>
        </w:rPr>
        <w:t>3</w:t>
      </w:r>
      <w:r w:rsidRPr="00BA7EE4">
        <w:rPr>
          <w:rFonts w:ascii="Times New Roman" w:hAnsi="Times New Roman" w:cs="Times New Roman"/>
          <w:b/>
          <w:color w:val="000000" w:themeColor="text1"/>
          <w:sz w:val="24"/>
          <w:szCs w:val="24"/>
        </w:rPr>
        <w:t>: Age wise incidence of subclinical mastitis at Jabalpur</w:t>
      </w:r>
    </w:p>
    <w:tbl>
      <w:tblPr>
        <w:tblStyle w:val="TableGrid"/>
        <w:tblW w:w="0" w:type="auto"/>
        <w:jc w:val="center"/>
        <w:tblLook w:val="04A0" w:firstRow="1" w:lastRow="0" w:firstColumn="1" w:lastColumn="0" w:noHBand="0" w:noVBand="1"/>
      </w:tblPr>
      <w:tblGrid>
        <w:gridCol w:w="2020"/>
        <w:gridCol w:w="2150"/>
        <w:gridCol w:w="2080"/>
        <w:gridCol w:w="1812"/>
      </w:tblGrid>
      <w:tr w:rsidR="00EF362D" w:rsidRPr="00BA7EE4" w14:paraId="3057700F" w14:textId="77777777" w:rsidTr="00277896">
        <w:trPr>
          <w:trHeight w:val="487"/>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1933C26B" w14:textId="77777777" w:rsidR="00EF362D" w:rsidRPr="00BA7EE4" w:rsidRDefault="00EF362D" w:rsidP="00277896">
            <w:pPr>
              <w:pStyle w:val="ListParagraph"/>
              <w:spacing w:before="40" w:after="40"/>
              <w:ind w:left="0"/>
              <w:jc w:val="center"/>
              <w:rPr>
                <w:b/>
                <w:color w:val="000000" w:themeColor="text1"/>
                <w:sz w:val="24"/>
                <w:szCs w:val="24"/>
                <w:lang w:eastAsia="en-IN"/>
              </w:rPr>
            </w:pPr>
            <w:r w:rsidRPr="00BA7EE4">
              <w:rPr>
                <w:b/>
                <w:color w:val="000000" w:themeColor="text1"/>
                <w:sz w:val="24"/>
                <w:szCs w:val="24"/>
                <w:lang w:eastAsia="en-IN"/>
              </w:rPr>
              <w:t>Age group</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1B63B11" w14:textId="77777777" w:rsidR="00EF362D" w:rsidRPr="00BA7EE4" w:rsidRDefault="00EF362D" w:rsidP="00277896">
            <w:pPr>
              <w:pStyle w:val="ListParagraph"/>
              <w:spacing w:before="40" w:after="40"/>
              <w:ind w:left="0"/>
              <w:jc w:val="center"/>
              <w:rPr>
                <w:b/>
                <w:color w:val="000000" w:themeColor="text1"/>
                <w:sz w:val="24"/>
                <w:szCs w:val="24"/>
                <w:lang w:eastAsia="en-IN"/>
              </w:rPr>
            </w:pPr>
            <w:r w:rsidRPr="00BA7EE4">
              <w:rPr>
                <w:b/>
                <w:color w:val="000000" w:themeColor="text1"/>
                <w:sz w:val="24"/>
                <w:szCs w:val="24"/>
                <w:lang w:eastAsia="en-IN"/>
              </w:rPr>
              <w:t>Cattle screened</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704DDDA" w14:textId="77777777" w:rsidR="00EF362D" w:rsidRPr="00BA7EE4" w:rsidRDefault="00EF362D" w:rsidP="00277896">
            <w:pPr>
              <w:pStyle w:val="ListParagraph"/>
              <w:spacing w:before="40" w:after="40"/>
              <w:ind w:left="0"/>
              <w:jc w:val="center"/>
              <w:rPr>
                <w:b/>
                <w:color w:val="000000" w:themeColor="text1"/>
                <w:sz w:val="24"/>
                <w:szCs w:val="24"/>
                <w:lang w:eastAsia="en-IN"/>
              </w:rPr>
            </w:pPr>
            <w:r w:rsidRPr="00BA7EE4">
              <w:rPr>
                <w:b/>
                <w:color w:val="000000" w:themeColor="text1"/>
                <w:sz w:val="24"/>
                <w:szCs w:val="24"/>
                <w:lang w:eastAsia="en-IN"/>
              </w:rPr>
              <w:t>Cattle affected with SCM</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0BFFCF1" w14:textId="77777777" w:rsidR="00EF362D" w:rsidRPr="00BA7EE4" w:rsidRDefault="00EF362D" w:rsidP="00277896">
            <w:pPr>
              <w:pStyle w:val="ListParagraph"/>
              <w:spacing w:before="40" w:after="40"/>
              <w:ind w:left="0"/>
              <w:jc w:val="center"/>
              <w:rPr>
                <w:b/>
                <w:color w:val="000000" w:themeColor="text1"/>
                <w:sz w:val="24"/>
                <w:szCs w:val="24"/>
                <w:lang w:eastAsia="en-IN"/>
              </w:rPr>
            </w:pPr>
            <w:r w:rsidRPr="00BA7EE4">
              <w:rPr>
                <w:b/>
                <w:color w:val="000000" w:themeColor="text1"/>
                <w:sz w:val="24"/>
                <w:szCs w:val="24"/>
                <w:lang w:eastAsia="en-IN"/>
              </w:rPr>
              <w:t>SCM (%)</w:t>
            </w:r>
          </w:p>
        </w:tc>
      </w:tr>
      <w:tr w:rsidR="00EF362D" w:rsidRPr="00BA7EE4" w14:paraId="1DC69AB9" w14:textId="77777777" w:rsidTr="00277896">
        <w:trPr>
          <w:trHeight w:val="65"/>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2572C65E"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3-4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F30D299" w14:textId="6C6FD20D"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5</w:t>
            </w:r>
            <w:r w:rsidR="00BC468A">
              <w:rPr>
                <w:color w:val="000000" w:themeColor="text1"/>
                <w:sz w:val="24"/>
                <w:szCs w:val="24"/>
                <w:lang w:eastAsia="en-IN"/>
              </w:rPr>
              <w:t>3</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F0C183D"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4</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E0AC224" w14:textId="635F6BCE"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7.</w:t>
            </w:r>
            <w:r w:rsidR="00BC468A">
              <w:rPr>
                <w:color w:val="000000" w:themeColor="text1"/>
                <w:sz w:val="24"/>
                <w:szCs w:val="24"/>
                <w:lang w:eastAsia="en-IN"/>
              </w:rPr>
              <w:t>54</w:t>
            </w:r>
          </w:p>
        </w:tc>
      </w:tr>
      <w:tr w:rsidR="00EF362D" w:rsidRPr="00BA7EE4" w14:paraId="3FE06745" w14:textId="77777777" w:rsidTr="00277896">
        <w:trPr>
          <w:trHeight w:val="65"/>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672A7529"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5-6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2DD8A72"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40</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8152E79"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17</w:t>
            </w:r>
          </w:p>
        </w:tc>
        <w:tc>
          <w:tcPr>
            <w:tcW w:w="1811" w:type="dxa"/>
            <w:tcBorders>
              <w:top w:val="single" w:sz="4" w:space="0" w:color="auto"/>
              <w:left w:val="single" w:sz="4" w:space="0" w:color="auto"/>
              <w:bottom w:val="single" w:sz="4" w:space="0" w:color="auto"/>
              <w:right w:val="single" w:sz="4" w:space="0" w:color="auto"/>
            </w:tcBorders>
            <w:vAlign w:val="center"/>
            <w:hideMark/>
          </w:tcPr>
          <w:p w14:paraId="0FA4C9DA"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42.50</w:t>
            </w:r>
          </w:p>
        </w:tc>
      </w:tr>
      <w:tr w:rsidR="00EF362D" w:rsidRPr="00BA7EE4" w14:paraId="475F16BF" w14:textId="77777777" w:rsidTr="00277896">
        <w:trPr>
          <w:trHeight w:val="65"/>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1EE688F3"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7-8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D20A5AD"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42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88097B1"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16</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84843D5"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38.09</w:t>
            </w:r>
          </w:p>
        </w:tc>
      </w:tr>
      <w:tr w:rsidR="00EF362D" w:rsidRPr="00BA7EE4" w14:paraId="0A0920D5" w14:textId="77777777" w:rsidTr="00277896">
        <w:trPr>
          <w:trHeight w:val="65"/>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25F88B75"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9-10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B0ADAD3"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35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A79A9E4"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13</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877767B"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37.14</w:t>
            </w:r>
          </w:p>
        </w:tc>
      </w:tr>
      <w:tr w:rsidR="00EF362D" w:rsidRPr="00BA7EE4" w14:paraId="16D72A2C" w14:textId="77777777" w:rsidTr="00277896">
        <w:trPr>
          <w:trHeight w:val="65"/>
          <w:jc w:val="center"/>
        </w:trPr>
        <w:tc>
          <w:tcPr>
            <w:tcW w:w="2020" w:type="dxa"/>
            <w:tcBorders>
              <w:top w:val="single" w:sz="4" w:space="0" w:color="auto"/>
              <w:left w:val="single" w:sz="4" w:space="0" w:color="auto"/>
              <w:bottom w:val="single" w:sz="4" w:space="0" w:color="auto"/>
              <w:right w:val="single" w:sz="4" w:space="0" w:color="auto"/>
            </w:tcBorders>
            <w:vAlign w:val="center"/>
            <w:hideMark/>
          </w:tcPr>
          <w:p w14:paraId="1B3D3E2F"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11-12 years</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7874A66"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34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C3DDCCF"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5</w:t>
            </w:r>
          </w:p>
        </w:tc>
        <w:tc>
          <w:tcPr>
            <w:tcW w:w="1811" w:type="dxa"/>
            <w:tcBorders>
              <w:top w:val="single" w:sz="4" w:space="0" w:color="auto"/>
              <w:left w:val="single" w:sz="4" w:space="0" w:color="auto"/>
              <w:bottom w:val="single" w:sz="4" w:space="0" w:color="auto"/>
              <w:right w:val="single" w:sz="4" w:space="0" w:color="auto"/>
            </w:tcBorders>
            <w:vAlign w:val="center"/>
            <w:hideMark/>
          </w:tcPr>
          <w:p w14:paraId="2C4CBC0E"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14.70</w:t>
            </w:r>
          </w:p>
        </w:tc>
      </w:tr>
      <w:tr w:rsidR="00EF362D" w:rsidRPr="00BA7EE4" w14:paraId="594ED610" w14:textId="77777777" w:rsidTr="00277896">
        <w:trPr>
          <w:trHeight w:val="57"/>
          <w:jc w:val="center"/>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57799F97" w14:textId="77777777" w:rsidR="00EF362D" w:rsidRPr="00BA7EE4" w:rsidRDefault="00EA1978" w:rsidP="00277896">
            <w:pPr>
              <w:pStyle w:val="ListParagraph"/>
              <w:spacing w:before="40" w:after="40"/>
              <w:jc w:val="center"/>
              <w:rPr>
                <w:color w:val="000000" w:themeColor="text1"/>
                <w:sz w:val="24"/>
                <w:szCs w:val="24"/>
                <w:lang w:eastAsia="en-IN"/>
              </w:rPr>
            </w:pPr>
            <m:oMath>
              <m:sSup>
                <m:sSupPr>
                  <m:ctrlPr>
                    <w:rPr>
                      <w:rFonts w:ascii="Cambria Math" w:hAnsi="Cambria Math"/>
                      <w:i/>
                      <w:color w:val="000000" w:themeColor="text1"/>
                      <w:kern w:val="2"/>
                      <w:sz w:val="24"/>
                      <w:szCs w:val="24"/>
                      <w14:ligatures w14:val="standardContextual"/>
                    </w:rPr>
                  </m:ctrlPr>
                </m:sSupPr>
                <m:e>
                  <m:r>
                    <w:rPr>
                      <w:rFonts w:ascii="Cambria Math" w:hAnsi="Cambria Math"/>
                      <w:color w:val="000000" w:themeColor="text1"/>
                      <w:sz w:val="24"/>
                      <w:szCs w:val="24"/>
                      <w:lang w:eastAsia="en-IN"/>
                    </w:rPr>
                    <m:t>χ</m:t>
                  </m:r>
                </m:e>
                <m:sup>
                  <m:r>
                    <w:rPr>
                      <w:rFonts w:ascii="Cambria Math" w:hAnsi="Cambria Math"/>
                      <w:color w:val="000000" w:themeColor="text1"/>
                      <w:sz w:val="24"/>
                      <w:szCs w:val="24"/>
                      <w:lang w:eastAsia="en-IN"/>
                    </w:rPr>
                    <m:t>2</m:t>
                  </m:r>
                </m:sup>
              </m:sSup>
            </m:oMath>
            <w:r w:rsidR="00EF362D" w:rsidRPr="00BA7EE4">
              <w:rPr>
                <w:color w:val="000000" w:themeColor="text1"/>
                <w:sz w:val="24"/>
                <w:szCs w:val="24"/>
                <w:lang w:eastAsia="en-IN"/>
              </w:rPr>
              <w:t xml:space="preserve"> value</w:t>
            </w:r>
          </w:p>
        </w:tc>
        <w:tc>
          <w:tcPr>
            <w:tcW w:w="3892" w:type="dxa"/>
            <w:gridSpan w:val="2"/>
            <w:tcBorders>
              <w:top w:val="single" w:sz="4" w:space="0" w:color="auto"/>
              <w:left w:val="single" w:sz="4" w:space="0" w:color="auto"/>
              <w:bottom w:val="single" w:sz="4" w:space="0" w:color="auto"/>
              <w:right w:val="single" w:sz="4" w:space="0" w:color="auto"/>
            </w:tcBorders>
            <w:vAlign w:val="center"/>
            <w:hideMark/>
          </w:tcPr>
          <w:p w14:paraId="6FEC5A3D" w14:textId="77777777" w:rsidR="00EF362D" w:rsidRPr="00BA7EE4" w:rsidRDefault="00EF362D" w:rsidP="00277896">
            <w:pPr>
              <w:pStyle w:val="ListParagraph"/>
              <w:spacing w:before="40" w:after="40"/>
              <w:ind w:left="0"/>
              <w:jc w:val="center"/>
              <w:rPr>
                <w:color w:val="000000" w:themeColor="text1"/>
                <w:sz w:val="24"/>
                <w:szCs w:val="24"/>
                <w:lang w:eastAsia="en-IN"/>
              </w:rPr>
            </w:pPr>
            <w:r w:rsidRPr="00BA7EE4">
              <w:rPr>
                <w:color w:val="000000" w:themeColor="text1"/>
                <w:sz w:val="24"/>
                <w:szCs w:val="24"/>
                <w:lang w:eastAsia="en-IN"/>
              </w:rPr>
              <w:t>15.83*</w:t>
            </w:r>
          </w:p>
        </w:tc>
      </w:tr>
    </w:tbl>
    <w:p w14:paraId="4B9850B3" w14:textId="02AEBEE5" w:rsidR="00781E68" w:rsidRDefault="00EF362D" w:rsidP="00EF362D">
      <w:pPr>
        <w:pStyle w:val="ListParagraph"/>
        <w:spacing w:after="120" w:line="360" w:lineRule="auto"/>
        <w:ind w:left="0"/>
        <w:jc w:val="both"/>
        <w:rPr>
          <w:rFonts w:ascii="Times New Roman" w:hAnsi="Times New Roman" w:cs="Times New Roman"/>
          <w:b/>
          <w:bCs/>
          <w:color w:val="000000" w:themeColor="text1"/>
          <w:sz w:val="24"/>
          <w:szCs w:val="24"/>
        </w:rPr>
      </w:pPr>
      <w:r w:rsidRPr="00BA7EE4">
        <w:rPr>
          <w:rFonts w:ascii="Times New Roman" w:hAnsi="Times New Roman" w:cs="Times New Roman"/>
          <w:b/>
          <w:bCs/>
          <w:color w:val="000000" w:themeColor="text1"/>
          <w:sz w:val="24"/>
          <w:szCs w:val="24"/>
        </w:rPr>
        <w:t>*significant at p &lt; 0.0</w:t>
      </w:r>
    </w:p>
    <w:p w14:paraId="5AAC57F9" w14:textId="77777777" w:rsidR="00781E68" w:rsidRDefault="00781E68" w:rsidP="00EF362D">
      <w:pPr>
        <w:pStyle w:val="ListParagraph"/>
        <w:spacing w:after="120" w:line="360" w:lineRule="auto"/>
        <w:ind w:left="0"/>
        <w:jc w:val="both"/>
        <w:rPr>
          <w:rFonts w:ascii="Times New Roman" w:hAnsi="Times New Roman" w:cs="Times New Roman"/>
          <w:b/>
          <w:bCs/>
          <w:color w:val="000000" w:themeColor="text1"/>
          <w:sz w:val="24"/>
          <w:szCs w:val="24"/>
        </w:rPr>
      </w:pPr>
    </w:p>
    <w:p w14:paraId="475D6C28" w14:textId="77777777" w:rsidR="00781E68" w:rsidRDefault="00781E68" w:rsidP="00EF362D">
      <w:pPr>
        <w:pStyle w:val="ListParagraph"/>
        <w:spacing w:after="120" w:line="360" w:lineRule="auto"/>
        <w:ind w:left="0"/>
        <w:jc w:val="both"/>
        <w:rPr>
          <w:rFonts w:ascii="Times New Roman" w:hAnsi="Times New Roman" w:cs="Times New Roman"/>
          <w:b/>
          <w:bCs/>
          <w:color w:val="000000" w:themeColor="text1"/>
          <w:sz w:val="24"/>
          <w:szCs w:val="24"/>
        </w:rPr>
      </w:pPr>
    </w:p>
    <w:p w14:paraId="39B8F5C1" w14:textId="77777777" w:rsidR="00781E68" w:rsidRPr="00BA7EE4" w:rsidRDefault="00781E68" w:rsidP="00EF362D">
      <w:pPr>
        <w:pStyle w:val="ListParagraph"/>
        <w:spacing w:after="120" w:line="360" w:lineRule="auto"/>
        <w:ind w:left="0"/>
        <w:jc w:val="both"/>
        <w:rPr>
          <w:rFonts w:ascii="Times New Roman" w:hAnsi="Times New Roman" w:cs="Times New Roman"/>
          <w:b/>
          <w:bCs/>
          <w:color w:val="000000" w:themeColor="text1"/>
          <w:sz w:val="24"/>
          <w:szCs w:val="24"/>
        </w:rPr>
      </w:pPr>
    </w:p>
    <w:p w14:paraId="78EE82FC" w14:textId="775A3F25" w:rsidR="00EF362D" w:rsidRPr="00BA7EE4" w:rsidRDefault="00EF362D" w:rsidP="00EF362D">
      <w:pPr>
        <w:spacing w:after="120" w:line="360" w:lineRule="auto"/>
        <w:jc w:val="both"/>
        <w:rPr>
          <w:rFonts w:ascii="Times New Roman" w:hAnsi="Times New Roman" w:cs="Times New Roman"/>
          <w:b/>
          <w:color w:val="000000" w:themeColor="text1"/>
          <w:sz w:val="24"/>
          <w:szCs w:val="24"/>
        </w:rPr>
      </w:pPr>
      <w:r w:rsidRPr="00BA7EE4">
        <w:rPr>
          <w:rFonts w:ascii="Times New Roman" w:hAnsi="Times New Roman" w:cs="Times New Roman"/>
          <w:b/>
          <w:color w:val="000000" w:themeColor="text1"/>
          <w:sz w:val="24"/>
          <w:szCs w:val="24"/>
        </w:rPr>
        <w:t xml:space="preserve">Table </w:t>
      </w:r>
      <w:r w:rsidR="00872161">
        <w:rPr>
          <w:rFonts w:ascii="Times New Roman" w:hAnsi="Times New Roman" w:cs="Times New Roman"/>
          <w:b/>
          <w:color w:val="000000" w:themeColor="text1"/>
          <w:sz w:val="24"/>
          <w:szCs w:val="24"/>
        </w:rPr>
        <w:t>4</w:t>
      </w:r>
      <w:r w:rsidRPr="00BA7EE4">
        <w:rPr>
          <w:rFonts w:ascii="Times New Roman" w:hAnsi="Times New Roman" w:cs="Times New Roman"/>
          <w:b/>
          <w:color w:val="000000" w:themeColor="text1"/>
          <w:sz w:val="24"/>
          <w:szCs w:val="24"/>
        </w:rPr>
        <w:t>: Parity wise incidence of subclinical mastitis at Jabalpur</w:t>
      </w:r>
    </w:p>
    <w:tbl>
      <w:tblPr>
        <w:tblStyle w:val="TableGrid"/>
        <w:tblW w:w="0" w:type="auto"/>
        <w:jc w:val="center"/>
        <w:tblLook w:val="04A0" w:firstRow="1" w:lastRow="0" w:firstColumn="1" w:lastColumn="0" w:noHBand="0" w:noVBand="1"/>
      </w:tblPr>
      <w:tblGrid>
        <w:gridCol w:w="1980"/>
        <w:gridCol w:w="2832"/>
        <w:gridCol w:w="1701"/>
        <w:gridCol w:w="1632"/>
      </w:tblGrid>
      <w:tr w:rsidR="00EF362D" w:rsidRPr="00BA7EE4" w14:paraId="780BD2C5"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123E505" w14:textId="77777777" w:rsidR="00EF362D" w:rsidRPr="00BA7EE4" w:rsidRDefault="00EF362D" w:rsidP="00277896">
            <w:pPr>
              <w:spacing w:before="40" w:after="40"/>
              <w:jc w:val="center"/>
              <w:rPr>
                <w:b/>
                <w:bCs/>
                <w:color w:val="000000" w:themeColor="text1"/>
                <w:sz w:val="24"/>
                <w:szCs w:val="24"/>
                <w:lang w:eastAsia="en-IN"/>
              </w:rPr>
            </w:pPr>
            <w:r w:rsidRPr="00BA7EE4">
              <w:rPr>
                <w:b/>
                <w:bCs/>
                <w:color w:val="000000" w:themeColor="text1"/>
                <w:sz w:val="24"/>
                <w:szCs w:val="24"/>
                <w:lang w:eastAsia="en-IN"/>
              </w:rPr>
              <w:t>Parity Number</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915EB2E" w14:textId="77777777" w:rsidR="00EF362D" w:rsidRPr="00BA7EE4" w:rsidRDefault="00EF362D" w:rsidP="00277896">
            <w:pPr>
              <w:spacing w:before="40" w:after="40"/>
              <w:jc w:val="center"/>
              <w:rPr>
                <w:b/>
                <w:bCs/>
                <w:color w:val="000000" w:themeColor="text1"/>
                <w:sz w:val="24"/>
                <w:szCs w:val="24"/>
                <w:lang w:eastAsia="en-IN"/>
              </w:rPr>
            </w:pPr>
            <w:r w:rsidRPr="00BA7EE4">
              <w:rPr>
                <w:b/>
                <w:bCs/>
                <w:color w:val="000000" w:themeColor="text1"/>
                <w:sz w:val="24"/>
                <w:szCs w:val="24"/>
                <w:lang w:eastAsia="en-IN"/>
              </w:rPr>
              <w:t>Cattle screened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BE8A7" w14:textId="77777777" w:rsidR="00EF362D" w:rsidRPr="00BA7EE4" w:rsidRDefault="00EF362D" w:rsidP="00277896">
            <w:pPr>
              <w:spacing w:before="40" w:after="40"/>
              <w:jc w:val="center"/>
              <w:rPr>
                <w:b/>
                <w:bCs/>
                <w:color w:val="000000" w:themeColor="text1"/>
                <w:sz w:val="24"/>
                <w:szCs w:val="24"/>
                <w:lang w:eastAsia="en-IN"/>
              </w:rPr>
            </w:pPr>
            <w:r w:rsidRPr="00BA7EE4">
              <w:rPr>
                <w:b/>
                <w:bCs/>
                <w:color w:val="000000" w:themeColor="text1"/>
                <w:sz w:val="24"/>
                <w:szCs w:val="24"/>
                <w:lang w:eastAsia="en-IN"/>
              </w:rPr>
              <w:t>SCM affected</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D491732" w14:textId="77777777" w:rsidR="00EF362D" w:rsidRPr="00BA7EE4" w:rsidRDefault="00EF362D" w:rsidP="00277896">
            <w:pPr>
              <w:spacing w:before="40" w:after="40"/>
              <w:jc w:val="center"/>
              <w:rPr>
                <w:b/>
                <w:bCs/>
                <w:color w:val="000000" w:themeColor="text1"/>
                <w:sz w:val="24"/>
                <w:szCs w:val="24"/>
                <w:lang w:eastAsia="en-IN"/>
              </w:rPr>
            </w:pPr>
            <w:r w:rsidRPr="00BA7EE4">
              <w:rPr>
                <w:b/>
                <w:bCs/>
                <w:color w:val="000000" w:themeColor="text1"/>
                <w:sz w:val="24"/>
                <w:szCs w:val="24"/>
                <w:lang w:eastAsia="en-IN"/>
              </w:rPr>
              <w:t>SCM (%)</w:t>
            </w:r>
          </w:p>
        </w:tc>
      </w:tr>
      <w:tr w:rsidR="00EF362D" w:rsidRPr="00BA7EE4" w14:paraId="64E8AA98"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78A1C846"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1</w:t>
            </w:r>
            <w:r w:rsidRPr="00BA7EE4">
              <w:rPr>
                <w:color w:val="000000" w:themeColor="text1"/>
                <w:sz w:val="24"/>
                <w:szCs w:val="24"/>
                <w:vertAlign w:val="superscript"/>
                <w:lang w:eastAsia="en-IN"/>
              </w:rPr>
              <w:t>st</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718D173E"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33</w:t>
            </w:r>
          </w:p>
        </w:tc>
        <w:tc>
          <w:tcPr>
            <w:tcW w:w="1701" w:type="dxa"/>
            <w:tcBorders>
              <w:top w:val="single" w:sz="4" w:space="0" w:color="auto"/>
              <w:left w:val="single" w:sz="4" w:space="0" w:color="auto"/>
              <w:bottom w:val="single" w:sz="4" w:space="0" w:color="auto"/>
              <w:right w:val="single" w:sz="4" w:space="0" w:color="auto"/>
            </w:tcBorders>
            <w:hideMark/>
          </w:tcPr>
          <w:p w14:paraId="4CC1A26E"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w:t>
            </w:r>
          </w:p>
        </w:tc>
        <w:tc>
          <w:tcPr>
            <w:tcW w:w="1632" w:type="dxa"/>
            <w:tcBorders>
              <w:top w:val="single" w:sz="4" w:space="0" w:color="auto"/>
              <w:left w:val="single" w:sz="4" w:space="0" w:color="auto"/>
              <w:bottom w:val="single" w:sz="4" w:space="0" w:color="auto"/>
              <w:right w:val="single" w:sz="4" w:space="0" w:color="auto"/>
            </w:tcBorders>
            <w:hideMark/>
          </w:tcPr>
          <w:p w14:paraId="3B812802"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6.06</w:t>
            </w:r>
          </w:p>
        </w:tc>
      </w:tr>
      <w:tr w:rsidR="00EF362D" w:rsidRPr="00BA7EE4" w14:paraId="235A3334"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4CE56934"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2</w:t>
            </w:r>
            <w:r w:rsidRPr="00BA7EE4">
              <w:rPr>
                <w:color w:val="000000" w:themeColor="text1"/>
                <w:sz w:val="24"/>
                <w:szCs w:val="24"/>
                <w:vertAlign w:val="superscript"/>
                <w:lang w:eastAsia="en-IN"/>
              </w:rPr>
              <w:t>nd</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1801BD85"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36</w:t>
            </w:r>
          </w:p>
        </w:tc>
        <w:tc>
          <w:tcPr>
            <w:tcW w:w="1701" w:type="dxa"/>
            <w:tcBorders>
              <w:top w:val="single" w:sz="4" w:space="0" w:color="auto"/>
              <w:left w:val="single" w:sz="4" w:space="0" w:color="auto"/>
              <w:bottom w:val="single" w:sz="4" w:space="0" w:color="auto"/>
              <w:right w:val="single" w:sz="4" w:space="0" w:color="auto"/>
            </w:tcBorders>
            <w:hideMark/>
          </w:tcPr>
          <w:p w14:paraId="15D051B0"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8</w:t>
            </w:r>
          </w:p>
        </w:tc>
        <w:tc>
          <w:tcPr>
            <w:tcW w:w="1632" w:type="dxa"/>
            <w:tcBorders>
              <w:top w:val="single" w:sz="4" w:space="0" w:color="auto"/>
              <w:left w:val="single" w:sz="4" w:space="0" w:color="auto"/>
              <w:bottom w:val="single" w:sz="4" w:space="0" w:color="auto"/>
              <w:right w:val="single" w:sz="4" w:space="0" w:color="auto"/>
            </w:tcBorders>
            <w:hideMark/>
          </w:tcPr>
          <w:p w14:paraId="73DA9384"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22.22</w:t>
            </w:r>
          </w:p>
        </w:tc>
      </w:tr>
      <w:tr w:rsidR="00EF362D" w:rsidRPr="00BA7EE4" w14:paraId="53DDF15A"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566B1C4B"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3</w:t>
            </w:r>
            <w:r w:rsidRPr="00BA7EE4">
              <w:rPr>
                <w:color w:val="000000" w:themeColor="text1"/>
                <w:sz w:val="24"/>
                <w:szCs w:val="24"/>
                <w:vertAlign w:val="superscript"/>
                <w:lang w:eastAsia="en-IN"/>
              </w:rPr>
              <w:t>rd</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6629513F"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24</w:t>
            </w:r>
          </w:p>
        </w:tc>
        <w:tc>
          <w:tcPr>
            <w:tcW w:w="1701" w:type="dxa"/>
            <w:tcBorders>
              <w:top w:val="single" w:sz="4" w:space="0" w:color="auto"/>
              <w:left w:val="single" w:sz="4" w:space="0" w:color="auto"/>
              <w:bottom w:val="single" w:sz="4" w:space="0" w:color="auto"/>
              <w:right w:val="single" w:sz="4" w:space="0" w:color="auto"/>
            </w:tcBorders>
            <w:hideMark/>
          </w:tcPr>
          <w:p w14:paraId="5A1EBC38"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15</w:t>
            </w:r>
          </w:p>
        </w:tc>
        <w:tc>
          <w:tcPr>
            <w:tcW w:w="1632" w:type="dxa"/>
            <w:tcBorders>
              <w:top w:val="single" w:sz="4" w:space="0" w:color="auto"/>
              <w:left w:val="single" w:sz="4" w:space="0" w:color="auto"/>
              <w:bottom w:val="single" w:sz="4" w:space="0" w:color="auto"/>
              <w:right w:val="single" w:sz="4" w:space="0" w:color="auto"/>
            </w:tcBorders>
            <w:hideMark/>
          </w:tcPr>
          <w:p w14:paraId="6827A47B"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62.50</w:t>
            </w:r>
          </w:p>
        </w:tc>
      </w:tr>
      <w:tr w:rsidR="00EF362D" w:rsidRPr="00BA7EE4" w14:paraId="77D42D1F" w14:textId="77777777" w:rsidTr="00277896">
        <w:trPr>
          <w:trHeight w:val="77"/>
          <w:jc w:val="center"/>
        </w:trPr>
        <w:tc>
          <w:tcPr>
            <w:tcW w:w="1980" w:type="dxa"/>
            <w:tcBorders>
              <w:top w:val="single" w:sz="4" w:space="0" w:color="auto"/>
              <w:left w:val="single" w:sz="4" w:space="0" w:color="auto"/>
              <w:bottom w:val="single" w:sz="4" w:space="0" w:color="auto"/>
              <w:right w:val="single" w:sz="4" w:space="0" w:color="auto"/>
            </w:tcBorders>
            <w:hideMark/>
          </w:tcPr>
          <w:p w14:paraId="0480EE67"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4</w:t>
            </w:r>
            <w:r w:rsidRPr="00BA7EE4">
              <w:rPr>
                <w:color w:val="000000" w:themeColor="text1"/>
                <w:sz w:val="24"/>
                <w:szCs w:val="24"/>
                <w:vertAlign w:val="superscript"/>
                <w:lang w:eastAsia="en-IN"/>
              </w:rPr>
              <w:t>th</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61469DB0"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23</w:t>
            </w:r>
          </w:p>
        </w:tc>
        <w:tc>
          <w:tcPr>
            <w:tcW w:w="1701" w:type="dxa"/>
            <w:tcBorders>
              <w:top w:val="single" w:sz="4" w:space="0" w:color="auto"/>
              <w:left w:val="single" w:sz="4" w:space="0" w:color="auto"/>
              <w:bottom w:val="single" w:sz="4" w:space="0" w:color="auto"/>
              <w:right w:val="single" w:sz="4" w:space="0" w:color="auto"/>
            </w:tcBorders>
            <w:hideMark/>
          </w:tcPr>
          <w:p w14:paraId="6D1C5295"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12</w:t>
            </w:r>
          </w:p>
        </w:tc>
        <w:tc>
          <w:tcPr>
            <w:tcW w:w="1632" w:type="dxa"/>
            <w:tcBorders>
              <w:top w:val="single" w:sz="4" w:space="0" w:color="auto"/>
              <w:left w:val="single" w:sz="4" w:space="0" w:color="auto"/>
              <w:bottom w:val="single" w:sz="4" w:space="0" w:color="auto"/>
              <w:right w:val="single" w:sz="4" w:space="0" w:color="auto"/>
            </w:tcBorders>
            <w:hideMark/>
          </w:tcPr>
          <w:p w14:paraId="729922AD"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52.17</w:t>
            </w:r>
          </w:p>
        </w:tc>
      </w:tr>
      <w:tr w:rsidR="00EF362D" w:rsidRPr="00BA7EE4" w14:paraId="789C01FB"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21D3FC38"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5</w:t>
            </w:r>
            <w:r w:rsidRPr="00BA7EE4">
              <w:rPr>
                <w:color w:val="000000" w:themeColor="text1"/>
                <w:sz w:val="24"/>
                <w:szCs w:val="24"/>
                <w:vertAlign w:val="superscript"/>
                <w:lang w:eastAsia="en-IN"/>
              </w:rPr>
              <w:t>th</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5C7FB0DB"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24</w:t>
            </w:r>
          </w:p>
        </w:tc>
        <w:tc>
          <w:tcPr>
            <w:tcW w:w="1701" w:type="dxa"/>
            <w:tcBorders>
              <w:top w:val="single" w:sz="4" w:space="0" w:color="auto"/>
              <w:left w:val="single" w:sz="4" w:space="0" w:color="auto"/>
              <w:bottom w:val="single" w:sz="4" w:space="0" w:color="auto"/>
              <w:right w:val="single" w:sz="4" w:space="0" w:color="auto"/>
            </w:tcBorders>
            <w:hideMark/>
          </w:tcPr>
          <w:p w14:paraId="29B0AA76"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8</w:t>
            </w:r>
          </w:p>
        </w:tc>
        <w:tc>
          <w:tcPr>
            <w:tcW w:w="1632" w:type="dxa"/>
            <w:tcBorders>
              <w:top w:val="single" w:sz="4" w:space="0" w:color="auto"/>
              <w:left w:val="single" w:sz="4" w:space="0" w:color="auto"/>
              <w:bottom w:val="single" w:sz="4" w:space="0" w:color="auto"/>
              <w:right w:val="single" w:sz="4" w:space="0" w:color="auto"/>
            </w:tcBorders>
            <w:hideMark/>
          </w:tcPr>
          <w:p w14:paraId="79882FBB"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33.33</w:t>
            </w:r>
          </w:p>
        </w:tc>
      </w:tr>
      <w:tr w:rsidR="00EF362D" w:rsidRPr="00BA7EE4" w14:paraId="4E3E2B42"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1404ED80"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6</w:t>
            </w:r>
            <w:r w:rsidRPr="00BA7EE4">
              <w:rPr>
                <w:color w:val="000000" w:themeColor="text1"/>
                <w:sz w:val="24"/>
                <w:szCs w:val="24"/>
                <w:vertAlign w:val="superscript"/>
                <w:lang w:eastAsia="en-IN"/>
              </w:rPr>
              <w:t>th</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1C180FF5"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13</w:t>
            </w:r>
          </w:p>
        </w:tc>
        <w:tc>
          <w:tcPr>
            <w:tcW w:w="1701" w:type="dxa"/>
            <w:tcBorders>
              <w:top w:val="single" w:sz="4" w:space="0" w:color="auto"/>
              <w:left w:val="single" w:sz="4" w:space="0" w:color="auto"/>
              <w:bottom w:val="single" w:sz="4" w:space="0" w:color="auto"/>
              <w:right w:val="single" w:sz="4" w:space="0" w:color="auto"/>
            </w:tcBorders>
            <w:hideMark/>
          </w:tcPr>
          <w:p w14:paraId="6228F647"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5</w:t>
            </w:r>
          </w:p>
        </w:tc>
        <w:tc>
          <w:tcPr>
            <w:tcW w:w="1632" w:type="dxa"/>
            <w:tcBorders>
              <w:top w:val="single" w:sz="4" w:space="0" w:color="auto"/>
              <w:left w:val="single" w:sz="4" w:space="0" w:color="auto"/>
              <w:bottom w:val="single" w:sz="4" w:space="0" w:color="auto"/>
              <w:right w:val="single" w:sz="4" w:space="0" w:color="auto"/>
            </w:tcBorders>
            <w:hideMark/>
          </w:tcPr>
          <w:p w14:paraId="587CFE8C"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38.46</w:t>
            </w:r>
          </w:p>
        </w:tc>
      </w:tr>
      <w:tr w:rsidR="00EF362D" w:rsidRPr="00BA7EE4" w14:paraId="0167E30C"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420E5A1E"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7</w:t>
            </w:r>
            <w:r w:rsidRPr="00BA7EE4">
              <w:rPr>
                <w:color w:val="000000" w:themeColor="text1"/>
                <w:sz w:val="24"/>
                <w:szCs w:val="24"/>
                <w:vertAlign w:val="superscript"/>
                <w:lang w:eastAsia="en-IN"/>
              </w:rPr>
              <w:t>th</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3BA41441"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30</w:t>
            </w:r>
          </w:p>
        </w:tc>
        <w:tc>
          <w:tcPr>
            <w:tcW w:w="1701" w:type="dxa"/>
            <w:tcBorders>
              <w:top w:val="single" w:sz="4" w:space="0" w:color="auto"/>
              <w:left w:val="single" w:sz="4" w:space="0" w:color="auto"/>
              <w:bottom w:val="single" w:sz="4" w:space="0" w:color="auto"/>
              <w:right w:val="single" w:sz="4" w:space="0" w:color="auto"/>
            </w:tcBorders>
            <w:hideMark/>
          </w:tcPr>
          <w:p w14:paraId="20A9D5E9"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3</w:t>
            </w:r>
          </w:p>
        </w:tc>
        <w:tc>
          <w:tcPr>
            <w:tcW w:w="1632" w:type="dxa"/>
            <w:tcBorders>
              <w:top w:val="single" w:sz="4" w:space="0" w:color="auto"/>
              <w:left w:val="single" w:sz="4" w:space="0" w:color="auto"/>
              <w:bottom w:val="single" w:sz="4" w:space="0" w:color="auto"/>
              <w:right w:val="single" w:sz="4" w:space="0" w:color="auto"/>
            </w:tcBorders>
            <w:hideMark/>
          </w:tcPr>
          <w:p w14:paraId="2E800C62"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10.00</w:t>
            </w:r>
          </w:p>
        </w:tc>
      </w:tr>
      <w:tr w:rsidR="00EF362D" w:rsidRPr="00BA7EE4" w14:paraId="2D470BE5"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097DF5DD" w14:textId="77777777" w:rsidR="00EF362D" w:rsidRPr="00BA7EE4" w:rsidRDefault="00EF362D" w:rsidP="00277896">
            <w:pPr>
              <w:spacing w:before="40" w:after="40"/>
              <w:rPr>
                <w:color w:val="000000" w:themeColor="text1"/>
                <w:sz w:val="24"/>
                <w:szCs w:val="24"/>
                <w:lang w:eastAsia="en-IN"/>
              </w:rPr>
            </w:pPr>
            <w:r w:rsidRPr="00BA7EE4">
              <w:rPr>
                <w:color w:val="000000" w:themeColor="text1"/>
                <w:sz w:val="24"/>
                <w:szCs w:val="24"/>
                <w:lang w:eastAsia="en-IN"/>
              </w:rPr>
              <w:t>8</w:t>
            </w:r>
            <w:r w:rsidRPr="00BA7EE4">
              <w:rPr>
                <w:color w:val="000000" w:themeColor="text1"/>
                <w:sz w:val="24"/>
                <w:szCs w:val="24"/>
                <w:vertAlign w:val="superscript"/>
                <w:lang w:eastAsia="en-IN"/>
              </w:rPr>
              <w:t>th</w:t>
            </w:r>
            <w:r w:rsidRPr="00BA7EE4">
              <w:rPr>
                <w:color w:val="000000" w:themeColor="text1"/>
                <w:sz w:val="24"/>
                <w:szCs w:val="24"/>
                <w:lang w:eastAsia="en-IN"/>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404DE319"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21</w:t>
            </w:r>
          </w:p>
        </w:tc>
        <w:tc>
          <w:tcPr>
            <w:tcW w:w="1701" w:type="dxa"/>
            <w:tcBorders>
              <w:top w:val="single" w:sz="4" w:space="0" w:color="auto"/>
              <w:left w:val="single" w:sz="4" w:space="0" w:color="auto"/>
              <w:bottom w:val="single" w:sz="4" w:space="0" w:color="auto"/>
              <w:right w:val="single" w:sz="4" w:space="0" w:color="auto"/>
            </w:tcBorders>
            <w:hideMark/>
          </w:tcPr>
          <w:p w14:paraId="070E03D3"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w:t>
            </w:r>
          </w:p>
        </w:tc>
        <w:tc>
          <w:tcPr>
            <w:tcW w:w="1632" w:type="dxa"/>
            <w:tcBorders>
              <w:top w:val="single" w:sz="4" w:space="0" w:color="auto"/>
              <w:left w:val="single" w:sz="4" w:space="0" w:color="auto"/>
              <w:bottom w:val="single" w:sz="4" w:space="0" w:color="auto"/>
              <w:right w:val="single" w:sz="4" w:space="0" w:color="auto"/>
            </w:tcBorders>
            <w:hideMark/>
          </w:tcPr>
          <w:p w14:paraId="3FB56741"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9.52</w:t>
            </w:r>
          </w:p>
        </w:tc>
      </w:tr>
      <w:tr w:rsidR="00EF362D" w:rsidRPr="00BA7EE4" w14:paraId="47A6616A" w14:textId="77777777" w:rsidTr="00277896">
        <w:trPr>
          <w:trHeight w:val="65"/>
          <w:jc w:val="center"/>
        </w:trPr>
        <w:tc>
          <w:tcPr>
            <w:tcW w:w="1980" w:type="dxa"/>
            <w:tcBorders>
              <w:top w:val="single" w:sz="4" w:space="0" w:color="auto"/>
              <w:left w:val="single" w:sz="4" w:space="0" w:color="auto"/>
              <w:bottom w:val="single" w:sz="4" w:space="0" w:color="auto"/>
              <w:right w:val="single" w:sz="4" w:space="0" w:color="auto"/>
            </w:tcBorders>
            <w:hideMark/>
          </w:tcPr>
          <w:p w14:paraId="19A01D85" w14:textId="77777777" w:rsidR="00EF362D" w:rsidRPr="00BA7EE4" w:rsidRDefault="00EA1978" w:rsidP="00277896">
            <w:pPr>
              <w:spacing w:before="40" w:after="40"/>
              <w:jc w:val="center"/>
              <w:rPr>
                <w:b/>
                <w:bCs/>
                <w:color w:val="000000" w:themeColor="text1"/>
                <w:sz w:val="24"/>
                <w:szCs w:val="24"/>
                <w:lang w:eastAsia="en-IN"/>
              </w:rPr>
            </w:pPr>
            <m:oMath>
              <m:sSup>
                <m:sSupPr>
                  <m:ctrlPr>
                    <w:rPr>
                      <w:rFonts w:ascii="Cambria Math" w:hAnsi="Cambria Math"/>
                      <w:i/>
                      <w:color w:val="000000" w:themeColor="text1"/>
                      <w:kern w:val="2"/>
                      <w:sz w:val="24"/>
                      <w:szCs w:val="24"/>
                      <w14:ligatures w14:val="standardContextual"/>
                    </w:rPr>
                  </m:ctrlPr>
                </m:sSupPr>
                <m:e>
                  <m:r>
                    <w:rPr>
                      <w:rFonts w:ascii="Cambria Math" w:hAnsi="Cambria Math"/>
                      <w:color w:val="000000" w:themeColor="text1"/>
                      <w:sz w:val="24"/>
                      <w:szCs w:val="24"/>
                      <w:lang w:eastAsia="en-IN"/>
                    </w:rPr>
                    <m:t xml:space="preserve">         </m:t>
                  </m:r>
                  <m:r>
                    <w:rPr>
                      <w:rFonts w:ascii="Cambria Math" w:hAnsi="Cambria Math"/>
                      <w:color w:val="000000" w:themeColor="text1"/>
                      <w:sz w:val="24"/>
                      <w:szCs w:val="24"/>
                      <w:lang w:eastAsia="en-IN"/>
                    </w:rPr>
                    <m:t>χ</m:t>
                  </m:r>
                </m:e>
                <m:sup>
                  <m:r>
                    <w:rPr>
                      <w:rFonts w:ascii="Cambria Math" w:hAnsi="Cambria Math"/>
                      <w:color w:val="000000" w:themeColor="text1"/>
                      <w:sz w:val="24"/>
                      <w:szCs w:val="24"/>
                      <w:lang w:eastAsia="en-IN"/>
                    </w:rPr>
                    <m:t>2</m:t>
                  </m:r>
                </m:sup>
              </m:sSup>
            </m:oMath>
            <w:r w:rsidR="00EF362D" w:rsidRPr="00BA7EE4">
              <w:rPr>
                <w:color w:val="000000" w:themeColor="text1"/>
                <w:sz w:val="24"/>
                <w:szCs w:val="24"/>
                <w:lang w:eastAsia="en-IN"/>
              </w:rPr>
              <w:t xml:space="preserve"> value</w:t>
            </w:r>
          </w:p>
        </w:tc>
        <w:tc>
          <w:tcPr>
            <w:tcW w:w="6165" w:type="dxa"/>
            <w:gridSpan w:val="3"/>
            <w:tcBorders>
              <w:top w:val="single" w:sz="4" w:space="0" w:color="auto"/>
              <w:left w:val="single" w:sz="4" w:space="0" w:color="auto"/>
              <w:bottom w:val="single" w:sz="4" w:space="0" w:color="auto"/>
              <w:right w:val="single" w:sz="4" w:space="0" w:color="auto"/>
            </w:tcBorders>
            <w:hideMark/>
          </w:tcPr>
          <w:p w14:paraId="2E993C2D" w14:textId="77777777" w:rsidR="00EF362D" w:rsidRPr="00BA7EE4" w:rsidRDefault="00EF362D" w:rsidP="00277896">
            <w:pPr>
              <w:spacing w:before="40" w:after="40"/>
              <w:jc w:val="center"/>
              <w:rPr>
                <w:color w:val="000000" w:themeColor="text1"/>
                <w:sz w:val="24"/>
                <w:szCs w:val="24"/>
                <w:lang w:eastAsia="en-IN"/>
              </w:rPr>
            </w:pPr>
            <w:r w:rsidRPr="00BA7EE4">
              <w:rPr>
                <w:color w:val="000000" w:themeColor="text1"/>
                <w:sz w:val="24"/>
                <w:szCs w:val="24"/>
                <w:lang w:eastAsia="en-IN"/>
              </w:rPr>
              <w:t>28.88*</w:t>
            </w:r>
          </w:p>
        </w:tc>
      </w:tr>
    </w:tbl>
    <w:p w14:paraId="54F3FBE5" w14:textId="77777777" w:rsidR="00EF362D" w:rsidRDefault="00EF362D" w:rsidP="00EF362D">
      <w:pPr>
        <w:pStyle w:val="ListParagraph"/>
        <w:spacing w:after="120" w:line="360" w:lineRule="auto"/>
        <w:ind w:left="0"/>
        <w:jc w:val="both"/>
        <w:rPr>
          <w:rFonts w:ascii="Times New Roman" w:hAnsi="Times New Roman" w:cs="Times New Roman"/>
          <w:b/>
          <w:bCs/>
          <w:color w:val="000000" w:themeColor="text1"/>
          <w:sz w:val="24"/>
          <w:szCs w:val="24"/>
        </w:rPr>
      </w:pPr>
      <w:r w:rsidRPr="00BA7EE4">
        <w:rPr>
          <w:rFonts w:ascii="Times New Roman" w:hAnsi="Times New Roman" w:cs="Times New Roman"/>
          <w:b/>
          <w:bCs/>
          <w:color w:val="000000" w:themeColor="text1"/>
          <w:sz w:val="24"/>
          <w:szCs w:val="24"/>
        </w:rPr>
        <w:t>*significant at p &lt; 0.05</w:t>
      </w:r>
    </w:p>
    <w:p w14:paraId="26AB2FDA" w14:textId="77777777" w:rsidR="00781E68" w:rsidRDefault="00781E68" w:rsidP="00EF362D">
      <w:pPr>
        <w:pStyle w:val="ListParagraph"/>
        <w:spacing w:after="120" w:line="360" w:lineRule="auto"/>
        <w:ind w:left="0"/>
        <w:jc w:val="both"/>
        <w:rPr>
          <w:rFonts w:ascii="Times New Roman" w:hAnsi="Times New Roman" w:cs="Times New Roman"/>
          <w:b/>
          <w:bCs/>
          <w:color w:val="000000" w:themeColor="text1"/>
          <w:sz w:val="24"/>
          <w:szCs w:val="24"/>
        </w:rPr>
      </w:pPr>
    </w:p>
    <w:p w14:paraId="08B8C23E" w14:textId="77777777" w:rsidR="00781E68" w:rsidRPr="00BA7EE4" w:rsidRDefault="00781E68" w:rsidP="00EF362D">
      <w:pPr>
        <w:pStyle w:val="ListParagraph"/>
        <w:spacing w:after="120" w:line="360" w:lineRule="auto"/>
        <w:ind w:left="0"/>
        <w:jc w:val="both"/>
        <w:rPr>
          <w:rFonts w:ascii="Times New Roman" w:hAnsi="Times New Roman" w:cs="Times New Roman"/>
          <w:b/>
          <w:bCs/>
          <w:color w:val="000000" w:themeColor="text1"/>
          <w:sz w:val="24"/>
          <w:szCs w:val="24"/>
        </w:rPr>
      </w:pPr>
    </w:p>
    <w:p w14:paraId="4A58E0B1" w14:textId="6F5DE587" w:rsidR="00EF362D" w:rsidRPr="00BA7EE4" w:rsidRDefault="00EF362D" w:rsidP="00EF362D">
      <w:pPr>
        <w:spacing w:after="120" w:line="240" w:lineRule="auto"/>
        <w:ind w:left="1080" w:hanging="1080"/>
        <w:jc w:val="both"/>
        <w:rPr>
          <w:rFonts w:ascii="Times New Roman" w:hAnsi="Times New Roman" w:cs="Times New Roman"/>
          <w:b/>
          <w:color w:val="000000" w:themeColor="text1"/>
          <w:sz w:val="24"/>
          <w:szCs w:val="24"/>
        </w:rPr>
      </w:pPr>
      <w:r w:rsidRPr="00BA7EE4">
        <w:rPr>
          <w:rFonts w:ascii="Times New Roman" w:hAnsi="Times New Roman" w:cs="Times New Roman"/>
          <w:b/>
          <w:color w:val="000000" w:themeColor="text1"/>
          <w:sz w:val="24"/>
          <w:szCs w:val="24"/>
        </w:rPr>
        <w:t xml:space="preserve">Table </w:t>
      </w:r>
      <w:r w:rsidR="00872161">
        <w:rPr>
          <w:rFonts w:ascii="Times New Roman" w:hAnsi="Times New Roman" w:cs="Times New Roman"/>
          <w:b/>
          <w:color w:val="000000" w:themeColor="text1"/>
          <w:sz w:val="24"/>
          <w:szCs w:val="24"/>
        </w:rPr>
        <w:t>5</w:t>
      </w:r>
      <w:r w:rsidRPr="00BA7EE4">
        <w:rPr>
          <w:rFonts w:ascii="Times New Roman" w:hAnsi="Times New Roman" w:cs="Times New Roman"/>
          <w:b/>
          <w:color w:val="000000" w:themeColor="text1"/>
          <w:sz w:val="24"/>
          <w:szCs w:val="24"/>
        </w:rPr>
        <w:t>:</w:t>
      </w:r>
      <w:r w:rsidRPr="00BA7EE4">
        <w:rPr>
          <w:rFonts w:ascii="Times New Roman" w:hAnsi="Times New Roman" w:cs="Times New Roman"/>
          <w:b/>
          <w:color w:val="000000" w:themeColor="text1"/>
          <w:sz w:val="24"/>
          <w:szCs w:val="24"/>
        </w:rPr>
        <w:tab/>
        <w:t>Lactation stage wise incidence of subclinical mastitis in cattle at Jabalpur</w:t>
      </w:r>
    </w:p>
    <w:tbl>
      <w:tblPr>
        <w:tblStyle w:val="TableGrid"/>
        <w:tblW w:w="0" w:type="auto"/>
        <w:jc w:val="center"/>
        <w:tblLook w:val="04A0" w:firstRow="1" w:lastRow="0" w:firstColumn="1" w:lastColumn="0" w:noHBand="0" w:noVBand="1"/>
      </w:tblPr>
      <w:tblGrid>
        <w:gridCol w:w="2032"/>
        <w:gridCol w:w="2183"/>
        <w:gridCol w:w="1882"/>
        <w:gridCol w:w="2032"/>
      </w:tblGrid>
      <w:tr w:rsidR="00EF362D" w:rsidRPr="00BA7EE4" w14:paraId="28CBA51E" w14:textId="77777777" w:rsidTr="00277896">
        <w:trPr>
          <w:trHeight w:val="448"/>
          <w:jc w:val="center"/>
        </w:trPr>
        <w:tc>
          <w:tcPr>
            <w:tcW w:w="2032" w:type="dxa"/>
            <w:tcBorders>
              <w:top w:val="single" w:sz="4" w:space="0" w:color="auto"/>
              <w:left w:val="single" w:sz="4" w:space="0" w:color="auto"/>
              <w:bottom w:val="single" w:sz="4" w:space="0" w:color="auto"/>
              <w:right w:val="single" w:sz="4" w:space="0" w:color="auto"/>
            </w:tcBorders>
            <w:hideMark/>
          </w:tcPr>
          <w:p w14:paraId="4EB0CDC7" w14:textId="77777777" w:rsidR="00EF362D" w:rsidRPr="00BA7EE4" w:rsidRDefault="00EF362D" w:rsidP="00277896">
            <w:pPr>
              <w:spacing w:before="140" w:after="140"/>
              <w:jc w:val="center"/>
              <w:rPr>
                <w:b/>
                <w:color w:val="000000" w:themeColor="text1"/>
                <w:sz w:val="24"/>
                <w:szCs w:val="24"/>
                <w:lang w:eastAsia="en-IN"/>
              </w:rPr>
            </w:pPr>
            <w:r w:rsidRPr="00BA7EE4">
              <w:rPr>
                <w:b/>
                <w:color w:val="000000" w:themeColor="text1"/>
                <w:sz w:val="24"/>
                <w:szCs w:val="24"/>
                <w:lang w:eastAsia="en-IN"/>
              </w:rPr>
              <w:t>Lactation Stage</w:t>
            </w:r>
          </w:p>
        </w:tc>
        <w:tc>
          <w:tcPr>
            <w:tcW w:w="2183" w:type="dxa"/>
            <w:tcBorders>
              <w:top w:val="single" w:sz="4" w:space="0" w:color="auto"/>
              <w:left w:val="single" w:sz="4" w:space="0" w:color="auto"/>
              <w:bottom w:val="single" w:sz="4" w:space="0" w:color="auto"/>
              <w:right w:val="single" w:sz="4" w:space="0" w:color="auto"/>
            </w:tcBorders>
            <w:hideMark/>
          </w:tcPr>
          <w:p w14:paraId="6FD31F36" w14:textId="77777777" w:rsidR="00EF362D" w:rsidRPr="00BA7EE4" w:rsidRDefault="00EF362D" w:rsidP="00277896">
            <w:pPr>
              <w:spacing w:before="140" w:after="140"/>
              <w:jc w:val="center"/>
              <w:rPr>
                <w:b/>
                <w:color w:val="000000" w:themeColor="text1"/>
                <w:sz w:val="24"/>
                <w:szCs w:val="24"/>
                <w:lang w:eastAsia="en-IN"/>
              </w:rPr>
            </w:pPr>
            <w:r w:rsidRPr="00BA7EE4">
              <w:rPr>
                <w:b/>
                <w:color w:val="000000" w:themeColor="text1"/>
                <w:sz w:val="24"/>
                <w:szCs w:val="24"/>
                <w:lang w:eastAsia="en-IN"/>
              </w:rPr>
              <w:t>Cattle Screened</w:t>
            </w:r>
          </w:p>
        </w:tc>
        <w:tc>
          <w:tcPr>
            <w:tcW w:w="1882" w:type="dxa"/>
            <w:tcBorders>
              <w:top w:val="single" w:sz="4" w:space="0" w:color="auto"/>
              <w:left w:val="single" w:sz="4" w:space="0" w:color="auto"/>
              <w:bottom w:val="single" w:sz="4" w:space="0" w:color="auto"/>
              <w:right w:val="single" w:sz="4" w:space="0" w:color="auto"/>
            </w:tcBorders>
            <w:hideMark/>
          </w:tcPr>
          <w:p w14:paraId="1161453E" w14:textId="77777777" w:rsidR="00EF362D" w:rsidRPr="00BA7EE4" w:rsidRDefault="00EF362D" w:rsidP="00277896">
            <w:pPr>
              <w:spacing w:before="140" w:after="140"/>
              <w:jc w:val="center"/>
              <w:rPr>
                <w:b/>
                <w:color w:val="000000" w:themeColor="text1"/>
                <w:sz w:val="24"/>
                <w:szCs w:val="24"/>
                <w:lang w:eastAsia="en-IN"/>
              </w:rPr>
            </w:pPr>
            <w:r w:rsidRPr="00BA7EE4">
              <w:rPr>
                <w:b/>
                <w:color w:val="000000" w:themeColor="text1"/>
                <w:sz w:val="24"/>
                <w:szCs w:val="24"/>
                <w:lang w:eastAsia="en-IN"/>
              </w:rPr>
              <w:t>SCM Affected</w:t>
            </w:r>
          </w:p>
        </w:tc>
        <w:tc>
          <w:tcPr>
            <w:tcW w:w="2032" w:type="dxa"/>
            <w:tcBorders>
              <w:top w:val="single" w:sz="4" w:space="0" w:color="auto"/>
              <w:left w:val="single" w:sz="4" w:space="0" w:color="auto"/>
              <w:bottom w:val="single" w:sz="4" w:space="0" w:color="auto"/>
              <w:right w:val="single" w:sz="4" w:space="0" w:color="auto"/>
            </w:tcBorders>
            <w:hideMark/>
          </w:tcPr>
          <w:p w14:paraId="5BAA2148" w14:textId="77777777" w:rsidR="00EF362D" w:rsidRPr="00BA7EE4" w:rsidRDefault="00EF362D" w:rsidP="00277896">
            <w:pPr>
              <w:spacing w:before="140" w:after="140"/>
              <w:jc w:val="center"/>
              <w:rPr>
                <w:b/>
                <w:color w:val="000000" w:themeColor="text1"/>
                <w:sz w:val="24"/>
                <w:szCs w:val="24"/>
                <w:lang w:eastAsia="en-IN"/>
              </w:rPr>
            </w:pPr>
            <w:r w:rsidRPr="00BA7EE4">
              <w:rPr>
                <w:b/>
                <w:color w:val="000000" w:themeColor="text1"/>
                <w:sz w:val="24"/>
                <w:szCs w:val="24"/>
                <w:lang w:eastAsia="en-IN"/>
              </w:rPr>
              <w:t>SCM (%)</w:t>
            </w:r>
          </w:p>
        </w:tc>
      </w:tr>
      <w:tr w:rsidR="00EF362D" w:rsidRPr="00BA7EE4" w14:paraId="666884CD" w14:textId="77777777" w:rsidTr="00277896">
        <w:trPr>
          <w:trHeight w:val="463"/>
          <w:jc w:val="center"/>
        </w:trPr>
        <w:tc>
          <w:tcPr>
            <w:tcW w:w="2032" w:type="dxa"/>
            <w:tcBorders>
              <w:top w:val="single" w:sz="4" w:space="0" w:color="auto"/>
              <w:left w:val="single" w:sz="4" w:space="0" w:color="auto"/>
              <w:bottom w:val="single" w:sz="4" w:space="0" w:color="auto"/>
              <w:right w:val="single" w:sz="4" w:space="0" w:color="auto"/>
            </w:tcBorders>
            <w:hideMark/>
          </w:tcPr>
          <w:p w14:paraId="278A4133" w14:textId="77777777" w:rsidR="00EF362D" w:rsidRPr="00BA7EE4" w:rsidRDefault="00EF362D" w:rsidP="00277896">
            <w:pPr>
              <w:spacing w:before="140" w:after="140"/>
              <w:rPr>
                <w:color w:val="000000" w:themeColor="text1"/>
                <w:sz w:val="24"/>
                <w:szCs w:val="24"/>
                <w:lang w:eastAsia="en-IN"/>
              </w:rPr>
            </w:pPr>
            <w:r w:rsidRPr="00BA7EE4">
              <w:rPr>
                <w:color w:val="000000" w:themeColor="text1"/>
                <w:sz w:val="24"/>
                <w:szCs w:val="24"/>
                <w:lang w:eastAsia="en-IN"/>
              </w:rPr>
              <w:t>Early</w:t>
            </w:r>
          </w:p>
        </w:tc>
        <w:tc>
          <w:tcPr>
            <w:tcW w:w="2183" w:type="dxa"/>
            <w:tcBorders>
              <w:top w:val="single" w:sz="4" w:space="0" w:color="auto"/>
              <w:left w:val="single" w:sz="4" w:space="0" w:color="auto"/>
              <w:bottom w:val="single" w:sz="4" w:space="0" w:color="auto"/>
              <w:right w:val="single" w:sz="4" w:space="0" w:color="auto"/>
            </w:tcBorders>
            <w:hideMark/>
          </w:tcPr>
          <w:p w14:paraId="7DF3F812"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61</w:t>
            </w:r>
          </w:p>
        </w:tc>
        <w:tc>
          <w:tcPr>
            <w:tcW w:w="1882" w:type="dxa"/>
            <w:tcBorders>
              <w:top w:val="single" w:sz="4" w:space="0" w:color="auto"/>
              <w:left w:val="single" w:sz="4" w:space="0" w:color="auto"/>
              <w:bottom w:val="single" w:sz="4" w:space="0" w:color="auto"/>
              <w:right w:val="single" w:sz="4" w:space="0" w:color="auto"/>
            </w:tcBorders>
            <w:hideMark/>
          </w:tcPr>
          <w:p w14:paraId="1380D3BC"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27</w:t>
            </w:r>
          </w:p>
        </w:tc>
        <w:tc>
          <w:tcPr>
            <w:tcW w:w="2032" w:type="dxa"/>
            <w:tcBorders>
              <w:top w:val="single" w:sz="4" w:space="0" w:color="auto"/>
              <w:left w:val="single" w:sz="4" w:space="0" w:color="auto"/>
              <w:bottom w:val="single" w:sz="4" w:space="0" w:color="auto"/>
              <w:right w:val="single" w:sz="4" w:space="0" w:color="auto"/>
            </w:tcBorders>
            <w:hideMark/>
          </w:tcPr>
          <w:p w14:paraId="50479D40"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44.26</w:t>
            </w:r>
          </w:p>
        </w:tc>
      </w:tr>
      <w:tr w:rsidR="00EF362D" w:rsidRPr="00BA7EE4" w14:paraId="297F3FEC" w14:textId="77777777" w:rsidTr="00277896">
        <w:trPr>
          <w:trHeight w:val="448"/>
          <w:jc w:val="center"/>
        </w:trPr>
        <w:tc>
          <w:tcPr>
            <w:tcW w:w="2032" w:type="dxa"/>
            <w:tcBorders>
              <w:top w:val="single" w:sz="4" w:space="0" w:color="auto"/>
              <w:left w:val="single" w:sz="4" w:space="0" w:color="auto"/>
              <w:bottom w:val="single" w:sz="4" w:space="0" w:color="auto"/>
              <w:right w:val="single" w:sz="4" w:space="0" w:color="auto"/>
            </w:tcBorders>
            <w:hideMark/>
          </w:tcPr>
          <w:p w14:paraId="52BBA388" w14:textId="77777777" w:rsidR="00EF362D" w:rsidRPr="00BA7EE4" w:rsidRDefault="00EF362D" w:rsidP="00277896">
            <w:pPr>
              <w:spacing w:before="140" w:after="140"/>
              <w:rPr>
                <w:color w:val="000000" w:themeColor="text1"/>
                <w:sz w:val="24"/>
                <w:szCs w:val="24"/>
                <w:lang w:eastAsia="en-IN"/>
              </w:rPr>
            </w:pPr>
            <w:r w:rsidRPr="00BA7EE4">
              <w:rPr>
                <w:color w:val="000000" w:themeColor="text1"/>
                <w:sz w:val="24"/>
                <w:szCs w:val="24"/>
                <w:lang w:eastAsia="en-IN"/>
              </w:rPr>
              <w:t>Mid</w:t>
            </w:r>
          </w:p>
        </w:tc>
        <w:tc>
          <w:tcPr>
            <w:tcW w:w="2183" w:type="dxa"/>
            <w:tcBorders>
              <w:top w:val="single" w:sz="4" w:space="0" w:color="auto"/>
              <w:left w:val="single" w:sz="4" w:space="0" w:color="auto"/>
              <w:bottom w:val="single" w:sz="4" w:space="0" w:color="auto"/>
              <w:right w:val="single" w:sz="4" w:space="0" w:color="auto"/>
            </w:tcBorders>
            <w:hideMark/>
          </w:tcPr>
          <w:p w14:paraId="037D8A4D"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59</w:t>
            </w:r>
          </w:p>
        </w:tc>
        <w:tc>
          <w:tcPr>
            <w:tcW w:w="1882" w:type="dxa"/>
            <w:tcBorders>
              <w:top w:val="single" w:sz="4" w:space="0" w:color="auto"/>
              <w:left w:val="single" w:sz="4" w:space="0" w:color="auto"/>
              <w:bottom w:val="single" w:sz="4" w:space="0" w:color="auto"/>
              <w:right w:val="single" w:sz="4" w:space="0" w:color="auto"/>
            </w:tcBorders>
            <w:hideMark/>
          </w:tcPr>
          <w:p w14:paraId="022F630D"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18</w:t>
            </w:r>
          </w:p>
        </w:tc>
        <w:tc>
          <w:tcPr>
            <w:tcW w:w="2032" w:type="dxa"/>
            <w:tcBorders>
              <w:top w:val="single" w:sz="4" w:space="0" w:color="auto"/>
              <w:left w:val="single" w:sz="4" w:space="0" w:color="auto"/>
              <w:bottom w:val="single" w:sz="4" w:space="0" w:color="auto"/>
              <w:right w:val="single" w:sz="4" w:space="0" w:color="auto"/>
            </w:tcBorders>
            <w:hideMark/>
          </w:tcPr>
          <w:p w14:paraId="6EF78A3D"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30.50</w:t>
            </w:r>
          </w:p>
        </w:tc>
      </w:tr>
      <w:tr w:rsidR="00EF362D" w:rsidRPr="00BA7EE4" w14:paraId="509A316E" w14:textId="77777777" w:rsidTr="00277896">
        <w:trPr>
          <w:trHeight w:val="463"/>
          <w:jc w:val="center"/>
        </w:trPr>
        <w:tc>
          <w:tcPr>
            <w:tcW w:w="2032" w:type="dxa"/>
            <w:tcBorders>
              <w:top w:val="single" w:sz="4" w:space="0" w:color="auto"/>
              <w:left w:val="single" w:sz="4" w:space="0" w:color="auto"/>
              <w:bottom w:val="single" w:sz="4" w:space="0" w:color="auto"/>
              <w:right w:val="single" w:sz="4" w:space="0" w:color="auto"/>
            </w:tcBorders>
            <w:hideMark/>
          </w:tcPr>
          <w:p w14:paraId="11C41196" w14:textId="77777777" w:rsidR="00EF362D" w:rsidRPr="00BA7EE4" w:rsidRDefault="00EF362D" w:rsidP="00277896">
            <w:pPr>
              <w:spacing w:before="140" w:after="140"/>
              <w:rPr>
                <w:color w:val="000000" w:themeColor="text1"/>
                <w:sz w:val="24"/>
                <w:szCs w:val="24"/>
                <w:lang w:eastAsia="en-IN"/>
              </w:rPr>
            </w:pPr>
            <w:r w:rsidRPr="00BA7EE4">
              <w:rPr>
                <w:color w:val="000000" w:themeColor="text1"/>
                <w:sz w:val="24"/>
                <w:szCs w:val="24"/>
                <w:lang w:eastAsia="en-IN"/>
              </w:rPr>
              <w:t>Late</w:t>
            </w:r>
          </w:p>
        </w:tc>
        <w:tc>
          <w:tcPr>
            <w:tcW w:w="2183" w:type="dxa"/>
            <w:tcBorders>
              <w:top w:val="single" w:sz="4" w:space="0" w:color="auto"/>
              <w:left w:val="single" w:sz="4" w:space="0" w:color="auto"/>
              <w:bottom w:val="single" w:sz="4" w:space="0" w:color="auto"/>
              <w:right w:val="single" w:sz="4" w:space="0" w:color="auto"/>
            </w:tcBorders>
            <w:hideMark/>
          </w:tcPr>
          <w:p w14:paraId="29E35A98"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84</w:t>
            </w:r>
          </w:p>
        </w:tc>
        <w:tc>
          <w:tcPr>
            <w:tcW w:w="1882" w:type="dxa"/>
            <w:tcBorders>
              <w:top w:val="single" w:sz="4" w:space="0" w:color="auto"/>
              <w:left w:val="single" w:sz="4" w:space="0" w:color="auto"/>
              <w:bottom w:val="single" w:sz="4" w:space="0" w:color="auto"/>
              <w:right w:val="single" w:sz="4" w:space="0" w:color="auto"/>
            </w:tcBorders>
            <w:hideMark/>
          </w:tcPr>
          <w:p w14:paraId="12174E6A"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10</w:t>
            </w:r>
          </w:p>
        </w:tc>
        <w:tc>
          <w:tcPr>
            <w:tcW w:w="2032" w:type="dxa"/>
            <w:tcBorders>
              <w:top w:val="single" w:sz="4" w:space="0" w:color="auto"/>
              <w:left w:val="single" w:sz="4" w:space="0" w:color="auto"/>
              <w:bottom w:val="single" w:sz="4" w:space="0" w:color="auto"/>
              <w:right w:val="single" w:sz="4" w:space="0" w:color="auto"/>
            </w:tcBorders>
            <w:hideMark/>
          </w:tcPr>
          <w:p w14:paraId="23280024"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11.90</w:t>
            </w:r>
          </w:p>
        </w:tc>
      </w:tr>
      <w:tr w:rsidR="00EF362D" w:rsidRPr="00BA7EE4" w14:paraId="7860A9B0" w14:textId="77777777" w:rsidTr="00277896">
        <w:trPr>
          <w:trHeight w:val="463"/>
          <w:jc w:val="center"/>
        </w:trPr>
        <w:tc>
          <w:tcPr>
            <w:tcW w:w="4215" w:type="dxa"/>
            <w:gridSpan w:val="2"/>
            <w:tcBorders>
              <w:top w:val="single" w:sz="4" w:space="0" w:color="auto"/>
              <w:left w:val="single" w:sz="4" w:space="0" w:color="auto"/>
              <w:bottom w:val="single" w:sz="4" w:space="0" w:color="auto"/>
              <w:right w:val="single" w:sz="4" w:space="0" w:color="auto"/>
            </w:tcBorders>
            <w:hideMark/>
          </w:tcPr>
          <w:p w14:paraId="46672652" w14:textId="77777777" w:rsidR="00EF362D" w:rsidRPr="00BA7EE4" w:rsidRDefault="00EA1978" w:rsidP="00277896">
            <w:pPr>
              <w:spacing w:before="140" w:after="140"/>
              <w:jc w:val="center"/>
              <w:rPr>
                <w:color w:val="000000" w:themeColor="text1"/>
                <w:sz w:val="24"/>
                <w:szCs w:val="24"/>
                <w:lang w:eastAsia="en-IN"/>
              </w:rPr>
            </w:pPr>
            <m:oMath>
              <m:sSup>
                <m:sSupPr>
                  <m:ctrlPr>
                    <w:rPr>
                      <w:rFonts w:ascii="Cambria Math" w:hAnsi="Cambria Math"/>
                      <w:i/>
                      <w:color w:val="000000" w:themeColor="text1"/>
                      <w:kern w:val="2"/>
                      <w:sz w:val="24"/>
                      <w:szCs w:val="24"/>
                      <w14:ligatures w14:val="standardContextual"/>
                    </w:rPr>
                  </m:ctrlPr>
                </m:sSupPr>
                <m:e>
                  <m:r>
                    <w:rPr>
                      <w:rFonts w:ascii="Cambria Math" w:hAnsi="Cambria Math"/>
                      <w:color w:val="000000" w:themeColor="text1"/>
                      <w:sz w:val="24"/>
                      <w:szCs w:val="24"/>
                      <w:lang w:eastAsia="en-IN"/>
                    </w:rPr>
                    <m:t xml:space="preserve">         </m:t>
                  </m:r>
                  <m:r>
                    <w:rPr>
                      <w:rFonts w:ascii="Cambria Math" w:hAnsi="Cambria Math"/>
                      <w:color w:val="000000" w:themeColor="text1"/>
                      <w:sz w:val="24"/>
                      <w:szCs w:val="24"/>
                      <w:lang w:eastAsia="en-IN"/>
                    </w:rPr>
                    <m:t>χ</m:t>
                  </m:r>
                </m:e>
                <m:sup>
                  <m:r>
                    <w:rPr>
                      <w:rFonts w:ascii="Cambria Math" w:hAnsi="Cambria Math"/>
                      <w:color w:val="000000" w:themeColor="text1"/>
                      <w:sz w:val="24"/>
                      <w:szCs w:val="24"/>
                      <w:lang w:eastAsia="en-IN"/>
                    </w:rPr>
                    <m:t>2</m:t>
                  </m:r>
                </m:sup>
              </m:sSup>
            </m:oMath>
            <w:r w:rsidR="00EF362D" w:rsidRPr="00BA7EE4">
              <w:rPr>
                <w:color w:val="000000" w:themeColor="text1"/>
                <w:sz w:val="24"/>
                <w:szCs w:val="24"/>
                <w:lang w:eastAsia="en-IN"/>
              </w:rPr>
              <w:t xml:space="preserve"> value</w:t>
            </w:r>
          </w:p>
        </w:tc>
        <w:tc>
          <w:tcPr>
            <w:tcW w:w="3914" w:type="dxa"/>
            <w:gridSpan w:val="2"/>
            <w:tcBorders>
              <w:top w:val="single" w:sz="4" w:space="0" w:color="auto"/>
              <w:left w:val="single" w:sz="4" w:space="0" w:color="auto"/>
              <w:bottom w:val="single" w:sz="4" w:space="0" w:color="auto"/>
              <w:right w:val="single" w:sz="4" w:space="0" w:color="auto"/>
            </w:tcBorders>
            <w:hideMark/>
          </w:tcPr>
          <w:p w14:paraId="7E35FE10" w14:textId="77777777" w:rsidR="00EF362D" w:rsidRPr="00BA7EE4" w:rsidRDefault="00EF362D" w:rsidP="00277896">
            <w:pPr>
              <w:spacing w:before="140" w:after="140"/>
              <w:jc w:val="center"/>
              <w:rPr>
                <w:color w:val="000000" w:themeColor="text1"/>
                <w:sz w:val="24"/>
                <w:szCs w:val="24"/>
                <w:lang w:eastAsia="en-IN"/>
              </w:rPr>
            </w:pPr>
            <w:r w:rsidRPr="00BA7EE4">
              <w:rPr>
                <w:color w:val="000000" w:themeColor="text1"/>
                <w:sz w:val="24"/>
                <w:szCs w:val="24"/>
                <w:lang w:eastAsia="en-IN"/>
              </w:rPr>
              <w:t>14.11*</w:t>
            </w:r>
          </w:p>
        </w:tc>
      </w:tr>
    </w:tbl>
    <w:p w14:paraId="24919B62" w14:textId="1AF73B43" w:rsidR="00EF362D" w:rsidRDefault="00EF362D" w:rsidP="00781E68">
      <w:pPr>
        <w:pStyle w:val="ListParagraph"/>
        <w:spacing w:after="120" w:line="360" w:lineRule="auto"/>
        <w:ind w:left="0"/>
        <w:jc w:val="both"/>
        <w:rPr>
          <w:rFonts w:ascii="Times New Roman" w:hAnsi="Times New Roman" w:cs="Times New Roman"/>
          <w:b/>
          <w:bCs/>
          <w:color w:val="000000" w:themeColor="text1"/>
          <w:sz w:val="24"/>
          <w:szCs w:val="24"/>
        </w:rPr>
      </w:pPr>
      <w:r w:rsidRPr="00BA7EE4">
        <w:rPr>
          <w:rFonts w:ascii="Times New Roman" w:hAnsi="Times New Roman" w:cs="Times New Roman"/>
          <w:b/>
          <w:bCs/>
          <w:color w:val="000000" w:themeColor="text1"/>
          <w:sz w:val="24"/>
          <w:szCs w:val="24"/>
        </w:rPr>
        <w:t>*significant at p &lt; 0.05</w:t>
      </w:r>
    </w:p>
    <w:p w14:paraId="0B4892AB"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0790B7F6"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2AE41123"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5D44E5DC"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3CEC2E45"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66538448"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75DBAB70"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2A01C341"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0D3F418E" w14:textId="77777777" w:rsidR="00781E68" w:rsidRDefault="00781E68" w:rsidP="00781E68">
      <w:pPr>
        <w:pStyle w:val="ListParagraph"/>
        <w:spacing w:after="120" w:line="360" w:lineRule="auto"/>
        <w:ind w:left="0"/>
        <w:jc w:val="both"/>
        <w:rPr>
          <w:rFonts w:ascii="Times New Roman" w:hAnsi="Times New Roman" w:cs="Times New Roman"/>
          <w:b/>
          <w:bCs/>
          <w:color w:val="000000" w:themeColor="text1"/>
          <w:sz w:val="24"/>
          <w:szCs w:val="24"/>
        </w:rPr>
      </w:pPr>
    </w:p>
    <w:p w14:paraId="0D1C99C3" w14:textId="5E3A5FED" w:rsidR="00781E68" w:rsidRDefault="00F77F4F" w:rsidP="00F77F4F">
      <w:pPr>
        <w:pStyle w:val="ListParagraph"/>
        <w:spacing w:after="120" w:line="360" w:lineRule="auto"/>
        <w:ind w:left="0"/>
        <w:jc w:val="center"/>
        <w:rPr>
          <w:rFonts w:ascii="Times New Roman" w:hAnsi="Times New Roman" w:cs="Times New Roman"/>
          <w:b/>
          <w:bCs/>
          <w:color w:val="000000" w:themeColor="text1"/>
          <w:sz w:val="24"/>
          <w:szCs w:val="24"/>
        </w:rPr>
      </w:pPr>
      <w:r>
        <w:rPr>
          <w:noProof/>
        </w:rPr>
        <w:lastRenderedPageBreak/>
        <w:drawing>
          <wp:inline distT="0" distB="0" distL="0" distR="0" wp14:anchorId="007EF360" wp14:editId="6314F64C">
            <wp:extent cx="5019675" cy="4055040"/>
            <wp:effectExtent l="0" t="0" r="0" b="3175"/>
            <wp:docPr id="37685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57102" name=""/>
                    <pic:cNvPicPr/>
                  </pic:nvPicPr>
                  <pic:blipFill>
                    <a:blip r:embed="rId9"/>
                    <a:stretch>
                      <a:fillRect/>
                    </a:stretch>
                  </pic:blipFill>
                  <pic:spPr>
                    <a:xfrm>
                      <a:off x="0" y="0"/>
                      <a:ext cx="5024651" cy="4059060"/>
                    </a:xfrm>
                    <a:prstGeom prst="rect">
                      <a:avLst/>
                    </a:prstGeom>
                  </pic:spPr>
                </pic:pic>
              </a:graphicData>
            </a:graphic>
          </wp:inline>
        </w:drawing>
      </w:r>
    </w:p>
    <w:p w14:paraId="41935AA8" w14:textId="63FCB680" w:rsidR="00EF362D" w:rsidRPr="00BA7EE4" w:rsidRDefault="00EF362D" w:rsidP="00EF362D">
      <w:pPr>
        <w:ind w:left="1350" w:hanging="1350"/>
        <w:jc w:val="both"/>
        <w:rPr>
          <w:rFonts w:ascii="Times New Roman" w:hAnsi="Times New Roman" w:cs="Times New Roman"/>
          <w:b/>
          <w:bCs/>
          <w:sz w:val="24"/>
        </w:rPr>
      </w:pPr>
      <w:r w:rsidRPr="00BA7EE4">
        <w:rPr>
          <w:rFonts w:ascii="Times New Roman" w:hAnsi="Times New Roman" w:cs="Times New Roman"/>
          <w:b/>
          <w:bCs/>
          <w:sz w:val="24"/>
        </w:rPr>
        <w:t>Fig</w:t>
      </w:r>
      <w:r w:rsidR="00903D52" w:rsidRPr="00BA7EE4">
        <w:rPr>
          <w:rFonts w:ascii="Times New Roman" w:hAnsi="Times New Roman" w:cs="Times New Roman"/>
          <w:b/>
          <w:bCs/>
          <w:sz w:val="24"/>
        </w:rPr>
        <w:t>ure</w:t>
      </w:r>
      <w:r w:rsidRPr="00BA7EE4">
        <w:rPr>
          <w:rFonts w:ascii="Times New Roman" w:hAnsi="Times New Roman" w:cs="Times New Roman"/>
          <w:b/>
          <w:bCs/>
          <w:sz w:val="24"/>
        </w:rPr>
        <w:t xml:space="preserve"> 1. Modified California Mastitis Test (MCMT) showing detection of subclinical mastitis: (a) milk collection, (b) milk in MCMT paddle chambers, (c) addition of MCMT reagent and (d) positive reaction with gel formation</w:t>
      </w:r>
    </w:p>
    <w:p w14:paraId="4E826152" w14:textId="00E9D19D" w:rsidR="00EF362D" w:rsidRPr="00BA7EE4" w:rsidRDefault="00F77F4F" w:rsidP="00F77F4F">
      <w:pPr>
        <w:ind w:left="1350" w:hanging="1350"/>
        <w:jc w:val="center"/>
        <w:rPr>
          <w:rFonts w:ascii="Times New Roman" w:hAnsi="Times New Roman" w:cs="Times New Roman"/>
          <w:b/>
          <w:bCs/>
          <w:sz w:val="24"/>
          <w:lang w:val="en-US"/>
        </w:rPr>
      </w:pPr>
      <w:r>
        <w:rPr>
          <w:noProof/>
        </w:rPr>
        <w:lastRenderedPageBreak/>
        <w:drawing>
          <wp:inline distT="0" distB="0" distL="0" distR="0" wp14:anchorId="251B1D06" wp14:editId="1C35305F">
            <wp:extent cx="5400675" cy="4438650"/>
            <wp:effectExtent l="0" t="0" r="9525" b="0"/>
            <wp:docPr id="627938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38991" name=""/>
                    <pic:cNvPicPr/>
                  </pic:nvPicPr>
                  <pic:blipFill>
                    <a:blip r:embed="rId10"/>
                    <a:stretch>
                      <a:fillRect/>
                    </a:stretch>
                  </pic:blipFill>
                  <pic:spPr>
                    <a:xfrm>
                      <a:off x="0" y="0"/>
                      <a:ext cx="5400675" cy="4438650"/>
                    </a:xfrm>
                    <a:prstGeom prst="rect">
                      <a:avLst/>
                    </a:prstGeom>
                  </pic:spPr>
                </pic:pic>
              </a:graphicData>
            </a:graphic>
          </wp:inline>
        </w:drawing>
      </w:r>
    </w:p>
    <w:p w14:paraId="7ADC6E56" w14:textId="4DC89308" w:rsidR="00EF362D" w:rsidRPr="00BA7EE4" w:rsidRDefault="00F77F4F" w:rsidP="00F77F4F">
      <w:pPr>
        <w:ind w:left="1350" w:hanging="1350"/>
        <w:jc w:val="center"/>
        <w:rPr>
          <w:rFonts w:ascii="Times New Roman" w:hAnsi="Times New Roman" w:cs="Times New Roman"/>
          <w:b/>
          <w:bCs/>
          <w:sz w:val="24"/>
          <w:lang w:val="en-US"/>
        </w:rPr>
      </w:pPr>
      <w:r>
        <w:rPr>
          <w:noProof/>
        </w:rPr>
        <w:drawing>
          <wp:inline distT="0" distB="0" distL="0" distR="0" wp14:anchorId="22BD82A8" wp14:editId="5B4A3E52">
            <wp:extent cx="5400675" cy="1524000"/>
            <wp:effectExtent l="0" t="0" r="9525" b="0"/>
            <wp:docPr id="1223349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49890" name=""/>
                    <pic:cNvPicPr/>
                  </pic:nvPicPr>
                  <pic:blipFill>
                    <a:blip r:embed="rId11"/>
                    <a:stretch>
                      <a:fillRect/>
                    </a:stretch>
                  </pic:blipFill>
                  <pic:spPr>
                    <a:xfrm>
                      <a:off x="0" y="0"/>
                      <a:ext cx="5400675" cy="1524000"/>
                    </a:xfrm>
                    <a:prstGeom prst="rect">
                      <a:avLst/>
                    </a:prstGeom>
                  </pic:spPr>
                </pic:pic>
              </a:graphicData>
            </a:graphic>
          </wp:inline>
        </w:drawing>
      </w:r>
    </w:p>
    <w:p w14:paraId="0316422E" w14:textId="2F6500FC" w:rsidR="00903D52" w:rsidRPr="00BA7EE4" w:rsidRDefault="00EF362D" w:rsidP="00903D52">
      <w:pPr>
        <w:ind w:left="1350" w:hanging="1350"/>
        <w:jc w:val="both"/>
        <w:rPr>
          <w:rFonts w:ascii="Times New Roman" w:hAnsi="Times New Roman" w:cs="Times New Roman"/>
          <w:b/>
          <w:bCs/>
          <w:sz w:val="24"/>
        </w:rPr>
      </w:pPr>
      <w:r w:rsidRPr="00BA7EE4">
        <w:rPr>
          <w:rFonts w:ascii="Times New Roman" w:hAnsi="Times New Roman" w:cs="Times New Roman"/>
          <w:b/>
          <w:bCs/>
          <w:sz w:val="24"/>
        </w:rPr>
        <w:t>Fig</w:t>
      </w:r>
      <w:r w:rsidR="00903D52" w:rsidRPr="00BA7EE4">
        <w:rPr>
          <w:rFonts w:ascii="Times New Roman" w:hAnsi="Times New Roman" w:cs="Times New Roman"/>
          <w:b/>
          <w:bCs/>
          <w:sz w:val="24"/>
        </w:rPr>
        <w:t>ure</w:t>
      </w:r>
      <w:r w:rsidRPr="00BA7EE4">
        <w:rPr>
          <w:rFonts w:ascii="Times New Roman" w:hAnsi="Times New Roman" w:cs="Times New Roman"/>
          <w:b/>
          <w:bCs/>
          <w:sz w:val="24"/>
        </w:rPr>
        <w:t xml:space="preserve"> 2. Somatic cell count estimation using </w:t>
      </w:r>
      <w:proofErr w:type="spellStart"/>
      <w:r w:rsidRPr="00BA7EE4">
        <w:rPr>
          <w:rFonts w:ascii="Times New Roman" w:hAnsi="Times New Roman" w:cs="Times New Roman"/>
          <w:b/>
          <w:bCs/>
          <w:sz w:val="24"/>
        </w:rPr>
        <w:t>Lactoscan</w:t>
      </w:r>
      <w:proofErr w:type="spellEnd"/>
      <w:r w:rsidRPr="00BA7EE4">
        <w:rPr>
          <w:rFonts w:ascii="Times New Roman" w:hAnsi="Times New Roman" w:cs="Times New Roman"/>
          <w:b/>
          <w:bCs/>
          <w:sz w:val="24"/>
        </w:rPr>
        <w:t xml:space="preserve"> </w:t>
      </w:r>
      <w:proofErr w:type="spellStart"/>
      <w:r w:rsidRPr="00BA7EE4">
        <w:rPr>
          <w:rFonts w:ascii="Times New Roman" w:hAnsi="Times New Roman" w:cs="Times New Roman"/>
          <w:b/>
          <w:bCs/>
          <w:sz w:val="24"/>
        </w:rPr>
        <w:t>analyzer</w:t>
      </w:r>
      <w:proofErr w:type="spellEnd"/>
      <w:r w:rsidRPr="00BA7EE4">
        <w:rPr>
          <w:rFonts w:ascii="Times New Roman" w:hAnsi="Times New Roman" w:cs="Times New Roman"/>
          <w:b/>
          <w:bCs/>
          <w:sz w:val="24"/>
        </w:rPr>
        <w:t xml:space="preserve">: (a) sample homogenization, (b) pipetting of milk sample, (c) cartridge loading, (d) insertion of cartridge into </w:t>
      </w:r>
      <w:proofErr w:type="spellStart"/>
      <w:r w:rsidRPr="00BA7EE4">
        <w:rPr>
          <w:rFonts w:ascii="Times New Roman" w:hAnsi="Times New Roman" w:cs="Times New Roman"/>
          <w:b/>
          <w:bCs/>
          <w:sz w:val="24"/>
        </w:rPr>
        <w:t>analyzer</w:t>
      </w:r>
      <w:proofErr w:type="spellEnd"/>
      <w:r w:rsidRPr="00BA7EE4">
        <w:rPr>
          <w:rFonts w:ascii="Times New Roman" w:hAnsi="Times New Roman" w:cs="Times New Roman"/>
          <w:b/>
          <w:bCs/>
          <w:sz w:val="24"/>
        </w:rPr>
        <w:t xml:space="preserve"> slot and (e) result display on screen</w:t>
      </w:r>
    </w:p>
    <w:p w14:paraId="72665393" w14:textId="77777777" w:rsidR="00903D52" w:rsidRPr="00BA7EE4" w:rsidRDefault="00903D52" w:rsidP="00EF362D">
      <w:pPr>
        <w:ind w:left="1350" w:hanging="1350"/>
        <w:jc w:val="both"/>
        <w:rPr>
          <w:rFonts w:ascii="Times New Roman" w:hAnsi="Times New Roman" w:cs="Times New Roman"/>
          <w:b/>
          <w:bCs/>
          <w:sz w:val="24"/>
        </w:rPr>
      </w:pPr>
    </w:p>
    <w:p w14:paraId="34852FB8" w14:textId="77777777" w:rsidR="00903D52" w:rsidRPr="00BA7EE4" w:rsidRDefault="00903D52" w:rsidP="00EF362D">
      <w:pPr>
        <w:ind w:left="1350" w:hanging="1350"/>
        <w:jc w:val="both"/>
        <w:rPr>
          <w:rFonts w:ascii="Times New Roman" w:hAnsi="Times New Roman" w:cs="Times New Roman"/>
          <w:b/>
          <w:bCs/>
          <w:sz w:val="24"/>
        </w:rPr>
      </w:pPr>
    </w:p>
    <w:p w14:paraId="380E6034" w14:textId="0A0297DB" w:rsidR="00B029D6" w:rsidRPr="00B029D6" w:rsidRDefault="00B029D6" w:rsidP="00B029D6">
      <w:pPr>
        <w:ind w:left="1350" w:hanging="1350"/>
        <w:jc w:val="center"/>
        <w:rPr>
          <w:rFonts w:ascii="Times New Roman" w:hAnsi="Times New Roman" w:cs="Times New Roman"/>
          <w:b/>
          <w:bCs/>
          <w:sz w:val="24"/>
        </w:rPr>
      </w:pPr>
      <w:r w:rsidRPr="00B029D6">
        <w:rPr>
          <w:rFonts w:ascii="Times New Roman" w:hAnsi="Times New Roman" w:cs="Times New Roman"/>
          <w:b/>
          <w:bCs/>
          <w:noProof/>
          <w:sz w:val="24"/>
        </w:rPr>
        <w:lastRenderedPageBreak/>
        <w:drawing>
          <wp:inline distT="0" distB="0" distL="0" distR="0" wp14:anchorId="565939E1" wp14:editId="595DEBCB">
            <wp:extent cx="5731510" cy="3265805"/>
            <wp:effectExtent l="0" t="0" r="2540" b="0"/>
            <wp:docPr id="1781737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65805"/>
                    </a:xfrm>
                    <a:prstGeom prst="rect">
                      <a:avLst/>
                    </a:prstGeom>
                    <a:noFill/>
                    <a:ln>
                      <a:noFill/>
                    </a:ln>
                  </pic:spPr>
                </pic:pic>
              </a:graphicData>
            </a:graphic>
          </wp:inline>
        </w:drawing>
      </w:r>
    </w:p>
    <w:p w14:paraId="4D09B725" w14:textId="1B3C3352" w:rsidR="00EF362D" w:rsidRPr="002D44C0" w:rsidRDefault="00EF362D" w:rsidP="00B029D6">
      <w:pPr>
        <w:rPr>
          <w:rFonts w:ascii="Times New Roman" w:hAnsi="Times New Roman" w:cs="Times New Roman"/>
          <w:b/>
          <w:bCs/>
          <w:sz w:val="24"/>
        </w:rPr>
      </w:pPr>
    </w:p>
    <w:p w14:paraId="0DD2C18B" w14:textId="2D4211D3" w:rsidR="002D44C0" w:rsidRPr="002D44C0" w:rsidRDefault="002D44C0" w:rsidP="002D44C0">
      <w:pPr>
        <w:ind w:left="851" w:hanging="851"/>
        <w:jc w:val="both"/>
        <w:rPr>
          <w:rFonts w:ascii="Times New Roman" w:hAnsi="Times New Roman" w:cs="Times New Roman"/>
          <w:b/>
          <w:bCs/>
          <w:sz w:val="24"/>
        </w:rPr>
      </w:pPr>
      <w:r w:rsidRPr="002D44C0">
        <w:rPr>
          <w:rFonts w:ascii="Times New Roman" w:hAnsi="Times New Roman" w:cs="Times New Roman"/>
          <w:b/>
          <w:bCs/>
          <w:sz w:val="24"/>
        </w:rPr>
        <w:t xml:space="preserve">Figure </w:t>
      </w:r>
      <w:proofErr w:type="gramStart"/>
      <w:r>
        <w:rPr>
          <w:rFonts w:ascii="Times New Roman" w:hAnsi="Times New Roman" w:cs="Times New Roman"/>
          <w:b/>
          <w:bCs/>
          <w:sz w:val="24"/>
        </w:rPr>
        <w:t>3</w:t>
      </w:r>
      <w:r w:rsidRPr="002D44C0">
        <w:rPr>
          <w:rFonts w:ascii="Times New Roman" w:hAnsi="Times New Roman" w:cs="Times New Roman"/>
          <w:b/>
          <w:bCs/>
          <w:sz w:val="24"/>
        </w:rPr>
        <w:t>.Prevalence</w:t>
      </w:r>
      <w:proofErr w:type="gramEnd"/>
      <w:r w:rsidRPr="002D44C0">
        <w:rPr>
          <w:rFonts w:ascii="Times New Roman" w:hAnsi="Times New Roman" w:cs="Times New Roman"/>
          <w:b/>
          <w:bCs/>
          <w:sz w:val="24"/>
        </w:rPr>
        <w:t xml:space="preserve"> of subclinical mastitis in dairy cattle showing (A) overall animal-wise and quarter-wise distribution, (B) quarter-wise distribution, (C) age-wise distribution, (D) parity-wise distribution and (E) stage of lactation-wise distribution.</w:t>
      </w:r>
    </w:p>
    <w:p w14:paraId="08C3F7A9" w14:textId="77777777" w:rsidR="00EF362D" w:rsidRPr="00BA7EE4" w:rsidRDefault="00EF362D" w:rsidP="002D44C0">
      <w:pPr>
        <w:ind w:firstLine="142"/>
        <w:jc w:val="both"/>
        <w:rPr>
          <w:rFonts w:ascii="Times New Roman" w:hAnsi="Times New Roman" w:cs="Times New Roman"/>
          <w:b/>
          <w:bCs/>
          <w:sz w:val="24"/>
          <w:lang w:val="en-US"/>
        </w:rPr>
      </w:pPr>
    </w:p>
    <w:p w14:paraId="6100D37A" w14:textId="77777777" w:rsidR="00EF362D" w:rsidRPr="00BA7EE4" w:rsidRDefault="00EF362D" w:rsidP="00EF362D">
      <w:pPr>
        <w:ind w:left="1350" w:hanging="1350"/>
        <w:jc w:val="both"/>
        <w:rPr>
          <w:rFonts w:ascii="Times New Roman" w:hAnsi="Times New Roman" w:cs="Times New Roman"/>
          <w:b/>
          <w:bCs/>
          <w:sz w:val="24"/>
          <w:lang w:val="en-US"/>
        </w:rPr>
      </w:pPr>
    </w:p>
    <w:p w14:paraId="52CB381F" w14:textId="77777777" w:rsidR="00EF362D" w:rsidRPr="00BA7EE4" w:rsidRDefault="00EF362D" w:rsidP="0044518A">
      <w:pPr>
        <w:spacing w:line="360" w:lineRule="auto"/>
        <w:jc w:val="both"/>
        <w:rPr>
          <w:rFonts w:ascii="Times New Roman" w:hAnsi="Times New Roman" w:cs="Times New Roman"/>
          <w:sz w:val="24"/>
          <w:szCs w:val="24"/>
        </w:rPr>
      </w:pPr>
    </w:p>
    <w:sectPr w:rsidR="00EF362D" w:rsidRPr="00BA7E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1FFA8" w14:textId="77777777" w:rsidR="00EA1978" w:rsidRDefault="00EA1978" w:rsidP="00430690">
      <w:pPr>
        <w:spacing w:after="0" w:line="240" w:lineRule="auto"/>
      </w:pPr>
      <w:r>
        <w:separator/>
      </w:r>
    </w:p>
  </w:endnote>
  <w:endnote w:type="continuationSeparator" w:id="0">
    <w:p w14:paraId="690B9E94" w14:textId="77777777" w:rsidR="00EA1978" w:rsidRDefault="00EA1978" w:rsidP="0043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9949" w14:textId="77777777" w:rsidR="00430690" w:rsidRDefault="00430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BA70" w14:textId="77777777" w:rsidR="00430690" w:rsidRDefault="00430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D135" w14:textId="77777777" w:rsidR="00430690" w:rsidRDefault="00430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BCE1" w14:textId="77777777" w:rsidR="00EA1978" w:rsidRDefault="00EA1978" w:rsidP="00430690">
      <w:pPr>
        <w:spacing w:after="0" w:line="240" w:lineRule="auto"/>
      </w:pPr>
      <w:r>
        <w:separator/>
      </w:r>
    </w:p>
  </w:footnote>
  <w:footnote w:type="continuationSeparator" w:id="0">
    <w:p w14:paraId="0DE3FCBF" w14:textId="77777777" w:rsidR="00EA1978" w:rsidRDefault="00EA1978" w:rsidP="0043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CF54" w14:textId="1E381E1E" w:rsidR="00430690" w:rsidRDefault="00EA1978">
    <w:pPr>
      <w:pStyle w:val="Header"/>
    </w:pPr>
    <w:r>
      <w:rPr>
        <w:noProof/>
      </w:rPr>
      <w:pict w14:anchorId="1C8E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C473" w14:textId="3A4F3442" w:rsidR="00430690" w:rsidRDefault="00EA1978">
    <w:pPr>
      <w:pStyle w:val="Header"/>
    </w:pPr>
    <w:r>
      <w:rPr>
        <w:noProof/>
      </w:rPr>
      <w:pict w14:anchorId="21A7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2ECC" w14:textId="65106A72" w:rsidR="00430690" w:rsidRDefault="00EA1978">
    <w:pPr>
      <w:pStyle w:val="Header"/>
    </w:pPr>
    <w:r>
      <w:rPr>
        <w:noProof/>
      </w:rPr>
      <w:pict w14:anchorId="16736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47C14"/>
    <w:multiLevelType w:val="multilevel"/>
    <w:tmpl w:val="AAEA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MDGzMDU2NDcxsjRU0lEKTi0uzszPAykwrAUA7KPB+CwAAAA="/>
  </w:docVars>
  <w:rsids>
    <w:rsidRoot w:val="0044518A"/>
    <w:rsid w:val="00010514"/>
    <w:rsid w:val="00015DE0"/>
    <w:rsid w:val="0006669E"/>
    <w:rsid w:val="001117DF"/>
    <w:rsid w:val="00124466"/>
    <w:rsid w:val="00131D5B"/>
    <w:rsid w:val="001A1AE0"/>
    <w:rsid w:val="001B5DDE"/>
    <w:rsid w:val="001D139A"/>
    <w:rsid w:val="001E22D5"/>
    <w:rsid w:val="00226DCD"/>
    <w:rsid w:val="002D44C0"/>
    <w:rsid w:val="00332402"/>
    <w:rsid w:val="00395C30"/>
    <w:rsid w:val="003B2AD3"/>
    <w:rsid w:val="003B5E84"/>
    <w:rsid w:val="003D09C5"/>
    <w:rsid w:val="00430690"/>
    <w:rsid w:val="0044518A"/>
    <w:rsid w:val="0047535A"/>
    <w:rsid w:val="0049648F"/>
    <w:rsid w:val="005140D0"/>
    <w:rsid w:val="00536794"/>
    <w:rsid w:val="0057485C"/>
    <w:rsid w:val="00595EA2"/>
    <w:rsid w:val="00596A97"/>
    <w:rsid w:val="0069798A"/>
    <w:rsid w:val="006D35FB"/>
    <w:rsid w:val="00732777"/>
    <w:rsid w:val="00781E68"/>
    <w:rsid w:val="007B515D"/>
    <w:rsid w:val="00837976"/>
    <w:rsid w:val="00872161"/>
    <w:rsid w:val="0087475C"/>
    <w:rsid w:val="00903D52"/>
    <w:rsid w:val="00951BB0"/>
    <w:rsid w:val="0098170E"/>
    <w:rsid w:val="0099313D"/>
    <w:rsid w:val="009D3B1F"/>
    <w:rsid w:val="00A5685F"/>
    <w:rsid w:val="00A617CF"/>
    <w:rsid w:val="00AA1313"/>
    <w:rsid w:val="00B029D6"/>
    <w:rsid w:val="00B23C2D"/>
    <w:rsid w:val="00B72602"/>
    <w:rsid w:val="00BA7EE4"/>
    <w:rsid w:val="00BC468A"/>
    <w:rsid w:val="00C37FD0"/>
    <w:rsid w:val="00CC47D0"/>
    <w:rsid w:val="00D161B1"/>
    <w:rsid w:val="00D1628C"/>
    <w:rsid w:val="00DB5DDA"/>
    <w:rsid w:val="00DC3EF2"/>
    <w:rsid w:val="00DF4B28"/>
    <w:rsid w:val="00E1415A"/>
    <w:rsid w:val="00EA1978"/>
    <w:rsid w:val="00EF362D"/>
    <w:rsid w:val="00F51033"/>
    <w:rsid w:val="00F53EA5"/>
    <w:rsid w:val="00F76160"/>
    <w:rsid w:val="00F77F4F"/>
    <w:rsid w:val="00F95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D1B86"/>
  <w15:chartTrackingRefBased/>
  <w15:docId w15:val="{C94F141B-7835-4D53-AF98-3C56B0B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18A"/>
    <w:rPr>
      <w:rFonts w:eastAsiaTheme="majorEastAsia" w:cstheme="majorBidi"/>
      <w:color w:val="272727" w:themeColor="text1" w:themeTint="D8"/>
    </w:rPr>
  </w:style>
  <w:style w:type="paragraph" w:styleId="Title">
    <w:name w:val="Title"/>
    <w:basedOn w:val="Normal"/>
    <w:next w:val="Normal"/>
    <w:link w:val="TitleChar"/>
    <w:uiPriority w:val="10"/>
    <w:qFormat/>
    <w:rsid w:val="00445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18A"/>
    <w:pPr>
      <w:spacing w:before="160"/>
      <w:jc w:val="center"/>
    </w:pPr>
    <w:rPr>
      <w:i/>
      <w:iCs/>
      <w:color w:val="404040" w:themeColor="text1" w:themeTint="BF"/>
    </w:rPr>
  </w:style>
  <w:style w:type="character" w:customStyle="1" w:styleId="QuoteChar">
    <w:name w:val="Quote Char"/>
    <w:basedOn w:val="DefaultParagraphFont"/>
    <w:link w:val="Quote"/>
    <w:uiPriority w:val="29"/>
    <w:rsid w:val="0044518A"/>
    <w:rPr>
      <w:i/>
      <w:iCs/>
      <w:color w:val="404040" w:themeColor="text1" w:themeTint="BF"/>
    </w:rPr>
  </w:style>
  <w:style w:type="paragraph" w:styleId="ListParagraph">
    <w:name w:val="List Paragraph"/>
    <w:basedOn w:val="Normal"/>
    <w:uiPriority w:val="34"/>
    <w:qFormat/>
    <w:rsid w:val="0044518A"/>
    <w:pPr>
      <w:ind w:left="720"/>
      <w:contextualSpacing/>
    </w:pPr>
  </w:style>
  <w:style w:type="character" w:styleId="IntenseEmphasis">
    <w:name w:val="Intense Emphasis"/>
    <w:basedOn w:val="DefaultParagraphFont"/>
    <w:uiPriority w:val="21"/>
    <w:qFormat/>
    <w:rsid w:val="0044518A"/>
    <w:rPr>
      <w:i/>
      <w:iCs/>
      <w:color w:val="2F5496" w:themeColor="accent1" w:themeShade="BF"/>
    </w:rPr>
  </w:style>
  <w:style w:type="paragraph" w:styleId="IntenseQuote">
    <w:name w:val="Intense Quote"/>
    <w:basedOn w:val="Normal"/>
    <w:next w:val="Normal"/>
    <w:link w:val="IntenseQuoteChar"/>
    <w:uiPriority w:val="30"/>
    <w:qFormat/>
    <w:rsid w:val="00445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18A"/>
    <w:rPr>
      <w:i/>
      <w:iCs/>
      <w:color w:val="2F5496" w:themeColor="accent1" w:themeShade="BF"/>
    </w:rPr>
  </w:style>
  <w:style w:type="character" w:styleId="IntenseReference">
    <w:name w:val="Intense Reference"/>
    <w:basedOn w:val="DefaultParagraphFont"/>
    <w:uiPriority w:val="32"/>
    <w:qFormat/>
    <w:rsid w:val="0044518A"/>
    <w:rPr>
      <w:b/>
      <w:bCs/>
      <w:smallCaps/>
      <w:color w:val="2F5496" w:themeColor="accent1" w:themeShade="BF"/>
      <w:spacing w:val="5"/>
    </w:rPr>
  </w:style>
  <w:style w:type="table" w:styleId="TableGrid">
    <w:name w:val="Table Grid"/>
    <w:basedOn w:val="TableNormal"/>
    <w:uiPriority w:val="39"/>
    <w:rsid w:val="0083797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90"/>
  </w:style>
  <w:style w:type="paragraph" w:styleId="Footer">
    <w:name w:val="footer"/>
    <w:basedOn w:val="Normal"/>
    <w:link w:val="FooterChar"/>
    <w:uiPriority w:val="99"/>
    <w:unhideWhenUsed/>
    <w:rsid w:val="00430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90"/>
  </w:style>
  <w:style w:type="paragraph" w:styleId="NoSpacing">
    <w:name w:val="No Spacing"/>
    <w:uiPriority w:val="1"/>
    <w:qFormat/>
    <w:rsid w:val="00010514"/>
    <w:pPr>
      <w:spacing w:after="0" w:line="240" w:lineRule="auto"/>
    </w:pPr>
    <w:rPr>
      <w:lang w:val="en-US"/>
    </w:rPr>
  </w:style>
  <w:style w:type="character" w:styleId="Hyperlink">
    <w:name w:val="Hyperlink"/>
    <w:basedOn w:val="DefaultParagraphFont"/>
    <w:uiPriority w:val="99"/>
    <w:unhideWhenUsed/>
    <w:rsid w:val="009D3B1F"/>
    <w:rPr>
      <w:color w:val="0563C1" w:themeColor="hyperlink"/>
      <w:u w:val="single"/>
    </w:rPr>
  </w:style>
  <w:style w:type="character" w:styleId="UnresolvedMention">
    <w:name w:val="Unresolved Mention"/>
    <w:basedOn w:val="DefaultParagraphFont"/>
    <w:uiPriority w:val="99"/>
    <w:semiHidden/>
    <w:unhideWhenUsed/>
    <w:rsid w:val="009D3B1F"/>
    <w:rPr>
      <w:color w:val="605E5C"/>
      <w:shd w:val="clear" w:color="auto" w:fill="E1DFDD"/>
    </w:rPr>
  </w:style>
  <w:style w:type="paragraph" w:styleId="BodyText">
    <w:name w:val="Body Text"/>
    <w:basedOn w:val="Normal"/>
    <w:link w:val="BodyTextChar"/>
    <w:rsid w:val="0098170E"/>
    <w:pPr>
      <w:spacing w:after="0" w:line="240" w:lineRule="auto"/>
      <w:jc w:val="both"/>
    </w:pPr>
    <w:rPr>
      <w:rFonts w:ascii="Helvetica" w:eastAsia="MS Mincho" w:hAnsi="Helvetica" w:cs="Helvetica"/>
      <w:kern w:val="0"/>
      <w:sz w:val="24"/>
      <w:szCs w:val="24"/>
      <w:lang w:val="fr-FR"/>
      <w14:ligatures w14:val="none"/>
    </w:rPr>
  </w:style>
  <w:style w:type="character" w:customStyle="1" w:styleId="BodyTextChar">
    <w:name w:val="Body Text Char"/>
    <w:basedOn w:val="DefaultParagraphFont"/>
    <w:link w:val="BodyText"/>
    <w:rsid w:val="0098170E"/>
    <w:rPr>
      <w:rFonts w:ascii="Helvetica" w:eastAsia="MS Mincho" w:hAnsi="Helvetica" w:cs="Helvetica"/>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62191">
      <w:bodyDiv w:val="1"/>
      <w:marLeft w:val="0"/>
      <w:marRight w:val="0"/>
      <w:marTop w:val="0"/>
      <w:marBottom w:val="0"/>
      <w:divBdr>
        <w:top w:val="none" w:sz="0" w:space="0" w:color="auto"/>
        <w:left w:val="none" w:sz="0" w:space="0" w:color="auto"/>
        <w:bottom w:val="none" w:sz="0" w:space="0" w:color="auto"/>
        <w:right w:val="none" w:sz="0" w:space="0" w:color="auto"/>
      </w:divBdr>
    </w:div>
    <w:div w:id="12663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4.e341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1E4B-6D33-4782-881A-F379BF9D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Sable</dc:creator>
  <cp:keywords/>
  <dc:description/>
  <cp:lastModifiedBy>SDI 1020</cp:lastModifiedBy>
  <cp:revision>12</cp:revision>
  <dcterms:created xsi:type="dcterms:W3CDTF">2026-02-09T17:50:00Z</dcterms:created>
  <dcterms:modified xsi:type="dcterms:W3CDTF">2026-02-10T08:14:00Z</dcterms:modified>
</cp:coreProperties>
</file>