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E0" w:rsidRDefault="004C6AE0" w:rsidP="00371AAB">
      <w:pPr>
        <w:jc w:val="center"/>
        <w:rPr>
          <w:rFonts w:ascii="Arial Narrow" w:hAnsi="Arial Narrow"/>
          <w:b/>
          <w:sz w:val="28"/>
          <w:szCs w:val="28"/>
        </w:rPr>
      </w:pPr>
      <w:r w:rsidRPr="004C6AE0">
        <w:rPr>
          <w:rFonts w:ascii="Arial Narrow" w:hAnsi="Arial Narrow"/>
          <w:b/>
          <w:sz w:val="28"/>
          <w:szCs w:val="28"/>
        </w:rPr>
        <w:t xml:space="preserve">Effect of Green Synthesized Nanoparticles and Botanical Extracts on the Biochemical </w:t>
      </w:r>
      <w:proofErr w:type="spellStart"/>
      <w:r w:rsidRPr="004C6AE0">
        <w:rPr>
          <w:rFonts w:ascii="Arial Narrow" w:hAnsi="Arial Narrow"/>
          <w:b/>
          <w:sz w:val="28"/>
          <w:szCs w:val="28"/>
        </w:rPr>
        <w:t>Defense</w:t>
      </w:r>
      <w:proofErr w:type="spellEnd"/>
      <w:r w:rsidRPr="004C6AE0">
        <w:rPr>
          <w:rFonts w:ascii="Arial Narrow" w:hAnsi="Arial Narrow"/>
          <w:b/>
          <w:sz w:val="28"/>
          <w:szCs w:val="28"/>
        </w:rPr>
        <w:t xml:space="preserve"> Mechanisms of Tomato (</w:t>
      </w:r>
      <w:r w:rsidRPr="004C6AE0">
        <w:rPr>
          <w:rFonts w:ascii="Arial Narrow" w:hAnsi="Arial Narrow"/>
          <w:b/>
          <w:i/>
          <w:iCs/>
          <w:sz w:val="28"/>
          <w:szCs w:val="28"/>
        </w:rPr>
        <w:t xml:space="preserve">Solanum </w:t>
      </w:r>
      <w:proofErr w:type="spellStart"/>
      <w:r w:rsidRPr="004C6AE0">
        <w:rPr>
          <w:rFonts w:ascii="Arial Narrow" w:hAnsi="Arial Narrow"/>
          <w:b/>
          <w:i/>
          <w:iCs/>
          <w:sz w:val="28"/>
          <w:szCs w:val="28"/>
        </w:rPr>
        <w:t>lycopersicum</w:t>
      </w:r>
      <w:proofErr w:type="spellEnd"/>
      <w:r w:rsidRPr="004C6AE0">
        <w:rPr>
          <w:rFonts w:ascii="Arial Narrow" w:hAnsi="Arial Narrow"/>
          <w:b/>
          <w:sz w:val="28"/>
          <w:szCs w:val="28"/>
        </w:rPr>
        <w:t xml:space="preserve"> L.) </w:t>
      </w:r>
    </w:p>
    <w:p w:rsidR="00371AAB" w:rsidRDefault="00371AAB" w:rsidP="009B05F6">
      <w:pPr>
        <w:spacing w:line="276" w:lineRule="auto"/>
        <w:jc w:val="center"/>
        <w:rPr>
          <w:rFonts w:ascii="Arial Narrow" w:hAnsi="Arial Narrow" w:cs="Times New Roman"/>
          <w:b/>
          <w:sz w:val="24"/>
          <w:szCs w:val="24"/>
        </w:rPr>
      </w:pPr>
      <w:r w:rsidRPr="009D488F">
        <w:rPr>
          <w:rFonts w:ascii="Arial Narrow" w:hAnsi="Arial Narrow" w:cs="Times New Roman"/>
          <w:b/>
          <w:sz w:val="24"/>
          <w:szCs w:val="24"/>
        </w:rPr>
        <w:t>ABSTRACT</w:t>
      </w:r>
    </w:p>
    <w:p w:rsidR="004C6AE0" w:rsidRPr="004C6AE0" w:rsidRDefault="004C6AE0" w:rsidP="00793DE1">
      <w:pPr>
        <w:pStyle w:val="first-token"/>
        <w:spacing w:before="120" w:beforeAutospacing="0" w:after="120" w:afterAutospacing="0"/>
        <w:jc w:val="both"/>
        <w:rPr>
          <w:rFonts w:ascii="Arial Narrow" w:hAnsi="Arial Narrow"/>
        </w:rPr>
      </w:pPr>
      <w:r w:rsidRPr="004C6AE0">
        <w:rPr>
          <w:rFonts w:ascii="Arial Narrow" w:hAnsi="Arial Narrow"/>
        </w:rPr>
        <w:t xml:space="preserve">Late blight, caused by the oomycete </w:t>
      </w:r>
      <w:r w:rsidRPr="004C6AE0">
        <w:rPr>
          <w:rFonts w:ascii="Arial Narrow" w:hAnsi="Arial Narrow"/>
          <w:i/>
          <w:iCs/>
        </w:rPr>
        <w:t xml:space="preserve">Phytophthora </w:t>
      </w:r>
      <w:proofErr w:type="spellStart"/>
      <w:r w:rsidRPr="004C6AE0">
        <w:rPr>
          <w:rFonts w:ascii="Arial Narrow" w:hAnsi="Arial Narrow"/>
          <w:i/>
          <w:iCs/>
        </w:rPr>
        <w:t>infestans</w:t>
      </w:r>
      <w:proofErr w:type="spellEnd"/>
      <w:r w:rsidRPr="004C6AE0">
        <w:rPr>
          <w:rFonts w:ascii="Arial Narrow" w:hAnsi="Arial Narrow"/>
        </w:rPr>
        <w:t xml:space="preserve">, remains one of the most devastating diseases affecting tomato cultivation globally. As concerns over chemical residues and pathogen resistance grow, eco-friendly management strategies utilizing green-synthesized nanoparticles and botanical extracts have gained prominence as viable alternatives to conventional </w:t>
      </w:r>
      <w:proofErr w:type="spellStart"/>
      <w:proofErr w:type="gramStart"/>
      <w:r w:rsidRPr="004C6AE0">
        <w:rPr>
          <w:rFonts w:ascii="Arial Narrow" w:hAnsi="Arial Narrow"/>
        </w:rPr>
        <w:t>fungicides.The</w:t>
      </w:r>
      <w:proofErr w:type="spellEnd"/>
      <w:proofErr w:type="gramEnd"/>
      <w:r w:rsidRPr="004C6AE0">
        <w:rPr>
          <w:rFonts w:ascii="Arial Narrow" w:hAnsi="Arial Narrow"/>
        </w:rPr>
        <w:t xml:space="preserve"> present investigation, conducted duri</w:t>
      </w:r>
      <w:bookmarkStart w:id="0" w:name="_GoBack"/>
      <w:bookmarkEnd w:id="0"/>
      <w:r w:rsidRPr="004C6AE0">
        <w:rPr>
          <w:rFonts w:ascii="Arial Narrow" w:hAnsi="Arial Narrow"/>
        </w:rPr>
        <w:t>ng the 2023–24 season, evaluated the efficacy of silver nanoparticles (</w:t>
      </w:r>
      <w:proofErr w:type="spellStart"/>
      <w:r w:rsidRPr="004C6AE0">
        <w:rPr>
          <w:rFonts w:ascii="Arial Narrow" w:hAnsi="Arial Narrow"/>
        </w:rPr>
        <w:t>AgNPs</w:t>
      </w:r>
      <w:proofErr w:type="spellEnd"/>
      <w:r w:rsidRPr="004C6AE0">
        <w:rPr>
          <w:rFonts w:ascii="Arial Narrow" w:hAnsi="Arial Narrow"/>
        </w:rPr>
        <w:t>), copper nanoparticles (</w:t>
      </w:r>
      <w:proofErr w:type="spellStart"/>
      <w:r w:rsidRPr="004C6AE0">
        <w:rPr>
          <w:rFonts w:ascii="Arial Narrow" w:hAnsi="Arial Narrow"/>
        </w:rPr>
        <w:t>CuNPs</w:t>
      </w:r>
      <w:proofErr w:type="spellEnd"/>
      <w:r w:rsidRPr="004C6AE0">
        <w:rPr>
          <w:rFonts w:ascii="Arial Narrow" w:hAnsi="Arial Narrow"/>
        </w:rPr>
        <w:t>), neem extracts, and mancozeb in modulating biochemical defense parameters in tomato foliage. The treatments were assessed for their ability to induce systemic resistance by quantifying changes in total soluble protein, total phenol content, salicylic acid levels, and peroxidase (PO) activity at 2, 5, 8, and 11 days after inoculation (DAI</w:t>
      </w:r>
      <w:proofErr w:type="gramStart"/>
      <w:r w:rsidRPr="004C6AE0">
        <w:rPr>
          <w:rFonts w:ascii="Arial Narrow" w:hAnsi="Arial Narrow"/>
        </w:rPr>
        <w:t>).The</w:t>
      </w:r>
      <w:proofErr w:type="gramEnd"/>
      <w:r w:rsidRPr="004C6AE0">
        <w:rPr>
          <w:rFonts w:ascii="Arial Narrow" w:hAnsi="Arial Narrow"/>
        </w:rPr>
        <w:t xml:space="preserve"> experimental results revealed that all treatments significantly bolstered the host's biochemical defenses compared to the infected control. Notably, </w:t>
      </w:r>
      <w:r w:rsidRPr="00793DE1">
        <w:rPr>
          <w:rFonts w:ascii="Arial Narrow" w:hAnsi="Arial Narrow"/>
          <w:bCs/>
        </w:rPr>
        <w:t xml:space="preserve">Treatment </w:t>
      </w:r>
      <w:r w:rsidRPr="00793DE1">
        <w:rPr>
          <w:rStyle w:val="math-inline"/>
          <w:rFonts w:ascii="Arial Narrow" w:hAnsi="Arial Narrow"/>
          <w:bCs/>
        </w:rPr>
        <w:t>T</w:t>
      </w:r>
      <w:r w:rsidRPr="00793DE1">
        <w:rPr>
          <w:rStyle w:val="math-inline"/>
          <w:rFonts w:ascii="Arial Narrow" w:hAnsi="Arial Narrow"/>
          <w:bCs/>
          <w:vertAlign w:val="subscript"/>
        </w:rPr>
        <w:t>3</w:t>
      </w:r>
      <w:r w:rsidRPr="00793DE1">
        <w:rPr>
          <w:rFonts w:ascii="Arial Narrow" w:hAnsi="Arial Narrow"/>
          <w:bCs/>
        </w:rPr>
        <w:t xml:space="preserve"> (</w:t>
      </w:r>
      <w:proofErr w:type="spellStart"/>
      <w:r w:rsidRPr="00793DE1">
        <w:rPr>
          <w:rFonts w:ascii="Arial Narrow" w:hAnsi="Arial Narrow"/>
          <w:bCs/>
        </w:rPr>
        <w:t>AgNPs</w:t>
      </w:r>
      <w:proofErr w:type="spellEnd"/>
      <w:r w:rsidRPr="00793DE1">
        <w:rPr>
          <w:rFonts w:ascii="Arial Narrow" w:hAnsi="Arial Narrow"/>
          <w:bCs/>
        </w:rPr>
        <w:t xml:space="preserve"> @ 100 ppm)</w:t>
      </w:r>
      <w:r w:rsidRPr="004C6AE0">
        <w:rPr>
          <w:rFonts w:ascii="Arial Narrow" w:hAnsi="Arial Narrow"/>
        </w:rPr>
        <w:t xml:space="preserve"> emerged as the most potent elicitor, achieving peak enhancements at 8 DAI. Under this treatment, total soluble protein</w:t>
      </w:r>
      <w:r w:rsidR="00793DE1">
        <w:rPr>
          <w:rFonts w:ascii="Arial Narrow" w:hAnsi="Arial Narrow"/>
        </w:rPr>
        <w:t>, phenol content, salicylic acid levels and peroxidase activity were</w:t>
      </w:r>
      <w:r w:rsidRPr="004C6AE0">
        <w:rPr>
          <w:rFonts w:ascii="Arial Narrow" w:hAnsi="Arial Narrow"/>
        </w:rPr>
        <w:t xml:space="preserve"> increased by 93.37</w:t>
      </w:r>
      <w:r w:rsidR="00793DE1">
        <w:rPr>
          <w:rFonts w:ascii="Arial Narrow" w:hAnsi="Arial Narrow"/>
        </w:rPr>
        <w:t xml:space="preserve">, </w:t>
      </w:r>
      <w:r w:rsidRPr="004C6AE0">
        <w:rPr>
          <w:rFonts w:ascii="Arial Narrow" w:hAnsi="Arial Narrow"/>
        </w:rPr>
        <w:t>82.61</w:t>
      </w:r>
      <w:r w:rsidR="00793DE1">
        <w:rPr>
          <w:rFonts w:ascii="Arial Narrow" w:hAnsi="Arial Narrow"/>
        </w:rPr>
        <w:t>, 87.13 and 94.96 per cent, respectively</w:t>
      </w:r>
      <w:r w:rsidRPr="004C6AE0">
        <w:rPr>
          <w:rFonts w:ascii="Arial Narrow" w:hAnsi="Arial Narrow"/>
        </w:rPr>
        <w:t xml:space="preserve"> relative to the infected </w:t>
      </w:r>
      <w:proofErr w:type="spellStart"/>
      <w:proofErr w:type="gramStart"/>
      <w:r w:rsidRPr="004C6AE0">
        <w:rPr>
          <w:rFonts w:ascii="Arial Narrow" w:hAnsi="Arial Narrow"/>
        </w:rPr>
        <w:t>control.These</w:t>
      </w:r>
      <w:proofErr w:type="spellEnd"/>
      <w:proofErr w:type="gramEnd"/>
      <w:r w:rsidRPr="004C6AE0">
        <w:rPr>
          <w:rFonts w:ascii="Arial Narrow" w:hAnsi="Arial Narrow"/>
        </w:rPr>
        <w:t xml:space="preserve"> findings strongly suggest that green-synthesized silver nanoparticles effectively prime the plant's immune system, triggering a robust defense response that limits the progression of </w:t>
      </w:r>
      <w:r w:rsidRPr="004C6AE0">
        <w:rPr>
          <w:rFonts w:ascii="Arial Narrow" w:hAnsi="Arial Narrow"/>
          <w:i/>
          <w:iCs/>
        </w:rPr>
        <w:t xml:space="preserve">P. </w:t>
      </w:r>
      <w:proofErr w:type="spellStart"/>
      <w:r w:rsidRPr="004C6AE0">
        <w:rPr>
          <w:rFonts w:ascii="Arial Narrow" w:hAnsi="Arial Narrow"/>
          <w:i/>
          <w:iCs/>
        </w:rPr>
        <w:t>infestans</w:t>
      </w:r>
      <w:proofErr w:type="spellEnd"/>
      <w:r w:rsidRPr="004C6AE0">
        <w:rPr>
          <w:rFonts w:ascii="Arial Narrow" w:hAnsi="Arial Narrow"/>
        </w:rPr>
        <w:t xml:space="preserve">. Consequently, the application of </w:t>
      </w:r>
      <w:proofErr w:type="spellStart"/>
      <w:r w:rsidRPr="004C6AE0">
        <w:rPr>
          <w:rFonts w:ascii="Arial Narrow" w:hAnsi="Arial Narrow"/>
        </w:rPr>
        <w:t>AgNPs</w:t>
      </w:r>
      <w:proofErr w:type="spellEnd"/>
      <w:r w:rsidRPr="004C6AE0">
        <w:rPr>
          <w:rFonts w:ascii="Arial Narrow" w:hAnsi="Arial Narrow"/>
        </w:rPr>
        <w:t xml:space="preserve"> represents a highly effective and sustainable tool for the integrated management of late blight in tomato crops.</w:t>
      </w:r>
    </w:p>
    <w:p w:rsidR="00371AAB" w:rsidRPr="009D488F" w:rsidRDefault="00371AAB" w:rsidP="009B05F6">
      <w:pPr>
        <w:spacing w:line="276" w:lineRule="auto"/>
        <w:jc w:val="both"/>
        <w:rPr>
          <w:rFonts w:ascii="Arial Narrow" w:hAnsi="Arial Narrow" w:cs="Times New Roman"/>
          <w:sz w:val="24"/>
          <w:szCs w:val="24"/>
        </w:rPr>
      </w:pPr>
      <w:r w:rsidRPr="009D488F">
        <w:rPr>
          <w:rFonts w:ascii="Arial Narrow" w:hAnsi="Arial Narrow" w:cs="Times New Roman"/>
          <w:b/>
          <w:sz w:val="24"/>
          <w:szCs w:val="24"/>
        </w:rPr>
        <w:t>Keywords</w:t>
      </w:r>
      <w:r w:rsidRPr="009D488F">
        <w:rPr>
          <w:rFonts w:ascii="Arial Narrow" w:hAnsi="Arial Narrow" w:cs="Times New Roman"/>
          <w:sz w:val="24"/>
          <w:szCs w:val="24"/>
        </w:rPr>
        <w:t xml:space="preserve">: </w:t>
      </w:r>
      <w:r w:rsidR="005C1BA3">
        <w:rPr>
          <w:rFonts w:ascii="Arial Narrow" w:hAnsi="Arial Narrow" w:cs="Times New Roman"/>
          <w:sz w:val="24"/>
          <w:szCs w:val="24"/>
        </w:rPr>
        <w:t xml:space="preserve">Biochemical, </w:t>
      </w:r>
      <w:r w:rsidRPr="009D488F">
        <w:rPr>
          <w:rFonts w:ascii="Arial Narrow" w:hAnsi="Arial Narrow" w:cs="Times New Roman"/>
          <w:sz w:val="24"/>
          <w:szCs w:val="24"/>
        </w:rPr>
        <w:t xml:space="preserve">Nanoparticles, Peroxidase, </w:t>
      </w:r>
      <w:r w:rsidR="005C1BA3" w:rsidRPr="009D488F">
        <w:rPr>
          <w:rFonts w:ascii="Arial Narrow" w:hAnsi="Arial Narrow" w:cs="Times New Roman"/>
          <w:sz w:val="24"/>
          <w:szCs w:val="24"/>
        </w:rPr>
        <w:t>Salicylic acid,</w:t>
      </w:r>
      <w:r w:rsidR="005C1BA3">
        <w:rPr>
          <w:rFonts w:ascii="Arial Narrow" w:hAnsi="Arial Narrow" w:cs="Times New Roman"/>
          <w:sz w:val="24"/>
          <w:szCs w:val="24"/>
        </w:rPr>
        <w:t xml:space="preserve"> Tomato</w:t>
      </w:r>
    </w:p>
    <w:p w:rsidR="00371AAB" w:rsidRDefault="00371AAB" w:rsidP="00793DE1">
      <w:pPr>
        <w:pStyle w:val="ListParagraph"/>
        <w:numPr>
          <w:ilvl w:val="0"/>
          <w:numId w:val="1"/>
        </w:numPr>
        <w:spacing w:line="276" w:lineRule="auto"/>
        <w:ind w:left="342" w:hanging="315"/>
        <w:jc w:val="both"/>
        <w:rPr>
          <w:rFonts w:ascii="Arial Narrow" w:hAnsi="Arial Narrow" w:cs="Times New Roman"/>
          <w:b/>
          <w:sz w:val="24"/>
          <w:szCs w:val="24"/>
        </w:rPr>
      </w:pPr>
      <w:r w:rsidRPr="009D488F">
        <w:rPr>
          <w:rFonts w:ascii="Arial Narrow" w:hAnsi="Arial Narrow" w:cs="Times New Roman"/>
          <w:b/>
          <w:sz w:val="24"/>
          <w:szCs w:val="24"/>
        </w:rPr>
        <w:t>Introduction</w:t>
      </w:r>
    </w:p>
    <w:p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The tomato (</w:t>
      </w:r>
      <w:r w:rsidRPr="00CA6EA1">
        <w:rPr>
          <w:rFonts w:ascii="Arial Narrow" w:eastAsia="Times New Roman" w:hAnsi="Arial Narrow" w:cs="Times New Roman"/>
          <w:i/>
          <w:iCs/>
          <w:kern w:val="0"/>
          <w:sz w:val="24"/>
          <w:szCs w:val="24"/>
          <w:lang w:val="en-US"/>
        </w:rPr>
        <w:t xml:space="preserve">Solanum </w:t>
      </w:r>
      <w:proofErr w:type="spellStart"/>
      <w:r w:rsidRPr="00CA6EA1">
        <w:rPr>
          <w:rFonts w:ascii="Arial Narrow" w:eastAsia="Times New Roman" w:hAnsi="Arial Narrow" w:cs="Times New Roman"/>
          <w:i/>
          <w:iCs/>
          <w:kern w:val="0"/>
          <w:sz w:val="24"/>
          <w:szCs w:val="24"/>
          <w:lang w:val="en-US"/>
        </w:rPr>
        <w:t>lycopersicum</w:t>
      </w:r>
      <w:proofErr w:type="spellEnd"/>
      <w:r w:rsidRPr="00CA6EA1">
        <w:rPr>
          <w:rFonts w:ascii="Arial Narrow" w:eastAsia="Times New Roman" w:hAnsi="Arial Narrow" w:cs="Times New Roman"/>
          <w:kern w:val="0"/>
          <w:sz w:val="24"/>
          <w:szCs w:val="24"/>
          <w:lang w:val="en-US"/>
        </w:rPr>
        <w:t xml:space="preserve"> L.) is a globally significant vegetable crop; however, its productivity is severely constrained by late blight, a devastating disease caused by the oomycete </w:t>
      </w:r>
      <w:r w:rsidRPr="00CA6EA1">
        <w:rPr>
          <w:rFonts w:ascii="Arial Narrow" w:eastAsia="Times New Roman" w:hAnsi="Arial Narrow" w:cs="Times New Roman"/>
          <w:i/>
          <w:iCs/>
          <w:kern w:val="0"/>
          <w:sz w:val="24"/>
          <w:szCs w:val="24"/>
          <w:lang w:val="en-US"/>
        </w:rPr>
        <w:t xml:space="preserve">Phytophthora </w:t>
      </w:r>
      <w:proofErr w:type="spellStart"/>
      <w:r w:rsidRPr="00CA6EA1">
        <w:rPr>
          <w:rFonts w:ascii="Arial Narrow" w:eastAsia="Times New Roman" w:hAnsi="Arial Narrow" w:cs="Times New Roman"/>
          <w:i/>
          <w:iCs/>
          <w:kern w:val="0"/>
          <w:sz w:val="24"/>
          <w:szCs w:val="24"/>
          <w:lang w:val="en-US"/>
        </w:rPr>
        <w:t>infestans</w:t>
      </w:r>
      <w:proofErr w:type="spellEnd"/>
      <w:r w:rsidRPr="00CA6EA1">
        <w:rPr>
          <w:rFonts w:ascii="Arial Narrow" w:eastAsia="Times New Roman" w:hAnsi="Arial Narrow" w:cs="Times New Roman"/>
          <w:kern w:val="0"/>
          <w:sz w:val="24"/>
          <w:szCs w:val="24"/>
          <w:lang w:val="en-US"/>
        </w:rPr>
        <w:t>. Under conducive environmental conditions, this pathogen can lead to catastrophic yield losses ranging from 70</w:t>
      </w:r>
      <w:r>
        <w:rPr>
          <w:rFonts w:ascii="Arial Narrow" w:eastAsia="Times New Roman" w:hAnsi="Arial Narrow" w:cs="Times New Roman"/>
          <w:kern w:val="0"/>
          <w:sz w:val="24"/>
          <w:szCs w:val="24"/>
          <w:lang w:val="en-US"/>
        </w:rPr>
        <w:t>-</w:t>
      </w:r>
      <w:r w:rsidRPr="00CA6EA1">
        <w:rPr>
          <w:rFonts w:ascii="Arial Narrow" w:eastAsia="Times New Roman" w:hAnsi="Arial Narrow" w:cs="Times New Roman"/>
          <w:kern w:val="0"/>
          <w:sz w:val="24"/>
          <w:szCs w:val="24"/>
          <w:lang w:val="en-US"/>
        </w:rPr>
        <w:t>80</w:t>
      </w:r>
      <w:r>
        <w:rPr>
          <w:rFonts w:ascii="Arial Narrow" w:eastAsia="Times New Roman" w:hAnsi="Arial Narrow" w:cs="Times New Roman"/>
          <w:kern w:val="0"/>
          <w:sz w:val="24"/>
          <w:szCs w:val="24"/>
          <w:lang w:val="en-US"/>
        </w:rPr>
        <w:t xml:space="preserve"> per cent</w:t>
      </w:r>
      <w:r w:rsidRPr="00CA6EA1">
        <w:rPr>
          <w:rFonts w:ascii="Arial Narrow" w:eastAsia="Times New Roman" w:hAnsi="Arial Narrow" w:cs="Times New Roman"/>
          <w:kern w:val="0"/>
          <w:sz w:val="24"/>
          <w:szCs w:val="24"/>
          <w:lang w:val="en-US"/>
        </w:rPr>
        <w:t xml:space="preserve"> (Fry, 2008). While chemical fungicides have traditionally been the primary line of defense, their excessive application has led to significant environmental degradation, the emergence of fungicide-resistant pathogen strains, and serious risks to human health. Consequently, there is an urgent need for eco-friendly alternatives that support sustainable disease management.</w:t>
      </w:r>
    </w:p>
    <w:p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Nanotechnology has emerged as a transformative frontier in agricultural science, offering innovative solutions through its potent antimicrobial properties and plant growth-promoting capabilities (</w:t>
      </w:r>
      <w:proofErr w:type="spellStart"/>
      <w:r w:rsidRPr="00CA6EA1">
        <w:rPr>
          <w:rFonts w:ascii="Arial Narrow" w:eastAsia="Times New Roman" w:hAnsi="Arial Narrow" w:cs="Times New Roman"/>
          <w:kern w:val="0"/>
          <w:sz w:val="24"/>
          <w:szCs w:val="24"/>
          <w:lang w:val="en-US"/>
        </w:rPr>
        <w:t>Khodakovskaya</w:t>
      </w:r>
      <w:proofErr w:type="spellEnd"/>
      <w:r w:rsidR="005C1BA3">
        <w:rPr>
          <w:rFonts w:ascii="Arial Narrow" w:eastAsia="Times New Roman" w:hAnsi="Arial Narrow" w:cs="Times New Roman"/>
          <w:kern w:val="0"/>
          <w:sz w:val="24"/>
          <w:szCs w:val="24"/>
          <w:lang w:val="en-US"/>
        </w:rPr>
        <w:t xml:space="preserve"> </w:t>
      </w:r>
      <w:r w:rsidRPr="00CA6EA1">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xml:space="preserve">., 2012). In particular, </w:t>
      </w:r>
      <w:r w:rsidR="005C1BA3">
        <w:rPr>
          <w:rFonts w:ascii="Arial Narrow" w:eastAsia="Times New Roman" w:hAnsi="Arial Narrow" w:cs="Times New Roman"/>
          <w:kern w:val="0"/>
          <w:sz w:val="24"/>
          <w:szCs w:val="24"/>
          <w:lang w:val="en-US"/>
        </w:rPr>
        <w:t xml:space="preserve">green-synthesized nanoparticles which produced using plant extracts </w:t>
      </w:r>
      <w:r w:rsidRPr="00CA6EA1">
        <w:rPr>
          <w:rFonts w:ascii="Arial Narrow" w:eastAsia="Times New Roman" w:hAnsi="Arial Narrow" w:cs="Times New Roman"/>
          <w:kern w:val="0"/>
          <w:sz w:val="24"/>
          <w:szCs w:val="24"/>
          <w:lang w:val="en-US"/>
        </w:rPr>
        <w:t xml:space="preserve">are gaining significant attention due to their reduced toxicity, environmental compatibility, and high biological efficacy (Khan </w:t>
      </w:r>
      <w:r w:rsidRPr="00CA6EA1">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2020). Previous research has highlighted that silver (</w:t>
      </w:r>
      <w:proofErr w:type="spellStart"/>
      <w:r w:rsidRPr="00CA6EA1">
        <w:rPr>
          <w:rFonts w:ascii="Arial Narrow" w:eastAsia="Times New Roman" w:hAnsi="Arial Narrow" w:cs="Times New Roman"/>
          <w:kern w:val="0"/>
          <w:sz w:val="24"/>
          <w:szCs w:val="24"/>
          <w:lang w:val="en-US"/>
        </w:rPr>
        <w:t>AgNPs</w:t>
      </w:r>
      <w:proofErr w:type="spellEnd"/>
      <w:r w:rsidRPr="00CA6EA1">
        <w:rPr>
          <w:rFonts w:ascii="Arial Narrow" w:eastAsia="Times New Roman" w:hAnsi="Arial Narrow" w:cs="Times New Roman"/>
          <w:kern w:val="0"/>
          <w:sz w:val="24"/>
          <w:szCs w:val="24"/>
          <w:lang w:val="en-US"/>
        </w:rPr>
        <w:t>) and copper (</w:t>
      </w:r>
      <w:proofErr w:type="spellStart"/>
      <w:r w:rsidRPr="00CA6EA1">
        <w:rPr>
          <w:rFonts w:ascii="Arial Narrow" w:eastAsia="Times New Roman" w:hAnsi="Arial Narrow" w:cs="Times New Roman"/>
          <w:kern w:val="0"/>
          <w:sz w:val="24"/>
          <w:szCs w:val="24"/>
          <w:lang w:val="en-US"/>
        </w:rPr>
        <w:t>CuNPs</w:t>
      </w:r>
      <w:proofErr w:type="spellEnd"/>
      <w:r w:rsidRPr="00CA6EA1">
        <w:rPr>
          <w:rFonts w:ascii="Arial Narrow" w:eastAsia="Times New Roman" w:hAnsi="Arial Narrow" w:cs="Times New Roman"/>
          <w:kern w:val="0"/>
          <w:sz w:val="24"/>
          <w:szCs w:val="24"/>
          <w:lang w:val="en-US"/>
        </w:rPr>
        <w:t xml:space="preserve">) nanoparticles possess robust antifungal activity and the unique ability to elicit systemic defense responses in host plants (Verma </w:t>
      </w:r>
      <w:r w:rsidRPr="006142E9">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2021).</w:t>
      </w:r>
    </w:p>
    <w:p w:rsidR="00CA6EA1" w:rsidRPr="00CA6EA1" w:rsidRDefault="00CA6EA1" w:rsidP="00CA6EA1">
      <w:pPr>
        <w:spacing w:before="120" w:after="120" w:line="240" w:lineRule="auto"/>
        <w:jc w:val="both"/>
        <w:rPr>
          <w:rFonts w:ascii="Arial Narrow" w:eastAsia="Times New Roman" w:hAnsi="Arial Narrow" w:cs="Times New Roman"/>
          <w:kern w:val="0"/>
          <w:sz w:val="24"/>
          <w:szCs w:val="24"/>
          <w:lang w:val="en-US"/>
        </w:rPr>
      </w:pPr>
      <w:r w:rsidRPr="00CA6EA1">
        <w:rPr>
          <w:rFonts w:ascii="Arial Narrow" w:eastAsia="Times New Roman" w:hAnsi="Arial Narrow" w:cs="Times New Roman"/>
          <w:kern w:val="0"/>
          <w:sz w:val="24"/>
          <w:szCs w:val="24"/>
          <w:lang w:val="en-US"/>
        </w:rPr>
        <w:t xml:space="preserve">Plants naturally resist pathogenic invasion by activating complex biochemical mechanisms, including the accumulation of phenolic compounds, defense-related proteins, salicylic acid, and the upregulation of key enzymes such as peroxidase (PO) and polyphenol oxidase (PPO) (Fahad </w:t>
      </w:r>
      <w:r w:rsidRPr="006142E9">
        <w:rPr>
          <w:rFonts w:ascii="Arial Narrow" w:eastAsia="Times New Roman" w:hAnsi="Arial Narrow" w:cs="Times New Roman"/>
          <w:i/>
          <w:kern w:val="0"/>
          <w:sz w:val="24"/>
          <w:szCs w:val="24"/>
          <w:lang w:val="en-US"/>
        </w:rPr>
        <w:t>et al</w:t>
      </w:r>
      <w:r w:rsidRPr="00CA6EA1">
        <w:rPr>
          <w:rFonts w:ascii="Arial Narrow" w:eastAsia="Times New Roman" w:hAnsi="Arial Narrow" w:cs="Times New Roman"/>
          <w:kern w:val="0"/>
          <w:sz w:val="24"/>
          <w:szCs w:val="24"/>
          <w:lang w:val="en-US"/>
        </w:rPr>
        <w:t xml:space="preserve">., 2021). Quantifying these biochemical markers provides critical insights into the mechanisms of induced resistance. Building upon these premises, the present study was designed to evaluate the efficacy of green-synthesized nanoparticles and neem extract in modulating the biochemical defense landscape of tomato plants challenged by </w:t>
      </w:r>
      <w:r w:rsidRPr="00CA6EA1">
        <w:rPr>
          <w:rFonts w:ascii="Arial Narrow" w:eastAsia="Times New Roman" w:hAnsi="Arial Narrow" w:cs="Times New Roman"/>
          <w:i/>
          <w:iCs/>
          <w:kern w:val="0"/>
          <w:sz w:val="24"/>
          <w:szCs w:val="24"/>
          <w:lang w:val="en-US"/>
        </w:rPr>
        <w:t xml:space="preserve">P. </w:t>
      </w:r>
      <w:proofErr w:type="spellStart"/>
      <w:r w:rsidRPr="00CA6EA1">
        <w:rPr>
          <w:rFonts w:ascii="Arial Narrow" w:eastAsia="Times New Roman" w:hAnsi="Arial Narrow" w:cs="Times New Roman"/>
          <w:i/>
          <w:iCs/>
          <w:kern w:val="0"/>
          <w:sz w:val="24"/>
          <w:szCs w:val="24"/>
          <w:lang w:val="en-US"/>
        </w:rPr>
        <w:t>infestans</w:t>
      </w:r>
      <w:proofErr w:type="spellEnd"/>
      <w:r w:rsidRPr="00CA6EA1">
        <w:rPr>
          <w:rFonts w:ascii="Arial Narrow" w:eastAsia="Times New Roman" w:hAnsi="Arial Narrow" w:cs="Times New Roman"/>
          <w:kern w:val="0"/>
          <w:sz w:val="24"/>
          <w:szCs w:val="24"/>
          <w:lang w:val="en-US"/>
        </w:rPr>
        <w:t>.</w:t>
      </w:r>
    </w:p>
    <w:p w:rsidR="00371AAB" w:rsidRDefault="00371AAB" w:rsidP="006142E9">
      <w:pPr>
        <w:pStyle w:val="ListParagraph"/>
        <w:numPr>
          <w:ilvl w:val="0"/>
          <w:numId w:val="1"/>
        </w:numPr>
        <w:spacing w:before="120" w:after="120" w:line="240" w:lineRule="auto"/>
        <w:ind w:left="360"/>
        <w:contextualSpacing w:val="0"/>
        <w:jc w:val="both"/>
        <w:rPr>
          <w:rFonts w:ascii="Arial Narrow" w:hAnsi="Arial Narrow" w:cs="Times New Roman"/>
          <w:b/>
          <w:sz w:val="24"/>
          <w:szCs w:val="24"/>
        </w:rPr>
      </w:pPr>
      <w:r w:rsidRPr="009D488F">
        <w:rPr>
          <w:rFonts w:ascii="Arial Narrow" w:hAnsi="Arial Narrow" w:cs="Times New Roman"/>
          <w:b/>
          <w:sz w:val="24"/>
          <w:szCs w:val="24"/>
        </w:rPr>
        <w:t>Materials and Methods</w:t>
      </w:r>
    </w:p>
    <w:p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lastRenderedPageBreak/>
        <w:t xml:space="preserve">The field experiment was conducted during the </w:t>
      </w:r>
      <w:r w:rsidRPr="006142E9">
        <w:rPr>
          <w:rFonts w:ascii="Arial Narrow" w:eastAsia="Times New Roman" w:hAnsi="Arial Narrow" w:cs="Times New Roman"/>
          <w:bCs/>
          <w:i/>
          <w:kern w:val="0"/>
          <w:sz w:val="24"/>
          <w:szCs w:val="24"/>
          <w:lang w:val="en-US"/>
        </w:rPr>
        <w:t>Rabi</w:t>
      </w:r>
      <w:r w:rsidRPr="006142E9">
        <w:rPr>
          <w:rFonts w:ascii="Arial Narrow" w:eastAsia="Times New Roman" w:hAnsi="Arial Narrow" w:cs="Times New Roman"/>
          <w:bCs/>
          <w:kern w:val="0"/>
          <w:sz w:val="24"/>
          <w:szCs w:val="24"/>
          <w:lang w:val="en-US"/>
        </w:rPr>
        <w:t xml:space="preserve"> season of 2023–24</w:t>
      </w:r>
      <w:r w:rsidRPr="006142E9">
        <w:rPr>
          <w:rFonts w:ascii="Arial Narrow" w:eastAsia="Times New Roman" w:hAnsi="Arial Narrow" w:cs="Times New Roman"/>
          <w:kern w:val="0"/>
          <w:sz w:val="24"/>
          <w:szCs w:val="24"/>
          <w:lang w:val="en-US"/>
        </w:rPr>
        <w:t xml:space="preserve"> at the Student Instructional Farm of Chandra Shekhar Azad University of Agriculture and Technology, Kanpur, India. The trial was established under natural field conditions to evaluate the efficacy of various treatments against late blight. To ensure statistical validity and account for soil heterogeneity, the experiment followed a </w:t>
      </w:r>
      <w:r w:rsidRPr="006142E9">
        <w:rPr>
          <w:rFonts w:ascii="Arial Narrow" w:eastAsia="Times New Roman" w:hAnsi="Arial Narrow" w:cs="Times New Roman"/>
          <w:bCs/>
          <w:kern w:val="0"/>
          <w:sz w:val="24"/>
          <w:szCs w:val="24"/>
          <w:lang w:val="en-US"/>
        </w:rPr>
        <w:t>Randomized Block Design (RBD)</w:t>
      </w:r>
      <w:r w:rsidRPr="006142E9">
        <w:rPr>
          <w:rFonts w:ascii="Arial Narrow" w:eastAsia="Times New Roman" w:hAnsi="Arial Narrow" w:cs="Times New Roman"/>
          <w:kern w:val="0"/>
          <w:sz w:val="24"/>
          <w:szCs w:val="24"/>
          <w:lang w:val="en-US"/>
        </w:rPr>
        <w:t>, with each treatment replicated three times across the experimental plots.</w:t>
      </w:r>
    </w:p>
    <w:p w:rsidR="006142E9" w:rsidRPr="006142E9" w:rsidRDefault="006142E9" w:rsidP="006142E9">
      <w:pPr>
        <w:spacing w:before="120" w:after="120" w:line="240" w:lineRule="auto"/>
        <w:jc w:val="both"/>
        <w:outlineLvl w:val="3"/>
        <w:rPr>
          <w:rFonts w:ascii="Arial Narrow" w:eastAsia="Times New Roman" w:hAnsi="Arial Narrow" w:cs="Times New Roman"/>
          <w:b/>
          <w:bCs/>
          <w:kern w:val="0"/>
          <w:sz w:val="24"/>
          <w:szCs w:val="24"/>
          <w:lang w:val="en-US"/>
        </w:rPr>
      </w:pPr>
      <w:r w:rsidRPr="006142E9">
        <w:rPr>
          <w:rFonts w:ascii="Arial Narrow" w:eastAsia="Times New Roman" w:hAnsi="Arial Narrow" w:cs="Times New Roman"/>
          <w:b/>
          <w:bCs/>
          <w:kern w:val="0"/>
          <w:sz w:val="24"/>
          <w:szCs w:val="24"/>
          <w:lang w:val="en-US"/>
        </w:rPr>
        <w:t>2.1 Seed Procurement and Cultivar Characteristics</w:t>
      </w:r>
    </w:p>
    <w:p w:rsidR="006142E9" w:rsidRPr="006142E9" w:rsidRDefault="006142E9" w:rsidP="006142E9">
      <w:pPr>
        <w:spacing w:before="120" w:after="120" w:line="240" w:lineRule="auto"/>
        <w:jc w:val="both"/>
        <w:rPr>
          <w:rFonts w:ascii="Arial Narrow" w:eastAsia="Times New Roman" w:hAnsi="Arial Narrow" w:cs="Times New Roman"/>
          <w:kern w:val="0"/>
          <w:sz w:val="24"/>
          <w:szCs w:val="24"/>
          <w:lang w:val="en-US"/>
        </w:rPr>
      </w:pPr>
      <w:r w:rsidRPr="006142E9">
        <w:rPr>
          <w:rFonts w:ascii="Arial Narrow" w:eastAsia="Times New Roman" w:hAnsi="Arial Narrow" w:cs="Times New Roman"/>
          <w:kern w:val="0"/>
          <w:sz w:val="24"/>
          <w:szCs w:val="24"/>
          <w:lang w:val="en-US"/>
        </w:rPr>
        <w:t xml:space="preserve">The tomato cultivar </w:t>
      </w:r>
      <w:r w:rsidRPr="006142E9">
        <w:rPr>
          <w:rFonts w:ascii="Arial Narrow" w:eastAsia="Times New Roman" w:hAnsi="Arial Narrow" w:cs="Times New Roman"/>
          <w:bCs/>
          <w:kern w:val="0"/>
          <w:sz w:val="24"/>
          <w:szCs w:val="24"/>
          <w:lang w:val="en-US"/>
        </w:rPr>
        <w:t>'Azad T-6'</w:t>
      </w:r>
      <w:r w:rsidRPr="006142E9">
        <w:rPr>
          <w:rFonts w:ascii="Arial Narrow" w:eastAsia="Times New Roman" w:hAnsi="Arial Narrow" w:cs="Times New Roman"/>
          <w:kern w:val="0"/>
          <w:sz w:val="24"/>
          <w:szCs w:val="24"/>
          <w:lang w:val="en-US"/>
        </w:rPr>
        <w:t xml:space="preserve"> was selected for this study due to its high commercial value and widespread adoption by the farming community in the Kanpur region. However, this variety is characterized by its high susceptibility to late blight (</w:t>
      </w:r>
      <w:r w:rsidRPr="006142E9">
        <w:rPr>
          <w:rFonts w:ascii="Arial Narrow" w:eastAsia="Times New Roman" w:hAnsi="Arial Narrow" w:cs="Times New Roman"/>
          <w:i/>
          <w:iCs/>
          <w:kern w:val="0"/>
          <w:sz w:val="24"/>
          <w:szCs w:val="24"/>
          <w:lang w:val="en-US"/>
        </w:rPr>
        <w:t xml:space="preserve">Phytophthora </w:t>
      </w:r>
      <w:proofErr w:type="spellStart"/>
      <w:r w:rsidRPr="006142E9">
        <w:rPr>
          <w:rFonts w:ascii="Arial Narrow" w:eastAsia="Times New Roman" w:hAnsi="Arial Narrow" w:cs="Times New Roman"/>
          <w:i/>
          <w:iCs/>
          <w:kern w:val="0"/>
          <w:sz w:val="24"/>
          <w:szCs w:val="24"/>
          <w:lang w:val="en-US"/>
        </w:rPr>
        <w:t>infestans</w:t>
      </w:r>
      <w:proofErr w:type="spellEnd"/>
      <w:r w:rsidRPr="006142E9">
        <w:rPr>
          <w:rFonts w:ascii="Arial Narrow" w:eastAsia="Times New Roman" w:hAnsi="Arial Narrow" w:cs="Times New Roman"/>
          <w:kern w:val="0"/>
          <w:sz w:val="24"/>
          <w:szCs w:val="24"/>
          <w:lang w:val="en-US"/>
        </w:rPr>
        <w:t xml:space="preserve">), making it an appropriate model for studying induced resistance and disease management. Authenticated, high-quality seeds were procured from the </w:t>
      </w:r>
      <w:r w:rsidRPr="006142E9">
        <w:rPr>
          <w:rFonts w:ascii="Arial Narrow" w:eastAsia="Times New Roman" w:hAnsi="Arial Narrow" w:cs="Times New Roman"/>
          <w:bCs/>
          <w:kern w:val="0"/>
          <w:sz w:val="24"/>
          <w:szCs w:val="24"/>
          <w:lang w:val="en-US"/>
        </w:rPr>
        <w:t>Vegetable Research Farm</w:t>
      </w:r>
      <w:r w:rsidRPr="006142E9">
        <w:rPr>
          <w:rFonts w:ascii="Arial Narrow" w:eastAsia="Times New Roman" w:hAnsi="Arial Narrow" w:cs="Times New Roman"/>
          <w:kern w:val="0"/>
          <w:sz w:val="24"/>
          <w:szCs w:val="24"/>
          <w:lang w:val="en-US"/>
        </w:rPr>
        <w:t xml:space="preserve"> at the C. S. Azad University of Agriculture &amp; Technology, </w:t>
      </w:r>
      <w:proofErr w:type="spellStart"/>
      <w:r w:rsidRPr="006142E9">
        <w:rPr>
          <w:rFonts w:ascii="Arial Narrow" w:eastAsia="Times New Roman" w:hAnsi="Arial Narrow" w:cs="Times New Roman"/>
          <w:kern w:val="0"/>
          <w:sz w:val="24"/>
          <w:szCs w:val="24"/>
          <w:lang w:val="en-US"/>
        </w:rPr>
        <w:t>Kalyanpur</w:t>
      </w:r>
      <w:proofErr w:type="spellEnd"/>
      <w:r w:rsidRPr="006142E9">
        <w:rPr>
          <w:rFonts w:ascii="Arial Narrow" w:eastAsia="Times New Roman" w:hAnsi="Arial Narrow" w:cs="Times New Roman"/>
          <w:kern w:val="0"/>
          <w:sz w:val="24"/>
          <w:szCs w:val="24"/>
          <w:lang w:val="en-US"/>
        </w:rPr>
        <w:t>, Kanpur.</w:t>
      </w:r>
      <w:r w:rsidR="005C1BA3">
        <w:rPr>
          <w:rFonts w:ascii="Arial Narrow" w:eastAsia="Times New Roman" w:hAnsi="Arial Narrow" w:cs="Times New Roman"/>
          <w:kern w:val="0"/>
          <w:sz w:val="24"/>
          <w:szCs w:val="24"/>
          <w:lang w:val="en-US"/>
        </w:rPr>
        <w:t xml:space="preserve"> </w:t>
      </w:r>
      <w:r w:rsidR="005C1BA3" w:rsidRPr="005C1BA3">
        <w:rPr>
          <w:rFonts w:ascii="Arial Narrow" w:eastAsia="Times New Roman" w:hAnsi="Arial Narrow" w:cs="Times New Roman"/>
          <w:kern w:val="0"/>
          <w:sz w:val="24"/>
          <w:szCs w:val="24"/>
          <w:lang w:val="en-US"/>
        </w:rPr>
        <w:t>Each treatment consisted of 20 seedlings for inoculation. Foliar spraying was performed</w:t>
      </w:r>
      <w:r w:rsidR="005C1BA3">
        <w:rPr>
          <w:rFonts w:ascii="Arial Narrow" w:eastAsia="Times New Roman" w:hAnsi="Arial Narrow" w:cs="Times New Roman"/>
          <w:kern w:val="0"/>
          <w:sz w:val="24"/>
          <w:szCs w:val="24"/>
          <w:lang w:val="en-US"/>
        </w:rPr>
        <w:t xml:space="preserve"> two times at 30-day intervals </w:t>
      </w:r>
      <w:r w:rsidR="005C1BA3" w:rsidRPr="005C1BA3">
        <w:rPr>
          <w:rFonts w:ascii="Arial Narrow" w:eastAsia="Times New Roman" w:hAnsi="Arial Narrow" w:cs="Times New Roman"/>
          <w:kern w:val="0"/>
          <w:sz w:val="24"/>
          <w:szCs w:val="24"/>
          <w:lang w:val="en-US"/>
        </w:rPr>
        <w:t>and the applications were carried out in the morning hours to maximize efficacy and minimize environmental stress on the plants.</w:t>
      </w:r>
    </w:p>
    <w:p w:rsidR="00371AAB" w:rsidRPr="009D488F" w:rsidRDefault="003D15F1" w:rsidP="009B05F6">
      <w:pPr>
        <w:spacing w:line="276" w:lineRule="auto"/>
        <w:jc w:val="both"/>
        <w:rPr>
          <w:rFonts w:ascii="Arial Narrow" w:hAnsi="Arial Narrow" w:cs="Times New Roman"/>
          <w:sz w:val="24"/>
          <w:szCs w:val="24"/>
        </w:rPr>
      </w:pPr>
      <w:r>
        <w:rPr>
          <w:rFonts w:ascii="Arial Narrow" w:hAnsi="Arial Narrow" w:cs="Times New Roman"/>
          <w:b/>
          <w:sz w:val="24"/>
          <w:szCs w:val="24"/>
        </w:rPr>
        <w:t xml:space="preserve">List </w:t>
      </w:r>
      <w:proofErr w:type="gramStart"/>
      <w:r>
        <w:rPr>
          <w:rFonts w:ascii="Arial Narrow" w:hAnsi="Arial Narrow" w:cs="Times New Roman"/>
          <w:b/>
          <w:sz w:val="24"/>
          <w:szCs w:val="24"/>
        </w:rPr>
        <w:t>1 :</w:t>
      </w:r>
      <w:r w:rsidR="00371AAB" w:rsidRPr="009D488F">
        <w:rPr>
          <w:rFonts w:ascii="Arial Narrow" w:hAnsi="Arial Narrow" w:cs="Times New Roman"/>
          <w:b/>
          <w:sz w:val="24"/>
          <w:szCs w:val="24"/>
        </w:rPr>
        <w:t>Treatment</w:t>
      </w:r>
      <w:proofErr w:type="gramEnd"/>
      <w:r w:rsidR="00371AAB" w:rsidRPr="009D488F">
        <w:rPr>
          <w:rFonts w:ascii="Arial Narrow" w:hAnsi="Arial Narrow" w:cs="Times New Roman"/>
          <w:b/>
          <w:sz w:val="24"/>
          <w:szCs w:val="24"/>
        </w:rPr>
        <w:t xml:space="preserve"> Details: </w:t>
      </w:r>
      <w:r w:rsidR="00371AAB" w:rsidRPr="009D488F">
        <w:rPr>
          <w:rFonts w:ascii="Arial Narrow" w:hAnsi="Arial Narrow" w:cs="Times New Roman"/>
          <w:sz w:val="24"/>
          <w:szCs w:val="24"/>
        </w:rPr>
        <w:t>The treatments included in the study were</w:t>
      </w:r>
    </w:p>
    <w:tbl>
      <w:tblPr>
        <w:tblStyle w:val="TableGrid"/>
        <w:tblW w:w="9073" w:type="dxa"/>
        <w:tblInd w:w="250" w:type="dxa"/>
        <w:tblLayout w:type="fixed"/>
        <w:tblLook w:val="04A0" w:firstRow="1" w:lastRow="0" w:firstColumn="1" w:lastColumn="0" w:noHBand="0" w:noVBand="1"/>
      </w:tblPr>
      <w:tblGrid>
        <w:gridCol w:w="1158"/>
        <w:gridCol w:w="5757"/>
        <w:gridCol w:w="2158"/>
      </w:tblGrid>
      <w:tr w:rsidR="00371AAB" w:rsidRPr="009D488F" w:rsidTr="00C841A8">
        <w:trPr>
          <w:trHeight w:val="231"/>
        </w:trPr>
        <w:tc>
          <w:tcPr>
            <w:tcW w:w="1158" w:type="dxa"/>
            <w:vAlign w:val="center"/>
          </w:tcPr>
          <w:p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Sr. No.</w:t>
            </w:r>
          </w:p>
        </w:tc>
        <w:tc>
          <w:tcPr>
            <w:tcW w:w="5757" w:type="dxa"/>
            <w:vAlign w:val="center"/>
          </w:tcPr>
          <w:p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Treatments</w:t>
            </w:r>
          </w:p>
        </w:tc>
        <w:tc>
          <w:tcPr>
            <w:tcW w:w="2158" w:type="dxa"/>
            <w:vAlign w:val="center"/>
          </w:tcPr>
          <w:p w:rsidR="00371AAB" w:rsidRPr="009D488F" w:rsidRDefault="00371AAB" w:rsidP="009B05F6">
            <w:pPr>
              <w:pStyle w:val="ListParagraph"/>
              <w:spacing w:line="276" w:lineRule="auto"/>
              <w:ind w:left="0"/>
              <w:jc w:val="center"/>
              <w:rPr>
                <w:rFonts w:ascii="Arial Narrow" w:hAnsi="Arial Narrow" w:cs="Times New Roman"/>
                <w:b/>
                <w:sz w:val="24"/>
                <w:szCs w:val="24"/>
                <w:lang w:bidi="en-US"/>
              </w:rPr>
            </w:pPr>
            <w:r w:rsidRPr="009D488F">
              <w:rPr>
                <w:rFonts w:ascii="Arial Narrow" w:hAnsi="Arial Narrow" w:cs="Times New Roman"/>
                <w:b/>
                <w:sz w:val="24"/>
                <w:szCs w:val="24"/>
                <w:lang w:bidi="en-US"/>
              </w:rPr>
              <w:t>Concentration</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AgNP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 ppm</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w:t>
            </w:r>
            <w:proofErr w:type="spellStart"/>
            <w:r w:rsidRPr="009D488F">
              <w:rPr>
                <w:rFonts w:ascii="Arial Narrow" w:hAnsi="Arial Narrow" w:cs="Times New Roman"/>
                <w:sz w:val="24"/>
                <w:szCs w:val="24"/>
                <w:lang w:bidi="en-US"/>
              </w:rPr>
              <w:t>CuNP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 ppm</w:t>
            </w:r>
          </w:p>
        </w:tc>
      </w:tr>
      <w:tr w:rsidR="00371AAB" w:rsidRPr="009D488F" w:rsidTr="00C841A8">
        <w:trPr>
          <w:trHeight w:val="89"/>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t>
            </w:r>
            <w:proofErr w:type="spellStart"/>
            <w:r w:rsidRPr="009D488F">
              <w:rPr>
                <w:rFonts w:ascii="Arial Narrow" w:hAnsi="Arial Narrow" w:cs="Times New Roman"/>
                <w:sz w:val="24"/>
                <w:szCs w:val="24"/>
                <w:lang w:bidi="en-US"/>
              </w:rPr>
              <w:t>CuNP</w:t>
            </w:r>
            <w:proofErr w:type="spellEnd"/>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100 ppm</w:t>
            </w:r>
          </w:p>
        </w:tc>
      </w:tr>
      <w:tr w:rsidR="00371AAB" w:rsidRPr="009D488F" w:rsidTr="00C841A8">
        <w:trPr>
          <w:trHeight w:val="241"/>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250 ppm</w:t>
            </w:r>
          </w:p>
        </w:tc>
      </w:tr>
      <w:tr w:rsidR="00371AAB" w:rsidRPr="009D488F" w:rsidTr="00C841A8">
        <w:trPr>
          <w:trHeight w:val="245"/>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500 ppm</w:t>
            </w:r>
          </w:p>
        </w:tc>
      </w:tr>
      <w:tr w:rsidR="00371AAB" w:rsidRPr="009D488F" w:rsidTr="00C841A8">
        <w:trPr>
          <w:trHeight w:val="227"/>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 xml:space="preserve">Seedling treatment and foliar spray with Neem extract </w:t>
            </w:r>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750 ppm</w:t>
            </w:r>
          </w:p>
        </w:tc>
      </w:tr>
      <w:tr w:rsidR="00371AAB" w:rsidRPr="009D488F" w:rsidTr="00C841A8">
        <w:trPr>
          <w:trHeight w:val="262"/>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Foliar spray with Mancozeb fungicide</w:t>
            </w:r>
          </w:p>
        </w:tc>
        <w:tc>
          <w:tcPr>
            <w:tcW w:w="2158" w:type="dxa"/>
          </w:tcPr>
          <w:p w:rsidR="00371AAB" w:rsidRPr="009D488F" w:rsidRDefault="00371AAB" w:rsidP="009B05F6">
            <w:pPr>
              <w:pStyle w:val="ListParagraph"/>
              <w:spacing w:line="276" w:lineRule="auto"/>
              <w:ind w:left="0"/>
              <w:jc w:val="center"/>
              <w:rPr>
                <w:rFonts w:ascii="Arial Narrow" w:hAnsi="Arial Narrow" w:cs="Times New Roman"/>
                <w:sz w:val="24"/>
                <w:szCs w:val="24"/>
                <w:lang w:bidi="en-US"/>
              </w:rPr>
            </w:pPr>
            <w:r w:rsidRPr="009D488F">
              <w:rPr>
                <w:rFonts w:ascii="Arial Narrow" w:hAnsi="Arial Narrow" w:cs="Times New Roman"/>
                <w:sz w:val="24"/>
                <w:szCs w:val="24"/>
                <w:lang w:bidi="en-US"/>
              </w:rPr>
              <w:t>2000 ppm</w:t>
            </w:r>
          </w:p>
        </w:tc>
      </w:tr>
      <w:tr w:rsidR="00371AAB" w:rsidRPr="009D488F" w:rsidTr="00C841A8">
        <w:trPr>
          <w:trHeight w:val="257"/>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(Healthy)</w:t>
            </w:r>
          </w:p>
        </w:tc>
        <w:tc>
          <w:tcPr>
            <w:tcW w:w="2158"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r w:rsidR="00371AAB" w:rsidRPr="009D488F" w:rsidTr="00C841A8">
        <w:trPr>
          <w:trHeight w:val="257"/>
        </w:trPr>
        <w:tc>
          <w:tcPr>
            <w:tcW w:w="1158" w:type="dxa"/>
          </w:tcPr>
          <w:p w:rsidR="00371AAB" w:rsidRPr="009D488F" w:rsidRDefault="00371AAB" w:rsidP="009B05F6">
            <w:pPr>
              <w:pStyle w:val="ListParagraph"/>
              <w:spacing w:line="276" w:lineRule="auto"/>
              <w:ind w:left="0"/>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5757"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r w:rsidRPr="009D488F">
              <w:rPr>
                <w:rFonts w:ascii="Arial Narrow" w:hAnsi="Arial Narrow" w:cs="Times New Roman"/>
                <w:sz w:val="24"/>
                <w:szCs w:val="24"/>
                <w:lang w:bidi="en-US"/>
              </w:rPr>
              <w:t>Control (Infected)</w:t>
            </w:r>
          </w:p>
        </w:tc>
        <w:tc>
          <w:tcPr>
            <w:tcW w:w="2158" w:type="dxa"/>
          </w:tcPr>
          <w:p w:rsidR="00371AAB" w:rsidRPr="009D488F" w:rsidRDefault="00371AAB" w:rsidP="009B05F6">
            <w:pPr>
              <w:pStyle w:val="ListParagraph"/>
              <w:spacing w:line="276" w:lineRule="auto"/>
              <w:ind w:left="0"/>
              <w:jc w:val="both"/>
              <w:rPr>
                <w:rFonts w:ascii="Arial Narrow" w:hAnsi="Arial Narrow" w:cs="Times New Roman"/>
                <w:sz w:val="24"/>
                <w:szCs w:val="24"/>
                <w:lang w:bidi="en-US"/>
              </w:rPr>
            </w:pPr>
          </w:p>
        </w:tc>
      </w:tr>
    </w:tbl>
    <w:p w:rsidR="00047558" w:rsidRPr="006142E9" w:rsidRDefault="00047558" w:rsidP="00047558">
      <w:pPr>
        <w:pStyle w:val="Heading3"/>
        <w:widowControl w:val="0"/>
        <w:spacing w:before="120" w:beforeAutospacing="0" w:after="120" w:afterAutospacing="0"/>
        <w:jc w:val="both"/>
        <w:rPr>
          <w:rFonts w:ascii="Arial Narrow" w:hAnsi="Arial Narrow"/>
          <w:sz w:val="24"/>
          <w:szCs w:val="24"/>
        </w:rPr>
      </w:pPr>
      <w:r w:rsidRPr="006142E9">
        <w:rPr>
          <w:rFonts w:ascii="Arial Narrow" w:hAnsi="Arial Narrow"/>
          <w:sz w:val="24"/>
          <w:szCs w:val="24"/>
        </w:rPr>
        <w:t>2.3 Biochemical Analysis</w:t>
      </w:r>
    </w:p>
    <w:p w:rsidR="00047558" w:rsidRPr="006142E9" w:rsidRDefault="00047558" w:rsidP="00047558">
      <w:pPr>
        <w:pStyle w:val="NormalWeb"/>
        <w:widowControl w:val="0"/>
        <w:spacing w:before="120" w:beforeAutospacing="0" w:after="120" w:afterAutospacing="0"/>
        <w:jc w:val="both"/>
        <w:rPr>
          <w:rFonts w:ascii="Arial Narrow" w:hAnsi="Arial Narrow"/>
        </w:rPr>
      </w:pPr>
      <w:r w:rsidRPr="006142E9">
        <w:rPr>
          <w:rFonts w:ascii="Arial Narrow" w:hAnsi="Arial Narrow"/>
        </w:rPr>
        <w:t xml:space="preserve">To evaluate the induction of systemic resistance, leaf samples were systematically harvested at </w:t>
      </w:r>
      <w:r w:rsidRPr="006142E9">
        <w:rPr>
          <w:rFonts w:ascii="Arial Narrow" w:hAnsi="Arial Narrow"/>
          <w:bCs/>
        </w:rPr>
        <w:t>2, 5, 8, and 11 days after inoculation (DAI)</w:t>
      </w:r>
      <w:r w:rsidRPr="006142E9">
        <w:rPr>
          <w:rFonts w:ascii="Arial Narrow" w:hAnsi="Arial Narrow"/>
        </w:rPr>
        <w:t xml:space="preserve">. </w:t>
      </w:r>
      <w:r w:rsidR="007B2521" w:rsidRPr="0060186C">
        <w:rPr>
          <w:rFonts w:ascii="Arial Narrow" w:hAnsi="Arial Narrow"/>
        </w:rPr>
        <w:t>Leaves fr</w:t>
      </w:r>
      <w:r w:rsidR="007B2521">
        <w:rPr>
          <w:rFonts w:ascii="Arial Narrow" w:hAnsi="Arial Narrow"/>
        </w:rPr>
        <w:t>om the lower nodes (3</w:t>
      </w:r>
      <w:r w:rsidR="007B2521">
        <w:rPr>
          <w:rFonts w:ascii="Arial Narrow" w:hAnsi="Arial Narrow"/>
          <w:vertAlign w:val="superscript"/>
        </w:rPr>
        <w:t>rd</w:t>
      </w:r>
      <w:r w:rsidR="007B2521">
        <w:rPr>
          <w:rFonts w:ascii="Arial Narrow" w:hAnsi="Arial Narrow"/>
        </w:rPr>
        <w:t xml:space="preserve"> to 6</w:t>
      </w:r>
      <w:r w:rsidR="007B2521">
        <w:rPr>
          <w:rFonts w:ascii="Arial Narrow" w:hAnsi="Arial Narrow"/>
          <w:vertAlign w:val="superscript"/>
        </w:rPr>
        <w:t>th</w:t>
      </w:r>
      <w:r w:rsidR="007B2521" w:rsidRPr="0060186C">
        <w:rPr>
          <w:rFonts w:ascii="Arial Narrow" w:hAnsi="Arial Narrow"/>
        </w:rPr>
        <w:t xml:space="preserve"> nodes) were collected in the morning then washed, dried on blotting paper and stored in a deep freezer until used for biochemical estimations.</w:t>
      </w:r>
      <w:r w:rsidR="007B2521">
        <w:rPr>
          <w:rFonts w:ascii="Arial Narrow" w:hAnsi="Arial Narrow"/>
        </w:rPr>
        <w:t xml:space="preserve"> </w:t>
      </w:r>
      <w:r w:rsidRPr="006142E9">
        <w:rPr>
          <w:rFonts w:ascii="Arial Narrow" w:hAnsi="Arial Narrow"/>
        </w:rPr>
        <w:t>The harvested tissues were immediately processed to quantify the following biochemical defense markers:</w:t>
      </w:r>
    </w:p>
    <w:p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2.3.1 Total Soluble Protein:</w:t>
      </w:r>
      <w:r w:rsidRPr="006142E9">
        <w:rPr>
          <w:rFonts w:ascii="Arial Narrow" w:hAnsi="Arial Narrow"/>
        </w:rPr>
        <w:t xml:space="preserve"> The concentration of total soluble proteins was determined using the </w:t>
      </w:r>
      <w:r w:rsidRPr="006142E9">
        <w:rPr>
          <w:rFonts w:ascii="Arial Narrow" w:hAnsi="Arial Narrow"/>
          <w:bCs/>
        </w:rPr>
        <w:t>Lowry method</w:t>
      </w:r>
      <w:r w:rsidRPr="006142E9">
        <w:rPr>
          <w:rFonts w:ascii="Arial Narrow" w:hAnsi="Arial Narrow"/>
        </w:rPr>
        <w:t xml:space="preserve"> (Lowry </w:t>
      </w:r>
      <w:r w:rsidRPr="007B2521">
        <w:rPr>
          <w:rFonts w:ascii="Arial Narrow" w:hAnsi="Arial Narrow"/>
          <w:i/>
        </w:rPr>
        <w:t>et al.,</w:t>
      </w:r>
      <w:r w:rsidRPr="006142E9">
        <w:rPr>
          <w:rFonts w:ascii="Arial Narrow" w:hAnsi="Arial Narrow"/>
        </w:rPr>
        <w:t xml:space="preserve"> 1951). Protein fractions were quantified by measuring absorbance at </w:t>
      </w:r>
      <w:r w:rsidRPr="006142E9">
        <w:rPr>
          <w:rFonts w:ascii="Arial Narrow" w:hAnsi="Arial Narrow"/>
          <w:b/>
          <w:bCs/>
        </w:rPr>
        <w:t>660 nm</w:t>
      </w:r>
      <w:r w:rsidRPr="006142E9">
        <w:rPr>
          <w:rFonts w:ascii="Arial Narrow" w:hAnsi="Arial Narrow"/>
        </w:rPr>
        <w:t xml:space="preserve"> using a double-beam UV-visible spectrophotometer.</w:t>
      </w:r>
    </w:p>
    <w:p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2.3.2 Total Phenolic Content:</w:t>
      </w:r>
      <w:r w:rsidRPr="006142E9">
        <w:rPr>
          <w:rFonts w:ascii="Arial Narrow" w:hAnsi="Arial Narrow"/>
        </w:rPr>
        <w:t xml:space="preserve"> The estimation of total phenols was conducted following the colorimetric procedure described by </w:t>
      </w:r>
      <w:r w:rsidRPr="006142E9">
        <w:rPr>
          <w:rFonts w:ascii="Arial Narrow" w:hAnsi="Arial Narrow"/>
          <w:b/>
          <w:bCs/>
        </w:rPr>
        <w:t>Bray and Thorpe (1954)</w:t>
      </w:r>
      <w:r w:rsidRPr="006142E9">
        <w:rPr>
          <w:rFonts w:ascii="Arial Narrow" w:hAnsi="Arial Narrow"/>
        </w:rPr>
        <w:t xml:space="preserve">, utilizing </w:t>
      </w:r>
      <w:proofErr w:type="spellStart"/>
      <w:r w:rsidRPr="006142E9">
        <w:rPr>
          <w:rFonts w:ascii="Arial Narrow" w:hAnsi="Arial Narrow"/>
        </w:rPr>
        <w:t>Folin-Ciocalteu</w:t>
      </w:r>
      <w:proofErr w:type="spellEnd"/>
      <w:r w:rsidRPr="006142E9">
        <w:rPr>
          <w:rFonts w:ascii="Arial Narrow" w:hAnsi="Arial Narrow"/>
        </w:rPr>
        <w:t xml:space="preserve"> reagent to detect aromatic compounds associated with host defense.</w:t>
      </w:r>
    </w:p>
    <w:p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2.3.3 Salicylic Acid Content:</w:t>
      </w:r>
      <w:r w:rsidRPr="006142E9">
        <w:rPr>
          <w:rFonts w:ascii="Arial Narrow" w:hAnsi="Arial Narrow"/>
        </w:rPr>
        <w:t xml:space="preserve"> Salicylic acid (SA) levels were extracted and analyzed spectrophotometrically. The SA concentration was determined calorimetrically by measuring the absorbance at </w:t>
      </w:r>
      <w:r w:rsidRPr="006142E9">
        <w:rPr>
          <w:rFonts w:ascii="Arial Narrow" w:hAnsi="Arial Narrow"/>
          <w:b/>
          <w:bCs/>
        </w:rPr>
        <w:t>380 nm</w:t>
      </w:r>
      <w:r w:rsidRPr="006142E9">
        <w:rPr>
          <w:rFonts w:ascii="Arial Narrow" w:hAnsi="Arial Narrow"/>
        </w:rPr>
        <w:t xml:space="preserve">, in accordance with the protocols established by </w:t>
      </w:r>
      <w:proofErr w:type="spellStart"/>
      <w:r w:rsidRPr="009234DA">
        <w:rPr>
          <w:rFonts w:ascii="Arial Narrow" w:hAnsi="Arial Narrow"/>
          <w:bCs/>
        </w:rPr>
        <w:t>Raskin</w:t>
      </w:r>
      <w:proofErr w:type="spellEnd"/>
      <w:r w:rsidRPr="009234DA">
        <w:rPr>
          <w:rFonts w:ascii="Arial Narrow" w:hAnsi="Arial Narrow"/>
          <w:bCs/>
        </w:rPr>
        <w:t xml:space="preserve"> </w:t>
      </w:r>
      <w:r w:rsidRPr="007B2521">
        <w:rPr>
          <w:rFonts w:ascii="Arial Narrow" w:hAnsi="Arial Narrow"/>
          <w:bCs/>
          <w:i/>
        </w:rPr>
        <w:t>et al.</w:t>
      </w:r>
      <w:r w:rsidRPr="009234DA">
        <w:rPr>
          <w:rFonts w:ascii="Arial Narrow" w:hAnsi="Arial Narrow"/>
          <w:bCs/>
        </w:rPr>
        <w:t xml:space="preserve"> (1989</w:t>
      </w:r>
      <w:r w:rsidRPr="006142E9">
        <w:rPr>
          <w:rFonts w:ascii="Arial Narrow" w:hAnsi="Arial Narrow"/>
          <w:b/>
          <w:bCs/>
        </w:rPr>
        <w:t>)</w:t>
      </w:r>
      <w:r w:rsidRPr="006142E9">
        <w:rPr>
          <w:rFonts w:ascii="Arial Narrow" w:hAnsi="Arial Narrow"/>
        </w:rPr>
        <w:t xml:space="preserve"> and </w:t>
      </w:r>
      <w:proofErr w:type="spellStart"/>
      <w:r w:rsidRPr="007B2521">
        <w:rPr>
          <w:rFonts w:ascii="Arial Narrow" w:hAnsi="Arial Narrow"/>
          <w:bCs/>
        </w:rPr>
        <w:lastRenderedPageBreak/>
        <w:t>Warrier</w:t>
      </w:r>
      <w:proofErr w:type="spellEnd"/>
      <w:r w:rsidRPr="007B2521">
        <w:rPr>
          <w:rFonts w:ascii="Arial Narrow" w:hAnsi="Arial Narrow"/>
          <w:bCs/>
        </w:rPr>
        <w:t xml:space="preserve"> </w:t>
      </w:r>
      <w:r w:rsidRPr="007B2521">
        <w:rPr>
          <w:rFonts w:ascii="Arial Narrow" w:hAnsi="Arial Narrow"/>
          <w:bCs/>
          <w:i/>
        </w:rPr>
        <w:t>et al.</w:t>
      </w:r>
      <w:r w:rsidRPr="007B2521">
        <w:rPr>
          <w:rFonts w:ascii="Arial Narrow" w:hAnsi="Arial Narrow"/>
          <w:bCs/>
        </w:rPr>
        <w:t xml:space="preserve"> (2013)</w:t>
      </w:r>
      <w:r w:rsidRPr="007B2521">
        <w:rPr>
          <w:rFonts w:ascii="Arial Narrow" w:hAnsi="Arial Narrow"/>
        </w:rPr>
        <w:t>.</w:t>
      </w:r>
    </w:p>
    <w:p w:rsidR="00047558" w:rsidRPr="006142E9" w:rsidRDefault="00047558" w:rsidP="00047558">
      <w:pPr>
        <w:pStyle w:val="NormalWeb"/>
        <w:widowControl w:val="0"/>
        <w:numPr>
          <w:ilvl w:val="0"/>
          <w:numId w:val="2"/>
        </w:numPr>
        <w:tabs>
          <w:tab w:val="clear" w:pos="720"/>
        </w:tabs>
        <w:spacing w:before="120" w:beforeAutospacing="0" w:after="120" w:afterAutospacing="0"/>
        <w:ind w:left="360"/>
        <w:jc w:val="both"/>
        <w:rPr>
          <w:rFonts w:ascii="Arial Narrow" w:hAnsi="Arial Narrow"/>
        </w:rPr>
      </w:pPr>
      <w:r w:rsidRPr="006142E9">
        <w:rPr>
          <w:rFonts w:ascii="Arial Narrow" w:hAnsi="Arial Narrow"/>
          <w:b/>
          <w:bCs/>
        </w:rPr>
        <w:t>2.3.4 Peroxidase (PO) Activity:</w:t>
      </w:r>
      <w:r w:rsidRPr="006142E9">
        <w:rPr>
          <w:rFonts w:ascii="Arial Narrow" w:hAnsi="Arial Narrow"/>
        </w:rPr>
        <w:t xml:space="preserve"> The enzymatic activity of peroxidase was assayed following the methodology of </w:t>
      </w:r>
      <w:proofErr w:type="spellStart"/>
      <w:r w:rsidRPr="009234DA">
        <w:rPr>
          <w:rFonts w:ascii="Arial Narrow" w:hAnsi="Arial Narrow"/>
          <w:bCs/>
        </w:rPr>
        <w:t>Hammerschmidt</w:t>
      </w:r>
      <w:proofErr w:type="spellEnd"/>
      <w:r w:rsidRPr="009234DA">
        <w:rPr>
          <w:rFonts w:ascii="Arial Narrow" w:hAnsi="Arial Narrow"/>
          <w:bCs/>
        </w:rPr>
        <w:t xml:space="preserve"> </w:t>
      </w:r>
      <w:r w:rsidRPr="007B2521">
        <w:rPr>
          <w:rFonts w:ascii="Arial Narrow" w:hAnsi="Arial Narrow"/>
          <w:bCs/>
          <w:i/>
        </w:rPr>
        <w:t>et al.</w:t>
      </w:r>
      <w:r w:rsidRPr="009234DA">
        <w:rPr>
          <w:rFonts w:ascii="Arial Narrow" w:hAnsi="Arial Narrow"/>
          <w:bCs/>
        </w:rPr>
        <w:t xml:space="preserve"> (1982)</w:t>
      </w:r>
      <w:r w:rsidRPr="009234DA">
        <w:rPr>
          <w:rFonts w:ascii="Arial Narrow" w:hAnsi="Arial Narrow"/>
        </w:rPr>
        <w:t>,</w:t>
      </w:r>
      <w:r w:rsidRPr="006142E9">
        <w:rPr>
          <w:rFonts w:ascii="Arial Narrow" w:hAnsi="Arial Narrow"/>
        </w:rPr>
        <w:t xml:space="preserve"> which monitors the change in absorbance resulting from the oxidation of guaiacol in the presence of hydrogen peroxide.</w:t>
      </w:r>
    </w:p>
    <w:p w:rsidR="00047558" w:rsidRDefault="00047558" w:rsidP="00047558">
      <w:pPr>
        <w:pStyle w:val="Heading3"/>
        <w:widowControl w:val="0"/>
        <w:spacing w:before="120" w:beforeAutospacing="0" w:after="120" w:afterAutospacing="0"/>
        <w:jc w:val="both"/>
        <w:rPr>
          <w:rFonts w:ascii="Arial Narrow" w:hAnsi="Arial Narrow"/>
          <w:sz w:val="24"/>
          <w:szCs w:val="24"/>
        </w:rPr>
      </w:pPr>
      <w:r w:rsidRPr="006142E9">
        <w:rPr>
          <w:rFonts w:ascii="Arial Narrow" w:hAnsi="Arial Narrow"/>
          <w:sz w:val="24"/>
          <w:szCs w:val="24"/>
        </w:rPr>
        <w:t>2.4 Statistical Analysis</w:t>
      </w:r>
    </w:p>
    <w:p w:rsidR="00047558" w:rsidRPr="009234DA" w:rsidRDefault="00047558" w:rsidP="00047558">
      <w:pPr>
        <w:widowControl w:val="0"/>
        <w:spacing w:before="120" w:after="120" w:line="240" w:lineRule="auto"/>
        <w:jc w:val="both"/>
        <w:rPr>
          <w:rFonts w:ascii="Arial Narrow" w:eastAsia="Times New Roman" w:hAnsi="Arial Narrow" w:cs="Times New Roman"/>
          <w:kern w:val="0"/>
          <w:sz w:val="24"/>
          <w:szCs w:val="24"/>
          <w:lang w:val="en-US"/>
        </w:rPr>
      </w:pPr>
      <w:r w:rsidRPr="009234DA">
        <w:rPr>
          <w:rFonts w:ascii="Arial Narrow" w:eastAsia="Times New Roman" w:hAnsi="Arial Narrow" w:cs="Times New Roman"/>
          <w:kern w:val="0"/>
          <w:sz w:val="24"/>
          <w:szCs w:val="24"/>
          <w:lang w:val="en-US"/>
        </w:rPr>
        <w:t xml:space="preserve">The experimental data were subjected to rigorous statistical evaluation using </w:t>
      </w:r>
      <w:r w:rsidRPr="009234DA">
        <w:rPr>
          <w:rFonts w:ascii="Arial Narrow" w:eastAsia="Times New Roman" w:hAnsi="Arial Narrow" w:cs="Times New Roman"/>
          <w:bCs/>
          <w:kern w:val="0"/>
          <w:sz w:val="24"/>
          <w:szCs w:val="24"/>
          <w:lang w:val="en-US"/>
        </w:rPr>
        <w:t>OPSTAT software</w:t>
      </w:r>
      <w:r w:rsidRPr="009234DA">
        <w:rPr>
          <w:rFonts w:ascii="Arial Narrow" w:eastAsia="Times New Roman" w:hAnsi="Arial Narrow" w:cs="Times New Roman"/>
          <w:kern w:val="0"/>
          <w:sz w:val="24"/>
          <w:szCs w:val="24"/>
          <w:lang w:val="en-US"/>
        </w:rPr>
        <w:t>. To ascertain the significance of the observed variations among treatments, an analysis of variance (</w:t>
      </w:r>
      <w:r w:rsidRPr="009234DA">
        <w:rPr>
          <w:rFonts w:ascii="Arial Narrow" w:eastAsia="Times New Roman" w:hAnsi="Arial Narrow" w:cs="Times New Roman"/>
          <w:bCs/>
          <w:kern w:val="0"/>
          <w:sz w:val="24"/>
          <w:szCs w:val="24"/>
          <w:lang w:val="en-US"/>
        </w:rPr>
        <w:t>ANOVA</w:t>
      </w:r>
      <w:r w:rsidRPr="009234DA">
        <w:rPr>
          <w:rFonts w:ascii="Arial Narrow" w:eastAsia="Times New Roman" w:hAnsi="Arial Narrow" w:cs="Times New Roman"/>
          <w:kern w:val="0"/>
          <w:sz w:val="24"/>
          <w:szCs w:val="24"/>
          <w:lang w:val="en-US"/>
        </w:rPr>
        <w:t xml:space="preserve">) was performed following a </w:t>
      </w:r>
      <w:r w:rsidRPr="009234DA">
        <w:rPr>
          <w:rFonts w:ascii="Arial Narrow" w:eastAsia="Times New Roman" w:hAnsi="Arial Narrow" w:cs="Times New Roman"/>
          <w:bCs/>
          <w:kern w:val="0"/>
          <w:sz w:val="24"/>
          <w:szCs w:val="24"/>
          <w:lang w:val="en-US"/>
        </w:rPr>
        <w:t>Randomized Block Design (RBD)</w:t>
      </w:r>
      <w:r w:rsidRPr="009234DA">
        <w:rPr>
          <w:rFonts w:ascii="Arial Narrow" w:eastAsia="Times New Roman" w:hAnsi="Arial Narrow" w:cs="Times New Roman"/>
          <w:kern w:val="0"/>
          <w:sz w:val="24"/>
          <w:szCs w:val="24"/>
          <w:lang w:val="en-US"/>
        </w:rPr>
        <w:t xml:space="preserve">. Mean comparisons were conducted using the </w:t>
      </w:r>
      <w:r w:rsidRPr="009234DA">
        <w:rPr>
          <w:rFonts w:ascii="Arial Narrow" w:eastAsia="Times New Roman" w:hAnsi="Arial Narrow" w:cs="Times New Roman"/>
          <w:bCs/>
          <w:kern w:val="0"/>
          <w:sz w:val="24"/>
          <w:szCs w:val="24"/>
          <w:lang w:val="en-US"/>
        </w:rPr>
        <w:t>Critical Difference (CD)</w:t>
      </w:r>
      <w:r w:rsidRPr="009234DA">
        <w:rPr>
          <w:rFonts w:ascii="Arial Narrow" w:eastAsia="Times New Roman" w:hAnsi="Arial Narrow" w:cs="Times New Roman"/>
          <w:kern w:val="0"/>
          <w:sz w:val="24"/>
          <w:szCs w:val="24"/>
          <w:lang w:val="en-US"/>
        </w:rPr>
        <w:t xml:space="preserve"> at a 5% level of significance (P = 0.05). Furthermore, the </w:t>
      </w:r>
      <w:r w:rsidRPr="009234DA">
        <w:rPr>
          <w:rFonts w:ascii="Arial Narrow" w:eastAsia="Times New Roman" w:hAnsi="Arial Narrow" w:cs="Times New Roman"/>
          <w:bCs/>
          <w:kern w:val="0"/>
          <w:sz w:val="24"/>
          <w:szCs w:val="24"/>
          <w:lang w:val="en-US"/>
        </w:rPr>
        <w:t>Standard Error of Mean (</w:t>
      </w:r>
      <w:proofErr w:type="spellStart"/>
      <w:r w:rsidRPr="009234DA">
        <w:rPr>
          <w:rFonts w:ascii="Arial Narrow" w:eastAsia="Times New Roman" w:hAnsi="Arial Narrow" w:cs="Times New Roman"/>
          <w:bCs/>
          <w:kern w:val="0"/>
          <w:sz w:val="24"/>
          <w:szCs w:val="24"/>
          <w:lang w:val="en-US"/>
        </w:rPr>
        <w:t>SEm</w:t>
      </w:r>
      <w:proofErr w:type="spellEnd"/>
      <w:r w:rsidRPr="009234DA">
        <w:rPr>
          <w:rFonts w:ascii="Arial Narrow" w:eastAsia="Times New Roman" w:hAnsi="Arial Narrow" w:cs="Times New Roman"/>
          <w:bCs/>
          <w:kern w:val="0"/>
          <w:sz w:val="24"/>
          <w:szCs w:val="24"/>
          <w:lang w:val="en-US"/>
        </w:rPr>
        <w:t>±)</w:t>
      </w:r>
      <w:r w:rsidRPr="009234DA">
        <w:rPr>
          <w:rFonts w:ascii="Arial Narrow" w:eastAsia="Times New Roman" w:hAnsi="Arial Narrow" w:cs="Times New Roman"/>
          <w:kern w:val="0"/>
          <w:sz w:val="24"/>
          <w:szCs w:val="24"/>
          <w:lang w:val="en-US"/>
        </w:rPr>
        <w:t xml:space="preserve"> and </w:t>
      </w:r>
      <w:r w:rsidRPr="009234DA">
        <w:rPr>
          <w:rFonts w:ascii="Arial Narrow" w:eastAsia="Times New Roman" w:hAnsi="Arial Narrow" w:cs="Times New Roman"/>
          <w:bCs/>
          <w:kern w:val="0"/>
          <w:sz w:val="24"/>
          <w:szCs w:val="24"/>
          <w:lang w:val="en-US"/>
        </w:rPr>
        <w:t>Coefficient of Variation (CV)</w:t>
      </w:r>
      <w:r w:rsidRPr="009234DA">
        <w:rPr>
          <w:rFonts w:ascii="Arial Narrow" w:eastAsia="Times New Roman" w:hAnsi="Arial Narrow" w:cs="Times New Roman"/>
          <w:kern w:val="0"/>
          <w:sz w:val="24"/>
          <w:szCs w:val="24"/>
          <w:lang w:val="en-US"/>
        </w:rPr>
        <w:t xml:space="preserve"> were computed to validate the precision, consistency, and overall reliability of the experimental results.</w:t>
      </w:r>
    </w:p>
    <w:p w:rsidR="00047558" w:rsidRDefault="00047558" w:rsidP="00047558">
      <w:pPr>
        <w:spacing w:before="120" w:after="120" w:line="240" w:lineRule="auto"/>
        <w:jc w:val="both"/>
        <w:rPr>
          <w:rFonts w:ascii="Arial Narrow" w:hAnsi="Arial Narrow" w:cs="Times New Roman"/>
          <w:b/>
          <w:sz w:val="24"/>
          <w:szCs w:val="24"/>
        </w:rPr>
      </w:pPr>
      <w:r w:rsidRPr="009D488F">
        <w:rPr>
          <w:rFonts w:ascii="Arial Narrow" w:hAnsi="Arial Narrow" w:cs="Times New Roman"/>
          <w:b/>
          <w:sz w:val="24"/>
          <w:szCs w:val="24"/>
        </w:rPr>
        <w:t>3. Results and Discussion</w:t>
      </w:r>
    </w:p>
    <w:p w:rsidR="00047558" w:rsidRPr="00047558" w:rsidRDefault="00047558" w:rsidP="00047558">
      <w:pPr>
        <w:pStyle w:val="Heading3"/>
        <w:spacing w:before="120" w:beforeAutospacing="0" w:after="120" w:afterAutospacing="0"/>
        <w:jc w:val="both"/>
        <w:rPr>
          <w:rFonts w:ascii="Arial Narrow" w:hAnsi="Arial Narrow"/>
          <w:sz w:val="24"/>
          <w:szCs w:val="24"/>
        </w:rPr>
      </w:pPr>
      <w:r w:rsidRPr="00047558">
        <w:rPr>
          <w:rFonts w:ascii="Arial Narrow" w:hAnsi="Arial Narrow"/>
          <w:sz w:val="24"/>
          <w:szCs w:val="24"/>
        </w:rPr>
        <w:t>3.1 Influence on Total Soluble Protein Content</w:t>
      </w:r>
    </w:p>
    <w:p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The experimental findings indicated that all applied treatments resulted in a statistically significant elevation of total soluble protein levels compared to the infected control (</w:t>
      </w:r>
      <w:r w:rsidRPr="00047558">
        <w:rPr>
          <w:rStyle w:val="math-inline"/>
          <w:rFonts w:ascii="Arial Narrow" w:hAnsi="Arial Narrow"/>
        </w:rPr>
        <w:t>T</w:t>
      </w:r>
      <w:r w:rsidRPr="00047558">
        <w:rPr>
          <w:rStyle w:val="math-inline"/>
          <w:rFonts w:ascii="Arial Narrow" w:hAnsi="Arial Narrow"/>
          <w:vertAlign w:val="subscript"/>
        </w:rPr>
        <w:t>12</w:t>
      </w:r>
      <w:r w:rsidRPr="00047558">
        <w:rPr>
          <w:rFonts w:ascii="Arial Narrow" w:hAnsi="Arial Narrow"/>
        </w:rPr>
        <w:t xml:space="preserve">), as detailed in Table 1 and Figure 1. At the critical observation interval of </w:t>
      </w:r>
      <w:r w:rsidRPr="00047558">
        <w:rPr>
          <w:rFonts w:ascii="Arial Narrow" w:hAnsi="Arial Narrow"/>
          <w:bCs/>
        </w:rPr>
        <w:t>8 days after inoculation (DAI)</w:t>
      </w:r>
      <w:r w:rsidRPr="00047558">
        <w:rPr>
          <w:rFonts w:ascii="Arial Narrow" w:hAnsi="Arial Narrow"/>
        </w:rPr>
        <w:t xml:space="preserve">, the highest protein concentration was recorded in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3</w:t>
      </w:r>
      <w:r w:rsidRPr="00047558">
        <w:rPr>
          <w:rFonts w:ascii="Arial Narrow" w:hAnsi="Arial Narrow"/>
          <w:bCs/>
        </w:rPr>
        <w:t xml:space="preserve"> (</w:t>
      </w:r>
      <w:proofErr w:type="spellStart"/>
      <w:r w:rsidRPr="00047558">
        <w:rPr>
          <w:rFonts w:ascii="Arial Narrow" w:hAnsi="Arial Narrow"/>
          <w:bCs/>
        </w:rPr>
        <w:t>AgNP</w:t>
      </w:r>
      <w:proofErr w:type="spellEnd"/>
      <w:r w:rsidRPr="00047558">
        <w:rPr>
          <w:rFonts w:ascii="Arial Narrow" w:hAnsi="Arial Narrow"/>
          <w:bCs/>
        </w:rPr>
        <w:t xml:space="preserve"> @ 100 ppm)</w:t>
      </w:r>
      <w:r w:rsidRPr="00047558">
        <w:rPr>
          <w:rFonts w:ascii="Arial Narrow" w:hAnsi="Arial Narrow"/>
        </w:rPr>
        <w:t xml:space="preserve">, which reached </w:t>
      </w:r>
      <w:r w:rsidRPr="00047558">
        <w:rPr>
          <w:rFonts w:ascii="Arial Narrow" w:hAnsi="Arial Narrow"/>
          <w:bCs/>
        </w:rPr>
        <w:t>33.84 mg g</w:t>
      </w:r>
      <w:r w:rsidRPr="00047558">
        <w:rPr>
          <w:rFonts w:ascii="Cambria Math" w:hAnsi="Cambria Math" w:cs="Cambria Math"/>
          <w:bCs/>
        </w:rPr>
        <w:t>⁻</w:t>
      </w:r>
      <w:r w:rsidRPr="00047558">
        <w:rPr>
          <w:rFonts w:ascii="Arial Narrow" w:hAnsi="Arial Narrow" w:cs="Arial Narrow"/>
          <w:bCs/>
        </w:rPr>
        <w:t>¹</w:t>
      </w:r>
      <w:r w:rsidRPr="00047558">
        <w:rPr>
          <w:rFonts w:ascii="Arial Narrow" w:hAnsi="Arial Narrow"/>
        </w:rPr>
        <w:t xml:space="preserve">. This represents a substantial </w:t>
      </w:r>
      <w:r w:rsidRPr="00047558">
        <w:rPr>
          <w:rFonts w:ascii="Arial Narrow" w:hAnsi="Arial Narrow"/>
          <w:bCs/>
        </w:rPr>
        <w:t>93.37% increase</w:t>
      </w:r>
      <w:r w:rsidRPr="00047558">
        <w:rPr>
          <w:rFonts w:ascii="Arial Narrow" w:hAnsi="Arial Narrow"/>
        </w:rPr>
        <w:t xml:space="preserve"> over the control. </w:t>
      </w:r>
      <w:r w:rsidRPr="00047558">
        <w:rPr>
          <w:rFonts w:ascii="Arial Narrow" w:hAnsi="Arial Narrow"/>
          <w:bCs/>
        </w:rPr>
        <w:t xml:space="preserve">Treatment </w:t>
      </w:r>
      <w:r w:rsidRPr="00047558">
        <w:rPr>
          <w:rStyle w:val="math-inline"/>
          <w:rFonts w:ascii="Arial Narrow" w:hAnsi="Arial Narrow"/>
          <w:bCs/>
        </w:rPr>
        <w:t>T</w:t>
      </w:r>
      <w:r w:rsidRPr="00047558">
        <w:rPr>
          <w:rStyle w:val="math-inline"/>
          <w:rFonts w:ascii="Arial Narrow" w:hAnsi="Arial Narrow"/>
          <w:bCs/>
          <w:vertAlign w:val="subscript"/>
        </w:rPr>
        <w:t>6</w:t>
      </w:r>
      <w:r w:rsidRPr="00047558">
        <w:rPr>
          <w:rFonts w:ascii="Arial Narrow" w:hAnsi="Arial Narrow"/>
          <w:bCs/>
        </w:rPr>
        <w:t xml:space="preserve"> (</w:t>
      </w:r>
      <w:proofErr w:type="spellStart"/>
      <w:r w:rsidRPr="00047558">
        <w:rPr>
          <w:rFonts w:ascii="Arial Narrow" w:hAnsi="Arial Narrow"/>
          <w:bCs/>
        </w:rPr>
        <w:t>CuNP</w:t>
      </w:r>
      <w:proofErr w:type="spellEnd"/>
      <w:r w:rsidRPr="00047558">
        <w:rPr>
          <w:rFonts w:ascii="Arial Narrow" w:hAnsi="Arial Narrow"/>
          <w:bCs/>
        </w:rPr>
        <w:t xml:space="preserve"> @ 100 ppm)</w:t>
      </w:r>
      <w:r w:rsidRPr="00047558">
        <w:rPr>
          <w:rFonts w:ascii="Arial Narrow" w:hAnsi="Arial Narrow"/>
        </w:rPr>
        <w:t xml:space="preserve"> followed closely, demonstrating an </w:t>
      </w:r>
      <w:r w:rsidRPr="00047558">
        <w:rPr>
          <w:rFonts w:ascii="Arial Narrow" w:hAnsi="Arial Narrow"/>
          <w:bCs/>
        </w:rPr>
        <w:t>85.83% increase</w:t>
      </w:r>
      <w:r w:rsidRPr="00047558">
        <w:rPr>
          <w:rFonts w:ascii="Arial Narrow" w:hAnsi="Arial Narrow"/>
        </w:rPr>
        <w:t xml:space="preserve"> in protein accumulation.</w:t>
      </w:r>
    </w:p>
    <w:p w:rsidR="00047558" w:rsidRPr="00047558" w:rsidRDefault="00047558" w:rsidP="00047558">
      <w:pPr>
        <w:pStyle w:val="NormalWeb"/>
        <w:spacing w:before="120" w:beforeAutospacing="0" w:after="120" w:afterAutospacing="0"/>
        <w:jc w:val="both"/>
        <w:rPr>
          <w:rFonts w:ascii="Arial Narrow" w:hAnsi="Arial Narrow"/>
        </w:rPr>
      </w:pPr>
      <w:r w:rsidRPr="00047558">
        <w:rPr>
          <w:rFonts w:ascii="Arial Narrow" w:hAnsi="Arial Narrow"/>
        </w:rPr>
        <w:t xml:space="preserve">The marked increase in soluble proteins in nanoparticle-treated plants, particularly under </w:t>
      </w:r>
      <w:r w:rsidRPr="00047558">
        <w:rPr>
          <w:rStyle w:val="math-inline"/>
          <w:rFonts w:ascii="Arial Narrow" w:hAnsi="Arial Narrow"/>
        </w:rPr>
        <w:t>T</w:t>
      </w:r>
      <w:r w:rsidRPr="00486C90">
        <w:rPr>
          <w:rStyle w:val="math-inline"/>
          <w:rFonts w:ascii="Arial Narrow" w:hAnsi="Arial Narrow"/>
          <w:vertAlign w:val="subscript"/>
        </w:rPr>
        <w:t>3</w:t>
      </w:r>
      <w:r w:rsidRPr="00047558">
        <w:rPr>
          <w:rFonts w:ascii="Arial Narrow" w:hAnsi="Arial Narrow"/>
        </w:rPr>
        <w:t xml:space="preserve">, suggests a robust induction of </w:t>
      </w:r>
      <w:r w:rsidRPr="00486C90">
        <w:rPr>
          <w:rFonts w:ascii="Arial Narrow" w:hAnsi="Arial Narrow"/>
          <w:bCs/>
        </w:rPr>
        <w:t>Pathogenesis-Related (PR) proteins</w:t>
      </w:r>
      <w:r w:rsidRPr="00047558">
        <w:rPr>
          <w:rFonts w:ascii="Arial Narrow" w:hAnsi="Arial Narrow"/>
        </w:rPr>
        <w:t xml:space="preserve">. These proteins are essential components of the plant's systemic acquired resistance (SAR) and serve as a primary biochemical defense against </w:t>
      </w:r>
      <w:r w:rsidRPr="00047558">
        <w:rPr>
          <w:rFonts w:ascii="Arial Narrow" w:hAnsi="Arial Narrow"/>
          <w:i/>
          <w:iCs/>
        </w:rPr>
        <w:t xml:space="preserve">Phytophthora </w:t>
      </w:r>
      <w:proofErr w:type="spellStart"/>
      <w:r w:rsidRPr="00047558">
        <w:rPr>
          <w:rFonts w:ascii="Arial Narrow" w:hAnsi="Arial Narrow"/>
          <w:i/>
          <w:iCs/>
        </w:rPr>
        <w:t>infestans</w:t>
      </w:r>
      <w:proofErr w:type="spellEnd"/>
      <w:r w:rsidRPr="00047558">
        <w:rPr>
          <w:rFonts w:ascii="Arial Narrow" w:hAnsi="Arial Narrow"/>
        </w:rPr>
        <w:t>. The stimulation of protein synthesis by silver nanoparticles likely enhances the physiological preparedness of the host to mitigate the enzymatic degradation caused by the pathogen.</w:t>
      </w:r>
    </w:p>
    <w:p w:rsidR="00047558" w:rsidRPr="009D488F" w:rsidRDefault="00047558" w:rsidP="00047558">
      <w:pPr>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1: Effect of green particles on Total Soluble Protein in tomato leaves at different days </w:t>
      </w:r>
    </w:p>
    <w:tbl>
      <w:tblPr>
        <w:tblStyle w:val="TableGrid"/>
        <w:tblW w:w="0" w:type="auto"/>
        <w:tblLook w:val="04A0" w:firstRow="1" w:lastRow="0" w:firstColumn="1" w:lastColumn="0" w:noHBand="0" w:noVBand="1"/>
      </w:tblPr>
      <w:tblGrid>
        <w:gridCol w:w="1440"/>
        <w:gridCol w:w="1152"/>
        <w:gridCol w:w="1152"/>
        <w:gridCol w:w="1152"/>
        <w:gridCol w:w="1152"/>
        <w:gridCol w:w="3194"/>
      </w:tblGrid>
      <w:tr w:rsidR="00047558" w:rsidTr="005C1BA3">
        <w:tc>
          <w:tcPr>
            <w:tcW w:w="1440" w:type="dxa"/>
            <w:vMerge w:val="restart"/>
          </w:tcPr>
          <w:p w:rsidR="00047558" w:rsidRDefault="00047558" w:rsidP="005C1BA3">
            <w:pPr>
              <w:ind w:left="-90" w:right="-102" w:firstLine="18"/>
              <w:jc w:val="both"/>
              <w:rPr>
                <w:rFonts w:ascii="Arial Narrow" w:hAnsi="Arial Narrow" w:cs="Times New Roman"/>
                <w:b/>
                <w:sz w:val="24"/>
                <w:szCs w:val="24"/>
              </w:rPr>
            </w:pPr>
            <w:r w:rsidRPr="009D488F">
              <w:rPr>
                <w:rFonts w:ascii="Arial Narrow" w:hAnsi="Arial Narrow" w:cs="Times New Roman"/>
                <w:b/>
                <w:sz w:val="24"/>
                <w:szCs w:val="24"/>
              </w:rPr>
              <w:t>Treatments</w:t>
            </w:r>
          </w:p>
        </w:tc>
        <w:tc>
          <w:tcPr>
            <w:tcW w:w="7802" w:type="dxa"/>
            <w:gridSpan w:val="5"/>
          </w:tcPr>
          <w:p w:rsidR="00047558" w:rsidRDefault="00047558" w:rsidP="005C1BA3">
            <w:pPr>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xml:space="preserve">Total soluble protein </w:t>
            </w:r>
            <w:r>
              <w:rPr>
                <w:rFonts w:ascii="Arial Narrow" w:hAnsi="Arial Narrow" w:cs="Times New Roman"/>
                <w:b/>
                <w:sz w:val="24"/>
                <w:szCs w:val="24"/>
              </w:rPr>
              <w:t>(</w:t>
            </w:r>
            <w:r w:rsidRPr="009D488F">
              <w:rPr>
                <w:rFonts w:ascii="Arial Narrow" w:hAnsi="Arial Narrow" w:cs="Times New Roman"/>
                <w:b/>
                <w:sz w:val="24"/>
                <w:szCs w:val="24"/>
              </w:rPr>
              <w:t>2023-24</w:t>
            </w:r>
            <w:r>
              <w:rPr>
                <w:rFonts w:ascii="Arial Narrow" w:hAnsi="Arial Narrow" w:cs="Times New Roman"/>
                <w:b/>
                <w:sz w:val="24"/>
                <w:szCs w:val="24"/>
              </w:rPr>
              <w:t>)</w:t>
            </w:r>
          </w:p>
        </w:tc>
      </w:tr>
      <w:tr w:rsidR="00047558" w:rsidTr="005C1BA3">
        <w:tc>
          <w:tcPr>
            <w:tcW w:w="1440" w:type="dxa"/>
            <w:vMerge/>
          </w:tcPr>
          <w:p w:rsidR="00047558" w:rsidRPr="009D488F" w:rsidRDefault="00047558" w:rsidP="005C1BA3">
            <w:pPr>
              <w:ind w:left="-90" w:right="-102" w:firstLine="18"/>
              <w:jc w:val="both"/>
              <w:rPr>
                <w:rFonts w:ascii="Arial Narrow" w:hAnsi="Arial Narrow" w:cs="Times New Roman"/>
                <w:b/>
                <w:sz w:val="24"/>
                <w:szCs w:val="24"/>
              </w:rPr>
            </w:pP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2 DAI</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proofErr w:type="gramStart"/>
            <w:r w:rsidRPr="009D488F">
              <w:rPr>
                <w:rFonts w:ascii="Arial Narrow" w:hAnsi="Arial Narrow" w:cs="Times New Roman"/>
                <w:b/>
                <w:sz w:val="24"/>
                <w:szCs w:val="24"/>
              </w:rPr>
              <w:t>5  DAI</w:t>
            </w:r>
            <w:proofErr w:type="gramEnd"/>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8 DAI</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11 DAI</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 Increased over control @8DAI</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27.51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28.17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30.10</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29.39</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72</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28.31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29.49</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31.77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81.54</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3</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30.23</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31.42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33.84</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32.94</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93.37</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4</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26.57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27.66</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29.29</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28.40</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67.37</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5</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27.79</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28.88</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31.08</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30.18</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77.6</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6</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29.38</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30.82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32.52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31.90</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85.83</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24.34</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26.03</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26.63</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59.49</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8</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25.25</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26.24</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28.43</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27.02</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62.46</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9</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25.91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27.17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28.90</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27.99</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65.14</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10</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23.92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25.15</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27.37</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26.16</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56.40</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11</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18.18</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19.24</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20.89</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19.97</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19.37</w:t>
            </w:r>
          </w:p>
        </w:tc>
      </w:tr>
      <w:tr w:rsidR="00047558" w:rsidTr="005C1BA3">
        <w:tc>
          <w:tcPr>
            <w:tcW w:w="1440" w:type="dxa"/>
            <w:vAlign w:val="center"/>
          </w:tcPr>
          <w:p w:rsidR="00047558" w:rsidRPr="009D488F" w:rsidRDefault="00047558" w:rsidP="005C1BA3">
            <w:pPr>
              <w:pStyle w:val="ListParagraph"/>
              <w:spacing w:line="276" w:lineRule="auto"/>
              <w:ind w:left="-90" w:right="-102" w:firstLine="18"/>
              <w:jc w:val="center"/>
              <w:rPr>
                <w:rFonts w:ascii="Arial Narrow" w:hAnsi="Arial Narrow" w:cs="Times New Roman"/>
                <w:sz w:val="24"/>
                <w:szCs w:val="24"/>
                <w:vertAlign w:val="subscript"/>
                <w:lang w:bidi="en-US"/>
              </w:rPr>
            </w:pPr>
            <w:r w:rsidRPr="009D488F">
              <w:rPr>
                <w:rFonts w:ascii="Arial Narrow" w:hAnsi="Arial Narrow" w:cs="Times New Roman"/>
                <w:sz w:val="24"/>
                <w:szCs w:val="24"/>
                <w:lang w:bidi="en-US"/>
              </w:rPr>
              <w:t>T</w:t>
            </w:r>
            <w:r w:rsidRPr="009D488F">
              <w:rPr>
                <w:rFonts w:ascii="Arial Narrow" w:hAnsi="Arial Narrow" w:cs="Times New Roman"/>
                <w:sz w:val="24"/>
                <w:szCs w:val="24"/>
                <w:vertAlign w:val="subscript"/>
                <w:lang w:bidi="en-US"/>
              </w:rPr>
              <w:t>12</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15.13</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16.10</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17.50</w:t>
            </w:r>
          </w:p>
        </w:tc>
        <w:tc>
          <w:tcPr>
            <w:tcW w:w="1152"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r w:rsidRPr="009D488F">
              <w:rPr>
                <w:rFonts w:ascii="Arial Narrow" w:hAnsi="Arial Narrow" w:cs="Times New Roman"/>
                <w:color w:val="000000"/>
                <w:sz w:val="24"/>
                <w:szCs w:val="24"/>
              </w:rPr>
              <w:t>16.88</w:t>
            </w:r>
          </w:p>
        </w:tc>
        <w:tc>
          <w:tcPr>
            <w:tcW w:w="3194" w:type="dxa"/>
            <w:vAlign w:val="center"/>
          </w:tcPr>
          <w:p w:rsidR="00047558" w:rsidRPr="009D488F" w:rsidRDefault="00047558" w:rsidP="005C1BA3">
            <w:pPr>
              <w:spacing w:line="276" w:lineRule="auto"/>
              <w:ind w:left="-90" w:right="-102" w:firstLine="18"/>
              <w:jc w:val="center"/>
              <w:rPr>
                <w:rFonts w:ascii="Arial Narrow" w:hAnsi="Arial Narrow" w:cs="Times New Roman"/>
                <w:color w:val="000000"/>
                <w:sz w:val="24"/>
                <w:szCs w:val="24"/>
              </w:rPr>
            </w:pPr>
          </w:p>
        </w:tc>
      </w:tr>
      <w:tr w:rsidR="00047558" w:rsidTr="005C1BA3">
        <w:tc>
          <w:tcPr>
            <w:tcW w:w="1440"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CD at 5%</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0.841</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1.473</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1.199</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1.182</w:t>
            </w:r>
          </w:p>
        </w:tc>
        <w:tc>
          <w:tcPr>
            <w:tcW w:w="3194"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p>
        </w:tc>
      </w:tr>
      <w:tr w:rsidR="00047558" w:rsidTr="005C1BA3">
        <w:tc>
          <w:tcPr>
            <w:tcW w:w="1440"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SE(m)</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0.285</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0.499</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0.406</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0.401</w:t>
            </w:r>
          </w:p>
        </w:tc>
        <w:tc>
          <w:tcPr>
            <w:tcW w:w="3194"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p>
        </w:tc>
      </w:tr>
      <w:tr w:rsidR="00047558" w:rsidTr="005C1BA3">
        <w:tc>
          <w:tcPr>
            <w:tcW w:w="1440"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SE(d)</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0.403</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0.706</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0.574</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0.566</w:t>
            </w:r>
          </w:p>
        </w:tc>
        <w:tc>
          <w:tcPr>
            <w:tcW w:w="3194"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p>
        </w:tc>
      </w:tr>
      <w:tr w:rsidR="00047558" w:rsidTr="005C1BA3">
        <w:tc>
          <w:tcPr>
            <w:tcW w:w="1440" w:type="dxa"/>
            <w:vAlign w:val="center"/>
          </w:tcPr>
          <w:p w:rsidR="00047558" w:rsidRPr="009D488F" w:rsidRDefault="00047558" w:rsidP="005C1BA3">
            <w:pPr>
              <w:spacing w:line="276" w:lineRule="auto"/>
              <w:ind w:left="-90" w:right="-102" w:firstLine="18"/>
              <w:jc w:val="center"/>
              <w:rPr>
                <w:rFonts w:ascii="Arial Narrow" w:hAnsi="Arial Narrow" w:cs="Times New Roman"/>
                <w:b/>
                <w:sz w:val="24"/>
                <w:szCs w:val="24"/>
              </w:rPr>
            </w:pPr>
            <w:r w:rsidRPr="009D488F">
              <w:rPr>
                <w:rFonts w:ascii="Arial Narrow" w:hAnsi="Arial Narrow" w:cs="Times New Roman"/>
                <w:b/>
                <w:sz w:val="24"/>
                <w:szCs w:val="24"/>
              </w:rPr>
              <w:t>CV</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1.957</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3.279</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2.485</w:t>
            </w:r>
          </w:p>
        </w:tc>
        <w:tc>
          <w:tcPr>
            <w:tcW w:w="1152"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r w:rsidRPr="009D488F">
              <w:rPr>
                <w:rFonts w:ascii="Arial Narrow" w:eastAsia="Times New Roman" w:hAnsi="Arial Narrow" w:cs="Times New Roman"/>
                <w:kern w:val="0"/>
                <w:sz w:val="24"/>
                <w:szCs w:val="24"/>
                <w:lang w:val="en-US"/>
              </w:rPr>
              <w:t>2.536</w:t>
            </w:r>
          </w:p>
        </w:tc>
        <w:tc>
          <w:tcPr>
            <w:tcW w:w="3194" w:type="dxa"/>
            <w:vAlign w:val="center"/>
          </w:tcPr>
          <w:p w:rsidR="00047558" w:rsidRPr="009D488F" w:rsidRDefault="00047558" w:rsidP="005C1BA3">
            <w:pPr>
              <w:spacing w:line="276" w:lineRule="auto"/>
              <w:ind w:left="-90" w:right="-102" w:firstLine="18"/>
              <w:jc w:val="center"/>
              <w:rPr>
                <w:rFonts w:ascii="Arial Narrow" w:eastAsia="Times New Roman" w:hAnsi="Arial Narrow" w:cs="Times New Roman"/>
                <w:kern w:val="0"/>
                <w:sz w:val="24"/>
                <w:szCs w:val="24"/>
                <w:lang w:val="en-US"/>
              </w:rPr>
            </w:pPr>
          </w:p>
        </w:tc>
      </w:tr>
    </w:tbl>
    <w:p w:rsidR="00047558" w:rsidRPr="00486C90" w:rsidRDefault="00486C90" w:rsidP="00486C90">
      <w:pPr>
        <w:spacing w:before="120" w:after="120" w:line="240" w:lineRule="auto"/>
        <w:jc w:val="both"/>
        <w:rPr>
          <w:rFonts w:ascii="Arial Narrow" w:hAnsi="Arial Narrow" w:cs="Times New Roman"/>
          <w:sz w:val="24"/>
          <w:szCs w:val="24"/>
        </w:rPr>
      </w:pPr>
      <w:r w:rsidRPr="00486C90">
        <w:rPr>
          <w:rFonts w:ascii="Arial Narrow" w:hAnsi="Arial Narrow"/>
          <w:sz w:val="24"/>
          <w:szCs w:val="24"/>
        </w:rPr>
        <w:lastRenderedPageBreak/>
        <w:t xml:space="preserve">The elevation in soluble protein levels serves as a key biochemical indicator of the activation of </w:t>
      </w:r>
      <w:r w:rsidRPr="00486C90">
        <w:rPr>
          <w:rFonts w:ascii="Arial Narrow" w:hAnsi="Arial Narrow"/>
          <w:bCs/>
          <w:sz w:val="24"/>
          <w:szCs w:val="24"/>
        </w:rPr>
        <w:t>Pathogenesis-Related (PR) proteins</w:t>
      </w:r>
      <w:r w:rsidRPr="00486C90">
        <w:rPr>
          <w:rFonts w:ascii="Arial Narrow" w:hAnsi="Arial Narrow"/>
          <w:sz w:val="24"/>
          <w:szCs w:val="24"/>
        </w:rPr>
        <w:t xml:space="preserve"> in response to nanoparticle treatment. This induction suggests that nanoparticles act as potent elicitors, priming the plant's translational machinery to synthesize </w:t>
      </w:r>
      <w:proofErr w:type="spellStart"/>
      <w:r w:rsidRPr="00486C90">
        <w:rPr>
          <w:rFonts w:ascii="Arial Narrow" w:hAnsi="Arial Narrow"/>
          <w:sz w:val="24"/>
          <w:szCs w:val="24"/>
        </w:rPr>
        <w:t>defense</w:t>
      </w:r>
      <w:proofErr w:type="spellEnd"/>
      <w:r w:rsidRPr="00486C90">
        <w:rPr>
          <w:rFonts w:ascii="Arial Narrow" w:hAnsi="Arial Narrow"/>
          <w:sz w:val="24"/>
          <w:szCs w:val="24"/>
        </w:rPr>
        <w:t xml:space="preserve"> proteins as a proactive measure against infection. These findings are consistent with the observations of </w:t>
      </w:r>
      <w:r w:rsidRPr="00486C90">
        <w:rPr>
          <w:rFonts w:ascii="Arial Narrow" w:hAnsi="Arial Narrow"/>
          <w:bCs/>
          <w:sz w:val="24"/>
          <w:szCs w:val="24"/>
        </w:rPr>
        <w:t xml:space="preserve">Sharma </w:t>
      </w:r>
      <w:r w:rsidRPr="00486C90">
        <w:rPr>
          <w:rFonts w:ascii="Arial Narrow" w:hAnsi="Arial Narrow"/>
          <w:bCs/>
          <w:i/>
          <w:sz w:val="24"/>
          <w:szCs w:val="24"/>
        </w:rPr>
        <w:t>et al</w:t>
      </w:r>
      <w:r w:rsidRPr="00486C90">
        <w:rPr>
          <w:rFonts w:ascii="Arial Narrow" w:hAnsi="Arial Narrow"/>
          <w:bCs/>
          <w:sz w:val="24"/>
          <w:szCs w:val="24"/>
        </w:rPr>
        <w:t>. (2012)</w:t>
      </w:r>
      <w:r w:rsidRPr="00486C90">
        <w:rPr>
          <w:rFonts w:ascii="Arial Narrow" w:hAnsi="Arial Narrow"/>
          <w:sz w:val="24"/>
          <w:szCs w:val="24"/>
        </w:rPr>
        <w:t xml:space="preserve">, who documented the nanoparticle-mediated stimulation of protein pathways. Furthermore, a similar enhancement in the protein profile of tomato plants following the application of silver nanoparticles was reported by </w:t>
      </w:r>
      <w:r w:rsidRPr="00486C90">
        <w:rPr>
          <w:rFonts w:ascii="Arial Narrow" w:hAnsi="Arial Narrow"/>
          <w:bCs/>
          <w:sz w:val="24"/>
          <w:szCs w:val="24"/>
        </w:rPr>
        <w:t xml:space="preserve">Hasan </w:t>
      </w:r>
      <w:r w:rsidRPr="00486C90">
        <w:rPr>
          <w:rFonts w:ascii="Arial Narrow" w:hAnsi="Arial Narrow"/>
          <w:bCs/>
          <w:i/>
          <w:sz w:val="24"/>
          <w:szCs w:val="24"/>
        </w:rPr>
        <w:t>et al</w:t>
      </w:r>
      <w:r w:rsidRPr="00486C90">
        <w:rPr>
          <w:rFonts w:ascii="Arial Narrow" w:hAnsi="Arial Narrow"/>
          <w:bCs/>
          <w:sz w:val="24"/>
          <w:szCs w:val="24"/>
        </w:rPr>
        <w:t>. (2021)</w:t>
      </w:r>
      <w:r w:rsidRPr="00486C90">
        <w:rPr>
          <w:rFonts w:ascii="Arial Narrow" w:hAnsi="Arial Narrow"/>
          <w:sz w:val="24"/>
          <w:szCs w:val="24"/>
        </w:rPr>
        <w:t xml:space="preserve">, reinforcing the role of </w:t>
      </w:r>
      <w:proofErr w:type="spellStart"/>
      <w:r w:rsidRPr="00486C90">
        <w:rPr>
          <w:rFonts w:ascii="Arial Narrow" w:hAnsi="Arial Narrow"/>
          <w:sz w:val="24"/>
          <w:szCs w:val="24"/>
        </w:rPr>
        <w:t>AgNPs</w:t>
      </w:r>
      <w:proofErr w:type="spellEnd"/>
      <w:r w:rsidRPr="00486C90">
        <w:rPr>
          <w:rFonts w:ascii="Arial Narrow" w:hAnsi="Arial Narrow"/>
          <w:sz w:val="24"/>
          <w:szCs w:val="24"/>
        </w:rPr>
        <w:t xml:space="preserve"> in bolstering the host’s biochemical resilience.</w:t>
      </w:r>
    </w:p>
    <w:p w:rsidR="00486C90" w:rsidRPr="004A4462" w:rsidRDefault="00486C90"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t>3.2 Impact on Total Phenolic Content</w:t>
      </w:r>
    </w:p>
    <w:p w:rsidR="00486C90" w:rsidRPr="004A4462" w:rsidRDefault="00486C90"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Phenolic compounds serve as critical constituents of the plant's secondary metabolic defense, acting as both structural barriers and antimicrobial agents. The current study revealed that the accumulation of total phenols was significantly enhanced by the application of nanoparticles. At </w:t>
      </w:r>
      <w:r w:rsidRPr="004A4462">
        <w:rPr>
          <w:rFonts w:ascii="Arial Narrow" w:hAnsi="Arial Narrow"/>
          <w:bCs/>
        </w:rPr>
        <w:t>8 DAI</w:t>
      </w:r>
      <w:r w:rsidRPr="004A4462">
        <w:rPr>
          <w:rFonts w:ascii="Arial Narrow" w:hAnsi="Arial Narrow"/>
        </w:rPr>
        <w:t xml:space="preserve">, the maximum phenolic concentration was observed in </w:t>
      </w:r>
      <w:r w:rsidRPr="004A4462">
        <w:rPr>
          <w:rFonts w:ascii="Arial Narrow" w:hAnsi="Arial Narrow"/>
          <w:bCs/>
        </w:rPr>
        <w:t xml:space="preserve">Treatment </w:t>
      </w:r>
      <w:r w:rsidRPr="004A4462">
        <w:rPr>
          <w:rStyle w:val="math-inline"/>
          <w:rFonts w:ascii="Arial Narrow" w:hAnsi="Arial Narrow"/>
          <w:bCs/>
        </w:rPr>
        <w:t>T</w:t>
      </w:r>
      <w:r w:rsidRPr="004A4462">
        <w:rPr>
          <w:rStyle w:val="math-inline"/>
          <w:rFonts w:ascii="Arial Narrow" w:hAnsi="Arial Narrow"/>
          <w:bCs/>
          <w:vertAlign w:val="subscript"/>
        </w:rPr>
        <w:t>3</w:t>
      </w:r>
      <w:r w:rsidRPr="004A4462">
        <w:rPr>
          <w:rFonts w:ascii="Arial Narrow" w:hAnsi="Arial Narrow"/>
          <w:bCs/>
        </w:rPr>
        <w:t xml:space="preserve"> (</w:t>
      </w:r>
      <w:proofErr w:type="spellStart"/>
      <w:r w:rsidRPr="004A4462">
        <w:rPr>
          <w:rFonts w:ascii="Arial Narrow" w:hAnsi="Arial Narrow"/>
          <w:bCs/>
        </w:rPr>
        <w:t>AgNP</w:t>
      </w:r>
      <w:proofErr w:type="spellEnd"/>
      <w:r w:rsidRPr="004A4462">
        <w:rPr>
          <w:rFonts w:ascii="Arial Narrow" w:hAnsi="Arial Narrow"/>
          <w:bCs/>
        </w:rPr>
        <w:t xml:space="preserve"> @ 100 ppm)</w:t>
      </w:r>
      <w:r w:rsidRPr="004A4462">
        <w:rPr>
          <w:rFonts w:ascii="Arial Narrow" w:hAnsi="Arial Narrow"/>
        </w:rPr>
        <w:t xml:space="preserve">, which yielded </w:t>
      </w:r>
      <w:r w:rsidRPr="004A4462">
        <w:rPr>
          <w:rFonts w:ascii="Arial Narrow" w:hAnsi="Arial Narrow"/>
          <w:bCs/>
        </w:rPr>
        <w:t>5.88 mg g</w:t>
      </w:r>
      <w:r w:rsidRPr="004A4462">
        <w:rPr>
          <w:rFonts w:ascii="Cambria Math" w:hAnsi="Cambria Math" w:cs="Cambria Math"/>
          <w:bCs/>
        </w:rPr>
        <w:t>⁻</w:t>
      </w:r>
      <w:r w:rsidRPr="004A4462">
        <w:rPr>
          <w:rFonts w:ascii="Arial Narrow" w:hAnsi="Arial Narrow" w:cs="Arial Narrow"/>
          <w:bCs/>
        </w:rPr>
        <w:t>¹</w:t>
      </w:r>
      <w:r w:rsidRPr="004A4462">
        <w:rPr>
          <w:rFonts w:ascii="Arial Narrow" w:hAnsi="Arial Narrow"/>
        </w:rPr>
        <w:t xml:space="preserve">. This represents an </w:t>
      </w:r>
      <w:r w:rsidRPr="004A4462">
        <w:rPr>
          <w:rFonts w:ascii="Arial Narrow" w:hAnsi="Arial Narrow"/>
          <w:bCs/>
        </w:rPr>
        <w:t>82.61% increase</w:t>
      </w:r>
      <w:r w:rsidRPr="004A4462">
        <w:rPr>
          <w:rFonts w:ascii="Arial Narrow" w:hAnsi="Arial Narrow"/>
        </w:rPr>
        <w:t xml:space="preserve"> relative to the infected control. </w:t>
      </w:r>
      <w:r w:rsidRPr="004A4462">
        <w:rPr>
          <w:rFonts w:ascii="Arial Narrow" w:hAnsi="Arial Narrow"/>
          <w:bCs/>
        </w:rPr>
        <w:t xml:space="preserve">Treatment </w:t>
      </w:r>
      <w:r w:rsidRPr="004A4462">
        <w:rPr>
          <w:rStyle w:val="math-inline"/>
          <w:rFonts w:ascii="Arial Narrow" w:hAnsi="Arial Narrow"/>
          <w:bCs/>
        </w:rPr>
        <w:t>T</w:t>
      </w:r>
      <w:r w:rsidRPr="004A4462">
        <w:rPr>
          <w:rStyle w:val="math-inline"/>
          <w:rFonts w:ascii="Arial Narrow" w:hAnsi="Arial Narrow"/>
          <w:bCs/>
          <w:vertAlign w:val="subscript"/>
        </w:rPr>
        <w:t>6</w:t>
      </w:r>
      <w:r w:rsidRPr="004A4462">
        <w:rPr>
          <w:rFonts w:ascii="Arial Narrow" w:hAnsi="Arial Narrow"/>
          <w:bCs/>
        </w:rPr>
        <w:t xml:space="preserve"> (</w:t>
      </w:r>
      <w:proofErr w:type="spellStart"/>
      <w:r w:rsidRPr="004A4462">
        <w:rPr>
          <w:rFonts w:ascii="Arial Narrow" w:hAnsi="Arial Narrow"/>
          <w:bCs/>
        </w:rPr>
        <w:t>CuNP</w:t>
      </w:r>
      <w:proofErr w:type="spellEnd"/>
      <w:r w:rsidRPr="004A4462">
        <w:rPr>
          <w:rFonts w:ascii="Arial Narrow" w:hAnsi="Arial Narrow"/>
          <w:bCs/>
        </w:rPr>
        <w:t xml:space="preserve"> @ 100 ppm)</w:t>
      </w:r>
      <w:r w:rsidRPr="004A4462">
        <w:rPr>
          <w:rFonts w:ascii="Arial Narrow" w:hAnsi="Arial Narrow"/>
        </w:rPr>
        <w:t xml:space="preserve"> followed with a </w:t>
      </w:r>
      <w:r w:rsidRPr="004A4462">
        <w:rPr>
          <w:rFonts w:ascii="Arial Narrow" w:hAnsi="Arial Narrow"/>
          <w:bCs/>
        </w:rPr>
        <w:t>76.71% increase</w:t>
      </w:r>
      <w:r w:rsidRPr="004A4462">
        <w:rPr>
          <w:rFonts w:ascii="Arial Narrow" w:hAnsi="Arial Narrow"/>
        </w:rPr>
        <w:t xml:space="preserve">, while the lowest phenol levels were consistently recorded in the </w:t>
      </w:r>
      <w:r w:rsidRPr="004A4462">
        <w:rPr>
          <w:rFonts w:ascii="Arial Narrow" w:hAnsi="Arial Narrow"/>
          <w:bCs/>
        </w:rPr>
        <w:t>Infected Control (</w:t>
      </w:r>
      <w:r w:rsidRPr="004A4462">
        <w:rPr>
          <w:rStyle w:val="math-inline"/>
          <w:rFonts w:ascii="Arial Narrow" w:hAnsi="Arial Narrow"/>
          <w:bCs/>
        </w:rPr>
        <w:t>T</w:t>
      </w:r>
      <w:r w:rsidRPr="004A4462">
        <w:rPr>
          <w:rStyle w:val="math-inline"/>
          <w:rFonts w:ascii="Arial Narrow" w:hAnsi="Arial Narrow"/>
          <w:bCs/>
          <w:vertAlign w:val="subscript"/>
        </w:rPr>
        <w:t>12</w:t>
      </w:r>
      <w:r w:rsidRPr="004A4462">
        <w:rPr>
          <w:rFonts w:ascii="Arial Narrow" w:hAnsi="Arial Narrow"/>
          <w:bCs/>
        </w:rPr>
        <w:t>)</w:t>
      </w:r>
      <w:r w:rsidRPr="004A4462">
        <w:rPr>
          <w:rFonts w:ascii="Arial Narrow" w:hAnsi="Arial Narrow"/>
        </w:rPr>
        <w:t>, as illustrated in Table 2 and Figure 1.</w:t>
      </w:r>
    </w:p>
    <w:p w:rsidR="004A4462" w:rsidRPr="004A4462" w:rsidRDefault="004A4462" w:rsidP="004A4462">
      <w:pPr>
        <w:spacing w:line="276" w:lineRule="auto"/>
        <w:jc w:val="both"/>
        <w:rPr>
          <w:rFonts w:ascii="Arial Narrow" w:hAnsi="Arial Narrow" w:cs="Times New Roman"/>
          <w:b/>
          <w:sz w:val="24"/>
          <w:szCs w:val="24"/>
        </w:rPr>
      </w:pPr>
      <w:r w:rsidRPr="004A4462">
        <w:rPr>
          <w:rFonts w:ascii="Arial Narrow" w:hAnsi="Arial Narrow" w:cs="Times New Roman"/>
          <w:b/>
          <w:sz w:val="24"/>
          <w:szCs w:val="24"/>
        </w:rPr>
        <w:t xml:space="preserve">Table 2: Effect of green particles on Total Phenol content in tomato leaves at different days </w:t>
      </w:r>
    </w:p>
    <w:tbl>
      <w:tblPr>
        <w:tblStyle w:val="TableGrid"/>
        <w:tblW w:w="0" w:type="auto"/>
        <w:tblLook w:val="04A0" w:firstRow="1" w:lastRow="0" w:firstColumn="1" w:lastColumn="0" w:noHBand="0" w:noVBand="1"/>
      </w:tblPr>
      <w:tblGrid>
        <w:gridCol w:w="1440"/>
        <w:gridCol w:w="1152"/>
        <w:gridCol w:w="1152"/>
        <w:gridCol w:w="1152"/>
        <w:gridCol w:w="1152"/>
        <w:gridCol w:w="3194"/>
      </w:tblGrid>
      <w:tr w:rsidR="004A4462" w:rsidTr="005C1BA3">
        <w:tc>
          <w:tcPr>
            <w:tcW w:w="1440" w:type="dxa"/>
            <w:vMerge w:val="restart"/>
          </w:tcPr>
          <w:p w:rsidR="004A4462" w:rsidRPr="004A4462" w:rsidRDefault="004A4462" w:rsidP="005C1BA3">
            <w:pPr>
              <w:ind w:left="-90" w:right="-102" w:firstLine="18"/>
              <w:jc w:val="both"/>
              <w:rPr>
                <w:rFonts w:ascii="Arial Narrow" w:hAnsi="Arial Narrow" w:cs="Times New Roman"/>
                <w:b/>
                <w:sz w:val="24"/>
                <w:szCs w:val="24"/>
              </w:rPr>
            </w:pPr>
            <w:r w:rsidRPr="004A4462">
              <w:rPr>
                <w:rFonts w:ascii="Arial Narrow" w:hAnsi="Arial Narrow" w:cs="Times New Roman"/>
                <w:b/>
                <w:sz w:val="24"/>
                <w:szCs w:val="24"/>
              </w:rPr>
              <w:t>Treatments</w:t>
            </w:r>
          </w:p>
        </w:tc>
        <w:tc>
          <w:tcPr>
            <w:tcW w:w="7802" w:type="dxa"/>
            <w:gridSpan w:val="5"/>
          </w:tcPr>
          <w:p w:rsidR="004A4462" w:rsidRPr="004A4462" w:rsidRDefault="004A4462" w:rsidP="005C1BA3">
            <w:pPr>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Total phenol content (2023-24)</w:t>
            </w:r>
          </w:p>
        </w:tc>
      </w:tr>
      <w:tr w:rsidR="004A4462" w:rsidRPr="009D488F" w:rsidTr="005C1BA3">
        <w:tc>
          <w:tcPr>
            <w:tcW w:w="1440" w:type="dxa"/>
            <w:vMerge/>
          </w:tcPr>
          <w:p w:rsidR="004A4462" w:rsidRPr="004A4462" w:rsidRDefault="004A4462" w:rsidP="005C1BA3">
            <w:pPr>
              <w:ind w:left="-90" w:right="-102" w:firstLine="18"/>
              <w:jc w:val="both"/>
              <w:rPr>
                <w:rFonts w:ascii="Arial Narrow" w:hAnsi="Arial Narrow" w:cs="Times New Roman"/>
                <w:b/>
                <w:sz w:val="24"/>
                <w:szCs w:val="24"/>
              </w:rPr>
            </w:pPr>
          </w:p>
        </w:tc>
        <w:tc>
          <w:tcPr>
            <w:tcW w:w="1152" w:type="dxa"/>
            <w:vAlign w:val="center"/>
          </w:tcPr>
          <w:p w:rsidR="004A4462" w:rsidRPr="004A4462" w:rsidRDefault="004A4462" w:rsidP="005C1BA3">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2 DAI</w:t>
            </w:r>
          </w:p>
        </w:tc>
        <w:tc>
          <w:tcPr>
            <w:tcW w:w="1152" w:type="dxa"/>
            <w:vAlign w:val="center"/>
          </w:tcPr>
          <w:p w:rsidR="004A4462" w:rsidRPr="004A4462" w:rsidRDefault="004A4462" w:rsidP="005C1BA3">
            <w:pPr>
              <w:spacing w:line="276" w:lineRule="auto"/>
              <w:ind w:left="-90" w:right="-102" w:firstLine="18"/>
              <w:jc w:val="center"/>
              <w:rPr>
                <w:rFonts w:ascii="Arial Narrow" w:hAnsi="Arial Narrow" w:cs="Times New Roman"/>
                <w:b/>
                <w:sz w:val="24"/>
                <w:szCs w:val="24"/>
              </w:rPr>
            </w:pPr>
            <w:proofErr w:type="gramStart"/>
            <w:r w:rsidRPr="004A4462">
              <w:rPr>
                <w:rFonts w:ascii="Arial Narrow" w:hAnsi="Arial Narrow" w:cs="Times New Roman"/>
                <w:b/>
                <w:sz w:val="24"/>
                <w:szCs w:val="24"/>
              </w:rPr>
              <w:t>5  DAI</w:t>
            </w:r>
            <w:proofErr w:type="gramEnd"/>
          </w:p>
        </w:tc>
        <w:tc>
          <w:tcPr>
            <w:tcW w:w="1152" w:type="dxa"/>
            <w:vAlign w:val="center"/>
          </w:tcPr>
          <w:p w:rsidR="004A4462" w:rsidRPr="004A4462" w:rsidRDefault="004A4462" w:rsidP="005C1BA3">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8 DAI</w:t>
            </w:r>
          </w:p>
        </w:tc>
        <w:tc>
          <w:tcPr>
            <w:tcW w:w="1152" w:type="dxa"/>
            <w:vAlign w:val="center"/>
          </w:tcPr>
          <w:p w:rsidR="004A4462" w:rsidRPr="004A4462" w:rsidRDefault="004A4462" w:rsidP="005C1BA3">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11 DAI</w:t>
            </w:r>
          </w:p>
        </w:tc>
        <w:tc>
          <w:tcPr>
            <w:tcW w:w="3194" w:type="dxa"/>
            <w:vAlign w:val="center"/>
          </w:tcPr>
          <w:p w:rsidR="004A4462" w:rsidRPr="004A4462" w:rsidRDefault="004A4462" w:rsidP="005C1BA3">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 Increased over control @ 8DAI</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4.07</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4.51</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47.83</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4.23</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4.43</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5.29</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4.73</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64.29</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3</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4.57</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4.89</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5.88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5.51</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82.61</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4</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4.70</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4.28</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45.96</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5</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5.02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55.90</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5.69</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4.87</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76.71</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7</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3.50</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3.67</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4.00</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3.80</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24.22</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4.38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3.98</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36.02</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9</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3.94</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4.66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4.13</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44.72</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10</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3.31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3.43</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3.81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3.64</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18.32</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3.03</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3.26</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3.71</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3.58</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15.22</w:t>
            </w:r>
          </w:p>
        </w:tc>
      </w:tr>
      <w:tr w:rsidR="004A4462" w:rsidRPr="009D488F" w:rsidTr="005C1BA3">
        <w:tc>
          <w:tcPr>
            <w:tcW w:w="1440" w:type="dxa"/>
            <w:vAlign w:val="center"/>
          </w:tcPr>
          <w:p w:rsidR="004A4462" w:rsidRPr="004A4462" w:rsidRDefault="004A4462" w:rsidP="004A4462">
            <w:pPr>
              <w:pStyle w:val="ListParagraph"/>
              <w:spacing w:line="276" w:lineRule="auto"/>
              <w:ind w:left="-90" w:right="-102" w:firstLine="18"/>
              <w:jc w:val="center"/>
              <w:rPr>
                <w:rFonts w:ascii="Arial Narrow" w:hAnsi="Arial Narrow" w:cs="Times New Roman"/>
                <w:sz w:val="24"/>
                <w:szCs w:val="24"/>
                <w:vertAlign w:val="subscript"/>
                <w:lang w:bidi="en-US"/>
              </w:rPr>
            </w:pPr>
            <w:r w:rsidRPr="004A4462">
              <w:rPr>
                <w:rFonts w:ascii="Arial Narrow" w:hAnsi="Arial Narrow" w:cs="Times New Roman"/>
                <w:sz w:val="24"/>
                <w:szCs w:val="24"/>
                <w:lang w:bidi="en-US"/>
              </w:rPr>
              <w:t>T</w:t>
            </w:r>
            <w:r w:rsidRPr="004A4462">
              <w:rPr>
                <w:rFonts w:ascii="Arial Narrow" w:hAnsi="Arial Narrow" w:cs="Times New Roman"/>
                <w:sz w:val="24"/>
                <w:szCs w:val="24"/>
                <w:vertAlign w:val="subscript"/>
                <w:lang w:bidi="en-US"/>
              </w:rPr>
              <w:t>12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2.58</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2.79</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3.22</w:t>
            </w:r>
          </w:p>
        </w:tc>
        <w:tc>
          <w:tcPr>
            <w:tcW w:w="1152"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r w:rsidRPr="004A4462">
              <w:rPr>
                <w:rFonts w:ascii="Arial Narrow" w:hAnsi="Arial Narrow" w:cs="Times New Roman"/>
                <w:color w:val="000000"/>
                <w:sz w:val="24"/>
                <w:szCs w:val="24"/>
              </w:rPr>
              <w:t>3.02</w:t>
            </w:r>
          </w:p>
        </w:tc>
        <w:tc>
          <w:tcPr>
            <w:tcW w:w="3194" w:type="dxa"/>
            <w:vAlign w:val="center"/>
          </w:tcPr>
          <w:p w:rsidR="004A4462" w:rsidRPr="004A4462" w:rsidRDefault="004A4462" w:rsidP="004A4462">
            <w:pPr>
              <w:spacing w:line="276" w:lineRule="auto"/>
              <w:jc w:val="center"/>
              <w:rPr>
                <w:rFonts w:ascii="Arial Narrow" w:hAnsi="Arial Narrow" w:cs="Times New Roman"/>
                <w:color w:val="000000"/>
                <w:sz w:val="24"/>
                <w:szCs w:val="24"/>
              </w:rPr>
            </w:pPr>
          </w:p>
        </w:tc>
      </w:tr>
      <w:tr w:rsidR="004A4462" w:rsidRPr="009D488F" w:rsidTr="005C1BA3">
        <w:tc>
          <w:tcPr>
            <w:tcW w:w="1440" w:type="dxa"/>
            <w:vAlign w:val="center"/>
          </w:tcPr>
          <w:p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CD at 5%</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0.151</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0.164</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0.162</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0.183</w:t>
            </w:r>
          </w:p>
        </w:tc>
        <w:tc>
          <w:tcPr>
            <w:tcW w:w="3194"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rsidTr="005C1BA3">
        <w:tc>
          <w:tcPr>
            <w:tcW w:w="1440" w:type="dxa"/>
            <w:vAlign w:val="center"/>
          </w:tcPr>
          <w:p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SE(m)</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0.051</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0.056</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0.055</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0.062</w:t>
            </w:r>
          </w:p>
        </w:tc>
        <w:tc>
          <w:tcPr>
            <w:tcW w:w="3194"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rsidTr="005C1BA3">
        <w:tc>
          <w:tcPr>
            <w:tcW w:w="1440" w:type="dxa"/>
            <w:vAlign w:val="center"/>
          </w:tcPr>
          <w:p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SE(d)</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0.072</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0.079</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0.078</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0.088</w:t>
            </w:r>
          </w:p>
        </w:tc>
        <w:tc>
          <w:tcPr>
            <w:tcW w:w="3194"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r w:rsidR="004A4462" w:rsidRPr="009D488F" w:rsidTr="005C1BA3">
        <w:tc>
          <w:tcPr>
            <w:tcW w:w="1440" w:type="dxa"/>
            <w:vAlign w:val="center"/>
          </w:tcPr>
          <w:p w:rsidR="004A4462" w:rsidRPr="004A4462" w:rsidRDefault="004A4462" w:rsidP="004A4462">
            <w:pPr>
              <w:spacing w:line="276" w:lineRule="auto"/>
              <w:ind w:left="-90" w:right="-102" w:firstLine="18"/>
              <w:jc w:val="center"/>
              <w:rPr>
                <w:rFonts w:ascii="Arial Narrow" w:hAnsi="Arial Narrow" w:cs="Times New Roman"/>
                <w:b/>
                <w:sz w:val="24"/>
                <w:szCs w:val="24"/>
              </w:rPr>
            </w:pPr>
            <w:r w:rsidRPr="004A4462">
              <w:rPr>
                <w:rFonts w:ascii="Arial Narrow" w:hAnsi="Arial Narrow" w:cs="Times New Roman"/>
                <w:b/>
                <w:sz w:val="24"/>
                <w:szCs w:val="24"/>
              </w:rPr>
              <w:t>CV</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2.371</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2.459</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2.075</w:t>
            </w:r>
          </w:p>
        </w:tc>
        <w:tc>
          <w:tcPr>
            <w:tcW w:w="1152"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r w:rsidRPr="004A4462">
              <w:rPr>
                <w:rFonts w:ascii="Arial Narrow" w:eastAsia="Times New Roman" w:hAnsi="Arial Narrow" w:cs="Times New Roman"/>
                <w:kern w:val="0"/>
                <w:sz w:val="24"/>
                <w:szCs w:val="24"/>
                <w:lang w:val="en-US"/>
              </w:rPr>
              <w:t>2.543</w:t>
            </w:r>
          </w:p>
        </w:tc>
        <w:tc>
          <w:tcPr>
            <w:tcW w:w="3194" w:type="dxa"/>
            <w:vAlign w:val="center"/>
          </w:tcPr>
          <w:p w:rsidR="004A4462" w:rsidRPr="004A4462" w:rsidRDefault="004A4462" w:rsidP="004A4462">
            <w:pPr>
              <w:spacing w:line="276" w:lineRule="auto"/>
              <w:jc w:val="center"/>
              <w:rPr>
                <w:rFonts w:ascii="Arial Narrow" w:eastAsia="Times New Roman" w:hAnsi="Arial Narrow" w:cs="Times New Roman"/>
                <w:kern w:val="0"/>
                <w:sz w:val="24"/>
                <w:szCs w:val="24"/>
                <w:lang w:val="en-US"/>
              </w:rPr>
            </w:pPr>
          </w:p>
        </w:tc>
      </w:tr>
    </w:tbl>
    <w:p w:rsidR="004A4462" w:rsidRDefault="004A4462" w:rsidP="004A4462">
      <w:pPr>
        <w:pStyle w:val="NormalWeb"/>
        <w:spacing w:before="120" w:beforeAutospacing="0" w:after="120" w:afterAutospacing="0"/>
        <w:jc w:val="both"/>
        <w:rPr>
          <w:rFonts w:ascii="Arial Narrow" w:hAnsi="Arial Narrow"/>
        </w:rPr>
      </w:pPr>
      <w:r w:rsidRPr="004A4462">
        <w:rPr>
          <w:rFonts w:ascii="Arial Narrow" w:hAnsi="Arial Narrow"/>
        </w:rPr>
        <w:t xml:space="preserve">The augmentation of phenolic content following nanoparticle application is well-documented and aligns with the findings of </w:t>
      </w:r>
      <w:r w:rsidRPr="004A4462">
        <w:rPr>
          <w:rFonts w:ascii="Arial Narrow" w:hAnsi="Arial Narrow"/>
          <w:bCs/>
        </w:rPr>
        <w:t xml:space="preserve">Singh </w:t>
      </w:r>
      <w:r w:rsidRPr="004A4462">
        <w:rPr>
          <w:rFonts w:ascii="Arial Narrow" w:hAnsi="Arial Narrow"/>
          <w:bCs/>
          <w:i/>
        </w:rPr>
        <w:t>et al</w:t>
      </w:r>
      <w:r w:rsidRPr="004A4462">
        <w:rPr>
          <w:rFonts w:ascii="Arial Narrow" w:hAnsi="Arial Narrow"/>
          <w:bCs/>
        </w:rPr>
        <w:t>. (2018)</w:t>
      </w:r>
      <w:r w:rsidRPr="004A4462">
        <w:rPr>
          <w:rFonts w:ascii="Arial Narrow" w:hAnsi="Arial Narrow"/>
        </w:rPr>
        <w:t xml:space="preserve">. It has been reported that silver and copper nanoparticles act as elicitors that activate the </w:t>
      </w:r>
      <w:r w:rsidRPr="004A4462">
        <w:rPr>
          <w:rFonts w:ascii="Arial Narrow" w:hAnsi="Arial Narrow"/>
          <w:bCs/>
        </w:rPr>
        <w:t>phenylpropanoid pathway</w:t>
      </w:r>
      <w:r w:rsidRPr="004A4462">
        <w:rPr>
          <w:rFonts w:ascii="Arial Narrow" w:hAnsi="Arial Narrow"/>
        </w:rPr>
        <w:t>, a key metabolic route responsible for the biosynthesis of defense-related compounds (</w:t>
      </w:r>
      <w:r w:rsidRPr="004A4462">
        <w:rPr>
          <w:rFonts w:ascii="Arial Narrow" w:hAnsi="Arial Narrow"/>
          <w:bCs/>
        </w:rPr>
        <w:t xml:space="preserve">Sharma </w:t>
      </w:r>
      <w:r w:rsidRPr="004A4462">
        <w:rPr>
          <w:rFonts w:ascii="Arial Narrow" w:hAnsi="Arial Narrow"/>
          <w:bCs/>
          <w:i/>
        </w:rPr>
        <w:t>et al</w:t>
      </w:r>
      <w:r w:rsidRPr="004A4462">
        <w:rPr>
          <w:rFonts w:ascii="Arial Narrow" w:hAnsi="Arial Narrow"/>
          <w:bCs/>
        </w:rPr>
        <w:t>., 2020</w:t>
      </w:r>
      <w:r w:rsidRPr="004A4462">
        <w:rPr>
          <w:rFonts w:ascii="Arial Narrow" w:hAnsi="Arial Narrow"/>
        </w:rPr>
        <w:t xml:space="preserve">). This pathway stimulation leads to higher phenol production, thereby enhancing the host's chemical resistance against </w:t>
      </w:r>
      <w:r w:rsidRPr="004A4462">
        <w:rPr>
          <w:rFonts w:ascii="Arial Narrow" w:hAnsi="Arial Narrow"/>
          <w:i/>
          <w:iCs/>
        </w:rPr>
        <w:t xml:space="preserve">P. </w:t>
      </w:r>
      <w:proofErr w:type="spellStart"/>
      <w:r w:rsidRPr="004A4462">
        <w:rPr>
          <w:rFonts w:ascii="Arial Narrow" w:hAnsi="Arial Narrow"/>
          <w:i/>
          <w:iCs/>
        </w:rPr>
        <w:t>infestans</w:t>
      </w:r>
      <w:proofErr w:type="spellEnd"/>
      <w:r w:rsidRPr="004A4462">
        <w:rPr>
          <w:rFonts w:ascii="Arial Narrow" w:hAnsi="Arial Narrow"/>
        </w:rPr>
        <w:t xml:space="preserve"> invasion, a phenomenon also supported by </w:t>
      </w:r>
      <w:r w:rsidRPr="004A4462">
        <w:rPr>
          <w:rFonts w:ascii="Arial Narrow" w:hAnsi="Arial Narrow"/>
          <w:bCs/>
        </w:rPr>
        <w:t xml:space="preserve">Kumari </w:t>
      </w:r>
      <w:r w:rsidRPr="004A4462">
        <w:rPr>
          <w:rFonts w:ascii="Arial Narrow" w:hAnsi="Arial Narrow"/>
          <w:bCs/>
          <w:i/>
        </w:rPr>
        <w:t>et al</w:t>
      </w:r>
      <w:r w:rsidRPr="004A4462">
        <w:rPr>
          <w:rFonts w:ascii="Arial Narrow" w:hAnsi="Arial Narrow"/>
          <w:bCs/>
        </w:rPr>
        <w:t>. (2021)</w:t>
      </w:r>
      <w:r w:rsidRPr="004A4462">
        <w:rPr>
          <w:rFonts w:ascii="Arial Narrow" w:hAnsi="Arial Narrow"/>
        </w:rPr>
        <w:t>.</w:t>
      </w:r>
    </w:p>
    <w:p w:rsidR="004A4462" w:rsidRPr="004A4462" w:rsidRDefault="004A4462" w:rsidP="004A4462">
      <w:pPr>
        <w:pStyle w:val="Heading3"/>
        <w:spacing w:before="120" w:beforeAutospacing="0" w:after="120" w:afterAutospacing="0"/>
        <w:jc w:val="both"/>
        <w:rPr>
          <w:rFonts w:ascii="Arial Narrow" w:hAnsi="Arial Narrow"/>
          <w:sz w:val="24"/>
          <w:szCs w:val="24"/>
        </w:rPr>
      </w:pPr>
      <w:r w:rsidRPr="004A4462">
        <w:rPr>
          <w:rFonts w:ascii="Arial Narrow" w:hAnsi="Arial Narrow"/>
          <w:sz w:val="24"/>
          <w:szCs w:val="24"/>
        </w:rPr>
        <w:t>3.3 Modulations in Salicylic Acid Content</w:t>
      </w:r>
    </w:p>
    <w:p w:rsidR="004A4462" w:rsidRPr="000D2DBA" w:rsidRDefault="004A4462" w:rsidP="004A4462">
      <w:pPr>
        <w:pStyle w:val="NormalWeb"/>
        <w:spacing w:before="120" w:beforeAutospacing="0" w:after="120" w:afterAutospacing="0"/>
        <w:jc w:val="both"/>
        <w:rPr>
          <w:rFonts w:ascii="Arial Narrow" w:hAnsi="Arial Narrow"/>
        </w:rPr>
      </w:pPr>
      <w:r w:rsidRPr="000D2DBA">
        <w:rPr>
          <w:rFonts w:ascii="Arial Narrow" w:hAnsi="Arial Narrow"/>
        </w:rPr>
        <w:t xml:space="preserve">Salicylic acid (SA) is a fundamental signaling molecule that orchestrates Systemic Acquired Resistance (SAR), enabling plants to mount a coordinated defense against biotrophic and </w:t>
      </w:r>
      <w:proofErr w:type="spellStart"/>
      <w:r w:rsidRPr="000D2DBA">
        <w:rPr>
          <w:rFonts w:ascii="Arial Narrow" w:hAnsi="Arial Narrow"/>
        </w:rPr>
        <w:t>hemibiotrophic</w:t>
      </w:r>
      <w:proofErr w:type="spellEnd"/>
      <w:r w:rsidRPr="000D2DBA">
        <w:rPr>
          <w:rFonts w:ascii="Arial Narrow" w:hAnsi="Arial Narrow"/>
        </w:rPr>
        <w:t xml:space="preserve"> </w:t>
      </w:r>
      <w:r w:rsidRPr="000D2DBA">
        <w:rPr>
          <w:rFonts w:ascii="Arial Narrow" w:hAnsi="Arial Narrow"/>
        </w:rPr>
        <w:lastRenderedPageBreak/>
        <w:t xml:space="preserve">pathogens. Data presented in Table 3 indicate that among all the evaluated interventions, </w:t>
      </w:r>
      <w:r w:rsidRPr="000D2DBA">
        <w:rPr>
          <w:rFonts w:ascii="Arial Narrow" w:hAnsi="Arial Narrow"/>
          <w:bCs/>
        </w:rPr>
        <w:t xml:space="preserve">Treatment </w:t>
      </w:r>
      <w:r w:rsidRPr="000D2DBA">
        <w:rPr>
          <w:rStyle w:val="math-inline"/>
          <w:rFonts w:ascii="Arial Narrow" w:hAnsi="Arial Narrow"/>
          <w:bCs/>
        </w:rPr>
        <w:t>T</w:t>
      </w:r>
      <w:r w:rsidRPr="000D2DBA">
        <w:rPr>
          <w:rStyle w:val="math-inline"/>
          <w:rFonts w:ascii="Arial Narrow" w:hAnsi="Arial Narrow"/>
          <w:bCs/>
          <w:vertAlign w:val="subscript"/>
        </w:rPr>
        <w:t>3</w:t>
      </w:r>
      <w:r w:rsidRPr="000D2DBA">
        <w:rPr>
          <w:rFonts w:ascii="Arial Narrow" w:hAnsi="Arial Narrow"/>
          <w:bCs/>
        </w:rPr>
        <w:t xml:space="preserve"> (</w:t>
      </w:r>
      <w:proofErr w:type="spellStart"/>
      <w:r w:rsidRPr="000D2DBA">
        <w:rPr>
          <w:rFonts w:ascii="Arial Narrow" w:hAnsi="Arial Narrow"/>
          <w:bCs/>
        </w:rPr>
        <w:t>AgNP</w:t>
      </w:r>
      <w:proofErr w:type="spellEnd"/>
      <w:r w:rsidRPr="000D2DBA">
        <w:rPr>
          <w:rFonts w:ascii="Arial Narrow" w:hAnsi="Arial Narrow"/>
          <w:bCs/>
        </w:rPr>
        <w:t xml:space="preserve"> @ 100 ppm)</w:t>
      </w:r>
      <w:r w:rsidRPr="000D2DBA">
        <w:rPr>
          <w:rFonts w:ascii="Arial Narrow" w:hAnsi="Arial Narrow"/>
        </w:rPr>
        <w:t xml:space="preserve"> elicited the highest accumulation of salicylic acid, reaching </w:t>
      </w:r>
      <w:r w:rsidRPr="000D2DBA">
        <w:rPr>
          <w:rFonts w:ascii="Arial Narrow" w:hAnsi="Arial Narrow"/>
          <w:bCs/>
        </w:rPr>
        <w:t>1.89 µg g</w:t>
      </w:r>
      <w:r w:rsidRPr="000D2DBA">
        <w:rPr>
          <w:rFonts w:ascii="Cambria Math" w:hAnsi="Cambria Math" w:cs="Cambria Math"/>
          <w:bCs/>
        </w:rPr>
        <w:t>⁻</w:t>
      </w:r>
      <w:r w:rsidRPr="000D2DBA">
        <w:rPr>
          <w:rFonts w:ascii="Arial Narrow" w:hAnsi="Arial Narrow" w:cs="Arial Narrow"/>
          <w:bCs/>
        </w:rPr>
        <w:t>¹</w:t>
      </w:r>
      <w:r w:rsidRPr="000D2DBA">
        <w:rPr>
          <w:rFonts w:ascii="Arial Narrow" w:hAnsi="Arial Narrow"/>
        </w:rPr>
        <w:t xml:space="preserve"> at </w:t>
      </w:r>
      <w:r w:rsidRPr="000D2DBA">
        <w:rPr>
          <w:rFonts w:ascii="Arial Narrow" w:hAnsi="Arial Narrow"/>
          <w:bCs/>
        </w:rPr>
        <w:t>8 DAI</w:t>
      </w:r>
      <w:r w:rsidRPr="000D2DBA">
        <w:rPr>
          <w:rFonts w:ascii="Arial Narrow" w:hAnsi="Arial Narrow"/>
        </w:rPr>
        <w:t xml:space="preserve">. This corresponds to a significant </w:t>
      </w:r>
      <w:r w:rsidRPr="000D2DBA">
        <w:rPr>
          <w:rFonts w:ascii="Arial Narrow" w:hAnsi="Arial Narrow"/>
          <w:bCs/>
        </w:rPr>
        <w:t>87.13% increase</w:t>
      </w:r>
      <w:r w:rsidRPr="000D2DBA">
        <w:rPr>
          <w:rFonts w:ascii="Arial Narrow" w:hAnsi="Arial Narrow"/>
        </w:rPr>
        <w:t xml:space="preserve"> over the infected control. Significant enhancements were also observed in treatments </w:t>
      </w:r>
      <w:r w:rsidRPr="000D2DBA">
        <w:rPr>
          <w:rStyle w:val="math-inline"/>
          <w:rFonts w:ascii="Arial Narrow" w:hAnsi="Arial Narrow"/>
          <w:bCs/>
        </w:rPr>
        <w:t>T</w:t>
      </w:r>
      <w:r w:rsidRPr="000D2DBA">
        <w:rPr>
          <w:rStyle w:val="math-inline"/>
          <w:rFonts w:ascii="Arial Narrow" w:hAnsi="Arial Narrow"/>
          <w:bCs/>
          <w:vertAlign w:val="subscript"/>
        </w:rPr>
        <w:t>6</w:t>
      </w:r>
      <w:r w:rsidRPr="000D2DBA">
        <w:rPr>
          <w:rFonts w:ascii="Arial Narrow" w:hAnsi="Arial Narrow"/>
        </w:rPr>
        <w:t xml:space="preserve"> and </w:t>
      </w:r>
      <w:r w:rsidRPr="000D2DBA">
        <w:rPr>
          <w:rStyle w:val="math-inline"/>
          <w:rFonts w:ascii="Arial Narrow" w:hAnsi="Arial Narrow"/>
          <w:bCs/>
        </w:rPr>
        <w:t>T</w:t>
      </w:r>
      <w:r w:rsidRPr="000D2DBA">
        <w:rPr>
          <w:rStyle w:val="math-inline"/>
          <w:rFonts w:ascii="Arial Narrow" w:hAnsi="Arial Narrow"/>
          <w:bCs/>
          <w:vertAlign w:val="subscript"/>
        </w:rPr>
        <w:t>2</w:t>
      </w:r>
      <w:r w:rsidRPr="000D2DBA">
        <w:rPr>
          <w:rFonts w:ascii="Arial Narrow" w:hAnsi="Arial Narrow"/>
        </w:rPr>
        <w:t>, suggesting a broad-spectrum elicitation effect across the nanoparticle-treated groups.</w:t>
      </w:r>
    </w:p>
    <w:p w:rsidR="00FD5C3E" w:rsidRDefault="00FD5C3E" w:rsidP="00FD5C3E">
      <w:pPr>
        <w:tabs>
          <w:tab w:val="left" w:pos="990"/>
        </w:tabs>
        <w:spacing w:line="276" w:lineRule="auto"/>
        <w:rPr>
          <w:rFonts w:ascii="Arial Narrow" w:hAnsi="Arial Narrow" w:cs="Times New Roman"/>
          <w:b/>
          <w:sz w:val="24"/>
          <w:szCs w:val="24"/>
        </w:rPr>
      </w:pPr>
      <w:r w:rsidRPr="009D488F">
        <w:rPr>
          <w:rFonts w:ascii="Arial Narrow" w:hAnsi="Arial Narrow" w:cs="Times New Roman"/>
          <w:b/>
          <w:sz w:val="24"/>
          <w:szCs w:val="24"/>
        </w:rPr>
        <w:t xml:space="preserve">Table 3: Effect of green particles on </w:t>
      </w:r>
      <w:proofErr w:type="spellStart"/>
      <w:r w:rsidRPr="009D488F">
        <w:rPr>
          <w:rFonts w:ascii="Arial Narrow" w:hAnsi="Arial Narrow" w:cs="Times New Roman"/>
          <w:b/>
          <w:sz w:val="24"/>
          <w:szCs w:val="24"/>
        </w:rPr>
        <w:t>Salicyclic</w:t>
      </w:r>
      <w:proofErr w:type="spellEnd"/>
      <w:r w:rsidRPr="009D488F">
        <w:rPr>
          <w:rFonts w:ascii="Arial Narrow" w:hAnsi="Arial Narrow" w:cs="Times New Roman"/>
          <w:b/>
          <w:sz w:val="24"/>
          <w:szCs w:val="24"/>
        </w:rPr>
        <w:t xml:space="preserve"> Acid content in tomato leaves at different days </w:t>
      </w:r>
    </w:p>
    <w:tbl>
      <w:tblPr>
        <w:tblStyle w:val="TableGrid"/>
        <w:tblW w:w="0" w:type="auto"/>
        <w:tblLook w:val="04A0" w:firstRow="1" w:lastRow="0" w:firstColumn="1" w:lastColumn="0" w:noHBand="0" w:noVBand="1"/>
      </w:tblPr>
      <w:tblGrid>
        <w:gridCol w:w="1440"/>
        <w:gridCol w:w="1152"/>
        <w:gridCol w:w="1152"/>
        <w:gridCol w:w="1152"/>
        <w:gridCol w:w="1152"/>
        <w:gridCol w:w="3194"/>
      </w:tblGrid>
      <w:tr w:rsidR="00FD5C3E" w:rsidRPr="004A4462" w:rsidTr="005C1BA3">
        <w:tc>
          <w:tcPr>
            <w:tcW w:w="1440" w:type="dxa"/>
            <w:vMerge w:val="restart"/>
          </w:tcPr>
          <w:p w:rsidR="00FD5C3E" w:rsidRPr="00FD5C3E" w:rsidRDefault="00FD5C3E" w:rsidP="005C1BA3">
            <w:pPr>
              <w:ind w:left="-90" w:right="-102" w:firstLine="18"/>
              <w:jc w:val="both"/>
              <w:rPr>
                <w:rFonts w:ascii="Arial Narrow" w:hAnsi="Arial Narrow" w:cs="Times New Roman"/>
                <w:b/>
                <w:sz w:val="24"/>
                <w:szCs w:val="24"/>
              </w:rPr>
            </w:pPr>
            <w:r w:rsidRPr="00FD5C3E">
              <w:rPr>
                <w:rFonts w:ascii="Arial Narrow" w:hAnsi="Arial Narrow" w:cs="Times New Roman"/>
                <w:b/>
                <w:sz w:val="24"/>
                <w:szCs w:val="24"/>
              </w:rPr>
              <w:t>Treatments</w:t>
            </w:r>
          </w:p>
        </w:tc>
        <w:tc>
          <w:tcPr>
            <w:tcW w:w="7802" w:type="dxa"/>
            <w:gridSpan w:val="5"/>
          </w:tcPr>
          <w:p w:rsidR="00FD5C3E" w:rsidRPr="00FD5C3E" w:rsidRDefault="00FD5C3E" w:rsidP="005C1BA3">
            <w:pPr>
              <w:ind w:left="-90" w:right="-102" w:firstLine="18"/>
              <w:jc w:val="center"/>
              <w:rPr>
                <w:rFonts w:ascii="Arial Narrow" w:hAnsi="Arial Narrow" w:cs="Times New Roman"/>
                <w:b/>
                <w:sz w:val="24"/>
                <w:szCs w:val="24"/>
              </w:rPr>
            </w:pPr>
            <w:proofErr w:type="spellStart"/>
            <w:r w:rsidRPr="00FD5C3E">
              <w:rPr>
                <w:rFonts w:ascii="Arial Narrow" w:hAnsi="Arial Narrow" w:cs="Times New Roman"/>
                <w:b/>
                <w:sz w:val="24"/>
                <w:szCs w:val="24"/>
              </w:rPr>
              <w:t>Salicyclic</w:t>
            </w:r>
            <w:proofErr w:type="spellEnd"/>
            <w:r w:rsidRPr="00FD5C3E">
              <w:rPr>
                <w:rFonts w:ascii="Arial Narrow" w:hAnsi="Arial Narrow" w:cs="Times New Roman"/>
                <w:b/>
                <w:sz w:val="24"/>
                <w:szCs w:val="24"/>
              </w:rPr>
              <w:t xml:space="preserve"> Acid content (2023-24)</w:t>
            </w:r>
          </w:p>
        </w:tc>
      </w:tr>
      <w:tr w:rsidR="00FD5C3E" w:rsidRPr="004A4462" w:rsidTr="005C1BA3">
        <w:tc>
          <w:tcPr>
            <w:tcW w:w="1440" w:type="dxa"/>
            <w:vMerge/>
          </w:tcPr>
          <w:p w:rsidR="00FD5C3E" w:rsidRPr="00FD5C3E" w:rsidRDefault="00FD5C3E" w:rsidP="005C1BA3">
            <w:pPr>
              <w:ind w:left="-90" w:right="-102" w:firstLine="18"/>
              <w:jc w:val="both"/>
              <w:rPr>
                <w:rFonts w:ascii="Arial Narrow" w:hAnsi="Arial Narrow" w:cs="Times New Roman"/>
                <w:b/>
                <w:sz w:val="24"/>
                <w:szCs w:val="24"/>
              </w:rPr>
            </w:pPr>
          </w:p>
        </w:tc>
        <w:tc>
          <w:tcPr>
            <w:tcW w:w="1152" w:type="dxa"/>
            <w:vAlign w:val="center"/>
          </w:tcPr>
          <w:p w:rsidR="00FD5C3E" w:rsidRPr="00FD5C3E" w:rsidRDefault="00FD5C3E" w:rsidP="005C1BA3">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2 DAI</w:t>
            </w:r>
          </w:p>
        </w:tc>
        <w:tc>
          <w:tcPr>
            <w:tcW w:w="1152" w:type="dxa"/>
            <w:vAlign w:val="center"/>
          </w:tcPr>
          <w:p w:rsidR="00FD5C3E" w:rsidRPr="00FD5C3E" w:rsidRDefault="00FD5C3E" w:rsidP="005C1BA3">
            <w:pPr>
              <w:spacing w:line="276" w:lineRule="auto"/>
              <w:ind w:left="-90" w:right="-102" w:firstLine="18"/>
              <w:jc w:val="center"/>
              <w:rPr>
                <w:rFonts w:ascii="Arial Narrow" w:hAnsi="Arial Narrow" w:cs="Times New Roman"/>
                <w:b/>
                <w:sz w:val="24"/>
                <w:szCs w:val="24"/>
              </w:rPr>
            </w:pPr>
            <w:proofErr w:type="gramStart"/>
            <w:r w:rsidRPr="00FD5C3E">
              <w:rPr>
                <w:rFonts w:ascii="Arial Narrow" w:hAnsi="Arial Narrow" w:cs="Times New Roman"/>
                <w:b/>
                <w:sz w:val="24"/>
                <w:szCs w:val="24"/>
              </w:rPr>
              <w:t>5  DAI</w:t>
            </w:r>
            <w:proofErr w:type="gramEnd"/>
          </w:p>
        </w:tc>
        <w:tc>
          <w:tcPr>
            <w:tcW w:w="1152" w:type="dxa"/>
            <w:vAlign w:val="center"/>
          </w:tcPr>
          <w:p w:rsidR="00FD5C3E" w:rsidRPr="00FD5C3E" w:rsidRDefault="00FD5C3E" w:rsidP="005C1BA3">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8 DAI</w:t>
            </w:r>
          </w:p>
        </w:tc>
        <w:tc>
          <w:tcPr>
            <w:tcW w:w="1152" w:type="dxa"/>
            <w:vAlign w:val="center"/>
          </w:tcPr>
          <w:p w:rsidR="00FD5C3E" w:rsidRPr="00FD5C3E" w:rsidRDefault="00FD5C3E" w:rsidP="005C1BA3">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11 DAI</w:t>
            </w:r>
          </w:p>
        </w:tc>
        <w:tc>
          <w:tcPr>
            <w:tcW w:w="3194" w:type="dxa"/>
            <w:vAlign w:val="center"/>
          </w:tcPr>
          <w:p w:rsidR="00FD5C3E" w:rsidRPr="00FD5C3E" w:rsidRDefault="00FD5C3E" w:rsidP="005C1BA3">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 Increased over control @ 8DAI</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1.60</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70.30</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2</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1.37</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77.23</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3</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1.91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1.79</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87.13</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4</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1.33</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1.58</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66.34</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5</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1.35</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1.84</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1.76</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74.26</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6</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1.38</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1.87</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1.85</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1.77</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83.17</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7</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1.24</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1.68</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1.39</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57.43</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8</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1.26</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1.70</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1.63</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1.46</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61.39</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1.72</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1.67</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1.51</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65.35</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10</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1.22</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1.64</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1.54</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1.32</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52.48</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0.91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1.23</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1.11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1.00</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9.90</w:t>
            </w:r>
          </w:p>
        </w:tc>
      </w:tr>
      <w:tr w:rsidR="00FD5C3E" w:rsidRPr="004A4462" w:rsidTr="005C1BA3">
        <w:tc>
          <w:tcPr>
            <w:tcW w:w="1440" w:type="dxa"/>
            <w:vAlign w:val="center"/>
          </w:tcPr>
          <w:p w:rsidR="00FD5C3E" w:rsidRPr="00FD5C3E" w:rsidRDefault="00FD5C3E" w:rsidP="00FD5C3E">
            <w:pPr>
              <w:pStyle w:val="ListParagraph"/>
              <w:spacing w:line="276" w:lineRule="auto"/>
              <w:ind w:left="-90" w:right="-102" w:firstLine="18"/>
              <w:jc w:val="center"/>
              <w:rPr>
                <w:rFonts w:ascii="Arial Narrow" w:hAnsi="Arial Narrow" w:cs="Times New Roman"/>
                <w:sz w:val="24"/>
                <w:szCs w:val="24"/>
                <w:vertAlign w:val="subscript"/>
                <w:lang w:bidi="en-US"/>
              </w:rPr>
            </w:pPr>
            <w:r w:rsidRPr="00FD5C3E">
              <w:rPr>
                <w:rFonts w:ascii="Arial Narrow" w:hAnsi="Arial Narrow" w:cs="Times New Roman"/>
                <w:sz w:val="24"/>
                <w:szCs w:val="24"/>
                <w:lang w:bidi="en-US"/>
              </w:rPr>
              <w:t>T</w:t>
            </w:r>
            <w:r w:rsidRPr="00FD5C3E">
              <w:rPr>
                <w:rFonts w:ascii="Arial Narrow" w:hAnsi="Arial Narrow" w:cs="Times New Roman"/>
                <w:sz w:val="24"/>
                <w:szCs w:val="24"/>
                <w:vertAlign w:val="subscript"/>
                <w:lang w:bidi="en-US"/>
              </w:rPr>
              <w:t>12</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0.88</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1.09</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1.01</w:t>
            </w:r>
          </w:p>
        </w:tc>
        <w:tc>
          <w:tcPr>
            <w:tcW w:w="1152"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r w:rsidRPr="00FD5C3E">
              <w:rPr>
                <w:rFonts w:ascii="Arial Narrow" w:hAnsi="Arial Narrow" w:cs="Times New Roman"/>
                <w:color w:val="000000"/>
                <w:sz w:val="24"/>
                <w:szCs w:val="24"/>
              </w:rPr>
              <w:t>0.87</w:t>
            </w:r>
          </w:p>
        </w:tc>
        <w:tc>
          <w:tcPr>
            <w:tcW w:w="3194" w:type="dxa"/>
            <w:vAlign w:val="center"/>
          </w:tcPr>
          <w:p w:rsidR="00FD5C3E" w:rsidRPr="00FD5C3E" w:rsidRDefault="00FD5C3E" w:rsidP="00FD5C3E">
            <w:pPr>
              <w:spacing w:line="276" w:lineRule="auto"/>
              <w:jc w:val="center"/>
              <w:rPr>
                <w:rFonts w:ascii="Arial Narrow" w:hAnsi="Arial Narrow" w:cs="Times New Roman"/>
                <w:color w:val="000000"/>
                <w:sz w:val="24"/>
                <w:szCs w:val="24"/>
              </w:rPr>
            </w:pPr>
          </w:p>
        </w:tc>
      </w:tr>
      <w:tr w:rsidR="00FD5C3E" w:rsidRPr="004A4462" w:rsidTr="005C1BA3">
        <w:tc>
          <w:tcPr>
            <w:tcW w:w="1440" w:type="dxa"/>
            <w:vAlign w:val="center"/>
          </w:tcPr>
          <w:p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CD at 5%</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0.050</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0.088</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0.067</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0.054</w:t>
            </w:r>
          </w:p>
        </w:tc>
        <w:tc>
          <w:tcPr>
            <w:tcW w:w="3194"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rsidTr="005C1BA3">
        <w:tc>
          <w:tcPr>
            <w:tcW w:w="1440" w:type="dxa"/>
            <w:vAlign w:val="center"/>
          </w:tcPr>
          <w:p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SE(m)</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0.017</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0.030</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0.023</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0.018</w:t>
            </w:r>
          </w:p>
        </w:tc>
        <w:tc>
          <w:tcPr>
            <w:tcW w:w="3194"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rsidTr="005C1BA3">
        <w:tc>
          <w:tcPr>
            <w:tcW w:w="1440" w:type="dxa"/>
            <w:vAlign w:val="center"/>
          </w:tcPr>
          <w:p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SE(d)</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0.024</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0.042</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0.032</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0.026</w:t>
            </w:r>
          </w:p>
        </w:tc>
        <w:tc>
          <w:tcPr>
            <w:tcW w:w="3194"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r w:rsidR="00FD5C3E" w:rsidRPr="004A4462" w:rsidTr="005C1BA3">
        <w:tc>
          <w:tcPr>
            <w:tcW w:w="1440" w:type="dxa"/>
            <w:vAlign w:val="center"/>
          </w:tcPr>
          <w:p w:rsidR="00FD5C3E" w:rsidRPr="00FD5C3E" w:rsidRDefault="00FD5C3E" w:rsidP="00FD5C3E">
            <w:pPr>
              <w:spacing w:line="276" w:lineRule="auto"/>
              <w:ind w:left="-90" w:right="-102" w:firstLine="18"/>
              <w:jc w:val="center"/>
              <w:rPr>
                <w:rFonts w:ascii="Arial Narrow" w:hAnsi="Arial Narrow" w:cs="Times New Roman"/>
                <w:b/>
                <w:sz w:val="24"/>
                <w:szCs w:val="24"/>
              </w:rPr>
            </w:pPr>
            <w:r w:rsidRPr="00FD5C3E">
              <w:rPr>
                <w:rFonts w:ascii="Arial Narrow" w:hAnsi="Arial Narrow" w:cs="Times New Roman"/>
                <w:b/>
                <w:sz w:val="24"/>
                <w:szCs w:val="24"/>
              </w:rPr>
              <w:t>CV</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2.344</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3.095</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2.460</w:t>
            </w:r>
          </w:p>
        </w:tc>
        <w:tc>
          <w:tcPr>
            <w:tcW w:w="1152"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r w:rsidRPr="00FD5C3E">
              <w:rPr>
                <w:rFonts w:ascii="Arial Narrow" w:eastAsia="Times New Roman" w:hAnsi="Arial Narrow" w:cs="Times New Roman"/>
                <w:kern w:val="0"/>
                <w:sz w:val="24"/>
                <w:szCs w:val="24"/>
                <w:lang w:val="en-US"/>
              </w:rPr>
              <w:t>2.144</w:t>
            </w:r>
          </w:p>
        </w:tc>
        <w:tc>
          <w:tcPr>
            <w:tcW w:w="3194" w:type="dxa"/>
            <w:vAlign w:val="center"/>
          </w:tcPr>
          <w:p w:rsidR="00FD5C3E" w:rsidRPr="00FD5C3E" w:rsidRDefault="00FD5C3E" w:rsidP="00FD5C3E">
            <w:pPr>
              <w:spacing w:line="276" w:lineRule="auto"/>
              <w:jc w:val="center"/>
              <w:rPr>
                <w:rFonts w:ascii="Arial Narrow" w:eastAsia="Times New Roman" w:hAnsi="Arial Narrow" w:cs="Times New Roman"/>
                <w:kern w:val="0"/>
                <w:sz w:val="24"/>
                <w:szCs w:val="24"/>
                <w:lang w:val="en-US"/>
              </w:rPr>
            </w:pPr>
          </w:p>
        </w:tc>
      </w:tr>
    </w:tbl>
    <w:p w:rsidR="00FD5C3E" w:rsidRDefault="00FD5C3E" w:rsidP="007B2521">
      <w:pPr>
        <w:pStyle w:val="NormalWeb"/>
        <w:spacing w:before="120" w:beforeAutospacing="0" w:after="120" w:afterAutospacing="0"/>
        <w:rPr>
          <w:rFonts w:ascii="Arial Narrow" w:hAnsi="Arial Narrow"/>
        </w:rPr>
      </w:pPr>
      <w:r w:rsidRPr="000D2DBA">
        <w:rPr>
          <w:rFonts w:ascii="Arial Narrow" w:hAnsi="Arial Narrow"/>
        </w:rPr>
        <w:t xml:space="preserve">These results suggest that nanoparticles effectively trigger SA-mediated defense pathways, consistent with the foundational findings of </w:t>
      </w:r>
      <w:proofErr w:type="spellStart"/>
      <w:r w:rsidRPr="000D2DBA">
        <w:rPr>
          <w:rFonts w:ascii="Arial Narrow" w:hAnsi="Arial Narrow"/>
          <w:bCs/>
        </w:rPr>
        <w:t>Khodakovskaya</w:t>
      </w:r>
      <w:proofErr w:type="spellEnd"/>
      <w:r w:rsidR="007B2521">
        <w:rPr>
          <w:rFonts w:ascii="Arial Narrow" w:hAnsi="Arial Narrow"/>
          <w:bCs/>
        </w:rPr>
        <w:t xml:space="preserve"> </w:t>
      </w:r>
      <w:r w:rsidRPr="000D2DBA">
        <w:rPr>
          <w:rFonts w:ascii="Arial Narrow" w:hAnsi="Arial Narrow"/>
          <w:bCs/>
          <w:i/>
        </w:rPr>
        <w:t>et al</w:t>
      </w:r>
      <w:r w:rsidRPr="000D2DBA">
        <w:rPr>
          <w:rFonts w:ascii="Arial Narrow" w:hAnsi="Arial Narrow"/>
          <w:bCs/>
        </w:rPr>
        <w:t>. (2012)</w:t>
      </w:r>
      <w:r w:rsidRPr="000D2DBA">
        <w:rPr>
          <w:rFonts w:ascii="Arial Narrow" w:hAnsi="Arial Narrow"/>
        </w:rPr>
        <w:t>. Recent studies have further elucidated that nanoparticles can act as exogenous elicitors that stimulate endogenous salicylic acid biosynthesis, thereby reinforcing the host's resistance against fungal and oomycete pathogens (</w:t>
      </w:r>
      <w:r w:rsidRPr="000D2DBA">
        <w:rPr>
          <w:rFonts w:ascii="Arial Narrow" w:hAnsi="Arial Narrow"/>
          <w:bCs/>
        </w:rPr>
        <w:t xml:space="preserve">Ali </w:t>
      </w:r>
      <w:r w:rsidRPr="000D2DBA">
        <w:rPr>
          <w:rFonts w:ascii="Arial Narrow" w:hAnsi="Arial Narrow"/>
          <w:bCs/>
          <w:i/>
        </w:rPr>
        <w:t>et al</w:t>
      </w:r>
      <w:r w:rsidRPr="000D2DBA">
        <w:rPr>
          <w:rFonts w:ascii="Arial Narrow" w:hAnsi="Arial Narrow"/>
          <w:bCs/>
        </w:rPr>
        <w:t>., 2020</w:t>
      </w:r>
      <w:r w:rsidRPr="000D2DBA">
        <w:rPr>
          <w:rFonts w:ascii="Arial Narrow" w:hAnsi="Arial Narrow"/>
        </w:rPr>
        <w:t xml:space="preserve">; </w:t>
      </w:r>
      <w:r w:rsidRPr="000D2DBA">
        <w:rPr>
          <w:rFonts w:ascii="Arial Narrow" w:hAnsi="Arial Narrow"/>
          <w:bCs/>
        </w:rPr>
        <w:t xml:space="preserve">Meena </w:t>
      </w:r>
      <w:r w:rsidRPr="000D2DBA">
        <w:rPr>
          <w:rFonts w:ascii="Arial Narrow" w:hAnsi="Arial Narrow"/>
          <w:bCs/>
          <w:i/>
        </w:rPr>
        <w:t>et al</w:t>
      </w:r>
      <w:r w:rsidRPr="000D2DBA">
        <w:rPr>
          <w:rFonts w:ascii="Arial Narrow" w:hAnsi="Arial Narrow"/>
          <w:bCs/>
        </w:rPr>
        <w:t>., 2021</w:t>
      </w:r>
      <w:r w:rsidRPr="000D2DBA">
        <w:rPr>
          <w:rFonts w:ascii="Arial Narrow" w:hAnsi="Arial Narrow"/>
        </w:rPr>
        <w:t>).</w:t>
      </w:r>
      <w:r w:rsidRPr="004A4462">
        <w:rPr>
          <w:rFonts w:ascii="Arial Narrow" w:hAnsi="Arial Narrow"/>
        </w:rPr>
        <w:t xml:space="preserve"> The spike in SA levels observed in this study likely served as a precursor to the upregulation of pathogenesis-related genes, providing a biochemical shield against </w:t>
      </w:r>
      <w:r w:rsidRPr="004A4462">
        <w:rPr>
          <w:rFonts w:ascii="Arial Narrow" w:hAnsi="Arial Narrow"/>
          <w:i/>
          <w:iCs/>
        </w:rPr>
        <w:t xml:space="preserve">P. </w:t>
      </w:r>
      <w:proofErr w:type="spellStart"/>
      <w:r w:rsidRPr="004A4462">
        <w:rPr>
          <w:rFonts w:ascii="Arial Narrow" w:hAnsi="Arial Narrow"/>
          <w:i/>
          <w:iCs/>
        </w:rPr>
        <w:t>infestans</w:t>
      </w:r>
      <w:proofErr w:type="spellEnd"/>
      <w:r w:rsidRPr="004A4462">
        <w:rPr>
          <w:rFonts w:ascii="Arial Narrow" w:hAnsi="Arial Narrow"/>
        </w:rPr>
        <w:t>.</w:t>
      </w:r>
    </w:p>
    <w:p w:rsidR="00FD5C3E" w:rsidRPr="00FD5C3E" w:rsidRDefault="00FD5C3E" w:rsidP="00FD5C3E">
      <w:pPr>
        <w:pStyle w:val="Heading3"/>
        <w:spacing w:before="120" w:beforeAutospacing="0" w:after="120" w:afterAutospacing="0"/>
        <w:jc w:val="both"/>
        <w:rPr>
          <w:rFonts w:ascii="Arial Narrow" w:hAnsi="Arial Narrow"/>
          <w:sz w:val="24"/>
          <w:szCs w:val="24"/>
        </w:rPr>
      </w:pPr>
      <w:r w:rsidRPr="00FD5C3E">
        <w:rPr>
          <w:rFonts w:ascii="Arial Narrow" w:hAnsi="Arial Narrow"/>
          <w:sz w:val="24"/>
          <w:szCs w:val="24"/>
        </w:rPr>
        <w:t>3.4 Modulation of Peroxidase (PO) Activity</w:t>
      </w:r>
    </w:p>
    <w:p w:rsidR="00FD5C3E" w:rsidRDefault="00FD5C3E" w:rsidP="00FD5C3E">
      <w:pPr>
        <w:pStyle w:val="NormalWeb"/>
        <w:spacing w:before="120" w:beforeAutospacing="0" w:after="120" w:afterAutospacing="0"/>
        <w:jc w:val="both"/>
        <w:rPr>
          <w:rFonts w:ascii="Arial Narrow" w:hAnsi="Arial Narrow"/>
        </w:rPr>
      </w:pPr>
      <w:r w:rsidRPr="00FD5C3E">
        <w:rPr>
          <w:rFonts w:ascii="Arial Narrow" w:hAnsi="Arial Narrow"/>
        </w:rPr>
        <w:t xml:space="preserve">Peroxidase is a fundamental defense enzyme primarily responsible for the reinforcement of plant cell walls through lignification and the detoxification of reactive oxygen species (ROS) generated during pathogen attack. As shown in Table 4 and Figure 1, the highest peroxidase activity was observed in </w:t>
      </w:r>
      <w:r w:rsidRPr="00FD5C3E">
        <w:rPr>
          <w:rFonts w:ascii="Arial Narrow" w:hAnsi="Arial Narrow"/>
          <w:bCs/>
        </w:rPr>
        <w:t xml:space="preserve">Treatment </w:t>
      </w:r>
      <w:r w:rsidRPr="00FD5C3E">
        <w:rPr>
          <w:rStyle w:val="math-inline"/>
          <w:rFonts w:ascii="Arial Narrow" w:hAnsi="Arial Narrow"/>
          <w:bCs/>
        </w:rPr>
        <w:t>T</w:t>
      </w:r>
      <w:r w:rsidRPr="00FD5C3E">
        <w:rPr>
          <w:rStyle w:val="math-inline"/>
          <w:rFonts w:ascii="Arial Narrow" w:hAnsi="Arial Narrow"/>
          <w:bCs/>
          <w:vertAlign w:val="subscript"/>
        </w:rPr>
        <w:t>3</w:t>
      </w:r>
      <w:r w:rsidRPr="00FD5C3E">
        <w:rPr>
          <w:rFonts w:ascii="Arial Narrow" w:hAnsi="Arial Narrow"/>
          <w:bCs/>
        </w:rPr>
        <w:t xml:space="preserve"> (</w:t>
      </w:r>
      <w:proofErr w:type="spellStart"/>
      <w:r w:rsidRPr="00FD5C3E">
        <w:rPr>
          <w:rFonts w:ascii="Arial Narrow" w:hAnsi="Arial Narrow"/>
          <w:bCs/>
        </w:rPr>
        <w:t>AgNP</w:t>
      </w:r>
      <w:proofErr w:type="spellEnd"/>
      <w:r w:rsidRPr="00FD5C3E">
        <w:rPr>
          <w:rFonts w:ascii="Arial Narrow" w:hAnsi="Arial Narrow"/>
          <w:bCs/>
        </w:rPr>
        <w:t xml:space="preserve"> @ 100 ppm)</w:t>
      </w:r>
      <w:r w:rsidRPr="00FD5C3E">
        <w:rPr>
          <w:rFonts w:ascii="Arial Narrow" w:hAnsi="Arial Narrow"/>
        </w:rPr>
        <w:t xml:space="preserve"> at </w:t>
      </w:r>
      <w:r w:rsidRPr="00FD5C3E">
        <w:rPr>
          <w:rFonts w:ascii="Arial Narrow" w:hAnsi="Arial Narrow"/>
          <w:bCs/>
        </w:rPr>
        <w:t>8 DAI</w:t>
      </w:r>
      <w:r w:rsidRPr="00FD5C3E">
        <w:rPr>
          <w:rFonts w:ascii="Arial Narrow" w:hAnsi="Arial Narrow"/>
        </w:rPr>
        <w:t xml:space="preserve">, reaching </w:t>
      </w:r>
      <w:r w:rsidRPr="00FD5C3E">
        <w:rPr>
          <w:rFonts w:ascii="Arial Narrow" w:hAnsi="Arial Narrow"/>
          <w:bCs/>
        </w:rPr>
        <w:t>1.739 units min</w:t>
      </w:r>
      <w:r w:rsidRPr="00FD5C3E">
        <w:rPr>
          <w:rFonts w:ascii="Cambria Math" w:hAnsi="Cambria Math" w:cs="Cambria Math"/>
          <w:bCs/>
        </w:rPr>
        <w:t>⁻</w:t>
      </w:r>
      <w:r w:rsidRPr="00FD5C3E">
        <w:rPr>
          <w:rFonts w:ascii="Arial Narrow" w:hAnsi="Arial Narrow" w:cs="Arial Narrow"/>
          <w:bCs/>
        </w:rPr>
        <w:t>¹</w:t>
      </w:r>
      <w:r w:rsidRPr="00FD5C3E">
        <w:rPr>
          <w:rFonts w:ascii="Arial Narrow" w:hAnsi="Arial Narrow"/>
          <w:bCs/>
        </w:rPr>
        <w:t xml:space="preserve"> g</w:t>
      </w:r>
      <w:r w:rsidRPr="00FD5C3E">
        <w:rPr>
          <w:rFonts w:ascii="Cambria Math" w:hAnsi="Cambria Math" w:cs="Cambria Math"/>
          <w:bCs/>
        </w:rPr>
        <w:t>⁻</w:t>
      </w:r>
      <w:r w:rsidRPr="00FD5C3E">
        <w:rPr>
          <w:rFonts w:ascii="Arial Narrow" w:hAnsi="Arial Narrow" w:cs="Arial Narrow"/>
          <w:bCs/>
        </w:rPr>
        <w:t>¹</w:t>
      </w:r>
      <w:r w:rsidRPr="00FD5C3E">
        <w:rPr>
          <w:rFonts w:ascii="Arial Narrow" w:hAnsi="Arial Narrow"/>
        </w:rPr>
        <w:t xml:space="preserve">, which represents a </w:t>
      </w:r>
      <w:r w:rsidRPr="00FD5C3E">
        <w:rPr>
          <w:rFonts w:ascii="Arial Narrow" w:hAnsi="Arial Narrow"/>
          <w:bCs/>
        </w:rPr>
        <w:t>94.96% increase</w:t>
      </w:r>
      <w:r w:rsidRPr="00FD5C3E">
        <w:rPr>
          <w:rFonts w:ascii="Arial Narrow" w:hAnsi="Arial Narrow"/>
        </w:rPr>
        <w:t xml:space="preserve"> relative to the control. Similarly, </w:t>
      </w:r>
      <w:r w:rsidRPr="00FD5C3E">
        <w:rPr>
          <w:rStyle w:val="math-inline"/>
          <w:rFonts w:ascii="Arial Narrow" w:hAnsi="Arial Narrow"/>
          <w:bCs/>
        </w:rPr>
        <w:t>T</w:t>
      </w:r>
      <w:r w:rsidRPr="00FD5C3E">
        <w:rPr>
          <w:rStyle w:val="math-inline"/>
          <w:rFonts w:ascii="Arial Narrow" w:hAnsi="Arial Narrow"/>
          <w:bCs/>
          <w:vertAlign w:val="subscript"/>
        </w:rPr>
        <w:t>6</w:t>
      </w:r>
      <w:r w:rsidRPr="00FD5C3E">
        <w:rPr>
          <w:rFonts w:ascii="Arial Narrow" w:hAnsi="Arial Narrow"/>
          <w:bCs/>
        </w:rPr>
        <w:t>(</w:t>
      </w:r>
      <w:proofErr w:type="spellStart"/>
      <w:r w:rsidRPr="00FD5C3E">
        <w:rPr>
          <w:rFonts w:ascii="Arial Narrow" w:hAnsi="Arial Narrow"/>
          <w:bCs/>
        </w:rPr>
        <w:t>CuNP</w:t>
      </w:r>
      <w:proofErr w:type="spellEnd"/>
      <w:r w:rsidRPr="00FD5C3E">
        <w:rPr>
          <w:rFonts w:ascii="Arial Narrow" w:hAnsi="Arial Narrow"/>
          <w:bCs/>
        </w:rPr>
        <w:t xml:space="preserve"> @ 100 ppm)</w:t>
      </w:r>
      <w:r w:rsidRPr="00FD5C3E">
        <w:rPr>
          <w:rFonts w:ascii="Arial Narrow" w:hAnsi="Arial Narrow"/>
        </w:rPr>
        <w:t xml:space="preserve"> exhibited substantial enzymatic induction, showing the second-highest activity with a </w:t>
      </w:r>
      <w:r w:rsidRPr="00FD5C3E">
        <w:rPr>
          <w:rFonts w:ascii="Arial Narrow" w:hAnsi="Arial Narrow"/>
          <w:bCs/>
        </w:rPr>
        <w:t>92.83% increase</w:t>
      </w:r>
      <w:r w:rsidRPr="00FD5C3E">
        <w:rPr>
          <w:rFonts w:ascii="Arial Narrow" w:hAnsi="Arial Narrow"/>
        </w:rPr>
        <w:t>.</w:t>
      </w:r>
    </w:p>
    <w:p w:rsidR="00980B9B" w:rsidRDefault="00980B9B" w:rsidP="00FD5C3E">
      <w:pPr>
        <w:pStyle w:val="NormalWeb"/>
        <w:spacing w:before="120" w:beforeAutospacing="0" w:after="120" w:afterAutospacing="0"/>
        <w:jc w:val="both"/>
        <w:rPr>
          <w:rFonts w:ascii="Arial Narrow" w:hAnsi="Arial Narrow"/>
        </w:rPr>
      </w:pPr>
    </w:p>
    <w:p w:rsidR="00980B9B" w:rsidRDefault="00980B9B" w:rsidP="00FD5C3E">
      <w:pPr>
        <w:pStyle w:val="NormalWeb"/>
        <w:spacing w:before="120" w:beforeAutospacing="0" w:after="120" w:afterAutospacing="0"/>
        <w:jc w:val="both"/>
        <w:rPr>
          <w:rFonts w:ascii="Arial Narrow" w:hAnsi="Arial Narrow"/>
        </w:rPr>
      </w:pPr>
    </w:p>
    <w:p w:rsidR="00980B9B" w:rsidRDefault="00980B9B" w:rsidP="00FD5C3E">
      <w:pPr>
        <w:pStyle w:val="NormalWeb"/>
        <w:spacing w:before="120" w:beforeAutospacing="0" w:after="120" w:afterAutospacing="0"/>
        <w:jc w:val="both"/>
        <w:rPr>
          <w:rFonts w:ascii="Arial Narrow" w:hAnsi="Arial Narrow"/>
        </w:rPr>
      </w:pPr>
    </w:p>
    <w:p w:rsidR="00980B9B" w:rsidRDefault="00980B9B" w:rsidP="00FD5C3E">
      <w:pPr>
        <w:pStyle w:val="NormalWeb"/>
        <w:spacing w:before="120" w:beforeAutospacing="0" w:after="120" w:afterAutospacing="0"/>
        <w:jc w:val="both"/>
        <w:rPr>
          <w:rFonts w:ascii="Arial Narrow" w:hAnsi="Arial Narrow"/>
        </w:rPr>
      </w:pPr>
    </w:p>
    <w:p w:rsidR="00B632B4" w:rsidRPr="009D488F" w:rsidRDefault="00B632B4" w:rsidP="00B632B4">
      <w:pPr>
        <w:tabs>
          <w:tab w:val="left" w:pos="2186"/>
        </w:tabs>
        <w:spacing w:line="276" w:lineRule="auto"/>
        <w:ind w:left="783" w:hanging="783"/>
        <w:jc w:val="both"/>
        <w:rPr>
          <w:rFonts w:ascii="Arial Narrow" w:hAnsi="Arial Narrow"/>
          <w:sz w:val="24"/>
          <w:szCs w:val="24"/>
        </w:rPr>
      </w:pPr>
      <w:r w:rsidRPr="009D488F">
        <w:rPr>
          <w:rFonts w:ascii="Arial Narrow" w:hAnsi="Arial Narrow" w:cs="Times New Roman"/>
          <w:b/>
          <w:sz w:val="24"/>
          <w:szCs w:val="24"/>
        </w:rPr>
        <w:lastRenderedPageBreak/>
        <w:t>Table 4: Effect of green particles on activities of peroxidises in tomato leaves at different days after inoculation during 2023-24</w:t>
      </w:r>
    </w:p>
    <w:tbl>
      <w:tblPr>
        <w:tblStyle w:val="TableGrid"/>
        <w:tblW w:w="0" w:type="auto"/>
        <w:tblLook w:val="04A0" w:firstRow="1" w:lastRow="0" w:firstColumn="1" w:lastColumn="0" w:noHBand="0" w:noVBand="1"/>
      </w:tblPr>
      <w:tblGrid>
        <w:gridCol w:w="1440"/>
        <w:gridCol w:w="1152"/>
        <w:gridCol w:w="1152"/>
        <w:gridCol w:w="1152"/>
        <w:gridCol w:w="1152"/>
        <w:gridCol w:w="3194"/>
      </w:tblGrid>
      <w:tr w:rsidR="00B632B4" w:rsidRPr="00FD5C3E" w:rsidTr="005C1BA3">
        <w:tc>
          <w:tcPr>
            <w:tcW w:w="1440" w:type="dxa"/>
            <w:vMerge w:val="restart"/>
          </w:tcPr>
          <w:p w:rsidR="00B632B4" w:rsidRPr="00B632B4" w:rsidRDefault="00B632B4" w:rsidP="005C1BA3">
            <w:pPr>
              <w:ind w:left="-90" w:right="-102" w:firstLine="18"/>
              <w:jc w:val="both"/>
              <w:rPr>
                <w:rFonts w:ascii="Arial Narrow" w:hAnsi="Arial Narrow" w:cs="Times New Roman"/>
                <w:b/>
                <w:sz w:val="24"/>
                <w:szCs w:val="24"/>
              </w:rPr>
            </w:pPr>
            <w:r w:rsidRPr="00B632B4">
              <w:rPr>
                <w:rFonts w:ascii="Arial Narrow" w:hAnsi="Arial Narrow" w:cs="Times New Roman"/>
                <w:b/>
                <w:sz w:val="24"/>
                <w:szCs w:val="24"/>
              </w:rPr>
              <w:t>Treatments</w:t>
            </w:r>
          </w:p>
        </w:tc>
        <w:tc>
          <w:tcPr>
            <w:tcW w:w="7802" w:type="dxa"/>
            <w:gridSpan w:val="5"/>
          </w:tcPr>
          <w:p w:rsidR="00B632B4" w:rsidRPr="00B632B4" w:rsidRDefault="00B632B4" w:rsidP="00B632B4">
            <w:pPr>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Peroxidase activity (2023-24)</w:t>
            </w:r>
          </w:p>
        </w:tc>
      </w:tr>
      <w:tr w:rsidR="00B632B4" w:rsidRPr="00FD5C3E" w:rsidTr="005C1BA3">
        <w:tc>
          <w:tcPr>
            <w:tcW w:w="1440" w:type="dxa"/>
            <w:vMerge/>
          </w:tcPr>
          <w:p w:rsidR="00B632B4" w:rsidRPr="00B632B4" w:rsidRDefault="00B632B4" w:rsidP="005C1BA3">
            <w:pPr>
              <w:ind w:left="-90" w:right="-102" w:firstLine="18"/>
              <w:jc w:val="both"/>
              <w:rPr>
                <w:rFonts w:ascii="Arial Narrow" w:hAnsi="Arial Narrow" w:cs="Times New Roman"/>
                <w:b/>
                <w:sz w:val="24"/>
                <w:szCs w:val="24"/>
              </w:rPr>
            </w:pPr>
          </w:p>
        </w:tc>
        <w:tc>
          <w:tcPr>
            <w:tcW w:w="1152" w:type="dxa"/>
            <w:vAlign w:val="center"/>
          </w:tcPr>
          <w:p w:rsidR="00B632B4" w:rsidRPr="00B632B4" w:rsidRDefault="00B632B4" w:rsidP="005C1BA3">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2 DAI</w:t>
            </w:r>
          </w:p>
        </w:tc>
        <w:tc>
          <w:tcPr>
            <w:tcW w:w="1152" w:type="dxa"/>
            <w:vAlign w:val="center"/>
          </w:tcPr>
          <w:p w:rsidR="00B632B4" w:rsidRPr="00B632B4" w:rsidRDefault="00B632B4" w:rsidP="005C1BA3">
            <w:pPr>
              <w:spacing w:line="276" w:lineRule="auto"/>
              <w:ind w:left="-90" w:right="-102" w:firstLine="18"/>
              <w:jc w:val="center"/>
              <w:rPr>
                <w:rFonts w:ascii="Arial Narrow" w:hAnsi="Arial Narrow" w:cs="Times New Roman"/>
                <w:b/>
                <w:sz w:val="24"/>
                <w:szCs w:val="24"/>
              </w:rPr>
            </w:pPr>
            <w:proofErr w:type="gramStart"/>
            <w:r w:rsidRPr="00B632B4">
              <w:rPr>
                <w:rFonts w:ascii="Arial Narrow" w:hAnsi="Arial Narrow" w:cs="Times New Roman"/>
                <w:b/>
                <w:sz w:val="24"/>
                <w:szCs w:val="24"/>
              </w:rPr>
              <w:t>5  DAI</w:t>
            </w:r>
            <w:proofErr w:type="gramEnd"/>
          </w:p>
        </w:tc>
        <w:tc>
          <w:tcPr>
            <w:tcW w:w="1152" w:type="dxa"/>
            <w:vAlign w:val="center"/>
          </w:tcPr>
          <w:p w:rsidR="00B632B4" w:rsidRPr="00B632B4" w:rsidRDefault="00B632B4" w:rsidP="005C1BA3">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8 DAI</w:t>
            </w:r>
          </w:p>
        </w:tc>
        <w:tc>
          <w:tcPr>
            <w:tcW w:w="1152" w:type="dxa"/>
            <w:vAlign w:val="center"/>
          </w:tcPr>
          <w:p w:rsidR="00B632B4" w:rsidRPr="00B632B4" w:rsidRDefault="00B632B4" w:rsidP="005C1BA3">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11 DAI</w:t>
            </w:r>
          </w:p>
        </w:tc>
        <w:tc>
          <w:tcPr>
            <w:tcW w:w="3194" w:type="dxa"/>
            <w:vAlign w:val="center"/>
          </w:tcPr>
          <w:p w:rsidR="00B632B4" w:rsidRPr="00B632B4" w:rsidRDefault="00B632B4" w:rsidP="005C1BA3">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 Increased over control @ 8DAI</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0.994</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1.189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1.631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1.398</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82.85</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1.203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1.692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1.476</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89.69</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1.265</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1.739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1.527</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94.96</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4</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0.960</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1.597</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1.343</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79.04</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5</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1.006</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1.194</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1.688</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1.455</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89.24</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6</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1.051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1.221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1.720</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1.502</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92.83</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7</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0.843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1.119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1.483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1.196</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66.26</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8</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0.882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1.132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1.511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1.241</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69.39</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0.915</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1.156</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1.574</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1.266</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76.46</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10</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0.829</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1.030</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1.323</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1.163</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48.32</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0.796</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0.921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1.105</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1.076</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23.88</w:t>
            </w:r>
          </w:p>
        </w:tc>
      </w:tr>
      <w:tr w:rsidR="00B632B4" w:rsidRPr="00FD5C3E" w:rsidTr="005C1BA3">
        <w:tc>
          <w:tcPr>
            <w:tcW w:w="1440" w:type="dxa"/>
            <w:vAlign w:val="center"/>
          </w:tcPr>
          <w:p w:rsidR="00B632B4" w:rsidRPr="00B632B4" w:rsidRDefault="00B632B4" w:rsidP="00B632B4">
            <w:pPr>
              <w:pStyle w:val="ListParagraph"/>
              <w:spacing w:line="276" w:lineRule="auto"/>
              <w:ind w:left="-90" w:right="-102" w:firstLine="18"/>
              <w:jc w:val="center"/>
              <w:rPr>
                <w:rFonts w:ascii="Arial Narrow" w:hAnsi="Arial Narrow" w:cs="Times New Roman"/>
                <w:sz w:val="24"/>
                <w:szCs w:val="24"/>
                <w:vertAlign w:val="subscript"/>
                <w:lang w:bidi="en-US"/>
              </w:rPr>
            </w:pPr>
            <w:r w:rsidRPr="00B632B4">
              <w:rPr>
                <w:rFonts w:ascii="Arial Narrow" w:hAnsi="Arial Narrow" w:cs="Times New Roman"/>
                <w:sz w:val="24"/>
                <w:szCs w:val="24"/>
                <w:lang w:bidi="en-US"/>
              </w:rPr>
              <w:t>T</w:t>
            </w:r>
            <w:r w:rsidRPr="00B632B4">
              <w:rPr>
                <w:rFonts w:ascii="Arial Narrow" w:hAnsi="Arial Narrow" w:cs="Times New Roman"/>
                <w:sz w:val="24"/>
                <w:szCs w:val="24"/>
                <w:vertAlign w:val="subscript"/>
                <w:lang w:bidi="en-US"/>
              </w:rPr>
              <w:t>12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0.624</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0.731</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0.892</w:t>
            </w:r>
          </w:p>
        </w:tc>
        <w:tc>
          <w:tcPr>
            <w:tcW w:w="1152"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0.811</w:t>
            </w:r>
          </w:p>
        </w:tc>
        <w:tc>
          <w:tcPr>
            <w:tcW w:w="3194" w:type="dxa"/>
            <w:vAlign w:val="center"/>
          </w:tcPr>
          <w:p w:rsidR="00B632B4" w:rsidRPr="00B632B4" w:rsidRDefault="00B632B4" w:rsidP="00B632B4">
            <w:pPr>
              <w:spacing w:line="276" w:lineRule="auto"/>
              <w:jc w:val="center"/>
              <w:rPr>
                <w:rFonts w:ascii="Arial Narrow" w:hAnsi="Arial Narrow" w:cs="Times New Roman"/>
                <w:color w:val="000000"/>
                <w:sz w:val="24"/>
                <w:szCs w:val="24"/>
              </w:rPr>
            </w:pPr>
            <w:r w:rsidRPr="00B632B4">
              <w:rPr>
                <w:rFonts w:ascii="Arial Narrow" w:hAnsi="Arial Narrow" w:cs="Times New Roman"/>
                <w:color w:val="000000"/>
                <w:sz w:val="24"/>
                <w:szCs w:val="24"/>
              </w:rPr>
              <w:t>-</w:t>
            </w:r>
          </w:p>
        </w:tc>
      </w:tr>
      <w:tr w:rsidR="00B632B4" w:rsidRPr="00FD5C3E" w:rsidTr="005C1BA3">
        <w:tc>
          <w:tcPr>
            <w:tcW w:w="1440" w:type="dxa"/>
            <w:vAlign w:val="center"/>
          </w:tcPr>
          <w:p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CD at 5%</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0.038</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0.049</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0.067</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0.058</w:t>
            </w:r>
          </w:p>
        </w:tc>
        <w:tc>
          <w:tcPr>
            <w:tcW w:w="3194"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rsidTr="005C1BA3">
        <w:tc>
          <w:tcPr>
            <w:tcW w:w="1440" w:type="dxa"/>
            <w:vAlign w:val="center"/>
          </w:tcPr>
          <w:p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SE(m)</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0.013</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0.017</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0.023</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0.020</w:t>
            </w:r>
          </w:p>
        </w:tc>
        <w:tc>
          <w:tcPr>
            <w:tcW w:w="3194"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rsidTr="005C1BA3">
        <w:tc>
          <w:tcPr>
            <w:tcW w:w="1440" w:type="dxa"/>
            <w:vAlign w:val="center"/>
          </w:tcPr>
          <w:p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SE(d)</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0.018</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0.024</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0.032</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0.028</w:t>
            </w:r>
          </w:p>
        </w:tc>
        <w:tc>
          <w:tcPr>
            <w:tcW w:w="3194"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r w:rsidR="00B632B4" w:rsidRPr="00FD5C3E" w:rsidTr="005C1BA3">
        <w:tc>
          <w:tcPr>
            <w:tcW w:w="1440" w:type="dxa"/>
            <w:vAlign w:val="center"/>
          </w:tcPr>
          <w:p w:rsidR="00B632B4" w:rsidRPr="00B632B4" w:rsidRDefault="00B632B4" w:rsidP="00B632B4">
            <w:pPr>
              <w:spacing w:line="276" w:lineRule="auto"/>
              <w:ind w:left="-90" w:right="-102" w:firstLine="18"/>
              <w:jc w:val="center"/>
              <w:rPr>
                <w:rFonts w:ascii="Arial Narrow" w:hAnsi="Arial Narrow" w:cs="Times New Roman"/>
                <w:b/>
                <w:sz w:val="24"/>
                <w:szCs w:val="24"/>
              </w:rPr>
            </w:pPr>
            <w:r w:rsidRPr="00B632B4">
              <w:rPr>
                <w:rFonts w:ascii="Arial Narrow" w:hAnsi="Arial Narrow" w:cs="Times New Roman"/>
                <w:b/>
                <w:sz w:val="24"/>
                <w:szCs w:val="24"/>
              </w:rPr>
              <w:t>CV</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2.459</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2.603</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2.610</w:t>
            </w:r>
          </w:p>
        </w:tc>
        <w:tc>
          <w:tcPr>
            <w:tcW w:w="1152"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2.628</w:t>
            </w:r>
          </w:p>
        </w:tc>
        <w:tc>
          <w:tcPr>
            <w:tcW w:w="3194" w:type="dxa"/>
            <w:vAlign w:val="center"/>
          </w:tcPr>
          <w:p w:rsidR="00B632B4" w:rsidRPr="00B632B4" w:rsidRDefault="00B632B4" w:rsidP="00B632B4">
            <w:pPr>
              <w:spacing w:line="276" w:lineRule="auto"/>
              <w:jc w:val="center"/>
              <w:rPr>
                <w:rFonts w:ascii="Arial Narrow" w:eastAsia="Times New Roman" w:hAnsi="Arial Narrow" w:cs="Times New Roman"/>
                <w:kern w:val="0"/>
                <w:sz w:val="24"/>
                <w:szCs w:val="24"/>
                <w:lang w:val="en-US"/>
              </w:rPr>
            </w:pPr>
          </w:p>
        </w:tc>
      </w:tr>
    </w:tbl>
    <w:p w:rsidR="00FD5C3E" w:rsidRPr="00FD5C3E" w:rsidRDefault="00FD5C3E" w:rsidP="00FD5C3E">
      <w:pPr>
        <w:pStyle w:val="NormalWeb"/>
        <w:spacing w:before="120" w:beforeAutospacing="0" w:after="120" w:afterAutospacing="0"/>
        <w:jc w:val="both"/>
        <w:rPr>
          <w:rFonts w:ascii="Arial Narrow" w:hAnsi="Arial Narrow"/>
        </w:rPr>
      </w:pPr>
      <w:r w:rsidRPr="00FD5C3E">
        <w:rPr>
          <w:rFonts w:ascii="Arial Narrow" w:hAnsi="Arial Narrow"/>
        </w:rPr>
        <w:t xml:space="preserve">The marked elevation in PO activity demonstrates a robust state of induced resistance in the treated tomato seedlings, equipping them to better withstand the oxidative stress and mechanical pressure exerted by </w:t>
      </w:r>
      <w:r w:rsidRPr="00FD5C3E">
        <w:rPr>
          <w:rFonts w:ascii="Arial Narrow" w:hAnsi="Arial Narrow"/>
          <w:i/>
          <w:iCs/>
        </w:rPr>
        <w:t xml:space="preserve">P. </w:t>
      </w:r>
      <w:proofErr w:type="spellStart"/>
      <w:r w:rsidRPr="00FD5C3E">
        <w:rPr>
          <w:rFonts w:ascii="Arial Narrow" w:hAnsi="Arial Narrow"/>
          <w:i/>
          <w:iCs/>
        </w:rPr>
        <w:t>infestans</w:t>
      </w:r>
      <w:proofErr w:type="spellEnd"/>
      <w:r w:rsidRPr="00FD5C3E">
        <w:rPr>
          <w:rFonts w:ascii="Arial Narrow" w:hAnsi="Arial Narrow"/>
        </w:rPr>
        <w:t xml:space="preserve">. These findings align with the results of </w:t>
      </w:r>
      <w:r w:rsidRPr="00FD5C3E">
        <w:rPr>
          <w:rFonts w:ascii="Arial Narrow" w:hAnsi="Arial Narrow"/>
          <w:bCs/>
        </w:rPr>
        <w:t>Siddiqui and Shaukat (2004)</w:t>
      </w:r>
      <w:r w:rsidRPr="00FD5C3E">
        <w:rPr>
          <w:rFonts w:ascii="Arial Narrow" w:hAnsi="Arial Narrow"/>
        </w:rPr>
        <w:t xml:space="preserve">, who documented the nanoparticle-mediated enhancement of peroxidase pathways. Furthermore, the ability of </w:t>
      </w:r>
      <w:proofErr w:type="spellStart"/>
      <w:r w:rsidRPr="00FD5C3E">
        <w:rPr>
          <w:rFonts w:ascii="Arial Narrow" w:hAnsi="Arial Narrow"/>
        </w:rPr>
        <w:t>AgNPs</w:t>
      </w:r>
      <w:proofErr w:type="spellEnd"/>
      <w:r w:rsidRPr="00FD5C3E">
        <w:rPr>
          <w:rFonts w:ascii="Arial Narrow" w:hAnsi="Arial Narrow"/>
        </w:rPr>
        <w:t xml:space="preserve"> and </w:t>
      </w:r>
      <w:proofErr w:type="spellStart"/>
      <w:r w:rsidRPr="00FD5C3E">
        <w:rPr>
          <w:rFonts w:ascii="Arial Narrow" w:hAnsi="Arial Narrow"/>
        </w:rPr>
        <w:t>CuNPs</w:t>
      </w:r>
      <w:proofErr w:type="spellEnd"/>
      <w:r w:rsidRPr="00FD5C3E">
        <w:rPr>
          <w:rFonts w:ascii="Arial Narrow" w:hAnsi="Arial Narrow"/>
        </w:rPr>
        <w:t xml:space="preserve"> to significantly upregulate peroxidase activity in tomato plants is well-supported by the recent work of </w:t>
      </w:r>
      <w:r w:rsidRPr="00FD5C3E">
        <w:rPr>
          <w:rFonts w:ascii="Arial Narrow" w:hAnsi="Arial Narrow"/>
          <w:bCs/>
        </w:rPr>
        <w:t xml:space="preserve">Verma </w:t>
      </w:r>
      <w:r w:rsidRPr="00FD5C3E">
        <w:rPr>
          <w:rFonts w:ascii="Arial Narrow" w:hAnsi="Arial Narrow"/>
          <w:bCs/>
          <w:i/>
        </w:rPr>
        <w:t>et al</w:t>
      </w:r>
      <w:r w:rsidRPr="00FD5C3E">
        <w:rPr>
          <w:rFonts w:ascii="Arial Narrow" w:hAnsi="Arial Narrow"/>
          <w:bCs/>
        </w:rPr>
        <w:t>. (2022)</w:t>
      </w:r>
      <w:r w:rsidRPr="00FD5C3E">
        <w:rPr>
          <w:rFonts w:ascii="Arial Narrow" w:hAnsi="Arial Narrow"/>
        </w:rPr>
        <w:t>, confirming the role of these nanoparticles as effective biochemical elicitors.</w:t>
      </w:r>
    </w:p>
    <w:p w:rsidR="004A4462" w:rsidRPr="004A4462" w:rsidRDefault="00B632B4" w:rsidP="004A4462">
      <w:pPr>
        <w:pStyle w:val="NormalWeb"/>
        <w:spacing w:before="120" w:beforeAutospacing="0" w:after="120" w:afterAutospacing="0"/>
        <w:jc w:val="both"/>
        <w:rPr>
          <w:rFonts w:ascii="Arial Narrow" w:hAnsi="Arial Narrow"/>
        </w:rPr>
      </w:pPr>
      <w:r w:rsidRPr="009D488F">
        <w:rPr>
          <w:rFonts w:ascii="Arial Narrow" w:hAnsi="Arial Narrow"/>
          <w:noProof/>
        </w:rPr>
        <w:drawing>
          <wp:inline distT="0" distB="0" distL="0" distR="0">
            <wp:extent cx="5635817" cy="250928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32B4" w:rsidRPr="009D488F" w:rsidRDefault="00B632B4" w:rsidP="00B632B4">
      <w:pPr>
        <w:jc w:val="center"/>
        <w:rPr>
          <w:rFonts w:ascii="Arial Narrow" w:hAnsi="Arial Narrow" w:cs="Times New Roman"/>
          <w:b/>
          <w:sz w:val="24"/>
          <w:szCs w:val="24"/>
        </w:rPr>
      </w:pPr>
      <w:r w:rsidRPr="009D488F">
        <w:rPr>
          <w:rFonts w:ascii="Arial Narrow" w:hAnsi="Arial Narrow" w:cs="Times New Roman"/>
          <w:b/>
          <w:sz w:val="24"/>
          <w:szCs w:val="24"/>
        </w:rPr>
        <w:t>Figure 1: Effect of green nanoparticles on biochemical parameter of tomato seedlings</w:t>
      </w:r>
    </w:p>
    <w:p w:rsidR="00B632B4" w:rsidRDefault="00B632B4" w:rsidP="0043245D">
      <w:pPr>
        <w:spacing w:before="120" w:after="120" w:line="240" w:lineRule="auto"/>
        <w:jc w:val="both"/>
        <w:rPr>
          <w:rFonts w:ascii="Arial Narrow" w:eastAsia="Times New Roman" w:hAnsi="Arial Narrow" w:cs="Times New Roman"/>
          <w:kern w:val="0"/>
          <w:sz w:val="24"/>
          <w:szCs w:val="24"/>
          <w:lang w:val="en-US"/>
        </w:rPr>
      </w:pPr>
      <w:r w:rsidRPr="00B632B4">
        <w:rPr>
          <w:rFonts w:ascii="Arial Narrow" w:eastAsia="Times New Roman" w:hAnsi="Arial Narrow" w:cs="Times New Roman"/>
          <w:kern w:val="0"/>
          <w:sz w:val="24"/>
          <w:szCs w:val="24"/>
          <w:lang w:val="en-US"/>
        </w:rPr>
        <w:t xml:space="preserve">A comparative assessment of the experimental data, illustrated in </w:t>
      </w:r>
      <w:r w:rsidRPr="00B632B4">
        <w:rPr>
          <w:rFonts w:ascii="Arial Narrow" w:eastAsia="Times New Roman" w:hAnsi="Arial Narrow" w:cs="Times New Roman"/>
          <w:bCs/>
          <w:kern w:val="0"/>
          <w:sz w:val="24"/>
          <w:szCs w:val="24"/>
          <w:lang w:val="en-US"/>
        </w:rPr>
        <w:t>Figure 1</w:t>
      </w:r>
      <w:r w:rsidRPr="00B632B4">
        <w:rPr>
          <w:rFonts w:ascii="Arial Narrow" w:eastAsia="Times New Roman" w:hAnsi="Arial Narrow" w:cs="Times New Roman"/>
          <w:kern w:val="0"/>
          <w:sz w:val="24"/>
          <w:szCs w:val="24"/>
          <w:lang w:val="en-US"/>
        </w:rPr>
        <w:t xml:space="preserve">, reveals that among the diverse array of treatments evaluated,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3</w:t>
      </w:r>
      <w:r w:rsidRPr="00B632B4">
        <w:rPr>
          <w:rFonts w:ascii="Arial Narrow" w:eastAsia="Times New Roman" w:hAnsi="Arial Narrow" w:cs="Times New Roman"/>
          <w:bCs/>
          <w:kern w:val="0"/>
          <w:sz w:val="24"/>
          <w:szCs w:val="24"/>
          <w:lang w:val="en-US"/>
        </w:rPr>
        <w:t xml:space="preserve"> (</w:t>
      </w:r>
      <w:proofErr w:type="spellStart"/>
      <w:r w:rsidRPr="00B632B4">
        <w:rPr>
          <w:rFonts w:ascii="Arial Narrow" w:eastAsia="Times New Roman" w:hAnsi="Arial Narrow" w:cs="Times New Roman"/>
          <w:bCs/>
          <w:kern w:val="0"/>
          <w:sz w:val="24"/>
          <w:szCs w:val="24"/>
          <w:lang w:val="en-US"/>
        </w:rPr>
        <w:t>AgNP</w:t>
      </w:r>
      <w:proofErr w:type="spellEnd"/>
      <w:r w:rsidRPr="00B632B4">
        <w:rPr>
          <w:rFonts w:ascii="Arial Narrow" w:eastAsia="Times New Roman" w:hAnsi="Arial Narrow" w:cs="Times New Roman"/>
          <w:bCs/>
          <w:kern w:val="0"/>
          <w:sz w:val="24"/>
          <w:szCs w:val="24"/>
          <w:lang w:val="en-US"/>
        </w:rPr>
        <w:t xml:space="preserve"> @ 100 ppm)</w:t>
      </w:r>
      <w:r w:rsidRPr="00B632B4">
        <w:rPr>
          <w:rFonts w:ascii="Arial Narrow" w:eastAsia="Times New Roman" w:hAnsi="Arial Narrow" w:cs="Times New Roman"/>
          <w:kern w:val="0"/>
          <w:sz w:val="24"/>
          <w:szCs w:val="24"/>
          <w:lang w:val="en-US"/>
        </w:rPr>
        <w:t xml:space="preserve"> was consistently the most effective in </w:t>
      </w:r>
      <w:r w:rsidRPr="00B632B4">
        <w:rPr>
          <w:rFonts w:ascii="Arial Narrow" w:eastAsia="Times New Roman" w:hAnsi="Arial Narrow" w:cs="Times New Roman"/>
          <w:kern w:val="0"/>
          <w:sz w:val="24"/>
          <w:szCs w:val="24"/>
          <w:lang w:val="en-US"/>
        </w:rPr>
        <w:lastRenderedPageBreak/>
        <w:t xml:space="preserve">eliciting biochemical defense responses. This was followed by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6</w:t>
      </w:r>
      <w:r w:rsidRPr="00B632B4">
        <w:rPr>
          <w:rFonts w:ascii="Arial Narrow" w:eastAsia="Times New Roman" w:hAnsi="Arial Narrow" w:cs="Times New Roman"/>
          <w:bCs/>
          <w:kern w:val="0"/>
          <w:sz w:val="24"/>
          <w:szCs w:val="24"/>
          <w:lang w:val="en-US"/>
        </w:rPr>
        <w:t xml:space="preserve"> (</w:t>
      </w:r>
      <w:proofErr w:type="spellStart"/>
      <w:r w:rsidRPr="00B632B4">
        <w:rPr>
          <w:rFonts w:ascii="Arial Narrow" w:eastAsia="Times New Roman" w:hAnsi="Arial Narrow" w:cs="Times New Roman"/>
          <w:bCs/>
          <w:kern w:val="0"/>
          <w:sz w:val="24"/>
          <w:szCs w:val="24"/>
          <w:lang w:val="en-US"/>
        </w:rPr>
        <w:t>CuNP</w:t>
      </w:r>
      <w:proofErr w:type="spellEnd"/>
      <w:r w:rsidRPr="00B632B4">
        <w:rPr>
          <w:rFonts w:ascii="Arial Narrow" w:eastAsia="Times New Roman" w:hAnsi="Arial Narrow" w:cs="Times New Roman"/>
          <w:bCs/>
          <w:kern w:val="0"/>
          <w:sz w:val="24"/>
          <w:szCs w:val="24"/>
          <w:lang w:val="en-US"/>
        </w:rPr>
        <w:t xml:space="preserve"> @ 100 ppm)</w:t>
      </w:r>
      <w:r w:rsidRPr="00B632B4">
        <w:rPr>
          <w:rFonts w:ascii="Arial Narrow" w:eastAsia="Times New Roman" w:hAnsi="Arial Narrow" w:cs="Times New Roman"/>
          <w:kern w:val="0"/>
          <w:sz w:val="24"/>
          <w:szCs w:val="24"/>
          <w:lang w:val="en-US"/>
        </w:rPr>
        <w:t xml:space="preserve"> and </w:t>
      </w:r>
      <w:r w:rsidRPr="0043245D">
        <w:rPr>
          <w:rFonts w:ascii="Arial Narrow" w:eastAsia="Times New Roman" w:hAnsi="Arial Narrow" w:cs="Times New Roman"/>
          <w:bCs/>
          <w:kern w:val="0"/>
          <w:sz w:val="24"/>
          <w:szCs w:val="24"/>
          <w:lang w:val="en-US"/>
        </w:rPr>
        <w:t>T</w:t>
      </w:r>
      <w:r w:rsidRPr="0043245D">
        <w:rPr>
          <w:rFonts w:ascii="Arial Narrow" w:eastAsia="Times New Roman" w:hAnsi="Arial Narrow" w:cs="Times New Roman"/>
          <w:bCs/>
          <w:kern w:val="0"/>
          <w:sz w:val="24"/>
          <w:szCs w:val="24"/>
          <w:vertAlign w:val="subscript"/>
          <w:lang w:val="en-US"/>
        </w:rPr>
        <w:t>2</w:t>
      </w:r>
      <w:r w:rsidRPr="00B632B4">
        <w:rPr>
          <w:rFonts w:ascii="Arial Narrow" w:eastAsia="Times New Roman" w:hAnsi="Arial Narrow" w:cs="Times New Roman"/>
          <w:bCs/>
          <w:kern w:val="0"/>
          <w:sz w:val="24"/>
          <w:szCs w:val="24"/>
          <w:lang w:val="en-US"/>
        </w:rPr>
        <w:t>(</w:t>
      </w:r>
      <w:proofErr w:type="spellStart"/>
      <w:r w:rsidRPr="00B632B4">
        <w:rPr>
          <w:rFonts w:ascii="Arial Narrow" w:eastAsia="Times New Roman" w:hAnsi="Arial Narrow" w:cs="Times New Roman"/>
          <w:bCs/>
          <w:kern w:val="0"/>
          <w:sz w:val="24"/>
          <w:szCs w:val="24"/>
          <w:lang w:val="en-US"/>
        </w:rPr>
        <w:t>AgNP</w:t>
      </w:r>
      <w:proofErr w:type="spellEnd"/>
      <w:r w:rsidRPr="00B632B4">
        <w:rPr>
          <w:rFonts w:ascii="Arial Narrow" w:eastAsia="Times New Roman" w:hAnsi="Arial Narrow" w:cs="Times New Roman"/>
          <w:bCs/>
          <w:kern w:val="0"/>
          <w:sz w:val="24"/>
          <w:szCs w:val="24"/>
          <w:lang w:val="en-US"/>
        </w:rPr>
        <w:t xml:space="preserve"> @ 75 ppm)</w:t>
      </w:r>
      <w:r w:rsidRPr="00B632B4">
        <w:rPr>
          <w:rFonts w:ascii="Arial Narrow" w:eastAsia="Times New Roman" w:hAnsi="Arial Narrow" w:cs="Times New Roman"/>
          <w:kern w:val="0"/>
          <w:sz w:val="24"/>
          <w:szCs w:val="24"/>
          <w:lang w:val="en-US"/>
        </w:rPr>
        <w:t xml:space="preserve">, respectively. While </w:t>
      </w:r>
      <w:r w:rsidRPr="00B632B4">
        <w:rPr>
          <w:rFonts w:ascii="Arial Narrow" w:eastAsia="Times New Roman" w:hAnsi="Arial Narrow" w:cs="Times New Roman"/>
          <w:bCs/>
          <w:kern w:val="0"/>
          <w:sz w:val="24"/>
          <w:szCs w:val="24"/>
          <w:lang w:val="en-US"/>
        </w:rPr>
        <w:t>neem extract</w:t>
      </w:r>
      <w:r w:rsidRPr="00B632B4">
        <w:rPr>
          <w:rFonts w:ascii="Arial Narrow" w:eastAsia="Times New Roman" w:hAnsi="Arial Narrow" w:cs="Times New Roman"/>
          <w:kern w:val="0"/>
          <w:sz w:val="24"/>
          <w:szCs w:val="24"/>
          <w:lang w:val="en-US"/>
        </w:rPr>
        <w:t xml:space="preserve"> treatments also contributed to the enhancement of the host's innate immunity, their efficacy was comparatively lower than that of the nanoparticle-based interventions. Furthermore, the conventional fungicide </w:t>
      </w:r>
      <w:r w:rsidRPr="00B632B4">
        <w:rPr>
          <w:rFonts w:ascii="Arial Narrow" w:eastAsia="Times New Roman" w:hAnsi="Arial Narrow" w:cs="Times New Roman"/>
          <w:bCs/>
          <w:kern w:val="0"/>
          <w:sz w:val="24"/>
          <w:szCs w:val="24"/>
          <w:lang w:val="en-US"/>
        </w:rPr>
        <w:t>mancozeb</w:t>
      </w:r>
      <w:r w:rsidRPr="00B632B4">
        <w:rPr>
          <w:rFonts w:ascii="Arial Narrow" w:eastAsia="Times New Roman" w:hAnsi="Arial Narrow" w:cs="Times New Roman"/>
          <w:kern w:val="0"/>
          <w:sz w:val="24"/>
          <w:szCs w:val="24"/>
          <w:lang w:val="en-US"/>
        </w:rPr>
        <w:t xml:space="preserve"> demonstrated only a moderate induction of biochemical markers, suggesting that while it provides direct fungitoxic effects, its role as a systemic elicitor is less pronounced than that of green-synthesized nanoparticles.</w:t>
      </w:r>
    </w:p>
    <w:p w:rsidR="0043245D" w:rsidRPr="0043245D" w:rsidRDefault="0043245D" w:rsidP="0043245D">
      <w:pPr>
        <w:pStyle w:val="Heading2"/>
        <w:spacing w:before="120" w:after="120" w:line="240" w:lineRule="auto"/>
        <w:jc w:val="both"/>
        <w:rPr>
          <w:rFonts w:ascii="Arial Narrow" w:hAnsi="Arial Narrow"/>
          <w:b/>
          <w:color w:val="auto"/>
          <w:sz w:val="24"/>
          <w:szCs w:val="24"/>
        </w:rPr>
      </w:pPr>
      <w:r w:rsidRPr="0043245D">
        <w:rPr>
          <w:rFonts w:ascii="Arial Narrow" w:hAnsi="Arial Narrow"/>
          <w:b/>
          <w:color w:val="auto"/>
          <w:sz w:val="24"/>
          <w:szCs w:val="24"/>
        </w:rPr>
        <w:t>4. Conclusion</w:t>
      </w:r>
    </w:p>
    <w:p w:rsidR="0043245D" w:rsidRDefault="0043245D" w:rsidP="0043245D">
      <w:pPr>
        <w:pStyle w:val="NormalWeb"/>
        <w:spacing w:before="120" w:beforeAutospacing="0" w:after="120" w:afterAutospacing="0"/>
        <w:jc w:val="both"/>
        <w:rPr>
          <w:rFonts w:ascii="Arial Narrow" w:hAnsi="Arial Narrow"/>
        </w:rPr>
      </w:pPr>
      <w:r w:rsidRPr="0043245D">
        <w:rPr>
          <w:rFonts w:ascii="Arial Narrow" w:hAnsi="Arial Narrow"/>
        </w:rPr>
        <w:t xml:space="preserve">The present investigation provides compelling evidence that green-synthesized nanoparticles serve as potent elicitors of the innate biochemical defense network in tomato plants. The application of </w:t>
      </w:r>
      <w:proofErr w:type="spellStart"/>
      <w:r w:rsidRPr="0043245D">
        <w:rPr>
          <w:rFonts w:ascii="Arial Narrow" w:hAnsi="Arial Narrow"/>
          <w:bCs/>
        </w:rPr>
        <w:t>AgNP</w:t>
      </w:r>
      <w:proofErr w:type="spellEnd"/>
      <w:r w:rsidRPr="0043245D">
        <w:rPr>
          <w:rFonts w:ascii="Arial Narrow" w:hAnsi="Arial Narrow"/>
          <w:bCs/>
        </w:rPr>
        <w:t xml:space="preserve"> @ 100 ppm (</w:t>
      </w:r>
      <w:r w:rsidRPr="0043245D">
        <w:rPr>
          <w:rStyle w:val="math-inline"/>
          <w:rFonts w:ascii="Arial Narrow" w:hAnsi="Arial Narrow"/>
          <w:bCs/>
        </w:rPr>
        <w:t>T</w:t>
      </w:r>
      <w:r w:rsidRPr="0043245D">
        <w:rPr>
          <w:rStyle w:val="math-inline"/>
          <w:rFonts w:ascii="Arial Narrow" w:hAnsi="Arial Narrow"/>
          <w:bCs/>
          <w:vertAlign w:val="subscript"/>
        </w:rPr>
        <w:t>3</w:t>
      </w:r>
      <w:r w:rsidRPr="0043245D">
        <w:rPr>
          <w:rFonts w:ascii="Arial Narrow" w:hAnsi="Arial Narrow"/>
          <w:bCs/>
        </w:rPr>
        <w:t>)</w:t>
      </w:r>
      <w:r w:rsidRPr="0043245D">
        <w:rPr>
          <w:rFonts w:ascii="Arial Narrow" w:hAnsi="Arial Narrow"/>
        </w:rPr>
        <w:t xml:space="preserve"> was identified as the most efficacious treatment, significantly augmenting the levels of </w:t>
      </w:r>
      <w:r w:rsidRPr="0043245D">
        <w:rPr>
          <w:rFonts w:ascii="Arial Narrow" w:hAnsi="Arial Narrow"/>
          <w:bCs/>
        </w:rPr>
        <w:t>total soluble protein, phenolic compounds, and salicylic acid</w:t>
      </w:r>
      <w:r w:rsidRPr="0043245D">
        <w:rPr>
          <w:rFonts w:ascii="Arial Narrow" w:hAnsi="Arial Narrow"/>
        </w:rPr>
        <w:t xml:space="preserve">, while simultaneously upregulating </w:t>
      </w:r>
      <w:r w:rsidRPr="0043245D">
        <w:rPr>
          <w:rFonts w:ascii="Arial Narrow" w:hAnsi="Arial Narrow"/>
          <w:bCs/>
        </w:rPr>
        <w:t>peroxidase activity</w:t>
      </w:r>
      <w:r w:rsidRPr="0043245D">
        <w:rPr>
          <w:rFonts w:ascii="Arial Narrow" w:hAnsi="Arial Narrow"/>
        </w:rPr>
        <w:t xml:space="preserve">. These biochemical modulations collectively contribute to a heightened state of systemic induced resistance, effectively mitigating the impact of late blight disease caused by </w:t>
      </w:r>
      <w:r w:rsidRPr="0043245D">
        <w:rPr>
          <w:rFonts w:ascii="Arial Narrow" w:hAnsi="Arial Narrow"/>
          <w:i/>
          <w:iCs/>
        </w:rPr>
        <w:t xml:space="preserve">Phytophthora </w:t>
      </w:r>
      <w:proofErr w:type="spellStart"/>
      <w:r w:rsidRPr="0043245D">
        <w:rPr>
          <w:rFonts w:ascii="Arial Narrow" w:hAnsi="Arial Narrow"/>
          <w:i/>
          <w:iCs/>
        </w:rPr>
        <w:t>infestans</w:t>
      </w:r>
      <w:proofErr w:type="spellEnd"/>
      <w:r w:rsidRPr="0043245D">
        <w:rPr>
          <w:rFonts w:ascii="Arial Narrow" w:hAnsi="Arial Narrow"/>
        </w:rPr>
        <w:t>. Consequently, the integration of green-synthesized nanoparticles into crop protection strategies offers a highly promising, eco-friendly, and sustainable alternative to conventional chemical fungicides for the management of tomato late blight.</w:t>
      </w:r>
    </w:p>
    <w:p w:rsidR="00EC686E" w:rsidRDefault="00EC686E" w:rsidP="0043245D">
      <w:pPr>
        <w:pStyle w:val="NormalWeb"/>
        <w:spacing w:before="120" w:beforeAutospacing="0" w:after="120" w:afterAutospacing="0"/>
        <w:jc w:val="both"/>
        <w:rPr>
          <w:rFonts w:ascii="Arial Narrow" w:hAnsi="Arial Narrow"/>
        </w:rPr>
      </w:pPr>
    </w:p>
    <w:p w:rsidR="00EC686E" w:rsidRPr="007B2521" w:rsidRDefault="00EC686E" w:rsidP="007B2521">
      <w:pPr>
        <w:pStyle w:val="NoSpacing"/>
        <w:jc w:val="both"/>
        <w:rPr>
          <w:rFonts w:ascii="Arial" w:hAnsi="Arial" w:cs="Arial"/>
        </w:rPr>
      </w:pPr>
      <w:bookmarkStart w:id="1" w:name="_Hlk219284361"/>
      <w:bookmarkStart w:id="2" w:name="_Hlk198031404"/>
      <w:r w:rsidRPr="007B2521">
        <w:rPr>
          <w:rFonts w:ascii="Arial" w:hAnsi="Arial" w:cs="Arial"/>
        </w:rPr>
        <w:t>Disclaimer (Artificial intelligence)</w:t>
      </w:r>
    </w:p>
    <w:p w:rsidR="00EC686E" w:rsidRPr="007B2521" w:rsidRDefault="00EC686E" w:rsidP="007B2521">
      <w:pPr>
        <w:pStyle w:val="NoSpacing"/>
        <w:jc w:val="both"/>
        <w:rPr>
          <w:rFonts w:ascii="Arial" w:hAnsi="Arial" w:cs="Arial"/>
        </w:rPr>
      </w:pPr>
    </w:p>
    <w:p w:rsidR="00EC686E" w:rsidRPr="007B2521" w:rsidRDefault="00EC686E" w:rsidP="007B2521">
      <w:pPr>
        <w:pStyle w:val="NoSpacing"/>
        <w:jc w:val="both"/>
        <w:rPr>
          <w:rFonts w:ascii="Arial" w:hAnsi="Arial" w:cs="Arial"/>
        </w:rPr>
      </w:pPr>
      <w:r w:rsidRPr="007B2521">
        <w:rPr>
          <w:rFonts w:ascii="Arial" w:hAnsi="Arial" w:cs="Arial"/>
        </w:rPr>
        <w:t>Author(s) hereby declare that NO generative AI technologies such as Large Language Models (</w:t>
      </w:r>
      <w:proofErr w:type="spellStart"/>
      <w:r w:rsidRPr="007B2521">
        <w:rPr>
          <w:rFonts w:ascii="Arial" w:hAnsi="Arial" w:cs="Arial"/>
        </w:rPr>
        <w:t>ChatGPT</w:t>
      </w:r>
      <w:proofErr w:type="spellEnd"/>
      <w:r w:rsidRPr="007B2521">
        <w:rPr>
          <w:rFonts w:ascii="Arial" w:hAnsi="Arial" w:cs="Arial"/>
        </w:rPr>
        <w:t>, COPILOT, etc.) and text-to-image generators have been used during the writing or editing of this manuscript</w:t>
      </w:r>
      <w:bookmarkEnd w:id="1"/>
      <w:r w:rsidRPr="007B2521">
        <w:rPr>
          <w:rFonts w:ascii="Arial" w:hAnsi="Arial" w:cs="Arial"/>
        </w:rPr>
        <w:t xml:space="preserve">. </w:t>
      </w:r>
    </w:p>
    <w:bookmarkEnd w:id="2"/>
    <w:p w:rsidR="00EC686E" w:rsidRPr="0043245D" w:rsidRDefault="00EC686E" w:rsidP="007B2521">
      <w:pPr>
        <w:pStyle w:val="NormalWeb"/>
        <w:spacing w:before="120" w:beforeAutospacing="0" w:after="120" w:afterAutospacing="0"/>
        <w:jc w:val="both"/>
        <w:rPr>
          <w:rFonts w:ascii="Arial Narrow" w:hAnsi="Arial Narrow"/>
        </w:rPr>
      </w:pPr>
    </w:p>
    <w:p w:rsidR="00980B9B" w:rsidRDefault="00980B9B" w:rsidP="0043245D">
      <w:pPr>
        <w:spacing w:line="276" w:lineRule="auto"/>
        <w:jc w:val="both"/>
        <w:rPr>
          <w:rFonts w:ascii="Arial Narrow" w:hAnsi="Arial Narrow" w:cs="Times New Roman"/>
          <w:b/>
          <w:sz w:val="24"/>
          <w:szCs w:val="24"/>
        </w:rPr>
      </w:pPr>
    </w:p>
    <w:p w:rsidR="0043245D" w:rsidRPr="009D488F" w:rsidRDefault="0043245D" w:rsidP="0043245D">
      <w:pPr>
        <w:spacing w:line="276" w:lineRule="auto"/>
        <w:jc w:val="both"/>
        <w:rPr>
          <w:rFonts w:ascii="Arial Narrow" w:hAnsi="Arial Narrow" w:cs="Times New Roman"/>
          <w:b/>
          <w:sz w:val="24"/>
          <w:szCs w:val="24"/>
        </w:rPr>
      </w:pPr>
      <w:r>
        <w:rPr>
          <w:rFonts w:ascii="Arial Narrow" w:hAnsi="Arial Narrow" w:cs="Times New Roman"/>
          <w:b/>
          <w:sz w:val="24"/>
          <w:szCs w:val="24"/>
        </w:rPr>
        <w:t>REFERENCES</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Ali, S., Rizwan, M., Hussain, A., Shahzad, B., Rehman, M. Z. and Ali, B. (2020). Role of salicylic acid in plant physiology and biochemistry. </w:t>
      </w:r>
      <w:r w:rsidRPr="009D488F">
        <w:rPr>
          <w:rFonts w:ascii="Arial Narrow" w:hAnsi="Arial Narrow" w:cs="Times New Roman"/>
          <w:i/>
          <w:sz w:val="24"/>
          <w:szCs w:val="24"/>
        </w:rPr>
        <w:t>Plant Physiology and Biochemistry</w:t>
      </w:r>
      <w:r w:rsidRPr="009D488F">
        <w:rPr>
          <w:rFonts w:ascii="Arial Narrow" w:hAnsi="Arial Narrow" w:cs="Times New Roman"/>
          <w:sz w:val="24"/>
          <w:szCs w:val="24"/>
        </w:rPr>
        <w:t xml:space="preserve">, </w:t>
      </w:r>
      <w:r w:rsidRPr="009D488F">
        <w:rPr>
          <w:rFonts w:ascii="Arial Narrow" w:hAnsi="Arial Narrow" w:cs="Times New Roman"/>
          <w:b/>
          <w:sz w:val="24"/>
          <w:szCs w:val="24"/>
        </w:rPr>
        <w:t>146</w:t>
      </w:r>
      <w:r w:rsidRPr="009D488F">
        <w:rPr>
          <w:rFonts w:ascii="Arial Narrow" w:hAnsi="Arial Narrow" w:cs="Times New Roman"/>
          <w:sz w:val="24"/>
          <w:szCs w:val="24"/>
        </w:rPr>
        <w:t>: 1–9.</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Bray, G. G. and Thorpe, W. P. (1954) Analysis of phenolic compounds of interest in metabolism. </w:t>
      </w:r>
      <w:r w:rsidRPr="009D488F">
        <w:rPr>
          <w:rFonts w:ascii="Arial Narrow" w:hAnsi="Arial Narrow" w:cs="Times New Roman"/>
          <w:i/>
          <w:sz w:val="24"/>
          <w:szCs w:val="24"/>
        </w:rPr>
        <w:t>Methods of Biochemical Analysis</w:t>
      </w:r>
      <w:r w:rsidRPr="009D488F">
        <w:rPr>
          <w:rFonts w:ascii="Arial Narrow" w:hAnsi="Arial Narrow" w:cs="Times New Roman"/>
          <w:sz w:val="24"/>
          <w:szCs w:val="24"/>
        </w:rPr>
        <w:t xml:space="preserve">, </w:t>
      </w:r>
      <w:r w:rsidRPr="009D488F">
        <w:rPr>
          <w:rFonts w:ascii="Arial Narrow" w:hAnsi="Arial Narrow" w:cs="Times New Roman"/>
          <w:b/>
          <w:sz w:val="24"/>
          <w:szCs w:val="24"/>
        </w:rPr>
        <w:t>1</w:t>
      </w:r>
      <w:r w:rsidRPr="009D488F">
        <w:rPr>
          <w:rFonts w:ascii="Arial Narrow" w:hAnsi="Arial Narrow" w:cs="Times New Roman"/>
          <w:sz w:val="24"/>
          <w:szCs w:val="24"/>
        </w:rPr>
        <w:t>:25–52.</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Fahad, S., Adnan, M., Hassan, S., Saud, S., Hussain, S. and Nasim, W. (2021).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and roles of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-related enzymes against pathogens. </w:t>
      </w:r>
      <w:r w:rsidRPr="009D488F">
        <w:rPr>
          <w:rFonts w:ascii="Arial Narrow" w:hAnsi="Arial Narrow" w:cs="Times New Roman"/>
          <w:i/>
          <w:sz w:val="24"/>
          <w:szCs w:val="24"/>
        </w:rPr>
        <w:t>Journal of Plant Growth Regulation,</w:t>
      </w:r>
      <w:r w:rsidRPr="009D488F">
        <w:rPr>
          <w:rFonts w:ascii="Arial Narrow" w:hAnsi="Arial Narrow" w:cs="Times New Roman"/>
          <w:b/>
          <w:sz w:val="24"/>
          <w:szCs w:val="24"/>
        </w:rPr>
        <w:t>40</w:t>
      </w:r>
      <w:r w:rsidRPr="009D488F">
        <w:rPr>
          <w:rFonts w:ascii="Arial Narrow" w:hAnsi="Arial Narrow" w:cs="Times New Roman"/>
          <w:sz w:val="24"/>
          <w:szCs w:val="24"/>
        </w:rPr>
        <w:t>(2): 1-15.</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Fry, W. E. (2008). </w:t>
      </w:r>
      <w:r w:rsidRPr="009D488F">
        <w:rPr>
          <w:rFonts w:ascii="Arial Narrow" w:hAnsi="Arial Narrow" w:cs="Times New Roman"/>
          <w:i/>
          <w:sz w:val="24"/>
          <w:szCs w:val="24"/>
        </w:rPr>
        <w:t xml:space="preserve">Phytophthora </w:t>
      </w:r>
      <w:proofErr w:type="spellStart"/>
      <w:r w:rsidRPr="009D488F">
        <w:rPr>
          <w:rFonts w:ascii="Arial Narrow" w:hAnsi="Arial Narrow" w:cs="Times New Roman"/>
          <w:i/>
          <w:sz w:val="24"/>
          <w:szCs w:val="24"/>
        </w:rPr>
        <w:t>infestans</w:t>
      </w:r>
      <w:proofErr w:type="spellEnd"/>
      <w:r w:rsidRPr="009D488F">
        <w:rPr>
          <w:rFonts w:ascii="Arial Narrow" w:hAnsi="Arial Narrow" w:cs="Times New Roman"/>
          <w:sz w:val="24"/>
          <w:szCs w:val="24"/>
        </w:rPr>
        <w:t xml:space="preserve">: the plant (and R gene) destroyer. </w:t>
      </w:r>
      <w:r w:rsidRPr="009D488F">
        <w:rPr>
          <w:rFonts w:ascii="Arial Narrow" w:hAnsi="Arial Narrow" w:cs="Times New Roman"/>
          <w:i/>
          <w:sz w:val="24"/>
          <w:szCs w:val="24"/>
        </w:rPr>
        <w:t>Molecular Plant Pathology,</w:t>
      </w:r>
      <w:r w:rsidRPr="009D488F">
        <w:rPr>
          <w:rFonts w:ascii="Arial Narrow" w:hAnsi="Arial Narrow" w:cs="Times New Roman"/>
          <w:b/>
          <w:sz w:val="24"/>
          <w:szCs w:val="24"/>
        </w:rPr>
        <w:t>9</w:t>
      </w:r>
      <w:r w:rsidRPr="009D488F">
        <w:rPr>
          <w:rFonts w:ascii="Arial Narrow" w:hAnsi="Arial Narrow" w:cs="Times New Roman"/>
          <w:sz w:val="24"/>
          <w:szCs w:val="24"/>
        </w:rPr>
        <w:t>(3): 385–402.</w:t>
      </w:r>
    </w:p>
    <w:p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Hammerschmidt</w:t>
      </w:r>
      <w:proofErr w:type="spellEnd"/>
      <w:r w:rsidRPr="009D488F">
        <w:rPr>
          <w:rFonts w:ascii="Arial Narrow" w:hAnsi="Arial Narrow" w:cs="Times New Roman"/>
          <w:sz w:val="24"/>
          <w:szCs w:val="24"/>
        </w:rPr>
        <w:t xml:space="preserve">, R., </w:t>
      </w:r>
      <w:proofErr w:type="spellStart"/>
      <w:r w:rsidRPr="009D488F">
        <w:rPr>
          <w:rFonts w:ascii="Arial Narrow" w:hAnsi="Arial Narrow" w:cs="Times New Roman"/>
          <w:sz w:val="24"/>
          <w:szCs w:val="24"/>
        </w:rPr>
        <w:t>Nuckles</w:t>
      </w:r>
      <w:proofErr w:type="spellEnd"/>
      <w:r w:rsidRPr="009D488F">
        <w:rPr>
          <w:rFonts w:ascii="Arial Narrow" w:hAnsi="Arial Narrow" w:cs="Times New Roman"/>
          <w:sz w:val="24"/>
          <w:szCs w:val="24"/>
        </w:rPr>
        <w:t xml:space="preserve">, E. M. and </w:t>
      </w:r>
      <w:proofErr w:type="spellStart"/>
      <w:r w:rsidRPr="009D488F">
        <w:rPr>
          <w:rFonts w:ascii="Arial Narrow" w:hAnsi="Arial Narrow" w:cs="Times New Roman"/>
          <w:sz w:val="24"/>
          <w:szCs w:val="24"/>
        </w:rPr>
        <w:t>Kuc</w:t>
      </w:r>
      <w:proofErr w:type="spellEnd"/>
      <w:r w:rsidRPr="009D488F">
        <w:rPr>
          <w:rFonts w:ascii="Arial Narrow" w:hAnsi="Arial Narrow" w:cs="Times New Roman"/>
          <w:sz w:val="24"/>
          <w:szCs w:val="24"/>
        </w:rPr>
        <w:t xml:space="preserve"> J. (1982). Association of enhanced peroxidase activity with induced systemic resistance of cucumber to </w:t>
      </w:r>
      <w:r w:rsidRPr="009D488F">
        <w:rPr>
          <w:rFonts w:ascii="Arial Narrow" w:hAnsi="Arial Narrow" w:cs="Times New Roman"/>
          <w:i/>
          <w:sz w:val="24"/>
          <w:szCs w:val="24"/>
        </w:rPr>
        <w:t xml:space="preserve">Colletotrichum </w:t>
      </w:r>
      <w:proofErr w:type="spellStart"/>
      <w:r w:rsidRPr="009D488F">
        <w:rPr>
          <w:rFonts w:ascii="Arial Narrow" w:hAnsi="Arial Narrow" w:cs="Times New Roman"/>
          <w:i/>
          <w:sz w:val="24"/>
          <w:szCs w:val="24"/>
        </w:rPr>
        <w:t>lagenarium</w:t>
      </w:r>
      <w:proofErr w:type="spellEnd"/>
      <w:r w:rsidRPr="009D488F">
        <w:rPr>
          <w:rFonts w:ascii="Arial Narrow" w:hAnsi="Arial Narrow" w:cs="Times New Roman"/>
          <w:i/>
          <w:sz w:val="24"/>
          <w:szCs w:val="24"/>
        </w:rPr>
        <w:t>. Physiological Plant Pathology,</w:t>
      </w:r>
      <w:r w:rsidRPr="009D488F">
        <w:rPr>
          <w:rFonts w:ascii="Arial Narrow" w:hAnsi="Arial Narrow" w:cs="Times New Roman"/>
          <w:b/>
          <w:sz w:val="24"/>
          <w:szCs w:val="24"/>
        </w:rPr>
        <w:t>20</w:t>
      </w:r>
      <w:r w:rsidRPr="009D488F">
        <w:rPr>
          <w:rFonts w:ascii="Arial Narrow" w:hAnsi="Arial Narrow" w:cs="Times New Roman"/>
          <w:sz w:val="24"/>
          <w:szCs w:val="24"/>
        </w:rPr>
        <w:t>(1): 73-82.</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Hasan, M., Uddin, M., Mahmud, N., Ali, M. R. and Hossain, M. A. (2021). Silver nanoparticles induce protein accumulation and resistance in tomato. </w:t>
      </w:r>
      <w:r w:rsidRPr="009D488F">
        <w:rPr>
          <w:rFonts w:ascii="Arial Narrow" w:hAnsi="Arial Narrow" w:cs="Times New Roman"/>
          <w:i/>
          <w:sz w:val="24"/>
          <w:szCs w:val="24"/>
        </w:rPr>
        <w:t xml:space="preserve">Scientia </w:t>
      </w:r>
      <w:proofErr w:type="spellStart"/>
      <w:r w:rsidRPr="009D488F">
        <w:rPr>
          <w:rFonts w:ascii="Arial Narrow" w:hAnsi="Arial Narrow" w:cs="Times New Roman"/>
          <w:i/>
          <w:sz w:val="24"/>
          <w:szCs w:val="24"/>
        </w:rPr>
        <w:t>Horticulturae</w:t>
      </w:r>
      <w:proofErr w:type="spellEnd"/>
      <w:r w:rsidRPr="009D488F">
        <w:rPr>
          <w:rFonts w:ascii="Arial Narrow" w:hAnsi="Arial Narrow" w:cs="Times New Roman"/>
          <w:sz w:val="24"/>
          <w:szCs w:val="24"/>
        </w:rPr>
        <w:t xml:space="preserve">, </w:t>
      </w:r>
      <w:r w:rsidRPr="009D488F">
        <w:rPr>
          <w:rFonts w:ascii="Arial Narrow" w:hAnsi="Arial Narrow" w:cs="Times New Roman"/>
          <w:b/>
          <w:sz w:val="24"/>
          <w:szCs w:val="24"/>
        </w:rPr>
        <w:t>276</w:t>
      </w:r>
      <w:r w:rsidRPr="009D488F">
        <w:rPr>
          <w:rFonts w:ascii="Arial Narrow" w:hAnsi="Arial Narrow" w:cs="Times New Roman"/>
          <w:sz w:val="24"/>
          <w:szCs w:val="24"/>
        </w:rPr>
        <w:t>: 109741.</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Khan, M. R., Rizvi, T. F. and Khan, M. M. (2020). Green synthesis of nanoparticles and their potential application in plant disease management.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(3): 585-597.</w:t>
      </w:r>
    </w:p>
    <w:p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Khodakovskaya</w:t>
      </w:r>
      <w:proofErr w:type="spellEnd"/>
      <w:r w:rsidRPr="009D488F">
        <w:rPr>
          <w:rFonts w:ascii="Arial Narrow" w:hAnsi="Arial Narrow" w:cs="Times New Roman"/>
          <w:sz w:val="24"/>
          <w:szCs w:val="24"/>
        </w:rPr>
        <w:t xml:space="preserve">, M. V., de Silva, K., </w:t>
      </w:r>
      <w:proofErr w:type="spellStart"/>
      <w:r w:rsidRPr="009D488F">
        <w:rPr>
          <w:rFonts w:ascii="Arial Narrow" w:hAnsi="Arial Narrow" w:cs="Times New Roman"/>
          <w:sz w:val="24"/>
          <w:szCs w:val="24"/>
        </w:rPr>
        <w:t>Biris</w:t>
      </w:r>
      <w:proofErr w:type="spellEnd"/>
      <w:r w:rsidRPr="009D488F">
        <w:rPr>
          <w:rFonts w:ascii="Arial Narrow" w:hAnsi="Arial Narrow" w:cs="Times New Roman"/>
          <w:sz w:val="24"/>
          <w:szCs w:val="24"/>
        </w:rPr>
        <w:t xml:space="preserve">, A. S., </w:t>
      </w:r>
      <w:proofErr w:type="spellStart"/>
      <w:r w:rsidRPr="009D488F">
        <w:rPr>
          <w:rFonts w:ascii="Arial Narrow" w:hAnsi="Arial Narrow" w:cs="Times New Roman"/>
          <w:sz w:val="24"/>
          <w:szCs w:val="24"/>
        </w:rPr>
        <w:t>Dervishi</w:t>
      </w:r>
      <w:proofErr w:type="spellEnd"/>
      <w:r w:rsidRPr="009D488F">
        <w:rPr>
          <w:rFonts w:ascii="Arial Narrow" w:hAnsi="Arial Narrow" w:cs="Times New Roman"/>
          <w:sz w:val="24"/>
          <w:szCs w:val="24"/>
        </w:rPr>
        <w:t xml:space="preserve">, E. and </w:t>
      </w:r>
      <w:proofErr w:type="spellStart"/>
      <w:r w:rsidRPr="009D488F">
        <w:rPr>
          <w:rFonts w:ascii="Arial Narrow" w:hAnsi="Arial Narrow" w:cs="Times New Roman"/>
          <w:sz w:val="24"/>
          <w:szCs w:val="24"/>
        </w:rPr>
        <w:t>Villagarcia</w:t>
      </w:r>
      <w:proofErr w:type="spellEnd"/>
      <w:r w:rsidRPr="009D488F">
        <w:rPr>
          <w:rFonts w:ascii="Arial Narrow" w:hAnsi="Arial Narrow" w:cs="Times New Roman"/>
          <w:sz w:val="24"/>
          <w:szCs w:val="24"/>
        </w:rPr>
        <w:t>, H. (2012). Carbon nanotubes induce growth enhancement of tobacco cells</w:t>
      </w:r>
      <w:r w:rsidRPr="009D488F">
        <w:rPr>
          <w:rFonts w:ascii="Arial Narrow" w:hAnsi="Arial Narrow" w:cs="Times New Roman"/>
          <w:i/>
          <w:sz w:val="24"/>
          <w:szCs w:val="24"/>
        </w:rPr>
        <w:t xml:space="preserve">. ACS Nano, </w:t>
      </w:r>
      <w:r w:rsidRPr="009D488F">
        <w:rPr>
          <w:rFonts w:ascii="Arial Narrow" w:hAnsi="Arial Narrow" w:cs="Times New Roman"/>
          <w:b/>
          <w:sz w:val="24"/>
          <w:szCs w:val="24"/>
        </w:rPr>
        <w:t>6</w:t>
      </w:r>
      <w:r w:rsidRPr="009D488F">
        <w:rPr>
          <w:rFonts w:ascii="Arial Narrow" w:hAnsi="Arial Narrow" w:cs="Times New Roman"/>
          <w:sz w:val="24"/>
          <w:szCs w:val="24"/>
        </w:rPr>
        <w:t>(3): 2128–2135.</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Kumari, P., Singh, R. and Prasad, R. (2021). Influence of green nanoparticles on phenolic metabolism in plants. </w:t>
      </w:r>
      <w:r w:rsidRPr="009D488F">
        <w:rPr>
          <w:rFonts w:ascii="Arial Narrow" w:hAnsi="Arial Narrow" w:cs="Times New Roman"/>
          <w:i/>
          <w:sz w:val="24"/>
          <w:szCs w:val="24"/>
        </w:rPr>
        <w:t>Plant Stress</w:t>
      </w:r>
      <w:r w:rsidRPr="009D488F">
        <w:rPr>
          <w:rFonts w:ascii="Arial Narrow" w:hAnsi="Arial Narrow" w:cs="Times New Roman"/>
          <w:sz w:val="24"/>
          <w:szCs w:val="24"/>
        </w:rPr>
        <w:t xml:space="preserve">, </w:t>
      </w:r>
      <w:r w:rsidRPr="009D488F">
        <w:rPr>
          <w:rFonts w:ascii="Arial Narrow" w:hAnsi="Arial Narrow" w:cs="Times New Roman"/>
          <w:b/>
          <w:sz w:val="24"/>
          <w:szCs w:val="24"/>
        </w:rPr>
        <w:t>2</w:t>
      </w:r>
      <w:r w:rsidRPr="009D488F">
        <w:rPr>
          <w:rFonts w:ascii="Arial Narrow" w:hAnsi="Arial Narrow" w:cs="Times New Roman"/>
          <w:sz w:val="24"/>
          <w:szCs w:val="24"/>
        </w:rPr>
        <w:t>: 100028.</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Lowry, O., </w:t>
      </w:r>
      <w:proofErr w:type="spellStart"/>
      <w:r w:rsidRPr="009D488F">
        <w:rPr>
          <w:rFonts w:ascii="Arial Narrow" w:hAnsi="Arial Narrow" w:cs="Times New Roman"/>
          <w:sz w:val="24"/>
          <w:szCs w:val="24"/>
        </w:rPr>
        <w:t>Rosebrough</w:t>
      </w:r>
      <w:proofErr w:type="spellEnd"/>
      <w:r w:rsidRPr="009D488F">
        <w:rPr>
          <w:rFonts w:ascii="Arial Narrow" w:hAnsi="Arial Narrow" w:cs="Times New Roman"/>
          <w:sz w:val="24"/>
          <w:szCs w:val="24"/>
        </w:rPr>
        <w:t xml:space="preserve"> N., Farr A. L. and Randall R. (1951). Protein measurement with the </w:t>
      </w:r>
      <w:proofErr w:type="spellStart"/>
      <w:r w:rsidRPr="009D488F">
        <w:rPr>
          <w:rFonts w:ascii="Arial Narrow" w:hAnsi="Arial Narrow" w:cs="Times New Roman"/>
          <w:sz w:val="24"/>
          <w:szCs w:val="24"/>
        </w:rPr>
        <w:t>Folin</w:t>
      </w:r>
      <w:proofErr w:type="spellEnd"/>
      <w:r w:rsidRPr="009D488F">
        <w:rPr>
          <w:rFonts w:ascii="Arial Narrow" w:hAnsi="Arial Narrow" w:cs="Times New Roman"/>
          <w:sz w:val="24"/>
          <w:szCs w:val="24"/>
        </w:rPr>
        <w:t xml:space="preserve"> phenol reagent. </w:t>
      </w:r>
      <w:r w:rsidRPr="009D488F">
        <w:rPr>
          <w:rFonts w:ascii="Arial Narrow" w:hAnsi="Arial Narrow" w:cs="Times New Roman"/>
          <w:i/>
          <w:sz w:val="24"/>
          <w:szCs w:val="24"/>
        </w:rPr>
        <w:t>Journal of biological chemistry,</w:t>
      </w:r>
      <w:r w:rsidRPr="009D488F">
        <w:rPr>
          <w:rFonts w:ascii="Arial Narrow" w:hAnsi="Arial Narrow" w:cs="Times New Roman"/>
          <w:b/>
          <w:sz w:val="24"/>
          <w:szCs w:val="24"/>
        </w:rPr>
        <w:t>193</w:t>
      </w:r>
      <w:r w:rsidRPr="009D488F">
        <w:rPr>
          <w:rFonts w:ascii="Arial Narrow" w:hAnsi="Arial Narrow" w:cs="Times New Roman"/>
          <w:sz w:val="24"/>
          <w:szCs w:val="24"/>
        </w:rPr>
        <w:t>(1):265-275.</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lastRenderedPageBreak/>
        <w:t xml:space="preserve">Meena, R., Rajput, V. and Kumar, S. (2021). Nanoparticles mediated enhancement of salicylic acid pathway in tomato.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147</w:t>
      </w:r>
      <w:r w:rsidRPr="009D488F">
        <w:rPr>
          <w:rFonts w:ascii="Arial Narrow" w:hAnsi="Arial Narrow" w:cs="Times New Roman"/>
          <w:sz w:val="24"/>
          <w:szCs w:val="24"/>
        </w:rPr>
        <w:t>: 105677.</w:t>
      </w:r>
    </w:p>
    <w:p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Raskin</w:t>
      </w:r>
      <w:proofErr w:type="spellEnd"/>
      <w:r w:rsidRPr="009D488F">
        <w:rPr>
          <w:rFonts w:ascii="Arial Narrow" w:hAnsi="Arial Narrow" w:cs="Times New Roman"/>
          <w:sz w:val="24"/>
          <w:szCs w:val="24"/>
        </w:rPr>
        <w:t xml:space="preserve">, I., Turner, I. M. and Melander, W. R. (1989). Regulation of heat production in the inflorescences of Arum lilies. </w:t>
      </w:r>
      <w:r w:rsidRPr="009D488F">
        <w:rPr>
          <w:rFonts w:ascii="Arial Narrow" w:hAnsi="Arial Narrow" w:cs="Times New Roman"/>
          <w:i/>
          <w:sz w:val="24"/>
          <w:szCs w:val="24"/>
        </w:rPr>
        <w:t>Methods in Enzymology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186</w:t>
      </w:r>
      <w:r w:rsidRPr="009D488F">
        <w:rPr>
          <w:rFonts w:ascii="Arial Narrow" w:hAnsi="Arial Narrow" w:cs="Times New Roman"/>
          <w:sz w:val="24"/>
          <w:szCs w:val="24"/>
        </w:rPr>
        <w:t xml:space="preserve">: 385–402. </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Sharma, P., Singh, N. and Yadav, S. (2020). Role of nanoparticles in activation of plant </w:t>
      </w:r>
      <w:proofErr w:type="spellStart"/>
      <w:r w:rsidRPr="009D488F">
        <w:rPr>
          <w:rFonts w:ascii="Arial Narrow" w:hAnsi="Arial Narrow" w:cs="Times New Roman"/>
          <w:sz w:val="24"/>
          <w:szCs w:val="24"/>
        </w:rPr>
        <w:t>defense</w:t>
      </w:r>
      <w:proofErr w:type="spellEnd"/>
      <w:r w:rsidRPr="009D488F">
        <w:rPr>
          <w:rFonts w:ascii="Arial Narrow" w:hAnsi="Arial Narrow" w:cs="Times New Roman"/>
          <w:sz w:val="24"/>
          <w:szCs w:val="24"/>
        </w:rPr>
        <w:t xml:space="preserve"> mechanisms. </w:t>
      </w:r>
      <w:r w:rsidRPr="009D488F">
        <w:rPr>
          <w:rFonts w:ascii="Arial Narrow" w:hAnsi="Arial Narrow" w:cs="Times New Roman"/>
          <w:i/>
          <w:sz w:val="24"/>
          <w:szCs w:val="24"/>
        </w:rPr>
        <w:t>Journal of Plant 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102</w:t>
      </w:r>
      <w:r w:rsidRPr="009D488F">
        <w:rPr>
          <w:rFonts w:ascii="Arial Narrow" w:hAnsi="Arial Narrow" w:cs="Times New Roman"/>
          <w:sz w:val="24"/>
          <w:szCs w:val="24"/>
        </w:rPr>
        <w:t>: 675–684.</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Sharma, V. K., </w:t>
      </w:r>
      <w:proofErr w:type="spellStart"/>
      <w:r w:rsidRPr="009D488F">
        <w:rPr>
          <w:rFonts w:ascii="Arial Narrow" w:hAnsi="Arial Narrow" w:cs="Times New Roman"/>
          <w:sz w:val="24"/>
          <w:szCs w:val="24"/>
        </w:rPr>
        <w:t>Yngard</w:t>
      </w:r>
      <w:proofErr w:type="spellEnd"/>
      <w:r w:rsidRPr="009D488F">
        <w:rPr>
          <w:rFonts w:ascii="Arial Narrow" w:hAnsi="Arial Narrow" w:cs="Times New Roman"/>
          <w:sz w:val="24"/>
          <w:szCs w:val="24"/>
        </w:rPr>
        <w:t xml:space="preserve">, R. A., and Lin, Y. (2015). Silver nanoparticles: Green synthesis and their antimicrobial activities. </w:t>
      </w:r>
      <w:r w:rsidRPr="009D488F">
        <w:rPr>
          <w:rFonts w:ascii="Arial Narrow" w:hAnsi="Arial Narrow" w:cs="Times New Roman"/>
          <w:i/>
          <w:sz w:val="24"/>
          <w:szCs w:val="24"/>
        </w:rPr>
        <w:t>Advances in Colloid and Interface Science</w:t>
      </w:r>
      <w:r w:rsidRPr="009D488F">
        <w:rPr>
          <w:rFonts w:ascii="Arial Narrow" w:hAnsi="Arial Narrow" w:cs="Times New Roman"/>
          <w:sz w:val="24"/>
          <w:szCs w:val="24"/>
        </w:rPr>
        <w:t xml:space="preserve">, </w:t>
      </w:r>
      <w:r w:rsidRPr="009D488F">
        <w:rPr>
          <w:rFonts w:ascii="Arial Narrow" w:hAnsi="Arial Narrow" w:cs="Times New Roman"/>
          <w:b/>
          <w:sz w:val="24"/>
          <w:szCs w:val="24"/>
        </w:rPr>
        <w:t>145</w:t>
      </w:r>
      <w:r w:rsidRPr="009D488F">
        <w:rPr>
          <w:rFonts w:ascii="Arial Narrow" w:hAnsi="Arial Narrow" w:cs="Times New Roman"/>
          <w:sz w:val="24"/>
          <w:szCs w:val="24"/>
        </w:rPr>
        <w:t>: 83–96.</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Siddiqui, I. A. and Shaukat, S. S. (2004). Systemic resistance in tomato induced by biocontrol bacteria against the root-knot nematode. </w:t>
      </w:r>
      <w:r w:rsidRPr="009D488F">
        <w:rPr>
          <w:rFonts w:ascii="Arial Narrow" w:hAnsi="Arial Narrow" w:cs="Times New Roman"/>
          <w:i/>
          <w:sz w:val="24"/>
          <w:szCs w:val="24"/>
        </w:rPr>
        <w:t>Journal of Phytopathology</w:t>
      </w:r>
      <w:r w:rsidRPr="009D488F">
        <w:rPr>
          <w:rFonts w:ascii="Arial Narrow" w:hAnsi="Arial Narrow" w:cs="Times New Roman"/>
          <w:sz w:val="24"/>
          <w:szCs w:val="24"/>
        </w:rPr>
        <w:t xml:space="preserve">, </w:t>
      </w:r>
      <w:r w:rsidRPr="009D488F">
        <w:rPr>
          <w:rFonts w:ascii="Arial Narrow" w:hAnsi="Arial Narrow" w:cs="Times New Roman"/>
          <w:b/>
          <w:sz w:val="24"/>
          <w:szCs w:val="24"/>
        </w:rPr>
        <w:t>152</w:t>
      </w:r>
      <w:r w:rsidRPr="009D488F">
        <w:rPr>
          <w:rFonts w:ascii="Arial Narrow" w:hAnsi="Arial Narrow" w:cs="Times New Roman"/>
          <w:sz w:val="24"/>
          <w:szCs w:val="24"/>
        </w:rPr>
        <w:t>(3): 160–167.</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Singh, A., Singh, N. B., Hussain, I., Singh, H., and Yadav, V. (2018). Green synthesis of nanoparticles and their role in plant disease management. </w:t>
      </w:r>
      <w:r w:rsidRPr="009D488F">
        <w:rPr>
          <w:rFonts w:ascii="Arial Narrow" w:hAnsi="Arial Narrow" w:cs="Times New Roman"/>
          <w:i/>
          <w:sz w:val="24"/>
          <w:szCs w:val="24"/>
        </w:rPr>
        <w:t>Biotechnology Reports</w:t>
      </w:r>
      <w:r w:rsidRPr="009D488F">
        <w:rPr>
          <w:rFonts w:ascii="Arial Narrow" w:hAnsi="Arial Narrow" w:cs="Times New Roman"/>
          <w:sz w:val="24"/>
          <w:szCs w:val="24"/>
        </w:rPr>
        <w:t xml:space="preserve">, </w:t>
      </w:r>
      <w:r w:rsidRPr="009D488F">
        <w:rPr>
          <w:rFonts w:ascii="Arial Narrow" w:hAnsi="Arial Narrow" w:cs="Times New Roman"/>
          <w:b/>
          <w:sz w:val="24"/>
          <w:szCs w:val="24"/>
        </w:rPr>
        <w:t>15</w:t>
      </w:r>
      <w:r w:rsidRPr="009D488F">
        <w:rPr>
          <w:rFonts w:ascii="Arial Narrow" w:hAnsi="Arial Narrow" w:cs="Times New Roman"/>
          <w:sz w:val="24"/>
          <w:szCs w:val="24"/>
        </w:rPr>
        <w:t>: 84–92.</w:t>
      </w:r>
    </w:p>
    <w:p w:rsidR="0043245D" w:rsidRPr="009D488F" w:rsidRDefault="0043245D" w:rsidP="0043245D">
      <w:pPr>
        <w:spacing w:after="0" w:line="240" w:lineRule="auto"/>
        <w:ind w:left="936" w:hanging="936"/>
        <w:jc w:val="both"/>
        <w:rPr>
          <w:rFonts w:ascii="Arial Narrow" w:hAnsi="Arial Narrow" w:cs="Times New Roman"/>
          <w:sz w:val="24"/>
          <w:szCs w:val="24"/>
        </w:rPr>
      </w:pPr>
      <w:r w:rsidRPr="009D488F">
        <w:rPr>
          <w:rFonts w:ascii="Arial Narrow" w:hAnsi="Arial Narrow" w:cs="Times New Roman"/>
          <w:sz w:val="24"/>
          <w:szCs w:val="24"/>
        </w:rPr>
        <w:t xml:space="preserve">Verma, S. K., Das, A. K., Patel, M. K., Shah, A. and Kumar, V. (2021). Antifungal activity of biosynthesized silver nanoparticles against plant pathogenic fungi. </w:t>
      </w:r>
      <w:r w:rsidRPr="009D488F">
        <w:rPr>
          <w:rFonts w:ascii="Arial Narrow" w:hAnsi="Arial Narrow" w:cs="Times New Roman"/>
          <w:i/>
          <w:sz w:val="24"/>
          <w:szCs w:val="24"/>
        </w:rPr>
        <w:t>Crop Protection</w:t>
      </w:r>
      <w:r w:rsidRPr="009D488F">
        <w:rPr>
          <w:rFonts w:ascii="Arial Narrow" w:hAnsi="Arial Narrow" w:cs="Times New Roman"/>
          <w:sz w:val="24"/>
          <w:szCs w:val="24"/>
        </w:rPr>
        <w:t xml:space="preserve">, </w:t>
      </w:r>
      <w:r w:rsidRPr="009D488F">
        <w:rPr>
          <w:rFonts w:ascii="Arial Narrow" w:hAnsi="Arial Narrow" w:cs="Times New Roman"/>
          <w:b/>
          <w:sz w:val="24"/>
          <w:szCs w:val="24"/>
        </w:rPr>
        <w:t>142</w:t>
      </w:r>
      <w:r w:rsidRPr="009D488F">
        <w:rPr>
          <w:rFonts w:ascii="Arial Narrow" w:hAnsi="Arial Narrow" w:cs="Times New Roman"/>
          <w:sz w:val="24"/>
          <w:szCs w:val="24"/>
        </w:rPr>
        <w:t>: 105511.</w:t>
      </w:r>
    </w:p>
    <w:p w:rsidR="0043245D" w:rsidRPr="009D488F" w:rsidRDefault="0043245D" w:rsidP="0043245D">
      <w:pPr>
        <w:spacing w:after="0" w:line="240" w:lineRule="auto"/>
        <w:ind w:left="936" w:hanging="936"/>
        <w:jc w:val="both"/>
        <w:rPr>
          <w:rFonts w:ascii="Arial Narrow" w:hAnsi="Arial Narrow" w:cs="Times New Roman"/>
          <w:sz w:val="24"/>
          <w:szCs w:val="24"/>
        </w:rPr>
      </w:pPr>
      <w:proofErr w:type="spellStart"/>
      <w:r w:rsidRPr="009D488F">
        <w:rPr>
          <w:rFonts w:ascii="Arial Narrow" w:hAnsi="Arial Narrow" w:cs="Times New Roman"/>
          <w:sz w:val="24"/>
          <w:szCs w:val="24"/>
        </w:rPr>
        <w:t>Warrier</w:t>
      </w:r>
      <w:proofErr w:type="spellEnd"/>
      <w:r w:rsidRPr="009D488F">
        <w:rPr>
          <w:rFonts w:ascii="Arial Narrow" w:hAnsi="Arial Narrow" w:cs="Times New Roman"/>
          <w:sz w:val="24"/>
          <w:szCs w:val="24"/>
        </w:rPr>
        <w:t xml:space="preserve">, R. R., Paul, M. and </w:t>
      </w:r>
      <w:proofErr w:type="spellStart"/>
      <w:r w:rsidRPr="009D488F">
        <w:rPr>
          <w:rFonts w:ascii="Arial Narrow" w:hAnsi="Arial Narrow" w:cs="Times New Roman"/>
          <w:sz w:val="24"/>
          <w:szCs w:val="24"/>
        </w:rPr>
        <w:t>Vineetha</w:t>
      </w:r>
      <w:proofErr w:type="spellEnd"/>
      <w:r w:rsidRPr="009D488F">
        <w:rPr>
          <w:rFonts w:ascii="Arial Narrow" w:hAnsi="Arial Narrow" w:cs="Times New Roman"/>
          <w:sz w:val="24"/>
          <w:szCs w:val="24"/>
        </w:rPr>
        <w:t xml:space="preserve">, M. V. (2013). Estimation of salicylic acid in Eucalyptus leaves using spectrophotometric method. </w:t>
      </w:r>
      <w:r w:rsidRPr="009D488F">
        <w:rPr>
          <w:rFonts w:ascii="Arial Narrow" w:hAnsi="Arial Narrow" w:cs="Times New Roman"/>
          <w:i/>
          <w:sz w:val="24"/>
          <w:szCs w:val="24"/>
        </w:rPr>
        <w:t>International Journal of Pharmacy and Pharmaceutical Sciences</w:t>
      </w:r>
      <w:r w:rsidRPr="009D488F">
        <w:rPr>
          <w:rFonts w:ascii="Arial Narrow" w:hAnsi="Arial Narrow" w:cs="Times New Roman"/>
          <w:sz w:val="24"/>
          <w:szCs w:val="24"/>
        </w:rPr>
        <w:t xml:space="preserve">, </w:t>
      </w:r>
      <w:r w:rsidRPr="009D488F">
        <w:rPr>
          <w:rFonts w:ascii="Arial Narrow" w:hAnsi="Arial Narrow" w:cs="Times New Roman"/>
          <w:b/>
          <w:sz w:val="24"/>
          <w:szCs w:val="24"/>
        </w:rPr>
        <w:t>5</w:t>
      </w:r>
      <w:r w:rsidRPr="009D488F">
        <w:rPr>
          <w:rFonts w:ascii="Arial Narrow" w:hAnsi="Arial Narrow" w:cs="Times New Roman"/>
          <w:sz w:val="24"/>
          <w:szCs w:val="24"/>
        </w:rPr>
        <w:t>(3): 169–172.</w:t>
      </w:r>
    </w:p>
    <w:p w:rsidR="0043245D" w:rsidRPr="00B632B4" w:rsidRDefault="0043245D" w:rsidP="0043245D">
      <w:pPr>
        <w:spacing w:before="120" w:after="120" w:line="240" w:lineRule="auto"/>
        <w:jc w:val="both"/>
        <w:rPr>
          <w:rFonts w:ascii="Arial Narrow" w:eastAsia="Times New Roman" w:hAnsi="Arial Narrow" w:cs="Times New Roman"/>
          <w:kern w:val="0"/>
          <w:sz w:val="24"/>
          <w:szCs w:val="24"/>
          <w:lang w:val="en-US"/>
        </w:rPr>
      </w:pPr>
    </w:p>
    <w:p w:rsidR="00047558" w:rsidRDefault="00047558">
      <w:pPr>
        <w:rPr>
          <w:rFonts w:ascii="Arial Narrow" w:hAnsi="Arial Narrow" w:cs="Times New Roman"/>
          <w:b/>
          <w:sz w:val="24"/>
          <w:szCs w:val="24"/>
        </w:rPr>
      </w:pPr>
    </w:p>
    <w:sectPr w:rsidR="00047558" w:rsidSect="000909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7A8" w:rsidRDefault="005E47A8" w:rsidP="00B90274">
      <w:pPr>
        <w:spacing w:after="0" w:line="240" w:lineRule="auto"/>
      </w:pPr>
      <w:r>
        <w:separator/>
      </w:r>
    </w:p>
  </w:endnote>
  <w:endnote w:type="continuationSeparator" w:id="0">
    <w:p w:rsidR="005E47A8" w:rsidRDefault="005E47A8" w:rsidP="00B9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C1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C1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C1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7A8" w:rsidRDefault="005E47A8" w:rsidP="00B90274">
      <w:pPr>
        <w:spacing w:after="0" w:line="240" w:lineRule="auto"/>
      </w:pPr>
      <w:r>
        <w:separator/>
      </w:r>
    </w:p>
  </w:footnote>
  <w:footnote w:type="continuationSeparator" w:id="0">
    <w:p w:rsidR="005E47A8" w:rsidRDefault="005E47A8" w:rsidP="00B9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E4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E4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BA3" w:rsidRDefault="005E47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2DBA"/>
    <w:multiLevelType w:val="multilevel"/>
    <w:tmpl w:val="F38E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01CE"/>
    <w:multiLevelType w:val="multilevel"/>
    <w:tmpl w:val="0EAE79D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ascii="Times New Roman" w:hAnsi="Times New Roman" w:cs="Times New Roman" w:hint="default"/>
        <w:b/>
        <w:sz w:val="24"/>
      </w:rPr>
    </w:lvl>
    <w:lvl w:ilvl="2">
      <w:start w:val="2"/>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AAB"/>
    <w:rsid w:val="00047558"/>
    <w:rsid w:val="0009094C"/>
    <w:rsid w:val="000D2DBA"/>
    <w:rsid w:val="001A76B5"/>
    <w:rsid w:val="00242E62"/>
    <w:rsid w:val="00311364"/>
    <w:rsid w:val="003203EF"/>
    <w:rsid w:val="00361252"/>
    <w:rsid w:val="00371AAB"/>
    <w:rsid w:val="003D15F1"/>
    <w:rsid w:val="0043245D"/>
    <w:rsid w:val="00486C90"/>
    <w:rsid w:val="004A4462"/>
    <w:rsid w:val="004A4E75"/>
    <w:rsid w:val="004A5CE2"/>
    <w:rsid w:val="004C6AE0"/>
    <w:rsid w:val="005C1BA3"/>
    <w:rsid w:val="005E47A8"/>
    <w:rsid w:val="006142E9"/>
    <w:rsid w:val="00660344"/>
    <w:rsid w:val="007047D0"/>
    <w:rsid w:val="00792330"/>
    <w:rsid w:val="00793DE1"/>
    <w:rsid w:val="007B2521"/>
    <w:rsid w:val="007D0FBC"/>
    <w:rsid w:val="008C7E79"/>
    <w:rsid w:val="009234DA"/>
    <w:rsid w:val="00952E26"/>
    <w:rsid w:val="00980B9B"/>
    <w:rsid w:val="009B05F6"/>
    <w:rsid w:val="009D488F"/>
    <w:rsid w:val="009D56EB"/>
    <w:rsid w:val="00B632B4"/>
    <w:rsid w:val="00B90274"/>
    <w:rsid w:val="00B939A8"/>
    <w:rsid w:val="00BB640C"/>
    <w:rsid w:val="00BF359D"/>
    <w:rsid w:val="00C841A8"/>
    <w:rsid w:val="00CA6EA1"/>
    <w:rsid w:val="00D170D8"/>
    <w:rsid w:val="00E90D75"/>
    <w:rsid w:val="00EC686E"/>
    <w:rsid w:val="00F87CAA"/>
    <w:rsid w:val="00FD03CF"/>
    <w:rsid w:val="00FD5C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D5734F4-20DA-4CC0-A80B-347AE9C9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AAB"/>
  </w:style>
  <w:style w:type="paragraph" w:styleId="Heading2">
    <w:name w:val="heading 2"/>
    <w:basedOn w:val="Normal"/>
    <w:next w:val="Normal"/>
    <w:link w:val="Heading2Char"/>
    <w:uiPriority w:val="9"/>
    <w:semiHidden/>
    <w:unhideWhenUsed/>
    <w:qFormat/>
    <w:rsid w:val="0043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42E9"/>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paragraph" w:styleId="Heading4">
    <w:name w:val="heading 4"/>
    <w:basedOn w:val="Normal"/>
    <w:link w:val="Heading4Char"/>
    <w:uiPriority w:val="9"/>
    <w:qFormat/>
    <w:rsid w:val="006142E9"/>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A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1AAB"/>
    <w:pPr>
      <w:ind w:left="720"/>
      <w:contextualSpacing/>
    </w:pPr>
  </w:style>
  <w:style w:type="paragraph" w:styleId="BalloonText">
    <w:name w:val="Balloon Text"/>
    <w:basedOn w:val="Normal"/>
    <w:link w:val="BalloonTextChar"/>
    <w:uiPriority w:val="99"/>
    <w:semiHidden/>
    <w:unhideWhenUsed/>
    <w:rsid w:val="00B90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74"/>
    <w:rPr>
      <w:rFonts w:ascii="Tahoma" w:hAnsi="Tahoma" w:cs="Tahoma"/>
      <w:sz w:val="16"/>
      <w:szCs w:val="16"/>
    </w:rPr>
  </w:style>
  <w:style w:type="paragraph" w:styleId="Header">
    <w:name w:val="header"/>
    <w:basedOn w:val="Normal"/>
    <w:link w:val="HeaderChar"/>
    <w:uiPriority w:val="99"/>
    <w:unhideWhenUsed/>
    <w:rsid w:val="00B90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274"/>
  </w:style>
  <w:style w:type="paragraph" w:styleId="Footer">
    <w:name w:val="footer"/>
    <w:basedOn w:val="Normal"/>
    <w:link w:val="FooterChar"/>
    <w:uiPriority w:val="99"/>
    <w:unhideWhenUsed/>
    <w:rsid w:val="00B9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274"/>
  </w:style>
  <w:style w:type="paragraph" w:customStyle="1" w:styleId="Default">
    <w:name w:val="Default"/>
    <w:rsid w:val="009D488F"/>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first-token">
    <w:name w:val="first-token"/>
    <w:basedOn w:val="Normal"/>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NormalWeb">
    <w:name w:val="Normal (Web)"/>
    <w:basedOn w:val="Normal"/>
    <w:uiPriority w:val="99"/>
    <w:semiHidden/>
    <w:unhideWhenUsed/>
    <w:rsid w:val="004C6AE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math-inline">
    <w:name w:val="math-inline"/>
    <w:basedOn w:val="DefaultParagraphFont"/>
    <w:rsid w:val="004C6AE0"/>
  </w:style>
  <w:style w:type="character" w:customStyle="1" w:styleId="Heading3Char">
    <w:name w:val="Heading 3 Char"/>
    <w:basedOn w:val="DefaultParagraphFont"/>
    <w:link w:val="Heading3"/>
    <w:uiPriority w:val="9"/>
    <w:rsid w:val="006142E9"/>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142E9"/>
    <w:rPr>
      <w:rFonts w:ascii="Times New Roman" w:eastAsia="Times New Roman" w:hAnsi="Times New Roman" w:cs="Times New Roman"/>
      <w:b/>
      <w:bCs/>
      <w:kern w:val="0"/>
      <w:sz w:val="24"/>
      <w:szCs w:val="24"/>
      <w:lang w:val="en-US"/>
    </w:rPr>
  </w:style>
  <w:style w:type="character" w:customStyle="1" w:styleId="Heading2Char">
    <w:name w:val="Heading 2 Char"/>
    <w:basedOn w:val="DefaultParagraphFont"/>
    <w:link w:val="Heading2"/>
    <w:uiPriority w:val="9"/>
    <w:semiHidden/>
    <w:rsid w:val="0043245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C686E"/>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3596">
      <w:bodyDiv w:val="1"/>
      <w:marLeft w:val="0"/>
      <w:marRight w:val="0"/>
      <w:marTop w:val="0"/>
      <w:marBottom w:val="0"/>
      <w:divBdr>
        <w:top w:val="none" w:sz="0" w:space="0" w:color="auto"/>
        <w:left w:val="none" w:sz="0" w:space="0" w:color="auto"/>
        <w:bottom w:val="none" w:sz="0" w:space="0" w:color="auto"/>
        <w:right w:val="none" w:sz="0" w:space="0" w:color="auto"/>
      </w:divBdr>
    </w:div>
    <w:div w:id="312684049">
      <w:bodyDiv w:val="1"/>
      <w:marLeft w:val="0"/>
      <w:marRight w:val="0"/>
      <w:marTop w:val="0"/>
      <w:marBottom w:val="0"/>
      <w:divBdr>
        <w:top w:val="none" w:sz="0" w:space="0" w:color="auto"/>
        <w:left w:val="none" w:sz="0" w:space="0" w:color="auto"/>
        <w:bottom w:val="none" w:sz="0" w:space="0" w:color="auto"/>
        <w:right w:val="none" w:sz="0" w:space="0" w:color="auto"/>
      </w:divBdr>
    </w:div>
    <w:div w:id="475100994">
      <w:bodyDiv w:val="1"/>
      <w:marLeft w:val="0"/>
      <w:marRight w:val="0"/>
      <w:marTop w:val="0"/>
      <w:marBottom w:val="0"/>
      <w:divBdr>
        <w:top w:val="none" w:sz="0" w:space="0" w:color="auto"/>
        <w:left w:val="none" w:sz="0" w:space="0" w:color="auto"/>
        <w:bottom w:val="none" w:sz="0" w:space="0" w:color="auto"/>
        <w:right w:val="none" w:sz="0" w:space="0" w:color="auto"/>
      </w:divBdr>
    </w:div>
    <w:div w:id="665091696">
      <w:bodyDiv w:val="1"/>
      <w:marLeft w:val="0"/>
      <w:marRight w:val="0"/>
      <w:marTop w:val="0"/>
      <w:marBottom w:val="0"/>
      <w:divBdr>
        <w:top w:val="none" w:sz="0" w:space="0" w:color="auto"/>
        <w:left w:val="none" w:sz="0" w:space="0" w:color="auto"/>
        <w:bottom w:val="none" w:sz="0" w:space="0" w:color="auto"/>
        <w:right w:val="none" w:sz="0" w:space="0" w:color="auto"/>
      </w:divBdr>
    </w:div>
    <w:div w:id="778645763">
      <w:bodyDiv w:val="1"/>
      <w:marLeft w:val="0"/>
      <w:marRight w:val="0"/>
      <w:marTop w:val="0"/>
      <w:marBottom w:val="0"/>
      <w:divBdr>
        <w:top w:val="none" w:sz="0" w:space="0" w:color="auto"/>
        <w:left w:val="none" w:sz="0" w:space="0" w:color="auto"/>
        <w:bottom w:val="none" w:sz="0" w:space="0" w:color="auto"/>
        <w:right w:val="none" w:sz="0" w:space="0" w:color="auto"/>
      </w:divBdr>
    </w:div>
    <w:div w:id="858742921">
      <w:bodyDiv w:val="1"/>
      <w:marLeft w:val="0"/>
      <w:marRight w:val="0"/>
      <w:marTop w:val="0"/>
      <w:marBottom w:val="0"/>
      <w:divBdr>
        <w:top w:val="none" w:sz="0" w:space="0" w:color="auto"/>
        <w:left w:val="none" w:sz="0" w:space="0" w:color="auto"/>
        <w:bottom w:val="none" w:sz="0" w:space="0" w:color="auto"/>
        <w:right w:val="none" w:sz="0" w:space="0" w:color="auto"/>
      </w:divBdr>
    </w:div>
    <w:div w:id="1489205613">
      <w:bodyDiv w:val="1"/>
      <w:marLeft w:val="0"/>
      <w:marRight w:val="0"/>
      <w:marTop w:val="0"/>
      <w:marBottom w:val="0"/>
      <w:divBdr>
        <w:top w:val="none" w:sz="0" w:space="0" w:color="auto"/>
        <w:left w:val="none" w:sz="0" w:space="0" w:color="auto"/>
        <w:bottom w:val="none" w:sz="0" w:space="0" w:color="auto"/>
        <w:right w:val="none" w:sz="0" w:space="0" w:color="auto"/>
      </w:divBdr>
    </w:div>
    <w:div w:id="1582061156">
      <w:bodyDiv w:val="1"/>
      <w:marLeft w:val="0"/>
      <w:marRight w:val="0"/>
      <w:marTop w:val="0"/>
      <w:marBottom w:val="0"/>
      <w:divBdr>
        <w:top w:val="none" w:sz="0" w:space="0" w:color="auto"/>
        <w:left w:val="none" w:sz="0" w:space="0" w:color="auto"/>
        <w:bottom w:val="none" w:sz="0" w:space="0" w:color="auto"/>
        <w:right w:val="none" w:sz="0" w:space="0" w:color="auto"/>
      </w:divBdr>
    </w:div>
    <w:div w:id="1652244807">
      <w:bodyDiv w:val="1"/>
      <w:marLeft w:val="0"/>
      <w:marRight w:val="0"/>
      <w:marTop w:val="0"/>
      <w:marBottom w:val="0"/>
      <w:divBdr>
        <w:top w:val="none" w:sz="0" w:space="0" w:color="auto"/>
        <w:left w:val="none" w:sz="0" w:space="0" w:color="auto"/>
        <w:bottom w:val="none" w:sz="0" w:space="0" w:color="auto"/>
        <w:right w:val="none" w:sz="0" w:space="0" w:color="auto"/>
      </w:divBdr>
    </w:div>
    <w:div w:id="1863283837">
      <w:bodyDiv w:val="1"/>
      <w:marLeft w:val="0"/>
      <w:marRight w:val="0"/>
      <w:marTop w:val="0"/>
      <w:marBottom w:val="0"/>
      <w:divBdr>
        <w:top w:val="none" w:sz="0" w:space="0" w:color="auto"/>
        <w:left w:val="none" w:sz="0" w:space="0" w:color="auto"/>
        <w:bottom w:val="none" w:sz="0" w:space="0" w:color="auto"/>
        <w:right w:val="none" w:sz="0" w:space="0" w:color="auto"/>
      </w:divBdr>
    </w:div>
    <w:div w:id="19812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PROTEIN</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72</c:v>
                </c:pt>
                <c:pt idx="1">
                  <c:v>81.540000000000006</c:v>
                </c:pt>
                <c:pt idx="2">
                  <c:v>93.36999999999999</c:v>
                </c:pt>
                <c:pt idx="3">
                  <c:v>67.36999999999999</c:v>
                </c:pt>
                <c:pt idx="4">
                  <c:v>77.599999999999994</c:v>
                </c:pt>
                <c:pt idx="5">
                  <c:v>85.83</c:v>
                </c:pt>
                <c:pt idx="6">
                  <c:v>59.49</c:v>
                </c:pt>
                <c:pt idx="7">
                  <c:v>62.46</c:v>
                </c:pt>
                <c:pt idx="8">
                  <c:v>65.14</c:v>
                </c:pt>
                <c:pt idx="9">
                  <c:v>56.4</c:v>
                </c:pt>
                <c:pt idx="10">
                  <c:v>19.37</c:v>
                </c:pt>
              </c:numCache>
            </c:numRef>
          </c:val>
          <c:extLst>
            <c:ext xmlns:c16="http://schemas.microsoft.com/office/drawing/2014/chart" uri="{C3380CC4-5D6E-409C-BE32-E72D297353CC}">
              <c16:uniqueId val="{00000000-7B8C-4D62-9695-EA899E7E4AE7}"/>
            </c:ext>
          </c:extLst>
        </c:ser>
        <c:ser>
          <c:idx val="1"/>
          <c:order val="1"/>
          <c:tx>
            <c:strRef>
              <c:f>Sheet1!$C$1</c:f>
              <c:strCache>
                <c:ptCount val="1"/>
                <c:pt idx="0">
                  <c:v>PHENOL</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47.83</c:v>
                </c:pt>
                <c:pt idx="1">
                  <c:v>64.290000000000006</c:v>
                </c:pt>
                <c:pt idx="2">
                  <c:v>82.61</c:v>
                </c:pt>
                <c:pt idx="3">
                  <c:v>45.96</c:v>
                </c:pt>
                <c:pt idx="4">
                  <c:v>55.9</c:v>
                </c:pt>
                <c:pt idx="5">
                  <c:v>76.709999999999994</c:v>
                </c:pt>
                <c:pt idx="6">
                  <c:v>24.22</c:v>
                </c:pt>
                <c:pt idx="7">
                  <c:v>36.020000000000003</c:v>
                </c:pt>
                <c:pt idx="8">
                  <c:v>44.720000000000013</c:v>
                </c:pt>
                <c:pt idx="9">
                  <c:v>18.32</c:v>
                </c:pt>
                <c:pt idx="10">
                  <c:v>15.219999999999999</c:v>
                </c:pt>
              </c:numCache>
            </c:numRef>
          </c:val>
          <c:extLst>
            <c:ext xmlns:c16="http://schemas.microsoft.com/office/drawing/2014/chart" uri="{C3380CC4-5D6E-409C-BE32-E72D297353CC}">
              <c16:uniqueId val="{00000001-7B8C-4D62-9695-EA899E7E4AE7}"/>
            </c:ext>
          </c:extLst>
        </c:ser>
        <c:ser>
          <c:idx val="2"/>
          <c:order val="2"/>
          <c:tx>
            <c:strRef>
              <c:f>Sheet1!$D$1</c:f>
              <c:strCache>
                <c:ptCount val="1"/>
                <c:pt idx="0">
                  <c:v>SALICYCLIC ACID</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70.3</c:v>
                </c:pt>
                <c:pt idx="1">
                  <c:v>77.23</c:v>
                </c:pt>
                <c:pt idx="2">
                  <c:v>87.13</c:v>
                </c:pt>
                <c:pt idx="3">
                  <c:v>66.34</c:v>
                </c:pt>
                <c:pt idx="4">
                  <c:v>74.260000000000005</c:v>
                </c:pt>
                <c:pt idx="5">
                  <c:v>83.169999999999987</c:v>
                </c:pt>
                <c:pt idx="6">
                  <c:v>57.43</c:v>
                </c:pt>
                <c:pt idx="7">
                  <c:v>61.39</c:v>
                </c:pt>
                <c:pt idx="8">
                  <c:v>65.349999999999994</c:v>
                </c:pt>
                <c:pt idx="9">
                  <c:v>52.48</c:v>
                </c:pt>
                <c:pt idx="10">
                  <c:v>9.9</c:v>
                </c:pt>
              </c:numCache>
            </c:numRef>
          </c:val>
          <c:extLst>
            <c:ext xmlns:c16="http://schemas.microsoft.com/office/drawing/2014/chart" uri="{C3380CC4-5D6E-409C-BE32-E72D297353CC}">
              <c16:uniqueId val="{00000002-7B8C-4D62-9695-EA899E7E4AE7}"/>
            </c:ext>
          </c:extLst>
        </c:ser>
        <c:ser>
          <c:idx val="3"/>
          <c:order val="3"/>
          <c:tx>
            <c:strRef>
              <c:f>Sheet1!$E$1</c:f>
              <c:strCache>
                <c:ptCount val="1"/>
                <c:pt idx="0">
                  <c:v>PEROXIDASES</c:v>
                </c:pt>
              </c:strCache>
            </c:strRef>
          </c:tx>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82.85</c:v>
                </c:pt>
                <c:pt idx="1">
                  <c:v>89.69</c:v>
                </c:pt>
                <c:pt idx="2">
                  <c:v>94.960000000000022</c:v>
                </c:pt>
                <c:pt idx="3">
                  <c:v>79.040000000000006</c:v>
                </c:pt>
                <c:pt idx="4">
                  <c:v>89.240000000000023</c:v>
                </c:pt>
                <c:pt idx="5">
                  <c:v>92.83</c:v>
                </c:pt>
                <c:pt idx="6">
                  <c:v>66.260000000000005</c:v>
                </c:pt>
                <c:pt idx="7">
                  <c:v>69.39</c:v>
                </c:pt>
                <c:pt idx="8">
                  <c:v>76.459999999999994</c:v>
                </c:pt>
                <c:pt idx="9">
                  <c:v>48.32</c:v>
                </c:pt>
                <c:pt idx="10">
                  <c:v>23.88</c:v>
                </c:pt>
              </c:numCache>
            </c:numRef>
          </c:val>
          <c:extLst>
            <c:ext xmlns:c16="http://schemas.microsoft.com/office/drawing/2014/chart" uri="{C3380CC4-5D6E-409C-BE32-E72D297353CC}">
              <c16:uniqueId val="{00000003-7B8C-4D62-9695-EA899E7E4AE7}"/>
            </c:ext>
          </c:extLst>
        </c:ser>
        <c:dLbls>
          <c:showLegendKey val="0"/>
          <c:showVal val="0"/>
          <c:showCatName val="0"/>
          <c:showSerName val="0"/>
          <c:showPercent val="0"/>
          <c:showBubbleSize val="0"/>
        </c:dLbls>
        <c:gapWidth val="150"/>
        <c:shape val="cylinder"/>
        <c:axId val="76772480"/>
        <c:axId val="76774400"/>
        <c:axId val="0"/>
      </c:bar3DChart>
      <c:catAx>
        <c:axId val="7677248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76774400"/>
        <c:crosses val="autoZero"/>
        <c:auto val="1"/>
        <c:lblAlgn val="ctr"/>
        <c:lblOffset val="100"/>
        <c:noMultiLvlLbl val="0"/>
      </c:catAx>
      <c:valAx>
        <c:axId val="76774400"/>
        <c:scaling>
          <c:orientation val="minMax"/>
        </c:scaling>
        <c:delete val="0"/>
        <c:axPos val="l"/>
        <c:majorGridlines/>
        <c:title>
          <c:tx>
            <c:rich>
              <a:bodyPr rot="-5400000" vert="horz"/>
              <a:lstStyle/>
              <a:p>
                <a:pPr>
                  <a:defRPr/>
                </a:pPr>
                <a:r>
                  <a:rPr lang="en-US"/>
                  <a:t>% INCREASED OVER @8DAI</a:t>
                </a:r>
              </a:p>
            </c:rich>
          </c:tx>
          <c:overlay val="0"/>
        </c:title>
        <c:numFmt formatCode="General" sourceLinked="1"/>
        <c:majorTickMark val="out"/>
        <c:minorTickMark val="none"/>
        <c:tickLblPos val="nextTo"/>
        <c:crossAx val="7677248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3</cp:revision>
  <dcterms:created xsi:type="dcterms:W3CDTF">2026-02-11T11:29:00Z</dcterms:created>
  <dcterms:modified xsi:type="dcterms:W3CDTF">2026-02-12T06:37:00Z</dcterms:modified>
</cp:coreProperties>
</file>