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B039FD" w14:textId="77777777" w:rsidR="001B0F67" w:rsidRDefault="00337838" w:rsidP="001B0F67">
      <w:pPr>
        <w:pStyle w:val="NormalWeb"/>
        <w:spacing w:line="360" w:lineRule="auto"/>
        <w:rPr>
          <w:rFonts w:ascii="Arial" w:hAnsi="Arial" w:cs="Arial"/>
          <w:b/>
          <w:bCs/>
          <w:i/>
          <w:iCs/>
          <w:sz w:val="28"/>
          <w:szCs w:val="28"/>
          <w:u w:val="single"/>
          <w:lang w:val="en-US"/>
        </w:rPr>
      </w:pPr>
      <w:r w:rsidRPr="00337838">
        <w:rPr>
          <w:rFonts w:ascii="Arial" w:hAnsi="Arial" w:cs="Arial"/>
          <w:b/>
          <w:bCs/>
          <w:i/>
          <w:iCs/>
          <w:sz w:val="28"/>
          <w:szCs w:val="28"/>
          <w:u w:val="single"/>
          <w:lang w:val="en-US"/>
        </w:rPr>
        <w:t>Review Article</w:t>
      </w:r>
    </w:p>
    <w:p w14:paraId="719EA3BF" w14:textId="46AD7334" w:rsidR="004A5CD9" w:rsidRPr="001B0F67" w:rsidRDefault="001B0F67" w:rsidP="004929C2">
      <w:pPr>
        <w:pStyle w:val="NormalWeb"/>
        <w:spacing w:line="360" w:lineRule="auto"/>
        <w:jc w:val="right"/>
        <w:rPr>
          <w:rFonts w:ascii="Arial" w:hAnsi="Arial" w:cs="Arial"/>
          <w:b/>
          <w:bCs/>
          <w:i/>
          <w:iCs/>
          <w:sz w:val="28"/>
          <w:szCs w:val="28"/>
          <w:u w:val="single"/>
          <w:lang w:val="en-US"/>
        </w:rPr>
      </w:pPr>
      <w:r w:rsidRPr="001B0F67">
        <w:rPr>
          <w:rFonts w:ascii="Arial" w:hAnsi="Arial" w:cs="Arial"/>
          <w:b/>
        </w:rPr>
        <w:t xml:space="preserve">The Gut-Metabolic Axis: Role of Algal </w:t>
      </w:r>
      <w:proofErr w:type="spellStart"/>
      <w:r w:rsidRPr="001B0F67">
        <w:rPr>
          <w:rFonts w:ascii="Arial" w:hAnsi="Arial" w:cs="Arial"/>
          <w:b/>
        </w:rPr>
        <w:t>Fucoidans</w:t>
      </w:r>
      <w:proofErr w:type="spellEnd"/>
      <w:r w:rsidRPr="001B0F67">
        <w:rPr>
          <w:rFonts w:ascii="Arial" w:hAnsi="Arial" w:cs="Arial"/>
          <w:b/>
        </w:rPr>
        <w:t xml:space="preserve"> and </w:t>
      </w:r>
      <w:proofErr w:type="spellStart"/>
      <w:r w:rsidRPr="001B0F67">
        <w:rPr>
          <w:rFonts w:ascii="Arial" w:hAnsi="Arial" w:cs="Arial"/>
          <w:b/>
        </w:rPr>
        <w:t>Ulvans</w:t>
      </w:r>
      <w:proofErr w:type="spellEnd"/>
      <w:r w:rsidRPr="001B0F67">
        <w:rPr>
          <w:rFonts w:ascii="Arial" w:hAnsi="Arial" w:cs="Arial"/>
          <w:b/>
        </w:rPr>
        <w:t xml:space="preserve"> in Attenuating Systemic Inflammation and Insulin Resistance</w:t>
      </w:r>
    </w:p>
    <w:tbl>
      <w:tblPr>
        <w:tblStyle w:val="TableGrid"/>
        <w:tblW w:w="8803" w:type="dxa"/>
        <w:tblLook w:val="04A0" w:firstRow="1" w:lastRow="0" w:firstColumn="1" w:lastColumn="0" w:noHBand="0" w:noVBand="1"/>
      </w:tblPr>
      <w:tblGrid>
        <w:gridCol w:w="8803"/>
      </w:tblGrid>
      <w:tr w:rsidR="00BE41C4" w:rsidRPr="0051202E" w14:paraId="210BE4E3" w14:textId="77777777" w:rsidTr="003D6559">
        <w:trPr>
          <w:trHeight w:val="7280"/>
        </w:trPr>
        <w:tc>
          <w:tcPr>
            <w:tcW w:w="8803" w:type="dxa"/>
          </w:tcPr>
          <w:p w14:paraId="67B38DCF" w14:textId="77777777" w:rsidR="00BE41C4" w:rsidRDefault="00BE41C4" w:rsidP="003D6559">
            <w:pPr>
              <w:jc w:val="both"/>
              <w:rPr>
                <w:rFonts w:ascii="Arial" w:hAnsi="Arial" w:cs="Arial"/>
                <w:b/>
              </w:rPr>
            </w:pPr>
            <w:r>
              <w:rPr>
                <w:rFonts w:ascii="Arial" w:hAnsi="Arial" w:cs="Arial"/>
                <w:b/>
              </w:rPr>
              <w:t>ABSTRACT</w:t>
            </w:r>
          </w:p>
          <w:p w14:paraId="6E542034" w14:textId="77777777" w:rsidR="00BE41C4" w:rsidRPr="001345C3" w:rsidRDefault="00BE41C4" w:rsidP="003D6559">
            <w:pPr>
              <w:jc w:val="both"/>
              <w:rPr>
                <w:rFonts w:ascii="Arial" w:hAnsi="Arial" w:cs="Arial"/>
                <w:sz w:val="24"/>
                <w:szCs w:val="24"/>
              </w:rPr>
            </w:pPr>
            <w:r w:rsidRPr="001345C3">
              <w:rPr>
                <w:rFonts w:ascii="Arial" w:hAnsi="Arial" w:cs="Arial"/>
                <w:sz w:val="24"/>
                <w:szCs w:val="24"/>
              </w:rPr>
              <w:t xml:space="preserve">This narrative review synthesizes findings from peer-reviewed literature retrieved from PubMed, Scopus, and Web of Science databases, focusing on studies published between 2000 and 2025 that investigate the effects of </w:t>
            </w:r>
            <w:proofErr w:type="spellStart"/>
            <w:r w:rsidRPr="001345C3">
              <w:rPr>
                <w:rFonts w:ascii="Arial" w:hAnsi="Arial" w:cs="Arial"/>
                <w:sz w:val="24"/>
                <w:szCs w:val="24"/>
              </w:rPr>
              <w:t>fucoidans</w:t>
            </w:r>
            <w:proofErr w:type="spellEnd"/>
            <w:r w:rsidRPr="001345C3">
              <w:rPr>
                <w:rFonts w:ascii="Arial" w:hAnsi="Arial" w:cs="Arial"/>
                <w:sz w:val="24"/>
                <w:szCs w:val="24"/>
              </w:rPr>
              <w:t xml:space="preserve"> and </w:t>
            </w:r>
            <w:proofErr w:type="spellStart"/>
            <w:r w:rsidRPr="001345C3">
              <w:rPr>
                <w:rFonts w:ascii="Arial" w:hAnsi="Arial" w:cs="Arial"/>
                <w:sz w:val="24"/>
                <w:szCs w:val="24"/>
              </w:rPr>
              <w:t>ulvans</w:t>
            </w:r>
            <w:proofErr w:type="spellEnd"/>
            <w:r w:rsidRPr="001345C3">
              <w:rPr>
                <w:rFonts w:ascii="Arial" w:hAnsi="Arial" w:cs="Arial"/>
                <w:sz w:val="24"/>
                <w:szCs w:val="24"/>
              </w:rPr>
              <w:t xml:space="preserve"> on gut </w:t>
            </w:r>
            <w:proofErr w:type="spellStart"/>
            <w:r w:rsidRPr="001345C3">
              <w:rPr>
                <w:rFonts w:ascii="Arial" w:hAnsi="Arial" w:cs="Arial"/>
                <w:sz w:val="24"/>
                <w:szCs w:val="24"/>
              </w:rPr>
              <w:t>microbiota</w:t>
            </w:r>
            <w:proofErr w:type="spellEnd"/>
            <w:r w:rsidRPr="001345C3">
              <w:rPr>
                <w:rFonts w:ascii="Arial" w:hAnsi="Arial" w:cs="Arial"/>
                <w:sz w:val="24"/>
                <w:szCs w:val="24"/>
              </w:rPr>
              <w:t xml:space="preserve">, intestinal barrier function, and metabolic outcomes. The gut-metabolic axis, defined as the bidirectional relationship between the gut </w:t>
            </w:r>
            <w:proofErr w:type="spellStart"/>
            <w:r w:rsidRPr="001345C3">
              <w:rPr>
                <w:rFonts w:ascii="Arial" w:hAnsi="Arial" w:cs="Arial"/>
                <w:sz w:val="24"/>
                <w:szCs w:val="24"/>
              </w:rPr>
              <w:t>microbiota</w:t>
            </w:r>
            <w:proofErr w:type="spellEnd"/>
            <w:r w:rsidRPr="001345C3">
              <w:rPr>
                <w:rFonts w:ascii="Arial" w:hAnsi="Arial" w:cs="Arial"/>
                <w:sz w:val="24"/>
                <w:szCs w:val="24"/>
              </w:rPr>
              <w:t xml:space="preserve"> and host metabolism, is a paramount modulator of health and disease. </w:t>
            </w:r>
            <w:proofErr w:type="spellStart"/>
            <w:r w:rsidRPr="001345C3">
              <w:rPr>
                <w:rFonts w:ascii="Arial" w:hAnsi="Arial" w:cs="Arial"/>
                <w:sz w:val="24"/>
                <w:szCs w:val="24"/>
              </w:rPr>
              <w:t>Dysregulation</w:t>
            </w:r>
            <w:proofErr w:type="spellEnd"/>
            <w:r w:rsidRPr="001345C3">
              <w:rPr>
                <w:rFonts w:ascii="Arial" w:hAnsi="Arial" w:cs="Arial"/>
                <w:sz w:val="24"/>
                <w:szCs w:val="24"/>
              </w:rPr>
              <w:t xml:space="preserve"> of this axis is increasingly recognized in the pathophysiology of insulin resistance (IR) and type 2 diabetes mellitus (T2DM), conditions frequently driven by chronic low-grade systemic inflammation. A key mediator of this inflammatory state is metabolic </w:t>
            </w:r>
            <w:proofErr w:type="spellStart"/>
            <w:r w:rsidRPr="001345C3">
              <w:rPr>
                <w:rFonts w:ascii="Arial" w:hAnsi="Arial" w:cs="Arial"/>
                <w:sz w:val="24"/>
                <w:szCs w:val="24"/>
              </w:rPr>
              <w:t>endotoxemia</w:t>
            </w:r>
            <w:proofErr w:type="spellEnd"/>
            <w:r w:rsidRPr="001345C3">
              <w:rPr>
                <w:rFonts w:ascii="Arial" w:hAnsi="Arial" w:cs="Arial"/>
                <w:sz w:val="24"/>
                <w:szCs w:val="24"/>
              </w:rPr>
              <w:t xml:space="preserve">, resulting from augmented intestinal permeability and translocation of lipopolysaccharide (LPS) into the systemic circulation. Among marine-derived bioactive compounds, brown seaweed </w:t>
            </w:r>
            <w:proofErr w:type="spellStart"/>
            <w:r w:rsidRPr="001345C3">
              <w:rPr>
                <w:rFonts w:ascii="Arial" w:hAnsi="Arial" w:cs="Arial"/>
                <w:sz w:val="24"/>
                <w:szCs w:val="24"/>
              </w:rPr>
              <w:t>fucoidans</w:t>
            </w:r>
            <w:proofErr w:type="spellEnd"/>
            <w:r w:rsidRPr="001345C3">
              <w:rPr>
                <w:rFonts w:ascii="Arial" w:hAnsi="Arial" w:cs="Arial"/>
                <w:sz w:val="24"/>
                <w:szCs w:val="24"/>
              </w:rPr>
              <w:t xml:space="preserve"> and green seaweed </w:t>
            </w:r>
            <w:proofErr w:type="spellStart"/>
            <w:r w:rsidRPr="001345C3">
              <w:rPr>
                <w:rFonts w:ascii="Arial" w:hAnsi="Arial" w:cs="Arial"/>
                <w:sz w:val="24"/>
                <w:szCs w:val="24"/>
              </w:rPr>
              <w:t>ulvans</w:t>
            </w:r>
            <w:proofErr w:type="spellEnd"/>
            <w:r w:rsidRPr="001345C3">
              <w:rPr>
                <w:rFonts w:ascii="Arial" w:hAnsi="Arial" w:cs="Arial"/>
                <w:sz w:val="24"/>
                <w:szCs w:val="24"/>
              </w:rPr>
              <w:t xml:space="preserve"> have attracted considerable attention for their capacity to modulate the gut-metabolic axis. These sulfated polysaccharides serve as prebiotics that selectively promote beneficial gut bacteria, including </w:t>
            </w:r>
            <w:r w:rsidRPr="00BE41C4">
              <w:rPr>
                <w:rFonts w:ascii="Arial" w:hAnsi="Arial" w:cs="Arial"/>
                <w:i/>
                <w:sz w:val="24"/>
                <w:szCs w:val="24"/>
              </w:rPr>
              <w:t>Lactobacillus</w:t>
            </w:r>
            <w:r w:rsidRPr="001345C3">
              <w:rPr>
                <w:rFonts w:ascii="Arial" w:hAnsi="Arial" w:cs="Arial"/>
                <w:sz w:val="24"/>
                <w:szCs w:val="24"/>
              </w:rPr>
              <w:t xml:space="preserve">, </w:t>
            </w:r>
            <w:proofErr w:type="spellStart"/>
            <w:r w:rsidRPr="00BE41C4">
              <w:rPr>
                <w:rFonts w:ascii="Arial" w:hAnsi="Arial" w:cs="Arial"/>
                <w:i/>
                <w:sz w:val="24"/>
                <w:szCs w:val="24"/>
              </w:rPr>
              <w:t>Bifidobacterium</w:t>
            </w:r>
            <w:proofErr w:type="spellEnd"/>
            <w:r w:rsidRPr="00BE41C4">
              <w:rPr>
                <w:rFonts w:ascii="Arial" w:hAnsi="Arial" w:cs="Arial"/>
                <w:i/>
                <w:sz w:val="24"/>
                <w:szCs w:val="24"/>
              </w:rPr>
              <w:t>,</w:t>
            </w:r>
            <w:r w:rsidRPr="001345C3">
              <w:rPr>
                <w:rFonts w:ascii="Arial" w:hAnsi="Arial" w:cs="Arial"/>
                <w:sz w:val="24"/>
                <w:szCs w:val="24"/>
              </w:rPr>
              <w:t xml:space="preserve"> and </w:t>
            </w:r>
            <w:proofErr w:type="spellStart"/>
            <w:r w:rsidRPr="00BE41C4">
              <w:rPr>
                <w:rFonts w:ascii="Arial" w:hAnsi="Arial" w:cs="Arial"/>
                <w:i/>
                <w:sz w:val="24"/>
                <w:szCs w:val="24"/>
              </w:rPr>
              <w:t>Akkermansia</w:t>
            </w:r>
            <w:proofErr w:type="spellEnd"/>
            <w:r w:rsidRPr="00BE41C4">
              <w:rPr>
                <w:rFonts w:ascii="Arial" w:hAnsi="Arial" w:cs="Arial"/>
                <w:i/>
                <w:sz w:val="24"/>
                <w:szCs w:val="24"/>
              </w:rPr>
              <w:t xml:space="preserve"> </w:t>
            </w:r>
            <w:proofErr w:type="spellStart"/>
            <w:r w:rsidRPr="00BE41C4">
              <w:rPr>
                <w:rFonts w:ascii="Arial" w:hAnsi="Arial" w:cs="Arial"/>
                <w:i/>
                <w:sz w:val="24"/>
                <w:szCs w:val="24"/>
              </w:rPr>
              <w:t>muciniphila</w:t>
            </w:r>
            <w:proofErr w:type="spellEnd"/>
            <w:r w:rsidRPr="001345C3">
              <w:rPr>
                <w:rFonts w:ascii="Arial" w:hAnsi="Arial" w:cs="Arial"/>
                <w:sz w:val="24"/>
                <w:szCs w:val="24"/>
              </w:rPr>
              <w:t xml:space="preserve">, thereby enhancing short-chain fatty acid (SCFA) production. SCFAs, particularly butyrate, play essential roles in sustaining gut barrier integrity, modulating immune responses, and improving glucose homeostasis. Beyond their prebiotic effects, </w:t>
            </w:r>
            <w:proofErr w:type="spellStart"/>
            <w:r w:rsidRPr="001345C3">
              <w:rPr>
                <w:rFonts w:ascii="Arial" w:hAnsi="Arial" w:cs="Arial"/>
                <w:sz w:val="24"/>
                <w:szCs w:val="24"/>
              </w:rPr>
              <w:t>fucoidans</w:t>
            </w:r>
            <w:proofErr w:type="spellEnd"/>
            <w:r w:rsidRPr="001345C3">
              <w:rPr>
                <w:rFonts w:ascii="Arial" w:hAnsi="Arial" w:cs="Arial"/>
                <w:sz w:val="24"/>
                <w:szCs w:val="24"/>
              </w:rPr>
              <w:t xml:space="preserve"> and </w:t>
            </w:r>
            <w:proofErr w:type="spellStart"/>
            <w:r w:rsidRPr="001345C3">
              <w:rPr>
                <w:rFonts w:ascii="Arial" w:hAnsi="Arial" w:cs="Arial"/>
                <w:sz w:val="24"/>
                <w:szCs w:val="24"/>
              </w:rPr>
              <w:t>ulvans</w:t>
            </w:r>
            <w:proofErr w:type="spellEnd"/>
            <w:r w:rsidRPr="001345C3">
              <w:rPr>
                <w:rFonts w:ascii="Arial" w:hAnsi="Arial" w:cs="Arial"/>
                <w:sz w:val="24"/>
                <w:szCs w:val="24"/>
              </w:rPr>
              <w:t xml:space="preserve"> exert direct anti-inflammatory activities by inhibiting the NF-</w:t>
            </w:r>
            <w:proofErr w:type="spellStart"/>
            <w:r w:rsidRPr="001345C3">
              <w:rPr>
                <w:rFonts w:ascii="Arial" w:hAnsi="Arial" w:cs="Arial"/>
                <w:sz w:val="24"/>
                <w:szCs w:val="24"/>
              </w:rPr>
              <w:t>κB</w:t>
            </w:r>
            <w:proofErr w:type="spellEnd"/>
            <w:r w:rsidRPr="001345C3">
              <w:rPr>
                <w:rFonts w:ascii="Arial" w:hAnsi="Arial" w:cs="Arial"/>
                <w:sz w:val="24"/>
                <w:szCs w:val="24"/>
              </w:rPr>
              <w:t xml:space="preserve">/MAPK signaling cascades and suppressing TLR4-mediated LPS recognition. Through these complementary mechanisms—gut ecosystem modulation, intestinal barrier reinforcement, and attenuation of inflammatory signaling—these algal polysaccharides represent a promising therapeutic strategy for metabolic disorders. Their potential applications extend to functional foods, </w:t>
            </w:r>
            <w:proofErr w:type="spellStart"/>
            <w:r w:rsidRPr="001345C3">
              <w:rPr>
                <w:rFonts w:ascii="Arial" w:hAnsi="Arial" w:cs="Arial"/>
                <w:sz w:val="24"/>
                <w:szCs w:val="24"/>
              </w:rPr>
              <w:t>nutraceuticals</w:t>
            </w:r>
            <w:proofErr w:type="spellEnd"/>
            <w:r w:rsidRPr="001345C3">
              <w:rPr>
                <w:rFonts w:ascii="Arial" w:hAnsi="Arial" w:cs="Arial"/>
                <w:sz w:val="24"/>
                <w:szCs w:val="24"/>
              </w:rPr>
              <w:t>, and dietary supplements for the prevention and management of obesity, T2DM, and metabolic syndrome. However, it should be noted that the current evidence is predominantly derived from in vitro and animal studies, with limited clinical trials in human populations, underscoring the need for well-designed, long-term human intervention studies to validate their therapeutic efficacy and establish optimal dosing regimens.</w:t>
            </w:r>
          </w:p>
          <w:p w14:paraId="2C645B36" w14:textId="77777777" w:rsidR="00BE41C4" w:rsidRPr="0051202E" w:rsidRDefault="00BE41C4" w:rsidP="003D6559">
            <w:pPr>
              <w:jc w:val="both"/>
              <w:rPr>
                <w:rFonts w:ascii="Times New Roman" w:hAnsi="Times New Roman" w:cs="Times New Roman"/>
              </w:rPr>
            </w:pPr>
          </w:p>
        </w:tc>
      </w:tr>
    </w:tbl>
    <w:p w14:paraId="6E8AF001" w14:textId="77777777" w:rsidR="00BE41C4" w:rsidRDefault="00BE41C4" w:rsidP="004A5CD9">
      <w:pPr>
        <w:jc w:val="both"/>
        <w:rPr>
          <w:rFonts w:ascii="Arial" w:hAnsi="Arial" w:cs="Arial"/>
          <w:b/>
        </w:rPr>
      </w:pPr>
    </w:p>
    <w:p w14:paraId="3EA74FD2" w14:textId="77777777" w:rsidR="00352A02" w:rsidRDefault="00352A02" w:rsidP="00352A02">
      <w:pPr>
        <w:pStyle w:val="NormalWeb"/>
        <w:spacing w:line="276" w:lineRule="auto"/>
        <w:jc w:val="both"/>
        <w:rPr>
          <w:i/>
        </w:rPr>
      </w:pPr>
      <w:r w:rsidRPr="00352A02">
        <w:rPr>
          <w:b/>
        </w:rPr>
        <w:t>Key words</w:t>
      </w:r>
      <w:r>
        <w:t xml:space="preserve">_ </w:t>
      </w:r>
      <w:proofErr w:type="spellStart"/>
      <w:r w:rsidRPr="00352A02">
        <w:rPr>
          <w:i/>
        </w:rPr>
        <w:t>Fucoidan</w:t>
      </w:r>
      <w:proofErr w:type="spellEnd"/>
      <w:r w:rsidRPr="00352A02">
        <w:rPr>
          <w:i/>
        </w:rPr>
        <w:t>, Gut Microbiota, Gut-Metabolic Axis, Insulin Resistance, Metabolic Endotoxemia, Prebiotics, Short-Chain Fatty Acids, Systemic Inflammation, Type 2 Diabetes, Ulvan</w:t>
      </w:r>
    </w:p>
    <w:p w14:paraId="33AE07E7" w14:textId="77777777" w:rsidR="00352A02" w:rsidRPr="00352A02" w:rsidRDefault="00352A02" w:rsidP="00352A02">
      <w:pPr>
        <w:pStyle w:val="NormalWeb"/>
        <w:spacing w:line="276" w:lineRule="auto"/>
        <w:jc w:val="both"/>
        <w:rPr>
          <w:i/>
        </w:rPr>
      </w:pPr>
    </w:p>
    <w:p w14:paraId="3671EFE0" w14:textId="77777777" w:rsidR="00326333" w:rsidRPr="00326333" w:rsidRDefault="00326333" w:rsidP="00326333">
      <w:pPr>
        <w:pStyle w:val="NormalWeb"/>
        <w:numPr>
          <w:ilvl w:val="0"/>
          <w:numId w:val="1"/>
        </w:numPr>
        <w:spacing w:line="276" w:lineRule="auto"/>
        <w:jc w:val="both"/>
        <w:rPr>
          <w:rFonts w:ascii="Arial" w:hAnsi="Arial" w:cs="Arial"/>
          <w:b/>
        </w:rPr>
      </w:pPr>
      <w:r w:rsidRPr="00326333">
        <w:rPr>
          <w:rFonts w:ascii="Arial" w:hAnsi="Arial" w:cs="Arial"/>
          <w:b/>
        </w:rPr>
        <w:t>INTRODUCTION</w:t>
      </w:r>
    </w:p>
    <w:p w14:paraId="4C0C3EBD" w14:textId="6EE46E3F" w:rsidR="00667ACC" w:rsidRDefault="00667ACC" w:rsidP="00326333">
      <w:pPr>
        <w:pStyle w:val="NormalWeb"/>
        <w:spacing w:line="360" w:lineRule="auto"/>
        <w:ind w:firstLine="360"/>
        <w:jc w:val="both"/>
      </w:pPr>
      <w:r>
        <w:lastRenderedPageBreak/>
        <w:t>The worldwide prevalence of metabolic diseases, especially type 2 diabetes mellitus (T2DM) and obesity, is at an</w:t>
      </w:r>
      <w:r>
        <w:t> </w:t>
      </w:r>
      <w:r>
        <w:t>epidemic proportion with serious implications on global health care systems. It was estimated that in 2021 nearly 537 million adults</w:t>
      </w:r>
      <w:r>
        <w:t> </w:t>
      </w:r>
      <w:r>
        <w:t>had diabetes, and this number is expected to increase to approximately 783 million by the year 2045 (Sun et al., 2022). There is increasing evidence that chronic, low-grade systemic inflammation is a key pathophysiological mechanism connecting obesity</w:t>
      </w:r>
      <w:r>
        <w:t> </w:t>
      </w:r>
      <w:r>
        <w:t>to insulin resistance and subsequent T2DM development (</w:t>
      </w:r>
      <w:proofErr w:type="spellStart"/>
      <w:r>
        <w:t>Boulangé</w:t>
      </w:r>
      <w:proofErr w:type="spellEnd"/>
      <w:r>
        <w:t xml:space="preserve"> et al., 2016; </w:t>
      </w:r>
      <w:proofErr w:type="spellStart"/>
      <w:r>
        <w:t>Hotamisligil</w:t>
      </w:r>
      <w:proofErr w:type="spellEnd"/>
      <w:r>
        <w:t xml:space="preserve">, 2006). Gut microbiota, a diverse community of trillions of microorganisms in the gastrointestinal tract, has been recognized as a crucial regulator of host metabolism and immune responses that operates through interrelated gut–metabolic axis by modulation of microbial metabolites, immunological </w:t>
      </w:r>
      <w:proofErr w:type="spellStart"/>
      <w:r>
        <w:t>signaling</w:t>
      </w:r>
      <w:proofErr w:type="spellEnd"/>
      <w:r>
        <w:t xml:space="preserve"> pathways</w:t>
      </w:r>
      <w:r w:rsidR="00D259B0">
        <w:t xml:space="preserve"> and host–microbial crosstalk (</w:t>
      </w:r>
      <w:bookmarkStart w:id="0" w:name="_GoBack"/>
      <w:bookmarkEnd w:id="0"/>
      <w:proofErr w:type="spellStart"/>
      <w:r>
        <w:t>Zeng</w:t>
      </w:r>
      <w:proofErr w:type="spellEnd"/>
      <w:r>
        <w:t xml:space="preserve"> </w:t>
      </w:r>
      <w:proofErr w:type="spellStart"/>
      <w:r>
        <w:t>etal</w:t>
      </w:r>
      <w:proofErr w:type="spellEnd"/>
      <w:r>
        <w:t>., 2025; Afsal et al., 2022).</w:t>
      </w:r>
    </w:p>
    <w:p w14:paraId="0CCFB4C0" w14:textId="6780D3CA" w:rsidR="00667ACC" w:rsidRDefault="00667ACC" w:rsidP="00667ACC">
      <w:pPr>
        <w:pStyle w:val="NormalWeb"/>
        <w:spacing w:line="360" w:lineRule="auto"/>
        <w:ind w:firstLine="720"/>
        <w:jc w:val="both"/>
      </w:pPr>
      <w:r>
        <w:t>Changes in the gut</w:t>
      </w:r>
      <w:r>
        <w:t> </w:t>
      </w:r>
      <w:r>
        <w:t>microbiota due to its composition and function (dysbiosis) can cause serious disturbances to metabolic homeostasis. A major consequence of dysbiosis is the loss of integrity of the intestinal barrier, leading to enhanced intestinal permeability, which is o</w:t>
      </w:r>
      <w:r w:rsidR="00E90E7C">
        <w:t>ften referred to as a ‘</w:t>
      </w:r>
      <w:r>
        <w:t>leaky</w:t>
      </w:r>
      <w:r>
        <w:t> </w:t>
      </w:r>
      <w:r w:rsidR="00E90E7C">
        <w:t>gut.’</w:t>
      </w:r>
      <w:r>
        <w:t xml:space="preserve"> This compromised barrier allows the passage of microbial products including lipopolysaccharides from gut lumen into systemic circulation, leading in turn to chronic low-grade inflammation that promotes metabolic dysfunction (Tilg et al., 2</w:t>
      </w:r>
      <w:r w:rsidR="008770C2">
        <w:t>020; Di Vincenzo et al., 2024).</w:t>
      </w:r>
      <w:r>
        <w:t xml:space="preserve"> This phenomenon termed metabolic endotoxemia is a key contributor to</w:t>
      </w:r>
      <w:r>
        <w:t> </w:t>
      </w:r>
      <w:r>
        <w:t xml:space="preserve">the low-grade systemic inflammation observed in metabolic diseases (Park et al., 2024; Mohammad &amp; </w:t>
      </w:r>
      <w:proofErr w:type="spellStart"/>
      <w:r>
        <w:t>Thie</w:t>
      </w:r>
      <w:r w:rsidR="00905DA0">
        <w:t>mermann</w:t>
      </w:r>
      <w:proofErr w:type="spellEnd"/>
      <w:r w:rsidR="00905DA0">
        <w:t xml:space="preserve">, 2021; </w:t>
      </w:r>
      <w:proofErr w:type="spellStart"/>
      <w:r w:rsidR="00905DA0">
        <w:t>Cani</w:t>
      </w:r>
      <w:proofErr w:type="spellEnd"/>
      <w:r w:rsidR="00905DA0">
        <w:t xml:space="preserve"> et al., 2007</w:t>
      </w:r>
      <w:r>
        <w:t>). In the circulation, LPS activates the innate immune system by binding to Toll-like receptor 4 (TLR4) on immune cells and induces downstream inflammatory signal transduction pathways such as</w:t>
      </w:r>
      <w:r>
        <w:t> </w:t>
      </w:r>
      <w:r>
        <w:t>nuclear factor-</w:t>
      </w:r>
      <w:proofErr w:type="spellStart"/>
      <w:r>
        <w:t>κB</w:t>
      </w:r>
      <w:proofErr w:type="spellEnd"/>
      <w:r>
        <w:t xml:space="preserve"> (NF-</w:t>
      </w:r>
      <w:proofErr w:type="spellStart"/>
      <w:r>
        <w:t>κB</w:t>
      </w:r>
      <w:proofErr w:type="spellEnd"/>
      <w:r>
        <w:t xml:space="preserve">), and mitogen-activated protein kinase (MAPK). This excessive production of pro-inflammatory cytokines, including </w:t>
      </w:r>
      <w:proofErr w:type="spellStart"/>
      <w:r>
        <w:t>tumor</w:t>
      </w:r>
      <w:proofErr w:type="spellEnd"/>
      <w:r>
        <w:t xml:space="preserve"> necrosis factor-alpha (TNF-α) and interleukin-6 (IL-6), inhibit insulin </w:t>
      </w:r>
      <w:proofErr w:type="spellStart"/>
      <w:r>
        <w:t>signaling</w:t>
      </w:r>
      <w:proofErr w:type="spellEnd"/>
      <w:r>
        <w:t xml:space="preserve"> in peripheral tissues such as the liver, muscle, and adipose tissue leading to insulin resistance (Peña-Durán et</w:t>
      </w:r>
      <w:r w:rsidR="008770C2">
        <w:t xml:space="preserve"> </w:t>
      </w:r>
      <w:r>
        <w:t>al</w:t>
      </w:r>
      <w:r w:rsidR="008770C2">
        <w:t>.,</w:t>
      </w:r>
      <w:r>
        <w:t> </w:t>
      </w:r>
      <w:r>
        <w:t xml:space="preserve">2025; </w:t>
      </w:r>
      <w:proofErr w:type="spellStart"/>
      <w:r>
        <w:t>Shoelson</w:t>
      </w:r>
      <w:proofErr w:type="spellEnd"/>
      <w:r>
        <w:t xml:space="preserve"> et al., 2006).</w:t>
      </w:r>
    </w:p>
    <w:p w14:paraId="1755E64B" w14:textId="6CF44BF2" w:rsidR="0050471E" w:rsidRDefault="00667ACC" w:rsidP="0050471E">
      <w:pPr>
        <w:pStyle w:val="NormalWeb"/>
        <w:spacing w:line="360" w:lineRule="auto"/>
        <w:ind w:firstLine="720"/>
        <w:jc w:val="both"/>
      </w:pPr>
      <w:r>
        <w:t>Due to the importance of gut-metabolic axis in pathogenesis of these disorders, intervenes targeting the gut</w:t>
      </w:r>
      <w:r>
        <w:t> </w:t>
      </w:r>
      <w:r>
        <w:t>microbiota and stimulating intestinal barrier function are potential therapeutic strategies. Dietary</w:t>
      </w:r>
      <w:r>
        <w:t> </w:t>
      </w:r>
      <w:r>
        <w:t xml:space="preserve">interventions, specifically prebiotics, have shown great potential. The International Scientific Association for Probiotics and Prebiotics restrictive the definition of prebiotics to substances that are selectively utilized by host </w:t>
      </w:r>
      <w:r>
        <w:lastRenderedPageBreak/>
        <w:t>microorganism whose health benefits is evidenced (Back et</w:t>
      </w:r>
      <w:r w:rsidR="00227AB0">
        <w:t xml:space="preserve"> </w:t>
      </w:r>
      <w:r>
        <w:t>al</w:t>
      </w:r>
      <w:proofErr w:type="gramStart"/>
      <w:r w:rsidR="00227AB0">
        <w:t>.</w:t>
      </w:r>
      <w:proofErr w:type="gramEnd"/>
      <w:r w:rsidR="00227AB0">
        <w:t>,</w:t>
      </w:r>
      <w:r>
        <w:t> </w:t>
      </w:r>
      <w:r>
        <w:t>2024; Swanson et al., 2020; Gibson et al., 2017). Marine macroalgae, commonly known as seaweed are abundant in unique polysaccharides with</w:t>
      </w:r>
      <w:r>
        <w:t> </w:t>
      </w:r>
      <w:r>
        <w:t xml:space="preserve">profuse bioactive activities underexploited. Dietary </w:t>
      </w:r>
      <w:r w:rsidR="00484515">
        <w:t>fibre</w:t>
      </w:r>
      <w:r>
        <w:t xml:space="preserve"> content is particularly</w:t>
      </w:r>
      <w:r>
        <w:t> </w:t>
      </w:r>
      <w:r>
        <w:t xml:space="preserve">high for macroalgae, accounting for 30%–75% of their dry weight and comprising both </w:t>
      </w:r>
      <w:proofErr w:type="spellStart"/>
      <w:r>
        <w:t>sulfated</w:t>
      </w:r>
      <w:proofErr w:type="spellEnd"/>
      <w:r>
        <w:t xml:space="preserve"> and non-</w:t>
      </w:r>
      <w:r w:rsidR="00484515">
        <w:t>sulphated</w:t>
      </w:r>
      <w:r>
        <w:t xml:space="preserve"> polysaccharides (Matos et al., 2024; </w:t>
      </w:r>
      <w:proofErr w:type="spellStart"/>
      <w:r>
        <w:t>Gotteland</w:t>
      </w:r>
      <w:proofErr w:type="spellEnd"/>
      <w:r>
        <w:t xml:space="preserve"> et al., 2020; Wells et al., 2017).</w:t>
      </w:r>
    </w:p>
    <w:p w14:paraId="55709C18" w14:textId="77777777" w:rsidR="00470E53" w:rsidRDefault="00326333" w:rsidP="0050471E">
      <w:pPr>
        <w:pStyle w:val="NormalWeb"/>
        <w:spacing w:line="360" w:lineRule="auto"/>
        <w:ind w:firstLine="720"/>
        <w:jc w:val="both"/>
      </w:pPr>
      <w:r w:rsidRPr="00326333">
        <w:t>Th</w:t>
      </w:r>
      <w:r>
        <w:t xml:space="preserve">e present review focuses on </w:t>
      </w:r>
      <w:r w:rsidRPr="00326333">
        <w:t xml:space="preserve">two of the most relevant families of </w:t>
      </w:r>
      <w:r w:rsidR="007B44C5" w:rsidRPr="00326333">
        <w:t>sulphated</w:t>
      </w:r>
      <w:r w:rsidRPr="00326333">
        <w:t xml:space="preserve"> algal polysaccharides: fucoidans from brown algae (</w:t>
      </w:r>
      <w:proofErr w:type="spellStart"/>
      <w:r w:rsidRPr="00326333">
        <w:t>Phaeophyceae</w:t>
      </w:r>
      <w:proofErr w:type="spellEnd"/>
      <w:r w:rsidRPr="00326333">
        <w:t xml:space="preserve">) and </w:t>
      </w:r>
      <w:proofErr w:type="spellStart"/>
      <w:r w:rsidRPr="00326333">
        <w:t>ulvans</w:t>
      </w:r>
      <w:proofErr w:type="spellEnd"/>
      <w:r w:rsidRPr="00326333">
        <w:t xml:space="preserve"> from green algae (Chlorophyta). These polysaccharides have shown great promise in the alleviation of systemic inflammation and insulin resistance due to various modulatory effects on the gut–a metabolic axis. The potential mechanisms underlying </w:t>
      </w:r>
      <w:proofErr w:type="spellStart"/>
      <w:r w:rsidRPr="00326333">
        <w:t>fucoidan</w:t>
      </w:r>
      <w:proofErr w:type="spellEnd"/>
      <w:r w:rsidRPr="00326333">
        <w:t xml:space="preserve"> and </w:t>
      </w:r>
      <w:proofErr w:type="spellStart"/>
      <w:r w:rsidRPr="00326333">
        <w:t>ulvan</w:t>
      </w:r>
      <w:proofErr w:type="spellEnd"/>
      <w:r w:rsidRPr="00326333">
        <w:t xml:space="preserve"> modulation of the gut microbiota, as pertains to gut microbial composition and function, including beneficial production of short chain fatty acids (SCFAs), enhancement of GI barrier integrity, and resolution of inflammation at cellular and molecular levels are discussed. Moreover, this review summarizes the current knowledge base regarding therapeutic implications of these marine-derived polysaccharides in their application against metabolic disorders associated with chronic inflammation and insulin-resistance.</w:t>
      </w:r>
    </w:p>
    <w:p w14:paraId="646AC8A3" w14:textId="064CBF62" w:rsidR="00FF123C" w:rsidRPr="001D054B" w:rsidRDefault="00FF123C" w:rsidP="00FF123C">
      <w:pPr>
        <w:pStyle w:val="NormalWeb"/>
        <w:spacing w:line="360" w:lineRule="auto"/>
        <w:jc w:val="both"/>
        <w:rPr>
          <w:rFonts w:ascii="Arial" w:hAnsi="Arial" w:cs="Arial"/>
          <w:b/>
        </w:rPr>
      </w:pPr>
      <w:r w:rsidRPr="001D054B">
        <w:rPr>
          <w:rFonts w:ascii="Arial" w:hAnsi="Arial" w:cs="Arial"/>
          <w:b/>
        </w:rPr>
        <w:t>2. METHODOLOGY</w:t>
      </w:r>
      <w:r w:rsidRPr="001D054B">
        <w:rPr>
          <w:rFonts w:ascii="Arial" w:hAnsi="Arial" w:cs="Arial"/>
        </w:rPr>
        <w:t xml:space="preserve"> </w:t>
      </w:r>
    </w:p>
    <w:p w14:paraId="10D92AC6" w14:textId="605889C4" w:rsidR="00FF123C" w:rsidRPr="00BE41C4" w:rsidRDefault="00FF123C" w:rsidP="00BE41C4">
      <w:pPr>
        <w:pStyle w:val="NormalWeb"/>
        <w:spacing w:line="360" w:lineRule="auto"/>
        <w:ind w:firstLine="720"/>
        <w:jc w:val="both"/>
      </w:pPr>
      <w:r w:rsidRPr="00FF123C">
        <w:t xml:space="preserve">The present narrative review aims to provide the state-of-the-art of available studies focused on the potential use of algal </w:t>
      </w:r>
      <w:proofErr w:type="spellStart"/>
      <w:r w:rsidRPr="00FF123C">
        <w:t>fucoidan</w:t>
      </w:r>
      <w:proofErr w:type="spellEnd"/>
      <w:r w:rsidRPr="00FF123C">
        <w:t xml:space="preserve"> and </w:t>
      </w:r>
      <w:proofErr w:type="spellStart"/>
      <w:r w:rsidRPr="00FF123C">
        <w:t>ulvan</w:t>
      </w:r>
      <w:proofErr w:type="spellEnd"/>
      <w:r w:rsidRPr="00FF123C">
        <w:t xml:space="preserve"> in regulating the gut-metabolic axis. All information reported was collected through a comprehensive review of scientific literature from electronic databases PubMed, Scopus, Web of Science and Google Scholar. The search concentrated on literature from 2000 to 2025, giving priority to recent papers over the last decade that, snapshots new insights in the field. The following </w:t>
      </w:r>
      <w:r w:rsidR="00586E3E">
        <w:t>key words were used to search: ‘</w:t>
      </w:r>
      <w:proofErr w:type="spellStart"/>
      <w:r w:rsidR="00586E3E">
        <w:t>fucoidan</w:t>
      </w:r>
      <w:proofErr w:type="spellEnd"/>
      <w:r w:rsidR="00586E3E">
        <w:t>,’ ‘</w:t>
      </w:r>
      <w:proofErr w:type="spellStart"/>
      <w:r w:rsidR="00586E3E">
        <w:t>ulvan</w:t>
      </w:r>
      <w:proofErr w:type="spellEnd"/>
      <w:proofErr w:type="gramStart"/>
      <w:r w:rsidR="00586E3E">
        <w:t>,;</w:t>
      </w:r>
      <w:proofErr w:type="gramEnd"/>
      <w:r w:rsidR="00586E3E">
        <w:t xml:space="preserve"> ‘algal polysaccharides,’ ‘gut </w:t>
      </w:r>
      <w:proofErr w:type="spellStart"/>
      <w:r w:rsidR="00586E3E">
        <w:t>microbiota</w:t>
      </w:r>
      <w:proofErr w:type="spellEnd"/>
      <w:r w:rsidR="00586E3E">
        <w:t xml:space="preserve">,’ ‘gut-metabolic axis,’ ‘insulin resistance’ combined with ‘systemic inflammation,’ and/or ‘metabolic </w:t>
      </w:r>
      <w:proofErr w:type="spellStart"/>
      <w:r w:rsidR="00586E3E">
        <w:t>endotoxemia</w:t>
      </w:r>
      <w:proofErr w:type="spellEnd"/>
      <w:r w:rsidR="00586E3E">
        <w:t>.’</w:t>
      </w:r>
      <w:r w:rsidRPr="00FF123C">
        <w:t xml:space="preserve"> Literature was included if it addressed topics relevant to the themes of the review, such as investigations into structural features of these polysaccharides and their prebiotic effects in addition to metabolic and inflammatory pathways that they can affect. The </w:t>
      </w:r>
      <w:r w:rsidR="00586E3E" w:rsidRPr="00FF123C">
        <w:t>review synthesizes</w:t>
      </w:r>
      <w:r w:rsidRPr="00FF123C">
        <w:t xml:space="preserve"> key findings from in vitro, animal, and human studies to construct a cohesive narrative on the topic, identify areas of consensus, and highlight gaps in the current understanding.</w:t>
      </w:r>
    </w:p>
    <w:p w14:paraId="0AE5959A" w14:textId="39D8B9B7" w:rsidR="00D11E19" w:rsidRPr="001D054B" w:rsidRDefault="00586E3E" w:rsidP="008C7502">
      <w:pPr>
        <w:pStyle w:val="NormalWeb"/>
        <w:spacing w:line="360" w:lineRule="auto"/>
        <w:jc w:val="both"/>
        <w:rPr>
          <w:rFonts w:ascii="Arial" w:hAnsi="Arial" w:cs="Arial"/>
          <w:b/>
        </w:rPr>
      </w:pPr>
      <w:r>
        <w:rPr>
          <w:b/>
        </w:rPr>
        <w:lastRenderedPageBreak/>
        <w:t>3.</w:t>
      </w:r>
      <w:r w:rsidRPr="00D11E19">
        <w:rPr>
          <w:b/>
        </w:rPr>
        <w:t xml:space="preserve"> </w:t>
      </w:r>
      <w:r w:rsidRPr="001D054B">
        <w:rPr>
          <w:rFonts w:ascii="Arial" w:hAnsi="Arial" w:cs="Arial"/>
          <w:b/>
        </w:rPr>
        <w:t>THE</w:t>
      </w:r>
      <w:r w:rsidR="00D11E19" w:rsidRPr="001D054B">
        <w:rPr>
          <w:rFonts w:ascii="Arial" w:hAnsi="Arial" w:cs="Arial"/>
          <w:b/>
        </w:rPr>
        <w:t xml:space="preserve"> GUT-METABOLIC AXIS: A KEY REGULATOR OF SYSTEMIC INFLAMMATION AND INSULIN RESISTANCE</w:t>
      </w:r>
    </w:p>
    <w:p w14:paraId="24A8F4DC" w14:textId="77777777" w:rsidR="00D11E19" w:rsidRPr="00D11E19" w:rsidRDefault="00D11E19" w:rsidP="00D11E19">
      <w:pPr>
        <w:pStyle w:val="NormalWeb"/>
        <w:spacing w:line="360" w:lineRule="auto"/>
        <w:ind w:firstLine="360"/>
        <w:jc w:val="both"/>
      </w:pPr>
      <w:r w:rsidRPr="00D11E19">
        <w:t>The gut-metabolic axis is a two-way communication system between</w:t>
      </w:r>
      <w:r w:rsidRPr="00D11E19">
        <w:t> </w:t>
      </w:r>
      <w:r w:rsidRPr="00D11E19">
        <w:t>the gut microbiota, the intestinal barrier, and host metabolic and immune systems. In the absence of</w:t>
      </w:r>
      <w:r w:rsidR="006A0AFE">
        <w:t xml:space="preserve"> pathogens and</w:t>
      </w:r>
      <w:r w:rsidRPr="00D11E19">
        <w:t xml:space="preserve"> in a functional state, this axis is</w:t>
      </w:r>
      <w:r w:rsidRPr="00D11E19">
        <w:t> </w:t>
      </w:r>
      <w:r w:rsidRPr="00D11E19">
        <w:t>finely tuned and ensures efficient nutrient assimilation, energy homeostasis and immune tolerance. But its dysregulation</w:t>
      </w:r>
      <w:r w:rsidRPr="00D11E19">
        <w:t> </w:t>
      </w:r>
      <w:r w:rsidRPr="00D11E19">
        <w:t>is a feature of metabolic disorders and offers an important intervention target</w:t>
      </w:r>
    </w:p>
    <w:p w14:paraId="00C67371" w14:textId="77777777" w:rsidR="00D11E19" w:rsidRPr="003D36CE" w:rsidRDefault="00197325" w:rsidP="00D11E19">
      <w:pPr>
        <w:pStyle w:val="NormalWeb"/>
        <w:spacing w:line="360" w:lineRule="auto"/>
        <w:jc w:val="both"/>
        <w:rPr>
          <w:rFonts w:ascii="Arial" w:hAnsi="Arial" w:cs="Arial"/>
          <w:b/>
        </w:rPr>
      </w:pPr>
      <w:r w:rsidRPr="003D36CE">
        <w:rPr>
          <w:rFonts w:ascii="Arial" w:hAnsi="Arial" w:cs="Arial"/>
          <w:b/>
        </w:rPr>
        <w:t>3</w:t>
      </w:r>
      <w:r w:rsidR="00D11E19" w:rsidRPr="003D36CE">
        <w:rPr>
          <w:rFonts w:ascii="Arial" w:hAnsi="Arial" w:cs="Arial"/>
          <w:b/>
        </w:rPr>
        <w:t>.1. Gut Dysbiosis and Metabolic Endotoxemia</w:t>
      </w:r>
    </w:p>
    <w:p w14:paraId="58476F85" w14:textId="77777777" w:rsidR="0073185E" w:rsidRDefault="0073185E" w:rsidP="0073185E">
      <w:pPr>
        <w:pStyle w:val="NormalWeb"/>
        <w:spacing w:line="360" w:lineRule="auto"/>
        <w:ind w:firstLine="720"/>
        <w:jc w:val="both"/>
      </w:pPr>
      <w:r>
        <w:t xml:space="preserve">Gut dysbiosis, with a decrease in microbial diversity and a disbalance between beneficial and pathogenic species, is a key trigger for the perturbation of the gut metabolic axis. In the Western world diets rich in fat and sucrose are associated with this dysbiosis, stimulating growth of Gram-negative population while decreasing beneficial </w:t>
      </w:r>
      <w:proofErr w:type="spellStart"/>
      <w:r>
        <w:t>bacteroidal</w:t>
      </w:r>
      <w:proofErr w:type="spellEnd"/>
      <w:r>
        <w:t xml:space="preserve"> SCFA-producers (Du et al., 2025; </w:t>
      </w:r>
      <w:proofErr w:type="spellStart"/>
      <w:r>
        <w:t>Boulangé</w:t>
      </w:r>
      <w:proofErr w:type="spellEnd"/>
      <w:r>
        <w:t> et al., 2016; Turnbaugh et al., 2009). This microbial scenery change has severe implications for the intestinal barrier integrity.</w:t>
      </w:r>
    </w:p>
    <w:p w14:paraId="478E275F" w14:textId="77777777" w:rsidR="0073185E" w:rsidRDefault="0073185E" w:rsidP="0073185E">
      <w:pPr>
        <w:pStyle w:val="NormalWeb"/>
        <w:spacing w:line="360" w:lineRule="auto"/>
        <w:ind w:firstLine="720"/>
        <w:jc w:val="both"/>
      </w:pPr>
      <w:r>
        <w:t xml:space="preserve">The intestinal barrier is an intricate multi-layered system engineered to protect against the movement of deleterious compounds from the lumen of the gut into the bloodstream, and yet permit absorption selectively of nutrients. It consists of a physical barrier, made by a single layer of intestinal epithelial cells (IECs) linked together through tight junctions and a chemical one in which mucus and antimicrobial peptides are secreted, as well as immunological barrier which includes gut-associated lymphoid tissue (GALT)(Neurath et al., 2025; Régnier et al., 2021). Gut dysbiosis can affect each of these four layers that make up the gut barrier and promote intestinal permeability. For instance, a decrease in mucin-producing bacteria (e.g., </w:t>
      </w:r>
      <w:proofErr w:type="spellStart"/>
      <w:r w:rsidRPr="006A0AFE">
        <w:rPr>
          <w:i/>
        </w:rPr>
        <w:t>Akkermansia</w:t>
      </w:r>
      <w:proofErr w:type="spellEnd"/>
      <w:r w:rsidRPr="006A0AFE">
        <w:rPr>
          <w:i/>
        </w:rPr>
        <w:t xml:space="preserve"> </w:t>
      </w:r>
      <w:proofErr w:type="spellStart"/>
      <w:r w:rsidRPr="006A0AFE">
        <w:rPr>
          <w:i/>
        </w:rPr>
        <w:t>muciniphila</w:t>
      </w:r>
      <w:proofErr w:type="spellEnd"/>
      <w:r>
        <w:t>) can lead to thinning of the mucus layer and an overgrowth of certain pathogenic bacteria that produce metabolites harmful to tight junction proteins (Shaheen et al., 2025; Zhao et al., 2024; Everard et al., 2013).</w:t>
      </w:r>
    </w:p>
    <w:p w14:paraId="33893597" w14:textId="77777777" w:rsidR="005D72E0" w:rsidRDefault="00693356" w:rsidP="005D72E0">
      <w:pPr>
        <w:pStyle w:val="NormalWeb"/>
        <w:ind w:firstLine="720"/>
        <w:jc w:val="center"/>
        <w:rPr>
          <w:rFonts w:ascii="Segoe UI" w:hAnsi="Segoe UI" w:cs="Segoe UI"/>
          <w:color w:val="34322D"/>
          <w:sz w:val="20"/>
          <w:szCs w:val="20"/>
          <w:shd w:val="clear" w:color="auto" w:fill="F8F8F7"/>
        </w:rPr>
      </w:pPr>
      <w:r>
        <w:rPr>
          <w:noProof/>
        </w:rPr>
        <w:lastRenderedPageBreak/>
        <w:drawing>
          <wp:inline distT="0" distB="0" distL="0" distR="0" wp14:anchorId="23B65A06" wp14:editId="25A854F3">
            <wp:extent cx="5324475" cy="3200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3200400"/>
                    </a:xfrm>
                    <a:prstGeom prst="rect">
                      <a:avLst/>
                    </a:prstGeom>
                    <a:noFill/>
                  </pic:spPr>
                </pic:pic>
              </a:graphicData>
            </a:graphic>
          </wp:inline>
        </w:drawing>
      </w:r>
      <w:r w:rsidR="005D72E0" w:rsidRPr="005D72E0">
        <w:rPr>
          <w:rStyle w:val="Strong"/>
          <w:b w:val="0"/>
          <w:color w:val="34322D"/>
          <w:sz w:val="20"/>
          <w:szCs w:val="20"/>
          <w:bdr w:val="single" w:sz="2" w:space="0" w:color="E5E7EB" w:frame="1"/>
          <w:shd w:val="clear" w:color="auto" w:fill="F8F8F7"/>
        </w:rPr>
        <w:t>Figure 1.</w:t>
      </w:r>
      <w:r w:rsidR="005D72E0" w:rsidRPr="005D72E0">
        <w:rPr>
          <w:b/>
          <w:color w:val="34322D"/>
          <w:sz w:val="20"/>
          <w:szCs w:val="20"/>
          <w:shd w:val="clear" w:color="auto" w:fill="F8F8F7"/>
        </w:rPr>
        <w:t xml:space="preserve"> The gut-metabolic axis in health versus dysbiosis</w:t>
      </w:r>
      <w:r w:rsidR="005D72E0" w:rsidRPr="005D72E0">
        <w:rPr>
          <w:rFonts w:ascii="Segoe UI" w:hAnsi="Segoe UI" w:cs="Segoe UI"/>
          <w:color w:val="34322D"/>
          <w:sz w:val="20"/>
          <w:szCs w:val="20"/>
          <w:shd w:val="clear" w:color="auto" w:fill="F8F8F7"/>
        </w:rPr>
        <w:t>.</w:t>
      </w:r>
    </w:p>
    <w:p w14:paraId="31D99FAC" w14:textId="77777777" w:rsidR="00693356" w:rsidRPr="005D72E0" w:rsidRDefault="005D72E0" w:rsidP="005D72E0">
      <w:pPr>
        <w:pStyle w:val="NormalWeb"/>
        <w:jc w:val="both"/>
        <w:rPr>
          <w:sz w:val="20"/>
          <w:szCs w:val="20"/>
        </w:rPr>
      </w:pPr>
      <w:r w:rsidRPr="005D72E0">
        <w:rPr>
          <w:rFonts w:ascii="Segoe UI" w:hAnsi="Segoe UI" w:cs="Segoe UI"/>
          <w:color w:val="34322D"/>
          <w:sz w:val="20"/>
          <w:szCs w:val="20"/>
          <w:shd w:val="clear" w:color="auto" w:fill="F8F8F7"/>
        </w:rPr>
        <w:t xml:space="preserve">In the healthy state (left), diverse beneficial </w:t>
      </w:r>
      <w:proofErr w:type="spellStart"/>
      <w:r w:rsidRPr="005D72E0">
        <w:rPr>
          <w:rFonts w:ascii="Segoe UI" w:hAnsi="Segoe UI" w:cs="Segoe UI"/>
          <w:color w:val="34322D"/>
          <w:sz w:val="20"/>
          <w:szCs w:val="20"/>
          <w:shd w:val="clear" w:color="auto" w:fill="F8F8F7"/>
        </w:rPr>
        <w:t>microbiota</w:t>
      </w:r>
      <w:proofErr w:type="spellEnd"/>
      <w:r w:rsidRPr="005D72E0">
        <w:rPr>
          <w:rFonts w:ascii="Segoe UI" w:hAnsi="Segoe UI" w:cs="Segoe UI"/>
          <w:color w:val="34322D"/>
          <w:sz w:val="20"/>
          <w:szCs w:val="20"/>
          <w:shd w:val="clear" w:color="auto" w:fill="F8F8F7"/>
        </w:rPr>
        <w:t xml:space="preserve"> (</w:t>
      </w:r>
      <w:r w:rsidRPr="005D72E0">
        <w:rPr>
          <w:rStyle w:val="Emphasis"/>
          <w:rFonts w:ascii="Segoe UI" w:hAnsi="Segoe UI" w:cs="Segoe UI"/>
          <w:color w:val="34322D"/>
          <w:sz w:val="20"/>
          <w:szCs w:val="20"/>
          <w:bdr w:val="single" w:sz="2" w:space="0" w:color="E5E7EB" w:frame="1"/>
          <w:shd w:val="clear" w:color="auto" w:fill="F8F8F7"/>
        </w:rPr>
        <w:t>Lactobacillus</w:t>
      </w:r>
      <w:r w:rsidRPr="005D72E0">
        <w:rPr>
          <w:rFonts w:ascii="Segoe UI" w:hAnsi="Segoe UI" w:cs="Segoe UI"/>
          <w:color w:val="34322D"/>
          <w:sz w:val="20"/>
          <w:szCs w:val="20"/>
          <w:shd w:val="clear" w:color="auto" w:fill="F8F8F7"/>
        </w:rPr>
        <w:t xml:space="preserve">, </w:t>
      </w:r>
      <w:proofErr w:type="spellStart"/>
      <w:r w:rsidRPr="005D72E0">
        <w:rPr>
          <w:rStyle w:val="Emphasis"/>
          <w:rFonts w:ascii="Segoe UI" w:hAnsi="Segoe UI" w:cs="Segoe UI"/>
          <w:color w:val="34322D"/>
          <w:sz w:val="20"/>
          <w:szCs w:val="20"/>
          <w:bdr w:val="single" w:sz="2" w:space="0" w:color="E5E7EB" w:frame="1"/>
          <w:shd w:val="clear" w:color="auto" w:fill="F8F8F7"/>
        </w:rPr>
        <w:t>Bifidobacterium</w:t>
      </w:r>
      <w:proofErr w:type="spellEnd"/>
      <w:r w:rsidRPr="005D72E0">
        <w:rPr>
          <w:rFonts w:ascii="Segoe UI" w:hAnsi="Segoe UI" w:cs="Segoe UI"/>
          <w:color w:val="34322D"/>
          <w:sz w:val="20"/>
          <w:szCs w:val="20"/>
          <w:shd w:val="clear" w:color="auto" w:fill="F8F8F7"/>
        </w:rPr>
        <w:t xml:space="preserve">, </w:t>
      </w:r>
      <w:proofErr w:type="spellStart"/>
      <w:r w:rsidRPr="005D72E0">
        <w:rPr>
          <w:rStyle w:val="Emphasis"/>
          <w:rFonts w:ascii="Segoe UI" w:hAnsi="Segoe UI" w:cs="Segoe UI"/>
          <w:color w:val="34322D"/>
          <w:sz w:val="20"/>
          <w:szCs w:val="20"/>
          <w:bdr w:val="single" w:sz="2" w:space="0" w:color="E5E7EB" w:frame="1"/>
          <w:shd w:val="clear" w:color="auto" w:fill="F8F8F7"/>
        </w:rPr>
        <w:t>Akkermansia</w:t>
      </w:r>
      <w:proofErr w:type="spellEnd"/>
      <w:r w:rsidRPr="005D72E0">
        <w:rPr>
          <w:rFonts w:ascii="Segoe UI" w:hAnsi="Segoe UI" w:cs="Segoe UI"/>
          <w:color w:val="34322D"/>
          <w:sz w:val="20"/>
          <w:szCs w:val="20"/>
          <w:shd w:val="clear" w:color="auto" w:fill="F8F8F7"/>
        </w:rPr>
        <w:t xml:space="preserve">) produce abundant SCFAs, maintaining an intact mucus layer and tight junctions, resulting in low LPS translocation and normal insulin </w:t>
      </w:r>
      <w:proofErr w:type="spellStart"/>
      <w:r w:rsidRPr="005D72E0">
        <w:rPr>
          <w:rFonts w:ascii="Segoe UI" w:hAnsi="Segoe UI" w:cs="Segoe UI"/>
          <w:color w:val="34322D"/>
          <w:sz w:val="20"/>
          <w:szCs w:val="20"/>
          <w:shd w:val="clear" w:color="auto" w:fill="F8F8F7"/>
        </w:rPr>
        <w:t>signaling</w:t>
      </w:r>
      <w:proofErr w:type="spellEnd"/>
      <w:r w:rsidRPr="005D72E0">
        <w:rPr>
          <w:rFonts w:ascii="Segoe UI" w:hAnsi="Segoe UI" w:cs="Segoe UI"/>
          <w:color w:val="34322D"/>
          <w:sz w:val="20"/>
          <w:szCs w:val="20"/>
          <w:shd w:val="clear" w:color="auto" w:fill="F8F8F7"/>
        </w:rPr>
        <w:t>. In dysbiosis (right), Gram-negative bacteria predominate, SCFAs decline, and barrier dysfunction permits LPS translocation, triggering macrophage activation and pro-inflammatory cytokine release (TNF-α, IL-6, IL-1β), leading to insulin resistance and metabolic disease</w:t>
      </w:r>
    </w:p>
    <w:p w14:paraId="04CF5DB5" w14:textId="3EFBDB25" w:rsidR="0073185E" w:rsidRDefault="0073185E" w:rsidP="005D72E0">
      <w:pPr>
        <w:pStyle w:val="NormalWeb"/>
        <w:spacing w:line="360" w:lineRule="auto"/>
        <w:ind w:firstLine="720"/>
        <w:jc w:val="both"/>
      </w:pPr>
      <w:r>
        <w:t>This enhanced permeability is responsible for the passage of LPS from the gut lumen to systemic circulation, a phenomenon refer</w:t>
      </w:r>
      <w:r w:rsidR="006A0AFE">
        <w:t>red to as metabolic endotoxemia.</w:t>
      </w:r>
      <w:r>
        <w:t xml:space="preserve"> Cani et al. (2007) were the first to show that a high-fat diet in mice chronically raised plasma LPS levels by 2–3 fold, which was adequate to stimulate metabolic inflammation without frank infection. Circulating LPS is a strong pro</w:t>
      </w:r>
      <w:r w:rsidR="006A0AFE">
        <w:t>-</w:t>
      </w:r>
      <w:r>
        <w:t xml:space="preserve">inflammatory stimulus even at such low concentrations. It engages the TLR4 complex at the surface of immunity cells such as macrophages or adipocytes leading to a </w:t>
      </w:r>
      <w:r w:rsidR="00586E3E">
        <w:t>signalling</w:t>
      </w:r>
      <w:r>
        <w:t xml:space="preserve"> cascade which ultimately leads to activation of NF-</w:t>
      </w:r>
      <w:proofErr w:type="spellStart"/>
      <w:r>
        <w:t>κB</w:t>
      </w:r>
      <w:proofErr w:type="spellEnd"/>
      <w:r>
        <w:t xml:space="preserve"> and MAPK. </w:t>
      </w:r>
      <w:r w:rsidR="006A0AFE">
        <w:t>This</w:t>
      </w:r>
      <w:r>
        <w:t xml:space="preserve"> then activates transcription and release of a panel of pro-inflammatory cytokines including TNF-α, IL-1β and IL-6 (Park et al., 2004; Mohammad &amp; Thiemermann, 2021).</w:t>
      </w:r>
    </w:p>
    <w:p w14:paraId="224AA287" w14:textId="3B54E0D0" w:rsidR="00D11E19" w:rsidRDefault="0073185E" w:rsidP="0073185E">
      <w:pPr>
        <w:pStyle w:val="NormalWeb"/>
        <w:spacing w:line="360" w:lineRule="auto"/>
        <w:ind w:firstLine="720"/>
        <w:jc w:val="both"/>
      </w:pPr>
      <w:r>
        <w:t xml:space="preserve">This chronic low-grade inflammatory condition is one of the major factors inducing insulin resistance in the periphery. It has for example been reported that TNF-α can directly block insulin </w:t>
      </w:r>
      <w:proofErr w:type="spellStart"/>
      <w:r>
        <w:t>signaling</w:t>
      </w:r>
      <w:proofErr w:type="spellEnd"/>
      <w:r>
        <w:t xml:space="preserve"> by stimulating the phosphorylation of IRS-1 at inhibitory serine residues (Ser307) thus interfering with activation of the downstream insulin signalling cascade and glucose uptake (Yang et al.,</w:t>
      </w:r>
      <w:r w:rsidR="006A0AFE">
        <w:t xml:space="preserve"> </w:t>
      </w:r>
      <w:r>
        <w:t xml:space="preserve">2024; </w:t>
      </w:r>
      <w:proofErr w:type="spellStart"/>
      <w:r w:rsidRPr="0073185E">
        <w:t>Chandrasekaran</w:t>
      </w:r>
      <w:proofErr w:type="spellEnd"/>
      <w:r w:rsidRPr="0073185E">
        <w:t xml:space="preserve">, &amp; </w:t>
      </w:r>
      <w:proofErr w:type="spellStart"/>
      <w:r w:rsidRPr="0073185E">
        <w:t>Weiskirchen</w:t>
      </w:r>
      <w:proofErr w:type="spellEnd"/>
      <w:r w:rsidRPr="0073185E">
        <w:t xml:space="preserve">, </w:t>
      </w:r>
      <w:r>
        <w:t xml:space="preserve">2024 </w:t>
      </w:r>
      <w:proofErr w:type="spellStart"/>
      <w:r>
        <w:lastRenderedPageBreak/>
        <w:t>Hotamisligil</w:t>
      </w:r>
      <w:proofErr w:type="spellEnd"/>
      <w:r>
        <w:t xml:space="preserve"> et al.,. 1996). IL-6 further promotes insulin resistance by increasing the expression of suppressor of cytokine signalling 3 (SOCS3) which counteracts with insulin receptor </w:t>
      </w:r>
      <w:r w:rsidR="00586E3E">
        <w:t>signalling</w:t>
      </w:r>
      <w:r>
        <w:t xml:space="preserve"> (Mir et al., 2025; Senn et al., 2003). Therefore, metabolic endotoxemia establishes a positive feedback in which gut-derived inflammation further drives metabolic dysfunction.</w:t>
      </w:r>
    </w:p>
    <w:p w14:paraId="2449CA3E" w14:textId="77777777" w:rsidR="0073185E" w:rsidRPr="003D36CE" w:rsidRDefault="00197325" w:rsidP="005D72E0">
      <w:pPr>
        <w:pStyle w:val="NormalWeb"/>
        <w:spacing w:line="360" w:lineRule="auto"/>
        <w:jc w:val="both"/>
        <w:rPr>
          <w:rFonts w:ascii="Arial" w:hAnsi="Arial" w:cs="Arial"/>
          <w:b/>
        </w:rPr>
      </w:pPr>
      <w:r w:rsidRPr="003D36CE">
        <w:rPr>
          <w:rFonts w:ascii="Arial" w:hAnsi="Arial" w:cs="Arial"/>
          <w:b/>
        </w:rPr>
        <w:t>3</w:t>
      </w:r>
      <w:r w:rsidR="005D72E0" w:rsidRPr="003D36CE">
        <w:rPr>
          <w:rFonts w:ascii="Arial" w:hAnsi="Arial" w:cs="Arial"/>
          <w:b/>
        </w:rPr>
        <w:t>.2. The Role of Short-Chain Fatty Acids (SCFAs)</w:t>
      </w:r>
    </w:p>
    <w:p w14:paraId="3DE08504" w14:textId="0313A575" w:rsidR="00B162B9" w:rsidRDefault="00B162B9" w:rsidP="00B162B9">
      <w:pPr>
        <w:pStyle w:val="NormalWeb"/>
        <w:spacing w:line="360" w:lineRule="auto"/>
        <w:ind w:firstLine="720"/>
        <w:jc w:val="both"/>
      </w:pPr>
      <w:r>
        <w:t xml:space="preserve">SCFAs are the primary metabolites produced by anaerobic bacterial fermentation of </w:t>
      </w:r>
      <w:proofErr w:type="spellStart"/>
      <w:r>
        <w:t>fibers</w:t>
      </w:r>
      <w:proofErr w:type="spellEnd"/>
      <w:r>
        <w:t xml:space="preserve">, and resistant starches ingested in the diet within the colonic lumen. The main SCFAs are acetate (C2), propionate (C3) and butyrate (C4), </w:t>
      </w:r>
      <w:r w:rsidR="00586E3E">
        <w:t>which</w:t>
      </w:r>
      <w:r>
        <w:t xml:space="preserve"> can be found in the colon with a molar ratio of approximate 60:20:20, respectively (Thulasinathan et al., 2025; den </w:t>
      </w:r>
      <w:proofErr w:type="spellStart"/>
      <w:r>
        <w:t>Besten</w:t>
      </w:r>
      <w:proofErr w:type="spellEnd"/>
      <w:r>
        <w:t xml:space="preserve"> et al., 2013; Cummings et al., 1987). This waste isn't just a throwaway product, but important signalling molecules that are central to helping maintain gut health and metabolism. Especially butyrate is the main energy source for colonocytes, i.e. the epithelial cells which line to colon, supplying about 70% of their metabolic demand (He et al., 2020; Donohoe et al., 2011). By energizing these cells, butyrate supports the gut barrier through upregulating the expression of tight junction proteins such as </w:t>
      </w:r>
      <w:proofErr w:type="spellStart"/>
      <w:r>
        <w:t>occludin</w:t>
      </w:r>
      <w:proofErr w:type="spellEnd"/>
      <w:r>
        <w:t xml:space="preserve"> and </w:t>
      </w:r>
      <w:proofErr w:type="spellStart"/>
      <w:r>
        <w:t>zonula</w:t>
      </w:r>
      <w:proofErr w:type="spellEnd"/>
      <w:r>
        <w:t xml:space="preserve"> occludens-1 (ZO-1) and mucus secretion (Parada </w:t>
      </w:r>
      <w:r w:rsidR="00586E3E">
        <w:t xml:space="preserve">Venegas et al., 2019; </w:t>
      </w:r>
      <w:proofErr w:type="spellStart"/>
      <w:r w:rsidR="00586E3E">
        <w:t>Peng</w:t>
      </w:r>
      <w:proofErr w:type="spellEnd"/>
      <w:r w:rsidR="00586E3E">
        <w:t xml:space="preserve"> et al</w:t>
      </w:r>
      <w:r>
        <w:t>., 2009).</w:t>
      </w:r>
    </w:p>
    <w:p w14:paraId="695BB1C8" w14:textId="77777777" w:rsidR="00B162B9" w:rsidRDefault="006A0AFE" w:rsidP="006A0AFE">
      <w:pPr>
        <w:pStyle w:val="NormalWeb"/>
        <w:spacing w:line="360" w:lineRule="auto"/>
        <w:ind w:firstLine="720"/>
        <w:jc w:val="both"/>
      </w:pPr>
      <w:r>
        <w:t>I</w:t>
      </w:r>
      <w:r w:rsidR="00B162B9">
        <w:t xml:space="preserve">n addition to their local gut effects, SCFAs can enter the systemic circulation and beneficially influence peripheral tissues. They exert a beneficial role in increasing insulin sensitivity and glucose homeostasis by multiple mechanisms. SCFAs activate G-protein coupled receptors (GPCRs) predominantly GPR41 (FFAR3) and GPR43 (FFAR2), which are present on many cell types, such as enteroendocrine L-cells, adipocytes, immune cells and pancreatic β-cells (Kimura et al., 2020; Pingitore et al., 2017; Canfora et al., 2015). In L-cells, GPR43 activation increases gut hormones including glucagon-like peptide-1 (GLP-1) and peptide YY (PYY). GLP-1 stimulates glucose-dependent insulin secretion by pancreatic β-cells, suppresses glucagon release, and slows down gastric emptying, leading to a better control of postprandial </w:t>
      </w:r>
      <w:proofErr w:type="spellStart"/>
      <w:r w:rsidR="00B162B9">
        <w:t>hyperglycemia</w:t>
      </w:r>
      <w:proofErr w:type="spellEnd"/>
      <w:r w:rsidR="00B162B9">
        <w:t xml:space="preserve"> (Müller et al., 2019; Tolhurst et al., 2012). PYY suppresses appetite with food restriction.</w:t>
      </w:r>
    </w:p>
    <w:p w14:paraId="7DC042DC" w14:textId="3AB87C88" w:rsidR="0073185E" w:rsidRDefault="00B162B9" w:rsidP="00B162B9">
      <w:pPr>
        <w:pStyle w:val="NormalWeb"/>
        <w:spacing w:line="360" w:lineRule="auto"/>
        <w:ind w:firstLine="720"/>
        <w:jc w:val="both"/>
      </w:pPr>
      <w:r>
        <w:t xml:space="preserve">In addition, SCFAs have been found to exhibit anti-inflammatory properties in their own right. In particular, butyrate is a strong inhibitor of histone deacetylases (HDACs), enzymes that control gene expression. Through HDAC inhibition, butyrate may also block </w:t>
      </w:r>
      <w:r>
        <w:lastRenderedPageBreak/>
        <w:t xml:space="preserve">gene transcription of pro-inflammatory cytokines in immune cells, such as </w:t>
      </w:r>
      <w:r w:rsidR="000C3544">
        <w:t xml:space="preserve">TNF-α and IL-6 </w:t>
      </w:r>
      <w:r w:rsidR="00886DF9">
        <w:t>(Wang</w:t>
      </w:r>
      <w:r>
        <w:t xml:space="preserve"> et al., 2024; Korsten et al., 2023; Davie, 2003). Propionate and acetate further aid immune regulation by influencing the Tregs differentiation and function, which are necessary for maintaining immune tolerance as well as inhibiting exuberant inflammation (Tan, et</w:t>
      </w:r>
      <w:r w:rsidR="006A0AFE">
        <w:t xml:space="preserve"> </w:t>
      </w:r>
      <w:r>
        <w:t xml:space="preserve">al., 2023; Hu et al., 2022; Smith et al., 2013). A decrease in SCFA-producing bacteria is a hallmark of gut dysbiosis among those with metabolic syndrome, and T2DM (De la Cuesta-Zuluaga et al., 2021; Fan&amp; Pedersen, 2021; Qin et al., 2012). This deficiency not only destabilizes the intestinal barrier leading to a further sensitization for metabolic endotoxemia, but is also responsible for deficient host health promoting effects of SCFAs and thus contributes to a self-aggravating situation </w:t>
      </w:r>
      <w:r w:rsidR="00886DF9">
        <w:t>fuelling</w:t>
      </w:r>
      <w:r>
        <w:t xml:space="preserve"> inflammation and insulin resistance.</w:t>
      </w:r>
    </w:p>
    <w:p w14:paraId="53D1DFC4" w14:textId="77777777" w:rsidR="0073185E" w:rsidRPr="00B162B9" w:rsidRDefault="00197325" w:rsidP="00B162B9">
      <w:pPr>
        <w:pStyle w:val="NormalWeb"/>
        <w:spacing w:line="360" w:lineRule="auto"/>
        <w:jc w:val="both"/>
        <w:rPr>
          <w:rFonts w:ascii="Arial" w:hAnsi="Arial" w:cs="Arial"/>
          <w:b/>
        </w:rPr>
      </w:pPr>
      <w:r>
        <w:rPr>
          <w:rFonts w:ascii="Arial" w:hAnsi="Arial" w:cs="Arial"/>
          <w:b/>
        </w:rPr>
        <w:t>4</w:t>
      </w:r>
      <w:r w:rsidR="00B162B9" w:rsidRPr="00B162B9">
        <w:rPr>
          <w:rFonts w:ascii="Arial" w:hAnsi="Arial" w:cs="Arial"/>
          <w:b/>
        </w:rPr>
        <w:t>. ALGAL POLYSACCHARIDES: STRUCTURE AND BIOACTIVE PROPERTIES</w:t>
      </w:r>
    </w:p>
    <w:p w14:paraId="35824722" w14:textId="528E2FF1" w:rsidR="0073185E" w:rsidRDefault="00F3319A" w:rsidP="0073185E">
      <w:pPr>
        <w:pStyle w:val="NormalWeb"/>
        <w:spacing w:line="360" w:lineRule="auto"/>
        <w:ind w:firstLine="720"/>
        <w:jc w:val="both"/>
      </w:pPr>
      <w:r w:rsidRPr="00F3319A">
        <w:t>Marine algae are considered a rich source of bioactive compounds, with the complex polysaccharide matrixes garnering significant interest for their beneficial effects on human health. A noteworthy distinction about algal polysaccharides is that most of them are sulphated, unlike those from terrestrial plants, and this characteristic contributes to its distinctive biological activities and structural variation (</w:t>
      </w:r>
      <w:proofErr w:type="spellStart"/>
      <w:r w:rsidRPr="00F3319A">
        <w:t>Senthil</w:t>
      </w:r>
      <w:proofErr w:type="spellEnd"/>
      <w:r w:rsidRPr="00F3319A">
        <w:t>, 2024;</w:t>
      </w:r>
      <w:r w:rsidR="00886DF9">
        <w:t xml:space="preserve"> </w:t>
      </w:r>
      <w:proofErr w:type="spellStart"/>
      <w:r w:rsidRPr="00F3319A">
        <w:t>Wijesekara</w:t>
      </w:r>
      <w:proofErr w:type="spellEnd"/>
      <w:r w:rsidRPr="00F3319A">
        <w:t xml:space="preserve"> et al., 2011; Aquino et al., 2011). Thanks to their unique structures, </w:t>
      </w:r>
      <w:proofErr w:type="spellStart"/>
      <w:r w:rsidRPr="00F3319A">
        <w:t>fucoidans</w:t>
      </w:r>
      <w:proofErr w:type="spellEnd"/>
      <w:r w:rsidRPr="00F3319A">
        <w:t xml:space="preserve"> and </w:t>
      </w:r>
      <w:proofErr w:type="spellStart"/>
      <w:r w:rsidRPr="00F3319A">
        <w:t>ulvans</w:t>
      </w:r>
      <w:proofErr w:type="spellEnd"/>
      <w:r w:rsidRPr="00F3319A">
        <w:t xml:space="preserve"> have been established as powerful modulators of the gut-metabolic axi</w:t>
      </w:r>
      <w:r w:rsidR="000966DE">
        <w:t>s</w:t>
      </w:r>
    </w:p>
    <w:p w14:paraId="61EFB087" w14:textId="77777777" w:rsidR="00003415" w:rsidRDefault="00003415" w:rsidP="00003415">
      <w:pPr>
        <w:rPr>
          <w:rFonts w:ascii="Arial" w:eastAsia="Times New Roman" w:hAnsi="Arial" w:cs="Arial"/>
          <w:b/>
          <w:sz w:val="24"/>
          <w:szCs w:val="24"/>
          <w:lang w:eastAsia="en-IN"/>
        </w:rPr>
      </w:pPr>
      <w:r w:rsidRPr="00003415">
        <w:rPr>
          <w:rFonts w:ascii="Arial" w:eastAsia="Times New Roman" w:hAnsi="Arial" w:cs="Arial"/>
          <w:b/>
          <w:sz w:val="24"/>
          <w:szCs w:val="24"/>
          <w:lang w:eastAsia="en-IN"/>
        </w:rPr>
        <w:t>4.1. Fucoidans: Structure and Sources</w:t>
      </w:r>
    </w:p>
    <w:p w14:paraId="43540854" w14:textId="1D37A65D" w:rsidR="00003415" w:rsidRPr="00003415" w:rsidRDefault="00003415" w:rsidP="00003415">
      <w:pPr>
        <w:spacing w:line="360" w:lineRule="auto"/>
        <w:ind w:firstLine="720"/>
        <w:jc w:val="both"/>
        <w:rPr>
          <w:rFonts w:ascii="Times New Roman" w:eastAsia="Times New Roman" w:hAnsi="Times New Roman" w:cs="Times New Roman"/>
          <w:sz w:val="24"/>
          <w:szCs w:val="24"/>
          <w:lang w:eastAsia="en-IN"/>
        </w:rPr>
      </w:pPr>
      <w:r w:rsidRPr="00003415">
        <w:rPr>
          <w:rFonts w:ascii="Times New Roman" w:eastAsia="Times New Roman" w:hAnsi="Times New Roman" w:cs="Times New Roman"/>
          <w:sz w:val="24"/>
          <w:szCs w:val="24"/>
          <w:lang w:eastAsia="en-IN"/>
        </w:rPr>
        <w:t xml:space="preserve">Fucoidans are a </w:t>
      </w:r>
      <w:r w:rsidR="000C3544">
        <w:rPr>
          <w:rFonts w:ascii="Times New Roman" w:eastAsia="Times New Roman" w:hAnsi="Times New Roman" w:cs="Times New Roman"/>
          <w:sz w:val="24"/>
          <w:szCs w:val="24"/>
          <w:lang w:eastAsia="en-IN"/>
        </w:rPr>
        <w:t>group of fucose-containing sulpha</w:t>
      </w:r>
      <w:r w:rsidRPr="00003415">
        <w:rPr>
          <w:rFonts w:ascii="Times New Roman" w:eastAsia="Times New Roman" w:hAnsi="Times New Roman" w:cs="Times New Roman"/>
          <w:sz w:val="24"/>
          <w:szCs w:val="24"/>
          <w:lang w:eastAsia="en-IN"/>
        </w:rPr>
        <w:t>ted polysaccharides widely distributed in the cell wall of brown algae (</w:t>
      </w:r>
      <w:proofErr w:type="spellStart"/>
      <w:r w:rsidRPr="00003415">
        <w:rPr>
          <w:rFonts w:ascii="Times New Roman" w:eastAsia="Times New Roman" w:hAnsi="Times New Roman" w:cs="Times New Roman"/>
          <w:sz w:val="24"/>
          <w:szCs w:val="24"/>
          <w:lang w:eastAsia="en-IN"/>
        </w:rPr>
        <w:t>Phaeophyceae</w:t>
      </w:r>
      <w:proofErr w:type="spellEnd"/>
      <w:r w:rsidRPr="00003415">
        <w:rPr>
          <w:rFonts w:ascii="Times New Roman" w:eastAsia="Times New Roman" w:hAnsi="Times New Roman" w:cs="Times New Roman"/>
          <w:sz w:val="24"/>
          <w:szCs w:val="24"/>
          <w:lang w:eastAsia="en-IN"/>
        </w:rPr>
        <w:t xml:space="preserve">) such as </w:t>
      </w:r>
      <w:proofErr w:type="spellStart"/>
      <w:r w:rsidRPr="000C3544">
        <w:rPr>
          <w:rFonts w:ascii="Times New Roman" w:eastAsia="Times New Roman" w:hAnsi="Times New Roman" w:cs="Times New Roman"/>
          <w:i/>
          <w:sz w:val="24"/>
          <w:szCs w:val="24"/>
          <w:lang w:eastAsia="en-IN"/>
        </w:rPr>
        <w:t>Fucus</w:t>
      </w:r>
      <w:proofErr w:type="spellEnd"/>
      <w:r w:rsidRPr="000C3544">
        <w:rPr>
          <w:rFonts w:ascii="Times New Roman" w:eastAsia="Times New Roman" w:hAnsi="Times New Roman" w:cs="Times New Roman"/>
          <w:i/>
          <w:sz w:val="24"/>
          <w:szCs w:val="24"/>
          <w:lang w:eastAsia="en-IN"/>
        </w:rPr>
        <w:t xml:space="preserve"> </w:t>
      </w:r>
      <w:proofErr w:type="spellStart"/>
      <w:r w:rsidRPr="000C3544">
        <w:rPr>
          <w:rFonts w:ascii="Times New Roman" w:eastAsia="Times New Roman" w:hAnsi="Times New Roman" w:cs="Times New Roman"/>
          <w:i/>
          <w:sz w:val="24"/>
          <w:szCs w:val="24"/>
          <w:lang w:eastAsia="en-IN"/>
        </w:rPr>
        <w:t>vesiculosus</w:t>
      </w:r>
      <w:proofErr w:type="spellEnd"/>
      <w:r w:rsidRPr="000C3544">
        <w:rPr>
          <w:rFonts w:ascii="Times New Roman" w:eastAsia="Times New Roman" w:hAnsi="Times New Roman" w:cs="Times New Roman"/>
          <w:i/>
          <w:sz w:val="24"/>
          <w:szCs w:val="24"/>
          <w:lang w:eastAsia="en-IN"/>
        </w:rPr>
        <w:t>,</w:t>
      </w:r>
      <w:r w:rsidRPr="00003415">
        <w:rPr>
          <w:rFonts w:ascii="Times New Roman" w:eastAsia="Times New Roman" w:hAnsi="Times New Roman" w:cs="Times New Roman"/>
          <w:sz w:val="24"/>
          <w:szCs w:val="24"/>
          <w:lang w:eastAsia="en-IN"/>
        </w:rPr>
        <w:t xml:space="preserve"> </w:t>
      </w:r>
      <w:proofErr w:type="spellStart"/>
      <w:r w:rsidRPr="000C3544">
        <w:rPr>
          <w:rFonts w:ascii="Times New Roman" w:eastAsia="Times New Roman" w:hAnsi="Times New Roman" w:cs="Times New Roman"/>
          <w:i/>
          <w:sz w:val="24"/>
          <w:szCs w:val="24"/>
          <w:lang w:eastAsia="en-IN"/>
        </w:rPr>
        <w:t>Undaria</w:t>
      </w:r>
      <w:proofErr w:type="spellEnd"/>
      <w:r w:rsidRPr="000C3544">
        <w:rPr>
          <w:rFonts w:ascii="Times New Roman" w:eastAsia="Times New Roman" w:hAnsi="Times New Roman" w:cs="Times New Roman"/>
          <w:i/>
          <w:sz w:val="24"/>
          <w:szCs w:val="24"/>
          <w:lang w:eastAsia="en-IN"/>
        </w:rPr>
        <w:t xml:space="preserve"> </w:t>
      </w:r>
      <w:proofErr w:type="spellStart"/>
      <w:r w:rsidRPr="000C3544">
        <w:rPr>
          <w:rFonts w:ascii="Times New Roman" w:eastAsia="Times New Roman" w:hAnsi="Times New Roman" w:cs="Times New Roman"/>
          <w:i/>
          <w:sz w:val="24"/>
          <w:szCs w:val="24"/>
          <w:lang w:eastAsia="en-IN"/>
        </w:rPr>
        <w:t>pinnatifida</w:t>
      </w:r>
      <w:proofErr w:type="spellEnd"/>
      <w:r w:rsidRPr="00003415">
        <w:rPr>
          <w:rFonts w:ascii="Times New Roman" w:eastAsia="Times New Roman" w:hAnsi="Times New Roman" w:cs="Times New Roman"/>
          <w:sz w:val="24"/>
          <w:szCs w:val="24"/>
          <w:lang w:eastAsia="en-IN"/>
        </w:rPr>
        <w:t xml:space="preserve"> (</w:t>
      </w:r>
      <w:proofErr w:type="spellStart"/>
      <w:r w:rsidRPr="00003415">
        <w:rPr>
          <w:rFonts w:ascii="Times New Roman" w:eastAsia="Times New Roman" w:hAnsi="Times New Roman" w:cs="Times New Roman"/>
          <w:sz w:val="24"/>
          <w:szCs w:val="24"/>
          <w:lang w:eastAsia="en-IN"/>
        </w:rPr>
        <w:t>wakame</w:t>
      </w:r>
      <w:proofErr w:type="spellEnd"/>
      <w:r w:rsidRPr="00003415">
        <w:rPr>
          <w:rFonts w:ascii="Times New Roman" w:eastAsia="Times New Roman" w:hAnsi="Times New Roman" w:cs="Times New Roman"/>
          <w:sz w:val="24"/>
          <w:szCs w:val="24"/>
          <w:lang w:eastAsia="en-IN"/>
        </w:rPr>
        <w:t xml:space="preserve">), </w:t>
      </w:r>
      <w:r w:rsidRPr="000C3544">
        <w:rPr>
          <w:rFonts w:ascii="Times New Roman" w:eastAsia="Times New Roman" w:hAnsi="Times New Roman" w:cs="Times New Roman"/>
          <w:i/>
          <w:sz w:val="24"/>
          <w:szCs w:val="24"/>
          <w:lang w:eastAsia="en-IN"/>
        </w:rPr>
        <w:t>Laminaria japonica</w:t>
      </w:r>
      <w:r w:rsidRPr="00003415">
        <w:rPr>
          <w:rFonts w:ascii="Times New Roman" w:eastAsia="Times New Roman" w:hAnsi="Times New Roman" w:cs="Times New Roman"/>
          <w:sz w:val="24"/>
          <w:szCs w:val="24"/>
          <w:lang w:eastAsia="en-IN"/>
        </w:rPr>
        <w:t xml:space="preserve"> (kombu), </w:t>
      </w:r>
      <w:r w:rsidRPr="000C3544">
        <w:rPr>
          <w:rFonts w:ascii="Times New Roman" w:eastAsia="Times New Roman" w:hAnsi="Times New Roman" w:cs="Times New Roman"/>
          <w:i/>
          <w:sz w:val="24"/>
          <w:szCs w:val="24"/>
          <w:lang w:eastAsia="en-IN"/>
        </w:rPr>
        <w:t>Sargassum spp</w:t>
      </w:r>
      <w:r w:rsidRPr="00003415">
        <w:rPr>
          <w:rFonts w:ascii="Times New Roman" w:eastAsia="Times New Roman" w:hAnsi="Times New Roman" w:cs="Times New Roman"/>
          <w:sz w:val="24"/>
          <w:szCs w:val="24"/>
          <w:lang w:eastAsia="en-IN"/>
        </w:rPr>
        <w:t xml:space="preserve">., and </w:t>
      </w:r>
      <w:r w:rsidRPr="000C3544">
        <w:rPr>
          <w:rFonts w:ascii="Times New Roman" w:eastAsia="Times New Roman" w:hAnsi="Times New Roman" w:cs="Times New Roman"/>
          <w:i/>
          <w:sz w:val="24"/>
          <w:szCs w:val="24"/>
          <w:lang w:eastAsia="en-IN"/>
        </w:rPr>
        <w:t>Ascophyllum nodosum</w:t>
      </w:r>
      <w:r w:rsidRPr="00003415">
        <w:rPr>
          <w:rFonts w:ascii="Times New Roman" w:eastAsia="Times New Roman" w:hAnsi="Times New Roman" w:cs="Times New Roman"/>
          <w:sz w:val="24"/>
          <w:szCs w:val="24"/>
          <w:lang w:eastAsia="en-IN"/>
        </w:rPr>
        <w:t xml:space="preserve"> (Usov et al., 2022; Ale et al., 2011). Structurally, the</w:t>
      </w:r>
      <w:r w:rsidR="00886DF9" w:rsidRPr="00886DF9">
        <w:t xml:space="preserve"> </w:t>
      </w:r>
      <w:proofErr w:type="spellStart"/>
      <w:r w:rsidR="00886DF9">
        <w:rPr>
          <w:rFonts w:ascii="Times New Roman" w:eastAsia="Times New Roman" w:hAnsi="Times New Roman" w:cs="Times New Roman"/>
          <w:sz w:val="24"/>
          <w:szCs w:val="24"/>
          <w:lang w:eastAsia="en-IN"/>
        </w:rPr>
        <w:t>f</w:t>
      </w:r>
      <w:r w:rsidR="00886DF9" w:rsidRPr="00886DF9">
        <w:rPr>
          <w:rFonts w:ascii="Times New Roman" w:eastAsia="Times New Roman" w:hAnsi="Times New Roman" w:cs="Times New Roman"/>
          <w:sz w:val="24"/>
          <w:szCs w:val="24"/>
          <w:lang w:eastAsia="en-IN"/>
        </w:rPr>
        <w:t>ucoidans</w:t>
      </w:r>
      <w:proofErr w:type="spellEnd"/>
      <w:r w:rsidRPr="00003415">
        <w:rPr>
          <w:rFonts w:ascii="Times New Roman" w:eastAsia="Times New Roman" w:hAnsi="Times New Roman" w:cs="Times New Roman"/>
          <w:sz w:val="24"/>
          <w:szCs w:val="24"/>
          <w:lang w:eastAsia="en-IN"/>
        </w:rPr>
        <w:t xml:space="preserve"> are relatively complex </w:t>
      </w:r>
      <w:r w:rsidR="000C3544">
        <w:rPr>
          <w:rFonts w:ascii="Times New Roman" w:eastAsia="Times New Roman" w:hAnsi="Times New Roman" w:cs="Times New Roman"/>
          <w:sz w:val="24"/>
          <w:szCs w:val="24"/>
          <w:lang w:eastAsia="en-IN"/>
        </w:rPr>
        <w:t>and heterogeneous, and depend</w:t>
      </w:r>
      <w:r w:rsidRPr="00003415">
        <w:rPr>
          <w:rFonts w:ascii="Times New Roman" w:eastAsia="Times New Roman" w:hAnsi="Times New Roman" w:cs="Times New Roman"/>
          <w:sz w:val="24"/>
          <w:szCs w:val="24"/>
          <w:lang w:eastAsia="en-IN"/>
        </w:rPr>
        <w:t xml:space="preserve"> significantly with plant species, latitude at which the plant grows in, season of harvesting and extraction technique employed (</w:t>
      </w:r>
      <w:proofErr w:type="spellStart"/>
      <w:r w:rsidRPr="00003415">
        <w:rPr>
          <w:rFonts w:ascii="Times New Roman" w:eastAsia="Times New Roman" w:hAnsi="Times New Roman" w:cs="Times New Roman"/>
          <w:sz w:val="24"/>
          <w:szCs w:val="24"/>
          <w:lang w:eastAsia="en-IN"/>
        </w:rPr>
        <w:t>Mabate</w:t>
      </w:r>
      <w:proofErr w:type="spellEnd"/>
      <w:r w:rsidRPr="00003415">
        <w:rPr>
          <w:rFonts w:ascii="Times New Roman" w:eastAsia="Times New Roman" w:hAnsi="Times New Roman" w:cs="Times New Roman"/>
          <w:sz w:val="24"/>
          <w:szCs w:val="24"/>
          <w:lang w:eastAsia="en-IN"/>
        </w:rPr>
        <w:t xml:space="preserve"> et al., 2021). The main chain of fucoidan is usually composed of α-(1→3)- and/or α-(1→4)-linked L-</w:t>
      </w:r>
      <w:proofErr w:type="spellStart"/>
      <w:r w:rsidRPr="00003415">
        <w:rPr>
          <w:rFonts w:ascii="Times New Roman" w:eastAsia="Times New Roman" w:hAnsi="Times New Roman" w:cs="Times New Roman"/>
          <w:sz w:val="24"/>
          <w:szCs w:val="24"/>
          <w:lang w:eastAsia="en-IN"/>
        </w:rPr>
        <w:t>fucopyranose</w:t>
      </w:r>
      <w:proofErr w:type="spellEnd"/>
      <w:r w:rsidRPr="00003415">
        <w:rPr>
          <w:rFonts w:ascii="Times New Roman" w:eastAsia="Times New Roman" w:hAnsi="Times New Roman" w:cs="Times New Roman"/>
          <w:sz w:val="24"/>
          <w:szCs w:val="24"/>
          <w:lang w:eastAsia="en-IN"/>
        </w:rPr>
        <w:t>. These backbones may also be further decorated with branches and/ or substitutions of sulphate groups at one (C-</w:t>
      </w:r>
      <w:proofErr w:type="gramStart"/>
      <w:r w:rsidRPr="00003415">
        <w:rPr>
          <w:rFonts w:ascii="Times New Roman" w:eastAsia="Times New Roman" w:hAnsi="Times New Roman" w:cs="Times New Roman"/>
          <w:sz w:val="24"/>
          <w:szCs w:val="24"/>
          <w:lang w:eastAsia="en-IN"/>
        </w:rPr>
        <w:t>2 )</w:t>
      </w:r>
      <w:proofErr w:type="gramEnd"/>
      <w:r w:rsidRPr="00003415">
        <w:rPr>
          <w:rFonts w:ascii="Times New Roman" w:eastAsia="Times New Roman" w:hAnsi="Times New Roman" w:cs="Times New Roman"/>
          <w:sz w:val="24"/>
          <w:szCs w:val="24"/>
          <w:lang w:eastAsia="en-IN"/>
        </w:rPr>
        <w:t xml:space="preserve">, two (C-2, C-3 )or four(C-2, C-3,C 4) </w:t>
      </w:r>
      <w:r w:rsidR="00886DF9" w:rsidRPr="00003415">
        <w:rPr>
          <w:rFonts w:ascii="Times New Roman" w:eastAsia="Times New Roman" w:hAnsi="Times New Roman" w:cs="Times New Roman"/>
          <w:sz w:val="24"/>
          <w:szCs w:val="24"/>
          <w:lang w:eastAsia="en-IN"/>
        </w:rPr>
        <w:t>positions, and</w:t>
      </w:r>
      <w:r w:rsidRPr="00003415">
        <w:rPr>
          <w:rFonts w:ascii="Times New Roman" w:eastAsia="Times New Roman" w:hAnsi="Times New Roman" w:cs="Times New Roman"/>
          <w:sz w:val="24"/>
          <w:szCs w:val="24"/>
          <w:lang w:eastAsia="en-IN"/>
        </w:rPr>
        <w:t xml:space="preserve"> other </w:t>
      </w:r>
      <w:r w:rsidR="00886DF9" w:rsidRPr="00003415">
        <w:rPr>
          <w:rFonts w:ascii="Times New Roman" w:eastAsia="Times New Roman" w:hAnsi="Times New Roman" w:cs="Times New Roman"/>
          <w:sz w:val="24"/>
          <w:szCs w:val="24"/>
          <w:lang w:eastAsia="en-IN"/>
        </w:rPr>
        <w:t>monosaccharaides</w:t>
      </w:r>
      <w:r w:rsidRPr="00003415">
        <w:rPr>
          <w:rFonts w:ascii="Times New Roman" w:eastAsia="Times New Roman" w:hAnsi="Times New Roman" w:cs="Times New Roman"/>
          <w:sz w:val="24"/>
          <w:szCs w:val="24"/>
          <w:lang w:eastAsia="en-IN"/>
        </w:rPr>
        <w:t xml:space="preserve"> (</w:t>
      </w:r>
      <w:proofErr w:type="spellStart"/>
      <w:r w:rsidRPr="00003415">
        <w:rPr>
          <w:rFonts w:ascii="Times New Roman" w:eastAsia="Times New Roman" w:hAnsi="Times New Roman" w:cs="Times New Roman"/>
          <w:sz w:val="24"/>
          <w:szCs w:val="24"/>
          <w:lang w:eastAsia="en-IN"/>
        </w:rPr>
        <w:t>e.g.galactose,mannose,.xylose</w:t>
      </w:r>
      <w:proofErr w:type="spellEnd"/>
      <w:r w:rsidRPr="00003415">
        <w:rPr>
          <w:rFonts w:ascii="Times New Roman" w:eastAsia="Times New Roman" w:hAnsi="Times New Roman" w:cs="Times New Roman"/>
          <w:sz w:val="24"/>
          <w:szCs w:val="24"/>
          <w:lang w:eastAsia="en-IN"/>
        </w:rPr>
        <w:t>,</w:t>
      </w:r>
      <w:r w:rsidR="007F65EC">
        <w:rPr>
          <w:rFonts w:ascii="Times New Roman" w:eastAsia="Times New Roman" w:hAnsi="Times New Roman" w:cs="Times New Roman"/>
          <w:sz w:val="24"/>
          <w:szCs w:val="24"/>
          <w:lang w:eastAsia="en-IN"/>
        </w:rPr>
        <w:t xml:space="preserve"> </w:t>
      </w:r>
      <w:r w:rsidRPr="00003415">
        <w:rPr>
          <w:rFonts w:ascii="Times New Roman" w:eastAsia="Times New Roman" w:hAnsi="Times New Roman" w:cs="Times New Roman"/>
          <w:sz w:val="24"/>
          <w:szCs w:val="24"/>
          <w:lang w:eastAsia="en-IN"/>
        </w:rPr>
        <w:t>glucose,</w:t>
      </w:r>
      <w:r w:rsidR="007F65EC">
        <w:rPr>
          <w:rFonts w:ascii="Times New Roman" w:eastAsia="Times New Roman" w:hAnsi="Times New Roman" w:cs="Times New Roman"/>
          <w:sz w:val="24"/>
          <w:szCs w:val="24"/>
          <w:lang w:eastAsia="en-IN"/>
        </w:rPr>
        <w:t xml:space="preserve"> </w:t>
      </w:r>
      <w:r w:rsidRPr="00003415">
        <w:rPr>
          <w:rFonts w:ascii="Times New Roman" w:eastAsia="Times New Roman" w:hAnsi="Times New Roman" w:cs="Times New Roman"/>
          <w:sz w:val="24"/>
          <w:szCs w:val="24"/>
          <w:lang w:eastAsia="en-IN"/>
        </w:rPr>
        <w:t xml:space="preserve">and </w:t>
      </w:r>
      <w:proofErr w:type="spellStart"/>
      <w:r w:rsidRPr="00003415">
        <w:rPr>
          <w:rFonts w:ascii="Times New Roman" w:eastAsia="Times New Roman" w:hAnsi="Times New Roman" w:cs="Times New Roman"/>
          <w:sz w:val="24"/>
          <w:szCs w:val="24"/>
          <w:lang w:eastAsia="en-IN"/>
        </w:rPr>
        <w:t>uronic</w:t>
      </w:r>
      <w:proofErr w:type="spellEnd"/>
      <w:r w:rsidRPr="00003415">
        <w:rPr>
          <w:rFonts w:ascii="Times New Roman" w:eastAsia="Times New Roman" w:hAnsi="Times New Roman" w:cs="Times New Roman"/>
          <w:sz w:val="24"/>
          <w:szCs w:val="24"/>
          <w:lang w:eastAsia="en-IN"/>
        </w:rPr>
        <w:t xml:space="preserve"> acids)</w:t>
      </w:r>
      <w:r w:rsidR="007F65EC">
        <w:rPr>
          <w:rFonts w:ascii="Times New Roman" w:eastAsia="Times New Roman" w:hAnsi="Times New Roman" w:cs="Times New Roman"/>
          <w:sz w:val="24"/>
          <w:szCs w:val="24"/>
          <w:lang w:eastAsia="en-IN"/>
        </w:rPr>
        <w:t xml:space="preserve"> </w:t>
      </w:r>
      <w:r w:rsidRPr="00003415">
        <w:rPr>
          <w:rFonts w:ascii="Times New Roman" w:eastAsia="Times New Roman" w:hAnsi="Times New Roman" w:cs="Times New Roman"/>
          <w:sz w:val="24"/>
          <w:szCs w:val="24"/>
          <w:lang w:eastAsia="en-IN"/>
        </w:rPr>
        <w:t>(Zhou et al.,</w:t>
      </w:r>
      <w:r w:rsidR="00886DF9">
        <w:rPr>
          <w:rFonts w:ascii="Times New Roman" w:eastAsia="Times New Roman" w:hAnsi="Times New Roman" w:cs="Times New Roman"/>
          <w:sz w:val="24"/>
          <w:szCs w:val="24"/>
          <w:lang w:eastAsia="en-IN"/>
        </w:rPr>
        <w:t xml:space="preserve"> </w:t>
      </w:r>
      <w:r w:rsidRPr="00003415">
        <w:rPr>
          <w:rFonts w:ascii="Times New Roman" w:eastAsia="Times New Roman" w:hAnsi="Times New Roman" w:cs="Times New Roman"/>
          <w:sz w:val="24"/>
          <w:szCs w:val="24"/>
          <w:lang w:eastAsia="en-IN"/>
        </w:rPr>
        <w:t>2024;</w:t>
      </w:r>
      <w:r w:rsidR="00886DF9">
        <w:rPr>
          <w:rFonts w:ascii="Times New Roman" w:eastAsia="Times New Roman" w:hAnsi="Times New Roman" w:cs="Times New Roman"/>
          <w:sz w:val="24"/>
          <w:szCs w:val="24"/>
          <w:lang w:eastAsia="en-IN"/>
        </w:rPr>
        <w:t xml:space="preserve"> </w:t>
      </w:r>
      <w:proofErr w:type="spellStart"/>
      <w:r w:rsidRPr="00003415">
        <w:rPr>
          <w:rFonts w:ascii="Times New Roman" w:eastAsia="Times New Roman" w:hAnsi="Times New Roman" w:cs="Times New Roman"/>
          <w:sz w:val="24"/>
          <w:szCs w:val="24"/>
          <w:lang w:eastAsia="en-IN"/>
        </w:rPr>
        <w:t>Mensah</w:t>
      </w:r>
      <w:proofErr w:type="spellEnd"/>
      <w:r w:rsidRPr="00003415">
        <w:rPr>
          <w:rFonts w:ascii="Times New Roman" w:eastAsia="Times New Roman" w:hAnsi="Times New Roman" w:cs="Times New Roman"/>
          <w:sz w:val="24"/>
          <w:szCs w:val="24"/>
          <w:lang w:eastAsia="en-IN"/>
        </w:rPr>
        <w:t xml:space="preserve"> et</w:t>
      </w:r>
      <w:r w:rsidR="00886DF9">
        <w:rPr>
          <w:rFonts w:ascii="Times New Roman" w:eastAsia="Times New Roman" w:hAnsi="Times New Roman" w:cs="Times New Roman"/>
          <w:sz w:val="24"/>
          <w:szCs w:val="24"/>
          <w:lang w:eastAsia="en-IN"/>
        </w:rPr>
        <w:t xml:space="preserve"> </w:t>
      </w:r>
      <w:r w:rsidRPr="00003415">
        <w:rPr>
          <w:rFonts w:ascii="Times New Roman" w:eastAsia="Times New Roman" w:hAnsi="Times New Roman" w:cs="Times New Roman"/>
          <w:sz w:val="24"/>
          <w:szCs w:val="24"/>
          <w:lang w:eastAsia="en-IN"/>
        </w:rPr>
        <w:t>al.,2023</w:t>
      </w:r>
      <w:r w:rsidR="007F65EC">
        <w:rPr>
          <w:rFonts w:ascii="Times New Roman" w:eastAsia="Times New Roman" w:hAnsi="Times New Roman" w:cs="Times New Roman"/>
          <w:sz w:val="24"/>
          <w:szCs w:val="24"/>
          <w:lang w:eastAsia="en-IN"/>
        </w:rPr>
        <w:t>;</w:t>
      </w:r>
      <w:r w:rsidR="00886DF9">
        <w:rPr>
          <w:rFonts w:ascii="Times New Roman" w:eastAsia="Times New Roman" w:hAnsi="Times New Roman" w:cs="Times New Roman"/>
          <w:sz w:val="24"/>
          <w:szCs w:val="24"/>
          <w:lang w:eastAsia="en-IN"/>
        </w:rPr>
        <w:t xml:space="preserve"> </w:t>
      </w:r>
      <w:proofErr w:type="spellStart"/>
      <w:r w:rsidRPr="00003415">
        <w:rPr>
          <w:rFonts w:ascii="Times New Roman" w:eastAsia="Times New Roman" w:hAnsi="Times New Roman" w:cs="Times New Roman"/>
          <w:sz w:val="24"/>
          <w:szCs w:val="24"/>
          <w:lang w:eastAsia="en-IN"/>
        </w:rPr>
        <w:t>Bilan</w:t>
      </w:r>
      <w:proofErr w:type="spellEnd"/>
      <w:r w:rsidR="007F65EC">
        <w:rPr>
          <w:rFonts w:ascii="Times New Roman" w:eastAsia="Times New Roman" w:hAnsi="Times New Roman" w:cs="Times New Roman"/>
          <w:sz w:val="24"/>
          <w:szCs w:val="24"/>
          <w:lang w:eastAsia="en-IN"/>
        </w:rPr>
        <w:t xml:space="preserve"> </w:t>
      </w:r>
      <w:r w:rsidRPr="00003415">
        <w:rPr>
          <w:rFonts w:ascii="Times New Roman" w:eastAsia="Times New Roman" w:hAnsi="Times New Roman" w:cs="Times New Roman"/>
          <w:sz w:val="24"/>
          <w:szCs w:val="24"/>
          <w:lang w:eastAsia="en-IN"/>
        </w:rPr>
        <w:t>et</w:t>
      </w:r>
      <w:r w:rsidR="007F65EC">
        <w:rPr>
          <w:rFonts w:ascii="Times New Roman" w:eastAsia="Times New Roman" w:hAnsi="Times New Roman" w:cs="Times New Roman"/>
          <w:sz w:val="24"/>
          <w:szCs w:val="24"/>
          <w:lang w:eastAsia="en-IN"/>
        </w:rPr>
        <w:t xml:space="preserve"> al., 20</w:t>
      </w:r>
      <w:r w:rsidRPr="00003415">
        <w:rPr>
          <w:rFonts w:ascii="Times New Roman" w:eastAsia="Times New Roman" w:hAnsi="Times New Roman" w:cs="Times New Roman"/>
          <w:sz w:val="24"/>
          <w:szCs w:val="24"/>
          <w:lang w:eastAsia="en-IN"/>
        </w:rPr>
        <w:t>25).</w:t>
      </w:r>
    </w:p>
    <w:p w14:paraId="09D05DD4" w14:textId="77777777" w:rsidR="00003415" w:rsidRPr="00003415" w:rsidRDefault="00003415" w:rsidP="007F65EC">
      <w:pPr>
        <w:spacing w:line="360" w:lineRule="auto"/>
        <w:ind w:firstLine="720"/>
        <w:jc w:val="both"/>
        <w:rPr>
          <w:rFonts w:ascii="Times New Roman" w:eastAsia="Times New Roman" w:hAnsi="Times New Roman" w:cs="Times New Roman"/>
          <w:sz w:val="24"/>
          <w:szCs w:val="24"/>
          <w:lang w:eastAsia="en-IN"/>
        </w:rPr>
      </w:pPr>
      <w:r w:rsidRPr="00003415">
        <w:rPr>
          <w:rFonts w:ascii="Times New Roman" w:eastAsia="Times New Roman" w:hAnsi="Times New Roman" w:cs="Times New Roman"/>
          <w:sz w:val="24"/>
          <w:szCs w:val="24"/>
          <w:lang w:eastAsia="en-IN"/>
        </w:rPr>
        <w:lastRenderedPageBreak/>
        <w:t>The level o</w:t>
      </w:r>
      <w:r w:rsidR="000C3544">
        <w:rPr>
          <w:rFonts w:ascii="Times New Roman" w:eastAsia="Times New Roman" w:hAnsi="Times New Roman" w:cs="Times New Roman"/>
          <w:sz w:val="24"/>
          <w:szCs w:val="24"/>
          <w:lang w:eastAsia="en-IN"/>
        </w:rPr>
        <w:t>f sulfation, position of sulphates</w:t>
      </w:r>
      <w:r w:rsidRPr="00003415">
        <w:rPr>
          <w:rFonts w:ascii="Times New Roman" w:eastAsia="Times New Roman" w:hAnsi="Times New Roman" w:cs="Times New Roman"/>
          <w:sz w:val="24"/>
          <w:szCs w:val="24"/>
          <w:lang w:eastAsia="en-IN"/>
        </w:rPr>
        <w:t xml:space="preserve"> groups, and molecular weight are crucial for the biological activity of fuc</w:t>
      </w:r>
      <w:r w:rsidR="000C3544">
        <w:rPr>
          <w:rFonts w:ascii="Times New Roman" w:eastAsia="Times New Roman" w:hAnsi="Times New Roman" w:cs="Times New Roman"/>
          <w:sz w:val="24"/>
          <w:szCs w:val="24"/>
          <w:lang w:eastAsia="en-IN"/>
        </w:rPr>
        <w:t>oidan. Generally, higher sulphate</w:t>
      </w:r>
      <w:r w:rsidRPr="00003415">
        <w:rPr>
          <w:rFonts w:ascii="Times New Roman" w:eastAsia="Times New Roman" w:hAnsi="Times New Roman" w:cs="Times New Roman"/>
          <w:sz w:val="24"/>
          <w:szCs w:val="24"/>
          <w:lang w:eastAsia="en-IN"/>
        </w:rPr>
        <w:t xml:space="preserve"> content and lower molecular weight have been known to result in better bioactivity such as anti-inflammatory and antioxidant effects because of the increased solubility and bioavailability. The native fucoidan exhibits a molecular weight in the range of 10-1,000 </w:t>
      </w:r>
      <w:proofErr w:type="spellStart"/>
      <w:r w:rsidRPr="00003415">
        <w:rPr>
          <w:rFonts w:ascii="Times New Roman" w:eastAsia="Times New Roman" w:hAnsi="Times New Roman" w:cs="Times New Roman"/>
          <w:sz w:val="24"/>
          <w:szCs w:val="24"/>
          <w:lang w:eastAsia="en-IN"/>
        </w:rPr>
        <w:t>kDa</w:t>
      </w:r>
      <w:proofErr w:type="spellEnd"/>
      <w:r w:rsidRPr="00003415">
        <w:rPr>
          <w:rFonts w:ascii="Times New Roman" w:eastAsia="Times New Roman" w:hAnsi="Times New Roman" w:cs="Times New Roman"/>
          <w:sz w:val="24"/>
          <w:szCs w:val="24"/>
          <w:lang w:eastAsia="en-IN"/>
        </w:rPr>
        <w:t xml:space="preserve">, and </w:t>
      </w:r>
      <w:r w:rsidR="006F4F56" w:rsidRPr="00003415">
        <w:rPr>
          <w:rFonts w:ascii="Times New Roman" w:eastAsia="Times New Roman" w:hAnsi="Times New Roman" w:cs="Times New Roman"/>
          <w:sz w:val="24"/>
          <w:szCs w:val="24"/>
          <w:lang w:eastAsia="en-IN"/>
        </w:rPr>
        <w:t>depolymerisation</w:t>
      </w:r>
      <w:r w:rsidRPr="00003415">
        <w:rPr>
          <w:rFonts w:ascii="Times New Roman" w:eastAsia="Times New Roman" w:hAnsi="Times New Roman" w:cs="Times New Roman"/>
          <w:sz w:val="24"/>
          <w:szCs w:val="24"/>
          <w:lang w:eastAsia="en-IN"/>
        </w:rPr>
        <w:t xml:space="preserve"> methods are frequently applied to prepare low-molecular-weight fucoidan (LMWF) with higher therapeutic bioactivity </w:t>
      </w:r>
      <w:r w:rsidR="007F65EC">
        <w:rPr>
          <w:rFonts w:ascii="Times New Roman" w:eastAsia="Times New Roman" w:hAnsi="Times New Roman" w:cs="Times New Roman"/>
          <w:sz w:val="24"/>
          <w:szCs w:val="24"/>
          <w:lang w:eastAsia="en-IN"/>
        </w:rPr>
        <w:t>(</w:t>
      </w:r>
      <w:r w:rsidRPr="00003415">
        <w:rPr>
          <w:rFonts w:ascii="Times New Roman" w:eastAsia="Times New Roman" w:hAnsi="Times New Roman" w:cs="Times New Roman"/>
          <w:sz w:val="24"/>
          <w:szCs w:val="24"/>
          <w:lang w:eastAsia="en-IN"/>
        </w:rPr>
        <w:t>Abbas et</w:t>
      </w:r>
      <w:r w:rsidR="000C3544">
        <w:rPr>
          <w:rFonts w:ascii="Times New Roman" w:eastAsia="Times New Roman" w:hAnsi="Times New Roman" w:cs="Times New Roman"/>
          <w:sz w:val="24"/>
          <w:szCs w:val="24"/>
          <w:lang w:eastAsia="en-IN"/>
        </w:rPr>
        <w:t xml:space="preserve"> </w:t>
      </w:r>
      <w:r w:rsidRPr="00003415">
        <w:rPr>
          <w:rFonts w:ascii="Times New Roman" w:eastAsia="Times New Roman" w:hAnsi="Times New Roman" w:cs="Times New Roman"/>
          <w:sz w:val="24"/>
          <w:szCs w:val="24"/>
          <w:lang w:eastAsia="en-IN"/>
        </w:rPr>
        <w:t>al., 2025;</w:t>
      </w:r>
      <w:r w:rsidR="000C3544">
        <w:rPr>
          <w:rFonts w:ascii="Times New Roman" w:eastAsia="Times New Roman" w:hAnsi="Times New Roman" w:cs="Times New Roman"/>
          <w:sz w:val="24"/>
          <w:szCs w:val="24"/>
          <w:lang w:eastAsia="en-IN"/>
        </w:rPr>
        <w:t xml:space="preserve"> </w:t>
      </w:r>
      <w:proofErr w:type="spellStart"/>
      <w:r w:rsidRPr="00003415">
        <w:rPr>
          <w:rFonts w:ascii="Times New Roman" w:eastAsia="Times New Roman" w:hAnsi="Times New Roman" w:cs="Times New Roman"/>
          <w:sz w:val="24"/>
          <w:szCs w:val="24"/>
          <w:lang w:eastAsia="en-IN"/>
        </w:rPr>
        <w:t>Mabate</w:t>
      </w:r>
      <w:proofErr w:type="spellEnd"/>
      <w:r w:rsidRPr="00003415">
        <w:rPr>
          <w:rFonts w:ascii="Times New Roman" w:eastAsia="Times New Roman" w:hAnsi="Times New Roman" w:cs="Times New Roman"/>
          <w:sz w:val="24"/>
          <w:szCs w:val="24"/>
          <w:lang w:eastAsia="en-IN"/>
        </w:rPr>
        <w:t xml:space="preserve"> et al., 2021).</w:t>
      </w:r>
    </w:p>
    <w:p w14:paraId="19AC434B" w14:textId="77777777" w:rsidR="000966DE" w:rsidRPr="007F65EC" w:rsidRDefault="007F65EC" w:rsidP="007F65EC">
      <w:pPr>
        <w:pStyle w:val="NormalWeb"/>
        <w:spacing w:line="360" w:lineRule="auto"/>
        <w:jc w:val="center"/>
        <w:rPr>
          <w:b/>
          <w:sz w:val="20"/>
          <w:szCs w:val="20"/>
        </w:rPr>
      </w:pPr>
      <w:r w:rsidRPr="007F65EC">
        <w:rPr>
          <w:b/>
          <w:sz w:val="20"/>
          <w:szCs w:val="20"/>
        </w:rPr>
        <w:t xml:space="preserve">Table 1: Comparative Structural and Source Characteristics of </w:t>
      </w:r>
      <w:proofErr w:type="spellStart"/>
      <w:r w:rsidRPr="007F65EC">
        <w:rPr>
          <w:b/>
          <w:sz w:val="20"/>
          <w:szCs w:val="20"/>
        </w:rPr>
        <w:t>Fucoidans</w:t>
      </w:r>
      <w:proofErr w:type="spellEnd"/>
      <w:r w:rsidRPr="007F65EC">
        <w:rPr>
          <w:b/>
          <w:sz w:val="20"/>
          <w:szCs w:val="20"/>
        </w:rPr>
        <w:t xml:space="preserve"> and </w:t>
      </w:r>
      <w:proofErr w:type="spellStart"/>
      <w:r w:rsidRPr="007F65EC">
        <w:rPr>
          <w:b/>
          <w:sz w:val="20"/>
          <w:szCs w:val="20"/>
        </w:rPr>
        <w:t>Ulvans</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5"/>
        <w:gridCol w:w="3406"/>
        <w:gridCol w:w="3391"/>
      </w:tblGrid>
      <w:tr w:rsidR="007F65EC" w:rsidRPr="00AE3A89" w14:paraId="4223B4E3" w14:textId="77777777" w:rsidTr="000F4828">
        <w:trPr>
          <w:jc w:val="center"/>
        </w:trPr>
        <w:tc>
          <w:tcPr>
            <w:tcW w:w="2551" w:type="dxa"/>
            <w:tcBorders>
              <w:top w:val="single" w:sz="4" w:space="0" w:color="auto"/>
              <w:bottom w:val="single" w:sz="4" w:space="0" w:color="auto"/>
            </w:tcBorders>
            <w:hideMark/>
          </w:tcPr>
          <w:p w14:paraId="009E4D58" w14:textId="77777777" w:rsidR="007F65EC" w:rsidRPr="00AE3A89" w:rsidRDefault="007F65EC">
            <w:pPr>
              <w:rPr>
                <w:rFonts w:ascii="Arial" w:hAnsi="Arial" w:cs="Arial"/>
                <w:sz w:val="18"/>
                <w:szCs w:val="18"/>
              </w:rPr>
            </w:pPr>
            <w:r w:rsidRPr="00AE3A89">
              <w:rPr>
                <w:rFonts w:ascii="Arial" w:hAnsi="Arial" w:cs="Arial"/>
                <w:b/>
                <w:sz w:val="18"/>
                <w:szCs w:val="18"/>
              </w:rPr>
              <w:t>Feature</w:t>
            </w:r>
          </w:p>
        </w:tc>
        <w:tc>
          <w:tcPr>
            <w:tcW w:w="3685" w:type="dxa"/>
            <w:tcBorders>
              <w:top w:val="single" w:sz="4" w:space="0" w:color="auto"/>
              <w:bottom w:val="single" w:sz="4" w:space="0" w:color="auto"/>
            </w:tcBorders>
            <w:hideMark/>
          </w:tcPr>
          <w:p w14:paraId="5409EC2E" w14:textId="77777777" w:rsidR="007F65EC" w:rsidRPr="00AE3A89" w:rsidRDefault="007F65EC" w:rsidP="007F65EC">
            <w:pPr>
              <w:jc w:val="center"/>
              <w:rPr>
                <w:rFonts w:ascii="Arial" w:hAnsi="Arial" w:cs="Arial"/>
                <w:sz w:val="18"/>
                <w:szCs w:val="18"/>
              </w:rPr>
            </w:pPr>
            <w:r w:rsidRPr="00AE3A89">
              <w:rPr>
                <w:rFonts w:ascii="Arial" w:hAnsi="Arial" w:cs="Arial"/>
                <w:b/>
                <w:sz w:val="18"/>
                <w:szCs w:val="18"/>
              </w:rPr>
              <w:t>Fucoidan</w:t>
            </w:r>
          </w:p>
        </w:tc>
        <w:tc>
          <w:tcPr>
            <w:tcW w:w="3685" w:type="dxa"/>
            <w:tcBorders>
              <w:top w:val="single" w:sz="4" w:space="0" w:color="auto"/>
              <w:bottom w:val="single" w:sz="4" w:space="0" w:color="auto"/>
            </w:tcBorders>
            <w:hideMark/>
          </w:tcPr>
          <w:p w14:paraId="1BB677EE" w14:textId="77777777" w:rsidR="007F65EC" w:rsidRPr="00AE3A89" w:rsidRDefault="007F65EC" w:rsidP="007F65EC">
            <w:pPr>
              <w:jc w:val="center"/>
              <w:rPr>
                <w:rFonts w:ascii="Arial" w:hAnsi="Arial" w:cs="Arial"/>
                <w:sz w:val="18"/>
                <w:szCs w:val="18"/>
              </w:rPr>
            </w:pPr>
            <w:r w:rsidRPr="00AE3A89">
              <w:rPr>
                <w:rFonts w:ascii="Arial" w:hAnsi="Arial" w:cs="Arial"/>
                <w:b/>
                <w:sz w:val="18"/>
                <w:szCs w:val="18"/>
              </w:rPr>
              <w:t>Ulvan</w:t>
            </w:r>
          </w:p>
        </w:tc>
      </w:tr>
      <w:tr w:rsidR="007F65EC" w:rsidRPr="00AE3A89" w14:paraId="304C4703" w14:textId="77777777" w:rsidTr="000F4828">
        <w:trPr>
          <w:jc w:val="center"/>
        </w:trPr>
        <w:tc>
          <w:tcPr>
            <w:tcW w:w="2551" w:type="dxa"/>
            <w:tcBorders>
              <w:top w:val="single" w:sz="4" w:space="0" w:color="auto"/>
              <w:bottom w:val="single" w:sz="4" w:space="0" w:color="auto"/>
            </w:tcBorders>
            <w:hideMark/>
          </w:tcPr>
          <w:p w14:paraId="6EDF309E" w14:textId="77777777" w:rsidR="007F65EC" w:rsidRPr="00AE3A89" w:rsidRDefault="007F65EC">
            <w:pPr>
              <w:rPr>
                <w:rFonts w:ascii="Arial" w:hAnsi="Arial" w:cs="Arial"/>
                <w:sz w:val="18"/>
                <w:szCs w:val="18"/>
              </w:rPr>
            </w:pPr>
            <w:r w:rsidRPr="00AE3A89">
              <w:rPr>
                <w:rFonts w:ascii="Arial" w:hAnsi="Arial" w:cs="Arial"/>
                <w:b/>
                <w:sz w:val="18"/>
                <w:szCs w:val="18"/>
              </w:rPr>
              <w:t>Polysaccharide Type</w:t>
            </w:r>
          </w:p>
        </w:tc>
        <w:tc>
          <w:tcPr>
            <w:tcW w:w="3685" w:type="dxa"/>
            <w:tcBorders>
              <w:top w:val="single" w:sz="4" w:space="0" w:color="auto"/>
              <w:bottom w:val="single" w:sz="4" w:space="0" w:color="auto"/>
            </w:tcBorders>
            <w:hideMark/>
          </w:tcPr>
          <w:p w14:paraId="03591A88"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Fucose-containing sulfated polysaccharide</w:t>
            </w:r>
          </w:p>
        </w:tc>
        <w:tc>
          <w:tcPr>
            <w:tcW w:w="3685" w:type="dxa"/>
            <w:tcBorders>
              <w:top w:val="single" w:sz="4" w:space="0" w:color="auto"/>
              <w:bottom w:val="single" w:sz="4" w:space="0" w:color="auto"/>
            </w:tcBorders>
            <w:hideMark/>
          </w:tcPr>
          <w:p w14:paraId="0C5B9413"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 xml:space="preserve">Sulfated polysaccharide with </w:t>
            </w:r>
            <w:proofErr w:type="spellStart"/>
            <w:r w:rsidRPr="00AE3A89">
              <w:rPr>
                <w:rFonts w:ascii="Arial" w:hAnsi="Arial" w:cs="Arial"/>
                <w:sz w:val="18"/>
                <w:szCs w:val="18"/>
              </w:rPr>
              <w:t>rhamnose</w:t>
            </w:r>
            <w:proofErr w:type="spellEnd"/>
            <w:r w:rsidRPr="00AE3A89">
              <w:rPr>
                <w:rFonts w:ascii="Arial" w:hAnsi="Arial" w:cs="Arial"/>
                <w:sz w:val="18"/>
                <w:szCs w:val="18"/>
              </w:rPr>
              <w:t xml:space="preserve"> and </w:t>
            </w:r>
            <w:proofErr w:type="spellStart"/>
            <w:r w:rsidRPr="00AE3A89">
              <w:rPr>
                <w:rFonts w:ascii="Arial" w:hAnsi="Arial" w:cs="Arial"/>
                <w:sz w:val="18"/>
                <w:szCs w:val="18"/>
              </w:rPr>
              <w:t>uronic</w:t>
            </w:r>
            <w:proofErr w:type="spellEnd"/>
            <w:r w:rsidRPr="00AE3A89">
              <w:rPr>
                <w:rFonts w:ascii="Arial" w:hAnsi="Arial" w:cs="Arial"/>
                <w:sz w:val="18"/>
                <w:szCs w:val="18"/>
              </w:rPr>
              <w:t xml:space="preserve"> acids</w:t>
            </w:r>
          </w:p>
        </w:tc>
      </w:tr>
      <w:tr w:rsidR="007F65EC" w:rsidRPr="00AE3A89" w14:paraId="5B0FCBC3" w14:textId="77777777" w:rsidTr="000F4828">
        <w:trPr>
          <w:jc w:val="center"/>
        </w:trPr>
        <w:tc>
          <w:tcPr>
            <w:tcW w:w="2551" w:type="dxa"/>
            <w:tcBorders>
              <w:top w:val="single" w:sz="4" w:space="0" w:color="auto"/>
            </w:tcBorders>
            <w:hideMark/>
          </w:tcPr>
          <w:p w14:paraId="794D1B13" w14:textId="77777777" w:rsidR="007F65EC" w:rsidRPr="00AE3A89" w:rsidRDefault="007F65EC">
            <w:pPr>
              <w:rPr>
                <w:rFonts w:ascii="Arial" w:hAnsi="Arial" w:cs="Arial"/>
                <w:sz w:val="18"/>
                <w:szCs w:val="18"/>
              </w:rPr>
            </w:pPr>
            <w:r w:rsidRPr="00AE3A89">
              <w:rPr>
                <w:rFonts w:ascii="Arial" w:hAnsi="Arial" w:cs="Arial"/>
                <w:b/>
                <w:sz w:val="18"/>
                <w:szCs w:val="18"/>
              </w:rPr>
              <w:t>Algal Source (Phylum)</w:t>
            </w:r>
          </w:p>
        </w:tc>
        <w:tc>
          <w:tcPr>
            <w:tcW w:w="3685" w:type="dxa"/>
            <w:tcBorders>
              <w:top w:val="single" w:sz="4" w:space="0" w:color="auto"/>
            </w:tcBorders>
            <w:hideMark/>
          </w:tcPr>
          <w:p w14:paraId="1E1491B4"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Brown Algae (Phaeophyceae)</w:t>
            </w:r>
          </w:p>
        </w:tc>
        <w:tc>
          <w:tcPr>
            <w:tcW w:w="3685" w:type="dxa"/>
            <w:tcBorders>
              <w:top w:val="single" w:sz="4" w:space="0" w:color="auto"/>
            </w:tcBorders>
            <w:hideMark/>
          </w:tcPr>
          <w:p w14:paraId="16266C27"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Green Algae (Chlorophyta)</w:t>
            </w:r>
          </w:p>
        </w:tc>
      </w:tr>
      <w:tr w:rsidR="007F65EC" w:rsidRPr="00AE3A89" w14:paraId="7D37F4B2" w14:textId="77777777" w:rsidTr="000F4828">
        <w:trPr>
          <w:jc w:val="center"/>
        </w:trPr>
        <w:tc>
          <w:tcPr>
            <w:tcW w:w="2551" w:type="dxa"/>
            <w:tcBorders>
              <w:bottom w:val="single" w:sz="4" w:space="0" w:color="auto"/>
            </w:tcBorders>
            <w:hideMark/>
          </w:tcPr>
          <w:p w14:paraId="0808EF81" w14:textId="77777777" w:rsidR="007F65EC" w:rsidRPr="00AE3A89" w:rsidRDefault="007F65EC">
            <w:pPr>
              <w:rPr>
                <w:rFonts w:ascii="Arial" w:hAnsi="Arial" w:cs="Arial"/>
                <w:sz w:val="18"/>
                <w:szCs w:val="18"/>
              </w:rPr>
            </w:pPr>
            <w:r w:rsidRPr="00AE3A89">
              <w:rPr>
                <w:rFonts w:ascii="Arial" w:hAnsi="Arial" w:cs="Arial"/>
                <w:b/>
                <w:sz w:val="18"/>
                <w:szCs w:val="18"/>
              </w:rPr>
              <w:t>Common Species</w:t>
            </w:r>
          </w:p>
        </w:tc>
        <w:tc>
          <w:tcPr>
            <w:tcW w:w="3685" w:type="dxa"/>
            <w:tcBorders>
              <w:bottom w:val="single" w:sz="4" w:space="0" w:color="auto"/>
            </w:tcBorders>
            <w:hideMark/>
          </w:tcPr>
          <w:p w14:paraId="59D8DE69" w14:textId="77777777" w:rsidR="007F65EC" w:rsidRPr="00AE3A89" w:rsidRDefault="007F65EC" w:rsidP="007F65EC">
            <w:pPr>
              <w:jc w:val="both"/>
              <w:rPr>
                <w:rFonts w:ascii="Arial" w:hAnsi="Arial" w:cs="Arial"/>
                <w:i/>
                <w:sz w:val="18"/>
                <w:szCs w:val="18"/>
              </w:rPr>
            </w:pPr>
            <w:proofErr w:type="spellStart"/>
            <w:r w:rsidRPr="00AE3A89">
              <w:rPr>
                <w:rFonts w:ascii="Arial" w:hAnsi="Arial" w:cs="Arial"/>
                <w:i/>
                <w:sz w:val="18"/>
                <w:szCs w:val="18"/>
              </w:rPr>
              <w:t>Fucus</w:t>
            </w:r>
            <w:proofErr w:type="spellEnd"/>
            <w:r w:rsidRPr="00AE3A89">
              <w:rPr>
                <w:rFonts w:ascii="Arial" w:hAnsi="Arial" w:cs="Arial"/>
                <w:i/>
                <w:sz w:val="18"/>
                <w:szCs w:val="18"/>
              </w:rPr>
              <w:t xml:space="preserve"> </w:t>
            </w:r>
            <w:proofErr w:type="spellStart"/>
            <w:r w:rsidRPr="00AE3A89">
              <w:rPr>
                <w:rFonts w:ascii="Arial" w:hAnsi="Arial" w:cs="Arial"/>
                <w:i/>
                <w:sz w:val="18"/>
                <w:szCs w:val="18"/>
              </w:rPr>
              <w:t>vesiculosus</w:t>
            </w:r>
            <w:proofErr w:type="spellEnd"/>
            <w:r w:rsidRPr="00AE3A89">
              <w:rPr>
                <w:rFonts w:ascii="Arial" w:hAnsi="Arial" w:cs="Arial"/>
                <w:i/>
                <w:sz w:val="18"/>
                <w:szCs w:val="18"/>
              </w:rPr>
              <w:t xml:space="preserve">, </w:t>
            </w:r>
            <w:proofErr w:type="spellStart"/>
            <w:r w:rsidRPr="00AE3A89">
              <w:rPr>
                <w:rFonts w:ascii="Arial" w:hAnsi="Arial" w:cs="Arial"/>
                <w:i/>
                <w:sz w:val="18"/>
                <w:szCs w:val="18"/>
              </w:rPr>
              <w:t>Undaria</w:t>
            </w:r>
            <w:proofErr w:type="spellEnd"/>
            <w:r w:rsidRPr="00AE3A89">
              <w:rPr>
                <w:rFonts w:ascii="Arial" w:hAnsi="Arial" w:cs="Arial"/>
                <w:i/>
                <w:sz w:val="18"/>
                <w:szCs w:val="18"/>
              </w:rPr>
              <w:t xml:space="preserve"> </w:t>
            </w:r>
            <w:proofErr w:type="spellStart"/>
            <w:r w:rsidRPr="00AE3A89">
              <w:rPr>
                <w:rFonts w:ascii="Arial" w:hAnsi="Arial" w:cs="Arial"/>
                <w:i/>
                <w:sz w:val="18"/>
                <w:szCs w:val="18"/>
              </w:rPr>
              <w:t>pinnatifida</w:t>
            </w:r>
            <w:proofErr w:type="spellEnd"/>
            <w:r w:rsidRPr="00AE3A89">
              <w:rPr>
                <w:rFonts w:ascii="Arial" w:hAnsi="Arial" w:cs="Arial"/>
                <w:i/>
                <w:sz w:val="18"/>
                <w:szCs w:val="18"/>
              </w:rPr>
              <w:t>, Laminaria japonica, Sargassum spp., Ascophyllum nodosum</w:t>
            </w:r>
          </w:p>
        </w:tc>
        <w:tc>
          <w:tcPr>
            <w:tcW w:w="3685" w:type="dxa"/>
            <w:tcBorders>
              <w:bottom w:val="single" w:sz="4" w:space="0" w:color="auto"/>
            </w:tcBorders>
            <w:hideMark/>
          </w:tcPr>
          <w:p w14:paraId="6FD944F9" w14:textId="77777777" w:rsidR="007F65EC" w:rsidRPr="00AE3A89" w:rsidRDefault="007F65EC" w:rsidP="007F65EC">
            <w:pPr>
              <w:jc w:val="both"/>
              <w:rPr>
                <w:rFonts w:ascii="Arial" w:hAnsi="Arial" w:cs="Arial"/>
                <w:i/>
                <w:sz w:val="18"/>
                <w:szCs w:val="18"/>
              </w:rPr>
            </w:pPr>
            <w:proofErr w:type="spellStart"/>
            <w:r w:rsidRPr="00AE3A89">
              <w:rPr>
                <w:rFonts w:ascii="Arial" w:hAnsi="Arial" w:cs="Arial"/>
                <w:i/>
                <w:sz w:val="18"/>
                <w:szCs w:val="18"/>
              </w:rPr>
              <w:t>Ulva</w:t>
            </w:r>
            <w:proofErr w:type="spellEnd"/>
            <w:r w:rsidRPr="00AE3A89">
              <w:rPr>
                <w:rFonts w:ascii="Arial" w:hAnsi="Arial" w:cs="Arial"/>
                <w:i/>
                <w:sz w:val="18"/>
                <w:szCs w:val="18"/>
              </w:rPr>
              <w:t xml:space="preserve"> </w:t>
            </w:r>
            <w:proofErr w:type="spellStart"/>
            <w:r w:rsidRPr="00AE3A89">
              <w:rPr>
                <w:rFonts w:ascii="Arial" w:hAnsi="Arial" w:cs="Arial"/>
                <w:i/>
                <w:sz w:val="18"/>
                <w:szCs w:val="18"/>
              </w:rPr>
              <w:t>lactuca</w:t>
            </w:r>
            <w:proofErr w:type="spellEnd"/>
            <w:r w:rsidRPr="00AE3A89">
              <w:rPr>
                <w:rFonts w:ascii="Arial" w:hAnsi="Arial" w:cs="Arial"/>
                <w:i/>
                <w:sz w:val="18"/>
                <w:szCs w:val="18"/>
              </w:rPr>
              <w:t xml:space="preserve">, </w:t>
            </w:r>
            <w:proofErr w:type="spellStart"/>
            <w:r w:rsidRPr="00AE3A89">
              <w:rPr>
                <w:rFonts w:ascii="Arial" w:hAnsi="Arial" w:cs="Arial"/>
                <w:i/>
                <w:sz w:val="18"/>
                <w:szCs w:val="18"/>
              </w:rPr>
              <w:t>Ulva</w:t>
            </w:r>
            <w:proofErr w:type="spellEnd"/>
            <w:r w:rsidRPr="00AE3A89">
              <w:rPr>
                <w:rFonts w:ascii="Arial" w:hAnsi="Arial" w:cs="Arial"/>
                <w:i/>
                <w:sz w:val="18"/>
                <w:szCs w:val="18"/>
              </w:rPr>
              <w:t xml:space="preserve"> </w:t>
            </w:r>
            <w:proofErr w:type="spellStart"/>
            <w:r w:rsidRPr="00AE3A89">
              <w:rPr>
                <w:rFonts w:ascii="Arial" w:hAnsi="Arial" w:cs="Arial"/>
                <w:i/>
                <w:sz w:val="18"/>
                <w:szCs w:val="18"/>
              </w:rPr>
              <w:t>rigida</w:t>
            </w:r>
            <w:proofErr w:type="spellEnd"/>
            <w:r w:rsidRPr="00AE3A89">
              <w:rPr>
                <w:rFonts w:ascii="Arial" w:hAnsi="Arial" w:cs="Arial"/>
                <w:i/>
                <w:sz w:val="18"/>
                <w:szCs w:val="18"/>
              </w:rPr>
              <w:t xml:space="preserve">, </w:t>
            </w:r>
            <w:proofErr w:type="spellStart"/>
            <w:r w:rsidRPr="00AE3A89">
              <w:rPr>
                <w:rFonts w:ascii="Arial" w:hAnsi="Arial" w:cs="Arial"/>
                <w:i/>
                <w:sz w:val="18"/>
                <w:szCs w:val="18"/>
              </w:rPr>
              <w:t>Ulva</w:t>
            </w:r>
            <w:proofErr w:type="spellEnd"/>
            <w:r w:rsidRPr="00AE3A89">
              <w:rPr>
                <w:rFonts w:ascii="Arial" w:hAnsi="Arial" w:cs="Arial"/>
                <w:i/>
                <w:sz w:val="18"/>
                <w:szCs w:val="18"/>
              </w:rPr>
              <w:t xml:space="preserve"> </w:t>
            </w:r>
            <w:proofErr w:type="spellStart"/>
            <w:r w:rsidRPr="00AE3A89">
              <w:rPr>
                <w:rFonts w:ascii="Arial" w:hAnsi="Arial" w:cs="Arial"/>
                <w:i/>
                <w:sz w:val="18"/>
                <w:szCs w:val="18"/>
              </w:rPr>
              <w:t>prolifera</w:t>
            </w:r>
            <w:proofErr w:type="spellEnd"/>
            <w:r w:rsidRPr="00AE3A89">
              <w:rPr>
                <w:rFonts w:ascii="Arial" w:hAnsi="Arial" w:cs="Arial"/>
                <w:i/>
                <w:sz w:val="18"/>
                <w:szCs w:val="18"/>
              </w:rPr>
              <w:t xml:space="preserve">, </w:t>
            </w:r>
            <w:proofErr w:type="spellStart"/>
            <w:r w:rsidRPr="00AE3A89">
              <w:rPr>
                <w:rFonts w:ascii="Arial" w:hAnsi="Arial" w:cs="Arial"/>
                <w:i/>
                <w:sz w:val="18"/>
                <w:szCs w:val="18"/>
              </w:rPr>
              <w:t>Ulva</w:t>
            </w:r>
            <w:proofErr w:type="spellEnd"/>
            <w:r w:rsidRPr="00AE3A89">
              <w:rPr>
                <w:rFonts w:ascii="Arial" w:hAnsi="Arial" w:cs="Arial"/>
                <w:i/>
                <w:sz w:val="18"/>
                <w:szCs w:val="18"/>
              </w:rPr>
              <w:t xml:space="preserve"> </w:t>
            </w:r>
            <w:proofErr w:type="spellStart"/>
            <w:r w:rsidRPr="00AE3A89">
              <w:rPr>
                <w:rFonts w:ascii="Arial" w:hAnsi="Arial" w:cs="Arial"/>
                <w:i/>
                <w:sz w:val="18"/>
                <w:szCs w:val="18"/>
              </w:rPr>
              <w:t>linza</w:t>
            </w:r>
            <w:proofErr w:type="spellEnd"/>
          </w:p>
        </w:tc>
      </w:tr>
      <w:tr w:rsidR="007F65EC" w:rsidRPr="00AE3A89" w14:paraId="179BF460" w14:textId="77777777" w:rsidTr="000F4828">
        <w:trPr>
          <w:jc w:val="center"/>
        </w:trPr>
        <w:tc>
          <w:tcPr>
            <w:tcW w:w="2551" w:type="dxa"/>
            <w:tcBorders>
              <w:top w:val="single" w:sz="4" w:space="0" w:color="auto"/>
              <w:bottom w:val="single" w:sz="4" w:space="0" w:color="auto"/>
            </w:tcBorders>
            <w:hideMark/>
          </w:tcPr>
          <w:p w14:paraId="66B354C3" w14:textId="77777777" w:rsidR="007F65EC" w:rsidRPr="00AE3A89" w:rsidRDefault="007F65EC">
            <w:pPr>
              <w:rPr>
                <w:rFonts w:ascii="Arial" w:hAnsi="Arial" w:cs="Arial"/>
                <w:sz w:val="18"/>
                <w:szCs w:val="18"/>
              </w:rPr>
            </w:pPr>
            <w:r w:rsidRPr="00AE3A89">
              <w:rPr>
                <w:rFonts w:ascii="Arial" w:hAnsi="Arial" w:cs="Arial"/>
                <w:b/>
                <w:sz w:val="18"/>
                <w:szCs w:val="18"/>
              </w:rPr>
              <w:t>Backbone Structure</w:t>
            </w:r>
          </w:p>
        </w:tc>
        <w:tc>
          <w:tcPr>
            <w:tcW w:w="3685" w:type="dxa"/>
            <w:tcBorders>
              <w:top w:val="single" w:sz="4" w:space="0" w:color="auto"/>
              <w:bottom w:val="single" w:sz="4" w:space="0" w:color="auto"/>
            </w:tcBorders>
            <w:hideMark/>
          </w:tcPr>
          <w:p w14:paraId="08C79FAD"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Primarily α-(1→3)- and/or α-(1→4)-linked L-</w:t>
            </w:r>
            <w:proofErr w:type="spellStart"/>
            <w:r w:rsidRPr="00AE3A89">
              <w:rPr>
                <w:rFonts w:ascii="Arial" w:hAnsi="Arial" w:cs="Arial"/>
                <w:sz w:val="18"/>
                <w:szCs w:val="18"/>
              </w:rPr>
              <w:t>fucopyranose</w:t>
            </w:r>
            <w:proofErr w:type="spellEnd"/>
          </w:p>
        </w:tc>
        <w:tc>
          <w:tcPr>
            <w:tcW w:w="3685" w:type="dxa"/>
            <w:tcBorders>
              <w:top w:val="single" w:sz="4" w:space="0" w:color="auto"/>
              <w:bottom w:val="single" w:sz="4" w:space="0" w:color="auto"/>
            </w:tcBorders>
            <w:hideMark/>
          </w:tcPr>
          <w:p w14:paraId="6D45535C"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 xml:space="preserve">Repeating disaccharide units of </w:t>
            </w:r>
            <w:proofErr w:type="spellStart"/>
            <w:r w:rsidRPr="00AE3A89">
              <w:rPr>
                <w:rFonts w:ascii="Arial" w:hAnsi="Arial" w:cs="Arial"/>
                <w:sz w:val="18"/>
                <w:szCs w:val="18"/>
              </w:rPr>
              <w:t>rhamnose</w:t>
            </w:r>
            <w:proofErr w:type="spellEnd"/>
            <w:r w:rsidRPr="00AE3A89">
              <w:rPr>
                <w:rFonts w:ascii="Arial" w:hAnsi="Arial" w:cs="Arial"/>
                <w:sz w:val="18"/>
                <w:szCs w:val="18"/>
              </w:rPr>
              <w:t xml:space="preserve"> and </w:t>
            </w:r>
            <w:proofErr w:type="spellStart"/>
            <w:r w:rsidRPr="00AE3A89">
              <w:rPr>
                <w:rFonts w:ascii="Arial" w:hAnsi="Arial" w:cs="Arial"/>
                <w:sz w:val="18"/>
                <w:szCs w:val="18"/>
              </w:rPr>
              <w:t>uronic</w:t>
            </w:r>
            <w:proofErr w:type="spellEnd"/>
            <w:r w:rsidRPr="00AE3A89">
              <w:rPr>
                <w:rFonts w:ascii="Arial" w:hAnsi="Arial" w:cs="Arial"/>
                <w:sz w:val="18"/>
                <w:szCs w:val="18"/>
              </w:rPr>
              <w:t xml:space="preserve"> acid</w:t>
            </w:r>
          </w:p>
        </w:tc>
      </w:tr>
      <w:tr w:rsidR="007F65EC" w:rsidRPr="00AE3A89" w14:paraId="572A81F9" w14:textId="77777777" w:rsidTr="000F4828">
        <w:trPr>
          <w:jc w:val="center"/>
        </w:trPr>
        <w:tc>
          <w:tcPr>
            <w:tcW w:w="2551" w:type="dxa"/>
            <w:tcBorders>
              <w:top w:val="single" w:sz="4" w:space="0" w:color="auto"/>
              <w:bottom w:val="single" w:sz="4" w:space="0" w:color="auto"/>
            </w:tcBorders>
            <w:hideMark/>
          </w:tcPr>
          <w:p w14:paraId="54FAB568" w14:textId="77777777" w:rsidR="007F65EC" w:rsidRPr="00AE3A89" w:rsidRDefault="007F65EC">
            <w:pPr>
              <w:rPr>
                <w:rFonts w:ascii="Arial" w:hAnsi="Arial" w:cs="Arial"/>
                <w:sz w:val="18"/>
                <w:szCs w:val="18"/>
              </w:rPr>
            </w:pPr>
            <w:r w:rsidRPr="00AE3A89">
              <w:rPr>
                <w:rFonts w:ascii="Arial" w:hAnsi="Arial" w:cs="Arial"/>
                <w:b/>
                <w:sz w:val="18"/>
                <w:szCs w:val="18"/>
              </w:rPr>
              <w:t>Key Monosaccharides</w:t>
            </w:r>
          </w:p>
        </w:tc>
        <w:tc>
          <w:tcPr>
            <w:tcW w:w="3685" w:type="dxa"/>
            <w:tcBorders>
              <w:top w:val="single" w:sz="4" w:space="0" w:color="auto"/>
              <w:bottom w:val="single" w:sz="4" w:space="0" w:color="auto"/>
            </w:tcBorders>
            <w:hideMark/>
          </w:tcPr>
          <w:p w14:paraId="310E28E7"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 xml:space="preserve">L-fucose, galactose, mannose, xylose, glucose, </w:t>
            </w:r>
            <w:proofErr w:type="spellStart"/>
            <w:r w:rsidRPr="00AE3A89">
              <w:rPr>
                <w:rFonts w:ascii="Arial" w:hAnsi="Arial" w:cs="Arial"/>
                <w:sz w:val="18"/>
                <w:szCs w:val="18"/>
              </w:rPr>
              <w:t>uronic</w:t>
            </w:r>
            <w:proofErr w:type="spellEnd"/>
            <w:r w:rsidRPr="00AE3A89">
              <w:rPr>
                <w:rFonts w:ascii="Arial" w:hAnsi="Arial" w:cs="Arial"/>
                <w:sz w:val="18"/>
                <w:szCs w:val="18"/>
              </w:rPr>
              <w:t xml:space="preserve"> acids</w:t>
            </w:r>
          </w:p>
        </w:tc>
        <w:tc>
          <w:tcPr>
            <w:tcW w:w="3685" w:type="dxa"/>
            <w:tcBorders>
              <w:top w:val="single" w:sz="4" w:space="0" w:color="auto"/>
              <w:bottom w:val="single" w:sz="4" w:space="0" w:color="auto"/>
            </w:tcBorders>
            <w:hideMark/>
          </w:tcPr>
          <w:p w14:paraId="074402C2"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L-rhamnose, D-glucuronic acid, L-iduronic acid, D-xylose</w:t>
            </w:r>
          </w:p>
        </w:tc>
      </w:tr>
      <w:tr w:rsidR="007F65EC" w:rsidRPr="00AE3A89" w14:paraId="6EF8A7DD" w14:textId="77777777" w:rsidTr="000F4828">
        <w:trPr>
          <w:jc w:val="center"/>
        </w:trPr>
        <w:tc>
          <w:tcPr>
            <w:tcW w:w="2551" w:type="dxa"/>
            <w:tcBorders>
              <w:top w:val="single" w:sz="4" w:space="0" w:color="auto"/>
            </w:tcBorders>
            <w:hideMark/>
          </w:tcPr>
          <w:p w14:paraId="14C921D3" w14:textId="77777777" w:rsidR="007F65EC" w:rsidRPr="00AE3A89" w:rsidRDefault="000C3544">
            <w:pPr>
              <w:rPr>
                <w:rFonts w:ascii="Arial" w:hAnsi="Arial" w:cs="Arial"/>
                <w:sz w:val="18"/>
                <w:szCs w:val="18"/>
              </w:rPr>
            </w:pPr>
            <w:r>
              <w:rPr>
                <w:rFonts w:ascii="Arial" w:hAnsi="Arial" w:cs="Arial"/>
                <w:b/>
                <w:sz w:val="18"/>
                <w:szCs w:val="18"/>
              </w:rPr>
              <w:t>Sulphate</w:t>
            </w:r>
            <w:r w:rsidR="007F65EC" w:rsidRPr="00AE3A89">
              <w:rPr>
                <w:rFonts w:ascii="Arial" w:hAnsi="Arial" w:cs="Arial"/>
                <w:b/>
                <w:sz w:val="18"/>
                <w:szCs w:val="18"/>
              </w:rPr>
              <w:t xml:space="preserve"> Position</w:t>
            </w:r>
          </w:p>
        </w:tc>
        <w:tc>
          <w:tcPr>
            <w:tcW w:w="3685" w:type="dxa"/>
            <w:tcBorders>
              <w:top w:val="single" w:sz="4" w:space="0" w:color="auto"/>
            </w:tcBorders>
            <w:hideMark/>
          </w:tcPr>
          <w:p w14:paraId="03235281"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C-2, C-3, or C-4 of fucose residues</w:t>
            </w:r>
          </w:p>
        </w:tc>
        <w:tc>
          <w:tcPr>
            <w:tcW w:w="3685" w:type="dxa"/>
            <w:tcBorders>
              <w:top w:val="single" w:sz="4" w:space="0" w:color="auto"/>
            </w:tcBorders>
            <w:hideMark/>
          </w:tcPr>
          <w:p w14:paraId="7D20D0D6"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Primarily C-3 of rhamnose residues</w:t>
            </w:r>
          </w:p>
        </w:tc>
      </w:tr>
      <w:tr w:rsidR="007F65EC" w:rsidRPr="00AE3A89" w14:paraId="1B7241C4" w14:textId="77777777" w:rsidTr="000F4828">
        <w:trPr>
          <w:jc w:val="center"/>
        </w:trPr>
        <w:tc>
          <w:tcPr>
            <w:tcW w:w="2551" w:type="dxa"/>
            <w:tcBorders>
              <w:bottom w:val="single" w:sz="4" w:space="0" w:color="auto"/>
            </w:tcBorders>
            <w:hideMark/>
          </w:tcPr>
          <w:p w14:paraId="544CBF72" w14:textId="77777777" w:rsidR="007F65EC" w:rsidRPr="00AE3A89" w:rsidRDefault="000C3544">
            <w:pPr>
              <w:rPr>
                <w:rFonts w:ascii="Arial" w:hAnsi="Arial" w:cs="Arial"/>
                <w:sz w:val="18"/>
                <w:szCs w:val="18"/>
              </w:rPr>
            </w:pPr>
            <w:r>
              <w:rPr>
                <w:rFonts w:ascii="Arial" w:hAnsi="Arial" w:cs="Arial"/>
                <w:b/>
                <w:sz w:val="18"/>
                <w:szCs w:val="18"/>
              </w:rPr>
              <w:t>Sulphate</w:t>
            </w:r>
            <w:r w:rsidR="007F65EC" w:rsidRPr="00AE3A89">
              <w:rPr>
                <w:rFonts w:ascii="Arial" w:hAnsi="Arial" w:cs="Arial"/>
                <w:b/>
                <w:sz w:val="18"/>
                <w:szCs w:val="18"/>
              </w:rPr>
              <w:t xml:space="preserve"> Content (% dry weight)</w:t>
            </w:r>
          </w:p>
        </w:tc>
        <w:tc>
          <w:tcPr>
            <w:tcW w:w="3685" w:type="dxa"/>
            <w:tcBorders>
              <w:bottom w:val="single" w:sz="4" w:space="0" w:color="auto"/>
            </w:tcBorders>
            <w:hideMark/>
          </w:tcPr>
          <w:p w14:paraId="1F59637D"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5–38%</w:t>
            </w:r>
          </w:p>
        </w:tc>
        <w:tc>
          <w:tcPr>
            <w:tcW w:w="3685" w:type="dxa"/>
            <w:tcBorders>
              <w:bottom w:val="single" w:sz="4" w:space="0" w:color="auto"/>
            </w:tcBorders>
            <w:hideMark/>
          </w:tcPr>
          <w:p w14:paraId="434A7B8A"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16–23%</w:t>
            </w:r>
          </w:p>
        </w:tc>
      </w:tr>
      <w:tr w:rsidR="007F65EC" w:rsidRPr="00AE3A89" w14:paraId="6ACA841E" w14:textId="77777777" w:rsidTr="000F4828">
        <w:trPr>
          <w:jc w:val="center"/>
        </w:trPr>
        <w:tc>
          <w:tcPr>
            <w:tcW w:w="2551" w:type="dxa"/>
            <w:tcBorders>
              <w:top w:val="single" w:sz="4" w:space="0" w:color="auto"/>
              <w:bottom w:val="single" w:sz="4" w:space="0" w:color="auto"/>
            </w:tcBorders>
            <w:hideMark/>
          </w:tcPr>
          <w:p w14:paraId="0951AD82" w14:textId="77777777" w:rsidR="007F65EC" w:rsidRPr="00AE3A89" w:rsidRDefault="007F65EC">
            <w:pPr>
              <w:rPr>
                <w:rFonts w:ascii="Arial" w:hAnsi="Arial" w:cs="Arial"/>
                <w:sz w:val="18"/>
                <w:szCs w:val="18"/>
              </w:rPr>
            </w:pPr>
            <w:r w:rsidRPr="00AE3A89">
              <w:rPr>
                <w:rFonts w:ascii="Arial" w:hAnsi="Arial" w:cs="Arial"/>
                <w:b/>
                <w:sz w:val="18"/>
                <w:szCs w:val="18"/>
              </w:rPr>
              <w:t>Molecular Weight Range</w:t>
            </w:r>
          </w:p>
        </w:tc>
        <w:tc>
          <w:tcPr>
            <w:tcW w:w="3685" w:type="dxa"/>
            <w:tcBorders>
              <w:top w:val="single" w:sz="4" w:space="0" w:color="auto"/>
              <w:bottom w:val="single" w:sz="4" w:space="0" w:color="auto"/>
            </w:tcBorders>
            <w:hideMark/>
          </w:tcPr>
          <w:p w14:paraId="1D7A1BA3"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 xml:space="preserve">10 </w:t>
            </w:r>
            <w:proofErr w:type="spellStart"/>
            <w:r w:rsidRPr="00AE3A89">
              <w:rPr>
                <w:rFonts w:ascii="Arial" w:hAnsi="Arial" w:cs="Arial"/>
                <w:sz w:val="18"/>
                <w:szCs w:val="18"/>
              </w:rPr>
              <w:t>kDa</w:t>
            </w:r>
            <w:proofErr w:type="spellEnd"/>
            <w:r w:rsidRPr="00AE3A89">
              <w:rPr>
                <w:rFonts w:ascii="Arial" w:hAnsi="Arial" w:cs="Arial"/>
                <w:sz w:val="18"/>
                <w:szCs w:val="18"/>
              </w:rPr>
              <w:t xml:space="preserve"> to &gt;1,000 </w:t>
            </w:r>
            <w:proofErr w:type="spellStart"/>
            <w:r w:rsidRPr="00AE3A89">
              <w:rPr>
                <w:rFonts w:ascii="Arial" w:hAnsi="Arial" w:cs="Arial"/>
                <w:sz w:val="18"/>
                <w:szCs w:val="18"/>
              </w:rPr>
              <w:t>kDa</w:t>
            </w:r>
            <w:proofErr w:type="spellEnd"/>
          </w:p>
        </w:tc>
        <w:tc>
          <w:tcPr>
            <w:tcW w:w="3685" w:type="dxa"/>
            <w:tcBorders>
              <w:top w:val="single" w:sz="4" w:space="0" w:color="auto"/>
              <w:bottom w:val="single" w:sz="4" w:space="0" w:color="auto"/>
            </w:tcBorders>
            <w:hideMark/>
          </w:tcPr>
          <w:p w14:paraId="7082F3A9"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 xml:space="preserve">100 </w:t>
            </w:r>
            <w:proofErr w:type="spellStart"/>
            <w:r w:rsidRPr="00AE3A89">
              <w:rPr>
                <w:rFonts w:ascii="Arial" w:hAnsi="Arial" w:cs="Arial"/>
                <w:sz w:val="18"/>
                <w:szCs w:val="18"/>
              </w:rPr>
              <w:t>kDa</w:t>
            </w:r>
            <w:proofErr w:type="spellEnd"/>
            <w:r w:rsidRPr="00AE3A89">
              <w:rPr>
                <w:rFonts w:ascii="Arial" w:hAnsi="Arial" w:cs="Arial"/>
                <w:sz w:val="18"/>
                <w:szCs w:val="18"/>
              </w:rPr>
              <w:t xml:space="preserve"> to 900 </w:t>
            </w:r>
            <w:proofErr w:type="spellStart"/>
            <w:r w:rsidRPr="00AE3A89">
              <w:rPr>
                <w:rFonts w:ascii="Arial" w:hAnsi="Arial" w:cs="Arial"/>
                <w:sz w:val="18"/>
                <w:szCs w:val="18"/>
              </w:rPr>
              <w:t>kDa</w:t>
            </w:r>
            <w:proofErr w:type="spellEnd"/>
          </w:p>
        </w:tc>
      </w:tr>
      <w:tr w:rsidR="007F65EC" w:rsidRPr="00AE3A89" w14:paraId="78A94BDF" w14:textId="77777777" w:rsidTr="000F4828">
        <w:trPr>
          <w:jc w:val="center"/>
        </w:trPr>
        <w:tc>
          <w:tcPr>
            <w:tcW w:w="2551" w:type="dxa"/>
            <w:tcBorders>
              <w:top w:val="single" w:sz="4" w:space="0" w:color="auto"/>
              <w:bottom w:val="single" w:sz="4" w:space="0" w:color="auto"/>
            </w:tcBorders>
            <w:hideMark/>
          </w:tcPr>
          <w:p w14:paraId="763B5820" w14:textId="77777777" w:rsidR="007F65EC" w:rsidRPr="00AE3A89" w:rsidRDefault="007F65EC">
            <w:pPr>
              <w:rPr>
                <w:rFonts w:ascii="Arial" w:hAnsi="Arial" w:cs="Arial"/>
                <w:sz w:val="18"/>
                <w:szCs w:val="18"/>
              </w:rPr>
            </w:pPr>
            <w:r w:rsidRPr="00AE3A89">
              <w:rPr>
                <w:rFonts w:ascii="Arial" w:hAnsi="Arial" w:cs="Arial"/>
                <w:b/>
                <w:sz w:val="18"/>
                <w:szCs w:val="18"/>
              </w:rPr>
              <w:t>Key Bioactivity Determinants</w:t>
            </w:r>
          </w:p>
        </w:tc>
        <w:tc>
          <w:tcPr>
            <w:tcW w:w="3685" w:type="dxa"/>
            <w:tcBorders>
              <w:top w:val="single" w:sz="4" w:space="0" w:color="auto"/>
              <w:bottom w:val="single" w:sz="4" w:space="0" w:color="auto"/>
            </w:tcBorders>
            <w:hideMark/>
          </w:tcPr>
          <w:p w14:paraId="5DB0ACBF"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Degree and position of sulfation, molecular weight, monosaccharide composition</w:t>
            </w:r>
          </w:p>
        </w:tc>
        <w:tc>
          <w:tcPr>
            <w:tcW w:w="3685" w:type="dxa"/>
            <w:tcBorders>
              <w:top w:val="single" w:sz="4" w:space="0" w:color="auto"/>
              <w:bottom w:val="single" w:sz="4" w:space="0" w:color="auto"/>
            </w:tcBorders>
            <w:hideMark/>
          </w:tcPr>
          <w:p w14:paraId="5DE01598"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Degree of sulfation, molecular weight, presence of iduronic acid</w:t>
            </w:r>
          </w:p>
        </w:tc>
      </w:tr>
      <w:tr w:rsidR="007F65EC" w:rsidRPr="00AE3A89" w14:paraId="400BE52C" w14:textId="77777777" w:rsidTr="000F4828">
        <w:trPr>
          <w:jc w:val="center"/>
        </w:trPr>
        <w:tc>
          <w:tcPr>
            <w:tcW w:w="2551" w:type="dxa"/>
            <w:tcBorders>
              <w:top w:val="single" w:sz="4" w:space="0" w:color="auto"/>
              <w:bottom w:val="single" w:sz="4" w:space="0" w:color="auto"/>
            </w:tcBorders>
            <w:hideMark/>
          </w:tcPr>
          <w:p w14:paraId="11D09A2F" w14:textId="77777777" w:rsidR="007F65EC" w:rsidRPr="00AE3A89" w:rsidRDefault="007F65EC">
            <w:pPr>
              <w:rPr>
                <w:rFonts w:ascii="Arial" w:hAnsi="Arial" w:cs="Arial"/>
                <w:sz w:val="18"/>
                <w:szCs w:val="18"/>
              </w:rPr>
            </w:pPr>
            <w:r w:rsidRPr="00AE3A89">
              <w:rPr>
                <w:rFonts w:ascii="Arial" w:hAnsi="Arial" w:cs="Arial"/>
                <w:b/>
                <w:sz w:val="18"/>
                <w:szCs w:val="18"/>
              </w:rPr>
              <w:t>Unique Structural Feature</w:t>
            </w:r>
          </w:p>
        </w:tc>
        <w:tc>
          <w:tcPr>
            <w:tcW w:w="3685" w:type="dxa"/>
            <w:tcBorders>
              <w:top w:val="single" w:sz="4" w:space="0" w:color="auto"/>
              <w:bottom w:val="single" w:sz="4" w:space="0" w:color="auto"/>
            </w:tcBorders>
            <w:hideMark/>
          </w:tcPr>
          <w:p w14:paraId="0AB7AD68" w14:textId="77777777" w:rsidR="007F65EC" w:rsidRPr="00AE3A89" w:rsidRDefault="007F65EC">
            <w:pPr>
              <w:rPr>
                <w:rFonts w:ascii="Arial" w:hAnsi="Arial" w:cs="Arial"/>
                <w:sz w:val="18"/>
                <w:szCs w:val="18"/>
              </w:rPr>
            </w:pPr>
            <w:r w:rsidRPr="00AE3A89">
              <w:rPr>
                <w:rFonts w:ascii="Arial" w:hAnsi="Arial" w:cs="Arial"/>
                <w:sz w:val="18"/>
                <w:szCs w:val="18"/>
              </w:rPr>
              <w:t>Highly branched with acetyl groups</w:t>
            </w:r>
          </w:p>
        </w:tc>
        <w:tc>
          <w:tcPr>
            <w:tcW w:w="3685" w:type="dxa"/>
            <w:tcBorders>
              <w:top w:val="single" w:sz="4" w:space="0" w:color="auto"/>
              <w:bottom w:val="single" w:sz="4" w:space="0" w:color="auto"/>
            </w:tcBorders>
            <w:hideMark/>
          </w:tcPr>
          <w:p w14:paraId="43842854"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Contains rare L-iduronic acid (similar to mammalian GAGs)</w:t>
            </w:r>
          </w:p>
        </w:tc>
      </w:tr>
    </w:tbl>
    <w:p w14:paraId="2363ADD7" w14:textId="77777777" w:rsidR="007F65EC" w:rsidRPr="007F65EC" w:rsidRDefault="007F65EC" w:rsidP="007F65EC">
      <w:pPr>
        <w:pStyle w:val="NormalWeb"/>
        <w:spacing w:line="360" w:lineRule="auto"/>
        <w:rPr>
          <w:rFonts w:ascii="Arial" w:hAnsi="Arial" w:cs="Arial"/>
          <w:b/>
        </w:rPr>
      </w:pPr>
      <w:r w:rsidRPr="007F65EC">
        <w:rPr>
          <w:rFonts w:ascii="Arial" w:hAnsi="Arial" w:cs="Arial"/>
          <w:b/>
        </w:rPr>
        <w:t xml:space="preserve">4.2. </w:t>
      </w:r>
      <w:proofErr w:type="spellStart"/>
      <w:r w:rsidRPr="007F65EC">
        <w:rPr>
          <w:rFonts w:ascii="Arial" w:hAnsi="Arial" w:cs="Arial"/>
          <w:b/>
        </w:rPr>
        <w:t>Ulvans</w:t>
      </w:r>
      <w:proofErr w:type="spellEnd"/>
      <w:r w:rsidRPr="007F65EC">
        <w:rPr>
          <w:rFonts w:ascii="Arial" w:hAnsi="Arial" w:cs="Arial"/>
          <w:b/>
        </w:rPr>
        <w:t>: Structure and Sources</w:t>
      </w:r>
    </w:p>
    <w:p w14:paraId="4210D750" w14:textId="77777777" w:rsidR="007F65EC" w:rsidRPr="007F65EC" w:rsidRDefault="007F65EC" w:rsidP="007F65EC">
      <w:pPr>
        <w:pStyle w:val="NormalWeb"/>
        <w:spacing w:line="360" w:lineRule="auto"/>
        <w:ind w:firstLine="720"/>
        <w:jc w:val="both"/>
      </w:pPr>
      <w:proofErr w:type="spellStart"/>
      <w:r w:rsidRPr="007F65EC">
        <w:t>Ulvans</w:t>
      </w:r>
      <w:proofErr w:type="spellEnd"/>
      <w:r w:rsidRPr="007F65EC">
        <w:t xml:space="preserve"> are water-soluble </w:t>
      </w:r>
      <w:r w:rsidR="000C3544" w:rsidRPr="007F65EC">
        <w:t>sulphated</w:t>
      </w:r>
      <w:r w:rsidRPr="007F65EC">
        <w:t xml:space="preserve"> polysaccharides isolated from cell wall of green seaweeds, mainly belonging to the genera </w:t>
      </w:r>
      <w:r w:rsidRPr="000C3544">
        <w:rPr>
          <w:i/>
        </w:rPr>
        <w:t>Ulva</w:t>
      </w:r>
      <w:r w:rsidRPr="007F65EC">
        <w:t xml:space="preserve"> (e.g., </w:t>
      </w:r>
      <w:proofErr w:type="spellStart"/>
      <w:r w:rsidRPr="000C3544">
        <w:rPr>
          <w:i/>
        </w:rPr>
        <w:t>Ulva</w:t>
      </w:r>
      <w:proofErr w:type="spellEnd"/>
      <w:r w:rsidRPr="000C3544">
        <w:rPr>
          <w:i/>
        </w:rPr>
        <w:t xml:space="preserve"> </w:t>
      </w:r>
      <w:proofErr w:type="spellStart"/>
      <w:r w:rsidRPr="000C3544">
        <w:rPr>
          <w:i/>
        </w:rPr>
        <w:t>lactuca</w:t>
      </w:r>
      <w:proofErr w:type="spellEnd"/>
      <w:r w:rsidRPr="007F65EC">
        <w:t xml:space="preserve">, </w:t>
      </w:r>
      <w:proofErr w:type="spellStart"/>
      <w:r w:rsidRPr="000C3544">
        <w:rPr>
          <w:i/>
        </w:rPr>
        <w:t>Ulva</w:t>
      </w:r>
      <w:proofErr w:type="spellEnd"/>
      <w:r w:rsidRPr="000C3544">
        <w:rPr>
          <w:i/>
        </w:rPr>
        <w:t xml:space="preserve"> </w:t>
      </w:r>
      <w:proofErr w:type="spellStart"/>
      <w:r w:rsidRPr="000C3544">
        <w:rPr>
          <w:i/>
        </w:rPr>
        <w:t>rigida</w:t>
      </w:r>
      <w:proofErr w:type="spellEnd"/>
      <w:r w:rsidRPr="007F65EC">
        <w:t xml:space="preserve"> and </w:t>
      </w:r>
      <w:proofErr w:type="spellStart"/>
      <w:r w:rsidRPr="000C3544">
        <w:rPr>
          <w:i/>
        </w:rPr>
        <w:t>Ulva</w:t>
      </w:r>
      <w:proofErr w:type="spellEnd"/>
      <w:r w:rsidRPr="000C3544">
        <w:rPr>
          <w:i/>
        </w:rPr>
        <w:t xml:space="preserve"> </w:t>
      </w:r>
      <w:proofErr w:type="spellStart"/>
      <w:r w:rsidRPr="000C3544">
        <w:rPr>
          <w:i/>
        </w:rPr>
        <w:t>prolifera</w:t>
      </w:r>
      <w:proofErr w:type="spellEnd"/>
      <w:r w:rsidRPr="007F65EC">
        <w:t xml:space="preserve">) popularly known as sea lettuce (Zhao et al., 2025; Lahaye &amp; Robic, 2007). </w:t>
      </w:r>
      <w:proofErr w:type="spellStart"/>
      <w:r w:rsidRPr="007F65EC">
        <w:t>Ulvans</w:t>
      </w:r>
      <w:proofErr w:type="spellEnd"/>
      <w:r w:rsidRPr="007F65EC">
        <w:t xml:space="preserve"> are a relevant part of the algal dry matter content, ranging between 8 and 29%. By and large, </w:t>
      </w:r>
      <w:proofErr w:type="spellStart"/>
      <w:r w:rsidRPr="007F65EC">
        <w:t>ulvan</w:t>
      </w:r>
      <w:proofErr w:type="spellEnd"/>
      <w:r w:rsidRPr="007F65EC">
        <w:t xml:space="preserve"> is composed of repeated disaccharide units, such as </w:t>
      </w:r>
      <w:proofErr w:type="spellStart"/>
      <w:r w:rsidRPr="007F65EC">
        <w:t>ulvanobiuronic</w:t>
      </w:r>
      <w:proofErr w:type="spellEnd"/>
      <w:r w:rsidRPr="007F65EC">
        <w:t xml:space="preserve"> acids. They are composed of either β-D-glucuronic acid (1→4)-linked to α-L-rhamnose 3-sulfate (type A) or α-L-iduronic acid (1→4)-linked to α-L-rhamnose 3-sulfate (type B); xylose residues can also </w:t>
      </w:r>
      <w:r w:rsidR="000C3544">
        <w:t xml:space="preserve">substitute for the </w:t>
      </w:r>
      <w:proofErr w:type="spellStart"/>
      <w:r w:rsidR="000C3544">
        <w:t>uronic</w:t>
      </w:r>
      <w:proofErr w:type="spellEnd"/>
      <w:r w:rsidR="000C3544">
        <w:t xml:space="preserve"> acids</w:t>
      </w:r>
      <w:r w:rsidRPr="007F65EC">
        <w:t xml:space="preserve"> (</w:t>
      </w:r>
      <w:proofErr w:type="spellStart"/>
      <w:r w:rsidRPr="007F65EC">
        <w:t>Barakat</w:t>
      </w:r>
      <w:proofErr w:type="spellEnd"/>
      <w:r w:rsidRPr="007F65EC">
        <w:t xml:space="preserve"> et al., 2022</w:t>
      </w:r>
      <w:proofErr w:type="gramStart"/>
      <w:r w:rsidRPr="007F65EC">
        <w:t>;</w:t>
      </w:r>
      <w:r w:rsidR="000C3544">
        <w:t xml:space="preserve"> </w:t>
      </w:r>
      <w:r w:rsidRPr="007F65EC">
        <w:t xml:space="preserve"> </w:t>
      </w:r>
      <w:proofErr w:type="spellStart"/>
      <w:r w:rsidRPr="007F65EC">
        <w:t>Kidgell</w:t>
      </w:r>
      <w:proofErr w:type="spellEnd"/>
      <w:proofErr w:type="gramEnd"/>
      <w:r w:rsidRPr="007F65EC">
        <w:t> et al., 2020).</w:t>
      </w:r>
    </w:p>
    <w:p w14:paraId="1B20F979" w14:textId="77777777" w:rsidR="007F65EC" w:rsidRDefault="007F65EC" w:rsidP="007F65EC">
      <w:pPr>
        <w:pStyle w:val="NormalWeb"/>
        <w:spacing w:line="360" w:lineRule="auto"/>
        <w:ind w:firstLine="720"/>
        <w:jc w:val="both"/>
        <w:rPr>
          <w:b/>
        </w:rPr>
      </w:pPr>
      <w:r w:rsidRPr="007F65EC">
        <w:t xml:space="preserve">Like fucoidans, the biological activity of </w:t>
      </w:r>
      <w:proofErr w:type="spellStart"/>
      <w:r w:rsidRPr="007F65EC">
        <w:t>ulvans</w:t>
      </w:r>
      <w:proofErr w:type="spellEnd"/>
      <w:r w:rsidRPr="007F65EC">
        <w:t xml:space="preserve"> depends on its molecular weight, degree of sulphation, and monosaccharide content. </w:t>
      </w:r>
      <w:proofErr w:type="spellStart"/>
      <w:r w:rsidRPr="007F65EC">
        <w:t>Ulvans</w:t>
      </w:r>
      <w:proofErr w:type="spellEnd"/>
      <w:r w:rsidRPr="007F65EC">
        <w:t xml:space="preserve"> have also distinguishing characteristics as other cell wall polysaccharides, where the presence of iduronic acid, an </w:t>
      </w:r>
      <w:r w:rsidRPr="007F65EC">
        <w:lastRenderedPageBreak/>
        <w:t xml:space="preserve">unusual sugar in nature is a typical feature that might influence their bioactivities (because iduronic acid is found on mammalian glycosaminoglycans such as heparin and dermatan sulphate) (Kamali et al., 2025; Lahaye &amp; Robic, 2007). </w:t>
      </w:r>
      <w:proofErr w:type="spellStart"/>
      <w:r w:rsidRPr="007F65EC">
        <w:t>Ulvans</w:t>
      </w:r>
      <w:proofErr w:type="spellEnd"/>
      <w:r w:rsidRPr="007F65EC">
        <w:t xml:space="preserve"> have shown diverse bio-activities including antioxidant, immunomodulatory, anti-inflammatory and antihyperlipidemic effects (Li et al., 2018; Alves et al., 2013; Qui et al., 2012</w:t>
      </w:r>
      <w:r w:rsidRPr="007F65EC">
        <w:rPr>
          <w:b/>
        </w:rPr>
        <w:t>).</w:t>
      </w:r>
    </w:p>
    <w:p w14:paraId="5B0F4F87" w14:textId="77777777" w:rsidR="007F65EC" w:rsidRDefault="00C77D1B" w:rsidP="009D665E">
      <w:pPr>
        <w:pStyle w:val="NormalWeb"/>
        <w:spacing w:line="360" w:lineRule="auto"/>
        <w:jc w:val="both"/>
        <w:rPr>
          <w:rFonts w:ascii="Arial" w:hAnsi="Arial" w:cs="Arial"/>
          <w:b/>
        </w:rPr>
      </w:pPr>
      <w:r>
        <w:rPr>
          <w:rFonts w:ascii="Arial" w:hAnsi="Arial" w:cs="Arial"/>
          <w:b/>
        </w:rPr>
        <w:t>5.</w:t>
      </w:r>
      <w:r w:rsidRPr="007F65EC">
        <w:rPr>
          <w:rFonts w:ascii="Arial" w:hAnsi="Arial" w:cs="Arial"/>
          <w:b/>
        </w:rPr>
        <w:t xml:space="preserve"> MECHANISMS</w:t>
      </w:r>
      <w:r w:rsidR="009D665E" w:rsidRPr="007F65EC">
        <w:rPr>
          <w:rFonts w:ascii="Arial" w:hAnsi="Arial" w:cs="Arial"/>
          <w:b/>
        </w:rPr>
        <w:t xml:space="preserve"> OF ACTION: MODULATION OF THE GUT-METABOLIC AXIS</w:t>
      </w:r>
    </w:p>
    <w:p w14:paraId="756ACD33" w14:textId="08986BD4" w:rsidR="00D42D07" w:rsidRDefault="00D42D07" w:rsidP="00D42D07">
      <w:pPr>
        <w:pStyle w:val="NormalWeb"/>
        <w:spacing w:line="360" w:lineRule="auto"/>
        <w:ind w:firstLine="360"/>
        <w:jc w:val="both"/>
      </w:pPr>
      <w:proofErr w:type="spellStart"/>
      <w:r w:rsidRPr="00D42D07">
        <w:t>Fucoidans</w:t>
      </w:r>
      <w:proofErr w:type="spellEnd"/>
      <w:r w:rsidRPr="00D42D07">
        <w:t xml:space="preserve"> and </w:t>
      </w:r>
      <w:proofErr w:type="spellStart"/>
      <w:r w:rsidRPr="00D42D07">
        <w:t>ulvans</w:t>
      </w:r>
      <w:proofErr w:type="spellEnd"/>
      <w:r w:rsidRPr="00D42D07">
        <w:t xml:space="preserve"> employ a multi-pronged approach to combat systemic inflammation and insulin resistance, acting both indirectly through the modulation of the gut microbiota and directly on host cells and </w:t>
      </w:r>
      <w:r w:rsidR="0001179D" w:rsidRPr="00D42D07">
        <w:t>signalling</w:t>
      </w:r>
      <w:r w:rsidRPr="00D42D07">
        <w:t xml:space="preserve"> pathways.</w:t>
      </w:r>
    </w:p>
    <w:p w14:paraId="1D4F1198" w14:textId="77777777" w:rsidR="00D42D07" w:rsidRDefault="00D42D07" w:rsidP="00D42D07">
      <w:pPr>
        <w:pStyle w:val="NormalWeb"/>
        <w:spacing w:line="360" w:lineRule="auto"/>
        <w:jc w:val="both"/>
        <w:rPr>
          <w:rFonts w:ascii="Arial" w:hAnsi="Arial" w:cs="Arial"/>
          <w:b/>
        </w:rPr>
      </w:pPr>
      <w:r>
        <w:rPr>
          <w:rFonts w:ascii="Arial" w:hAnsi="Arial" w:cs="Arial"/>
          <w:b/>
        </w:rPr>
        <w:t>5</w:t>
      </w:r>
      <w:r w:rsidRPr="00D42D07">
        <w:rPr>
          <w:rFonts w:ascii="Arial" w:hAnsi="Arial" w:cs="Arial"/>
          <w:b/>
        </w:rPr>
        <w:t>.1. Prebiotic Effects and Gut Microbiota Modulation</w:t>
      </w:r>
    </w:p>
    <w:p w14:paraId="7D62B5A1" w14:textId="77777777" w:rsidR="00D42D07" w:rsidRPr="00D42D07" w:rsidRDefault="00D42D07" w:rsidP="00D42D07">
      <w:pPr>
        <w:pStyle w:val="NormalWeb"/>
        <w:spacing w:line="360" w:lineRule="auto"/>
        <w:ind w:firstLine="720"/>
        <w:jc w:val="both"/>
        <w:rPr>
          <w:b/>
        </w:rPr>
      </w:pPr>
      <w:r w:rsidRPr="00D42D07">
        <w:t xml:space="preserve">A predominant feature of both </w:t>
      </w:r>
      <w:proofErr w:type="spellStart"/>
      <w:r w:rsidRPr="00D42D07">
        <w:t>fucoidans</w:t>
      </w:r>
      <w:proofErr w:type="spellEnd"/>
      <w:r w:rsidRPr="00D42D07">
        <w:t xml:space="preserve"> and </w:t>
      </w:r>
      <w:proofErr w:type="spellStart"/>
      <w:r w:rsidRPr="00D42D07">
        <w:t>ulvans</w:t>
      </w:r>
      <w:proofErr w:type="spellEnd"/>
      <w:r w:rsidRPr="00D42D07">
        <w:t xml:space="preserve"> is that they are resistant to digestion by human GI enzymes which enables them to largely transit the colon intact, acting as a fermentation substrate for the resident gut microbiota (Sun et</w:t>
      </w:r>
      <w:r>
        <w:t xml:space="preserve"> </w:t>
      </w:r>
      <w:r w:rsidRPr="00D42D07">
        <w:t>al., 2025; O’Sullivan et</w:t>
      </w:r>
      <w:r>
        <w:t xml:space="preserve"> </w:t>
      </w:r>
      <w:r w:rsidRPr="00D42D07">
        <w:t>al., 2010) This prebiotic effect has been extensively explored using in vitro and in vivo approaches</w:t>
      </w:r>
      <w:r w:rsidRPr="00D42D07">
        <w:rPr>
          <w:b/>
        </w:rPr>
        <w:t>.</w:t>
      </w:r>
    </w:p>
    <w:p w14:paraId="4EDED148" w14:textId="74FBD0ED" w:rsidR="00D42D07" w:rsidRPr="00D42D07" w:rsidRDefault="00D42D07" w:rsidP="00D42D07">
      <w:pPr>
        <w:pStyle w:val="NormalWeb"/>
        <w:spacing w:line="360" w:lineRule="auto"/>
        <w:jc w:val="both"/>
      </w:pPr>
      <w:r w:rsidRPr="00D42D07">
        <w:rPr>
          <w:b/>
        </w:rPr>
        <w:t>Fucoidan studies</w:t>
      </w:r>
      <w:r w:rsidRPr="00D42D07">
        <w:t xml:space="preserve">: Several researches showed prebiotic nature of fucoidans. In vitro fermentation trials with human </w:t>
      </w:r>
      <w:r w:rsidR="004F5EB6" w:rsidRPr="00D42D07">
        <w:t>faecal</w:t>
      </w:r>
      <w:r w:rsidRPr="00D42D07">
        <w:t xml:space="preserve"> </w:t>
      </w:r>
      <w:r w:rsidR="004F5EB6" w:rsidRPr="00D42D07">
        <w:t>inoculum</w:t>
      </w:r>
      <w:r w:rsidRPr="00D42D07">
        <w:t xml:space="preserve"> confirmed that fucoidans are fermentable by human gut bacteria and produce SCFAs, mainly acetate and propionate (Zhou et al., 2025; Zhou et al., 2010). These findings have also been supported by animal studies. Shang et al. (2016) revealedthat-2A</w:t>
      </w:r>
      <w:proofErr w:type="gramStart"/>
      <w:r w:rsidRPr="00D42D07">
        <w:t>,3C</w:t>
      </w:r>
      <w:proofErr w:type="gramEnd"/>
      <w:r w:rsidRPr="00D42D07">
        <w:t>-Bra supplementation with fucoidan from </w:t>
      </w:r>
      <w:r w:rsidRPr="00D42D07">
        <w:rPr>
          <w:i/>
        </w:rPr>
        <w:t>Laminaria japonica</w:t>
      </w:r>
      <w:r w:rsidRPr="00D42D07">
        <w:t xml:space="preserve"> and </w:t>
      </w:r>
      <w:r w:rsidRPr="00D42D07">
        <w:rPr>
          <w:i/>
        </w:rPr>
        <w:t>Ascophyllum nodosum</w:t>
      </w:r>
      <w:r w:rsidRPr="00D42D07">
        <w:t xml:space="preserve"> strikingly stimulated the abundance of beneficial bacteria(Lactobacillus</w:t>
      </w:r>
      <w:r>
        <w:t xml:space="preserve"> </w:t>
      </w:r>
      <w:r w:rsidRPr="00D42D07">
        <w:t>and</w:t>
      </w:r>
      <w:r>
        <w:t xml:space="preserve"> </w:t>
      </w:r>
      <w:r w:rsidRPr="00D42D07">
        <w:t xml:space="preserve">members of </w:t>
      </w:r>
      <w:proofErr w:type="spellStart"/>
      <w:r w:rsidRPr="00D42D07">
        <w:t>Ruminococcaceaefamily</w:t>
      </w:r>
      <w:proofErr w:type="spellEnd"/>
      <w:r w:rsidRPr="00D42D07">
        <w:t xml:space="preserve">) in mice. In another study, supplementation of high-fat diet-fed mice with fucoidan led to an increased presence of </w:t>
      </w:r>
      <w:proofErr w:type="spellStart"/>
      <w:r w:rsidRPr="00D42D07">
        <w:rPr>
          <w:i/>
        </w:rPr>
        <w:t>Akkermansia</w:t>
      </w:r>
      <w:proofErr w:type="spellEnd"/>
      <w:r w:rsidRPr="00D42D07">
        <w:rPr>
          <w:i/>
        </w:rPr>
        <w:t xml:space="preserve"> </w:t>
      </w:r>
      <w:proofErr w:type="spellStart"/>
      <w:r w:rsidRPr="00D42D07">
        <w:rPr>
          <w:i/>
        </w:rPr>
        <w:t>muciniphila</w:t>
      </w:r>
      <w:proofErr w:type="spellEnd"/>
      <w:r w:rsidRPr="00D42D07">
        <w:t xml:space="preserve"> in their gut microbiome which is a mucus utilizing bacterium strongly associated with better metabolic health and reduced inflammation (Zhang et</w:t>
      </w:r>
      <w:r>
        <w:t xml:space="preserve"> </w:t>
      </w:r>
      <w:r w:rsidRPr="00D42D07">
        <w:t>al., 2022; Shang et al., 2017).</w:t>
      </w:r>
      <w:r w:rsidR="00CB18B2" w:rsidRPr="00CB18B2">
        <w:t xml:space="preserve"> Fucoidan has also been shown to ameliorate </w:t>
      </w:r>
      <w:proofErr w:type="spellStart"/>
      <w:r w:rsidR="00CB18B2" w:rsidRPr="00CB18B2">
        <w:t>dyslipidemia</w:t>
      </w:r>
      <w:proofErr w:type="spellEnd"/>
      <w:r w:rsidR="00CB18B2" w:rsidRPr="00CB18B2">
        <w:t xml:space="preserve"> and modulate the gut microbiota by increasing beneficial bacteria like </w:t>
      </w:r>
      <w:r w:rsidR="00CB18B2" w:rsidRPr="00CB18B2">
        <w:rPr>
          <w:i/>
        </w:rPr>
        <w:t>Bacteroides</w:t>
      </w:r>
      <w:r w:rsidR="00CB18B2" w:rsidRPr="00CB18B2">
        <w:t xml:space="preserve"> and </w:t>
      </w:r>
      <w:r w:rsidR="00CB18B2" w:rsidRPr="00CB18B2">
        <w:rPr>
          <w:i/>
        </w:rPr>
        <w:t>Bifidobacterium</w:t>
      </w:r>
      <w:r w:rsidR="00CB18B2" w:rsidRPr="00CB18B2">
        <w:t xml:space="preserve"> while decreasing harmful bacteria (</w:t>
      </w:r>
      <w:proofErr w:type="spellStart"/>
      <w:r w:rsidR="00CB18B2" w:rsidRPr="00CB18B2">
        <w:t>Limijadi</w:t>
      </w:r>
      <w:proofErr w:type="spellEnd"/>
      <w:r w:rsidR="00CB18B2" w:rsidRPr="00CB18B2">
        <w:t xml:space="preserve"> et al., 2025; Chen et al., 2019; Liu et al., 2018).</w:t>
      </w:r>
      <w:r w:rsidRPr="00D42D07">
        <w:t xml:space="preserve"> Recent reports have documented that fucoidan acts as a modulator of gut </w:t>
      </w:r>
      <w:r w:rsidRPr="00D42D07">
        <w:lastRenderedPageBreak/>
        <w:t>microbiota and has an anti-inflammatory effect in other models, such as inflammatory bowel disease</w:t>
      </w:r>
      <w:r>
        <w:t xml:space="preserve"> (</w:t>
      </w:r>
      <w:r w:rsidRPr="00D42D07">
        <w:t>IBD</w:t>
      </w:r>
      <w:r w:rsidR="00CB18B2">
        <w:t>)</w:t>
      </w:r>
      <w:r w:rsidRPr="00D42D07">
        <w:t xml:space="preserve"> indicating additional therapeutic potential (Li et al., 2024; Zhang et al., 2025).</w:t>
      </w:r>
    </w:p>
    <w:p w14:paraId="550F914B" w14:textId="5796D0F6" w:rsidR="00D42D07" w:rsidRPr="00D42D07" w:rsidRDefault="00D42D07" w:rsidP="00D42D07">
      <w:pPr>
        <w:pStyle w:val="NormalWeb"/>
        <w:spacing w:line="360" w:lineRule="auto"/>
        <w:jc w:val="both"/>
      </w:pPr>
      <w:proofErr w:type="spellStart"/>
      <w:r w:rsidRPr="00D42D07">
        <w:rPr>
          <w:b/>
        </w:rPr>
        <w:t>Ulvan</w:t>
      </w:r>
      <w:proofErr w:type="spellEnd"/>
      <w:r w:rsidRPr="00D42D07">
        <w:rPr>
          <w:b/>
        </w:rPr>
        <w:t>: </w:t>
      </w:r>
      <w:proofErr w:type="spellStart"/>
      <w:r w:rsidRPr="00D42D07">
        <w:t>Ulvans</w:t>
      </w:r>
      <w:proofErr w:type="spellEnd"/>
      <w:r w:rsidRPr="00D42D07">
        <w:t xml:space="preserve"> have been also reported to have strong prebiotic effects. Pratap et al. (2022) found that dietary </w:t>
      </w:r>
      <w:proofErr w:type="spellStart"/>
      <w:r w:rsidRPr="00D42D07">
        <w:t>ulvan</w:t>
      </w:r>
      <w:proofErr w:type="spellEnd"/>
      <w:r w:rsidRPr="00D42D07">
        <w:t xml:space="preserve"> exerted a positive modulation on the gut microbiota in mice and led to an expansion of </w:t>
      </w:r>
      <w:r w:rsidR="004F5EB6" w:rsidRPr="00D42D07">
        <w:t>favourable</w:t>
      </w:r>
      <w:r w:rsidRPr="00D42D07">
        <w:t xml:space="preserve"> genera. In vitro fermentation experiments have demonstrated that </w:t>
      </w:r>
      <w:proofErr w:type="spellStart"/>
      <w:r w:rsidRPr="00D42D07">
        <w:t>ulvan</w:t>
      </w:r>
      <w:proofErr w:type="spellEnd"/>
      <w:r w:rsidRPr="00D42D07">
        <w:t xml:space="preserve"> derived from </w:t>
      </w:r>
      <w:r w:rsidRPr="00D42D07">
        <w:rPr>
          <w:i/>
        </w:rPr>
        <w:t xml:space="preserve">U. </w:t>
      </w:r>
      <w:proofErr w:type="spellStart"/>
      <w:r w:rsidRPr="00D42D07">
        <w:rPr>
          <w:i/>
        </w:rPr>
        <w:t>linza</w:t>
      </w:r>
      <w:proofErr w:type="spellEnd"/>
      <w:r w:rsidRPr="00D42D07">
        <w:t xml:space="preserve"> is fermentable with human </w:t>
      </w:r>
      <w:r w:rsidR="004F5EB6" w:rsidRPr="00D42D07">
        <w:t>faecal</w:t>
      </w:r>
      <w:r w:rsidRPr="00D42D07">
        <w:t xml:space="preserve"> </w:t>
      </w:r>
      <w:proofErr w:type="spellStart"/>
      <w:r w:rsidRPr="00D42D07">
        <w:t>microbiota</w:t>
      </w:r>
      <w:proofErr w:type="spellEnd"/>
      <w:r w:rsidRPr="00D42D07">
        <w:t xml:space="preserve">, resulting in a decline in pH and elevation of SCFA generation as well as increase of the beneficial bacteria (Liang et al., 2024). Reduced levels of type 2 diabetes in mice were alleviated by polysaccharides prepared from </w:t>
      </w:r>
      <w:proofErr w:type="spellStart"/>
      <w:r w:rsidRPr="00CB18B2">
        <w:rPr>
          <w:i/>
        </w:rPr>
        <w:t>Ulva</w:t>
      </w:r>
      <w:proofErr w:type="spellEnd"/>
      <w:r w:rsidRPr="00CB18B2">
        <w:rPr>
          <w:i/>
        </w:rPr>
        <w:t xml:space="preserve"> </w:t>
      </w:r>
      <w:proofErr w:type="spellStart"/>
      <w:r w:rsidRPr="00CB18B2">
        <w:rPr>
          <w:i/>
        </w:rPr>
        <w:t>lactuca</w:t>
      </w:r>
      <w:proofErr w:type="spellEnd"/>
      <w:r w:rsidRPr="00D42D07">
        <w:t xml:space="preserve">, possibly due to a modulation of the gut microbiota and/or an improvement in metabolic parameters (Chen et al., 2022; Ruan et al., 2023). Seong et al. (2019) investigated the prebiotic effect of </w:t>
      </w:r>
      <w:proofErr w:type="spellStart"/>
      <w:r w:rsidRPr="00D42D07">
        <w:t>laminaran</w:t>
      </w:r>
      <w:proofErr w:type="spellEnd"/>
      <w:r w:rsidRPr="00D42D07">
        <w:t xml:space="preserve">, </w:t>
      </w:r>
      <w:proofErr w:type="spellStart"/>
      <w:r w:rsidRPr="00D42D07">
        <w:t>porphyran</w:t>
      </w:r>
      <w:proofErr w:type="spellEnd"/>
      <w:r w:rsidRPr="00D42D07">
        <w:t xml:space="preserve">, and </w:t>
      </w:r>
      <w:proofErr w:type="spellStart"/>
      <w:r w:rsidRPr="00D42D07">
        <w:t>ulvan</w:t>
      </w:r>
      <w:proofErr w:type="spellEnd"/>
      <w:r w:rsidRPr="00D42D07">
        <w:t xml:space="preserve"> utilizing in vitro human </w:t>
      </w:r>
      <w:r w:rsidR="004F5EB6" w:rsidRPr="00D42D07">
        <w:t>faecal</w:t>
      </w:r>
      <w:r w:rsidRPr="00D42D07">
        <w:t xml:space="preserve"> fermentation, and </w:t>
      </w:r>
      <w:proofErr w:type="spellStart"/>
      <w:r w:rsidRPr="00D42D07">
        <w:t>ulvan</w:t>
      </w:r>
      <w:proofErr w:type="spellEnd"/>
      <w:r w:rsidRPr="00D42D07">
        <w:t xml:space="preserve"> was identified to have significant beneficial effects on the human gut </w:t>
      </w:r>
      <w:proofErr w:type="spellStart"/>
      <w:r w:rsidRPr="00D42D07">
        <w:t>microbiota</w:t>
      </w:r>
      <w:proofErr w:type="spellEnd"/>
      <w:r w:rsidRPr="00D42D07">
        <w:t xml:space="preserve"> besides </w:t>
      </w:r>
      <w:proofErr w:type="spellStart"/>
      <w:r w:rsidRPr="00D42D07">
        <w:t>laminaran</w:t>
      </w:r>
      <w:proofErr w:type="spellEnd"/>
      <w:r w:rsidRPr="00D42D07">
        <w:t>.</w:t>
      </w:r>
    </w:p>
    <w:p w14:paraId="5145D7CA" w14:textId="77777777" w:rsidR="00D42D07" w:rsidRDefault="00D42D07" w:rsidP="00D42D07">
      <w:pPr>
        <w:pStyle w:val="NormalWeb"/>
        <w:spacing w:line="360" w:lineRule="auto"/>
        <w:ind w:firstLine="720"/>
        <w:jc w:val="both"/>
      </w:pPr>
      <w:r w:rsidRPr="00D42D07">
        <w:t xml:space="preserve">Although two polysaccharides are capable of being prebiotics, their high sulphate content is a potential threat contributing to excessive H₂S production by </w:t>
      </w:r>
      <w:proofErr w:type="spellStart"/>
      <w:r w:rsidRPr="00D42D07">
        <w:t>sulphydrate</w:t>
      </w:r>
      <w:proofErr w:type="spellEnd"/>
      <w:r w:rsidRPr="00D42D07">
        <w:t>-reducing bacteria in the gut (Yao et al., 2018</w:t>
      </w:r>
      <w:r w:rsidR="00CB18B2">
        <w:t xml:space="preserve">; </w:t>
      </w:r>
      <w:proofErr w:type="spellStart"/>
      <w:r w:rsidR="00CB18B2">
        <w:t>Gotteland</w:t>
      </w:r>
      <w:proofErr w:type="spellEnd"/>
      <w:r w:rsidR="00CB18B2">
        <w:t xml:space="preserve"> et al., 2020). Thus </w:t>
      </w:r>
      <w:r w:rsidRPr="00D42D07">
        <w:t xml:space="preserve">beneficial physiological responses to H₂S signal formation and function are complex and concentration dependent; indeed high levels of H₂S may also be involved in contributing to colonic disease via impaired energy metabolism in colonocytes, as well as </w:t>
      </w:r>
      <w:r w:rsidR="001A5B5D" w:rsidRPr="00D42D07">
        <w:t>down regulation</w:t>
      </w:r>
      <w:r w:rsidRPr="00D42D07">
        <w:t xml:space="preserve"> of butyrate oxidation (</w:t>
      </w:r>
      <w:proofErr w:type="spellStart"/>
      <w:r w:rsidRPr="00D42D07">
        <w:t>Blachier</w:t>
      </w:r>
      <w:proofErr w:type="spellEnd"/>
      <w:r w:rsidRPr="00D42D07">
        <w:t xml:space="preserve"> et al., 2021). This aspect is relevant in the use of these polysaccharides, and particularly </w:t>
      </w:r>
      <w:proofErr w:type="spellStart"/>
      <w:r w:rsidRPr="00D42D07">
        <w:t>ulvans</w:t>
      </w:r>
      <w:proofErr w:type="spellEnd"/>
      <w:r w:rsidRPr="00D42D07">
        <w:t xml:space="preserve"> that contain a major part of sulphate, which can be partially dissimilated into H2S by gut microbiome (Cui et al., 2024).</w:t>
      </w:r>
    </w:p>
    <w:p w14:paraId="7F744FA6" w14:textId="77777777" w:rsidR="00D42D07" w:rsidRDefault="00D42D07" w:rsidP="00D42D07">
      <w:pPr>
        <w:pStyle w:val="NormalWeb"/>
        <w:spacing w:line="360" w:lineRule="auto"/>
        <w:ind w:firstLine="720"/>
        <w:jc w:val="center"/>
      </w:pPr>
      <w:r>
        <w:rPr>
          <w:noProof/>
        </w:rPr>
        <w:lastRenderedPageBreak/>
        <w:drawing>
          <wp:inline distT="0" distB="0" distL="0" distR="0" wp14:anchorId="21F13A1B" wp14:editId="726EDBCA">
            <wp:extent cx="5229225" cy="3199912"/>
            <wp:effectExtent l="0" t="0" r="0" b="635"/>
            <wp:docPr id="3" name="Picture 3" descr="C:\Users\DELL\Downloads\Figure1_Medical_Illustration.png"/>
            <wp:cNvGraphicFramePr/>
            <a:graphic xmlns:a="http://schemas.openxmlformats.org/drawingml/2006/main">
              <a:graphicData uri="http://schemas.openxmlformats.org/drawingml/2006/picture">
                <pic:pic xmlns:pic="http://schemas.openxmlformats.org/drawingml/2006/picture">
                  <pic:nvPicPr>
                    <pic:cNvPr id="3" name="Picture 3" descr="C:\Users\DELL\Downloads\Figure1_Medical_Illustration.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6909" cy="3198495"/>
                    </a:xfrm>
                    <a:prstGeom prst="rect">
                      <a:avLst/>
                    </a:prstGeom>
                    <a:noFill/>
                    <a:ln>
                      <a:noFill/>
                    </a:ln>
                  </pic:spPr>
                </pic:pic>
              </a:graphicData>
            </a:graphic>
          </wp:inline>
        </w:drawing>
      </w:r>
    </w:p>
    <w:p w14:paraId="2C208965" w14:textId="3C5B6DCD" w:rsidR="00A8268C" w:rsidRDefault="00A8268C" w:rsidP="00A8268C">
      <w:pPr>
        <w:pStyle w:val="NormalWeb"/>
        <w:ind w:firstLine="720"/>
        <w:jc w:val="center"/>
        <w:rPr>
          <w:sz w:val="20"/>
          <w:szCs w:val="20"/>
        </w:rPr>
      </w:pPr>
      <w:r w:rsidRPr="00A8268C">
        <w:rPr>
          <w:sz w:val="20"/>
          <w:szCs w:val="20"/>
        </w:rPr>
        <w:t xml:space="preserve">Figure </w:t>
      </w:r>
      <w:r w:rsidR="00B72373">
        <w:rPr>
          <w:sz w:val="20"/>
          <w:szCs w:val="20"/>
        </w:rPr>
        <w:t>2</w:t>
      </w:r>
      <w:r w:rsidRPr="00A8268C">
        <w:rPr>
          <w:sz w:val="20"/>
          <w:szCs w:val="20"/>
        </w:rPr>
        <w:t xml:space="preserve">. Mechanisms of </w:t>
      </w:r>
      <w:proofErr w:type="spellStart"/>
      <w:r w:rsidRPr="00A8268C">
        <w:rPr>
          <w:sz w:val="20"/>
          <w:szCs w:val="20"/>
        </w:rPr>
        <w:t>fucoidan</w:t>
      </w:r>
      <w:proofErr w:type="spellEnd"/>
      <w:r w:rsidRPr="00A8268C">
        <w:rPr>
          <w:sz w:val="20"/>
          <w:szCs w:val="20"/>
        </w:rPr>
        <w:t xml:space="preserve"> and </w:t>
      </w:r>
      <w:proofErr w:type="spellStart"/>
      <w:r w:rsidRPr="00A8268C">
        <w:rPr>
          <w:sz w:val="20"/>
          <w:szCs w:val="20"/>
        </w:rPr>
        <w:t>ulvan</w:t>
      </w:r>
      <w:proofErr w:type="spellEnd"/>
      <w:r w:rsidRPr="00A8268C">
        <w:rPr>
          <w:sz w:val="20"/>
          <w:szCs w:val="20"/>
        </w:rPr>
        <w:t xml:space="preserve"> action via the gut-metabolic axis.</w:t>
      </w:r>
    </w:p>
    <w:p w14:paraId="7743A55B" w14:textId="77777777" w:rsidR="00A8268C" w:rsidRDefault="00A8268C" w:rsidP="00A8268C">
      <w:pPr>
        <w:pStyle w:val="NormalWeb"/>
        <w:jc w:val="both"/>
      </w:pPr>
      <w:r w:rsidRPr="00A8268C">
        <w:rPr>
          <w:sz w:val="20"/>
          <w:szCs w:val="20"/>
        </w:rPr>
        <w:t>Algal polysaccharides (</w:t>
      </w:r>
      <w:proofErr w:type="spellStart"/>
      <w:r w:rsidRPr="00A8268C">
        <w:rPr>
          <w:sz w:val="20"/>
          <w:szCs w:val="20"/>
        </w:rPr>
        <w:t>fucoidan</w:t>
      </w:r>
      <w:proofErr w:type="spellEnd"/>
      <w:r w:rsidRPr="00A8268C">
        <w:rPr>
          <w:sz w:val="20"/>
          <w:szCs w:val="20"/>
        </w:rPr>
        <w:t xml:space="preserve">, </w:t>
      </w:r>
      <w:proofErr w:type="spellStart"/>
      <w:r w:rsidRPr="00A8268C">
        <w:rPr>
          <w:sz w:val="20"/>
          <w:szCs w:val="20"/>
        </w:rPr>
        <w:t>ulvan</w:t>
      </w:r>
      <w:proofErr w:type="spellEnd"/>
      <w:r w:rsidRPr="00A8268C">
        <w:rPr>
          <w:sz w:val="20"/>
          <w:szCs w:val="20"/>
        </w:rPr>
        <w:t xml:space="preserve">) promote beneficial gut </w:t>
      </w:r>
      <w:proofErr w:type="spellStart"/>
      <w:r w:rsidRPr="00A8268C">
        <w:rPr>
          <w:sz w:val="20"/>
          <w:szCs w:val="20"/>
        </w:rPr>
        <w:t>microbiota</w:t>
      </w:r>
      <w:proofErr w:type="spellEnd"/>
      <w:r w:rsidRPr="00A8268C">
        <w:rPr>
          <w:sz w:val="20"/>
          <w:szCs w:val="20"/>
        </w:rPr>
        <w:t xml:space="preserve"> (</w:t>
      </w:r>
      <w:r w:rsidRPr="00A8268C">
        <w:rPr>
          <w:i/>
          <w:sz w:val="20"/>
          <w:szCs w:val="20"/>
        </w:rPr>
        <w:t xml:space="preserve">Lactobacillus, </w:t>
      </w:r>
      <w:proofErr w:type="spellStart"/>
      <w:r w:rsidRPr="00A8268C">
        <w:rPr>
          <w:i/>
          <w:sz w:val="20"/>
          <w:szCs w:val="20"/>
        </w:rPr>
        <w:t>Bifidobacterium</w:t>
      </w:r>
      <w:proofErr w:type="spellEnd"/>
      <w:r w:rsidRPr="00A8268C">
        <w:rPr>
          <w:sz w:val="20"/>
          <w:szCs w:val="20"/>
        </w:rPr>
        <w:t xml:space="preserve">, </w:t>
      </w:r>
      <w:proofErr w:type="spellStart"/>
      <w:r w:rsidRPr="00A8268C">
        <w:rPr>
          <w:i/>
          <w:sz w:val="20"/>
          <w:szCs w:val="20"/>
        </w:rPr>
        <w:t>Akkermansia</w:t>
      </w:r>
      <w:proofErr w:type="spellEnd"/>
      <w:r w:rsidRPr="00A8268C">
        <w:rPr>
          <w:sz w:val="20"/>
          <w:szCs w:val="20"/>
        </w:rPr>
        <w:t>) and SCFA production (acetate, butyrate, propionate). Enhanced tight junction proteins (</w:t>
      </w:r>
      <w:proofErr w:type="spellStart"/>
      <w:r w:rsidRPr="00A8268C">
        <w:rPr>
          <w:sz w:val="20"/>
          <w:szCs w:val="20"/>
        </w:rPr>
        <w:t>occludin</w:t>
      </w:r>
      <w:proofErr w:type="spellEnd"/>
      <w:r w:rsidRPr="00A8268C">
        <w:rPr>
          <w:sz w:val="20"/>
          <w:szCs w:val="20"/>
        </w:rPr>
        <w:t>, ZO-1) and mucus layer integrity prevent LPS translocation, reducing systemic inflammation (↓TNF-α, ↓IL-6, ↑IL-10). Downstream effects include improved hepatic glucose metabolism, enhanced skeletal muscle insulin sensitivity (GLUT4), and protected pancreatic β-cells</w:t>
      </w:r>
      <w:r w:rsidRPr="00A8268C">
        <w:t>.</w:t>
      </w:r>
    </w:p>
    <w:p w14:paraId="792B80B4" w14:textId="77777777" w:rsidR="006A673B" w:rsidRDefault="006A673B" w:rsidP="00A8268C">
      <w:pPr>
        <w:pStyle w:val="NormalWeb"/>
        <w:jc w:val="both"/>
      </w:pPr>
    </w:p>
    <w:p w14:paraId="14F561EB" w14:textId="77777777" w:rsidR="008A23FD" w:rsidRPr="006A673B" w:rsidRDefault="006A673B" w:rsidP="00A8268C">
      <w:pPr>
        <w:pStyle w:val="NormalWeb"/>
        <w:jc w:val="both"/>
        <w:rPr>
          <w:rFonts w:ascii="Arial" w:hAnsi="Arial" w:cs="Arial"/>
          <w:b/>
        </w:rPr>
      </w:pPr>
      <w:r>
        <w:rPr>
          <w:rFonts w:ascii="Arial" w:hAnsi="Arial" w:cs="Arial"/>
          <w:b/>
        </w:rPr>
        <w:t>5</w:t>
      </w:r>
      <w:r w:rsidR="008A23FD" w:rsidRPr="006A673B">
        <w:rPr>
          <w:rFonts w:ascii="Arial" w:hAnsi="Arial" w:cs="Arial"/>
          <w:b/>
        </w:rPr>
        <w:t>.2. Enhancement of Intestinal Barrier Function</w:t>
      </w:r>
    </w:p>
    <w:p w14:paraId="24BA36D6" w14:textId="77777777" w:rsidR="009D665E" w:rsidRDefault="009D665E" w:rsidP="009D665E">
      <w:pPr>
        <w:pStyle w:val="NormalWeb"/>
        <w:spacing w:line="360" w:lineRule="auto"/>
        <w:ind w:firstLine="720"/>
        <w:jc w:val="both"/>
      </w:pPr>
      <w:r>
        <w:t xml:space="preserve">In addition, </w:t>
      </w:r>
      <w:proofErr w:type="spellStart"/>
      <w:r>
        <w:t>fucoidans</w:t>
      </w:r>
      <w:proofErr w:type="spellEnd"/>
      <w:r>
        <w:t xml:space="preserve"> and </w:t>
      </w:r>
      <w:proofErr w:type="spellStart"/>
      <w:r>
        <w:t>ulvans</w:t>
      </w:r>
      <w:proofErr w:type="spellEnd"/>
      <w:r>
        <w:t xml:space="preserve"> are responsible for increasing the growth of SCFA-producing bacteria, which supports the reinforcement of the intestinal barrier. The higher production of butyrate provides necessary energy to colonocytes, augments their performance and induces the expression of tight junction proteins such as </w:t>
      </w:r>
      <w:proofErr w:type="spellStart"/>
      <w:r>
        <w:t>occludin</w:t>
      </w:r>
      <w:proofErr w:type="spellEnd"/>
      <w:r>
        <w:t xml:space="preserve"> and ZO-1 (Liu etal.,2024; Caetano &amp;Castelucci,2022). This reinforcement of the physical barrier decreases barrier permeability, which limits passage of LPS and other pro-inflammatory molecules across the luminal-to-</w:t>
      </w:r>
      <w:proofErr w:type="spellStart"/>
      <w:r>
        <w:t>serosal</w:t>
      </w:r>
      <w:proofErr w:type="spellEnd"/>
      <w:r>
        <w:t xml:space="preserve"> side preventing metabolic endotoxemia (Ye et al., 2024).</w:t>
      </w:r>
    </w:p>
    <w:p w14:paraId="16D667A4" w14:textId="1A3CFBC1" w:rsidR="006A673B" w:rsidRDefault="009D665E" w:rsidP="00AE3A89">
      <w:pPr>
        <w:pStyle w:val="NormalWeb"/>
        <w:spacing w:line="360" w:lineRule="auto"/>
        <w:ind w:firstLine="720"/>
        <w:jc w:val="both"/>
      </w:pPr>
      <w:r>
        <w:t xml:space="preserve">Fucoidan may have a direct beneficial effect on the intestine barrier. Zheng et al. (2025) reported that </w:t>
      </w:r>
      <w:proofErr w:type="spellStart"/>
      <w:r w:rsidRPr="001A5B5D">
        <w:rPr>
          <w:i/>
        </w:rPr>
        <w:t>Undaria</w:t>
      </w:r>
      <w:proofErr w:type="spellEnd"/>
      <w:r w:rsidRPr="001A5B5D">
        <w:rPr>
          <w:i/>
        </w:rPr>
        <w:t xml:space="preserve"> </w:t>
      </w:r>
      <w:proofErr w:type="spellStart"/>
      <w:r w:rsidRPr="001A5B5D">
        <w:rPr>
          <w:i/>
        </w:rPr>
        <w:t>pinnatifida</w:t>
      </w:r>
      <w:proofErr w:type="spellEnd"/>
      <w:r>
        <w:t xml:space="preserve"> </w:t>
      </w:r>
      <w:proofErr w:type="spellStart"/>
      <w:r>
        <w:t>fucoidan</w:t>
      </w:r>
      <w:proofErr w:type="spellEnd"/>
      <w:r>
        <w:t xml:space="preserve"> ameliorated </w:t>
      </w:r>
      <w:proofErr w:type="spellStart"/>
      <w:r>
        <w:t>fiber</w:t>
      </w:r>
      <w:proofErr w:type="spellEnd"/>
      <w:r>
        <w:t xml:space="preserve"> deficiency-exacerbating colitis through the inhibition of MAPK/NF-</w:t>
      </w:r>
      <w:proofErr w:type="spellStart"/>
      <w:r>
        <w:t>κB</w:t>
      </w:r>
      <w:proofErr w:type="spellEnd"/>
      <w:r>
        <w:t xml:space="preserve">-associated gut barrier damage. Also noteworthy is the expansion of </w:t>
      </w:r>
      <w:r w:rsidRPr="001A5B5D">
        <w:rPr>
          <w:i/>
        </w:rPr>
        <w:t xml:space="preserve">A. </w:t>
      </w:r>
      <w:proofErr w:type="spellStart"/>
      <w:r w:rsidRPr="001A5B5D">
        <w:rPr>
          <w:i/>
        </w:rPr>
        <w:t>muciniphila</w:t>
      </w:r>
      <w:proofErr w:type="spellEnd"/>
      <w:r>
        <w:t xml:space="preserve">, further supporting a beneficial effect of fucoidan on gut barrier health, as this species has been implicated in maintaining the mucus </w:t>
      </w:r>
      <w:r>
        <w:lastRenderedPageBreak/>
        <w:t xml:space="preserve">layer, which is part of the intestinal barrier (Shang et al., 2017; Everard et al., 2013). Meanwhile, the </w:t>
      </w:r>
      <w:proofErr w:type="spellStart"/>
      <w:r>
        <w:t>ulvan</w:t>
      </w:r>
      <w:proofErr w:type="spellEnd"/>
      <w:r>
        <w:t xml:space="preserve"> polysaccharides have been found to ameliorate the gut barrier and regulate the gut microbiota in mice for constipation treatment (Liu et al., 2025).</w:t>
      </w:r>
      <w:r w:rsidR="001808C9" w:rsidRPr="001808C9">
        <w:t xml:space="preserve"> It should be noted, however, that most evidence for direct barrier-protective effects comes from animal models of induced colitis or high-fat diet feeding, and it remains unclear whether these effects are primarily a consequence of </w:t>
      </w:r>
      <w:proofErr w:type="spellStart"/>
      <w:r w:rsidR="001808C9" w:rsidRPr="001808C9">
        <w:t>microbiota</w:t>
      </w:r>
      <w:proofErr w:type="spellEnd"/>
      <w:r w:rsidR="001808C9" w:rsidRPr="001808C9">
        <w:t xml:space="preserve"> modulation or a truly independent, direct action on epithelial cells. Distinguishing between these mechanisms is an important goal for future mechanistic studies.</w:t>
      </w:r>
    </w:p>
    <w:p w14:paraId="3A52C563" w14:textId="77777777" w:rsidR="009D665E" w:rsidRDefault="009D665E" w:rsidP="009D665E">
      <w:pPr>
        <w:pStyle w:val="NormalWeb"/>
        <w:spacing w:line="360" w:lineRule="auto"/>
        <w:jc w:val="both"/>
        <w:rPr>
          <w:rFonts w:ascii="Arial" w:hAnsi="Arial" w:cs="Arial"/>
          <w:b/>
        </w:rPr>
      </w:pPr>
      <w:r>
        <w:rPr>
          <w:rFonts w:ascii="Arial" w:hAnsi="Arial" w:cs="Arial"/>
          <w:b/>
        </w:rPr>
        <w:t>5</w:t>
      </w:r>
      <w:r w:rsidRPr="009D665E">
        <w:rPr>
          <w:rFonts w:ascii="Arial" w:hAnsi="Arial" w:cs="Arial"/>
          <w:b/>
        </w:rPr>
        <w:t>.3. Direct Anti-inflammatory Effects</w:t>
      </w:r>
    </w:p>
    <w:p w14:paraId="146B3365" w14:textId="77777777" w:rsidR="00E03EDF" w:rsidRDefault="009D665E" w:rsidP="00E03EDF">
      <w:pPr>
        <w:pStyle w:val="NormalWeb"/>
        <w:spacing w:line="360" w:lineRule="auto"/>
        <w:ind w:firstLine="720"/>
        <w:jc w:val="both"/>
      </w:pPr>
      <w:r w:rsidRPr="009D665E">
        <w:t>In addition to their prebiotic properties, </w:t>
      </w:r>
      <w:proofErr w:type="spellStart"/>
      <w:r w:rsidRPr="009D665E">
        <w:t>fucoidans</w:t>
      </w:r>
      <w:proofErr w:type="spellEnd"/>
      <w:r w:rsidRPr="009D665E">
        <w:t xml:space="preserve"> and </w:t>
      </w:r>
      <w:proofErr w:type="spellStart"/>
      <w:r w:rsidRPr="009D665E">
        <w:t>ulvans</w:t>
      </w:r>
      <w:proofErr w:type="spellEnd"/>
      <w:r w:rsidRPr="009D665E">
        <w:t xml:space="preserve"> might have direct immunomodulatory effects such as the interaction with different immune cells of the host and the control of i</w:t>
      </w:r>
      <w:r>
        <w:t>mportant inflammatory pathways.</w:t>
      </w:r>
    </w:p>
    <w:p w14:paraId="6F9F67A8" w14:textId="77777777" w:rsidR="009D665E" w:rsidRPr="009D665E" w:rsidRDefault="009D665E" w:rsidP="00E03EDF">
      <w:pPr>
        <w:pStyle w:val="NormalWeb"/>
        <w:spacing w:line="360" w:lineRule="auto"/>
        <w:jc w:val="both"/>
      </w:pPr>
      <w:r w:rsidRPr="009D665E">
        <w:rPr>
          <w:b/>
        </w:rPr>
        <w:t>Fucoidan:</w:t>
      </w:r>
      <w:r w:rsidRPr="009D665E">
        <w:t xml:space="preserve"> Anti-inflammatory effects of fucoidan are well published. Park et al.</w:t>
      </w:r>
      <w:r w:rsidR="001A5B5D">
        <w:t>(2011) demonstrated that</w:t>
      </w:r>
      <w:r w:rsidRPr="009D665E">
        <w:t xml:space="preserve"> Fucoidan from </w:t>
      </w:r>
      <w:r w:rsidRPr="001A5B5D">
        <w:rPr>
          <w:i/>
        </w:rPr>
        <w:t>Fucus vesiculosus</w:t>
      </w:r>
      <w:r w:rsidR="001A5B5D">
        <w:t xml:space="preserve"> </w:t>
      </w:r>
      <w:r w:rsidRPr="009D665E">
        <w:t>reduce</w:t>
      </w:r>
      <w:r w:rsidR="001A5B5D">
        <w:t>d</w:t>
      </w:r>
      <w:r w:rsidRPr="009D665E">
        <w:t xml:space="preserve"> the expression of pro</w:t>
      </w:r>
      <w:r w:rsidR="001A5B5D">
        <w:t>-</w:t>
      </w:r>
      <w:r w:rsidRPr="009D665E">
        <w:t>inflammatory mediators, such as nitric oxide (NO), prostaglandin E2 (PGE2), TNF-α and interleukin 1 beta (IL-1β) in LPS-stimulated </w:t>
      </w:r>
      <w:r w:rsidR="001A5B5D">
        <w:t xml:space="preserve">BV2 microglia cells </w:t>
      </w:r>
      <w:r w:rsidRPr="009D665E">
        <w:t>. This effect was associated with the inhibition of NF-</w:t>
      </w:r>
      <w:proofErr w:type="spellStart"/>
      <w:r w:rsidRPr="009D665E">
        <w:t>κB</w:t>
      </w:r>
      <w:proofErr w:type="spellEnd"/>
      <w:r w:rsidRPr="009D665E">
        <w:t xml:space="preserve"> activation, and reduction of extracellular signal-regulated kinase (ERK), c-Jun N-terminal kinase (JNK) and p38 mitogen-activated protein kinases (MAPK) phosphorylation. Fucoidan has also been reported to block the attachment of LPS onto TLR4 and hence, limit the triggering of inflammatory </w:t>
      </w:r>
      <w:proofErr w:type="spellStart"/>
      <w:r w:rsidRPr="009D665E">
        <w:t>signaling</w:t>
      </w:r>
      <w:proofErr w:type="spellEnd"/>
      <w:r w:rsidRPr="009D665E">
        <w:t xml:space="preserve"> (Qin et</w:t>
      </w:r>
      <w:r w:rsidR="001A5B5D">
        <w:t xml:space="preserve"> </w:t>
      </w:r>
      <w:r w:rsidRPr="009D665E">
        <w:t xml:space="preserve">al., 2025; </w:t>
      </w:r>
      <w:proofErr w:type="spellStart"/>
      <w:r w:rsidRPr="009D665E">
        <w:t>Phull</w:t>
      </w:r>
      <w:proofErr w:type="spellEnd"/>
      <w:r w:rsidRPr="009D665E">
        <w:t xml:space="preserve"> &amp; Kim, 2017). In a recent</w:t>
      </w:r>
      <w:r w:rsidR="001A5B5D">
        <w:t xml:space="preserve"> review</w:t>
      </w:r>
      <w:r w:rsidRPr="009D665E">
        <w:t xml:space="preserve"> by </w:t>
      </w:r>
      <w:proofErr w:type="spellStart"/>
      <w:r w:rsidRPr="009D665E">
        <w:t>Apostolova</w:t>
      </w:r>
      <w:proofErr w:type="spellEnd"/>
      <w:r w:rsidRPr="009D665E">
        <w:t xml:space="preserve"> et al. (2020) emphasized the immunomodulatory and anti-inflammatory properties of fucoidans, that inhibit macrophage functions by suppressing inflammatory cytokine production in several disease models. Fucoidan extracted from </w:t>
      </w:r>
      <w:proofErr w:type="spellStart"/>
      <w:r w:rsidRPr="001A5B5D">
        <w:rPr>
          <w:i/>
        </w:rPr>
        <w:t>Sargassum</w:t>
      </w:r>
      <w:proofErr w:type="spellEnd"/>
      <w:r w:rsidRPr="001A5B5D">
        <w:rPr>
          <w:i/>
        </w:rPr>
        <w:t xml:space="preserve"> </w:t>
      </w:r>
      <w:proofErr w:type="spellStart"/>
      <w:r w:rsidRPr="001A5B5D">
        <w:rPr>
          <w:i/>
        </w:rPr>
        <w:t>autumnale</w:t>
      </w:r>
      <w:proofErr w:type="spellEnd"/>
      <w:r w:rsidRPr="009D665E">
        <w:t xml:space="preserve"> was reported to suppress LPS-mediated inflammation in macrophage, by inactivating TLR/NF-</w:t>
      </w:r>
      <w:proofErr w:type="spellStart"/>
      <w:r w:rsidRPr="009D665E">
        <w:t>κB</w:t>
      </w:r>
      <w:proofErr w:type="spellEnd"/>
      <w:r w:rsidRPr="009D665E">
        <w:t xml:space="preserve"> </w:t>
      </w:r>
      <w:proofErr w:type="spellStart"/>
      <w:r w:rsidRPr="009D665E">
        <w:t>signaling</w:t>
      </w:r>
      <w:proofErr w:type="spellEnd"/>
      <w:r w:rsidRPr="009D665E">
        <w:t xml:space="preserve"> pathway (</w:t>
      </w:r>
      <w:proofErr w:type="spellStart"/>
      <w:r w:rsidRPr="009D665E">
        <w:t>Liyanage</w:t>
      </w:r>
      <w:proofErr w:type="spellEnd"/>
      <w:r w:rsidRPr="009D665E">
        <w:t xml:space="preserve"> et al., 2023). Fucoidan was also reported to act against lipid accumulation, oxidative stress, and NF-</w:t>
      </w:r>
      <w:proofErr w:type="spellStart"/>
      <w:r w:rsidRPr="009D665E">
        <w:t>κB</w:t>
      </w:r>
      <w:proofErr w:type="spellEnd"/>
      <w:r w:rsidRPr="009D665E">
        <w:t>-induced inflammation in addition to the PI3K/AKT/N</w:t>
      </w:r>
      <w:r>
        <w:t>rf2 pathway (Chu et al., 2025).</w:t>
      </w:r>
    </w:p>
    <w:p w14:paraId="51587A30" w14:textId="77777777" w:rsidR="009D665E" w:rsidRDefault="009D665E" w:rsidP="009D665E">
      <w:pPr>
        <w:pStyle w:val="NormalWeb"/>
        <w:spacing w:line="360" w:lineRule="auto"/>
        <w:jc w:val="both"/>
      </w:pPr>
      <w:r w:rsidRPr="009D665E">
        <w:rPr>
          <w:b/>
        </w:rPr>
        <w:t>Ulvan:</w:t>
      </w:r>
      <w:r w:rsidRPr="009D665E">
        <w:t xml:space="preserve"> Anti-inflammatory properties are also remarkable for </w:t>
      </w:r>
      <w:proofErr w:type="spellStart"/>
      <w:r w:rsidRPr="009D665E">
        <w:t>ulvans</w:t>
      </w:r>
      <w:proofErr w:type="spellEnd"/>
      <w:r w:rsidRPr="009D665E">
        <w:t xml:space="preserve">. Berri et al. (2017) showed that the </w:t>
      </w:r>
      <w:proofErr w:type="spellStart"/>
      <w:r w:rsidRPr="009D665E">
        <w:t>ulvan</w:t>
      </w:r>
      <w:proofErr w:type="spellEnd"/>
      <w:r w:rsidRPr="009D665E">
        <w:t xml:space="preserve"> derived from </w:t>
      </w:r>
      <w:proofErr w:type="spellStart"/>
      <w:r w:rsidRPr="001A5B5D">
        <w:rPr>
          <w:i/>
        </w:rPr>
        <w:t>Ulva</w:t>
      </w:r>
      <w:proofErr w:type="spellEnd"/>
      <w:r w:rsidRPr="001A5B5D">
        <w:rPr>
          <w:i/>
        </w:rPr>
        <w:t xml:space="preserve"> </w:t>
      </w:r>
      <w:proofErr w:type="spellStart"/>
      <w:r w:rsidRPr="001A5B5D">
        <w:rPr>
          <w:i/>
        </w:rPr>
        <w:t>armoricana</w:t>
      </w:r>
      <w:proofErr w:type="spellEnd"/>
      <w:r w:rsidRPr="009D665E">
        <w:t xml:space="preserve"> activates the PI3K/</w:t>
      </w:r>
      <w:proofErr w:type="spellStart"/>
      <w:r w:rsidRPr="009D665E">
        <w:t>Akt</w:t>
      </w:r>
      <w:proofErr w:type="spellEnd"/>
      <w:r w:rsidRPr="009D665E">
        <w:t xml:space="preserve"> </w:t>
      </w:r>
      <w:proofErr w:type="spellStart"/>
      <w:r w:rsidRPr="009D665E">
        <w:t>signaling</w:t>
      </w:r>
      <w:proofErr w:type="spellEnd"/>
      <w:r w:rsidRPr="009D665E">
        <w:t xml:space="preserve"> pathway through TLR4 in intestinal epithelial cells and then induces cytokines. Crucially, </w:t>
      </w:r>
      <w:proofErr w:type="spellStart"/>
      <w:r w:rsidRPr="009D665E">
        <w:t>ulvan</w:t>
      </w:r>
      <w:proofErr w:type="spellEnd"/>
      <w:r w:rsidRPr="009D665E">
        <w:t xml:space="preserve"> has been described to promote the production of the anti-inflammatory cytokine IL-10 </w:t>
      </w:r>
      <w:r w:rsidRPr="009D665E">
        <w:lastRenderedPageBreak/>
        <w:t>necessary for inhibition of inflammation and tissue repair (</w:t>
      </w:r>
      <w:proofErr w:type="spellStart"/>
      <w:r w:rsidRPr="009D665E">
        <w:t>Kidgell</w:t>
      </w:r>
      <w:proofErr w:type="spellEnd"/>
      <w:r w:rsidRPr="009D665E">
        <w:t xml:space="preserve"> et al., 2019). Molecular mimicry of </w:t>
      </w:r>
      <w:proofErr w:type="spellStart"/>
      <w:r w:rsidRPr="009D665E">
        <w:t>ulvan</w:t>
      </w:r>
      <w:proofErr w:type="spellEnd"/>
      <w:r w:rsidRPr="009D665E">
        <w:t xml:space="preserve"> to mammalian </w:t>
      </w:r>
      <w:proofErr w:type="spellStart"/>
      <w:r w:rsidRPr="009D665E">
        <w:t>glycosaminoglycans</w:t>
      </w:r>
      <w:proofErr w:type="spellEnd"/>
      <w:r w:rsidRPr="009D665E">
        <w:t xml:space="preserve"> might also be responsible for its immunomodulatory effects by binding to pattern recognition and immune regulatory receptors including toll-like (TLR) and scavenger receptors. This glycosaminoglycan-like structure—</w:t>
      </w:r>
      <w:proofErr w:type="spellStart"/>
      <w:r w:rsidRPr="009D665E">
        <w:t>sulphation</w:t>
      </w:r>
      <w:proofErr w:type="spellEnd"/>
      <w:r w:rsidRPr="009D665E">
        <w:t xml:space="preserve"> patterns, </w:t>
      </w:r>
      <w:proofErr w:type="spellStart"/>
      <w:r w:rsidRPr="009D665E">
        <w:t>uronic</w:t>
      </w:r>
      <w:proofErr w:type="spellEnd"/>
      <w:r w:rsidRPr="009D665E">
        <w:t xml:space="preserve"> acid backbones etc.—is implicated in the modification of cytokine response and innate immune responses (Guevara-Torrejón et al., 2025; Son et al., 2024; Lahaye &amp; Robic, 2007).</w:t>
      </w:r>
    </w:p>
    <w:p w14:paraId="4A545B7A" w14:textId="77777777" w:rsidR="00E03EDF" w:rsidRDefault="00E03EDF" w:rsidP="009D665E">
      <w:pPr>
        <w:pStyle w:val="NormalWeb"/>
        <w:spacing w:line="360" w:lineRule="auto"/>
        <w:jc w:val="both"/>
        <w:rPr>
          <w:rFonts w:ascii="Arial" w:hAnsi="Arial" w:cs="Arial"/>
          <w:b/>
        </w:rPr>
      </w:pPr>
      <w:r>
        <w:rPr>
          <w:rFonts w:ascii="Arial" w:hAnsi="Arial" w:cs="Arial"/>
          <w:b/>
        </w:rPr>
        <w:t>5</w:t>
      </w:r>
      <w:r w:rsidRPr="00E03EDF">
        <w:rPr>
          <w:rFonts w:ascii="Arial" w:hAnsi="Arial" w:cs="Arial"/>
          <w:b/>
        </w:rPr>
        <w:t>.4. Improvement of Glucose Homeostasis and Insulin Sensitivity</w:t>
      </w:r>
    </w:p>
    <w:p w14:paraId="21464192" w14:textId="77777777" w:rsidR="00E03EDF" w:rsidRPr="00E03EDF" w:rsidRDefault="00E03EDF" w:rsidP="00E03EDF">
      <w:pPr>
        <w:pStyle w:val="NormalWeb"/>
        <w:spacing w:line="360" w:lineRule="auto"/>
        <w:ind w:firstLine="720"/>
        <w:jc w:val="both"/>
      </w:pPr>
      <w:r w:rsidRPr="00E03EDF">
        <w:t xml:space="preserve">The positive effects of </w:t>
      </w:r>
      <w:proofErr w:type="spellStart"/>
      <w:r w:rsidRPr="00E03EDF">
        <w:t>fucoidans</w:t>
      </w:r>
      <w:proofErr w:type="spellEnd"/>
      <w:r w:rsidRPr="00E03EDF">
        <w:t xml:space="preserve"> and </w:t>
      </w:r>
      <w:proofErr w:type="spellStart"/>
      <w:r w:rsidRPr="00E03EDF">
        <w:t>ulvans</w:t>
      </w:r>
      <w:proofErr w:type="spellEnd"/>
      <w:r w:rsidRPr="00E03EDF">
        <w:t xml:space="preserve"> on the gut metabolic axis lead to better glucose homeostasis and insulin resistance.</w:t>
      </w:r>
      <w:r w:rsidR="001A5B5D" w:rsidRPr="001A5B5D">
        <w:t xml:space="preserve"> The reduction in systemic inflammation alleviates the inflammatory pressure on insulin </w:t>
      </w:r>
      <w:proofErr w:type="spellStart"/>
      <w:r w:rsidR="001A5B5D" w:rsidRPr="001A5B5D">
        <w:t>signaling</w:t>
      </w:r>
      <w:proofErr w:type="spellEnd"/>
      <w:r w:rsidR="001A5B5D" w:rsidRPr="001A5B5D">
        <w:t xml:space="preserve"> pathways in peripheral tissues</w:t>
      </w:r>
      <w:r w:rsidRPr="00E03EDF">
        <w:t>. These polysaccharides also increase SCFAs and gut hormones such as GLP-1, which further promote insulin secretion and action.</w:t>
      </w:r>
    </w:p>
    <w:p w14:paraId="1F4E473F" w14:textId="77777777" w:rsidR="00E03EDF" w:rsidRPr="00E03EDF" w:rsidRDefault="00E03EDF" w:rsidP="00E03EDF">
      <w:pPr>
        <w:pStyle w:val="NormalWeb"/>
        <w:spacing w:line="360" w:lineRule="auto"/>
        <w:jc w:val="both"/>
      </w:pPr>
      <w:r w:rsidRPr="00E03EDF">
        <w:rPr>
          <w:b/>
        </w:rPr>
        <w:t>Fucoidan:</w:t>
      </w:r>
      <w:r w:rsidRPr="00E03EDF">
        <w:t xml:space="preserve"> The ability of fucoidans to mediate glucose metabolism by several pathwa</w:t>
      </w:r>
      <w:r w:rsidR="00A51BA4">
        <w:t>ys has been demonstrated. The fucoidans are found to have the capacity to inhibit</w:t>
      </w:r>
      <w:r w:rsidRPr="00E03EDF">
        <w:t xml:space="preserve"> the carbohydrate digestive enzym</w:t>
      </w:r>
      <w:r w:rsidR="00A51BA4">
        <w:t>es, α-amylase and α-glucosidase.</w:t>
      </w:r>
      <w:r w:rsidRPr="00E03EDF">
        <w:t xml:space="preserve"> The downregulation of these enzymes by fucoidan slows the hydrolysis of complex carbohydrates to glucose in the small intestine and reduces postprandial glucose excursions </w:t>
      </w:r>
      <w:r w:rsidR="00A51BA4" w:rsidRPr="00E03EDF">
        <w:t>(Din</w:t>
      </w:r>
      <w:r w:rsidRPr="00E03EDF">
        <w:t xml:space="preserve"> et al., 2025; </w:t>
      </w:r>
      <w:proofErr w:type="spellStart"/>
      <w:r w:rsidRPr="00E03EDF">
        <w:t>Mabate</w:t>
      </w:r>
      <w:proofErr w:type="spellEnd"/>
      <w:r w:rsidRPr="00E03EDF">
        <w:t xml:space="preserve"> et al., 2021; Wen et al., 2021). Fucoidan is also found to elevate the translocation of GLUT4 to membrane in muscle and adipose cells, resulting in glucose entries from blood (Liu et al., 2025; Sim et al., 2019). Liu et al. (2022) reported fucoidan protects liver, improved the glucose and lipid </w:t>
      </w:r>
      <w:proofErr w:type="spellStart"/>
      <w:r w:rsidRPr="00E03EDF">
        <w:t>antigonistic</w:t>
      </w:r>
      <w:proofErr w:type="spellEnd"/>
      <w:r w:rsidRPr="00E03EDF">
        <w:t xml:space="preserve"> effects in DM mice</w:t>
      </w:r>
      <w:r w:rsidR="001A5B5D" w:rsidRPr="00E03EDF">
        <w:t>, by</w:t>
      </w:r>
      <w:r w:rsidRPr="00E03EDF">
        <w:t xml:space="preserve"> enhancing insulin sensitivity and reducing postprandial blood glucose. In addition, fucoidan has been shown to relieve diabetic skeletal muscle atrophy by reducing insulin resistance and improving disturbances in glucose metabolism (Li et al., 2024). Clinical trial study by Wright et al. (2019) studied the impact of a fucoidan extract on insulin resistance in obese, non-diabetic participants and reported that it did not significantly affect insulin resistance for 90 days which suggests that further investigations are required to identify dosages and target populations.</w:t>
      </w:r>
    </w:p>
    <w:p w14:paraId="19100120" w14:textId="77777777" w:rsidR="00E03EDF" w:rsidRDefault="00E03EDF" w:rsidP="00E03EDF">
      <w:pPr>
        <w:pStyle w:val="NormalWeb"/>
        <w:spacing w:line="360" w:lineRule="auto"/>
        <w:jc w:val="both"/>
      </w:pPr>
      <w:proofErr w:type="spellStart"/>
      <w:r w:rsidRPr="00E03EDF">
        <w:rPr>
          <w:b/>
        </w:rPr>
        <w:t>Ulvan</w:t>
      </w:r>
      <w:proofErr w:type="spellEnd"/>
      <w:r w:rsidRPr="00E03EDF">
        <w:rPr>
          <w:b/>
        </w:rPr>
        <w:t>:</w:t>
      </w:r>
      <w:r w:rsidRPr="00E03EDF">
        <w:t xml:space="preserve"> </w:t>
      </w:r>
      <w:proofErr w:type="spellStart"/>
      <w:r w:rsidRPr="00E03EDF">
        <w:t>Ulvans</w:t>
      </w:r>
      <w:proofErr w:type="spellEnd"/>
      <w:r w:rsidRPr="00E03EDF">
        <w:t xml:space="preserve"> and </w:t>
      </w:r>
      <w:proofErr w:type="spellStart"/>
      <w:r w:rsidRPr="00E03EDF">
        <w:t>ulvan</w:t>
      </w:r>
      <w:proofErr w:type="spellEnd"/>
      <w:r w:rsidRPr="00E03EDF">
        <w:t xml:space="preserve"> oligosaccharides have also been showed to possess major anti-diabetic properties. Ruan et al. (2023) demonstrated that </w:t>
      </w:r>
      <w:proofErr w:type="spellStart"/>
      <w:r w:rsidRPr="00A51BA4">
        <w:rPr>
          <w:i/>
        </w:rPr>
        <w:t>Ulva</w:t>
      </w:r>
      <w:proofErr w:type="spellEnd"/>
      <w:r w:rsidRPr="00A51BA4">
        <w:rPr>
          <w:i/>
        </w:rPr>
        <w:t xml:space="preserve"> </w:t>
      </w:r>
      <w:proofErr w:type="spellStart"/>
      <w:r w:rsidRPr="00A51BA4">
        <w:rPr>
          <w:i/>
        </w:rPr>
        <w:t>lactuca</w:t>
      </w:r>
      <w:proofErr w:type="spellEnd"/>
      <w:r w:rsidRPr="00E03EDF">
        <w:t xml:space="preserve"> polysaccharide (ULP) could attenuated type 2 diabetes in mice by enhancing insulin tolerance and the activities of </w:t>
      </w:r>
      <w:r w:rsidRPr="00E03EDF">
        <w:lastRenderedPageBreak/>
        <w:t>antioxidant enzymes (SOD and CAT), while decreasing blood glucose, which might be attributable to intestinal flora. Chen et al. (2022) revealed the </w:t>
      </w:r>
      <w:proofErr w:type="spellStart"/>
      <w:r w:rsidRPr="00E03EDF">
        <w:t>hypoglycemic</w:t>
      </w:r>
      <w:proofErr w:type="spellEnd"/>
      <w:r w:rsidRPr="00E03EDF">
        <w:t xml:space="preserve"> and anti-aging efficacy of ULP involved with gut microbiota modulation in aging-related diabetic mice. The </w:t>
      </w:r>
      <w:proofErr w:type="spellStart"/>
      <w:r w:rsidRPr="00E03EDF">
        <w:t>lipometabolism</w:t>
      </w:r>
      <w:proofErr w:type="spellEnd"/>
      <w:r w:rsidRPr="00E03EDF">
        <w:t xml:space="preserve"> of high fat diet mice could be significantly regulated by </w:t>
      </w:r>
      <w:proofErr w:type="spellStart"/>
      <w:r w:rsidRPr="00E03EDF">
        <w:t>ulvan</w:t>
      </w:r>
      <w:proofErr w:type="spellEnd"/>
      <w:r w:rsidRPr="00E03EDF">
        <w:t xml:space="preserve"> oligosaccharide (Chi et al</w:t>
      </w:r>
      <w:r w:rsidR="00A51BA4">
        <w:t>., 2023).</w:t>
      </w:r>
      <w:r w:rsidR="000B734E" w:rsidRPr="000B734E">
        <w:t xml:space="preserve"> Pung et al. (2022) showed that </w:t>
      </w:r>
      <w:proofErr w:type="spellStart"/>
      <w:r w:rsidR="000B734E" w:rsidRPr="000B734E">
        <w:rPr>
          <w:i/>
        </w:rPr>
        <w:t>Ulva</w:t>
      </w:r>
      <w:proofErr w:type="spellEnd"/>
      <w:r w:rsidR="000B734E" w:rsidRPr="000B734E">
        <w:rPr>
          <w:i/>
        </w:rPr>
        <w:t xml:space="preserve"> </w:t>
      </w:r>
      <w:proofErr w:type="spellStart"/>
      <w:r w:rsidR="000B734E" w:rsidRPr="000B734E">
        <w:rPr>
          <w:i/>
        </w:rPr>
        <w:t>prolifera</w:t>
      </w:r>
      <w:proofErr w:type="spellEnd"/>
      <w:r w:rsidR="000B734E" w:rsidRPr="000B734E">
        <w:t xml:space="preserve"> polysaccharides exert anti-obesity effects by modulating the gut microbio</w:t>
      </w:r>
      <w:r w:rsidR="000B734E">
        <w:t>ta in mice fed a high-fat diet.</w:t>
      </w:r>
      <w:r w:rsidR="000B734E" w:rsidRPr="000B734E">
        <w:t xml:space="preserve"> </w:t>
      </w:r>
      <w:r w:rsidRPr="00E03EDF">
        <w:t xml:space="preserve">Zang et al. (2023) summarized the positive influences of seaweed compounds on metabolic syndrome and reported that </w:t>
      </w:r>
      <w:proofErr w:type="spellStart"/>
      <w:r w:rsidRPr="00E03EDF">
        <w:t>ulvan</w:t>
      </w:r>
      <w:proofErr w:type="spellEnd"/>
      <w:r w:rsidRPr="00E03EDF">
        <w:t xml:space="preserve"> and its oligosaccharides could ameliorate insulin resistance induced by obesity and elevate serum insulin levels in diabetic mice. Lee et al. (2023) researched the </w:t>
      </w:r>
      <w:r w:rsidR="00B057CB" w:rsidRPr="00E03EDF">
        <w:t>anti-diabetic</w:t>
      </w:r>
      <w:r w:rsidRPr="00E03EDF">
        <w:t xml:space="preserve"> capacity of </w:t>
      </w:r>
      <w:r w:rsidRPr="00B057CB">
        <w:rPr>
          <w:i/>
        </w:rPr>
        <w:t>Ulva australis</w:t>
      </w:r>
      <w:r w:rsidRPr="00E03EDF">
        <w:t xml:space="preserve"> and demonstrated that its extracts could be used to develop drugs enhancing insulin resistance. </w:t>
      </w:r>
    </w:p>
    <w:p w14:paraId="1607D5CF" w14:textId="77777777" w:rsidR="00FF04A0" w:rsidRPr="00FF04A0" w:rsidRDefault="00FF04A0" w:rsidP="00E03EDF">
      <w:pPr>
        <w:pStyle w:val="NormalWeb"/>
        <w:spacing w:line="360" w:lineRule="auto"/>
        <w:jc w:val="both"/>
        <w:rPr>
          <w:sz w:val="20"/>
          <w:szCs w:val="20"/>
        </w:rPr>
      </w:pPr>
      <w:r w:rsidRPr="00FF04A0">
        <w:rPr>
          <w:sz w:val="20"/>
          <w:szCs w:val="20"/>
        </w:rPr>
        <w:t xml:space="preserve">Table 2: Summary of Key Preclinical and Clinical Studies on the Metabolic Effects of </w:t>
      </w:r>
      <w:proofErr w:type="spellStart"/>
      <w:r w:rsidRPr="00FF04A0">
        <w:rPr>
          <w:sz w:val="20"/>
          <w:szCs w:val="20"/>
        </w:rPr>
        <w:t>Fucoidans</w:t>
      </w:r>
      <w:proofErr w:type="spellEnd"/>
      <w:r w:rsidRPr="00FF04A0">
        <w:rPr>
          <w:sz w:val="20"/>
          <w:szCs w:val="20"/>
        </w:rPr>
        <w:t xml:space="preserve"> and </w:t>
      </w:r>
      <w:proofErr w:type="spellStart"/>
      <w:r w:rsidRPr="00FF04A0">
        <w:rPr>
          <w:sz w:val="20"/>
          <w:szCs w:val="20"/>
        </w:rPr>
        <w:t>Ulvans</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911"/>
        <w:gridCol w:w="2111"/>
        <w:gridCol w:w="3127"/>
      </w:tblGrid>
      <w:tr w:rsidR="00E03EDF" w:rsidRPr="00AE3A89" w14:paraId="7A63DD01" w14:textId="77777777" w:rsidTr="00D70F8A">
        <w:trPr>
          <w:jc w:val="center"/>
        </w:trPr>
        <w:tc>
          <w:tcPr>
            <w:tcW w:w="2093" w:type="dxa"/>
            <w:tcBorders>
              <w:top w:val="single" w:sz="4" w:space="0" w:color="auto"/>
              <w:bottom w:val="single" w:sz="4" w:space="0" w:color="auto"/>
            </w:tcBorders>
            <w:hideMark/>
          </w:tcPr>
          <w:p w14:paraId="45A22DFB" w14:textId="77777777" w:rsidR="00E03EDF" w:rsidRPr="00AE3A89" w:rsidRDefault="00E03EDF">
            <w:pPr>
              <w:rPr>
                <w:rFonts w:ascii="Arial" w:hAnsi="Arial" w:cs="Arial"/>
                <w:sz w:val="18"/>
                <w:szCs w:val="18"/>
              </w:rPr>
            </w:pPr>
            <w:r w:rsidRPr="00AE3A89">
              <w:rPr>
                <w:rFonts w:ascii="Arial" w:hAnsi="Arial" w:cs="Arial"/>
                <w:b/>
                <w:sz w:val="18"/>
                <w:szCs w:val="18"/>
              </w:rPr>
              <w:t>Study (Author, Year)</w:t>
            </w:r>
          </w:p>
        </w:tc>
        <w:tc>
          <w:tcPr>
            <w:tcW w:w="1911" w:type="dxa"/>
            <w:tcBorders>
              <w:top w:val="single" w:sz="4" w:space="0" w:color="auto"/>
              <w:bottom w:val="single" w:sz="4" w:space="0" w:color="auto"/>
            </w:tcBorders>
            <w:hideMark/>
          </w:tcPr>
          <w:p w14:paraId="79CAD078" w14:textId="77777777" w:rsidR="00E03EDF" w:rsidRPr="00AE3A89" w:rsidRDefault="00E03EDF">
            <w:pPr>
              <w:rPr>
                <w:rFonts w:ascii="Arial" w:hAnsi="Arial" w:cs="Arial"/>
                <w:sz w:val="18"/>
                <w:szCs w:val="18"/>
              </w:rPr>
            </w:pPr>
            <w:r w:rsidRPr="00AE3A89">
              <w:rPr>
                <w:rFonts w:ascii="Arial" w:hAnsi="Arial" w:cs="Arial"/>
                <w:b/>
                <w:sz w:val="18"/>
                <w:szCs w:val="18"/>
              </w:rPr>
              <w:t>Polysacchar</w:t>
            </w:r>
            <w:r w:rsidR="000B734E">
              <w:rPr>
                <w:rFonts w:ascii="Arial" w:hAnsi="Arial" w:cs="Arial"/>
                <w:b/>
                <w:sz w:val="18"/>
                <w:szCs w:val="18"/>
              </w:rPr>
              <w:t>ide</w:t>
            </w:r>
          </w:p>
        </w:tc>
        <w:tc>
          <w:tcPr>
            <w:tcW w:w="2111" w:type="dxa"/>
            <w:tcBorders>
              <w:top w:val="single" w:sz="4" w:space="0" w:color="auto"/>
              <w:bottom w:val="single" w:sz="4" w:space="0" w:color="auto"/>
            </w:tcBorders>
            <w:hideMark/>
          </w:tcPr>
          <w:p w14:paraId="74AC8713" w14:textId="77777777" w:rsidR="00E03EDF" w:rsidRPr="00AE3A89" w:rsidRDefault="00E03EDF">
            <w:pPr>
              <w:rPr>
                <w:rFonts w:ascii="Arial" w:hAnsi="Arial" w:cs="Arial"/>
                <w:sz w:val="18"/>
                <w:szCs w:val="18"/>
              </w:rPr>
            </w:pPr>
            <w:r w:rsidRPr="00AE3A89">
              <w:rPr>
                <w:rFonts w:ascii="Arial" w:hAnsi="Arial" w:cs="Arial"/>
                <w:b/>
                <w:sz w:val="18"/>
                <w:szCs w:val="18"/>
              </w:rPr>
              <w:t>Model</w:t>
            </w:r>
          </w:p>
        </w:tc>
        <w:tc>
          <w:tcPr>
            <w:tcW w:w="3127" w:type="dxa"/>
            <w:tcBorders>
              <w:top w:val="single" w:sz="4" w:space="0" w:color="auto"/>
              <w:bottom w:val="single" w:sz="4" w:space="0" w:color="auto"/>
            </w:tcBorders>
            <w:hideMark/>
          </w:tcPr>
          <w:p w14:paraId="19C6CAEE" w14:textId="77777777" w:rsidR="00E03EDF" w:rsidRPr="00AE3A89" w:rsidRDefault="00E03EDF">
            <w:pPr>
              <w:rPr>
                <w:rFonts w:ascii="Arial" w:hAnsi="Arial" w:cs="Arial"/>
                <w:sz w:val="18"/>
                <w:szCs w:val="18"/>
              </w:rPr>
            </w:pPr>
            <w:r w:rsidRPr="00AE3A89">
              <w:rPr>
                <w:rFonts w:ascii="Arial" w:hAnsi="Arial" w:cs="Arial"/>
                <w:b/>
                <w:sz w:val="18"/>
                <w:szCs w:val="18"/>
              </w:rPr>
              <w:t>Key Findings</w:t>
            </w:r>
          </w:p>
        </w:tc>
      </w:tr>
      <w:tr w:rsidR="00E03EDF" w:rsidRPr="00AE3A89" w14:paraId="135EEE4D" w14:textId="77777777" w:rsidTr="00D70F8A">
        <w:trPr>
          <w:jc w:val="center"/>
        </w:trPr>
        <w:tc>
          <w:tcPr>
            <w:tcW w:w="2093" w:type="dxa"/>
            <w:tcBorders>
              <w:top w:val="single" w:sz="4" w:space="0" w:color="auto"/>
            </w:tcBorders>
            <w:hideMark/>
          </w:tcPr>
          <w:p w14:paraId="642279AE" w14:textId="77777777" w:rsidR="00D70F8A" w:rsidRPr="00AE3A89" w:rsidRDefault="00D70F8A" w:rsidP="00D70F8A">
            <w:pPr>
              <w:rPr>
                <w:sz w:val="18"/>
                <w:szCs w:val="18"/>
              </w:rPr>
            </w:pPr>
            <w:r w:rsidRPr="00AE3A89">
              <w:rPr>
                <w:sz w:val="18"/>
                <w:szCs w:val="18"/>
              </w:rPr>
              <w:t xml:space="preserve"> </w:t>
            </w:r>
          </w:p>
        </w:tc>
        <w:tc>
          <w:tcPr>
            <w:tcW w:w="1911" w:type="dxa"/>
            <w:tcBorders>
              <w:top w:val="single" w:sz="4" w:space="0" w:color="auto"/>
            </w:tcBorders>
          </w:tcPr>
          <w:p w14:paraId="19A2EE0B" w14:textId="77777777" w:rsidR="00E03EDF" w:rsidRPr="00AE3A89" w:rsidRDefault="00E03EDF">
            <w:pPr>
              <w:rPr>
                <w:sz w:val="18"/>
                <w:szCs w:val="18"/>
              </w:rPr>
            </w:pPr>
          </w:p>
        </w:tc>
        <w:tc>
          <w:tcPr>
            <w:tcW w:w="2111" w:type="dxa"/>
            <w:tcBorders>
              <w:top w:val="single" w:sz="4" w:space="0" w:color="auto"/>
            </w:tcBorders>
          </w:tcPr>
          <w:p w14:paraId="1A92C9B4" w14:textId="77777777" w:rsidR="00E03EDF" w:rsidRPr="00AE3A89" w:rsidRDefault="00E03EDF" w:rsidP="00D70F8A">
            <w:pPr>
              <w:jc w:val="both"/>
              <w:rPr>
                <w:sz w:val="18"/>
                <w:szCs w:val="18"/>
              </w:rPr>
            </w:pPr>
          </w:p>
        </w:tc>
        <w:tc>
          <w:tcPr>
            <w:tcW w:w="3127" w:type="dxa"/>
            <w:tcBorders>
              <w:top w:val="single" w:sz="4" w:space="0" w:color="auto"/>
            </w:tcBorders>
          </w:tcPr>
          <w:p w14:paraId="0C50D097" w14:textId="77777777" w:rsidR="00E03EDF" w:rsidRPr="00AE3A89" w:rsidRDefault="00E03EDF">
            <w:pPr>
              <w:rPr>
                <w:sz w:val="18"/>
                <w:szCs w:val="18"/>
              </w:rPr>
            </w:pPr>
          </w:p>
        </w:tc>
      </w:tr>
      <w:tr w:rsidR="00E03EDF" w:rsidRPr="00AE3A89" w14:paraId="5FCA8640" w14:textId="77777777" w:rsidTr="00D70F8A">
        <w:trPr>
          <w:jc w:val="center"/>
        </w:trPr>
        <w:tc>
          <w:tcPr>
            <w:tcW w:w="2093" w:type="dxa"/>
            <w:tcBorders>
              <w:bottom w:val="single" w:sz="4" w:space="0" w:color="auto"/>
            </w:tcBorders>
            <w:hideMark/>
          </w:tcPr>
          <w:p w14:paraId="3BE8B15A"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Shang et al. (2016)</w:t>
            </w:r>
          </w:p>
        </w:tc>
        <w:tc>
          <w:tcPr>
            <w:tcW w:w="1911" w:type="dxa"/>
            <w:tcBorders>
              <w:bottom w:val="single" w:sz="4" w:space="0" w:color="auto"/>
            </w:tcBorders>
            <w:hideMark/>
          </w:tcPr>
          <w:p w14:paraId="68E89811" w14:textId="77777777" w:rsidR="00E03EDF" w:rsidRPr="00AE3A89" w:rsidRDefault="00E03EDF">
            <w:pPr>
              <w:rPr>
                <w:rFonts w:ascii="Arial" w:hAnsi="Arial" w:cs="Arial"/>
                <w:sz w:val="18"/>
                <w:szCs w:val="18"/>
              </w:rPr>
            </w:pPr>
            <w:r w:rsidRPr="00AE3A89">
              <w:rPr>
                <w:rFonts w:ascii="Arial" w:hAnsi="Arial" w:cs="Arial"/>
                <w:i/>
                <w:sz w:val="18"/>
                <w:szCs w:val="18"/>
              </w:rPr>
              <w:t>F</w:t>
            </w:r>
            <w:r w:rsidR="000B734E">
              <w:rPr>
                <w:rFonts w:ascii="Arial" w:hAnsi="Arial" w:cs="Arial"/>
                <w:i/>
                <w:sz w:val="18"/>
                <w:szCs w:val="18"/>
              </w:rPr>
              <w:t xml:space="preserve">ucoidan </w:t>
            </w:r>
          </w:p>
        </w:tc>
        <w:tc>
          <w:tcPr>
            <w:tcW w:w="2111" w:type="dxa"/>
            <w:tcBorders>
              <w:bottom w:val="single" w:sz="4" w:space="0" w:color="auto"/>
            </w:tcBorders>
            <w:hideMark/>
          </w:tcPr>
          <w:p w14:paraId="3E1EC43B"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Mice</w:t>
            </w:r>
          </w:p>
        </w:tc>
        <w:tc>
          <w:tcPr>
            <w:tcW w:w="3127" w:type="dxa"/>
            <w:tcBorders>
              <w:bottom w:val="single" w:sz="4" w:space="0" w:color="auto"/>
            </w:tcBorders>
            <w:hideMark/>
          </w:tcPr>
          <w:p w14:paraId="3D5ACF2B"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 xml:space="preserve">Increased Lactobacillus and </w:t>
            </w:r>
            <w:proofErr w:type="spellStart"/>
            <w:r w:rsidRPr="00AE3A89">
              <w:rPr>
                <w:rFonts w:ascii="Arial" w:hAnsi="Arial" w:cs="Arial"/>
                <w:sz w:val="18"/>
                <w:szCs w:val="18"/>
              </w:rPr>
              <w:t>Ruminococcaceae</w:t>
            </w:r>
            <w:proofErr w:type="spellEnd"/>
            <w:r w:rsidRPr="00AE3A89">
              <w:rPr>
                <w:rFonts w:ascii="Arial" w:hAnsi="Arial" w:cs="Arial"/>
                <w:sz w:val="18"/>
                <w:szCs w:val="18"/>
              </w:rPr>
              <w:t>; enhanced SCFA production</w:t>
            </w:r>
          </w:p>
        </w:tc>
      </w:tr>
      <w:tr w:rsidR="00E03EDF" w:rsidRPr="00AE3A89" w14:paraId="02BA2849" w14:textId="77777777" w:rsidTr="00D70F8A">
        <w:trPr>
          <w:jc w:val="center"/>
        </w:trPr>
        <w:tc>
          <w:tcPr>
            <w:tcW w:w="2093" w:type="dxa"/>
            <w:tcBorders>
              <w:top w:val="single" w:sz="4" w:space="0" w:color="auto"/>
              <w:bottom w:val="single" w:sz="4" w:space="0" w:color="auto"/>
            </w:tcBorders>
            <w:hideMark/>
          </w:tcPr>
          <w:p w14:paraId="778D3916"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Shang et al. (2017)</w:t>
            </w:r>
          </w:p>
        </w:tc>
        <w:tc>
          <w:tcPr>
            <w:tcW w:w="1911" w:type="dxa"/>
            <w:tcBorders>
              <w:top w:val="single" w:sz="4" w:space="0" w:color="auto"/>
              <w:bottom w:val="single" w:sz="4" w:space="0" w:color="auto"/>
            </w:tcBorders>
            <w:hideMark/>
          </w:tcPr>
          <w:p w14:paraId="7FD3FA26" w14:textId="77777777" w:rsidR="00E03EDF" w:rsidRPr="00AE3A89" w:rsidRDefault="00E03EDF">
            <w:pPr>
              <w:rPr>
                <w:rFonts w:ascii="Arial" w:hAnsi="Arial" w:cs="Arial"/>
                <w:sz w:val="18"/>
                <w:szCs w:val="18"/>
              </w:rPr>
            </w:pPr>
            <w:r w:rsidRPr="00AE3A89">
              <w:rPr>
                <w:rFonts w:ascii="Arial" w:hAnsi="Arial" w:cs="Arial"/>
                <w:sz w:val="18"/>
                <w:szCs w:val="18"/>
              </w:rPr>
              <w:t xml:space="preserve">Fucoidan </w:t>
            </w:r>
          </w:p>
        </w:tc>
        <w:tc>
          <w:tcPr>
            <w:tcW w:w="2111" w:type="dxa"/>
            <w:tcBorders>
              <w:top w:val="single" w:sz="4" w:space="0" w:color="auto"/>
              <w:bottom w:val="single" w:sz="4" w:space="0" w:color="auto"/>
            </w:tcBorders>
            <w:hideMark/>
          </w:tcPr>
          <w:p w14:paraId="02307912"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High-fat diet-fed mice</w:t>
            </w:r>
          </w:p>
        </w:tc>
        <w:tc>
          <w:tcPr>
            <w:tcW w:w="3127" w:type="dxa"/>
            <w:tcBorders>
              <w:top w:val="single" w:sz="4" w:space="0" w:color="auto"/>
              <w:bottom w:val="single" w:sz="4" w:space="0" w:color="auto"/>
            </w:tcBorders>
            <w:hideMark/>
          </w:tcPr>
          <w:p w14:paraId="18A1655C"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 xml:space="preserve">Improved metabolic syndrome; increased </w:t>
            </w:r>
            <w:proofErr w:type="spellStart"/>
            <w:r w:rsidRPr="00AE3A89">
              <w:rPr>
                <w:rFonts w:ascii="Arial" w:hAnsi="Arial" w:cs="Arial"/>
                <w:sz w:val="18"/>
                <w:szCs w:val="18"/>
              </w:rPr>
              <w:t>Akkermansia</w:t>
            </w:r>
            <w:proofErr w:type="spellEnd"/>
            <w:r w:rsidRPr="00AE3A89">
              <w:rPr>
                <w:rFonts w:ascii="Arial" w:hAnsi="Arial" w:cs="Arial"/>
                <w:sz w:val="18"/>
                <w:szCs w:val="18"/>
              </w:rPr>
              <w:t xml:space="preserve"> population; reduced body weight</w:t>
            </w:r>
          </w:p>
        </w:tc>
      </w:tr>
      <w:tr w:rsidR="00E03EDF" w:rsidRPr="00AE3A89" w14:paraId="311F03AB" w14:textId="77777777" w:rsidTr="00D70F8A">
        <w:trPr>
          <w:jc w:val="center"/>
        </w:trPr>
        <w:tc>
          <w:tcPr>
            <w:tcW w:w="2093" w:type="dxa"/>
            <w:tcBorders>
              <w:top w:val="single" w:sz="4" w:space="0" w:color="auto"/>
              <w:bottom w:val="single" w:sz="4" w:space="0" w:color="auto"/>
            </w:tcBorders>
            <w:hideMark/>
          </w:tcPr>
          <w:p w14:paraId="3AA822EE"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Liu et al. (2018)</w:t>
            </w:r>
          </w:p>
        </w:tc>
        <w:tc>
          <w:tcPr>
            <w:tcW w:w="1911" w:type="dxa"/>
            <w:tcBorders>
              <w:top w:val="single" w:sz="4" w:space="0" w:color="auto"/>
              <w:bottom w:val="single" w:sz="4" w:space="0" w:color="auto"/>
            </w:tcBorders>
            <w:hideMark/>
          </w:tcPr>
          <w:p w14:paraId="5F50D6F5" w14:textId="77777777" w:rsidR="00E03EDF" w:rsidRPr="00AE3A89" w:rsidRDefault="00E03EDF">
            <w:pPr>
              <w:rPr>
                <w:rFonts w:ascii="Arial" w:hAnsi="Arial" w:cs="Arial"/>
                <w:sz w:val="18"/>
                <w:szCs w:val="18"/>
              </w:rPr>
            </w:pPr>
            <w:r w:rsidRPr="00AE3A89">
              <w:rPr>
                <w:rFonts w:ascii="Arial" w:hAnsi="Arial" w:cs="Arial"/>
                <w:sz w:val="18"/>
                <w:szCs w:val="18"/>
              </w:rPr>
              <w:t>Fucoidan</w:t>
            </w:r>
          </w:p>
        </w:tc>
        <w:tc>
          <w:tcPr>
            <w:tcW w:w="2111" w:type="dxa"/>
            <w:tcBorders>
              <w:top w:val="single" w:sz="4" w:space="0" w:color="auto"/>
              <w:bottom w:val="single" w:sz="4" w:space="0" w:color="auto"/>
            </w:tcBorders>
            <w:hideMark/>
          </w:tcPr>
          <w:p w14:paraId="3B536552"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High-fat diet-fed mice</w:t>
            </w:r>
          </w:p>
        </w:tc>
        <w:tc>
          <w:tcPr>
            <w:tcW w:w="3127" w:type="dxa"/>
            <w:tcBorders>
              <w:top w:val="single" w:sz="4" w:space="0" w:color="auto"/>
              <w:bottom w:val="single" w:sz="4" w:space="0" w:color="auto"/>
            </w:tcBorders>
            <w:hideMark/>
          </w:tcPr>
          <w:p w14:paraId="0962DF59"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Ameliorated dyslipidemia; modulated gut microbiota composition</w:t>
            </w:r>
          </w:p>
        </w:tc>
      </w:tr>
      <w:tr w:rsidR="00E03EDF" w:rsidRPr="00AE3A89" w14:paraId="6778F20E" w14:textId="77777777" w:rsidTr="00D70F8A">
        <w:trPr>
          <w:jc w:val="center"/>
        </w:trPr>
        <w:tc>
          <w:tcPr>
            <w:tcW w:w="2093" w:type="dxa"/>
            <w:tcBorders>
              <w:top w:val="single" w:sz="4" w:space="0" w:color="auto"/>
              <w:bottom w:val="single" w:sz="4" w:space="0" w:color="auto"/>
            </w:tcBorders>
            <w:hideMark/>
          </w:tcPr>
          <w:p w14:paraId="0DDC82A7"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Chen et al. (2019)</w:t>
            </w:r>
          </w:p>
        </w:tc>
        <w:tc>
          <w:tcPr>
            <w:tcW w:w="1911" w:type="dxa"/>
            <w:tcBorders>
              <w:top w:val="single" w:sz="4" w:space="0" w:color="auto"/>
              <w:bottom w:val="single" w:sz="4" w:space="0" w:color="auto"/>
            </w:tcBorders>
            <w:hideMark/>
          </w:tcPr>
          <w:p w14:paraId="5F8CF7BD" w14:textId="77777777" w:rsidR="00E03EDF" w:rsidRPr="00AE3A89" w:rsidRDefault="00E03EDF">
            <w:pPr>
              <w:rPr>
                <w:rFonts w:ascii="Arial" w:hAnsi="Arial" w:cs="Arial"/>
                <w:sz w:val="18"/>
                <w:szCs w:val="18"/>
              </w:rPr>
            </w:pPr>
            <w:r w:rsidRPr="00AE3A89">
              <w:rPr>
                <w:rFonts w:ascii="Arial" w:hAnsi="Arial" w:cs="Arial"/>
                <w:sz w:val="18"/>
                <w:szCs w:val="18"/>
              </w:rPr>
              <w:t>Fucoidan</w:t>
            </w:r>
          </w:p>
        </w:tc>
        <w:tc>
          <w:tcPr>
            <w:tcW w:w="2111" w:type="dxa"/>
            <w:tcBorders>
              <w:top w:val="single" w:sz="4" w:space="0" w:color="auto"/>
              <w:bottom w:val="single" w:sz="4" w:space="0" w:color="auto"/>
            </w:tcBorders>
            <w:hideMark/>
          </w:tcPr>
          <w:p w14:paraId="3E08FAE8"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High-fat diet-fed rats</w:t>
            </w:r>
          </w:p>
        </w:tc>
        <w:tc>
          <w:tcPr>
            <w:tcW w:w="3127" w:type="dxa"/>
            <w:tcBorders>
              <w:top w:val="single" w:sz="4" w:space="0" w:color="auto"/>
              <w:bottom w:val="single" w:sz="4" w:space="0" w:color="auto"/>
            </w:tcBorders>
            <w:hideMark/>
          </w:tcPr>
          <w:p w14:paraId="798E69AC"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Reduced serum lipids; modulated gut microbiota and bile acid metabolism</w:t>
            </w:r>
          </w:p>
        </w:tc>
      </w:tr>
      <w:tr w:rsidR="00E03EDF" w:rsidRPr="00AE3A89" w14:paraId="60F79DFD" w14:textId="77777777" w:rsidTr="00D70F8A">
        <w:trPr>
          <w:jc w:val="center"/>
        </w:trPr>
        <w:tc>
          <w:tcPr>
            <w:tcW w:w="2093" w:type="dxa"/>
            <w:tcBorders>
              <w:top w:val="single" w:sz="4" w:space="0" w:color="auto"/>
              <w:bottom w:val="single" w:sz="4" w:space="0" w:color="auto"/>
            </w:tcBorders>
            <w:hideMark/>
          </w:tcPr>
          <w:p w14:paraId="25EAE59E"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Liu et al. (2022)</w:t>
            </w:r>
          </w:p>
        </w:tc>
        <w:tc>
          <w:tcPr>
            <w:tcW w:w="1911" w:type="dxa"/>
            <w:tcBorders>
              <w:top w:val="single" w:sz="4" w:space="0" w:color="auto"/>
              <w:bottom w:val="single" w:sz="4" w:space="0" w:color="auto"/>
            </w:tcBorders>
            <w:hideMark/>
          </w:tcPr>
          <w:p w14:paraId="3F77B2C5" w14:textId="77777777" w:rsidR="00E03EDF" w:rsidRPr="00AE3A89" w:rsidRDefault="00E03EDF">
            <w:pPr>
              <w:rPr>
                <w:rFonts w:ascii="Arial" w:hAnsi="Arial" w:cs="Arial"/>
                <w:sz w:val="18"/>
                <w:szCs w:val="18"/>
              </w:rPr>
            </w:pPr>
            <w:r w:rsidRPr="00AE3A89">
              <w:rPr>
                <w:rFonts w:ascii="Arial" w:hAnsi="Arial" w:cs="Arial"/>
                <w:sz w:val="18"/>
                <w:szCs w:val="18"/>
              </w:rPr>
              <w:t>Fucoidan</w:t>
            </w:r>
          </w:p>
        </w:tc>
        <w:tc>
          <w:tcPr>
            <w:tcW w:w="2111" w:type="dxa"/>
            <w:tcBorders>
              <w:top w:val="single" w:sz="4" w:space="0" w:color="auto"/>
              <w:bottom w:val="single" w:sz="4" w:space="0" w:color="auto"/>
            </w:tcBorders>
            <w:hideMark/>
          </w:tcPr>
          <w:p w14:paraId="6E11F745"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Diabetic mice (STZ-induced)</w:t>
            </w:r>
          </w:p>
        </w:tc>
        <w:tc>
          <w:tcPr>
            <w:tcW w:w="3127" w:type="dxa"/>
            <w:tcBorders>
              <w:top w:val="single" w:sz="4" w:space="0" w:color="auto"/>
              <w:bottom w:val="single" w:sz="4" w:space="0" w:color="auto"/>
            </w:tcBorders>
            <w:hideMark/>
          </w:tcPr>
          <w:p w14:paraId="42480BC0"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Protected pancreatic β-cells; improved glucose metabolism and insulin sensitivity</w:t>
            </w:r>
          </w:p>
        </w:tc>
      </w:tr>
      <w:tr w:rsidR="00E03EDF" w:rsidRPr="00AE3A89" w14:paraId="5980938B" w14:textId="77777777" w:rsidTr="00D70F8A">
        <w:trPr>
          <w:jc w:val="center"/>
        </w:trPr>
        <w:tc>
          <w:tcPr>
            <w:tcW w:w="2093" w:type="dxa"/>
            <w:tcBorders>
              <w:top w:val="single" w:sz="4" w:space="0" w:color="auto"/>
              <w:bottom w:val="single" w:sz="4" w:space="0" w:color="auto"/>
            </w:tcBorders>
            <w:hideMark/>
          </w:tcPr>
          <w:p w14:paraId="1674D991"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Li et al. (2024)</w:t>
            </w:r>
          </w:p>
        </w:tc>
        <w:tc>
          <w:tcPr>
            <w:tcW w:w="1911" w:type="dxa"/>
            <w:tcBorders>
              <w:top w:val="single" w:sz="4" w:space="0" w:color="auto"/>
              <w:bottom w:val="single" w:sz="4" w:space="0" w:color="auto"/>
            </w:tcBorders>
            <w:hideMark/>
          </w:tcPr>
          <w:p w14:paraId="1BCB3D4F" w14:textId="77777777" w:rsidR="00E03EDF" w:rsidRPr="00AE3A89" w:rsidRDefault="00E03EDF">
            <w:pPr>
              <w:rPr>
                <w:rFonts w:ascii="Arial" w:hAnsi="Arial" w:cs="Arial"/>
                <w:sz w:val="18"/>
                <w:szCs w:val="18"/>
              </w:rPr>
            </w:pPr>
            <w:r w:rsidRPr="00AE3A89">
              <w:rPr>
                <w:rFonts w:ascii="Arial" w:hAnsi="Arial" w:cs="Arial"/>
                <w:sz w:val="18"/>
                <w:szCs w:val="18"/>
              </w:rPr>
              <w:t>Fucoidan</w:t>
            </w:r>
          </w:p>
        </w:tc>
        <w:tc>
          <w:tcPr>
            <w:tcW w:w="2111" w:type="dxa"/>
            <w:tcBorders>
              <w:top w:val="single" w:sz="4" w:space="0" w:color="auto"/>
              <w:bottom w:val="single" w:sz="4" w:space="0" w:color="auto"/>
            </w:tcBorders>
            <w:hideMark/>
          </w:tcPr>
          <w:p w14:paraId="5EFBCAED"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Diabetic mice</w:t>
            </w:r>
          </w:p>
        </w:tc>
        <w:tc>
          <w:tcPr>
            <w:tcW w:w="3127" w:type="dxa"/>
            <w:tcBorders>
              <w:top w:val="single" w:sz="4" w:space="0" w:color="auto"/>
              <w:bottom w:val="single" w:sz="4" w:space="0" w:color="auto"/>
            </w:tcBorders>
            <w:hideMark/>
          </w:tcPr>
          <w:p w14:paraId="7CA4CE05"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Ameliorated skeletal muscle atrophy; alleviated insulin resistance</w:t>
            </w:r>
          </w:p>
        </w:tc>
      </w:tr>
      <w:tr w:rsidR="00E03EDF" w:rsidRPr="00AE3A89" w14:paraId="1C0B9276" w14:textId="77777777" w:rsidTr="00D70F8A">
        <w:trPr>
          <w:jc w:val="center"/>
        </w:trPr>
        <w:tc>
          <w:tcPr>
            <w:tcW w:w="2093" w:type="dxa"/>
            <w:tcBorders>
              <w:top w:val="single" w:sz="4" w:space="0" w:color="auto"/>
              <w:bottom w:val="single" w:sz="4" w:space="0" w:color="auto"/>
            </w:tcBorders>
            <w:hideMark/>
          </w:tcPr>
          <w:p w14:paraId="34A933E8"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Wright et al. (2019)</w:t>
            </w:r>
          </w:p>
        </w:tc>
        <w:tc>
          <w:tcPr>
            <w:tcW w:w="1911" w:type="dxa"/>
            <w:tcBorders>
              <w:top w:val="single" w:sz="4" w:space="0" w:color="auto"/>
              <w:bottom w:val="single" w:sz="4" w:space="0" w:color="auto"/>
            </w:tcBorders>
            <w:hideMark/>
          </w:tcPr>
          <w:p w14:paraId="5A392126" w14:textId="77777777" w:rsidR="00E03EDF" w:rsidRPr="00AE3A89" w:rsidRDefault="00E03EDF">
            <w:pPr>
              <w:rPr>
                <w:rFonts w:ascii="Arial" w:hAnsi="Arial" w:cs="Arial"/>
                <w:sz w:val="18"/>
                <w:szCs w:val="18"/>
              </w:rPr>
            </w:pPr>
            <w:r w:rsidRPr="00AE3A89">
              <w:rPr>
                <w:rFonts w:ascii="Arial" w:hAnsi="Arial" w:cs="Arial"/>
                <w:sz w:val="18"/>
                <w:szCs w:val="18"/>
              </w:rPr>
              <w:t xml:space="preserve">Fucoidan </w:t>
            </w:r>
          </w:p>
        </w:tc>
        <w:tc>
          <w:tcPr>
            <w:tcW w:w="2111" w:type="dxa"/>
            <w:tcBorders>
              <w:top w:val="single" w:sz="4" w:space="0" w:color="auto"/>
              <w:bottom w:val="single" w:sz="4" w:space="0" w:color="auto"/>
            </w:tcBorders>
            <w:hideMark/>
          </w:tcPr>
          <w:p w14:paraId="5CB98EC9"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Obese, non-diabetic humans (RCT)</w:t>
            </w:r>
          </w:p>
        </w:tc>
        <w:tc>
          <w:tcPr>
            <w:tcW w:w="3127" w:type="dxa"/>
            <w:tcBorders>
              <w:top w:val="single" w:sz="4" w:space="0" w:color="auto"/>
              <w:bottom w:val="single" w:sz="4" w:space="0" w:color="auto"/>
            </w:tcBorders>
            <w:hideMark/>
          </w:tcPr>
          <w:p w14:paraId="55A7A902"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No significant effect on insulin resistance over 90 days; well-tolerated</w:t>
            </w:r>
          </w:p>
        </w:tc>
      </w:tr>
      <w:tr w:rsidR="00E03EDF" w:rsidRPr="00AE3A89" w14:paraId="044E09E2" w14:textId="77777777" w:rsidTr="00D70F8A">
        <w:trPr>
          <w:jc w:val="center"/>
        </w:trPr>
        <w:tc>
          <w:tcPr>
            <w:tcW w:w="2093" w:type="dxa"/>
            <w:tcBorders>
              <w:top w:val="single" w:sz="4" w:space="0" w:color="auto"/>
            </w:tcBorders>
            <w:hideMark/>
          </w:tcPr>
          <w:p w14:paraId="02FE7F74" w14:textId="77777777" w:rsidR="00E03EDF" w:rsidRPr="00AE3A89" w:rsidRDefault="00E03EDF" w:rsidP="000F4828">
            <w:pPr>
              <w:jc w:val="both"/>
              <w:rPr>
                <w:rFonts w:ascii="Arial" w:hAnsi="Arial" w:cs="Arial"/>
                <w:sz w:val="18"/>
                <w:szCs w:val="18"/>
              </w:rPr>
            </w:pPr>
          </w:p>
        </w:tc>
        <w:tc>
          <w:tcPr>
            <w:tcW w:w="1911" w:type="dxa"/>
            <w:tcBorders>
              <w:top w:val="single" w:sz="4" w:space="0" w:color="auto"/>
            </w:tcBorders>
          </w:tcPr>
          <w:p w14:paraId="786C3CA9" w14:textId="77777777" w:rsidR="00E03EDF" w:rsidRPr="00AE3A89" w:rsidRDefault="00E03EDF">
            <w:pPr>
              <w:rPr>
                <w:rFonts w:ascii="Arial" w:hAnsi="Arial" w:cs="Arial"/>
                <w:sz w:val="18"/>
                <w:szCs w:val="18"/>
              </w:rPr>
            </w:pPr>
          </w:p>
        </w:tc>
        <w:tc>
          <w:tcPr>
            <w:tcW w:w="2111" w:type="dxa"/>
            <w:tcBorders>
              <w:top w:val="single" w:sz="4" w:space="0" w:color="auto"/>
            </w:tcBorders>
          </w:tcPr>
          <w:p w14:paraId="6B601016" w14:textId="77777777" w:rsidR="00E03EDF" w:rsidRPr="00AE3A89" w:rsidRDefault="00E03EDF" w:rsidP="00D70F8A">
            <w:pPr>
              <w:jc w:val="both"/>
              <w:rPr>
                <w:rFonts w:ascii="Arial" w:hAnsi="Arial" w:cs="Arial"/>
                <w:sz w:val="18"/>
                <w:szCs w:val="18"/>
              </w:rPr>
            </w:pPr>
          </w:p>
        </w:tc>
        <w:tc>
          <w:tcPr>
            <w:tcW w:w="3127" w:type="dxa"/>
            <w:tcBorders>
              <w:top w:val="single" w:sz="4" w:space="0" w:color="auto"/>
            </w:tcBorders>
          </w:tcPr>
          <w:p w14:paraId="5F56141A" w14:textId="77777777" w:rsidR="00E03EDF" w:rsidRPr="00AE3A89" w:rsidRDefault="00E03EDF" w:rsidP="00D70F8A">
            <w:pPr>
              <w:jc w:val="both"/>
              <w:rPr>
                <w:rFonts w:ascii="Arial" w:hAnsi="Arial" w:cs="Arial"/>
                <w:sz w:val="18"/>
                <w:szCs w:val="18"/>
              </w:rPr>
            </w:pPr>
          </w:p>
        </w:tc>
      </w:tr>
      <w:tr w:rsidR="00E03EDF" w:rsidRPr="00AE3A89" w14:paraId="4BC39B5A" w14:textId="77777777" w:rsidTr="00D70F8A">
        <w:trPr>
          <w:jc w:val="center"/>
        </w:trPr>
        <w:tc>
          <w:tcPr>
            <w:tcW w:w="2093" w:type="dxa"/>
            <w:tcBorders>
              <w:bottom w:val="single" w:sz="4" w:space="0" w:color="auto"/>
            </w:tcBorders>
            <w:hideMark/>
          </w:tcPr>
          <w:p w14:paraId="40DDCDD0"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Seong et al. (2019)</w:t>
            </w:r>
          </w:p>
        </w:tc>
        <w:tc>
          <w:tcPr>
            <w:tcW w:w="1911" w:type="dxa"/>
            <w:tcBorders>
              <w:bottom w:val="single" w:sz="4" w:space="0" w:color="auto"/>
            </w:tcBorders>
            <w:hideMark/>
          </w:tcPr>
          <w:p w14:paraId="182D6C92" w14:textId="77777777" w:rsidR="00E03EDF" w:rsidRPr="00AE3A89" w:rsidRDefault="00E03EDF">
            <w:pPr>
              <w:rPr>
                <w:rFonts w:ascii="Arial" w:hAnsi="Arial" w:cs="Arial"/>
                <w:sz w:val="18"/>
                <w:szCs w:val="18"/>
              </w:rPr>
            </w:pPr>
            <w:r w:rsidRPr="00AE3A89">
              <w:rPr>
                <w:rFonts w:ascii="Arial" w:hAnsi="Arial" w:cs="Arial"/>
                <w:sz w:val="18"/>
                <w:szCs w:val="18"/>
              </w:rPr>
              <w:t>Ulvan</w:t>
            </w:r>
          </w:p>
        </w:tc>
        <w:tc>
          <w:tcPr>
            <w:tcW w:w="2111" w:type="dxa"/>
            <w:tcBorders>
              <w:bottom w:val="single" w:sz="4" w:space="0" w:color="auto"/>
            </w:tcBorders>
            <w:hideMark/>
          </w:tcPr>
          <w:p w14:paraId="21AAE5DF"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In vitro human fecal fermentation</w:t>
            </w:r>
          </w:p>
        </w:tc>
        <w:tc>
          <w:tcPr>
            <w:tcW w:w="3127" w:type="dxa"/>
            <w:tcBorders>
              <w:bottom w:val="single" w:sz="4" w:space="0" w:color="auto"/>
            </w:tcBorders>
            <w:hideMark/>
          </w:tcPr>
          <w:p w14:paraId="344164C5"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Prebiotic effects; increased beneficial bacteria; SCFA production</w:t>
            </w:r>
          </w:p>
        </w:tc>
      </w:tr>
      <w:tr w:rsidR="00E03EDF" w:rsidRPr="00AE3A89" w14:paraId="49BF8751" w14:textId="77777777" w:rsidTr="00D70F8A">
        <w:trPr>
          <w:jc w:val="center"/>
        </w:trPr>
        <w:tc>
          <w:tcPr>
            <w:tcW w:w="2093" w:type="dxa"/>
            <w:tcBorders>
              <w:top w:val="single" w:sz="4" w:space="0" w:color="auto"/>
              <w:bottom w:val="single" w:sz="4" w:space="0" w:color="auto"/>
            </w:tcBorders>
            <w:hideMark/>
          </w:tcPr>
          <w:p w14:paraId="2A2BB7F8"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Pratap et al. (2022)</w:t>
            </w:r>
          </w:p>
        </w:tc>
        <w:tc>
          <w:tcPr>
            <w:tcW w:w="1911" w:type="dxa"/>
            <w:tcBorders>
              <w:top w:val="single" w:sz="4" w:space="0" w:color="auto"/>
              <w:bottom w:val="single" w:sz="4" w:space="0" w:color="auto"/>
            </w:tcBorders>
            <w:hideMark/>
          </w:tcPr>
          <w:p w14:paraId="6A3D6AA0" w14:textId="77777777" w:rsidR="00E03EDF" w:rsidRPr="00AE3A89" w:rsidRDefault="00E03EDF">
            <w:pPr>
              <w:rPr>
                <w:rFonts w:ascii="Arial" w:hAnsi="Arial" w:cs="Arial"/>
                <w:sz w:val="18"/>
                <w:szCs w:val="18"/>
              </w:rPr>
            </w:pPr>
            <w:r w:rsidRPr="00AE3A89">
              <w:rPr>
                <w:rFonts w:ascii="Arial" w:hAnsi="Arial" w:cs="Arial"/>
                <w:sz w:val="18"/>
                <w:szCs w:val="18"/>
              </w:rPr>
              <w:t>Ulvan</w:t>
            </w:r>
          </w:p>
        </w:tc>
        <w:tc>
          <w:tcPr>
            <w:tcW w:w="2111" w:type="dxa"/>
            <w:tcBorders>
              <w:top w:val="single" w:sz="4" w:space="0" w:color="auto"/>
              <w:bottom w:val="single" w:sz="4" w:space="0" w:color="auto"/>
            </w:tcBorders>
            <w:hideMark/>
          </w:tcPr>
          <w:p w14:paraId="51306B8B"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Mice</w:t>
            </w:r>
          </w:p>
        </w:tc>
        <w:tc>
          <w:tcPr>
            <w:tcW w:w="3127" w:type="dxa"/>
            <w:tcBorders>
              <w:top w:val="single" w:sz="4" w:space="0" w:color="auto"/>
              <w:bottom w:val="single" w:sz="4" w:space="0" w:color="auto"/>
            </w:tcBorders>
            <w:hideMark/>
          </w:tcPr>
          <w:p w14:paraId="499A9128"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Positively modulated gut microbiota; increased beneficial genera</w:t>
            </w:r>
          </w:p>
        </w:tc>
      </w:tr>
      <w:tr w:rsidR="00E03EDF" w:rsidRPr="00AE3A89" w14:paraId="6990FD85" w14:textId="77777777" w:rsidTr="00D70F8A">
        <w:trPr>
          <w:jc w:val="center"/>
        </w:trPr>
        <w:tc>
          <w:tcPr>
            <w:tcW w:w="2093" w:type="dxa"/>
            <w:tcBorders>
              <w:top w:val="single" w:sz="4" w:space="0" w:color="auto"/>
              <w:bottom w:val="single" w:sz="4" w:space="0" w:color="auto"/>
            </w:tcBorders>
            <w:hideMark/>
          </w:tcPr>
          <w:p w14:paraId="53B71BD2"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Chen et al. (2022)</w:t>
            </w:r>
          </w:p>
        </w:tc>
        <w:tc>
          <w:tcPr>
            <w:tcW w:w="1911" w:type="dxa"/>
            <w:tcBorders>
              <w:top w:val="single" w:sz="4" w:space="0" w:color="auto"/>
              <w:bottom w:val="single" w:sz="4" w:space="0" w:color="auto"/>
            </w:tcBorders>
            <w:hideMark/>
          </w:tcPr>
          <w:p w14:paraId="32B3289F" w14:textId="77777777" w:rsidR="00E03EDF" w:rsidRPr="00AE3A89" w:rsidRDefault="000B734E">
            <w:pPr>
              <w:rPr>
                <w:rFonts w:ascii="Arial" w:hAnsi="Arial" w:cs="Arial"/>
                <w:sz w:val="18"/>
                <w:szCs w:val="18"/>
              </w:rPr>
            </w:pPr>
            <w:r>
              <w:rPr>
                <w:rFonts w:ascii="Arial" w:hAnsi="Arial" w:cs="Arial"/>
                <w:sz w:val="18"/>
                <w:szCs w:val="18"/>
              </w:rPr>
              <w:t xml:space="preserve">Ulvan </w:t>
            </w:r>
          </w:p>
        </w:tc>
        <w:tc>
          <w:tcPr>
            <w:tcW w:w="2111" w:type="dxa"/>
            <w:tcBorders>
              <w:top w:val="single" w:sz="4" w:space="0" w:color="auto"/>
              <w:bottom w:val="single" w:sz="4" w:space="0" w:color="auto"/>
            </w:tcBorders>
            <w:hideMark/>
          </w:tcPr>
          <w:p w14:paraId="1E2A33BB"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Aging-associated diabetic mice</w:t>
            </w:r>
          </w:p>
        </w:tc>
        <w:tc>
          <w:tcPr>
            <w:tcW w:w="3127" w:type="dxa"/>
            <w:tcBorders>
              <w:top w:val="single" w:sz="4" w:space="0" w:color="auto"/>
              <w:bottom w:val="single" w:sz="4" w:space="0" w:color="auto"/>
            </w:tcBorders>
            <w:hideMark/>
          </w:tcPr>
          <w:p w14:paraId="540F49D9"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Hypoglycemic and anti-aging effects via gut microbiota modulation</w:t>
            </w:r>
          </w:p>
        </w:tc>
      </w:tr>
      <w:tr w:rsidR="00E03EDF" w:rsidRPr="00AE3A89" w14:paraId="58F609BE" w14:textId="77777777" w:rsidTr="00D70F8A">
        <w:trPr>
          <w:jc w:val="center"/>
        </w:trPr>
        <w:tc>
          <w:tcPr>
            <w:tcW w:w="2093" w:type="dxa"/>
            <w:tcBorders>
              <w:top w:val="single" w:sz="4" w:space="0" w:color="auto"/>
              <w:bottom w:val="single" w:sz="4" w:space="0" w:color="auto"/>
            </w:tcBorders>
            <w:hideMark/>
          </w:tcPr>
          <w:p w14:paraId="7A5AC289"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Pung et al. (2022)</w:t>
            </w:r>
          </w:p>
        </w:tc>
        <w:tc>
          <w:tcPr>
            <w:tcW w:w="1911" w:type="dxa"/>
            <w:tcBorders>
              <w:top w:val="single" w:sz="4" w:space="0" w:color="auto"/>
              <w:bottom w:val="single" w:sz="4" w:space="0" w:color="auto"/>
            </w:tcBorders>
            <w:hideMark/>
          </w:tcPr>
          <w:p w14:paraId="06E5FF34" w14:textId="77777777" w:rsidR="00E03EDF" w:rsidRPr="00AE3A89" w:rsidRDefault="000B734E">
            <w:pPr>
              <w:rPr>
                <w:rFonts w:ascii="Arial" w:hAnsi="Arial" w:cs="Arial"/>
                <w:sz w:val="18"/>
                <w:szCs w:val="18"/>
              </w:rPr>
            </w:pPr>
            <w:r>
              <w:rPr>
                <w:rFonts w:ascii="Arial" w:hAnsi="Arial" w:cs="Arial"/>
                <w:sz w:val="18"/>
                <w:szCs w:val="18"/>
              </w:rPr>
              <w:t xml:space="preserve">Ulvan </w:t>
            </w:r>
          </w:p>
        </w:tc>
        <w:tc>
          <w:tcPr>
            <w:tcW w:w="2111" w:type="dxa"/>
            <w:tcBorders>
              <w:top w:val="single" w:sz="4" w:space="0" w:color="auto"/>
              <w:bottom w:val="single" w:sz="4" w:space="0" w:color="auto"/>
            </w:tcBorders>
            <w:hideMark/>
          </w:tcPr>
          <w:p w14:paraId="407C2410"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High-fat diet-fed mice</w:t>
            </w:r>
          </w:p>
        </w:tc>
        <w:tc>
          <w:tcPr>
            <w:tcW w:w="3127" w:type="dxa"/>
            <w:tcBorders>
              <w:top w:val="single" w:sz="4" w:space="0" w:color="auto"/>
              <w:bottom w:val="single" w:sz="4" w:space="0" w:color="auto"/>
            </w:tcBorders>
            <w:hideMark/>
          </w:tcPr>
          <w:p w14:paraId="75806029"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Anti-obesity effects; reduced body weight via gut microbiota modulation</w:t>
            </w:r>
          </w:p>
        </w:tc>
      </w:tr>
      <w:tr w:rsidR="00E03EDF" w:rsidRPr="00AE3A89" w14:paraId="444014B8" w14:textId="77777777" w:rsidTr="00D70F8A">
        <w:trPr>
          <w:jc w:val="center"/>
        </w:trPr>
        <w:tc>
          <w:tcPr>
            <w:tcW w:w="2093" w:type="dxa"/>
            <w:tcBorders>
              <w:top w:val="single" w:sz="4" w:space="0" w:color="auto"/>
              <w:bottom w:val="single" w:sz="4" w:space="0" w:color="auto"/>
            </w:tcBorders>
            <w:hideMark/>
          </w:tcPr>
          <w:p w14:paraId="71E099CF"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Chi et al. (2023)</w:t>
            </w:r>
          </w:p>
        </w:tc>
        <w:tc>
          <w:tcPr>
            <w:tcW w:w="1911" w:type="dxa"/>
            <w:tcBorders>
              <w:top w:val="single" w:sz="4" w:space="0" w:color="auto"/>
              <w:bottom w:val="single" w:sz="4" w:space="0" w:color="auto"/>
            </w:tcBorders>
            <w:hideMark/>
          </w:tcPr>
          <w:p w14:paraId="50798798" w14:textId="77777777" w:rsidR="00E03EDF" w:rsidRPr="00AE3A89" w:rsidRDefault="00E03EDF">
            <w:pPr>
              <w:rPr>
                <w:rFonts w:ascii="Arial" w:hAnsi="Arial" w:cs="Arial"/>
                <w:sz w:val="18"/>
                <w:szCs w:val="18"/>
              </w:rPr>
            </w:pPr>
            <w:r w:rsidRPr="00AE3A89">
              <w:rPr>
                <w:rFonts w:ascii="Arial" w:hAnsi="Arial" w:cs="Arial"/>
                <w:sz w:val="18"/>
                <w:szCs w:val="18"/>
              </w:rPr>
              <w:t>Ulvan oligosaccharides</w:t>
            </w:r>
          </w:p>
        </w:tc>
        <w:tc>
          <w:tcPr>
            <w:tcW w:w="2111" w:type="dxa"/>
            <w:tcBorders>
              <w:top w:val="single" w:sz="4" w:space="0" w:color="auto"/>
              <w:bottom w:val="single" w:sz="4" w:space="0" w:color="auto"/>
            </w:tcBorders>
            <w:hideMark/>
          </w:tcPr>
          <w:p w14:paraId="6153B38D"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High-fat diet-fed mice</w:t>
            </w:r>
          </w:p>
        </w:tc>
        <w:tc>
          <w:tcPr>
            <w:tcW w:w="3127" w:type="dxa"/>
            <w:tcBorders>
              <w:top w:val="single" w:sz="4" w:space="0" w:color="auto"/>
              <w:bottom w:val="single" w:sz="4" w:space="0" w:color="auto"/>
            </w:tcBorders>
            <w:hideMark/>
          </w:tcPr>
          <w:p w14:paraId="631C0030"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Regulated lipid metabolism; reduced serum triglycerides and cholesterol</w:t>
            </w:r>
          </w:p>
        </w:tc>
      </w:tr>
      <w:tr w:rsidR="00E03EDF" w:rsidRPr="00AE3A89" w14:paraId="68857805" w14:textId="77777777" w:rsidTr="00D70F8A">
        <w:trPr>
          <w:jc w:val="center"/>
        </w:trPr>
        <w:tc>
          <w:tcPr>
            <w:tcW w:w="2093" w:type="dxa"/>
            <w:tcBorders>
              <w:top w:val="single" w:sz="4" w:space="0" w:color="auto"/>
              <w:bottom w:val="single" w:sz="4" w:space="0" w:color="auto"/>
            </w:tcBorders>
            <w:hideMark/>
          </w:tcPr>
          <w:p w14:paraId="6967A42B"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Ruan et al. (2023)</w:t>
            </w:r>
          </w:p>
        </w:tc>
        <w:tc>
          <w:tcPr>
            <w:tcW w:w="1911" w:type="dxa"/>
            <w:tcBorders>
              <w:top w:val="single" w:sz="4" w:space="0" w:color="auto"/>
              <w:bottom w:val="single" w:sz="4" w:space="0" w:color="auto"/>
            </w:tcBorders>
            <w:hideMark/>
          </w:tcPr>
          <w:p w14:paraId="4811F0D8" w14:textId="77777777" w:rsidR="00E03EDF" w:rsidRPr="00AE3A89" w:rsidRDefault="000B734E">
            <w:pPr>
              <w:rPr>
                <w:rFonts w:ascii="Arial" w:hAnsi="Arial" w:cs="Arial"/>
                <w:sz w:val="18"/>
                <w:szCs w:val="18"/>
              </w:rPr>
            </w:pPr>
            <w:r>
              <w:rPr>
                <w:rFonts w:ascii="Arial" w:hAnsi="Arial" w:cs="Arial"/>
                <w:sz w:val="18"/>
                <w:szCs w:val="18"/>
              </w:rPr>
              <w:t xml:space="preserve">Ulvan </w:t>
            </w:r>
          </w:p>
        </w:tc>
        <w:tc>
          <w:tcPr>
            <w:tcW w:w="2111" w:type="dxa"/>
            <w:tcBorders>
              <w:top w:val="single" w:sz="4" w:space="0" w:color="auto"/>
              <w:bottom w:val="single" w:sz="4" w:space="0" w:color="auto"/>
            </w:tcBorders>
            <w:hideMark/>
          </w:tcPr>
          <w:p w14:paraId="73516588"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T2DM mice</w:t>
            </w:r>
          </w:p>
        </w:tc>
        <w:tc>
          <w:tcPr>
            <w:tcW w:w="3127" w:type="dxa"/>
            <w:tcBorders>
              <w:top w:val="single" w:sz="4" w:space="0" w:color="auto"/>
              <w:bottom w:val="single" w:sz="4" w:space="0" w:color="auto"/>
            </w:tcBorders>
            <w:hideMark/>
          </w:tcPr>
          <w:p w14:paraId="14B11529"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Alleviated T2DM; improved insulin tolerance; increased SOD and CAT activities</w:t>
            </w:r>
          </w:p>
        </w:tc>
      </w:tr>
      <w:tr w:rsidR="00E03EDF" w:rsidRPr="00AE3A89" w14:paraId="2C7061A4" w14:textId="77777777" w:rsidTr="00D70F8A">
        <w:trPr>
          <w:jc w:val="center"/>
        </w:trPr>
        <w:tc>
          <w:tcPr>
            <w:tcW w:w="2093" w:type="dxa"/>
            <w:tcBorders>
              <w:top w:val="single" w:sz="4" w:space="0" w:color="auto"/>
              <w:bottom w:val="single" w:sz="4" w:space="0" w:color="auto"/>
            </w:tcBorders>
            <w:hideMark/>
          </w:tcPr>
          <w:p w14:paraId="635A4582"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Lee et al. (2023)</w:t>
            </w:r>
          </w:p>
        </w:tc>
        <w:tc>
          <w:tcPr>
            <w:tcW w:w="1911" w:type="dxa"/>
            <w:tcBorders>
              <w:top w:val="single" w:sz="4" w:space="0" w:color="auto"/>
              <w:bottom w:val="single" w:sz="4" w:space="0" w:color="auto"/>
            </w:tcBorders>
            <w:hideMark/>
          </w:tcPr>
          <w:p w14:paraId="1929896F" w14:textId="77777777" w:rsidR="00E03EDF" w:rsidRPr="00AE3A89" w:rsidRDefault="000B734E">
            <w:pPr>
              <w:rPr>
                <w:rFonts w:ascii="Arial" w:hAnsi="Arial" w:cs="Arial"/>
                <w:sz w:val="18"/>
                <w:szCs w:val="18"/>
              </w:rPr>
            </w:pPr>
            <w:r>
              <w:rPr>
                <w:rFonts w:ascii="Arial" w:hAnsi="Arial" w:cs="Arial"/>
                <w:sz w:val="18"/>
                <w:szCs w:val="18"/>
              </w:rPr>
              <w:t xml:space="preserve">Ulvan </w:t>
            </w:r>
          </w:p>
        </w:tc>
        <w:tc>
          <w:tcPr>
            <w:tcW w:w="2111" w:type="dxa"/>
            <w:tcBorders>
              <w:top w:val="single" w:sz="4" w:space="0" w:color="auto"/>
              <w:bottom w:val="single" w:sz="4" w:space="0" w:color="auto"/>
            </w:tcBorders>
            <w:hideMark/>
          </w:tcPr>
          <w:p w14:paraId="698A2ECE"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 xml:space="preserve">3T3-L1 adipocytes (in </w:t>
            </w:r>
            <w:r w:rsidRPr="00AE3A89">
              <w:rPr>
                <w:rFonts w:ascii="Arial" w:hAnsi="Arial" w:cs="Arial"/>
                <w:sz w:val="18"/>
                <w:szCs w:val="18"/>
              </w:rPr>
              <w:lastRenderedPageBreak/>
              <w:t>vitro)</w:t>
            </w:r>
          </w:p>
        </w:tc>
        <w:tc>
          <w:tcPr>
            <w:tcW w:w="3127" w:type="dxa"/>
            <w:tcBorders>
              <w:top w:val="single" w:sz="4" w:space="0" w:color="auto"/>
              <w:bottom w:val="single" w:sz="4" w:space="0" w:color="auto"/>
            </w:tcBorders>
            <w:hideMark/>
          </w:tcPr>
          <w:p w14:paraId="7532799D"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lastRenderedPageBreak/>
              <w:t xml:space="preserve">Potential to improve insulin </w:t>
            </w:r>
            <w:r w:rsidRPr="00AE3A89">
              <w:rPr>
                <w:rFonts w:ascii="Arial" w:hAnsi="Arial" w:cs="Arial"/>
                <w:sz w:val="18"/>
                <w:szCs w:val="18"/>
              </w:rPr>
              <w:lastRenderedPageBreak/>
              <w:t>resistance; enhanced glucose uptake</w:t>
            </w:r>
          </w:p>
        </w:tc>
      </w:tr>
      <w:tr w:rsidR="00E03EDF" w:rsidRPr="00AE3A89" w14:paraId="01EFD17A" w14:textId="77777777" w:rsidTr="00D70F8A">
        <w:trPr>
          <w:jc w:val="center"/>
        </w:trPr>
        <w:tc>
          <w:tcPr>
            <w:tcW w:w="2093" w:type="dxa"/>
            <w:tcBorders>
              <w:top w:val="single" w:sz="4" w:space="0" w:color="auto"/>
              <w:bottom w:val="single" w:sz="4" w:space="0" w:color="auto"/>
            </w:tcBorders>
            <w:hideMark/>
          </w:tcPr>
          <w:p w14:paraId="6E5E8FBD"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lastRenderedPageBreak/>
              <w:t>Liang et al. (2024)</w:t>
            </w:r>
          </w:p>
        </w:tc>
        <w:tc>
          <w:tcPr>
            <w:tcW w:w="1911" w:type="dxa"/>
            <w:tcBorders>
              <w:top w:val="single" w:sz="4" w:space="0" w:color="auto"/>
              <w:bottom w:val="single" w:sz="4" w:space="0" w:color="auto"/>
            </w:tcBorders>
            <w:hideMark/>
          </w:tcPr>
          <w:p w14:paraId="3CBD4A95" w14:textId="77777777" w:rsidR="00E03EDF" w:rsidRPr="00AE3A89" w:rsidRDefault="000B734E">
            <w:pPr>
              <w:rPr>
                <w:rFonts w:ascii="Arial" w:hAnsi="Arial" w:cs="Arial"/>
                <w:sz w:val="18"/>
                <w:szCs w:val="18"/>
              </w:rPr>
            </w:pPr>
            <w:r>
              <w:rPr>
                <w:rFonts w:ascii="Arial" w:hAnsi="Arial" w:cs="Arial"/>
                <w:sz w:val="18"/>
                <w:szCs w:val="18"/>
              </w:rPr>
              <w:t xml:space="preserve">Ulvan </w:t>
            </w:r>
          </w:p>
        </w:tc>
        <w:tc>
          <w:tcPr>
            <w:tcW w:w="2111" w:type="dxa"/>
            <w:tcBorders>
              <w:top w:val="single" w:sz="4" w:space="0" w:color="auto"/>
              <w:bottom w:val="single" w:sz="4" w:space="0" w:color="auto"/>
            </w:tcBorders>
            <w:hideMark/>
          </w:tcPr>
          <w:p w14:paraId="44E318F6"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In vitro human fecal fermentation</w:t>
            </w:r>
          </w:p>
        </w:tc>
        <w:tc>
          <w:tcPr>
            <w:tcW w:w="3127" w:type="dxa"/>
            <w:tcBorders>
              <w:top w:val="single" w:sz="4" w:space="0" w:color="auto"/>
              <w:bottom w:val="single" w:sz="4" w:space="0" w:color="auto"/>
            </w:tcBorders>
            <w:hideMark/>
          </w:tcPr>
          <w:p w14:paraId="57415F3F"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Antioxidant activity; increased Bacteroides and Parabacteroides</w:t>
            </w:r>
          </w:p>
        </w:tc>
      </w:tr>
    </w:tbl>
    <w:p w14:paraId="12C0492E" w14:textId="77777777" w:rsidR="0076677F" w:rsidRDefault="0076677F" w:rsidP="00E03EDF">
      <w:pPr>
        <w:pStyle w:val="NormalWeb"/>
        <w:spacing w:line="360" w:lineRule="auto"/>
        <w:jc w:val="both"/>
        <w:rPr>
          <w:rFonts w:ascii="Arial" w:hAnsi="Arial" w:cs="Arial"/>
          <w:b/>
        </w:rPr>
      </w:pPr>
    </w:p>
    <w:p w14:paraId="0F861474" w14:textId="77777777" w:rsidR="00AE3A89" w:rsidRDefault="00B057CB" w:rsidP="00E03EDF">
      <w:pPr>
        <w:pStyle w:val="NormalWeb"/>
        <w:spacing w:line="360" w:lineRule="auto"/>
        <w:jc w:val="both"/>
        <w:rPr>
          <w:rFonts w:ascii="Arial" w:hAnsi="Arial" w:cs="Arial"/>
          <w:b/>
        </w:rPr>
      </w:pPr>
      <w:r w:rsidRPr="00B057CB">
        <w:rPr>
          <w:rFonts w:ascii="Arial" w:hAnsi="Arial" w:cs="Arial"/>
          <w:b/>
        </w:rPr>
        <w:t>6</w:t>
      </w:r>
      <w:r w:rsidR="00D70F8A" w:rsidRPr="00B057CB">
        <w:rPr>
          <w:rFonts w:ascii="Arial" w:hAnsi="Arial" w:cs="Arial"/>
          <w:b/>
        </w:rPr>
        <w:t>. SUMMARY OF KEY MECHANISMS</w:t>
      </w:r>
    </w:p>
    <w:p w14:paraId="25CB5160" w14:textId="77777777" w:rsidR="00DB6EE9" w:rsidRDefault="00B057CB" w:rsidP="00E03EDF">
      <w:pPr>
        <w:pStyle w:val="NormalWeb"/>
        <w:spacing w:line="360" w:lineRule="auto"/>
        <w:jc w:val="both"/>
      </w:pPr>
      <w:r w:rsidRPr="00B057CB">
        <w:t xml:space="preserve">The following table summarizes the key mechanisms by which </w:t>
      </w:r>
      <w:proofErr w:type="spellStart"/>
      <w:r w:rsidRPr="00B057CB">
        <w:t>fucoidans</w:t>
      </w:r>
      <w:proofErr w:type="spellEnd"/>
      <w:r w:rsidRPr="00B057CB">
        <w:t xml:space="preserve"> and </w:t>
      </w:r>
      <w:proofErr w:type="spellStart"/>
      <w:r w:rsidRPr="00B057CB">
        <w:t>ulvans</w:t>
      </w:r>
      <w:proofErr w:type="spellEnd"/>
      <w:r w:rsidRPr="00B057CB">
        <w:t xml:space="preserve"> attenuate systemic inflammation and insulin resistance through the gut-metabolic axis</w:t>
      </w:r>
    </w:p>
    <w:p w14:paraId="03FDA24D" w14:textId="77777777" w:rsidR="00B057CB" w:rsidRPr="00AE3A89" w:rsidRDefault="00B057CB" w:rsidP="00CD1DC1">
      <w:pPr>
        <w:pStyle w:val="NormalWeb"/>
        <w:spacing w:line="360" w:lineRule="auto"/>
        <w:jc w:val="center"/>
        <w:rPr>
          <w:rFonts w:ascii="Arial" w:hAnsi="Arial" w:cs="Arial"/>
          <w:b/>
        </w:rPr>
      </w:pPr>
      <w:r>
        <w:t>Table 3</w:t>
      </w:r>
      <w:r w:rsidR="00DB6EE9">
        <w:t xml:space="preserve"> Summary of key mechanisms</w:t>
      </w:r>
      <w:r w:rsidR="00CD1DC1">
        <w:t xml:space="preserve"> of action of </w:t>
      </w:r>
      <w:proofErr w:type="spellStart"/>
      <w:r w:rsidR="00CD1DC1" w:rsidRPr="00CD1DC1">
        <w:t>fucoidans</w:t>
      </w:r>
      <w:proofErr w:type="spellEnd"/>
      <w:r w:rsidR="00CD1DC1" w:rsidRPr="00CD1DC1">
        <w:t xml:space="preserve"> and </w:t>
      </w:r>
      <w:proofErr w:type="spellStart"/>
      <w:r w:rsidR="00CD1DC1" w:rsidRPr="00CD1DC1">
        <w:t>ulvans</w:t>
      </w:r>
      <w:proofErr w:type="spellEnd"/>
    </w:p>
    <w:tbl>
      <w:tblPr>
        <w:tblW w:w="5000" w:type="pct"/>
        <w:tblInd w:w="110" w:type="dxa"/>
        <w:tblBorders>
          <w:top w:val="single" w:sz="4" w:space="0" w:color="E1E4E8"/>
          <w:bottom w:val="single" w:sz="4" w:space="0" w:color="E1E4E8"/>
          <w:insideH w:val="single" w:sz="2" w:space="0" w:color="E1E4E8"/>
          <w:insideV w:val="single" w:sz="2" w:space="0" w:color="F6F8FA"/>
        </w:tblBorders>
        <w:tblCellMar>
          <w:left w:w="10" w:type="dxa"/>
          <w:right w:w="10" w:type="dxa"/>
        </w:tblCellMar>
        <w:tblLook w:val="04A0" w:firstRow="1" w:lastRow="0" w:firstColumn="1" w:lastColumn="0" w:noHBand="0" w:noVBand="1"/>
      </w:tblPr>
      <w:tblGrid>
        <w:gridCol w:w="1888"/>
        <w:gridCol w:w="4252"/>
        <w:gridCol w:w="3126"/>
      </w:tblGrid>
      <w:tr w:rsidR="00B057CB" w:rsidRPr="00AE3A89" w14:paraId="1BE13492" w14:textId="77777777" w:rsidTr="00B057CB">
        <w:trPr>
          <w:cantSplit/>
          <w:trHeight w:val="720"/>
          <w:tblHeader/>
        </w:trPr>
        <w:tc>
          <w:tcPr>
            <w:tcW w:w="0" w:type="auto"/>
            <w:tcBorders>
              <w:top w:val="single" w:sz="4" w:space="0" w:color="auto"/>
              <w:left w:val="nil"/>
              <w:bottom w:val="single" w:sz="4" w:space="0" w:color="auto"/>
              <w:right w:val="single" w:sz="2" w:space="0" w:color="F6F8FA"/>
            </w:tcBorders>
            <w:tcMar>
              <w:top w:w="100" w:type="dxa"/>
              <w:left w:w="120" w:type="dxa"/>
              <w:bottom w:w="100" w:type="dxa"/>
              <w:right w:w="120" w:type="dxa"/>
            </w:tcMar>
            <w:vAlign w:val="center"/>
            <w:hideMark/>
          </w:tcPr>
          <w:p w14:paraId="34480FF5" w14:textId="77777777" w:rsidR="00B057CB" w:rsidRPr="00AE3A89" w:rsidRDefault="00B057CB">
            <w:pPr>
              <w:pStyle w:val="MdTableHeader"/>
              <w:rPr>
                <w:rFonts w:ascii="Arial" w:hAnsi="Arial" w:cs="Arial"/>
                <w:sz w:val="18"/>
                <w:szCs w:val="18"/>
              </w:rPr>
            </w:pPr>
            <w:r w:rsidRPr="00AE3A89">
              <w:rPr>
                <w:rFonts w:ascii="Arial" w:hAnsi="Arial" w:cs="Arial"/>
                <w:sz w:val="18"/>
                <w:szCs w:val="18"/>
              </w:rPr>
              <w:t>Mechanism</w:t>
            </w:r>
          </w:p>
        </w:tc>
        <w:tc>
          <w:tcPr>
            <w:tcW w:w="0" w:type="auto"/>
            <w:tcBorders>
              <w:top w:val="single" w:sz="4" w:space="0" w:color="auto"/>
              <w:left w:val="single" w:sz="2" w:space="0" w:color="F6F8FA"/>
              <w:bottom w:val="single" w:sz="4" w:space="0" w:color="auto"/>
              <w:right w:val="single" w:sz="2" w:space="0" w:color="F6F8FA"/>
            </w:tcBorders>
            <w:tcMar>
              <w:top w:w="100" w:type="dxa"/>
              <w:left w:w="120" w:type="dxa"/>
              <w:bottom w:w="100" w:type="dxa"/>
              <w:right w:w="120" w:type="dxa"/>
            </w:tcMar>
            <w:vAlign w:val="center"/>
            <w:hideMark/>
          </w:tcPr>
          <w:p w14:paraId="4B98F562" w14:textId="77777777" w:rsidR="00B057CB" w:rsidRPr="00AE3A89" w:rsidRDefault="00B057CB">
            <w:pPr>
              <w:pStyle w:val="MdTableHeader"/>
              <w:rPr>
                <w:rFonts w:ascii="Arial" w:hAnsi="Arial" w:cs="Arial"/>
                <w:sz w:val="18"/>
                <w:szCs w:val="18"/>
              </w:rPr>
            </w:pPr>
            <w:r w:rsidRPr="00AE3A89">
              <w:rPr>
                <w:rFonts w:ascii="Arial" w:hAnsi="Arial" w:cs="Arial"/>
                <w:sz w:val="18"/>
                <w:szCs w:val="18"/>
              </w:rPr>
              <w:t>Fucoidan</w:t>
            </w:r>
          </w:p>
        </w:tc>
        <w:tc>
          <w:tcPr>
            <w:tcW w:w="0" w:type="auto"/>
            <w:tcBorders>
              <w:top w:val="single" w:sz="4" w:space="0" w:color="auto"/>
              <w:left w:val="single" w:sz="2" w:space="0" w:color="F6F8FA"/>
              <w:bottom w:val="single" w:sz="4" w:space="0" w:color="auto"/>
              <w:right w:val="nil"/>
            </w:tcBorders>
            <w:tcMar>
              <w:top w:w="100" w:type="dxa"/>
              <w:left w:w="120" w:type="dxa"/>
              <w:bottom w:w="100" w:type="dxa"/>
              <w:right w:w="120" w:type="dxa"/>
            </w:tcMar>
            <w:vAlign w:val="center"/>
            <w:hideMark/>
          </w:tcPr>
          <w:p w14:paraId="460A801A" w14:textId="77777777" w:rsidR="00B057CB" w:rsidRPr="00AE3A89" w:rsidRDefault="00B057CB">
            <w:pPr>
              <w:pStyle w:val="MdTableHeader"/>
              <w:rPr>
                <w:rFonts w:ascii="Arial" w:hAnsi="Arial" w:cs="Arial"/>
                <w:sz w:val="18"/>
                <w:szCs w:val="18"/>
              </w:rPr>
            </w:pPr>
            <w:r w:rsidRPr="00AE3A89">
              <w:rPr>
                <w:rFonts w:ascii="Arial" w:hAnsi="Arial" w:cs="Arial"/>
                <w:sz w:val="18"/>
                <w:szCs w:val="18"/>
              </w:rPr>
              <w:t>Ulvan</w:t>
            </w:r>
          </w:p>
        </w:tc>
      </w:tr>
      <w:tr w:rsidR="00B057CB" w:rsidRPr="00AE3A89" w14:paraId="35770A88" w14:textId="77777777" w:rsidTr="00B057CB">
        <w:trPr>
          <w:cantSplit/>
          <w:trHeight w:val="576"/>
        </w:trPr>
        <w:tc>
          <w:tcPr>
            <w:tcW w:w="0" w:type="auto"/>
            <w:tcBorders>
              <w:top w:val="single" w:sz="4" w:space="0" w:color="auto"/>
              <w:left w:val="nil"/>
              <w:bottom w:val="single" w:sz="4" w:space="0" w:color="auto"/>
              <w:right w:val="single" w:sz="2" w:space="0" w:color="F6F8FA"/>
            </w:tcBorders>
            <w:tcMar>
              <w:top w:w="80" w:type="dxa"/>
              <w:left w:w="120" w:type="dxa"/>
              <w:bottom w:w="80" w:type="dxa"/>
              <w:right w:w="120" w:type="dxa"/>
            </w:tcMar>
            <w:vAlign w:val="center"/>
            <w:hideMark/>
          </w:tcPr>
          <w:p w14:paraId="29AA97B0" w14:textId="77777777" w:rsidR="00B057CB" w:rsidRPr="00AE3A89" w:rsidRDefault="00B057CB">
            <w:pPr>
              <w:pStyle w:val="MdTableCell"/>
              <w:rPr>
                <w:rFonts w:ascii="Arial" w:hAnsi="Arial" w:cs="Arial"/>
                <w:sz w:val="18"/>
                <w:szCs w:val="18"/>
              </w:rPr>
            </w:pPr>
            <w:r w:rsidRPr="00AE3A89">
              <w:rPr>
                <w:rStyle w:val="MdStrong"/>
                <w:rFonts w:ascii="Arial" w:hAnsi="Arial" w:cs="Arial"/>
                <w:sz w:val="18"/>
                <w:szCs w:val="18"/>
              </w:rPr>
              <w:t>Prebiotic Effect</w:t>
            </w:r>
          </w:p>
        </w:tc>
        <w:tc>
          <w:tcPr>
            <w:tcW w:w="0" w:type="auto"/>
            <w:tcBorders>
              <w:top w:val="single" w:sz="4" w:space="0" w:color="auto"/>
              <w:left w:val="single" w:sz="2" w:space="0" w:color="F6F8FA"/>
              <w:bottom w:val="single" w:sz="4" w:space="0" w:color="auto"/>
              <w:right w:val="single" w:sz="2" w:space="0" w:color="F6F8FA"/>
            </w:tcBorders>
            <w:tcMar>
              <w:top w:w="80" w:type="dxa"/>
              <w:left w:w="120" w:type="dxa"/>
              <w:bottom w:w="80" w:type="dxa"/>
              <w:right w:w="120" w:type="dxa"/>
            </w:tcMar>
            <w:vAlign w:val="center"/>
            <w:hideMark/>
          </w:tcPr>
          <w:p w14:paraId="1089FBD4" w14:textId="77777777" w:rsidR="00B057CB" w:rsidRPr="00AE3A89" w:rsidRDefault="00B057CB">
            <w:pPr>
              <w:pStyle w:val="MdTableCell"/>
              <w:rPr>
                <w:rFonts w:ascii="Arial" w:hAnsi="Arial" w:cs="Arial"/>
                <w:sz w:val="18"/>
                <w:szCs w:val="18"/>
              </w:rPr>
            </w:pPr>
            <w:r w:rsidRPr="00AE3A89">
              <w:rPr>
                <w:rFonts w:ascii="Arial" w:hAnsi="Arial" w:cs="Arial"/>
                <w:sz w:val="18"/>
                <w:szCs w:val="18"/>
              </w:rPr>
              <w:t xml:space="preserve">Increases </w:t>
            </w:r>
            <w:r w:rsidRPr="00AE3A89">
              <w:rPr>
                <w:rStyle w:val="MdEm"/>
                <w:rFonts w:ascii="Arial" w:hAnsi="Arial" w:cs="Arial"/>
                <w:sz w:val="18"/>
                <w:szCs w:val="18"/>
              </w:rPr>
              <w:t>Lactobacillus</w:t>
            </w:r>
            <w:r w:rsidRPr="00AE3A89">
              <w:rPr>
                <w:rFonts w:ascii="Arial" w:hAnsi="Arial" w:cs="Arial"/>
                <w:sz w:val="18"/>
                <w:szCs w:val="18"/>
              </w:rPr>
              <w:t xml:space="preserve">, </w:t>
            </w:r>
            <w:proofErr w:type="spellStart"/>
            <w:r w:rsidRPr="00AE3A89">
              <w:rPr>
                <w:rStyle w:val="MdEm"/>
                <w:rFonts w:ascii="Arial" w:hAnsi="Arial" w:cs="Arial"/>
                <w:sz w:val="18"/>
                <w:szCs w:val="18"/>
              </w:rPr>
              <w:t>Ruminococcaceae</w:t>
            </w:r>
            <w:proofErr w:type="spellEnd"/>
            <w:r w:rsidRPr="00AE3A89">
              <w:rPr>
                <w:rFonts w:ascii="Arial" w:hAnsi="Arial" w:cs="Arial"/>
                <w:sz w:val="18"/>
                <w:szCs w:val="18"/>
              </w:rPr>
              <w:t xml:space="preserve">, </w:t>
            </w:r>
            <w:proofErr w:type="spellStart"/>
            <w:r w:rsidRPr="00AE3A89">
              <w:rPr>
                <w:rStyle w:val="MdEm"/>
                <w:rFonts w:ascii="Arial" w:hAnsi="Arial" w:cs="Arial"/>
                <w:sz w:val="18"/>
                <w:szCs w:val="18"/>
              </w:rPr>
              <w:t>Akkermansia</w:t>
            </w:r>
            <w:proofErr w:type="spellEnd"/>
            <w:r w:rsidRPr="00AE3A89">
              <w:rPr>
                <w:rFonts w:ascii="Arial" w:hAnsi="Arial" w:cs="Arial"/>
                <w:sz w:val="18"/>
                <w:szCs w:val="18"/>
              </w:rPr>
              <w:t xml:space="preserve">, </w:t>
            </w:r>
            <w:proofErr w:type="spellStart"/>
            <w:r w:rsidRPr="00AE3A89">
              <w:rPr>
                <w:rStyle w:val="MdEm"/>
                <w:rFonts w:ascii="Arial" w:hAnsi="Arial" w:cs="Arial"/>
                <w:sz w:val="18"/>
                <w:szCs w:val="18"/>
              </w:rPr>
              <w:t>Bacteroides</w:t>
            </w:r>
            <w:proofErr w:type="spellEnd"/>
            <w:r w:rsidRPr="00AE3A89">
              <w:rPr>
                <w:rFonts w:ascii="Arial" w:hAnsi="Arial" w:cs="Arial"/>
                <w:sz w:val="18"/>
                <w:szCs w:val="18"/>
              </w:rPr>
              <w:t xml:space="preserve">, </w:t>
            </w:r>
            <w:proofErr w:type="spellStart"/>
            <w:r w:rsidRPr="00AE3A89">
              <w:rPr>
                <w:rStyle w:val="MdEm"/>
                <w:rFonts w:ascii="Arial" w:hAnsi="Arial" w:cs="Arial"/>
                <w:sz w:val="18"/>
                <w:szCs w:val="18"/>
              </w:rPr>
              <w:t>Bifidobacterium</w:t>
            </w:r>
            <w:proofErr w:type="spellEnd"/>
          </w:p>
        </w:tc>
        <w:tc>
          <w:tcPr>
            <w:tcW w:w="0" w:type="auto"/>
            <w:tcBorders>
              <w:top w:val="single" w:sz="4" w:space="0" w:color="auto"/>
              <w:left w:val="single" w:sz="2" w:space="0" w:color="F6F8FA"/>
              <w:bottom w:val="single" w:sz="4" w:space="0" w:color="auto"/>
              <w:right w:val="nil"/>
            </w:tcBorders>
            <w:tcMar>
              <w:top w:w="80" w:type="dxa"/>
              <w:left w:w="120" w:type="dxa"/>
              <w:bottom w:w="80" w:type="dxa"/>
              <w:right w:w="120" w:type="dxa"/>
            </w:tcMar>
            <w:vAlign w:val="center"/>
            <w:hideMark/>
          </w:tcPr>
          <w:p w14:paraId="188EB308" w14:textId="77777777" w:rsidR="00B057CB" w:rsidRPr="00AE3A89" w:rsidRDefault="00B057CB">
            <w:pPr>
              <w:pStyle w:val="MdTableCell"/>
              <w:rPr>
                <w:rFonts w:ascii="Arial" w:hAnsi="Arial" w:cs="Arial"/>
                <w:sz w:val="18"/>
                <w:szCs w:val="18"/>
              </w:rPr>
            </w:pPr>
            <w:r w:rsidRPr="00AE3A89">
              <w:rPr>
                <w:rFonts w:ascii="Arial" w:hAnsi="Arial" w:cs="Arial"/>
                <w:sz w:val="18"/>
                <w:szCs w:val="18"/>
              </w:rPr>
              <w:t xml:space="preserve">Increases </w:t>
            </w:r>
            <w:r w:rsidRPr="00AE3A89">
              <w:rPr>
                <w:rStyle w:val="MdEm"/>
                <w:rFonts w:ascii="Arial" w:hAnsi="Arial" w:cs="Arial"/>
                <w:sz w:val="18"/>
                <w:szCs w:val="18"/>
              </w:rPr>
              <w:t>Bacteroides</w:t>
            </w:r>
            <w:r w:rsidRPr="00AE3A89">
              <w:rPr>
                <w:rFonts w:ascii="Arial" w:hAnsi="Arial" w:cs="Arial"/>
                <w:sz w:val="18"/>
                <w:szCs w:val="18"/>
              </w:rPr>
              <w:t xml:space="preserve">, </w:t>
            </w:r>
            <w:r w:rsidRPr="00AE3A89">
              <w:rPr>
                <w:rStyle w:val="MdEm"/>
                <w:rFonts w:ascii="Arial" w:hAnsi="Arial" w:cs="Arial"/>
                <w:sz w:val="18"/>
                <w:szCs w:val="18"/>
              </w:rPr>
              <w:t>Parabacteroides</w:t>
            </w:r>
            <w:r w:rsidRPr="00AE3A89">
              <w:rPr>
                <w:rFonts w:ascii="Arial" w:hAnsi="Arial" w:cs="Arial"/>
                <w:sz w:val="18"/>
                <w:szCs w:val="18"/>
              </w:rPr>
              <w:t xml:space="preserve">, </w:t>
            </w:r>
            <w:r w:rsidRPr="00AE3A89">
              <w:rPr>
                <w:rStyle w:val="MdEm"/>
                <w:rFonts w:ascii="Arial" w:hAnsi="Arial" w:cs="Arial"/>
                <w:sz w:val="18"/>
                <w:szCs w:val="18"/>
              </w:rPr>
              <w:t>Bifidobacterium</w:t>
            </w:r>
          </w:p>
        </w:tc>
      </w:tr>
      <w:tr w:rsidR="00B057CB" w:rsidRPr="00AE3A89" w14:paraId="3F95CC3F" w14:textId="77777777" w:rsidTr="00B057CB">
        <w:trPr>
          <w:cantSplit/>
          <w:trHeight w:val="576"/>
        </w:trPr>
        <w:tc>
          <w:tcPr>
            <w:tcW w:w="0" w:type="auto"/>
            <w:tcBorders>
              <w:top w:val="single" w:sz="4" w:space="0" w:color="auto"/>
              <w:left w:val="nil"/>
              <w:bottom w:val="single" w:sz="4" w:space="0" w:color="auto"/>
              <w:right w:val="single" w:sz="2" w:space="0" w:color="F6F8FA"/>
            </w:tcBorders>
            <w:tcMar>
              <w:top w:w="80" w:type="dxa"/>
              <w:left w:w="120" w:type="dxa"/>
              <w:bottom w:w="80" w:type="dxa"/>
              <w:right w:w="120" w:type="dxa"/>
            </w:tcMar>
            <w:vAlign w:val="center"/>
            <w:hideMark/>
          </w:tcPr>
          <w:p w14:paraId="32DBC7F7" w14:textId="77777777" w:rsidR="00B057CB" w:rsidRPr="00AE3A89" w:rsidRDefault="00B057CB">
            <w:pPr>
              <w:pStyle w:val="MdTableCell"/>
              <w:rPr>
                <w:rFonts w:ascii="Arial" w:hAnsi="Arial" w:cs="Arial"/>
                <w:sz w:val="18"/>
                <w:szCs w:val="18"/>
              </w:rPr>
            </w:pPr>
            <w:r w:rsidRPr="00AE3A89">
              <w:rPr>
                <w:rStyle w:val="MdStrong"/>
                <w:rFonts w:ascii="Arial" w:hAnsi="Arial" w:cs="Arial"/>
                <w:sz w:val="18"/>
                <w:szCs w:val="18"/>
              </w:rPr>
              <w:t>SCFA Production</w:t>
            </w:r>
          </w:p>
        </w:tc>
        <w:tc>
          <w:tcPr>
            <w:tcW w:w="0" w:type="auto"/>
            <w:tcBorders>
              <w:top w:val="single" w:sz="4" w:space="0" w:color="auto"/>
              <w:left w:val="single" w:sz="2" w:space="0" w:color="F6F8FA"/>
              <w:bottom w:val="single" w:sz="4" w:space="0" w:color="auto"/>
              <w:right w:val="single" w:sz="2" w:space="0" w:color="F6F8FA"/>
            </w:tcBorders>
            <w:tcMar>
              <w:top w:w="80" w:type="dxa"/>
              <w:left w:w="120" w:type="dxa"/>
              <w:bottom w:w="80" w:type="dxa"/>
              <w:right w:w="120" w:type="dxa"/>
            </w:tcMar>
            <w:vAlign w:val="center"/>
            <w:hideMark/>
          </w:tcPr>
          <w:p w14:paraId="3493304A" w14:textId="77777777" w:rsidR="00B057CB" w:rsidRPr="00AE3A89" w:rsidRDefault="00B057CB">
            <w:pPr>
              <w:pStyle w:val="MdTableCell"/>
              <w:rPr>
                <w:rFonts w:ascii="Arial" w:hAnsi="Arial" w:cs="Arial"/>
                <w:sz w:val="18"/>
                <w:szCs w:val="18"/>
              </w:rPr>
            </w:pPr>
            <w:r w:rsidRPr="00AE3A89">
              <w:rPr>
                <w:rFonts w:ascii="Arial" w:hAnsi="Arial" w:cs="Arial"/>
                <w:sz w:val="18"/>
                <w:szCs w:val="18"/>
              </w:rPr>
              <w:t>Promotes acetate, propionate, and butyrate production</w:t>
            </w:r>
          </w:p>
        </w:tc>
        <w:tc>
          <w:tcPr>
            <w:tcW w:w="0" w:type="auto"/>
            <w:tcBorders>
              <w:top w:val="single" w:sz="4" w:space="0" w:color="auto"/>
              <w:left w:val="single" w:sz="2" w:space="0" w:color="F6F8FA"/>
              <w:bottom w:val="single" w:sz="4" w:space="0" w:color="auto"/>
              <w:right w:val="nil"/>
            </w:tcBorders>
            <w:tcMar>
              <w:top w:w="80" w:type="dxa"/>
              <w:left w:w="120" w:type="dxa"/>
              <w:bottom w:w="80" w:type="dxa"/>
              <w:right w:w="120" w:type="dxa"/>
            </w:tcMar>
            <w:vAlign w:val="center"/>
            <w:hideMark/>
          </w:tcPr>
          <w:p w14:paraId="0DB04D65" w14:textId="77777777" w:rsidR="00B057CB" w:rsidRPr="00AE3A89" w:rsidRDefault="00B057CB">
            <w:pPr>
              <w:pStyle w:val="MdTableCell"/>
              <w:rPr>
                <w:rFonts w:ascii="Arial" w:hAnsi="Arial" w:cs="Arial"/>
                <w:sz w:val="18"/>
                <w:szCs w:val="18"/>
              </w:rPr>
            </w:pPr>
            <w:r w:rsidRPr="00AE3A89">
              <w:rPr>
                <w:rFonts w:ascii="Arial" w:hAnsi="Arial" w:cs="Arial"/>
                <w:sz w:val="18"/>
                <w:szCs w:val="18"/>
              </w:rPr>
              <w:t>Promotes SCFA production</w:t>
            </w:r>
          </w:p>
        </w:tc>
      </w:tr>
      <w:tr w:rsidR="00B057CB" w:rsidRPr="00AE3A89" w14:paraId="5061AE3A" w14:textId="77777777" w:rsidTr="00B057CB">
        <w:trPr>
          <w:cantSplit/>
          <w:trHeight w:val="576"/>
        </w:trPr>
        <w:tc>
          <w:tcPr>
            <w:tcW w:w="0" w:type="auto"/>
            <w:tcBorders>
              <w:top w:val="single" w:sz="4" w:space="0" w:color="auto"/>
              <w:left w:val="nil"/>
              <w:bottom w:val="single" w:sz="4" w:space="0" w:color="auto"/>
              <w:right w:val="single" w:sz="2" w:space="0" w:color="F6F8FA"/>
            </w:tcBorders>
            <w:tcMar>
              <w:top w:w="80" w:type="dxa"/>
              <w:left w:w="120" w:type="dxa"/>
              <w:bottom w:w="80" w:type="dxa"/>
              <w:right w:w="120" w:type="dxa"/>
            </w:tcMar>
            <w:vAlign w:val="center"/>
            <w:hideMark/>
          </w:tcPr>
          <w:p w14:paraId="70C95B56" w14:textId="77777777" w:rsidR="00B057CB" w:rsidRPr="00AE3A89" w:rsidRDefault="00B057CB">
            <w:pPr>
              <w:pStyle w:val="MdTableCell"/>
              <w:rPr>
                <w:rFonts w:ascii="Arial" w:hAnsi="Arial" w:cs="Arial"/>
                <w:sz w:val="18"/>
                <w:szCs w:val="18"/>
              </w:rPr>
            </w:pPr>
            <w:r w:rsidRPr="00AE3A89">
              <w:rPr>
                <w:rStyle w:val="MdStrong"/>
                <w:rFonts w:ascii="Arial" w:hAnsi="Arial" w:cs="Arial"/>
                <w:sz w:val="18"/>
                <w:szCs w:val="18"/>
              </w:rPr>
              <w:t>Intestinal Barrier</w:t>
            </w:r>
          </w:p>
        </w:tc>
        <w:tc>
          <w:tcPr>
            <w:tcW w:w="0" w:type="auto"/>
            <w:tcBorders>
              <w:top w:val="single" w:sz="4" w:space="0" w:color="auto"/>
              <w:left w:val="single" w:sz="2" w:space="0" w:color="F6F8FA"/>
              <w:bottom w:val="single" w:sz="4" w:space="0" w:color="auto"/>
              <w:right w:val="single" w:sz="2" w:space="0" w:color="F6F8FA"/>
            </w:tcBorders>
            <w:tcMar>
              <w:top w:w="80" w:type="dxa"/>
              <w:left w:w="120" w:type="dxa"/>
              <w:bottom w:w="80" w:type="dxa"/>
              <w:right w:w="120" w:type="dxa"/>
            </w:tcMar>
            <w:vAlign w:val="center"/>
            <w:hideMark/>
          </w:tcPr>
          <w:p w14:paraId="77C1D2E6" w14:textId="77777777" w:rsidR="00B057CB" w:rsidRPr="00AE3A89" w:rsidRDefault="00B057CB">
            <w:pPr>
              <w:pStyle w:val="MdTableCell"/>
              <w:rPr>
                <w:rFonts w:ascii="Arial" w:hAnsi="Arial" w:cs="Arial"/>
                <w:sz w:val="18"/>
                <w:szCs w:val="18"/>
              </w:rPr>
            </w:pPr>
            <w:r w:rsidRPr="00AE3A89">
              <w:rPr>
                <w:rFonts w:ascii="Arial" w:hAnsi="Arial" w:cs="Arial"/>
                <w:sz w:val="18"/>
                <w:szCs w:val="18"/>
              </w:rPr>
              <w:t xml:space="preserve">Strengthens tight junctions, promotes mucus production, increases </w:t>
            </w:r>
            <w:r w:rsidRPr="00AE3A89">
              <w:rPr>
                <w:rStyle w:val="MdEm"/>
                <w:rFonts w:ascii="Arial" w:hAnsi="Arial" w:cs="Arial"/>
                <w:sz w:val="18"/>
                <w:szCs w:val="18"/>
              </w:rPr>
              <w:t xml:space="preserve">A. </w:t>
            </w:r>
            <w:proofErr w:type="spellStart"/>
            <w:r w:rsidRPr="00AE3A89">
              <w:rPr>
                <w:rStyle w:val="MdEm"/>
                <w:rFonts w:ascii="Arial" w:hAnsi="Arial" w:cs="Arial"/>
                <w:sz w:val="18"/>
                <w:szCs w:val="18"/>
              </w:rPr>
              <w:t>muciniphila</w:t>
            </w:r>
            <w:proofErr w:type="spellEnd"/>
          </w:p>
        </w:tc>
        <w:tc>
          <w:tcPr>
            <w:tcW w:w="0" w:type="auto"/>
            <w:tcBorders>
              <w:top w:val="single" w:sz="4" w:space="0" w:color="auto"/>
              <w:left w:val="single" w:sz="2" w:space="0" w:color="F6F8FA"/>
              <w:bottom w:val="single" w:sz="4" w:space="0" w:color="auto"/>
              <w:right w:val="nil"/>
            </w:tcBorders>
            <w:tcMar>
              <w:top w:w="80" w:type="dxa"/>
              <w:left w:w="120" w:type="dxa"/>
              <w:bottom w:w="80" w:type="dxa"/>
              <w:right w:w="120" w:type="dxa"/>
            </w:tcMar>
            <w:vAlign w:val="center"/>
            <w:hideMark/>
          </w:tcPr>
          <w:p w14:paraId="61C4A7AE" w14:textId="77777777" w:rsidR="00B057CB" w:rsidRPr="00AE3A89" w:rsidRDefault="00B057CB">
            <w:pPr>
              <w:pStyle w:val="MdTableCell"/>
              <w:rPr>
                <w:rFonts w:ascii="Arial" w:hAnsi="Arial" w:cs="Arial"/>
                <w:sz w:val="18"/>
                <w:szCs w:val="18"/>
              </w:rPr>
            </w:pPr>
            <w:r w:rsidRPr="00AE3A89">
              <w:rPr>
                <w:rFonts w:ascii="Arial" w:hAnsi="Arial" w:cs="Arial"/>
                <w:sz w:val="18"/>
                <w:szCs w:val="18"/>
              </w:rPr>
              <w:t>Repairs intestinal barrier, regulates gut microbiota</w:t>
            </w:r>
          </w:p>
        </w:tc>
      </w:tr>
      <w:tr w:rsidR="00B057CB" w:rsidRPr="00AE3A89" w14:paraId="6E47B188" w14:textId="77777777" w:rsidTr="00B057CB">
        <w:trPr>
          <w:cantSplit/>
          <w:trHeight w:val="576"/>
        </w:trPr>
        <w:tc>
          <w:tcPr>
            <w:tcW w:w="0" w:type="auto"/>
            <w:tcBorders>
              <w:top w:val="single" w:sz="4" w:space="0" w:color="auto"/>
              <w:left w:val="nil"/>
              <w:bottom w:val="single" w:sz="4" w:space="0" w:color="auto"/>
              <w:right w:val="single" w:sz="2" w:space="0" w:color="F6F8FA"/>
            </w:tcBorders>
            <w:tcMar>
              <w:top w:w="80" w:type="dxa"/>
              <w:left w:w="120" w:type="dxa"/>
              <w:bottom w:w="80" w:type="dxa"/>
              <w:right w:w="120" w:type="dxa"/>
            </w:tcMar>
            <w:vAlign w:val="center"/>
            <w:hideMark/>
          </w:tcPr>
          <w:p w14:paraId="4E65D61D" w14:textId="77777777" w:rsidR="00B057CB" w:rsidRPr="00AE3A89" w:rsidRDefault="00B057CB">
            <w:pPr>
              <w:pStyle w:val="MdTableCell"/>
              <w:rPr>
                <w:rFonts w:ascii="Arial" w:hAnsi="Arial" w:cs="Arial"/>
                <w:sz w:val="18"/>
                <w:szCs w:val="18"/>
              </w:rPr>
            </w:pPr>
            <w:r w:rsidRPr="00AE3A89">
              <w:rPr>
                <w:rStyle w:val="MdStrong"/>
                <w:rFonts w:ascii="Arial" w:hAnsi="Arial" w:cs="Arial"/>
                <w:sz w:val="18"/>
                <w:szCs w:val="18"/>
              </w:rPr>
              <w:t>Anti-inflammatory Pathways</w:t>
            </w:r>
          </w:p>
        </w:tc>
        <w:tc>
          <w:tcPr>
            <w:tcW w:w="0" w:type="auto"/>
            <w:tcBorders>
              <w:top w:val="single" w:sz="4" w:space="0" w:color="auto"/>
              <w:left w:val="single" w:sz="2" w:space="0" w:color="F6F8FA"/>
              <w:bottom w:val="single" w:sz="4" w:space="0" w:color="auto"/>
              <w:right w:val="single" w:sz="2" w:space="0" w:color="F6F8FA"/>
            </w:tcBorders>
            <w:tcMar>
              <w:top w:w="80" w:type="dxa"/>
              <w:left w:w="120" w:type="dxa"/>
              <w:bottom w:w="80" w:type="dxa"/>
              <w:right w:w="120" w:type="dxa"/>
            </w:tcMar>
            <w:vAlign w:val="center"/>
            <w:hideMark/>
          </w:tcPr>
          <w:p w14:paraId="33D3F7B8" w14:textId="77777777" w:rsidR="00B057CB" w:rsidRPr="00AE3A89" w:rsidRDefault="00B057CB">
            <w:pPr>
              <w:pStyle w:val="MdTableCell"/>
              <w:rPr>
                <w:rFonts w:ascii="Arial" w:hAnsi="Arial" w:cs="Arial"/>
                <w:sz w:val="18"/>
                <w:szCs w:val="18"/>
              </w:rPr>
            </w:pPr>
            <w:r w:rsidRPr="00AE3A89">
              <w:rPr>
                <w:rFonts w:ascii="Arial" w:hAnsi="Arial" w:cs="Arial"/>
                <w:sz w:val="18"/>
                <w:szCs w:val="18"/>
              </w:rPr>
              <w:t>Inhibits NF-</w:t>
            </w:r>
            <w:proofErr w:type="spellStart"/>
            <w:r w:rsidRPr="00AE3A89">
              <w:rPr>
                <w:rFonts w:ascii="Arial" w:hAnsi="Arial" w:cs="Arial"/>
                <w:sz w:val="18"/>
                <w:szCs w:val="18"/>
              </w:rPr>
              <w:t>κB</w:t>
            </w:r>
            <w:proofErr w:type="spellEnd"/>
            <w:r w:rsidRPr="00AE3A89">
              <w:rPr>
                <w:rFonts w:ascii="Arial" w:hAnsi="Arial" w:cs="Arial"/>
                <w:sz w:val="18"/>
                <w:szCs w:val="18"/>
              </w:rPr>
              <w:t>, MAPK (ERK, JNK, p38); blocks TLR4; activates PI3K/AKT/Nrf2</w:t>
            </w:r>
          </w:p>
        </w:tc>
        <w:tc>
          <w:tcPr>
            <w:tcW w:w="0" w:type="auto"/>
            <w:tcBorders>
              <w:top w:val="single" w:sz="4" w:space="0" w:color="auto"/>
              <w:left w:val="single" w:sz="2" w:space="0" w:color="F6F8FA"/>
              <w:bottom w:val="single" w:sz="4" w:space="0" w:color="auto"/>
              <w:right w:val="nil"/>
            </w:tcBorders>
            <w:tcMar>
              <w:top w:w="80" w:type="dxa"/>
              <w:left w:w="120" w:type="dxa"/>
              <w:bottom w:w="80" w:type="dxa"/>
              <w:right w:w="120" w:type="dxa"/>
            </w:tcMar>
            <w:vAlign w:val="center"/>
            <w:hideMark/>
          </w:tcPr>
          <w:p w14:paraId="65D317DF" w14:textId="77777777" w:rsidR="00B057CB" w:rsidRPr="00AE3A89" w:rsidRDefault="00B057CB">
            <w:pPr>
              <w:pStyle w:val="MdTableCell"/>
              <w:rPr>
                <w:rFonts w:ascii="Arial" w:hAnsi="Arial" w:cs="Arial"/>
                <w:sz w:val="18"/>
                <w:szCs w:val="18"/>
              </w:rPr>
            </w:pPr>
            <w:r w:rsidRPr="00AE3A89">
              <w:rPr>
                <w:rFonts w:ascii="Arial" w:hAnsi="Arial" w:cs="Arial"/>
                <w:sz w:val="18"/>
                <w:szCs w:val="18"/>
              </w:rPr>
              <w:t>Activates PI3K/Akt via TLR4; enhances IL-10 production</w:t>
            </w:r>
          </w:p>
        </w:tc>
      </w:tr>
      <w:tr w:rsidR="00B057CB" w:rsidRPr="00AE3A89" w14:paraId="4B31E4B0" w14:textId="77777777" w:rsidTr="00B057CB">
        <w:trPr>
          <w:cantSplit/>
          <w:trHeight w:val="576"/>
        </w:trPr>
        <w:tc>
          <w:tcPr>
            <w:tcW w:w="0" w:type="auto"/>
            <w:tcBorders>
              <w:top w:val="single" w:sz="4" w:space="0" w:color="auto"/>
              <w:left w:val="nil"/>
              <w:bottom w:val="single" w:sz="4" w:space="0" w:color="auto"/>
              <w:right w:val="single" w:sz="2" w:space="0" w:color="F6F8FA"/>
            </w:tcBorders>
            <w:tcMar>
              <w:top w:w="80" w:type="dxa"/>
              <w:left w:w="120" w:type="dxa"/>
              <w:bottom w:w="80" w:type="dxa"/>
              <w:right w:w="120" w:type="dxa"/>
            </w:tcMar>
            <w:vAlign w:val="center"/>
            <w:hideMark/>
          </w:tcPr>
          <w:p w14:paraId="4F72A158" w14:textId="77777777" w:rsidR="00B057CB" w:rsidRPr="00AE3A89" w:rsidRDefault="00B057CB">
            <w:pPr>
              <w:pStyle w:val="MdTableCell"/>
              <w:rPr>
                <w:rFonts w:ascii="Arial" w:hAnsi="Arial" w:cs="Arial"/>
                <w:sz w:val="18"/>
                <w:szCs w:val="18"/>
              </w:rPr>
            </w:pPr>
            <w:r w:rsidRPr="00AE3A89">
              <w:rPr>
                <w:rStyle w:val="MdStrong"/>
                <w:rFonts w:ascii="Arial" w:hAnsi="Arial" w:cs="Arial"/>
                <w:sz w:val="18"/>
                <w:szCs w:val="18"/>
              </w:rPr>
              <w:t>Glucose Metabolism</w:t>
            </w:r>
          </w:p>
        </w:tc>
        <w:tc>
          <w:tcPr>
            <w:tcW w:w="0" w:type="auto"/>
            <w:tcBorders>
              <w:top w:val="single" w:sz="4" w:space="0" w:color="auto"/>
              <w:left w:val="single" w:sz="2" w:space="0" w:color="F6F8FA"/>
              <w:bottom w:val="single" w:sz="4" w:space="0" w:color="auto"/>
              <w:right w:val="single" w:sz="2" w:space="0" w:color="F6F8FA"/>
            </w:tcBorders>
            <w:tcMar>
              <w:top w:w="80" w:type="dxa"/>
              <w:left w:w="120" w:type="dxa"/>
              <w:bottom w:w="80" w:type="dxa"/>
              <w:right w:w="120" w:type="dxa"/>
            </w:tcMar>
            <w:vAlign w:val="center"/>
            <w:hideMark/>
          </w:tcPr>
          <w:p w14:paraId="7BA49F62" w14:textId="77777777" w:rsidR="00B057CB" w:rsidRPr="00AE3A89" w:rsidRDefault="00B057CB">
            <w:pPr>
              <w:pStyle w:val="MdTableCell"/>
              <w:rPr>
                <w:rFonts w:ascii="Arial" w:hAnsi="Arial" w:cs="Arial"/>
                <w:sz w:val="18"/>
                <w:szCs w:val="18"/>
              </w:rPr>
            </w:pPr>
            <w:r w:rsidRPr="00AE3A89">
              <w:rPr>
                <w:rFonts w:ascii="Arial" w:hAnsi="Arial" w:cs="Arial"/>
                <w:sz w:val="18"/>
                <w:szCs w:val="18"/>
              </w:rPr>
              <w:t>Inhibits α-amylase and α-glucosidase; promotes GLUT4 translocation; protects pancreatic β-cells</w:t>
            </w:r>
          </w:p>
        </w:tc>
        <w:tc>
          <w:tcPr>
            <w:tcW w:w="0" w:type="auto"/>
            <w:tcBorders>
              <w:top w:val="single" w:sz="4" w:space="0" w:color="auto"/>
              <w:left w:val="single" w:sz="2" w:space="0" w:color="F6F8FA"/>
              <w:bottom w:val="single" w:sz="4" w:space="0" w:color="auto"/>
              <w:right w:val="nil"/>
            </w:tcBorders>
            <w:tcMar>
              <w:top w:w="80" w:type="dxa"/>
              <w:left w:w="120" w:type="dxa"/>
              <w:bottom w:w="80" w:type="dxa"/>
              <w:right w:w="120" w:type="dxa"/>
            </w:tcMar>
            <w:vAlign w:val="center"/>
            <w:hideMark/>
          </w:tcPr>
          <w:p w14:paraId="75835A73" w14:textId="77777777" w:rsidR="00B057CB" w:rsidRPr="00AE3A89" w:rsidRDefault="00B057CB">
            <w:pPr>
              <w:pStyle w:val="MdTableCell"/>
              <w:rPr>
                <w:rFonts w:ascii="Arial" w:hAnsi="Arial" w:cs="Arial"/>
                <w:sz w:val="18"/>
                <w:szCs w:val="18"/>
              </w:rPr>
            </w:pPr>
            <w:r w:rsidRPr="00AE3A89">
              <w:rPr>
                <w:rFonts w:ascii="Arial" w:hAnsi="Arial" w:cs="Arial"/>
                <w:sz w:val="18"/>
                <w:szCs w:val="18"/>
              </w:rPr>
              <w:t>Improves insulin tolerance; increases antioxidant enzyme activity</w:t>
            </w:r>
          </w:p>
        </w:tc>
      </w:tr>
      <w:tr w:rsidR="00B057CB" w:rsidRPr="00AE3A89" w14:paraId="2D1B9411" w14:textId="77777777" w:rsidTr="00B057CB">
        <w:trPr>
          <w:cantSplit/>
          <w:trHeight w:val="576"/>
        </w:trPr>
        <w:tc>
          <w:tcPr>
            <w:tcW w:w="0" w:type="auto"/>
            <w:tcBorders>
              <w:top w:val="single" w:sz="4" w:space="0" w:color="auto"/>
              <w:left w:val="nil"/>
              <w:bottom w:val="single" w:sz="4" w:space="0" w:color="auto"/>
              <w:right w:val="single" w:sz="2" w:space="0" w:color="F6F8FA"/>
            </w:tcBorders>
            <w:tcMar>
              <w:top w:w="80" w:type="dxa"/>
              <w:left w:w="120" w:type="dxa"/>
              <w:bottom w:w="80" w:type="dxa"/>
              <w:right w:w="120" w:type="dxa"/>
            </w:tcMar>
            <w:vAlign w:val="center"/>
            <w:hideMark/>
          </w:tcPr>
          <w:p w14:paraId="541F17F7" w14:textId="77777777" w:rsidR="00B057CB" w:rsidRPr="00AE3A89" w:rsidRDefault="00B057CB">
            <w:pPr>
              <w:pStyle w:val="MdTableCell"/>
              <w:rPr>
                <w:rFonts w:ascii="Arial" w:hAnsi="Arial" w:cs="Arial"/>
                <w:sz w:val="18"/>
                <w:szCs w:val="18"/>
              </w:rPr>
            </w:pPr>
            <w:r w:rsidRPr="00AE3A89">
              <w:rPr>
                <w:rStyle w:val="MdStrong"/>
                <w:rFonts w:ascii="Arial" w:hAnsi="Arial" w:cs="Arial"/>
                <w:sz w:val="18"/>
                <w:szCs w:val="18"/>
              </w:rPr>
              <w:t>Lipid Metabolism</w:t>
            </w:r>
          </w:p>
        </w:tc>
        <w:tc>
          <w:tcPr>
            <w:tcW w:w="0" w:type="auto"/>
            <w:tcBorders>
              <w:top w:val="single" w:sz="4" w:space="0" w:color="auto"/>
              <w:left w:val="single" w:sz="2" w:space="0" w:color="F6F8FA"/>
              <w:bottom w:val="single" w:sz="4" w:space="0" w:color="auto"/>
              <w:right w:val="single" w:sz="2" w:space="0" w:color="F6F8FA"/>
            </w:tcBorders>
            <w:tcMar>
              <w:top w:w="80" w:type="dxa"/>
              <w:left w:w="120" w:type="dxa"/>
              <w:bottom w:w="80" w:type="dxa"/>
              <w:right w:w="120" w:type="dxa"/>
            </w:tcMar>
            <w:vAlign w:val="center"/>
            <w:hideMark/>
          </w:tcPr>
          <w:p w14:paraId="47E74B60" w14:textId="77777777" w:rsidR="00B057CB" w:rsidRPr="00AE3A89" w:rsidRDefault="00B057CB">
            <w:pPr>
              <w:pStyle w:val="MdTableCell"/>
              <w:rPr>
                <w:rFonts w:ascii="Arial" w:hAnsi="Arial" w:cs="Arial"/>
                <w:sz w:val="18"/>
                <w:szCs w:val="18"/>
              </w:rPr>
            </w:pPr>
            <w:r w:rsidRPr="00AE3A89">
              <w:rPr>
                <w:rFonts w:ascii="Arial" w:hAnsi="Arial" w:cs="Arial"/>
                <w:sz w:val="18"/>
                <w:szCs w:val="18"/>
              </w:rPr>
              <w:t xml:space="preserve">Ameliorates </w:t>
            </w:r>
            <w:proofErr w:type="spellStart"/>
            <w:r w:rsidRPr="00AE3A89">
              <w:rPr>
                <w:rFonts w:ascii="Arial" w:hAnsi="Arial" w:cs="Arial"/>
                <w:sz w:val="18"/>
                <w:szCs w:val="18"/>
              </w:rPr>
              <w:t>dyslipidemia</w:t>
            </w:r>
            <w:proofErr w:type="spellEnd"/>
          </w:p>
        </w:tc>
        <w:tc>
          <w:tcPr>
            <w:tcW w:w="0" w:type="auto"/>
            <w:tcBorders>
              <w:top w:val="single" w:sz="4" w:space="0" w:color="auto"/>
              <w:left w:val="single" w:sz="2" w:space="0" w:color="F6F8FA"/>
              <w:bottom w:val="single" w:sz="4" w:space="0" w:color="auto"/>
              <w:right w:val="nil"/>
            </w:tcBorders>
            <w:tcMar>
              <w:top w:w="80" w:type="dxa"/>
              <w:left w:w="120" w:type="dxa"/>
              <w:bottom w:w="80" w:type="dxa"/>
              <w:right w:w="120" w:type="dxa"/>
            </w:tcMar>
            <w:vAlign w:val="center"/>
            <w:hideMark/>
          </w:tcPr>
          <w:p w14:paraId="0F438A41" w14:textId="77777777" w:rsidR="00B057CB" w:rsidRPr="00AE3A89" w:rsidRDefault="00B057CB">
            <w:pPr>
              <w:pStyle w:val="MdTableCell"/>
              <w:rPr>
                <w:rFonts w:ascii="Arial" w:hAnsi="Arial" w:cs="Arial"/>
                <w:sz w:val="18"/>
                <w:szCs w:val="18"/>
              </w:rPr>
            </w:pPr>
            <w:r w:rsidRPr="00AE3A89">
              <w:rPr>
                <w:rFonts w:ascii="Arial" w:hAnsi="Arial" w:cs="Arial"/>
                <w:sz w:val="18"/>
                <w:szCs w:val="18"/>
              </w:rPr>
              <w:t>Regulates lipid metabolism; anti-obesity effects</w:t>
            </w:r>
          </w:p>
        </w:tc>
      </w:tr>
    </w:tbl>
    <w:p w14:paraId="160C0959" w14:textId="77777777" w:rsidR="00D70F8A" w:rsidRPr="007944E0" w:rsidRDefault="007944E0" w:rsidP="00E03EDF">
      <w:pPr>
        <w:pStyle w:val="NormalWeb"/>
        <w:spacing w:line="360" w:lineRule="auto"/>
        <w:jc w:val="both"/>
        <w:rPr>
          <w:rFonts w:ascii="Arial" w:hAnsi="Arial" w:cs="Arial"/>
          <w:b/>
        </w:rPr>
      </w:pPr>
      <w:r>
        <w:rPr>
          <w:rFonts w:ascii="Arial" w:hAnsi="Arial" w:cs="Arial"/>
          <w:b/>
        </w:rPr>
        <w:t xml:space="preserve">7. </w:t>
      </w:r>
      <w:r w:rsidRPr="007944E0">
        <w:rPr>
          <w:rFonts w:ascii="Arial" w:hAnsi="Arial" w:cs="Arial"/>
          <w:b/>
        </w:rPr>
        <w:t>CONCLUSION AND FUTURE PERSPECTIVES</w:t>
      </w:r>
    </w:p>
    <w:p w14:paraId="6BD1DE80" w14:textId="77777777" w:rsidR="003A08EA" w:rsidRPr="003A08EA" w:rsidRDefault="003A08EA" w:rsidP="003A08EA">
      <w:pPr>
        <w:pStyle w:val="NoSpacing"/>
        <w:spacing w:line="360" w:lineRule="auto"/>
        <w:ind w:firstLine="720"/>
        <w:jc w:val="both"/>
        <w:rPr>
          <w:rFonts w:ascii="Times New Roman" w:hAnsi="Times New Roman" w:cs="Times New Roman"/>
          <w:sz w:val="24"/>
          <w:szCs w:val="24"/>
        </w:rPr>
      </w:pPr>
      <w:bookmarkStart w:id="1" w:name="_Hlk219284361"/>
      <w:bookmarkStart w:id="2" w:name="_Hlk198031404"/>
      <w:r w:rsidRPr="003A08EA">
        <w:rPr>
          <w:rFonts w:ascii="Times New Roman" w:hAnsi="Times New Roman" w:cs="Times New Roman"/>
          <w:sz w:val="24"/>
          <w:szCs w:val="24"/>
        </w:rPr>
        <w:t xml:space="preserve">Evidence presented in this review firmly establishes algal polysaccharides </w:t>
      </w:r>
      <w:proofErr w:type="spellStart"/>
      <w:r w:rsidRPr="003A08EA">
        <w:rPr>
          <w:rFonts w:ascii="Times New Roman" w:hAnsi="Times New Roman" w:cs="Times New Roman"/>
          <w:sz w:val="24"/>
          <w:szCs w:val="24"/>
        </w:rPr>
        <w:t>fucoidan</w:t>
      </w:r>
      <w:proofErr w:type="spellEnd"/>
      <w:r w:rsidRPr="003A08EA">
        <w:rPr>
          <w:rFonts w:ascii="Times New Roman" w:hAnsi="Times New Roman" w:cs="Times New Roman"/>
          <w:sz w:val="24"/>
          <w:szCs w:val="24"/>
        </w:rPr>
        <w:t xml:space="preserve"> and </w:t>
      </w:r>
      <w:proofErr w:type="spellStart"/>
      <w:r w:rsidRPr="003A08EA">
        <w:rPr>
          <w:rFonts w:ascii="Times New Roman" w:hAnsi="Times New Roman" w:cs="Times New Roman"/>
          <w:sz w:val="24"/>
          <w:szCs w:val="24"/>
        </w:rPr>
        <w:t>ulvan</w:t>
      </w:r>
      <w:proofErr w:type="spellEnd"/>
      <w:r w:rsidRPr="003A08EA">
        <w:rPr>
          <w:rFonts w:ascii="Times New Roman" w:hAnsi="Times New Roman" w:cs="Times New Roman"/>
          <w:sz w:val="24"/>
          <w:szCs w:val="24"/>
        </w:rPr>
        <w:t xml:space="preserve"> as </w:t>
      </w:r>
      <w:proofErr w:type="spellStart"/>
      <w:r w:rsidRPr="003A08EA">
        <w:rPr>
          <w:rFonts w:ascii="Times New Roman" w:hAnsi="Times New Roman" w:cs="Times New Roman"/>
          <w:sz w:val="24"/>
          <w:szCs w:val="24"/>
        </w:rPr>
        <w:t>antihyperglycemic</w:t>
      </w:r>
      <w:proofErr w:type="spellEnd"/>
      <w:r w:rsidRPr="003A08EA">
        <w:rPr>
          <w:rFonts w:ascii="Times New Roman" w:hAnsi="Times New Roman" w:cs="Times New Roman"/>
          <w:sz w:val="24"/>
          <w:szCs w:val="24"/>
        </w:rPr>
        <w:t xml:space="preserve"> agents against metabolic disorders with systemic inflammation and insulin resistance. Through modulation of gut </w:t>
      </w:r>
      <w:proofErr w:type="spellStart"/>
      <w:r w:rsidRPr="003A08EA">
        <w:rPr>
          <w:rFonts w:ascii="Times New Roman" w:hAnsi="Times New Roman" w:cs="Times New Roman"/>
          <w:sz w:val="24"/>
          <w:szCs w:val="24"/>
        </w:rPr>
        <w:t>microbiota</w:t>
      </w:r>
      <w:proofErr w:type="spellEnd"/>
      <w:r w:rsidRPr="003A08EA">
        <w:rPr>
          <w:rFonts w:ascii="Times New Roman" w:hAnsi="Times New Roman" w:cs="Times New Roman"/>
          <w:sz w:val="24"/>
          <w:szCs w:val="24"/>
        </w:rPr>
        <w:t xml:space="preserve">, improving intestinal barrier and direct anti-inflammatory activities; these compounds provide a multi-targeted approach to the underlying causes of metabolic disruption within gut-metabolic axis. Due to their ability to restore symbiosis of gut bacteria and limit inflammatory cascades </w:t>
      </w:r>
      <w:r w:rsidRPr="003A08EA">
        <w:rPr>
          <w:rFonts w:ascii="Times New Roman" w:hAnsi="Times New Roman" w:cs="Times New Roman"/>
          <w:sz w:val="24"/>
          <w:szCs w:val="24"/>
        </w:rPr>
        <w:lastRenderedPageBreak/>
        <w:t xml:space="preserve">associated with insulin resistance, they are potent candidates for developing functional foods or </w:t>
      </w:r>
      <w:proofErr w:type="spellStart"/>
      <w:r w:rsidRPr="003A08EA">
        <w:rPr>
          <w:rFonts w:ascii="Times New Roman" w:hAnsi="Times New Roman" w:cs="Times New Roman"/>
          <w:sz w:val="24"/>
          <w:szCs w:val="24"/>
        </w:rPr>
        <w:t>nutraceuticals</w:t>
      </w:r>
      <w:proofErr w:type="spellEnd"/>
      <w:r w:rsidRPr="003A08EA">
        <w:rPr>
          <w:rFonts w:ascii="Times New Roman" w:hAnsi="Times New Roman" w:cs="Times New Roman"/>
          <w:sz w:val="24"/>
          <w:szCs w:val="24"/>
        </w:rPr>
        <w:t>.</w:t>
      </w:r>
    </w:p>
    <w:p w14:paraId="6D51B3F5" w14:textId="77777777" w:rsidR="003A08EA" w:rsidRPr="003A08EA" w:rsidRDefault="003A08EA" w:rsidP="003A08EA">
      <w:pPr>
        <w:pStyle w:val="NoSpacing"/>
        <w:spacing w:line="360" w:lineRule="auto"/>
        <w:jc w:val="both"/>
        <w:rPr>
          <w:rFonts w:ascii="Times New Roman" w:hAnsi="Times New Roman" w:cs="Times New Roman"/>
          <w:sz w:val="24"/>
          <w:szCs w:val="24"/>
        </w:rPr>
      </w:pPr>
    </w:p>
    <w:p w14:paraId="7271A793" w14:textId="77777777" w:rsidR="003A08EA" w:rsidRPr="003A08EA" w:rsidRDefault="003A08EA" w:rsidP="003A08EA">
      <w:pPr>
        <w:pStyle w:val="NoSpacing"/>
        <w:spacing w:line="360" w:lineRule="auto"/>
        <w:ind w:firstLine="720"/>
        <w:jc w:val="both"/>
        <w:rPr>
          <w:rFonts w:ascii="Times New Roman" w:hAnsi="Times New Roman" w:cs="Times New Roman"/>
          <w:sz w:val="24"/>
          <w:szCs w:val="24"/>
        </w:rPr>
      </w:pPr>
      <w:r w:rsidRPr="003A08EA">
        <w:rPr>
          <w:rFonts w:ascii="Times New Roman" w:hAnsi="Times New Roman" w:cs="Times New Roman"/>
          <w:sz w:val="24"/>
          <w:szCs w:val="24"/>
        </w:rPr>
        <w:t xml:space="preserve">Nevertheless, we need to carefully appraise the available literature and recognize its limitations. Most results are obtained from in vitro and preclinical animal studies. Although these are important mechanistic findings, they cannot be necessarily extrapolated to human physiology. This inconsistency between studies, probably due to the remarkable structural heterogeneity of these polysaccharides (being changed by species, season of harvesting and extraction method), reveals a major problem. It is imperative for future studies to focus specifically on delineating clear structure-activity relationships associated with the most potent and safe </w:t>
      </w:r>
      <w:proofErr w:type="spellStart"/>
      <w:r w:rsidRPr="003A08EA">
        <w:rPr>
          <w:rFonts w:ascii="Times New Roman" w:hAnsi="Times New Roman" w:cs="Times New Roman"/>
          <w:sz w:val="24"/>
          <w:szCs w:val="24"/>
        </w:rPr>
        <w:t>fucoidans</w:t>
      </w:r>
      <w:proofErr w:type="spellEnd"/>
      <w:r w:rsidRPr="003A08EA">
        <w:rPr>
          <w:rFonts w:ascii="Times New Roman" w:hAnsi="Times New Roman" w:cs="Times New Roman"/>
          <w:sz w:val="24"/>
          <w:szCs w:val="24"/>
        </w:rPr>
        <w:t xml:space="preserve"> as well as </w:t>
      </w:r>
      <w:proofErr w:type="spellStart"/>
      <w:r w:rsidRPr="003A08EA">
        <w:rPr>
          <w:rFonts w:ascii="Times New Roman" w:hAnsi="Times New Roman" w:cs="Times New Roman"/>
          <w:sz w:val="24"/>
          <w:szCs w:val="24"/>
        </w:rPr>
        <w:t>ulvans</w:t>
      </w:r>
      <w:proofErr w:type="spellEnd"/>
      <w:r w:rsidRPr="003A08EA">
        <w:rPr>
          <w:rFonts w:ascii="Times New Roman" w:hAnsi="Times New Roman" w:cs="Times New Roman"/>
          <w:sz w:val="24"/>
          <w:szCs w:val="24"/>
        </w:rPr>
        <w:t>, to be used clinically in distinct therapeutic situations. Standardization of extraction and characterization protocols is critical to obtain product uniformity as well as the possibility for meaningful comparison between studies.</w:t>
      </w:r>
    </w:p>
    <w:p w14:paraId="0D36B00F" w14:textId="77777777" w:rsidR="003A08EA" w:rsidRPr="003A08EA" w:rsidRDefault="003A08EA" w:rsidP="003A08EA">
      <w:pPr>
        <w:pStyle w:val="NoSpacing"/>
        <w:spacing w:line="360" w:lineRule="auto"/>
        <w:jc w:val="both"/>
        <w:rPr>
          <w:rFonts w:ascii="Times New Roman" w:hAnsi="Times New Roman" w:cs="Times New Roman"/>
          <w:sz w:val="24"/>
          <w:szCs w:val="24"/>
        </w:rPr>
      </w:pPr>
    </w:p>
    <w:p w14:paraId="060CFA75" w14:textId="38911F41" w:rsidR="003A08EA" w:rsidRPr="003A08EA" w:rsidRDefault="003A08EA" w:rsidP="003A08EA">
      <w:pPr>
        <w:pStyle w:val="NoSpacing"/>
        <w:spacing w:line="360" w:lineRule="auto"/>
        <w:ind w:firstLine="720"/>
        <w:jc w:val="both"/>
        <w:rPr>
          <w:rFonts w:ascii="Times New Roman" w:hAnsi="Times New Roman" w:cs="Times New Roman"/>
          <w:sz w:val="24"/>
          <w:szCs w:val="24"/>
        </w:rPr>
      </w:pPr>
      <w:r w:rsidRPr="003A08EA">
        <w:rPr>
          <w:rFonts w:ascii="Times New Roman" w:hAnsi="Times New Roman" w:cs="Times New Roman"/>
          <w:sz w:val="24"/>
          <w:szCs w:val="24"/>
        </w:rPr>
        <w:t xml:space="preserve">Additionally, the scarcity of human clinical trials is a notable deficiency in the literature. For example, the only clinical trial on </w:t>
      </w:r>
      <w:proofErr w:type="spellStart"/>
      <w:r w:rsidRPr="003A08EA">
        <w:rPr>
          <w:rFonts w:ascii="Times New Roman" w:hAnsi="Times New Roman" w:cs="Times New Roman"/>
          <w:sz w:val="24"/>
          <w:szCs w:val="24"/>
        </w:rPr>
        <w:t>fucoidan</w:t>
      </w:r>
      <w:proofErr w:type="spellEnd"/>
      <w:r w:rsidRPr="003A08EA">
        <w:rPr>
          <w:rFonts w:ascii="Times New Roman" w:hAnsi="Times New Roman" w:cs="Times New Roman"/>
          <w:sz w:val="24"/>
          <w:szCs w:val="24"/>
        </w:rPr>
        <w:t xml:space="preserve"> referenced (Wright et al., 2019), did not find a significant impact on insulin resistance and therefore it was concluded that more well-designed, long-term randomized controlled human trials are required to demonstrate efficacy and determine optimal doses, as well as assess long term safety in diverse human populations. The possibility of possible deleterious effects, e.g. the over producti</w:t>
      </w:r>
      <w:r w:rsidR="00C42826">
        <w:rPr>
          <w:rFonts w:ascii="Times New Roman" w:hAnsi="Times New Roman" w:cs="Times New Roman"/>
          <w:sz w:val="24"/>
          <w:szCs w:val="24"/>
        </w:rPr>
        <w:t>on and therefore poisoning by H</w:t>
      </w:r>
      <w:r w:rsidR="00C42826">
        <w:rPr>
          <w:rFonts w:ascii="Times New Roman" w:hAnsi="Times New Roman" w:cs="Times New Roman"/>
          <w:sz w:val="24"/>
          <w:szCs w:val="24"/>
          <w:vertAlign w:val="subscript"/>
        </w:rPr>
        <w:t>2</w:t>
      </w:r>
      <w:r w:rsidR="00C42826">
        <w:rPr>
          <w:rFonts w:ascii="Times New Roman" w:hAnsi="Times New Roman" w:cs="Times New Roman"/>
          <w:sz w:val="24"/>
          <w:szCs w:val="24"/>
        </w:rPr>
        <w:t>S</w:t>
      </w:r>
      <w:r w:rsidRPr="003A08EA">
        <w:rPr>
          <w:rFonts w:ascii="Times New Roman" w:hAnsi="Times New Roman" w:cs="Times New Roman"/>
          <w:sz w:val="24"/>
          <w:szCs w:val="24"/>
        </w:rPr>
        <w:t xml:space="preserve"> arising from the fermentation of </w:t>
      </w:r>
      <w:r w:rsidR="006D72ED" w:rsidRPr="003A08EA">
        <w:rPr>
          <w:rFonts w:ascii="Times New Roman" w:hAnsi="Times New Roman" w:cs="Times New Roman"/>
          <w:sz w:val="24"/>
          <w:szCs w:val="24"/>
        </w:rPr>
        <w:t>sulphated</w:t>
      </w:r>
      <w:r w:rsidRPr="003A08EA">
        <w:rPr>
          <w:rFonts w:ascii="Times New Roman" w:hAnsi="Times New Roman" w:cs="Times New Roman"/>
          <w:sz w:val="24"/>
          <w:szCs w:val="24"/>
        </w:rPr>
        <w:t xml:space="preserve"> polysaccharides, should also be examined in human subjects.</w:t>
      </w:r>
    </w:p>
    <w:p w14:paraId="3AF10729" w14:textId="77777777" w:rsidR="003A08EA" w:rsidRPr="003A08EA" w:rsidRDefault="003A08EA" w:rsidP="003A08EA">
      <w:pPr>
        <w:pStyle w:val="NoSpacing"/>
        <w:spacing w:line="360" w:lineRule="auto"/>
        <w:jc w:val="both"/>
        <w:rPr>
          <w:rFonts w:ascii="Times New Roman" w:hAnsi="Times New Roman" w:cs="Times New Roman"/>
          <w:sz w:val="24"/>
          <w:szCs w:val="24"/>
        </w:rPr>
      </w:pPr>
    </w:p>
    <w:p w14:paraId="3C7148CD" w14:textId="670AAFD6" w:rsidR="003A08EA" w:rsidRPr="003A08EA" w:rsidRDefault="003A08EA" w:rsidP="006D72ED">
      <w:pPr>
        <w:pStyle w:val="NoSpacing"/>
        <w:spacing w:line="360" w:lineRule="auto"/>
        <w:ind w:firstLine="720"/>
        <w:jc w:val="both"/>
        <w:rPr>
          <w:rFonts w:ascii="Times New Roman" w:hAnsi="Times New Roman" w:cs="Times New Roman"/>
          <w:sz w:val="24"/>
          <w:szCs w:val="24"/>
          <w:highlight w:val="yellow"/>
        </w:rPr>
      </w:pPr>
      <w:r w:rsidRPr="003A08EA">
        <w:rPr>
          <w:rFonts w:ascii="Times New Roman" w:hAnsi="Times New Roman" w:cs="Times New Roman"/>
          <w:sz w:val="24"/>
          <w:szCs w:val="24"/>
        </w:rPr>
        <w:t xml:space="preserve">In summary, although </w:t>
      </w:r>
      <w:proofErr w:type="spellStart"/>
      <w:r w:rsidRPr="003A08EA">
        <w:rPr>
          <w:rFonts w:ascii="Times New Roman" w:hAnsi="Times New Roman" w:cs="Times New Roman"/>
          <w:sz w:val="24"/>
          <w:szCs w:val="24"/>
        </w:rPr>
        <w:t>fucoidans</w:t>
      </w:r>
      <w:proofErr w:type="spellEnd"/>
      <w:r w:rsidRPr="003A08EA">
        <w:rPr>
          <w:rFonts w:ascii="Times New Roman" w:hAnsi="Times New Roman" w:cs="Times New Roman"/>
          <w:sz w:val="24"/>
          <w:szCs w:val="24"/>
        </w:rPr>
        <w:t xml:space="preserve"> and </w:t>
      </w:r>
      <w:proofErr w:type="spellStart"/>
      <w:r w:rsidRPr="003A08EA">
        <w:rPr>
          <w:rFonts w:ascii="Times New Roman" w:hAnsi="Times New Roman" w:cs="Times New Roman"/>
          <w:sz w:val="24"/>
          <w:szCs w:val="24"/>
        </w:rPr>
        <w:t>ulvans</w:t>
      </w:r>
      <w:proofErr w:type="spellEnd"/>
      <w:r w:rsidRPr="003A08EA">
        <w:rPr>
          <w:rFonts w:ascii="Times New Roman" w:hAnsi="Times New Roman" w:cs="Times New Roman"/>
          <w:sz w:val="24"/>
          <w:szCs w:val="24"/>
        </w:rPr>
        <w:t xml:space="preserve"> offer a potential natural approach for the fight against chronic inflammation and metabolic disease, their progression from sea to clinic </w:t>
      </w:r>
      <w:proofErr w:type="gramStart"/>
      <w:r w:rsidRPr="003A08EA">
        <w:rPr>
          <w:rFonts w:ascii="Times New Roman" w:hAnsi="Times New Roman" w:cs="Times New Roman"/>
          <w:sz w:val="24"/>
          <w:szCs w:val="24"/>
        </w:rPr>
        <w:t>must</w:t>
      </w:r>
      <w:proofErr w:type="gramEnd"/>
      <w:r w:rsidRPr="003A08EA">
        <w:rPr>
          <w:rFonts w:ascii="Times New Roman" w:hAnsi="Times New Roman" w:cs="Times New Roman"/>
          <w:sz w:val="24"/>
          <w:szCs w:val="24"/>
        </w:rPr>
        <w:t xml:space="preserve"> be carefully and critically a</w:t>
      </w:r>
      <w:r w:rsidR="006D72ED">
        <w:rPr>
          <w:rFonts w:ascii="Times New Roman" w:hAnsi="Times New Roman" w:cs="Times New Roman"/>
          <w:sz w:val="24"/>
          <w:szCs w:val="24"/>
        </w:rPr>
        <w:t xml:space="preserve">ssessed. </w:t>
      </w:r>
      <w:proofErr w:type="gramStart"/>
      <w:r w:rsidR="006D72ED">
        <w:rPr>
          <w:rFonts w:ascii="Times New Roman" w:hAnsi="Times New Roman" w:cs="Times New Roman"/>
          <w:sz w:val="24"/>
          <w:szCs w:val="24"/>
        </w:rPr>
        <w:t>Key elements of these ‘</w:t>
      </w:r>
      <w:proofErr w:type="spellStart"/>
      <w:r w:rsidR="006D72ED">
        <w:rPr>
          <w:rFonts w:ascii="Times New Roman" w:hAnsi="Times New Roman" w:cs="Times New Roman"/>
          <w:sz w:val="24"/>
          <w:szCs w:val="24"/>
        </w:rPr>
        <w:t>marinized</w:t>
      </w:r>
      <w:proofErr w:type="spellEnd"/>
      <w:r w:rsidR="006D72ED">
        <w:rPr>
          <w:rFonts w:ascii="Times New Roman" w:hAnsi="Times New Roman" w:cs="Times New Roman"/>
          <w:sz w:val="24"/>
          <w:szCs w:val="24"/>
        </w:rPr>
        <w:t> agents’</w:t>
      </w:r>
      <w:r w:rsidRPr="003A08EA">
        <w:rPr>
          <w:rFonts w:ascii="Times New Roman" w:hAnsi="Times New Roman" w:cs="Times New Roman"/>
          <w:sz w:val="24"/>
          <w:szCs w:val="24"/>
        </w:rPr>
        <w:t xml:space="preserve"> are currently poorly reported and future work should narrow this gap between preclinical promise and clinical validation in order to fully exploit the therapeutic benefits of these appealing marine molecules.</w:t>
      </w:r>
      <w:proofErr w:type="gramEnd"/>
    </w:p>
    <w:bookmarkEnd w:id="1"/>
    <w:bookmarkEnd w:id="2"/>
    <w:p w14:paraId="2CD64223" w14:textId="77777777" w:rsidR="005E0AD5" w:rsidRDefault="005E0AD5" w:rsidP="005E0AD5">
      <w:pPr>
        <w:pStyle w:val="NormalWeb"/>
        <w:spacing w:line="360" w:lineRule="auto"/>
        <w:jc w:val="both"/>
      </w:pPr>
      <w:r w:rsidRPr="005E0AD5">
        <w:rPr>
          <w:rFonts w:ascii="Arial" w:hAnsi="Arial" w:cs="Arial"/>
          <w:b/>
        </w:rPr>
        <w:t>DISCLAIMER (ARTIFICIAL INTELLIGENCE</w:t>
      </w:r>
      <w:r>
        <w:t>)</w:t>
      </w:r>
    </w:p>
    <w:p w14:paraId="16759F35" w14:textId="32B41182" w:rsidR="005E0AD5" w:rsidRDefault="005E0AD5" w:rsidP="005E0AD5">
      <w:pPr>
        <w:pStyle w:val="NormalWeb"/>
        <w:spacing w:line="360" w:lineRule="auto"/>
        <w:jc w:val="both"/>
      </w:pPr>
      <w:r>
        <w:lastRenderedPageBreak/>
        <w:t>Author(s)  hereby  declare  that  NO  generative  AI technologies  such  as  Large  Language  Models (</w:t>
      </w:r>
      <w:proofErr w:type="spellStart"/>
      <w:r>
        <w:t>ChatGPT</w:t>
      </w:r>
      <w:proofErr w:type="spellEnd"/>
      <w:r>
        <w:t xml:space="preserve">,   COPILOT,   etc.)   </w:t>
      </w:r>
      <w:proofErr w:type="gramStart"/>
      <w:r>
        <w:t>and</w:t>
      </w:r>
      <w:proofErr w:type="gramEnd"/>
      <w:r>
        <w:t xml:space="preserve">   text-to-image generators have been used during the  writing or editing of this manuscript.</w:t>
      </w:r>
    </w:p>
    <w:p w14:paraId="3969811F" w14:textId="77777777" w:rsidR="005E0AD5" w:rsidRPr="005E0AD5" w:rsidRDefault="005E0AD5" w:rsidP="005E0AD5">
      <w:pPr>
        <w:pStyle w:val="NormalWeb"/>
        <w:spacing w:line="360" w:lineRule="auto"/>
        <w:jc w:val="both"/>
        <w:rPr>
          <w:rFonts w:ascii="Arial" w:hAnsi="Arial" w:cs="Arial"/>
          <w:b/>
        </w:rPr>
      </w:pPr>
      <w:r w:rsidRPr="005E0AD5">
        <w:rPr>
          <w:rFonts w:ascii="Arial" w:hAnsi="Arial" w:cs="Arial"/>
          <w:b/>
        </w:rPr>
        <w:t>COMPETING INTERESTS</w:t>
      </w:r>
    </w:p>
    <w:p w14:paraId="4C0C1930" w14:textId="1F8B5ACB" w:rsidR="00436846" w:rsidRDefault="005E0AD5" w:rsidP="005E0AD5">
      <w:pPr>
        <w:pStyle w:val="NormalWeb"/>
        <w:spacing w:line="360" w:lineRule="auto"/>
        <w:jc w:val="both"/>
      </w:pPr>
      <w:r>
        <w:t>Author(s) have declared    that    no    competing interests exist</w:t>
      </w:r>
    </w:p>
    <w:p w14:paraId="7A07D792" w14:textId="2D0229E6" w:rsidR="00AC3BED" w:rsidRPr="005E0AD5" w:rsidRDefault="005E0AD5" w:rsidP="00AC3BED">
      <w:pPr>
        <w:jc w:val="both"/>
        <w:rPr>
          <w:rFonts w:ascii="Arial" w:hAnsi="Arial" w:cs="Arial"/>
        </w:rPr>
      </w:pPr>
      <w:r w:rsidRPr="005E0AD5">
        <w:rPr>
          <w:rFonts w:ascii="Arial" w:hAnsi="Arial" w:cs="Arial"/>
          <w:b/>
          <w:sz w:val="24"/>
        </w:rPr>
        <w:t>REFERENCES</w:t>
      </w:r>
    </w:p>
    <w:p w14:paraId="19E5FF2B"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Abbas, M. F., Karim, D. K., Kareem, H. R., Kamil, M. M., Al-Musawi, M. H., Asker, M. H., </w:t>
      </w:r>
      <w:proofErr w:type="spellStart"/>
      <w:r w:rsidRPr="00AC3BED">
        <w:rPr>
          <w:rFonts w:ascii="Times New Roman" w:hAnsi="Times New Roman" w:cs="Times New Roman"/>
        </w:rPr>
        <w:t>Ghanami</w:t>
      </w:r>
      <w:proofErr w:type="spellEnd"/>
      <w:r w:rsidRPr="00AC3BED">
        <w:rPr>
          <w:rFonts w:ascii="Times New Roman" w:hAnsi="Times New Roman" w:cs="Times New Roman"/>
        </w:rPr>
        <w:t xml:space="preserve">, M., Shahriari-Khalaji, M., Sattar, M., Mirhaj, M., </w:t>
      </w:r>
      <w:proofErr w:type="spellStart"/>
      <w:r w:rsidRPr="00AC3BED">
        <w:rPr>
          <w:rFonts w:ascii="Times New Roman" w:hAnsi="Times New Roman" w:cs="Times New Roman"/>
        </w:rPr>
        <w:t>Sharifianjazi</w:t>
      </w:r>
      <w:proofErr w:type="spellEnd"/>
      <w:r w:rsidRPr="00AC3BED">
        <w:rPr>
          <w:rFonts w:ascii="Times New Roman" w:hAnsi="Times New Roman" w:cs="Times New Roman"/>
        </w:rPr>
        <w:t xml:space="preserve">, F., </w:t>
      </w:r>
      <w:proofErr w:type="spellStart"/>
      <w:r w:rsidRPr="00AC3BED">
        <w:rPr>
          <w:rFonts w:ascii="Times New Roman" w:hAnsi="Times New Roman" w:cs="Times New Roman"/>
        </w:rPr>
        <w:t>Tavamaishvili</w:t>
      </w:r>
      <w:proofErr w:type="spellEnd"/>
      <w:r w:rsidRPr="00AC3BED">
        <w:rPr>
          <w:rFonts w:ascii="Times New Roman" w:hAnsi="Times New Roman" w:cs="Times New Roman"/>
        </w:rPr>
        <w:t xml:space="preserve">, K., </w:t>
      </w:r>
      <w:proofErr w:type="spellStart"/>
      <w:r w:rsidRPr="00AC3BED">
        <w:rPr>
          <w:rFonts w:ascii="Times New Roman" w:hAnsi="Times New Roman" w:cs="Times New Roman"/>
        </w:rPr>
        <w:t>Mohabbatkhah</w:t>
      </w:r>
      <w:proofErr w:type="spellEnd"/>
      <w:r w:rsidRPr="00AC3BED">
        <w:rPr>
          <w:rFonts w:ascii="Times New Roman" w:hAnsi="Times New Roman" w:cs="Times New Roman"/>
        </w:rPr>
        <w:t xml:space="preserve">, M., </w:t>
      </w:r>
      <w:proofErr w:type="spellStart"/>
      <w:r w:rsidRPr="00AC3BED">
        <w:rPr>
          <w:rFonts w:ascii="Times New Roman" w:hAnsi="Times New Roman" w:cs="Times New Roman"/>
        </w:rPr>
        <w:t>Soheily</w:t>
      </w:r>
      <w:proofErr w:type="spellEnd"/>
      <w:r w:rsidRPr="00AC3BED">
        <w:rPr>
          <w:rFonts w:ascii="Times New Roman" w:hAnsi="Times New Roman" w:cs="Times New Roman"/>
        </w:rPr>
        <w:t>, A., Noory, P., &amp; Tavakoli, M. (2025). Fucoidan and its derivatives: From extraction to cutting-edge biomedical applications. Carbohydrate Polymers, 357, Article 123468. https://doi.org/10.1016/j.carbpol.2025.123468</w:t>
      </w:r>
    </w:p>
    <w:p w14:paraId="277AC34E"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Afzaal, M., Saeed, F., Shah, Y. A., Hussain, M., Rabail, R., Socol, C. T., Hassoun, A., </w:t>
      </w:r>
      <w:proofErr w:type="spellStart"/>
      <w:r w:rsidRPr="00AC3BED">
        <w:rPr>
          <w:rFonts w:ascii="Times New Roman" w:hAnsi="Times New Roman" w:cs="Times New Roman"/>
        </w:rPr>
        <w:t>Pateiro</w:t>
      </w:r>
      <w:proofErr w:type="spellEnd"/>
      <w:r w:rsidRPr="00AC3BED">
        <w:rPr>
          <w:rFonts w:ascii="Times New Roman" w:hAnsi="Times New Roman" w:cs="Times New Roman"/>
        </w:rPr>
        <w:t>, M., Lorenzo, J. M., &amp; Aadil, R. M. (2022). Human gut microbiota in health and disease: Unveiling the relationship. Frontiers in Microbiology, 13, 999001.https://doi.org/10.3389/fmicb.2022.999001</w:t>
      </w:r>
    </w:p>
    <w:p w14:paraId="2BA34108"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Ale, M. T., Mikkelsen, J. D., &amp; Meyer, A. S. (2011). Important determinants for fucoidan bioactivity: A critical review of structure-function relations and extraction methods for fucose-containing sulfated polysaccharides from brown seaweeds. Marine Drugs, 9(10), 2106–2130. https://doi.org/10.3390/md9102106</w:t>
      </w:r>
    </w:p>
    <w:p w14:paraId="3102A480" w14:textId="77777777" w:rsidR="00AC3BED" w:rsidRPr="00AC3BED" w:rsidRDefault="00AC3BED" w:rsidP="00AC3BED">
      <w:pPr>
        <w:pStyle w:val="ListParagraph"/>
        <w:spacing w:after="120" w:line="360" w:lineRule="auto"/>
        <w:ind w:hanging="720"/>
        <w:jc w:val="both"/>
        <w:rPr>
          <w:rFonts w:ascii="Times New Roman" w:hAnsi="Times New Roman" w:cs="Times New Roman"/>
        </w:rPr>
      </w:pPr>
      <w:proofErr w:type="spellStart"/>
      <w:r w:rsidRPr="00AC3BED">
        <w:rPr>
          <w:rFonts w:ascii="Times New Roman" w:hAnsi="Times New Roman" w:cs="Times New Roman"/>
        </w:rPr>
        <w:t>Apostolova</w:t>
      </w:r>
      <w:proofErr w:type="spellEnd"/>
      <w:r w:rsidRPr="00AC3BED">
        <w:rPr>
          <w:rFonts w:ascii="Times New Roman" w:hAnsi="Times New Roman" w:cs="Times New Roman"/>
        </w:rPr>
        <w:t>, E., Lukova, P., Baldzhieva, A., Katsarov, P., Nikolova, M., Iliev, I., … Tsvetanova, E. (2020). Immunomodulatory and anti-inflammatory effects of fucoidan: A review. Polymers, 12(10), 2338. https://doi.org/10.3390/polym12102338</w:t>
      </w:r>
    </w:p>
    <w:p w14:paraId="4D6D9F1C"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Aquino, R. S., </w:t>
      </w:r>
      <w:proofErr w:type="spellStart"/>
      <w:r w:rsidRPr="00AC3BED">
        <w:rPr>
          <w:rFonts w:ascii="Times New Roman" w:hAnsi="Times New Roman" w:cs="Times New Roman"/>
        </w:rPr>
        <w:t>Grativol</w:t>
      </w:r>
      <w:proofErr w:type="spellEnd"/>
      <w:r w:rsidRPr="00AC3BED">
        <w:rPr>
          <w:rFonts w:ascii="Times New Roman" w:hAnsi="Times New Roman" w:cs="Times New Roman"/>
        </w:rPr>
        <w:t xml:space="preserve">, C., &amp; Mourão, P. A. (2011). Rising from the sea: Correlations between sulfated polysaccharides and salinity in plants. </w:t>
      </w:r>
      <w:proofErr w:type="spellStart"/>
      <w:r w:rsidRPr="00AC3BED">
        <w:rPr>
          <w:rFonts w:ascii="Times New Roman" w:hAnsi="Times New Roman" w:cs="Times New Roman"/>
        </w:rPr>
        <w:t>PLoS</w:t>
      </w:r>
      <w:proofErr w:type="spellEnd"/>
      <w:r w:rsidRPr="00AC3BED">
        <w:rPr>
          <w:rFonts w:ascii="Times New Roman" w:hAnsi="Times New Roman" w:cs="Times New Roman"/>
        </w:rPr>
        <w:t xml:space="preserve"> ONE, 6(4), e18862. https://doi.org/10.1371/journal.pone.0018862</w:t>
      </w:r>
    </w:p>
    <w:p w14:paraId="017DE27F"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Barakat, K. M., Ismail, M. M., </w:t>
      </w:r>
      <w:proofErr w:type="spellStart"/>
      <w:r w:rsidRPr="00AC3BED">
        <w:rPr>
          <w:rFonts w:ascii="Times New Roman" w:hAnsi="Times New Roman" w:cs="Times New Roman"/>
        </w:rPr>
        <w:t>Abou</w:t>
      </w:r>
      <w:proofErr w:type="spellEnd"/>
      <w:r w:rsidRPr="00AC3BED">
        <w:rPr>
          <w:rFonts w:ascii="Times New Roman" w:hAnsi="Times New Roman" w:cs="Times New Roman"/>
        </w:rPr>
        <w:t xml:space="preserve"> El </w:t>
      </w:r>
      <w:proofErr w:type="spellStart"/>
      <w:r w:rsidRPr="00AC3BED">
        <w:rPr>
          <w:rFonts w:ascii="Times New Roman" w:hAnsi="Times New Roman" w:cs="Times New Roman"/>
        </w:rPr>
        <w:t>Hassayeb</w:t>
      </w:r>
      <w:proofErr w:type="spellEnd"/>
      <w:r w:rsidRPr="00AC3BED">
        <w:rPr>
          <w:rFonts w:ascii="Times New Roman" w:hAnsi="Times New Roman" w:cs="Times New Roman"/>
        </w:rPr>
        <w:t xml:space="preserve">, H. E., El </w:t>
      </w:r>
      <w:proofErr w:type="spellStart"/>
      <w:r w:rsidRPr="00AC3BED">
        <w:rPr>
          <w:rFonts w:ascii="Times New Roman" w:hAnsi="Times New Roman" w:cs="Times New Roman"/>
        </w:rPr>
        <w:t>Sersy</w:t>
      </w:r>
      <w:proofErr w:type="spellEnd"/>
      <w:r w:rsidRPr="00AC3BED">
        <w:rPr>
          <w:rFonts w:ascii="Times New Roman" w:hAnsi="Times New Roman" w:cs="Times New Roman"/>
        </w:rPr>
        <w:t xml:space="preserve">, N. A., &amp; </w:t>
      </w:r>
      <w:proofErr w:type="spellStart"/>
      <w:r w:rsidRPr="00AC3BED">
        <w:rPr>
          <w:rFonts w:ascii="Times New Roman" w:hAnsi="Times New Roman" w:cs="Times New Roman"/>
        </w:rPr>
        <w:t>Elshobary</w:t>
      </w:r>
      <w:proofErr w:type="spellEnd"/>
      <w:r w:rsidRPr="00AC3BED">
        <w:rPr>
          <w:rFonts w:ascii="Times New Roman" w:hAnsi="Times New Roman" w:cs="Times New Roman"/>
        </w:rPr>
        <w:t xml:space="preserve">, M. E. (2022). Chemical characterization and biological activities of </w:t>
      </w:r>
      <w:proofErr w:type="spellStart"/>
      <w:r w:rsidRPr="00AC3BED">
        <w:rPr>
          <w:rFonts w:ascii="Times New Roman" w:hAnsi="Times New Roman" w:cs="Times New Roman"/>
        </w:rPr>
        <w:t>ulvan</w:t>
      </w:r>
      <w:proofErr w:type="spellEnd"/>
      <w:r w:rsidRPr="00AC3BED">
        <w:rPr>
          <w:rFonts w:ascii="Times New Roman" w:hAnsi="Times New Roman" w:cs="Times New Roman"/>
        </w:rPr>
        <w:t xml:space="preserve"> extracted from </w:t>
      </w:r>
      <w:proofErr w:type="spellStart"/>
      <w:r w:rsidRPr="00AC3BED">
        <w:rPr>
          <w:rFonts w:ascii="Times New Roman" w:hAnsi="Times New Roman" w:cs="Times New Roman"/>
        </w:rPr>
        <w:t>Ulva</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fasciata</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Chlorophyta</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Rendiconti</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Lincei</w:t>
      </w:r>
      <w:proofErr w:type="spellEnd"/>
      <w:r w:rsidRPr="00AC3BED">
        <w:rPr>
          <w:rFonts w:ascii="Times New Roman" w:hAnsi="Times New Roman" w:cs="Times New Roman"/>
        </w:rPr>
        <w:t xml:space="preserve"> – </w:t>
      </w:r>
      <w:proofErr w:type="spellStart"/>
      <w:r w:rsidRPr="00AC3BED">
        <w:rPr>
          <w:rFonts w:ascii="Times New Roman" w:hAnsi="Times New Roman" w:cs="Times New Roman"/>
        </w:rPr>
        <w:t>Scienze</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Fisiche</w:t>
      </w:r>
      <w:proofErr w:type="spellEnd"/>
      <w:r w:rsidRPr="00AC3BED">
        <w:rPr>
          <w:rFonts w:ascii="Times New Roman" w:hAnsi="Times New Roman" w:cs="Times New Roman"/>
        </w:rPr>
        <w:t xml:space="preserve"> e </w:t>
      </w:r>
      <w:proofErr w:type="spellStart"/>
      <w:r w:rsidRPr="00AC3BED">
        <w:rPr>
          <w:rFonts w:ascii="Times New Roman" w:hAnsi="Times New Roman" w:cs="Times New Roman"/>
        </w:rPr>
        <w:t>Naturali</w:t>
      </w:r>
      <w:proofErr w:type="spellEnd"/>
      <w:r w:rsidRPr="00AC3BED">
        <w:rPr>
          <w:rFonts w:ascii="Times New Roman" w:hAnsi="Times New Roman" w:cs="Times New Roman"/>
        </w:rPr>
        <w:t>, 33, 829–841. https://doi.org/10.1007/s12210-022-01103-7</w:t>
      </w:r>
    </w:p>
    <w:p w14:paraId="5566D623"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Bilan, M. I., Grachev, A. A., </w:t>
      </w:r>
      <w:proofErr w:type="spellStart"/>
      <w:r w:rsidRPr="00AC3BED">
        <w:rPr>
          <w:rFonts w:ascii="Times New Roman" w:hAnsi="Times New Roman" w:cs="Times New Roman"/>
        </w:rPr>
        <w:t>Ustuzhanina</w:t>
      </w:r>
      <w:proofErr w:type="spellEnd"/>
      <w:r w:rsidRPr="00AC3BED">
        <w:rPr>
          <w:rFonts w:ascii="Times New Roman" w:hAnsi="Times New Roman" w:cs="Times New Roman"/>
        </w:rPr>
        <w:t xml:space="preserve">, N. E., Shashkov, A. S., </w:t>
      </w:r>
      <w:proofErr w:type="spellStart"/>
      <w:r w:rsidRPr="00AC3BED">
        <w:rPr>
          <w:rFonts w:ascii="Times New Roman" w:hAnsi="Times New Roman" w:cs="Times New Roman"/>
        </w:rPr>
        <w:t>Nifantiev</w:t>
      </w:r>
      <w:proofErr w:type="spellEnd"/>
      <w:r w:rsidRPr="00AC3BED">
        <w:rPr>
          <w:rFonts w:ascii="Times New Roman" w:hAnsi="Times New Roman" w:cs="Times New Roman"/>
        </w:rPr>
        <w:t xml:space="preserve">, N. E., &amp; Usov, A. I. (2002). Structure of a fucoidan from the brown seaweed </w:t>
      </w:r>
      <w:proofErr w:type="spellStart"/>
      <w:r w:rsidRPr="00AC3BED">
        <w:rPr>
          <w:rFonts w:ascii="Times New Roman" w:hAnsi="Times New Roman" w:cs="Times New Roman"/>
        </w:rPr>
        <w:t>Fucus</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evanescens</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C.Ag</w:t>
      </w:r>
      <w:proofErr w:type="spellEnd"/>
      <w:r w:rsidRPr="00AC3BED">
        <w:rPr>
          <w:rFonts w:ascii="Times New Roman" w:hAnsi="Times New Roman" w:cs="Times New Roman"/>
        </w:rPr>
        <w:t>. Carbohydrate Research, 337(8), 719–730. https://doi.org/10.1016/S0008-6215(02)00053-8</w:t>
      </w:r>
    </w:p>
    <w:p w14:paraId="6531D8CD" w14:textId="77777777" w:rsidR="00AC3BED" w:rsidRPr="00AC3BED" w:rsidRDefault="00AC3BED" w:rsidP="00AC3BED">
      <w:pPr>
        <w:pStyle w:val="ListParagraph"/>
        <w:spacing w:after="120" w:line="360" w:lineRule="auto"/>
        <w:ind w:hanging="720"/>
        <w:jc w:val="both"/>
        <w:rPr>
          <w:rFonts w:ascii="Times New Roman" w:hAnsi="Times New Roman" w:cs="Times New Roman"/>
        </w:rPr>
      </w:pPr>
      <w:proofErr w:type="spellStart"/>
      <w:r w:rsidRPr="00AC3BED">
        <w:rPr>
          <w:rFonts w:ascii="Times New Roman" w:hAnsi="Times New Roman" w:cs="Times New Roman"/>
        </w:rPr>
        <w:t>Blachier</w:t>
      </w:r>
      <w:proofErr w:type="spellEnd"/>
      <w:r w:rsidRPr="00AC3BED">
        <w:rPr>
          <w:rFonts w:ascii="Times New Roman" w:hAnsi="Times New Roman" w:cs="Times New Roman"/>
        </w:rPr>
        <w:t xml:space="preserve">, F., Beaumont, M., Andriamihaja, M., Davila, A.-M., Lan, A., Grauso, M., Armand, L., </w:t>
      </w:r>
      <w:proofErr w:type="spellStart"/>
      <w:r w:rsidRPr="00AC3BED">
        <w:rPr>
          <w:rFonts w:ascii="Times New Roman" w:hAnsi="Times New Roman" w:cs="Times New Roman"/>
        </w:rPr>
        <w:t>Benamouzig</w:t>
      </w:r>
      <w:proofErr w:type="spellEnd"/>
      <w:r w:rsidRPr="00AC3BED">
        <w:rPr>
          <w:rFonts w:ascii="Times New Roman" w:hAnsi="Times New Roman" w:cs="Times New Roman"/>
        </w:rPr>
        <w:t xml:space="preserve">, R., &amp; Tomé, D. (2021). Production of hydrogen sulfide by the intestinal </w:t>
      </w:r>
      <w:r w:rsidRPr="00AC3BED">
        <w:rPr>
          <w:rFonts w:ascii="Times New Roman" w:hAnsi="Times New Roman" w:cs="Times New Roman"/>
        </w:rPr>
        <w:lastRenderedPageBreak/>
        <w:t>microbiota and epithelial cells and consequences for the colonic and rectal mucosa. American Journal of Physiology–Gastrointestinal and Liver Physiology, 320(2), G125–G135. https://doi.org/10.1152/ajpgi.00261.2020</w:t>
      </w:r>
    </w:p>
    <w:p w14:paraId="44571ED8"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Bock, P., Martins, A., &amp; Schaan, B. (2024). Understanding how prebiotics and probiotics affect the gut microbiome and metabolic health. American Journal of Physiology-Endocrinology and Metabolism, 327(1), E89–E102. https://doi.org/10.1152/ajpendo.00054.2024</w:t>
      </w:r>
    </w:p>
    <w:p w14:paraId="5D470D4C"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Caetano, M. A. F., &amp; Castelucci, P. (2022). Role of short chain fatty acids in gut health and possible therapeutic approaches in inflammatory bowel diseases. World Journal of Clinical Cases, 10(28), 9985–10003. https://doi.org/10.12998/wjcc.v10.i28.9985</w:t>
      </w:r>
    </w:p>
    <w:p w14:paraId="09D60BBB"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Canfora, E. E., </w:t>
      </w:r>
      <w:proofErr w:type="spellStart"/>
      <w:r w:rsidRPr="00AC3BED">
        <w:rPr>
          <w:rFonts w:ascii="Times New Roman" w:hAnsi="Times New Roman" w:cs="Times New Roman"/>
        </w:rPr>
        <w:t>Meex</w:t>
      </w:r>
      <w:proofErr w:type="spellEnd"/>
      <w:r w:rsidRPr="00AC3BED">
        <w:rPr>
          <w:rFonts w:ascii="Times New Roman" w:hAnsi="Times New Roman" w:cs="Times New Roman"/>
        </w:rPr>
        <w:t>, R. C. R., Venema, K., &amp; Blaak, E. E. (2019). Gut microbial metabolites in obesity, NAFLD and T2DM. Nature Reviews Endocrinology, 15(5), 261–273.https://doi.org/10.1038/s41574-019-0156-z</w:t>
      </w:r>
    </w:p>
    <w:p w14:paraId="738CC6B8"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Cani, P. D., Amar, J., Iglesias, M. A., Poggi, M., Knauf, C., </w:t>
      </w:r>
      <w:proofErr w:type="spellStart"/>
      <w:r w:rsidRPr="00AC3BED">
        <w:rPr>
          <w:rFonts w:ascii="Times New Roman" w:hAnsi="Times New Roman" w:cs="Times New Roman"/>
        </w:rPr>
        <w:t>Bastelica</w:t>
      </w:r>
      <w:proofErr w:type="spellEnd"/>
      <w:r w:rsidRPr="00AC3BED">
        <w:rPr>
          <w:rFonts w:ascii="Times New Roman" w:hAnsi="Times New Roman" w:cs="Times New Roman"/>
        </w:rPr>
        <w:t xml:space="preserve">, D., Neyrinck, A. M., Fava, F., Tuohy, K. M., </w:t>
      </w:r>
      <w:proofErr w:type="spellStart"/>
      <w:r w:rsidRPr="00AC3BED">
        <w:rPr>
          <w:rFonts w:ascii="Times New Roman" w:hAnsi="Times New Roman" w:cs="Times New Roman"/>
        </w:rPr>
        <w:t>Chabo</w:t>
      </w:r>
      <w:proofErr w:type="spellEnd"/>
      <w:r w:rsidRPr="00AC3BED">
        <w:rPr>
          <w:rFonts w:ascii="Times New Roman" w:hAnsi="Times New Roman" w:cs="Times New Roman"/>
        </w:rPr>
        <w:t xml:space="preserve">, C., Waget, A., </w:t>
      </w:r>
      <w:proofErr w:type="spellStart"/>
      <w:r w:rsidRPr="00AC3BED">
        <w:rPr>
          <w:rFonts w:ascii="Times New Roman" w:hAnsi="Times New Roman" w:cs="Times New Roman"/>
        </w:rPr>
        <w:t>Delmée</w:t>
      </w:r>
      <w:proofErr w:type="spellEnd"/>
      <w:r w:rsidRPr="00AC3BED">
        <w:rPr>
          <w:rFonts w:ascii="Times New Roman" w:hAnsi="Times New Roman" w:cs="Times New Roman"/>
        </w:rPr>
        <w:t xml:space="preserve">, E., Cousin, B., Sulpice, T., </w:t>
      </w:r>
      <w:proofErr w:type="spellStart"/>
      <w:r w:rsidRPr="00AC3BED">
        <w:rPr>
          <w:rFonts w:ascii="Times New Roman" w:hAnsi="Times New Roman" w:cs="Times New Roman"/>
        </w:rPr>
        <w:t>Chamontin</w:t>
      </w:r>
      <w:proofErr w:type="spellEnd"/>
      <w:r w:rsidRPr="00AC3BED">
        <w:rPr>
          <w:rFonts w:ascii="Times New Roman" w:hAnsi="Times New Roman" w:cs="Times New Roman"/>
        </w:rPr>
        <w:t xml:space="preserve">, B., </w:t>
      </w:r>
      <w:proofErr w:type="spellStart"/>
      <w:r w:rsidRPr="00AC3BED">
        <w:rPr>
          <w:rFonts w:ascii="Times New Roman" w:hAnsi="Times New Roman" w:cs="Times New Roman"/>
        </w:rPr>
        <w:t>Ferrières</w:t>
      </w:r>
      <w:proofErr w:type="spellEnd"/>
      <w:r w:rsidRPr="00AC3BED">
        <w:rPr>
          <w:rFonts w:ascii="Times New Roman" w:hAnsi="Times New Roman" w:cs="Times New Roman"/>
        </w:rPr>
        <w:t xml:space="preserve">, J., Tanti, J. F., Gibson, G. R., </w:t>
      </w:r>
      <w:proofErr w:type="spellStart"/>
      <w:r w:rsidRPr="00AC3BED">
        <w:rPr>
          <w:rFonts w:ascii="Times New Roman" w:hAnsi="Times New Roman" w:cs="Times New Roman"/>
        </w:rPr>
        <w:t>Casteilla</w:t>
      </w:r>
      <w:proofErr w:type="spellEnd"/>
      <w:r w:rsidRPr="00AC3BED">
        <w:rPr>
          <w:rFonts w:ascii="Times New Roman" w:hAnsi="Times New Roman" w:cs="Times New Roman"/>
        </w:rPr>
        <w:t xml:space="preserve">, L., </w:t>
      </w:r>
      <w:proofErr w:type="spellStart"/>
      <w:r w:rsidRPr="00AC3BED">
        <w:rPr>
          <w:rFonts w:ascii="Times New Roman" w:hAnsi="Times New Roman" w:cs="Times New Roman"/>
        </w:rPr>
        <w:t>Delzenne</w:t>
      </w:r>
      <w:proofErr w:type="spellEnd"/>
      <w:r w:rsidRPr="00AC3BED">
        <w:rPr>
          <w:rFonts w:ascii="Times New Roman" w:hAnsi="Times New Roman" w:cs="Times New Roman"/>
        </w:rPr>
        <w:t xml:space="preserve">, N. M., Alessi, M. C., &amp; </w:t>
      </w:r>
      <w:proofErr w:type="spellStart"/>
      <w:r w:rsidRPr="00AC3BED">
        <w:rPr>
          <w:rFonts w:ascii="Times New Roman" w:hAnsi="Times New Roman" w:cs="Times New Roman"/>
        </w:rPr>
        <w:t>Burcelin</w:t>
      </w:r>
      <w:proofErr w:type="spellEnd"/>
      <w:r w:rsidRPr="00AC3BED">
        <w:rPr>
          <w:rFonts w:ascii="Times New Roman" w:hAnsi="Times New Roman" w:cs="Times New Roman"/>
        </w:rPr>
        <w:t>, R. (2007). Metabolic endotoxemia initiates obesity and insulin resistance. Diabetes, 56(7), 1761–1772. https://doi.org/10.2337/db06-1491</w:t>
      </w:r>
    </w:p>
    <w:p w14:paraId="7AB06D1D"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Chandrasekaran, P., &amp; </w:t>
      </w:r>
      <w:proofErr w:type="spellStart"/>
      <w:r w:rsidRPr="00AC3BED">
        <w:rPr>
          <w:rFonts w:ascii="Times New Roman" w:hAnsi="Times New Roman" w:cs="Times New Roman"/>
        </w:rPr>
        <w:t>Weiskirchen</w:t>
      </w:r>
      <w:proofErr w:type="spellEnd"/>
      <w:r w:rsidRPr="00AC3BED">
        <w:rPr>
          <w:rFonts w:ascii="Times New Roman" w:hAnsi="Times New Roman" w:cs="Times New Roman"/>
        </w:rPr>
        <w:t>, R. (2024). Cellular and molecular mechanisms of insulin resistance. Current Tissue Microenvironment Reports, 5(3), 79–90. https://doi.org/10.1007/s43152-024-00056-3</w:t>
      </w:r>
    </w:p>
    <w:p w14:paraId="5D56DD81"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Chen, Q., Zhang, P., Fan, S., Zhang, Y., Chen, H., &amp; Zhu, B. (2019). </w:t>
      </w:r>
      <w:proofErr w:type="spellStart"/>
      <w:r w:rsidRPr="00AC3BED">
        <w:rPr>
          <w:rFonts w:ascii="Times New Roman" w:hAnsi="Times New Roman" w:cs="Times New Roman"/>
        </w:rPr>
        <w:t>Fucoidan</w:t>
      </w:r>
      <w:proofErr w:type="spellEnd"/>
      <w:r w:rsidRPr="00AC3BED">
        <w:rPr>
          <w:rFonts w:ascii="Times New Roman" w:hAnsi="Times New Roman" w:cs="Times New Roman"/>
        </w:rPr>
        <w:t xml:space="preserve"> and </w:t>
      </w:r>
      <w:proofErr w:type="spellStart"/>
      <w:r w:rsidRPr="00AC3BED">
        <w:rPr>
          <w:rFonts w:ascii="Times New Roman" w:hAnsi="Times New Roman" w:cs="Times New Roman"/>
        </w:rPr>
        <w:t>galactooligosaccharides</w:t>
      </w:r>
      <w:proofErr w:type="spellEnd"/>
      <w:r w:rsidRPr="00AC3BED">
        <w:rPr>
          <w:rFonts w:ascii="Times New Roman" w:hAnsi="Times New Roman" w:cs="Times New Roman"/>
        </w:rPr>
        <w:t xml:space="preserve"> ameliorate high-fat diet-induced dyslipidemia in rats by modulating the gut microbiota and bile acid metabolism. Nutrition, 65, 50–59.https://doi.org/10.1016/j.nut.2019.03.001</w:t>
      </w:r>
    </w:p>
    <w:p w14:paraId="687C9453"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Chen, Y., Ouyang, Y., Chen, X., Chen, R., Ruan, Q., &amp; Farag, M. A. (2022). </w:t>
      </w:r>
      <w:proofErr w:type="spellStart"/>
      <w:r w:rsidRPr="00AC3BED">
        <w:rPr>
          <w:rFonts w:ascii="Times New Roman" w:hAnsi="Times New Roman" w:cs="Times New Roman"/>
        </w:rPr>
        <w:t>Hypoglycaemic</w:t>
      </w:r>
      <w:proofErr w:type="spellEnd"/>
      <w:r w:rsidRPr="00AC3BED">
        <w:rPr>
          <w:rFonts w:ascii="Times New Roman" w:hAnsi="Times New Roman" w:cs="Times New Roman"/>
        </w:rPr>
        <w:t xml:space="preserve"> and anti-ageing activities of green alga </w:t>
      </w:r>
      <w:proofErr w:type="spellStart"/>
      <w:r w:rsidRPr="00AC3BED">
        <w:rPr>
          <w:rFonts w:ascii="Times New Roman" w:hAnsi="Times New Roman" w:cs="Times New Roman"/>
        </w:rPr>
        <w:t>Ulva</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lactuca</w:t>
      </w:r>
      <w:proofErr w:type="spellEnd"/>
      <w:r w:rsidRPr="00AC3BED">
        <w:rPr>
          <w:rFonts w:ascii="Times New Roman" w:hAnsi="Times New Roman" w:cs="Times New Roman"/>
        </w:rPr>
        <w:t xml:space="preserve"> polysaccharide via gut microbiota in ageing-associated diabetic mice. International Journal of Biological Macromolecules, 212, 97–110. https://doi.org/10.1016/j.ijbiomac.2022.05.109</w:t>
      </w:r>
    </w:p>
    <w:p w14:paraId="0E5314AA"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Chi, Y., Wu, Z., Du, C., Zhang, M., Wang, X., Xie, A., … Song, S. (2023). Regulatory effects mediated by </w:t>
      </w:r>
      <w:proofErr w:type="spellStart"/>
      <w:r w:rsidRPr="00AC3BED">
        <w:rPr>
          <w:rFonts w:ascii="Times New Roman" w:hAnsi="Times New Roman" w:cs="Times New Roman"/>
        </w:rPr>
        <w:t>ulvan</w:t>
      </w:r>
      <w:proofErr w:type="spellEnd"/>
      <w:r w:rsidRPr="00AC3BED">
        <w:rPr>
          <w:rFonts w:ascii="Times New Roman" w:hAnsi="Times New Roman" w:cs="Times New Roman"/>
        </w:rPr>
        <w:t xml:space="preserve"> oligosaccharide and its zinc complex on lipid metabolism in high-fat diet-fed mice. Carbohydrate Polymers, 300, 120249. https://doi.org/10.1016/j.carbpol.2022.120249</w:t>
      </w:r>
    </w:p>
    <w:p w14:paraId="244C6F70"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Chu, X., Wang, X., Feng, K., Bi, Y., Xin, Y., &amp; Liu, S. (2025). Fucoidan ameliorates lipid accumulation, oxidative stress, and NF-</w:t>
      </w:r>
      <w:proofErr w:type="spellStart"/>
      <w:r w:rsidRPr="00AC3BED">
        <w:rPr>
          <w:rFonts w:ascii="Times New Roman" w:hAnsi="Times New Roman" w:cs="Times New Roman"/>
        </w:rPr>
        <w:t>κB</w:t>
      </w:r>
      <w:proofErr w:type="spellEnd"/>
      <w:r w:rsidRPr="00AC3BED">
        <w:rPr>
          <w:rFonts w:ascii="Times New Roman" w:hAnsi="Times New Roman" w:cs="Times New Roman"/>
        </w:rPr>
        <w:t>-mediated inflammation by regulating the PI3K/AKT/Nrf2 signaling pathway in a free fatty acid-induced NAFLD spheroid model. Lipids in Health and Disease, 24(1), Article 55. https://doi.org/10.1186/s12944-025-02483-z</w:t>
      </w:r>
    </w:p>
    <w:p w14:paraId="235BDF93"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lastRenderedPageBreak/>
        <w:t xml:space="preserve">Cui, Z., Jiang, F., Li, L., Chi, Z., &amp; Liu, C. (2024). Advances in biomedical applications of hydrogels from seaweed-derived sulfated polysaccharides: carrageenan, </w:t>
      </w:r>
      <w:proofErr w:type="spellStart"/>
      <w:r w:rsidRPr="00AC3BED">
        <w:rPr>
          <w:rFonts w:ascii="Times New Roman" w:hAnsi="Times New Roman" w:cs="Times New Roman"/>
        </w:rPr>
        <w:t>fucoidan</w:t>
      </w:r>
      <w:proofErr w:type="spellEnd"/>
      <w:r w:rsidRPr="00AC3BED">
        <w:rPr>
          <w:rFonts w:ascii="Times New Roman" w:hAnsi="Times New Roman" w:cs="Times New Roman"/>
        </w:rPr>
        <w:t xml:space="preserve">, and </w:t>
      </w:r>
      <w:proofErr w:type="spellStart"/>
      <w:r w:rsidRPr="00AC3BED">
        <w:rPr>
          <w:rFonts w:ascii="Times New Roman" w:hAnsi="Times New Roman" w:cs="Times New Roman"/>
        </w:rPr>
        <w:t>ulvan</w:t>
      </w:r>
      <w:proofErr w:type="spellEnd"/>
      <w:r w:rsidRPr="00AC3BED">
        <w:rPr>
          <w:rFonts w:ascii="Times New Roman" w:hAnsi="Times New Roman" w:cs="Times New Roman"/>
        </w:rPr>
        <w:t>. Journal of Ocean University of China, 23(5), 1329–1346. https://doi.org/10.1007/s11802-024-5988-z</w:t>
      </w:r>
    </w:p>
    <w:p w14:paraId="169CD39C"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Cummings, J. H., Pomare, E. W., Branch, W. J., Naylor, C. P. E., &amp; Macfarlane, G. T. (1987). Short chain fatty acids in human large intestine, portal, hepatic and venous blood. Gut, 28(10), 1221–1227. https://doi.org/10.1136/gut.28.10.1221</w:t>
      </w:r>
    </w:p>
    <w:p w14:paraId="196ECCE9"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Davie, J. R. (2003). Inhibition of histone deacetylase activity by butyrate. The Journal of Nutrition, 133(7 Suppl), 2485S–2493S. https://doi.org/10.1093/jn/133.7.2485S</w:t>
      </w:r>
    </w:p>
    <w:p w14:paraId="4AB7B3D3"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Din, N. A. S., </w:t>
      </w:r>
      <w:proofErr w:type="spellStart"/>
      <w:r w:rsidRPr="00AC3BED">
        <w:rPr>
          <w:rFonts w:ascii="Times New Roman" w:hAnsi="Times New Roman" w:cs="Times New Roman"/>
        </w:rPr>
        <w:t>Aiemcharoen</w:t>
      </w:r>
      <w:proofErr w:type="spellEnd"/>
      <w:r w:rsidRPr="00AC3BED">
        <w:rPr>
          <w:rFonts w:ascii="Times New Roman" w:hAnsi="Times New Roman" w:cs="Times New Roman"/>
        </w:rPr>
        <w:t xml:space="preserve">, P., </w:t>
      </w:r>
      <w:proofErr w:type="spellStart"/>
      <w:r w:rsidRPr="00AC3BED">
        <w:rPr>
          <w:rFonts w:ascii="Times New Roman" w:hAnsi="Times New Roman" w:cs="Times New Roman"/>
        </w:rPr>
        <w:t>Sermwittayawong</w:t>
      </w:r>
      <w:proofErr w:type="spellEnd"/>
      <w:r w:rsidRPr="00AC3BED">
        <w:rPr>
          <w:rFonts w:ascii="Times New Roman" w:hAnsi="Times New Roman" w:cs="Times New Roman"/>
        </w:rPr>
        <w:t>, D., et al. (2025). Bioactive properties of fucoidan from Malaysian brown seaweed (</w:t>
      </w:r>
      <w:proofErr w:type="spellStart"/>
      <w:r w:rsidRPr="00AC3BED">
        <w:rPr>
          <w:rFonts w:ascii="Times New Roman" w:hAnsi="Times New Roman" w:cs="Times New Roman"/>
        </w:rPr>
        <w:t>Sargassum</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binderi</w:t>
      </w:r>
      <w:proofErr w:type="spellEnd"/>
      <w:r w:rsidRPr="00AC3BED">
        <w:rPr>
          <w:rFonts w:ascii="Times New Roman" w:hAnsi="Times New Roman" w:cs="Times New Roman"/>
        </w:rPr>
        <w:t>) with an assessment of its anti-diabetic potential in 3T3-L1 adipocytes. Journal of Food Science and Technology. Advance online publication. https://doi.org/10.1007/s13197-025-06410-z</w:t>
      </w:r>
    </w:p>
    <w:p w14:paraId="047A93CD"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Donohoe, D. R., </w:t>
      </w:r>
      <w:proofErr w:type="spellStart"/>
      <w:r w:rsidRPr="00AC3BED">
        <w:rPr>
          <w:rFonts w:ascii="Times New Roman" w:hAnsi="Times New Roman" w:cs="Times New Roman"/>
        </w:rPr>
        <w:t>Garge</w:t>
      </w:r>
      <w:proofErr w:type="spellEnd"/>
      <w:r w:rsidRPr="00AC3BED">
        <w:rPr>
          <w:rFonts w:ascii="Times New Roman" w:hAnsi="Times New Roman" w:cs="Times New Roman"/>
        </w:rPr>
        <w:t>, N., Zhang, X., Sun, W., O’Connell, T. M., Bunger, M. K., &amp; Bultman, S. J. (2011). The microbiome and butyrate regulate energy metabolism and autophagy in the mammalian colon. Cell Metabolism, 13(5), 517–526.https://doi.org/10.1016/j.cmet.2011.02.018 Parada Venegas, D., De la Fuente, M. K., Landskron, G., González, M. J., Quera, R., Dijkstra, G., Harmsen, H. J. M., Faber, K. N., &amp; Hermoso, M. A. (2019). Short chain fatty acids (SCFAs)–mediated gut epithelial and immune regulation and its relevance for inflammatory bowel diseases. Frontiers in Immunology, 10, 277.https://doi.org/10.3389/fimmu.2019.00277</w:t>
      </w:r>
    </w:p>
    <w:p w14:paraId="6D84D365"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Du, W., Zhang, Y., Li, J., &amp; Chen, L. (2025). Gut microbiota and associated metabolites: key players in host metabolic regulation and dysbiosis-related metabolic disorders. Gut Microbes, 17(1), 2494703. https://doi.org/10.1080/19490976.2025.2494703 </w:t>
      </w:r>
      <w:proofErr w:type="spellStart"/>
      <w:r w:rsidRPr="00AC3BED">
        <w:rPr>
          <w:rFonts w:ascii="Times New Roman" w:hAnsi="Times New Roman" w:cs="Times New Roman"/>
        </w:rPr>
        <w:t>Boulangé</w:t>
      </w:r>
      <w:proofErr w:type="spellEnd"/>
      <w:r w:rsidRPr="00AC3BED">
        <w:rPr>
          <w:rFonts w:ascii="Times New Roman" w:hAnsi="Times New Roman" w:cs="Times New Roman"/>
        </w:rPr>
        <w:t xml:space="preserve">, C. L., Neves, A. L., </w:t>
      </w:r>
      <w:proofErr w:type="spellStart"/>
      <w:r w:rsidRPr="00AC3BED">
        <w:rPr>
          <w:rFonts w:ascii="Times New Roman" w:hAnsi="Times New Roman" w:cs="Times New Roman"/>
        </w:rPr>
        <w:t>Chilloux</w:t>
      </w:r>
      <w:proofErr w:type="spellEnd"/>
      <w:r w:rsidRPr="00AC3BED">
        <w:rPr>
          <w:rFonts w:ascii="Times New Roman" w:hAnsi="Times New Roman" w:cs="Times New Roman"/>
        </w:rPr>
        <w:t>, J., Nicholson, J. K., &amp; Dumas, M. E. (2016). Impact of the gut microbiota on inflammation, obesity, and metabolic disease. Genome Medicine, 8(1), 42. https://doi.org/10.1186/s13073-016-0303-2</w:t>
      </w:r>
    </w:p>
    <w:p w14:paraId="1BAEC52D"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Du, Y., Zhang, X., Wang, D., Li, J., &amp; Chen, Z. (2024). The role of short-chain fatty acids in inflammation and body health. International Journal of Molecular Sciences, 25(13), 7379. https://doi.org/10.3390/ijms25137379</w:t>
      </w:r>
    </w:p>
    <w:p w14:paraId="1ACF1003"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Everard, A., Belzer, C., Geurts, L., Ouwerkerk, J. P., </w:t>
      </w:r>
      <w:proofErr w:type="spellStart"/>
      <w:r w:rsidRPr="00AC3BED">
        <w:rPr>
          <w:rFonts w:ascii="Times New Roman" w:hAnsi="Times New Roman" w:cs="Times New Roman"/>
        </w:rPr>
        <w:t>Druart</w:t>
      </w:r>
      <w:proofErr w:type="spellEnd"/>
      <w:r w:rsidRPr="00AC3BED">
        <w:rPr>
          <w:rFonts w:ascii="Times New Roman" w:hAnsi="Times New Roman" w:cs="Times New Roman"/>
        </w:rPr>
        <w:t xml:space="preserve">, C., </w:t>
      </w:r>
      <w:proofErr w:type="spellStart"/>
      <w:r w:rsidRPr="00AC3BED">
        <w:rPr>
          <w:rFonts w:ascii="Times New Roman" w:hAnsi="Times New Roman" w:cs="Times New Roman"/>
        </w:rPr>
        <w:t>Bindels</w:t>
      </w:r>
      <w:proofErr w:type="spellEnd"/>
      <w:r w:rsidRPr="00AC3BED">
        <w:rPr>
          <w:rFonts w:ascii="Times New Roman" w:hAnsi="Times New Roman" w:cs="Times New Roman"/>
        </w:rPr>
        <w:t xml:space="preserve">, L. B., Cani, P. D. (2013). Cross-talk between </w:t>
      </w:r>
      <w:proofErr w:type="spellStart"/>
      <w:r w:rsidRPr="00AC3BED">
        <w:rPr>
          <w:rFonts w:ascii="Times New Roman" w:hAnsi="Times New Roman" w:cs="Times New Roman"/>
        </w:rPr>
        <w:t>Akkermansia</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muciniphila</w:t>
      </w:r>
      <w:proofErr w:type="spellEnd"/>
      <w:r w:rsidRPr="00AC3BED">
        <w:rPr>
          <w:rFonts w:ascii="Times New Roman" w:hAnsi="Times New Roman" w:cs="Times New Roman"/>
        </w:rPr>
        <w:t xml:space="preserve"> and intestinal epithelium controls diet-induced obesity. Proceedings of the National Academy of Sciences of the United States of America, 110(22), 9066–9071.https://doi.org/10.1073/pnas.1219451110</w:t>
      </w:r>
    </w:p>
    <w:p w14:paraId="14A61391"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Fan, Y., &amp; Pedersen, O. (2021). Gut microbiota in human metabolic health and disease. Nature Reviews Microbiology, 19(1), 55–71.https://doi.org/10.1038/s41579-020-0433-9 De la Cuesta-Zuluaga, J., Mueller, N. T., Álvarez-Quintero, R., Velásquez-Mejía, E. P., Sierra, J. A., Corrales-Agudelo, V., … Escobar, J. S. (2021). Higher fecal short-chain fatty acid levels </w:t>
      </w:r>
      <w:r w:rsidRPr="00AC3BED">
        <w:rPr>
          <w:rFonts w:ascii="Times New Roman" w:hAnsi="Times New Roman" w:cs="Times New Roman"/>
        </w:rPr>
        <w:lastRenderedPageBreak/>
        <w:t>are associated with gut microbiome dysbiosis, obesity, and cardiometabolic disease risk. Diabetes Care, 44(7), 1649–1656.https://doi.org/10.2337/dc20-2907</w:t>
      </w:r>
    </w:p>
    <w:p w14:paraId="4249584C"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Gibson, G. R., </w:t>
      </w:r>
      <w:proofErr w:type="spellStart"/>
      <w:r w:rsidRPr="00AC3BED">
        <w:rPr>
          <w:rFonts w:ascii="Times New Roman" w:hAnsi="Times New Roman" w:cs="Times New Roman"/>
        </w:rPr>
        <w:t>Hutkins</w:t>
      </w:r>
      <w:proofErr w:type="spellEnd"/>
      <w:r w:rsidRPr="00AC3BED">
        <w:rPr>
          <w:rFonts w:ascii="Times New Roman" w:hAnsi="Times New Roman" w:cs="Times New Roman"/>
        </w:rPr>
        <w:t>, R., Sanders, M. E., Prescott, S. L., Reimer, R. A., Salminen, S. J., Scott, K., Stanton, C., Swanson, K. S., Cani, P. D., Verbeke, K., &amp; Reid, G. (2017). Expert consensus document: The international scientific association for probiotics and prebiotics (ISAPP) consensus statement on the definition and scope of prebiotics. Nature Reviews Gastroenterology &amp; Hepatology, 14(8), 491–502. https://doi.org/10.1038/nrgastro.2017.75.</w:t>
      </w:r>
    </w:p>
    <w:p w14:paraId="12CD4569" w14:textId="77777777" w:rsidR="00AC3BED" w:rsidRPr="00AC3BED" w:rsidRDefault="00AC3BED" w:rsidP="00AC3BED">
      <w:pPr>
        <w:pStyle w:val="ListParagraph"/>
        <w:spacing w:after="120" w:line="360" w:lineRule="auto"/>
        <w:ind w:hanging="720"/>
        <w:jc w:val="both"/>
        <w:rPr>
          <w:rFonts w:ascii="Times New Roman" w:hAnsi="Times New Roman" w:cs="Times New Roman"/>
        </w:rPr>
      </w:pPr>
      <w:proofErr w:type="spellStart"/>
      <w:r w:rsidRPr="00AC3BED">
        <w:rPr>
          <w:rFonts w:ascii="Times New Roman" w:hAnsi="Times New Roman" w:cs="Times New Roman"/>
        </w:rPr>
        <w:t>Gotteland</w:t>
      </w:r>
      <w:proofErr w:type="spellEnd"/>
      <w:r w:rsidRPr="00AC3BED">
        <w:rPr>
          <w:rFonts w:ascii="Times New Roman" w:hAnsi="Times New Roman" w:cs="Times New Roman"/>
        </w:rPr>
        <w:t xml:space="preserve">, M., Riveros, K., </w:t>
      </w:r>
      <w:proofErr w:type="spellStart"/>
      <w:r w:rsidRPr="00AC3BED">
        <w:rPr>
          <w:rFonts w:ascii="Times New Roman" w:hAnsi="Times New Roman" w:cs="Times New Roman"/>
        </w:rPr>
        <w:t>Gasaly</w:t>
      </w:r>
      <w:proofErr w:type="spellEnd"/>
      <w:r w:rsidRPr="00AC3BED">
        <w:rPr>
          <w:rFonts w:ascii="Times New Roman" w:hAnsi="Times New Roman" w:cs="Times New Roman"/>
        </w:rPr>
        <w:t>, N., Carcamo, C., Magne, F., Liabeuf, G., Beattie, A., Rosenfeld, S., &amp; Cian, R. (2020). The pros and cons of using algal polysaccharides as prebiotics. Frontiers in Nutrition, 7, 163. https://doi.org/10.3389/fnut.2020.00163</w:t>
      </w:r>
    </w:p>
    <w:p w14:paraId="67EC92E7"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He, J., Zhang, P., Shen, L., Niu, L., Tan, Y., Chen, L., Zhao, Y., Bai, L., Hao, X., Li, X., &amp; Zhang, S. (2020). Short-chain fatty acids and their association with </w:t>
      </w:r>
      <w:proofErr w:type="spellStart"/>
      <w:r w:rsidRPr="00AC3BED">
        <w:rPr>
          <w:rFonts w:ascii="Times New Roman" w:hAnsi="Times New Roman" w:cs="Times New Roman"/>
        </w:rPr>
        <w:t>signalling</w:t>
      </w:r>
      <w:proofErr w:type="spellEnd"/>
      <w:r w:rsidRPr="00AC3BED">
        <w:rPr>
          <w:rFonts w:ascii="Times New Roman" w:hAnsi="Times New Roman" w:cs="Times New Roman"/>
        </w:rPr>
        <w:t xml:space="preserve"> pathways in inflammation, glucose and lipid metabolism. International Journal of Molecular Sciences, 21(17), 6356.https://doi.org/10.3390/ijms21176356</w:t>
      </w:r>
    </w:p>
    <w:p w14:paraId="79CC85E0" w14:textId="77777777" w:rsidR="00AC3BED" w:rsidRPr="00AC3BED" w:rsidRDefault="00AC3BED" w:rsidP="00AC3BED">
      <w:pPr>
        <w:pStyle w:val="ListParagraph"/>
        <w:spacing w:after="120" w:line="360" w:lineRule="auto"/>
        <w:ind w:hanging="720"/>
        <w:jc w:val="both"/>
        <w:rPr>
          <w:rFonts w:ascii="Times New Roman" w:hAnsi="Times New Roman" w:cs="Times New Roman"/>
        </w:rPr>
      </w:pPr>
      <w:proofErr w:type="spellStart"/>
      <w:r w:rsidRPr="00AC3BED">
        <w:rPr>
          <w:rFonts w:ascii="Times New Roman" w:hAnsi="Times New Roman" w:cs="Times New Roman"/>
        </w:rPr>
        <w:t>Hotamisligil</w:t>
      </w:r>
      <w:proofErr w:type="spellEnd"/>
      <w:r w:rsidRPr="00AC3BED">
        <w:rPr>
          <w:rFonts w:ascii="Times New Roman" w:hAnsi="Times New Roman" w:cs="Times New Roman"/>
        </w:rPr>
        <w:t>, G. S. (2006). Inflammation and metabolic disorders. Nature, 444(7121), 860–867. https://doi.org/10.1038/nature05485</w:t>
      </w:r>
    </w:p>
    <w:p w14:paraId="3638DA09"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Hu, M., </w:t>
      </w:r>
      <w:proofErr w:type="spellStart"/>
      <w:r w:rsidRPr="00AC3BED">
        <w:rPr>
          <w:rFonts w:ascii="Times New Roman" w:hAnsi="Times New Roman" w:cs="Times New Roman"/>
        </w:rPr>
        <w:t>Alashkar</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Alhamwe</w:t>
      </w:r>
      <w:proofErr w:type="spellEnd"/>
      <w:r w:rsidRPr="00AC3BED">
        <w:rPr>
          <w:rFonts w:ascii="Times New Roman" w:hAnsi="Times New Roman" w:cs="Times New Roman"/>
        </w:rPr>
        <w:t>, B., Santner-Nanan, B., Miethe, S., Harb, H., Renz, H., Potaczek, D. P., &amp; Nanan, R. K. (2022). Short-chain fatty acids augment differentiation and suppressive function of human induced regulatory T cells in vitro. International Journal of Molecular Sciences, 23(10), 5740. https://doi.org/10.3390/ijms23105740</w:t>
      </w:r>
    </w:p>
    <w:p w14:paraId="3E116842"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Kamali, M., </w:t>
      </w:r>
      <w:proofErr w:type="spellStart"/>
      <w:r w:rsidRPr="00AC3BED">
        <w:rPr>
          <w:rFonts w:ascii="Times New Roman" w:hAnsi="Times New Roman" w:cs="Times New Roman"/>
        </w:rPr>
        <w:t>Shabanpour</w:t>
      </w:r>
      <w:proofErr w:type="spellEnd"/>
      <w:r w:rsidRPr="00AC3BED">
        <w:rPr>
          <w:rFonts w:ascii="Times New Roman" w:hAnsi="Times New Roman" w:cs="Times New Roman"/>
        </w:rPr>
        <w:t xml:space="preserve">, B., </w:t>
      </w:r>
      <w:proofErr w:type="spellStart"/>
      <w:r w:rsidRPr="00AC3BED">
        <w:rPr>
          <w:rFonts w:ascii="Times New Roman" w:hAnsi="Times New Roman" w:cs="Times New Roman"/>
        </w:rPr>
        <w:t>Pourashouri</w:t>
      </w:r>
      <w:proofErr w:type="spellEnd"/>
      <w:r w:rsidRPr="00AC3BED">
        <w:rPr>
          <w:rFonts w:ascii="Times New Roman" w:hAnsi="Times New Roman" w:cs="Times New Roman"/>
        </w:rPr>
        <w:t xml:space="preserve">, P., &amp; </w:t>
      </w:r>
      <w:proofErr w:type="spellStart"/>
      <w:r w:rsidRPr="00AC3BED">
        <w:rPr>
          <w:rFonts w:ascii="Times New Roman" w:hAnsi="Times New Roman" w:cs="Times New Roman"/>
        </w:rPr>
        <w:t>Kordjazi</w:t>
      </w:r>
      <w:proofErr w:type="spellEnd"/>
      <w:r w:rsidRPr="00AC3BED">
        <w:rPr>
          <w:rFonts w:ascii="Times New Roman" w:hAnsi="Times New Roman" w:cs="Times New Roman"/>
        </w:rPr>
        <w:t>, M. (2025). Ulvan from Ulva intestinalis of the Caspian Sea: structural and physicochemical characterization. Carbohydrate Polymer Technologies and Applications, 11, 100872. https://doi.org/10.1016/j.carpta.2025.100872</w:t>
      </w:r>
    </w:p>
    <w:p w14:paraId="3CD96F6A" w14:textId="77777777" w:rsidR="00AC3BED" w:rsidRPr="00AC3BED" w:rsidRDefault="00AC3BED" w:rsidP="00AC3BED">
      <w:pPr>
        <w:pStyle w:val="ListParagraph"/>
        <w:spacing w:after="120" w:line="360" w:lineRule="auto"/>
        <w:ind w:hanging="720"/>
        <w:jc w:val="both"/>
        <w:rPr>
          <w:rFonts w:ascii="Times New Roman" w:hAnsi="Times New Roman" w:cs="Times New Roman"/>
        </w:rPr>
      </w:pPr>
      <w:proofErr w:type="spellStart"/>
      <w:r w:rsidRPr="00AC3BED">
        <w:rPr>
          <w:rFonts w:ascii="Times New Roman" w:hAnsi="Times New Roman" w:cs="Times New Roman"/>
        </w:rPr>
        <w:t>Kidgell</w:t>
      </w:r>
      <w:proofErr w:type="spellEnd"/>
      <w:r w:rsidRPr="00AC3BED">
        <w:rPr>
          <w:rFonts w:ascii="Times New Roman" w:hAnsi="Times New Roman" w:cs="Times New Roman"/>
        </w:rPr>
        <w:t xml:space="preserve">, J. T., Glasson, C. R., Magnusson, M., Vamvounis, G., Sami-Subbu, R., de Nys, R., &amp; Bowyer, M. C. (2020). The molecular weight of </w:t>
      </w:r>
      <w:proofErr w:type="spellStart"/>
      <w:r w:rsidRPr="00AC3BED">
        <w:rPr>
          <w:rFonts w:ascii="Times New Roman" w:hAnsi="Times New Roman" w:cs="Times New Roman"/>
        </w:rPr>
        <w:t>ulvan</w:t>
      </w:r>
      <w:proofErr w:type="spellEnd"/>
      <w:r w:rsidRPr="00AC3BED">
        <w:rPr>
          <w:rFonts w:ascii="Times New Roman" w:hAnsi="Times New Roman" w:cs="Times New Roman"/>
        </w:rPr>
        <w:t xml:space="preserve"> affects the in vitro inflammatory response of a murine macrophage. International Journal of Biological Macromolecules, 150, 839–848. https://doi.org/10.1016/j.ijbiomac.2020.02.071</w:t>
      </w:r>
    </w:p>
    <w:p w14:paraId="7C93FB43"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Kimura, I., Ichimura, A., </w:t>
      </w:r>
      <w:proofErr w:type="spellStart"/>
      <w:r w:rsidRPr="00AC3BED">
        <w:rPr>
          <w:rFonts w:ascii="Times New Roman" w:hAnsi="Times New Roman" w:cs="Times New Roman"/>
        </w:rPr>
        <w:t>Ohue</w:t>
      </w:r>
      <w:proofErr w:type="spellEnd"/>
      <w:r w:rsidRPr="00AC3BED">
        <w:rPr>
          <w:rFonts w:ascii="Times New Roman" w:hAnsi="Times New Roman" w:cs="Times New Roman"/>
        </w:rPr>
        <w:t xml:space="preserve">-Kitano, R., &amp; Igarashi, M. (2020). Free fatty acid receptors in health and disease. Physiological Reviews, 100(1), 171–210.https://doi.org/10.1152/physrev.00041.2018 Müller, T. D., Finan, B., Bloom, S. R., D’Alessio, D., Drucker, D. J., Flatt, P. R., Fritsche, A., Gribble, F., Grill, H. J., </w:t>
      </w:r>
      <w:proofErr w:type="spellStart"/>
      <w:r w:rsidRPr="00AC3BED">
        <w:rPr>
          <w:rFonts w:ascii="Times New Roman" w:hAnsi="Times New Roman" w:cs="Times New Roman"/>
        </w:rPr>
        <w:t>Habener</w:t>
      </w:r>
      <w:proofErr w:type="spellEnd"/>
      <w:r w:rsidRPr="00AC3BED">
        <w:rPr>
          <w:rFonts w:ascii="Times New Roman" w:hAnsi="Times New Roman" w:cs="Times New Roman"/>
        </w:rPr>
        <w:t>, J. F., Holst, J. J., Langhans, W., Meier, J. J., Nauck, M. A., Perez-</w:t>
      </w:r>
      <w:proofErr w:type="spellStart"/>
      <w:r w:rsidRPr="00AC3BED">
        <w:rPr>
          <w:rFonts w:ascii="Times New Roman" w:hAnsi="Times New Roman" w:cs="Times New Roman"/>
        </w:rPr>
        <w:t>Tilve</w:t>
      </w:r>
      <w:proofErr w:type="spellEnd"/>
      <w:r w:rsidRPr="00AC3BED">
        <w:rPr>
          <w:rFonts w:ascii="Times New Roman" w:hAnsi="Times New Roman" w:cs="Times New Roman"/>
        </w:rPr>
        <w:t xml:space="preserve">, D., Pocai, A., Reimann, F., Sandoval, D. A., Schwartz, T. W., Seeley, R. J., Stemmer, K., Tang-Christensen, M., Woods, S. C., &amp; </w:t>
      </w:r>
      <w:proofErr w:type="spellStart"/>
      <w:r w:rsidRPr="00AC3BED">
        <w:rPr>
          <w:rFonts w:ascii="Times New Roman" w:hAnsi="Times New Roman" w:cs="Times New Roman"/>
        </w:rPr>
        <w:t>Tschöp</w:t>
      </w:r>
      <w:proofErr w:type="spellEnd"/>
      <w:r w:rsidRPr="00AC3BED">
        <w:rPr>
          <w:rFonts w:ascii="Times New Roman" w:hAnsi="Times New Roman" w:cs="Times New Roman"/>
        </w:rPr>
        <w:t>, M. H. (2019). Glucagon-like peptide 1 (GLP-1). Molecular Metabolism, 30, 72–130.https://doi.org/10.1016/j.molmet.2019.09.010</w:t>
      </w:r>
    </w:p>
    <w:p w14:paraId="541B3DAA"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lastRenderedPageBreak/>
        <w:t xml:space="preserve">Kong, Q., Dong, S., Gao, J., &amp; Jiang, C. (2016). In vitro fermentation of sulfated polysaccharides from E. </w:t>
      </w:r>
      <w:proofErr w:type="spellStart"/>
      <w:r w:rsidRPr="00AC3BED">
        <w:rPr>
          <w:rFonts w:ascii="Times New Roman" w:hAnsi="Times New Roman" w:cs="Times New Roman"/>
        </w:rPr>
        <w:t>prolifera</w:t>
      </w:r>
      <w:proofErr w:type="spellEnd"/>
      <w:r w:rsidRPr="00AC3BED">
        <w:rPr>
          <w:rFonts w:ascii="Times New Roman" w:hAnsi="Times New Roman" w:cs="Times New Roman"/>
        </w:rPr>
        <w:t xml:space="preserve"> and L. japonica by human fecal microbiota. International Journal of Biological Macromolecules, 91, 867–871.https://doi.org/10.1016/j.ijbiomac.2016.06.036</w:t>
      </w:r>
    </w:p>
    <w:p w14:paraId="34197435"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Korsten, S. G. P. J., </w:t>
      </w:r>
      <w:proofErr w:type="spellStart"/>
      <w:r w:rsidRPr="00AC3BED">
        <w:rPr>
          <w:rFonts w:ascii="Times New Roman" w:hAnsi="Times New Roman" w:cs="Times New Roman"/>
        </w:rPr>
        <w:t>Vromans</w:t>
      </w:r>
      <w:proofErr w:type="spellEnd"/>
      <w:r w:rsidRPr="00AC3BED">
        <w:rPr>
          <w:rFonts w:ascii="Times New Roman" w:hAnsi="Times New Roman" w:cs="Times New Roman"/>
        </w:rPr>
        <w:t xml:space="preserve">, H., </w:t>
      </w:r>
      <w:proofErr w:type="spellStart"/>
      <w:r w:rsidRPr="00AC3BED">
        <w:rPr>
          <w:rFonts w:ascii="Times New Roman" w:hAnsi="Times New Roman" w:cs="Times New Roman"/>
        </w:rPr>
        <w:t>Garssen</w:t>
      </w:r>
      <w:proofErr w:type="spellEnd"/>
      <w:r w:rsidRPr="00AC3BED">
        <w:rPr>
          <w:rFonts w:ascii="Times New Roman" w:hAnsi="Times New Roman" w:cs="Times New Roman"/>
        </w:rPr>
        <w:t>, J., &amp; Willemsen, L. E. M. (2023). Butyrate protects barrier integrity and suppresses immune activation in a Caco-2/PBMC co-culture model while HDAC inhibition mimics butyrate in restoring cytokine-induced barrier disruption. Nutrients, 15(12), 2760. https://doi.org/10.3390/nu15122760</w:t>
      </w:r>
    </w:p>
    <w:p w14:paraId="4F8BD9BD"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Lahaye, M., &amp; Robic, A. (2007). Structure and functional properties of </w:t>
      </w:r>
      <w:proofErr w:type="spellStart"/>
      <w:r w:rsidRPr="00AC3BED">
        <w:rPr>
          <w:rFonts w:ascii="Times New Roman" w:hAnsi="Times New Roman" w:cs="Times New Roman"/>
        </w:rPr>
        <w:t>ulvan</w:t>
      </w:r>
      <w:proofErr w:type="spellEnd"/>
      <w:r w:rsidRPr="00AC3BED">
        <w:rPr>
          <w:rFonts w:ascii="Times New Roman" w:hAnsi="Times New Roman" w:cs="Times New Roman"/>
        </w:rPr>
        <w:t>, a polysaccharide from green seaweeds. Biomacromolecules, 8(6), 1765–1774.https://doi.org/10.1021/bm061185q</w:t>
      </w:r>
    </w:p>
    <w:p w14:paraId="432D0240"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Lee, Y. H., Kim, J. H., &amp; Kim, T. H. (2023). Anti-diabetic potential of </w:t>
      </w:r>
      <w:proofErr w:type="spellStart"/>
      <w:r w:rsidRPr="00AC3BED">
        <w:rPr>
          <w:rFonts w:ascii="Times New Roman" w:hAnsi="Times New Roman" w:cs="Times New Roman"/>
        </w:rPr>
        <w:t>Sargassum</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horneri</w:t>
      </w:r>
      <w:proofErr w:type="spellEnd"/>
      <w:r w:rsidRPr="00AC3BED">
        <w:rPr>
          <w:rFonts w:ascii="Times New Roman" w:hAnsi="Times New Roman" w:cs="Times New Roman"/>
        </w:rPr>
        <w:t xml:space="preserve"> and </w:t>
      </w:r>
      <w:proofErr w:type="spellStart"/>
      <w:r w:rsidRPr="00AC3BED">
        <w:rPr>
          <w:rFonts w:ascii="Times New Roman" w:hAnsi="Times New Roman" w:cs="Times New Roman"/>
        </w:rPr>
        <w:t>Ulva</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australis</w:t>
      </w:r>
      <w:proofErr w:type="spellEnd"/>
      <w:r w:rsidRPr="00AC3BED">
        <w:rPr>
          <w:rFonts w:ascii="Times New Roman" w:hAnsi="Times New Roman" w:cs="Times New Roman"/>
        </w:rPr>
        <w:t xml:space="preserve"> extracts. Current Issues in Molecular Biology, 45(9), 7473–7486. https://doi.org/10.3390/cimb45090473</w:t>
      </w:r>
    </w:p>
    <w:p w14:paraId="30BC1BE1"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Li, C., Liu, Y., Yang, M., Zhang, H., Chen, J., &amp; Wang, X. (2024). Fucoidan ameliorates diabetic skeletal muscle atrophy and metabolic dysregulation through PI3K/Akt signaling in type 2 diabetes models. Journal of Functional Foods, 114, 106076. https://doi.org/10.1016/j.jff.2024.106076</w:t>
      </w:r>
    </w:p>
    <w:p w14:paraId="3B865D48"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Li, J.-K., </w:t>
      </w:r>
      <w:proofErr w:type="spellStart"/>
      <w:r w:rsidRPr="00AC3BED">
        <w:rPr>
          <w:rFonts w:ascii="Times New Roman" w:hAnsi="Times New Roman" w:cs="Times New Roman"/>
        </w:rPr>
        <w:t>Veeraperumal</w:t>
      </w:r>
      <w:proofErr w:type="spellEnd"/>
      <w:r w:rsidRPr="00AC3BED">
        <w:rPr>
          <w:rFonts w:ascii="Times New Roman" w:hAnsi="Times New Roman" w:cs="Times New Roman"/>
        </w:rPr>
        <w:t xml:space="preserve">, S., </w:t>
      </w:r>
      <w:proofErr w:type="spellStart"/>
      <w:r w:rsidRPr="00AC3BED">
        <w:rPr>
          <w:rFonts w:ascii="Times New Roman" w:hAnsi="Times New Roman" w:cs="Times New Roman"/>
        </w:rPr>
        <w:t>Aweya</w:t>
      </w:r>
      <w:proofErr w:type="spellEnd"/>
      <w:r w:rsidRPr="00AC3BED">
        <w:rPr>
          <w:rFonts w:ascii="Times New Roman" w:hAnsi="Times New Roman" w:cs="Times New Roman"/>
        </w:rPr>
        <w:t>, J. J., Liu, Y., &amp; Cheong, K.-L. (2024). Fucoidan modulates gut microbiota and immunity in Peyer’s patches against inflammatory bowel disease. Carbohydrate Polymers, 342, 122421. https://doi.org/10.1016/j.carbpol.2024.122421</w:t>
      </w:r>
    </w:p>
    <w:p w14:paraId="2CB56521"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Li, W., Jiang, N., Li, B., Wan, M., Chang, X., Liu, H., Zhang, L., Yin, S., Qi, H., &amp; Liu, S. (2018). Antioxidant activity of purified </w:t>
      </w:r>
      <w:proofErr w:type="spellStart"/>
      <w:r w:rsidRPr="00AC3BED">
        <w:rPr>
          <w:rFonts w:ascii="Times New Roman" w:hAnsi="Times New Roman" w:cs="Times New Roman"/>
        </w:rPr>
        <w:t>ulvan</w:t>
      </w:r>
      <w:proofErr w:type="spellEnd"/>
      <w:r w:rsidRPr="00AC3BED">
        <w:rPr>
          <w:rFonts w:ascii="Times New Roman" w:hAnsi="Times New Roman" w:cs="Times New Roman"/>
        </w:rPr>
        <w:t xml:space="preserve"> in </w:t>
      </w:r>
      <w:proofErr w:type="spellStart"/>
      <w:r w:rsidRPr="00AC3BED">
        <w:rPr>
          <w:rFonts w:ascii="Times New Roman" w:hAnsi="Times New Roman" w:cs="Times New Roman"/>
        </w:rPr>
        <w:t>hyperlipidemic</w:t>
      </w:r>
      <w:proofErr w:type="spellEnd"/>
      <w:r w:rsidRPr="00AC3BED">
        <w:rPr>
          <w:rFonts w:ascii="Times New Roman" w:hAnsi="Times New Roman" w:cs="Times New Roman"/>
        </w:rPr>
        <w:t xml:space="preserve"> mice. International journal of biological macromolecules, 113, 971–975. https://doi.org/10.1016/j.ijbiomac.2018.02.104</w:t>
      </w:r>
    </w:p>
    <w:p w14:paraId="45F571E3"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Liang, Y., Yu, W., Wang, H., Yao, L., He, Z., Sun, M., Feng, T., Yu, C., &amp; Yue, H. (2024). Flash extraction of </w:t>
      </w:r>
      <w:proofErr w:type="spellStart"/>
      <w:r w:rsidRPr="00AC3BED">
        <w:rPr>
          <w:rFonts w:ascii="Times New Roman" w:hAnsi="Times New Roman" w:cs="Times New Roman"/>
        </w:rPr>
        <w:t>ulvan</w:t>
      </w:r>
      <w:proofErr w:type="spellEnd"/>
      <w:r w:rsidRPr="00AC3BED">
        <w:rPr>
          <w:rFonts w:ascii="Times New Roman" w:hAnsi="Times New Roman" w:cs="Times New Roman"/>
        </w:rPr>
        <w:t xml:space="preserve"> polysaccharides from marine green </w:t>
      </w:r>
      <w:proofErr w:type="spellStart"/>
      <w:r w:rsidRPr="00AC3BED">
        <w:rPr>
          <w:rFonts w:ascii="Times New Roman" w:hAnsi="Times New Roman" w:cs="Times New Roman"/>
        </w:rPr>
        <w:t>macroalga</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Ulva</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linza</w:t>
      </w:r>
      <w:proofErr w:type="spellEnd"/>
      <w:r w:rsidRPr="00AC3BED">
        <w:rPr>
          <w:rFonts w:ascii="Times New Roman" w:hAnsi="Times New Roman" w:cs="Times New Roman"/>
        </w:rPr>
        <w:t xml:space="preserve"> and evaluation of its antioxidant and gut microbiota modulation activities. International Journal of Biological Macromolecules, 262(Pt 2), 130174. https://doi.org/10.1016/j.ijbiomac.2024.13017</w:t>
      </w:r>
    </w:p>
    <w:p w14:paraId="741EF591" w14:textId="77777777" w:rsidR="00AC3BED" w:rsidRPr="00AC3BED" w:rsidRDefault="00AC3BED" w:rsidP="00AC3BED">
      <w:pPr>
        <w:pStyle w:val="ListParagraph"/>
        <w:spacing w:after="120" w:line="360" w:lineRule="auto"/>
        <w:ind w:hanging="720"/>
        <w:jc w:val="both"/>
        <w:rPr>
          <w:rFonts w:ascii="Times New Roman" w:hAnsi="Times New Roman" w:cs="Times New Roman"/>
        </w:rPr>
      </w:pPr>
      <w:proofErr w:type="spellStart"/>
      <w:r w:rsidRPr="00AC3BED">
        <w:rPr>
          <w:rFonts w:ascii="Times New Roman" w:hAnsi="Times New Roman" w:cs="Times New Roman"/>
        </w:rPr>
        <w:t>Limijadi</w:t>
      </w:r>
      <w:proofErr w:type="spellEnd"/>
      <w:r w:rsidRPr="00AC3BED">
        <w:rPr>
          <w:rFonts w:ascii="Times New Roman" w:hAnsi="Times New Roman" w:cs="Times New Roman"/>
        </w:rPr>
        <w:t>, E. K. S., Rahman, M. M., Kim, Y. S., &amp; Park, S. H. (2025). Marine algal-derived postbiotics modulating the gut microbiota: Mechanisms and metabolic health outcomes. Nutrients, 17(23), 3774.https://doi.org/10.3390/nu17233774</w:t>
      </w:r>
    </w:p>
    <w:p w14:paraId="62BFAF4A"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Liu, H., Lu, H., Wang, Y., Yu, C., He, Z., &amp; Dong, H. (2024). Unlocking the power of short-chain fatty acids in ameliorating intestinal mucosal immunity: A new porcine nutritional approach. Frontiers in Cellular and Infection Microbiology, 14, 1449030. https://doi.org/10.3389/fcimb.2024.1449030</w:t>
      </w:r>
    </w:p>
    <w:p w14:paraId="6EB48E36"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Liu, K., Zhang, Y., Cai, H., Song, S., Ai, C., &amp; Yang, J. (2025). </w:t>
      </w:r>
      <w:proofErr w:type="spellStart"/>
      <w:r w:rsidRPr="00AC3BED">
        <w:rPr>
          <w:rFonts w:ascii="Times New Roman" w:hAnsi="Times New Roman" w:cs="Times New Roman"/>
        </w:rPr>
        <w:t>Ulva</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lactuca</w:t>
      </w:r>
      <w:proofErr w:type="spellEnd"/>
      <w:r w:rsidRPr="00AC3BED">
        <w:rPr>
          <w:rFonts w:ascii="Times New Roman" w:hAnsi="Times New Roman" w:cs="Times New Roman"/>
        </w:rPr>
        <w:t xml:space="preserve"> polysaccharides alleviate constipation in mice through repairing the intestinal barrier and regulating the gut microbiota. Journal of the Science of Food and Agriculture, 105(15), 8664–8676. https://doi.org/10.1002/jsfa.70108</w:t>
      </w:r>
    </w:p>
    <w:p w14:paraId="1FC08FC7"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lastRenderedPageBreak/>
        <w:t>Liu, M., Ma, L., Chen, Q., Zhang, P., Yao, Y., Zhang, Y., &amp; Zhu, B. (2018). Fucoidan alleviates dyslipidemia and modulates gut microbiota in high-fat diet-induced mice. Journal of Functional Foods, 48, 220–227.https://doi.org/10.1016/j.jff.2018.07.006</w:t>
      </w:r>
    </w:p>
    <w:p w14:paraId="395876F9"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Liu, Y., Wang, J., &amp; Li, X. (2022). Fucoidan protects the pancreas and improves glucose metabolism in diabetic mice. Food &amp; Function, 13(4), 2123–2135. https://doi.org/10.1039/D1FO04164A</w:t>
      </w:r>
    </w:p>
    <w:p w14:paraId="11D8F258"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Liu, Y., Xu, Z., Zhang, D., Zhang, Y., Li, W., Liu, W., &amp; Li, X. (2025). Effect of fucoidan supplementation on glycolipid metabolism, systemic inflammation and gut microbiota in prediabetes: A randomized controlled trial. International Journal of Biological Macromolecules, 287, 138415. https://doi.org/10.1016/j.ijbiomac.2024.138415</w:t>
      </w:r>
    </w:p>
    <w:p w14:paraId="4AD5E32C"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Liyanage, N. M., Lee, H. G., </w:t>
      </w:r>
      <w:proofErr w:type="spellStart"/>
      <w:r w:rsidRPr="00AC3BED">
        <w:rPr>
          <w:rFonts w:ascii="Times New Roman" w:hAnsi="Times New Roman" w:cs="Times New Roman"/>
        </w:rPr>
        <w:t>Nagahawatta</w:t>
      </w:r>
      <w:proofErr w:type="spellEnd"/>
      <w:r w:rsidRPr="00AC3BED">
        <w:rPr>
          <w:rFonts w:ascii="Times New Roman" w:hAnsi="Times New Roman" w:cs="Times New Roman"/>
        </w:rPr>
        <w:t xml:space="preserve">, D. P., Jayawardena, T. U., Jeon, Y. J., &amp; Kim, G. Y. (2023). </w:t>
      </w:r>
      <w:proofErr w:type="spellStart"/>
      <w:r w:rsidRPr="00AC3BED">
        <w:rPr>
          <w:rFonts w:ascii="Times New Roman" w:hAnsi="Times New Roman" w:cs="Times New Roman"/>
        </w:rPr>
        <w:t>Fucoidan</w:t>
      </w:r>
      <w:proofErr w:type="spellEnd"/>
      <w:r w:rsidRPr="00AC3BED">
        <w:rPr>
          <w:rFonts w:ascii="Times New Roman" w:hAnsi="Times New Roman" w:cs="Times New Roman"/>
        </w:rPr>
        <w:t xml:space="preserve"> from </w:t>
      </w:r>
      <w:proofErr w:type="spellStart"/>
      <w:r w:rsidRPr="00AC3BED">
        <w:rPr>
          <w:rFonts w:ascii="Times New Roman" w:hAnsi="Times New Roman" w:cs="Times New Roman"/>
        </w:rPr>
        <w:t>Sargassum</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autumnale</w:t>
      </w:r>
      <w:proofErr w:type="spellEnd"/>
      <w:r w:rsidRPr="00AC3BED">
        <w:rPr>
          <w:rFonts w:ascii="Times New Roman" w:hAnsi="Times New Roman" w:cs="Times New Roman"/>
        </w:rPr>
        <w:t xml:space="preserve"> inhibits potential inflammatory responses via NF-</w:t>
      </w:r>
      <w:proofErr w:type="spellStart"/>
      <w:r w:rsidRPr="00AC3BED">
        <w:rPr>
          <w:rFonts w:ascii="Times New Roman" w:hAnsi="Times New Roman" w:cs="Times New Roman"/>
        </w:rPr>
        <w:t>κB</w:t>
      </w:r>
      <w:proofErr w:type="spellEnd"/>
      <w:r w:rsidRPr="00AC3BED">
        <w:rPr>
          <w:rFonts w:ascii="Times New Roman" w:hAnsi="Times New Roman" w:cs="Times New Roman"/>
        </w:rPr>
        <w:t xml:space="preserve"> and MAPK pathway suppression in lipopolysaccharide-induced RAW 264.7 macrophages. Marine Drugs, 21(7), 374. https://doi.org/10.3390/md21070374</w:t>
      </w:r>
    </w:p>
    <w:p w14:paraId="0A78FA96" w14:textId="77777777" w:rsidR="00AC3BED" w:rsidRPr="00AC3BED" w:rsidRDefault="00AC3BED" w:rsidP="00AC3BED">
      <w:pPr>
        <w:pStyle w:val="ListParagraph"/>
        <w:spacing w:after="120" w:line="360" w:lineRule="auto"/>
        <w:ind w:hanging="720"/>
        <w:jc w:val="both"/>
        <w:rPr>
          <w:rFonts w:ascii="Times New Roman" w:hAnsi="Times New Roman" w:cs="Times New Roman"/>
        </w:rPr>
      </w:pPr>
      <w:proofErr w:type="spellStart"/>
      <w:r w:rsidRPr="00AC3BED">
        <w:rPr>
          <w:rFonts w:ascii="Times New Roman" w:hAnsi="Times New Roman" w:cs="Times New Roman"/>
        </w:rPr>
        <w:t>Mabate</w:t>
      </w:r>
      <w:proofErr w:type="spellEnd"/>
      <w:r w:rsidRPr="00AC3BED">
        <w:rPr>
          <w:rFonts w:ascii="Times New Roman" w:hAnsi="Times New Roman" w:cs="Times New Roman"/>
        </w:rPr>
        <w:t xml:space="preserve">, B., Daub, C. D., Malgas, S., Edkins, A. L., &amp; </w:t>
      </w:r>
      <w:proofErr w:type="spellStart"/>
      <w:r w:rsidRPr="00AC3BED">
        <w:rPr>
          <w:rFonts w:ascii="Times New Roman" w:hAnsi="Times New Roman" w:cs="Times New Roman"/>
        </w:rPr>
        <w:t>Pletschke</w:t>
      </w:r>
      <w:proofErr w:type="spellEnd"/>
      <w:r w:rsidRPr="00AC3BED">
        <w:rPr>
          <w:rFonts w:ascii="Times New Roman" w:hAnsi="Times New Roman" w:cs="Times New Roman"/>
        </w:rPr>
        <w:t>, B. I. (2021). Fucoidan structure and its impact on glucose metabolism: Implications for diabetes and cancer therapy. Marine Drugs, 19(1), 30. https://doi.org/10.3390/md19010030</w:t>
      </w:r>
    </w:p>
    <w:p w14:paraId="5E31F9AC"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Matos, J., Cardoso, C., Serralheiro, M. L., Bandarra, N. M., &amp; Afonso, C. (2024). Seaweed </w:t>
      </w:r>
      <w:proofErr w:type="spellStart"/>
      <w:r w:rsidRPr="00AC3BED">
        <w:rPr>
          <w:rFonts w:ascii="Times New Roman" w:hAnsi="Times New Roman" w:cs="Times New Roman"/>
        </w:rPr>
        <w:t>bioactives</w:t>
      </w:r>
      <w:proofErr w:type="spellEnd"/>
      <w:r w:rsidRPr="00AC3BED">
        <w:rPr>
          <w:rFonts w:ascii="Times New Roman" w:hAnsi="Times New Roman" w:cs="Times New Roman"/>
        </w:rPr>
        <w:t xml:space="preserve"> potential as </w:t>
      </w:r>
      <w:proofErr w:type="spellStart"/>
      <w:r w:rsidRPr="00AC3BED">
        <w:rPr>
          <w:rFonts w:ascii="Times New Roman" w:hAnsi="Times New Roman" w:cs="Times New Roman"/>
        </w:rPr>
        <w:t>nutraceuticals</w:t>
      </w:r>
      <w:proofErr w:type="spellEnd"/>
      <w:r w:rsidRPr="00AC3BED">
        <w:rPr>
          <w:rFonts w:ascii="Times New Roman" w:hAnsi="Times New Roman" w:cs="Times New Roman"/>
        </w:rPr>
        <w:t xml:space="preserve"> and functional ingredients: A review. Journal of Food Composition and Analysis, 133, 106453. https://doi.org/10.1016/j.jfca.2024.106453</w:t>
      </w:r>
    </w:p>
    <w:p w14:paraId="3E4429A1"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Mensah, E. O., </w:t>
      </w:r>
      <w:proofErr w:type="spellStart"/>
      <w:r w:rsidRPr="00AC3BED">
        <w:rPr>
          <w:rFonts w:ascii="Times New Roman" w:hAnsi="Times New Roman" w:cs="Times New Roman"/>
        </w:rPr>
        <w:t>Kanwugu</w:t>
      </w:r>
      <w:proofErr w:type="spellEnd"/>
      <w:r w:rsidRPr="00AC3BED">
        <w:rPr>
          <w:rFonts w:ascii="Times New Roman" w:hAnsi="Times New Roman" w:cs="Times New Roman"/>
        </w:rPr>
        <w:t xml:space="preserve">, O. N., Panda, P. K., &amp; </w:t>
      </w:r>
      <w:proofErr w:type="spellStart"/>
      <w:r w:rsidRPr="00AC3BED">
        <w:rPr>
          <w:rFonts w:ascii="Times New Roman" w:hAnsi="Times New Roman" w:cs="Times New Roman"/>
        </w:rPr>
        <w:t>Adadi</w:t>
      </w:r>
      <w:proofErr w:type="spellEnd"/>
      <w:r w:rsidRPr="00AC3BED">
        <w:rPr>
          <w:rFonts w:ascii="Times New Roman" w:hAnsi="Times New Roman" w:cs="Times New Roman"/>
        </w:rPr>
        <w:t>, P. (2023). Marine fucoidans: Structural, extraction, biological activities and their applications in the food industry. Food Hydrocolloids, 142, 108784. https://doi.org/10.1016/j.foodhyd.2023.108784</w:t>
      </w:r>
    </w:p>
    <w:p w14:paraId="57FDDFC7"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Mir, M. M., Jeelani, M., Alharthi, M. H., Rizvi, S. F., Sohail, S. K., Wani, J. I., Sabah, Z. U., </w:t>
      </w:r>
      <w:proofErr w:type="spellStart"/>
      <w:r w:rsidRPr="00AC3BED">
        <w:rPr>
          <w:rFonts w:ascii="Times New Roman" w:hAnsi="Times New Roman" w:cs="Times New Roman"/>
        </w:rPr>
        <w:t>BinAfif</w:t>
      </w:r>
      <w:proofErr w:type="spellEnd"/>
      <w:r w:rsidRPr="00AC3BED">
        <w:rPr>
          <w:rFonts w:ascii="Times New Roman" w:hAnsi="Times New Roman" w:cs="Times New Roman"/>
        </w:rPr>
        <w:t xml:space="preserve">, W. F., Nandi, P., &amp; Alshahrani, A. M. (2025). Unraveling the mystery of insulin resistance: From principle mechanistic insights and consequences to therapeutic interventions. International Journal of Molecular Sciences, 26(6), 2770. https://doi.org/10.3390/ijms26062770 den </w:t>
      </w:r>
      <w:proofErr w:type="spellStart"/>
      <w:r w:rsidRPr="00AC3BED">
        <w:rPr>
          <w:rFonts w:ascii="Times New Roman" w:hAnsi="Times New Roman" w:cs="Times New Roman"/>
        </w:rPr>
        <w:t>Besten</w:t>
      </w:r>
      <w:proofErr w:type="spellEnd"/>
      <w:r w:rsidRPr="00AC3BED">
        <w:rPr>
          <w:rFonts w:ascii="Times New Roman" w:hAnsi="Times New Roman" w:cs="Times New Roman"/>
        </w:rPr>
        <w:t xml:space="preserve">, G., van </w:t>
      </w:r>
      <w:proofErr w:type="spellStart"/>
      <w:r w:rsidRPr="00AC3BED">
        <w:rPr>
          <w:rFonts w:ascii="Times New Roman" w:hAnsi="Times New Roman" w:cs="Times New Roman"/>
        </w:rPr>
        <w:t>Eunen</w:t>
      </w:r>
      <w:proofErr w:type="spellEnd"/>
      <w:r w:rsidRPr="00AC3BED">
        <w:rPr>
          <w:rFonts w:ascii="Times New Roman" w:hAnsi="Times New Roman" w:cs="Times New Roman"/>
        </w:rPr>
        <w:t xml:space="preserve">, K., Groen, A. K., Venema, K., </w:t>
      </w:r>
      <w:proofErr w:type="spellStart"/>
      <w:r w:rsidRPr="00AC3BED">
        <w:rPr>
          <w:rFonts w:ascii="Times New Roman" w:hAnsi="Times New Roman" w:cs="Times New Roman"/>
        </w:rPr>
        <w:t>Reijngoud</w:t>
      </w:r>
      <w:proofErr w:type="spellEnd"/>
      <w:r w:rsidRPr="00AC3BED">
        <w:rPr>
          <w:rFonts w:ascii="Times New Roman" w:hAnsi="Times New Roman" w:cs="Times New Roman"/>
        </w:rPr>
        <w:t>, D.-J., &amp; Bakker, B. M. (2013). The role of short-chain fatty acids in the interplay between diet, gut microbiota, and host energy metabolism. Journal of Lipid Research, 54(9), 2325–2340. https://doi.org/10.1194/jlr.R036012</w:t>
      </w:r>
    </w:p>
    <w:p w14:paraId="417EAA69"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Mohammad, S., &amp; </w:t>
      </w:r>
      <w:proofErr w:type="spellStart"/>
      <w:r w:rsidRPr="00AC3BED">
        <w:rPr>
          <w:rFonts w:ascii="Times New Roman" w:hAnsi="Times New Roman" w:cs="Times New Roman"/>
        </w:rPr>
        <w:t>Thiemermann</w:t>
      </w:r>
      <w:proofErr w:type="spellEnd"/>
      <w:r w:rsidRPr="00AC3BED">
        <w:rPr>
          <w:rFonts w:ascii="Times New Roman" w:hAnsi="Times New Roman" w:cs="Times New Roman"/>
        </w:rPr>
        <w:t>, C. (2021). Role of metabolic endotoxemia in systemic inflammation and potential interventions. Frontiers in Immunology, 11, 594150.https://doi.org/10.3389/fimmu.2020.594150</w:t>
      </w:r>
    </w:p>
    <w:p w14:paraId="335C652C"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Neurath, M. F., Artis, D., &amp; Becker, C. (2025). The intestinal barrier: A pivotal role in health, inflammation, and cancer. Lancet Gastroenterology &amp; Hepatology, Early View. https://doi.org/10.1016/S2468-1253(24)00390-X Régnier, M., Van Hul, M., Knauf, C., &amp; </w:t>
      </w:r>
      <w:r w:rsidRPr="00AC3BED">
        <w:rPr>
          <w:rFonts w:ascii="Times New Roman" w:hAnsi="Times New Roman" w:cs="Times New Roman"/>
        </w:rPr>
        <w:lastRenderedPageBreak/>
        <w:t>Cani, P. D. (2021). Gut microbiome, endocrine control of gut barrier function and metabolic diseases. Journal of Endocrinology, 248(2), R67–R82. https://doi.org/10.1530/JOE-20-0473</w:t>
      </w:r>
    </w:p>
    <w:p w14:paraId="7AA21974"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Park, H. Y., Han, M. H., Park, C., Jin, C.-Y., Kim, G.-Y., Choi, I.-W., … Choi, Y. H. (2011). Anti-inflammatory effects of fucoidan through inhibition of NF-</w:t>
      </w:r>
      <w:proofErr w:type="spellStart"/>
      <w:r w:rsidRPr="00AC3BED">
        <w:rPr>
          <w:rFonts w:ascii="Times New Roman" w:hAnsi="Times New Roman" w:cs="Times New Roman"/>
        </w:rPr>
        <w:t>κB</w:t>
      </w:r>
      <w:proofErr w:type="spellEnd"/>
      <w:r w:rsidRPr="00AC3BED">
        <w:rPr>
          <w:rFonts w:ascii="Times New Roman" w:hAnsi="Times New Roman" w:cs="Times New Roman"/>
        </w:rPr>
        <w:t xml:space="preserve">, MAPK and </w:t>
      </w:r>
      <w:proofErr w:type="spellStart"/>
      <w:r w:rsidRPr="00AC3BED">
        <w:rPr>
          <w:rFonts w:ascii="Times New Roman" w:hAnsi="Times New Roman" w:cs="Times New Roman"/>
        </w:rPr>
        <w:t>Akt</w:t>
      </w:r>
      <w:proofErr w:type="spellEnd"/>
      <w:r w:rsidRPr="00AC3BED">
        <w:rPr>
          <w:rFonts w:ascii="Times New Roman" w:hAnsi="Times New Roman" w:cs="Times New Roman"/>
        </w:rPr>
        <w:t xml:space="preserve"> activation in lipopolysaccharide-induced BV2 microglia cells. Food and Chemical Toxicology, 49(8), 1745–1752. https://doi.org/10.1016/j.fct.2011.04.020</w:t>
      </w:r>
    </w:p>
    <w:p w14:paraId="37B77A7E"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Park, J.-E., Park, H.-Y., Kim, Y.-S., &amp; Park, M. (2024). The role of diet, additives, and antibiotics in metabolic endotoxemia and chronic diseases. Metabolites, 14(12), 704. https://doi.org/10.3390/metabo14120704</w:t>
      </w:r>
    </w:p>
    <w:p w14:paraId="14E2F749"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Peña-Durán, E., García-Galindo, J. J., López-Murillo, L. D., Huerta-Huerta, A., </w:t>
      </w:r>
      <w:proofErr w:type="spellStart"/>
      <w:r w:rsidRPr="00AC3BED">
        <w:rPr>
          <w:rFonts w:ascii="Times New Roman" w:hAnsi="Times New Roman" w:cs="Times New Roman"/>
        </w:rPr>
        <w:t>Balleza-Alejandri</w:t>
      </w:r>
      <w:proofErr w:type="spellEnd"/>
      <w:r w:rsidRPr="00AC3BED">
        <w:rPr>
          <w:rFonts w:ascii="Times New Roman" w:hAnsi="Times New Roman" w:cs="Times New Roman"/>
        </w:rPr>
        <w:t>, L. R., Beltrán-Ramírez, A., Anaya-Ambriz, E. J., &amp; Suárez-Rico, D. O. (2025). Microbiota and inflammatory markers: a review of their interplay, clinical implications, and metabolic disorders. International Journal of Molecular Sciences, 26(4), 1773. https://doi.org/10.3390/ijms26041773</w:t>
      </w:r>
    </w:p>
    <w:p w14:paraId="6235783F"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Peng, L., Li, Z.-R., Green, R. S., Holzman, I. R., &amp; Lin, J. (2009). Butyrate enhances the intestinal barrier by facilitating tight junction assembly via activation of AMP-activated protein kinase. American Journal of Physiology–Gastrointestinal and Liver Physiology, 297(1), G146–G154.https://doi.org/10.1152/ajpgi.90332.2008</w:t>
      </w:r>
    </w:p>
    <w:p w14:paraId="3852E2BA" w14:textId="77777777" w:rsidR="00AC3BED" w:rsidRPr="00AC3BED" w:rsidRDefault="00AC3BED" w:rsidP="00AC3BED">
      <w:pPr>
        <w:pStyle w:val="ListParagraph"/>
        <w:spacing w:after="120" w:line="360" w:lineRule="auto"/>
        <w:ind w:hanging="720"/>
        <w:jc w:val="both"/>
        <w:rPr>
          <w:rFonts w:ascii="Times New Roman" w:hAnsi="Times New Roman" w:cs="Times New Roman"/>
        </w:rPr>
      </w:pPr>
      <w:proofErr w:type="spellStart"/>
      <w:r w:rsidRPr="00AC3BED">
        <w:rPr>
          <w:rFonts w:ascii="Times New Roman" w:hAnsi="Times New Roman" w:cs="Times New Roman"/>
        </w:rPr>
        <w:t>Phull</w:t>
      </w:r>
      <w:proofErr w:type="spellEnd"/>
      <w:r w:rsidRPr="00AC3BED">
        <w:rPr>
          <w:rFonts w:ascii="Times New Roman" w:hAnsi="Times New Roman" w:cs="Times New Roman"/>
        </w:rPr>
        <w:t>, A. R., &amp; Kim, S. J. (2017). Fucoidan as bio-functional molecule: Insights into the anti-inflammatory potential and associated molecular mechanisms. Journal of Functional Foods, 38, 415–426. https://doi.org/10.1016/j.jff.2017.09.051</w:t>
      </w:r>
    </w:p>
    <w:p w14:paraId="5ED0CB3E"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Pingitore, A., Chambers, E. S., Hill, T., Maldonado, I. R., Liu, B., Bewick, G., Morrison, D. J., Preston, T., Wallis, G. A., Tedford, C., Castanera González, R., Huang, G. C., Frost, G., &amp; Persaud, S. J. (2017). The diet-derived short-chain fatty acid propionate improves β-cell function in humans and stimulates insulin secretion from human islets. Diabetes, Obesity and Metabolism, 19(2), 257–265.https://doi.org/10.1111/dom.12811</w:t>
      </w:r>
    </w:p>
    <w:p w14:paraId="0B11E2EB"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Pratap, K., Majzoub, M. E., Taki, A. C., Miranda, C. C., Magnusson, M., Glasson, C. R., … Panchal, S. K. (2022). The algal polysaccharide </w:t>
      </w:r>
      <w:proofErr w:type="spellStart"/>
      <w:r w:rsidRPr="00AC3BED">
        <w:rPr>
          <w:rFonts w:ascii="Times New Roman" w:hAnsi="Times New Roman" w:cs="Times New Roman"/>
        </w:rPr>
        <w:t>ulvan</w:t>
      </w:r>
      <w:proofErr w:type="spellEnd"/>
      <w:r w:rsidRPr="00AC3BED">
        <w:rPr>
          <w:rFonts w:ascii="Times New Roman" w:hAnsi="Times New Roman" w:cs="Times New Roman"/>
        </w:rPr>
        <w:t xml:space="preserve"> and carotenoid </w:t>
      </w:r>
      <w:proofErr w:type="spellStart"/>
      <w:r w:rsidRPr="00AC3BED">
        <w:rPr>
          <w:rFonts w:ascii="Times New Roman" w:hAnsi="Times New Roman" w:cs="Times New Roman"/>
        </w:rPr>
        <w:t>astaxanthin</w:t>
      </w:r>
      <w:proofErr w:type="spellEnd"/>
      <w:r w:rsidRPr="00AC3BED">
        <w:rPr>
          <w:rFonts w:ascii="Times New Roman" w:hAnsi="Times New Roman" w:cs="Times New Roman"/>
        </w:rPr>
        <w:t xml:space="preserve"> both positively modulate gut microbiota in mice. Foods, 11(4), 565. https://doi.org/10.3390/foods11040565</w:t>
      </w:r>
    </w:p>
    <w:p w14:paraId="483AF93C"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Pung, H. C., Lin, W. S., Lo, Y. C., Hsu, C. C., Ho, C. T., &amp; Pan, M. H. (2022). </w:t>
      </w:r>
      <w:proofErr w:type="spellStart"/>
      <w:r w:rsidRPr="00AC3BED">
        <w:rPr>
          <w:rFonts w:ascii="Times New Roman" w:hAnsi="Times New Roman" w:cs="Times New Roman"/>
        </w:rPr>
        <w:t>Ulva</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prolifera</w:t>
      </w:r>
      <w:proofErr w:type="spellEnd"/>
      <w:r w:rsidRPr="00AC3BED">
        <w:rPr>
          <w:rFonts w:ascii="Times New Roman" w:hAnsi="Times New Roman" w:cs="Times New Roman"/>
        </w:rPr>
        <w:t xml:space="preserve"> polysaccharide exerts anti-obesity effects via upregulation of adiponectin expression and gut microbiota modulation in high-fat diet-fed C57BL/6 mice. Journal of Food and Drug Analysis, 30(1), 46–61. https://doi.org/10.38212/2224-6614.3395</w:t>
      </w:r>
    </w:p>
    <w:p w14:paraId="19783E8D"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Qi, H., Huang, L., Liu, X., Liu, D., Zhang, Q., &amp; Liu, S. (2012). Antihyperlipidemic activity of high sulfate content derivative of polysaccharide extracted from </w:t>
      </w:r>
      <w:proofErr w:type="spellStart"/>
      <w:r w:rsidRPr="00AC3BED">
        <w:rPr>
          <w:rFonts w:ascii="Times New Roman" w:hAnsi="Times New Roman" w:cs="Times New Roman"/>
        </w:rPr>
        <w:t>Ulva</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pertusa</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Chlorophyta</w:t>
      </w:r>
      <w:proofErr w:type="spellEnd"/>
      <w:r w:rsidRPr="00AC3BED">
        <w:rPr>
          <w:rFonts w:ascii="Times New Roman" w:hAnsi="Times New Roman" w:cs="Times New Roman"/>
        </w:rPr>
        <w:t>). Carbohydrate Polymers, 87(2), 1637–1640. https://doi.org/10.1016/j.carbpol.2011.09.073</w:t>
      </w:r>
    </w:p>
    <w:p w14:paraId="35047333"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lastRenderedPageBreak/>
        <w:t xml:space="preserve">Qin, J., Li, Y., Cai, Z., Li, S., Zhu, J., Zhang, F., Liang, S., Zhang, W., Guan, Y., Shen, D., Peng, Y., Zhang, D., Jie, Z., Wu, W., Qin, Y., Xue, W., Li, J., Han, L., Lu, D., Wu, P., Dai, Y., Sun, X., Li, Z., Tang, A., Zhong, S., Li, X., Chen, W., Xu, R., Wang, M., Feng, Q., Gong, M., Yu, J., Zhang, Y., Zhang, M., Hansen, T., Sanchez, G., Raes, J., </w:t>
      </w:r>
      <w:proofErr w:type="spellStart"/>
      <w:r w:rsidRPr="00AC3BED">
        <w:rPr>
          <w:rFonts w:ascii="Times New Roman" w:hAnsi="Times New Roman" w:cs="Times New Roman"/>
        </w:rPr>
        <w:t>Falony</w:t>
      </w:r>
      <w:proofErr w:type="spellEnd"/>
      <w:r w:rsidRPr="00AC3BED">
        <w:rPr>
          <w:rFonts w:ascii="Times New Roman" w:hAnsi="Times New Roman" w:cs="Times New Roman"/>
        </w:rPr>
        <w:t xml:space="preserve">, G., Okuda, S., Almeida, M., LeChatelier, E., Renault, P., Pons, N., Batto, J.-M., </w:t>
      </w:r>
      <w:proofErr w:type="spellStart"/>
      <w:r w:rsidRPr="00AC3BED">
        <w:rPr>
          <w:rFonts w:ascii="Times New Roman" w:hAnsi="Times New Roman" w:cs="Times New Roman"/>
        </w:rPr>
        <w:t>Zhaoxi</w:t>
      </w:r>
      <w:proofErr w:type="spellEnd"/>
      <w:r w:rsidRPr="00AC3BED">
        <w:rPr>
          <w:rFonts w:ascii="Times New Roman" w:hAnsi="Times New Roman" w:cs="Times New Roman"/>
        </w:rPr>
        <w:t>, Z., Chen, H., Yang, R., Zheng, W., Li, S., Yang, H., Wang, J., Ehrlich, S. D., Nielsen, R., Pedersen, O., Kristiansen, K., &amp; Wang, J. (2012). A metagenome-wide association study of gut microbiota in type 2 diabetes. Nature, 490(7418), 55–60. https://doi.org/10.1038/nature11450</w:t>
      </w:r>
    </w:p>
    <w:p w14:paraId="06C44C6A"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Qin, W., Wei, B., Ren, P., Chang, Y., Xue, C., &amp; Tang, Q. (2025). </w:t>
      </w:r>
      <w:proofErr w:type="spellStart"/>
      <w:r w:rsidRPr="00AC3BED">
        <w:rPr>
          <w:rFonts w:ascii="Times New Roman" w:hAnsi="Times New Roman" w:cs="Times New Roman"/>
        </w:rPr>
        <w:t>Fucoidan</w:t>
      </w:r>
      <w:proofErr w:type="spellEnd"/>
      <w:r w:rsidRPr="00AC3BED">
        <w:rPr>
          <w:rFonts w:ascii="Times New Roman" w:hAnsi="Times New Roman" w:cs="Times New Roman"/>
        </w:rPr>
        <w:t xml:space="preserve"> from </w:t>
      </w:r>
      <w:proofErr w:type="spellStart"/>
      <w:r w:rsidRPr="00AC3BED">
        <w:rPr>
          <w:rFonts w:ascii="Times New Roman" w:hAnsi="Times New Roman" w:cs="Times New Roman"/>
        </w:rPr>
        <w:t>Apostichopus</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japonicus</w:t>
      </w:r>
      <w:proofErr w:type="spellEnd"/>
      <w:r w:rsidRPr="00AC3BED">
        <w:rPr>
          <w:rFonts w:ascii="Times New Roman" w:hAnsi="Times New Roman" w:cs="Times New Roman"/>
        </w:rPr>
        <w:t xml:space="preserve"> enhances intestinal barrier function and promotes intestinal immunity via regulating the gut microbiota and tryptophan metabolism. International Journal of Biological Macromolecules, 301, 139929. https://doi.org/10.1016/j.ijbiomac.2025.139929</w:t>
      </w:r>
    </w:p>
    <w:p w14:paraId="33B42CAA"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Ruan, Q., Chen, Y., Wen, J., Qiu, Y., Huang, Y., Zhang, Y., Farag, M. A., &amp; Zhao, C. (2023). Regulatory mechanisms of the edible alga </w:t>
      </w:r>
      <w:proofErr w:type="spellStart"/>
      <w:r w:rsidRPr="00AC3BED">
        <w:rPr>
          <w:rFonts w:ascii="Times New Roman" w:hAnsi="Times New Roman" w:cs="Times New Roman"/>
        </w:rPr>
        <w:t>Ulva</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lactuca</w:t>
      </w:r>
      <w:proofErr w:type="spellEnd"/>
      <w:r w:rsidRPr="00AC3BED">
        <w:rPr>
          <w:rFonts w:ascii="Times New Roman" w:hAnsi="Times New Roman" w:cs="Times New Roman"/>
        </w:rPr>
        <w:t xml:space="preserve"> polysaccharide via modulation of gut microbiota in diabetic mice. Food Chemistry, 409, 135287. https://doi.org/10.1016/j.foodchem.2022.135287</w:t>
      </w:r>
    </w:p>
    <w:p w14:paraId="22224B67"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Senthil, S. L. (2024). A comprehensive review to assess the potential, health benefits and complications of fucoidan for developing as functional ingredient and nutraceutical. International Journal of Biological Macromolecules, 277(Pt 2), 134226. https://doi.org/10.1016/j.ijbiomac.2024.134226</w:t>
      </w:r>
    </w:p>
    <w:p w14:paraId="18B37980"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Shaheen, N., Khursheed, W., Gurung, B., &amp; Wang, S. (2025). </w:t>
      </w:r>
      <w:proofErr w:type="spellStart"/>
      <w:r w:rsidRPr="00AC3BED">
        <w:rPr>
          <w:rFonts w:ascii="Times New Roman" w:hAnsi="Times New Roman" w:cs="Times New Roman"/>
        </w:rPr>
        <w:t>Akkermansia</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muciniphila</w:t>
      </w:r>
      <w:proofErr w:type="spellEnd"/>
      <w:r w:rsidRPr="00AC3BED">
        <w:rPr>
          <w:rFonts w:ascii="Times New Roman" w:hAnsi="Times New Roman" w:cs="Times New Roman"/>
        </w:rPr>
        <w:t>: A key player in gut microbiota-based disease modulation. Microbiological Research, 264, 128317. https://doi.org/10.1016/j.micres.2025.128317</w:t>
      </w:r>
    </w:p>
    <w:p w14:paraId="3848D720"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Shang, Q., Shan, X., Cai, C., Hao, J., Li, G., &amp; Yu, G. (2016). Dietary fucoidan modulates the gut microbiota in mice by increasing the abundance of Lactobacillus and </w:t>
      </w:r>
      <w:proofErr w:type="spellStart"/>
      <w:r w:rsidRPr="00AC3BED">
        <w:rPr>
          <w:rFonts w:ascii="Times New Roman" w:hAnsi="Times New Roman" w:cs="Times New Roman"/>
        </w:rPr>
        <w:t>Ruminococcaceae</w:t>
      </w:r>
      <w:proofErr w:type="spellEnd"/>
      <w:r w:rsidRPr="00AC3BED">
        <w:rPr>
          <w:rFonts w:ascii="Times New Roman" w:hAnsi="Times New Roman" w:cs="Times New Roman"/>
        </w:rPr>
        <w:t>. Food &amp; Function, 7(7), 3224–3232.https://doi.org/10.1039/C6FO00309E</w:t>
      </w:r>
    </w:p>
    <w:p w14:paraId="5D71C63B"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Shang, Q., Song, G., Zhang, M., Shi, J., Xu, C., Hao, J., Li, G., &amp; Yu, G. (2017). Dietary fucoidan improves metabolic syndrome in association with increased </w:t>
      </w:r>
      <w:proofErr w:type="spellStart"/>
      <w:r w:rsidRPr="00AC3BED">
        <w:rPr>
          <w:rFonts w:ascii="Times New Roman" w:hAnsi="Times New Roman" w:cs="Times New Roman"/>
        </w:rPr>
        <w:t>Akkermansia</w:t>
      </w:r>
      <w:proofErr w:type="spellEnd"/>
      <w:r w:rsidRPr="00AC3BED">
        <w:rPr>
          <w:rFonts w:ascii="Times New Roman" w:hAnsi="Times New Roman" w:cs="Times New Roman"/>
        </w:rPr>
        <w:t xml:space="preserve"> population in the gut microbiota of high-fat diet-fed mice. Journal of Functional Foods, 28, 138–146. https://doi.org/10.1016/j.jff.2016.11.002</w:t>
      </w:r>
    </w:p>
    <w:p w14:paraId="70CEBCF1" w14:textId="77777777" w:rsidR="00AC3BED" w:rsidRPr="00AC3BED" w:rsidRDefault="00AC3BED" w:rsidP="00AC3BED">
      <w:pPr>
        <w:pStyle w:val="ListParagraph"/>
        <w:spacing w:after="120" w:line="360" w:lineRule="auto"/>
        <w:ind w:hanging="720"/>
        <w:jc w:val="both"/>
        <w:rPr>
          <w:rFonts w:ascii="Times New Roman" w:hAnsi="Times New Roman" w:cs="Times New Roman"/>
        </w:rPr>
      </w:pPr>
      <w:proofErr w:type="spellStart"/>
      <w:r w:rsidRPr="00AC3BED">
        <w:rPr>
          <w:rFonts w:ascii="Times New Roman" w:hAnsi="Times New Roman" w:cs="Times New Roman"/>
        </w:rPr>
        <w:t>Shoelson</w:t>
      </w:r>
      <w:proofErr w:type="spellEnd"/>
      <w:r w:rsidRPr="00AC3BED">
        <w:rPr>
          <w:rFonts w:ascii="Times New Roman" w:hAnsi="Times New Roman" w:cs="Times New Roman"/>
        </w:rPr>
        <w:t>, S. E., Lee, J., &amp; Goldfine, A. B. (2006). Inflammation and insulin resistance. The Journal of Clinical Investigation, 116(7), 1793–1801. https://doi.org/10.1172/JCI29069</w:t>
      </w:r>
    </w:p>
    <w:p w14:paraId="46335EE3"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Sim, S. Y., Shin, Y. E., &amp; Kim, H. K. (2019). </w:t>
      </w:r>
      <w:proofErr w:type="spellStart"/>
      <w:r w:rsidRPr="00AC3BED">
        <w:rPr>
          <w:rFonts w:ascii="Times New Roman" w:hAnsi="Times New Roman" w:cs="Times New Roman"/>
        </w:rPr>
        <w:t>Fucoidan</w:t>
      </w:r>
      <w:proofErr w:type="spellEnd"/>
      <w:r w:rsidRPr="00AC3BED">
        <w:rPr>
          <w:rFonts w:ascii="Times New Roman" w:hAnsi="Times New Roman" w:cs="Times New Roman"/>
        </w:rPr>
        <w:t xml:space="preserve"> from </w:t>
      </w:r>
      <w:proofErr w:type="spellStart"/>
      <w:r w:rsidRPr="00AC3BED">
        <w:rPr>
          <w:rFonts w:ascii="Times New Roman" w:hAnsi="Times New Roman" w:cs="Times New Roman"/>
        </w:rPr>
        <w:t>Undaria</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pinnatifida</w:t>
      </w:r>
      <w:proofErr w:type="spellEnd"/>
      <w:r w:rsidRPr="00AC3BED">
        <w:rPr>
          <w:rFonts w:ascii="Times New Roman" w:hAnsi="Times New Roman" w:cs="Times New Roman"/>
        </w:rPr>
        <w:t xml:space="preserve"> has anti-diabetic effects by stimulation of glucose uptake and reduction of basal lipolysis in 3T3-L1 adipocytes. Nutrition Research, 65, 54–62. https://doi.org/10.1016/j.nutres.2019.02.002</w:t>
      </w:r>
    </w:p>
    <w:p w14:paraId="3BCC15B0"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lastRenderedPageBreak/>
        <w:t xml:space="preserve">Smith, P. M., Howitt, M. R., Panikov, N., Michaud, M., Gallini, C. A., </w:t>
      </w:r>
      <w:proofErr w:type="spellStart"/>
      <w:r w:rsidRPr="00AC3BED">
        <w:rPr>
          <w:rFonts w:ascii="Times New Roman" w:hAnsi="Times New Roman" w:cs="Times New Roman"/>
        </w:rPr>
        <w:t>Bohlooly</w:t>
      </w:r>
      <w:proofErr w:type="spellEnd"/>
      <w:r w:rsidRPr="00AC3BED">
        <w:rPr>
          <w:rFonts w:ascii="Times New Roman" w:hAnsi="Times New Roman" w:cs="Times New Roman"/>
        </w:rPr>
        <w:t>-Y, M., … Garrett, W. S. (2013). The microbial metabolites, short-chain fatty acids, regulate colonic Treg cell homeostasis. Science, 341(6145), 569–573. https://doi.org/10.1126/science.1241165</w:t>
      </w:r>
    </w:p>
    <w:p w14:paraId="1F68D802"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Son, S.-U., Kim, T. E., Park, J.-H., Suh, H. J., &amp; Shin, K.-S. (2024). </w:t>
      </w:r>
      <w:proofErr w:type="spellStart"/>
      <w:r w:rsidRPr="00AC3BED">
        <w:rPr>
          <w:rFonts w:ascii="Times New Roman" w:hAnsi="Times New Roman" w:cs="Times New Roman"/>
        </w:rPr>
        <w:t>Immunostimulating</w:t>
      </w:r>
      <w:proofErr w:type="spellEnd"/>
      <w:r w:rsidRPr="00AC3BED">
        <w:rPr>
          <w:rFonts w:ascii="Times New Roman" w:hAnsi="Times New Roman" w:cs="Times New Roman"/>
        </w:rPr>
        <w:t xml:space="preserve"> effects of </w:t>
      </w:r>
      <w:proofErr w:type="spellStart"/>
      <w:r w:rsidRPr="00AC3BED">
        <w:rPr>
          <w:rFonts w:ascii="Times New Roman" w:hAnsi="Times New Roman" w:cs="Times New Roman"/>
        </w:rPr>
        <w:t>ulvan</w:t>
      </w:r>
      <w:proofErr w:type="spellEnd"/>
      <w:r w:rsidRPr="00AC3BED">
        <w:rPr>
          <w:rFonts w:ascii="Times New Roman" w:hAnsi="Times New Roman" w:cs="Times New Roman"/>
        </w:rPr>
        <w:t xml:space="preserve"> type polysaccharide isolated from Korean </w:t>
      </w:r>
      <w:proofErr w:type="spellStart"/>
      <w:r w:rsidRPr="00AC3BED">
        <w:rPr>
          <w:rFonts w:ascii="Times New Roman" w:hAnsi="Times New Roman" w:cs="Times New Roman"/>
        </w:rPr>
        <w:t>Ulva</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pertusa</w:t>
      </w:r>
      <w:proofErr w:type="spellEnd"/>
      <w:r w:rsidRPr="00AC3BED">
        <w:rPr>
          <w:rFonts w:ascii="Times New Roman" w:hAnsi="Times New Roman" w:cs="Times New Roman"/>
        </w:rPr>
        <w:t xml:space="preserve"> in cyclophosphamide-induced immunosuppressed BALB/c mice. International Journal of Biological Macromolecules, 275(Pt 1), 133518. https://doi.org/10.1016/j.ijbiomac.2024.133518 Guevara-Torrejón, V., </w:t>
      </w:r>
      <w:proofErr w:type="spellStart"/>
      <w:r w:rsidRPr="00AC3BED">
        <w:rPr>
          <w:rFonts w:ascii="Times New Roman" w:hAnsi="Times New Roman" w:cs="Times New Roman"/>
        </w:rPr>
        <w:t>Chandía</w:t>
      </w:r>
      <w:proofErr w:type="spellEnd"/>
      <w:r w:rsidRPr="00AC3BED">
        <w:rPr>
          <w:rFonts w:ascii="Times New Roman" w:hAnsi="Times New Roman" w:cs="Times New Roman"/>
        </w:rPr>
        <w:t xml:space="preserve"> Parra, P., Campos-Estrada, C., &amp; Vera Quezada, W. E. (2025). Evaluation of the </w:t>
      </w:r>
      <w:proofErr w:type="spellStart"/>
      <w:r w:rsidRPr="00AC3BED">
        <w:rPr>
          <w:rFonts w:ascii="Times New Roman" w:hAnsi="Times New Roman" w:cs="Times New Roman"/>
        </w:rPr>
        <w:t>immunostimulatory</w:t>
      </w:r>
      <w:proofErr w:type="spellEnd"/>
      <w:r w:rsidRPr="00AC3BED">
        <w:rPr>
          <w:rFonts w:ascii="Times New Roman" w:hAnsi="Times New Roman" w:cs="Times New Roman"/>
        </w:rPr>
        <w:t xml:space="preserve"> effect of </w:t>
      </w:r>
      <w:proofErr w:type="spellStart"/>
      <w:r w:rsidRPr="00AC3BED">
        <w:rPr>
          <w:rFonts w:ascii="Times New Roman" w:hAnsi="Times New Roman" w:cs="Times New Roman"/>
        </w:rPr>
        <w:t>ulvan</w:t>
      </w:r>
      <w:proofErr w:type="spellEnd"/>
      <w:r w:rsidRPr="00AC3BED">
        <w:rPr>
          <w:rFonts w:ascii="Times New Roman" w:hAnsi="Times New Roman" w:cs="Times New Roman"/>
        </w:rPr>
        <w:t xml:space="preserve"> polysaccharide on human macrophages: Use as a potential vaccine adjuvant. Marine Drugs, 23(6), 248. https://doi.org/10.3390/md23060248</w:t>
      </w:r>
    </w:p>
    <w:p w14:paraId="14337AC1"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Sun, H., Saeedi, P., </w:t>
      </w:r>
      <w:proofErr w:type="spellStart"/>
      <w:r w:rsidRPr="00AC3BED">
        <w:rPr>
          <w:rFonts w:ascii="Times New Roman" w:hAnsi="Times New Roman" w:cs="Times New Roman"/>
        </w:rPr>
        <w:t>Karuranga</w:t>
      </w:r>
      <w:proofErr w:type="spellEnd"/>
      <w:r w:rsidRPr="00AC3BED">
        <w:rPr>
          <w:rFonts w:ascii="Times New Roman" w:hAnsi="Times New Roman" w:cs="Times New Roman"/>
        </w:rPr>
        <w:t xml:space="preserve">, S., </w:t>
      </w:r>
      <w:proofErr w:type="spellStart"/>
      <w:r w:rsidRPr="00AC3BED">
        <w:rPr>
          <w:rFonts w:ascii="Times New Roman" w:hAnsi="Times New Roman" w:cs="Times New Roman"/>
        </w:rPr>
        <w:t>Pinkepank</w:t>
      </w:r>
      <w:proofErr w:type="spellEnd"/>
      <w:r w:rsidRPr="00AC3BED">
        <w:rPr>
          <w:rFonts w:ascii="Times New Roman" w:hAnsi="Times New Roman" w:cs="Times New Roman"/>
        </w:rPr>
        <w:t xml:space="preserve">, M., </w:t>
      </w:r>
      <w:proofErr w:type="spellStart"/>
      <w:r w:rsidRPr="00AC3BED">
        <w:rPr>
          <w:rFonts w:ascii="Times New Roman" w:hAnsi="Times New Roman" w:cs="Times New Roman"/>
        </w:rPr>
        <w:t>Ogurtsova</w:t>
      </w:r>
      <w:proofErr w:type="spellEnd"/>
      <w:r w:rsidRPr="00AC3BED">
        <w:rPr>
          <w:rFonts w:ascii="Times New Roman" w:hAnsi="Times New Roman" w:cs="Times New Roman"/>
        </w:rPr>
        <w:t xml:space="preserve">, K., Duncan, B. B., Stein, C., Basit, A., Chan, J. C. N., </w:t>
      </w:r>
      <w:proofErr w:type="spellStart"/>
      <w:r w:rsidRPr="00AC3BED">
        <w:rPr>
          <w:rFonts w:ascii="Times New Roman" w:hAnsi="Times New Roman" w:cs="Times New Roman"/>
        </w:rPr>
        <w:t>Mbanya</w:t>
      </w:r>
      <w:proofErr w:type="spellEnd"/>
      <w:r w:rsidRPr="00AC3BED">
        <w:rPr>
          <w:rFonts w:ascii="Times New Roman" w:hAnsi="Times New Roman" w:cs="Times New Roman"/>
        </w:rPr>
        <w:t xml:space="preserve">, J. C., Pavkov, M. E., </w:t>
      </w:r>
      <w:proofErr w:type="spellStart"/>
      <w:r w:rsidRPr="00AC3BED">
        <w:rPr>
          <w:rFonts w:ascii="Times New Roman" w:hAnsi="Times New Roman" w:cs="Times New Roman"/>
        </w:rPr>
        <w:t>Ramachandaran</w:t>
      </w:r>
      <w:proofErr w:type="spellEnd"/>
      <w:r w:rsidRPr="00AC3BED">
        <w:rPr>
          <w:rFonts w:ascii="Times New Roman" w:hAnsi="Times New Roman" w:cs="Times New Roman"/>
        </w:rPr>
        <w:t xml:space="preserve">, A., Wild, S. H., James, S., Herman, W. H., Zhang, P., Bommer, C., Kuo, S., Boyko, E. J., &amp; Magliano, D. J. (2022). IDF Diabetes Atlas: Global, regional and country-level diabetes prevalence estimates for 2021 and projections for 2045. Diabetes Research and Clinical Practice, 183, 109119. https://doi.org/10.1016/j.diabres.2021.109119 </w:t>
      </w:r>
      <w:proofErr w:type="spellStart"/>
      <w:r w:rsidRPr="00AC3BED">
        <w:rPr>
          <w:rFonts w:ascii="Times New Roman" w:hAnsi="Times New Roman" w:cs="Times New Roman"/>
        </w:rPr>
        <w:t>Boulangé</w:t>
      </w:r>
      <w:proofErr w:type="spellEnd"/>
      <w:r w:rsidRPr="00AC3BED">
        <w:rPr>
          <w:rFonts w:ascii="Times New Roman" w:hAnsi="Times New Roman" w:cs="Times New Roman"/>
        </w:rPr>
        <w:t xml:space="preserve">, C. L., Neves, A. L., </w:t>
      </w:r>
      <w:proofErr w:type="spellStart"/>
      <w:r w:rsidRPr="00AC3BED">
        <w:rPr>
          <w:rFonts w:ascii="Times New Roman" w:hAnsi="Times New Roman" w:cs="Times New Roman"/>
        </w:rPr>
        <w:t>Chilloux</w:t>
      </w:r>
      <w:proofErr w:type="spellEnd"/>
      <w:r w:rsidRPr="00AC3BED">
        <w:rPr>
          <w:rFonts w:ascii="Times New Roman" w:hAnsi="Times New Roman" w:cs="Times New Roman"/>
        </w:rPr>
        <w:t>, J., Nicholson, J. K., &amp; Dumas, M. E. (2016). Impact of the gut microbiota on inflammation, obesity, and metabolic disease. Genome Medicine, 8(1), 42. https://doi.org/10.1186/s13073-016-0303-2</w:t>
      </w:r>
    </w:p>
    <w:p w14:paraId="15F8F02B"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Sun, X., Li, P., Chen, B., Chen, C., Zhao, J., &amp; Sun, S. (2025). Fucoidan therapy for extraintestinal diseases: Targeting the microbiota–gut–organ axes. Biomolecules, 15(12), 1750. https://doi.org/10.3390/biom15121750 O’Sullivan, L., Murphy, B., McLoughlin, P., Duggan, P., Lawlor, P. G., Hughes, H., &amp; Gardiner, G. E. (2010). Prebiotics from marine macroalgae for human and animal health applications. Marine Drugs, 8(7), 2038–2064. https://doi.org/10.3390/md8072038</w:t>
      </w:r>
    </w:p>
    <w:p w14:paraId="0A2261FD"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Swanson, K. S., Gibson, G. R., </w:t>
      </w:r>
      <w:proofErr w:type="spellStart"/>
      <w:r w:rsidRPr="00AC3BED">
        <w:rPr>
          <w:rFonts w:ascii="Times New Roman" w:hAnsi="Times New Roman" w:cs="Times New Roman"/>
        </w:rPr>
        <w:t>Hutkins</w:t>
      </w:r>
      <w:proofErr w:type="spellEnd"/>
      <w:r w:rsidRPr="00AC3BED">
        <w:rPr>
          <w:rFonts w:ascii="Times New Roman" w:hAnsi="Times New Roman" w:cs="Times New Roman"/>
        </w:rPr>
        <w:t xml:space="preserve">, R., Reimer, R. A., Reid, G., Verbeke, K., Scott, K. P., Holscher, H. D., Azad, M. B., </w:t>
      </w:r>
      <w:proofErr w:type="spellStart"/>
      <w:r w:rsidRPr="00AC3BED">
        <w:rPr>
          <w:rFonts w:ascii="Times New Roman" w:hAnsi="Times New Roman" w:cs="Times New Roman"/>
        </w:rPr>
        <w:t>Delzenne</w:t>
      </w:r>
      <w:proofErr w:type="spellEnd"/>
      <w:r w:rsidRPr="00AC3BED">
        <w:rPr>
          <w:rFonts w:ascii="Times New Roman" w:hAnsi="Times New Roman" w:cs="Times New Roman"/>
        </w:rPr>
        <w:t xml:space="preserve">, N. M., Sanders, M. E., &amp; Cani, P. D. (2020). The International Scientific Association for Probiotics and Prebiotics (ISAPP) consensus statement on the definition and scope of </w:t>
      </w:r>
      <w:proofErr w:type="spellStart"/>
      <w:r w:rsidRPr="00AC3BED">
        <w:rPr>
          <w:rFonts w:ascii="Times New Roman" w:hAnsi="Times New Roman" w:cs="Times New Roman"/>
        </w:rPr>
        <w:t>synbiotics</w:t>
      </w:r>
      <w:proofErr w:type="spellEnd"/>
      <w:r w:rsidRPr="00AC3BED">
        <w:rPr>
          <w:rFonts w:ascii="Times New Roman" w:hAnsi="Times New Roman" w:cs="Times New Roman"/>
        </w:rPr>
        <w:t>. Nature Reviews Gastroenterology &amp; Hepatology, 17(11), 687–701.https://doi.org/10.1038/s41575-020-0344-</w:t>
      </w:r>
    </w:p>
    <w:p w14:paraId="6415DB82"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Tan, J. K., Macia, L., &amp; Mackay, C. R. (2023). Dietary fiber and SCFAs in the regulation of mucosal immunity. Journal of Allergy and Clinical Immunology, 151(2), 361–370. https://doi.org/10.1016/j.jaci.2022.11.007</w:t>
      </w:r>
    </w:p>
    <w:p w14:paraId="3592F7B3"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Thulasinathan, B., Shanmugam, N., &amp; Kumar, A. (2025). The impact of gut microbial short-chain fatty acids on host metabolism and health. Gut Microbes. Advance online publication. https://doi.org/10.1080/19490976.2025.2483780</w:t>
      </w:r>
    </w:p>
    <w:p w14:paraId="62354FF6"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lastRenderedPageBreak/>
        <w:t xml:space="preserve">Tilg, H., </w:t>
      </w:r>
      <w:proofErr w:type="spellStart"/>
      <w:r w:rsidRPr="00AC3BED">
        <w:rPr>
          <w:rFonts w:ascii="Times New Roman" w:hAnsi="Times New Roman" w:cs="Times New Roman"/>
        </w:rPr>
        <w:t>Zmora</w:t>
      </w:r>
      <w:proofErr w:type="spellEnd"/>
      <w:r w:rsidRPr="00AC3BED">
        <w:rPr>
          <w:rFonts w:ascii="Times New Roman" w:hAnsi="Times New Roman" w:cs="Times New Roman"/>
        </w:rPr>
        <w:t xml:space="preserve">, N., Adolph, T. E., &amp; </w:t>
      </w:r>
      <w:proofErr w:type="spellStart"/>
      <w:r w:rsidRPr="00AC3BED">
        <w:rPr>
          <w:rFonts w:ascii="Times New Roman" w:hAnsi="Times New Roman" w:cs="Times New Roman"/>
        </w:rPr>
        <w:t>Elinav</w:t>
      </w:r>
      <w:proofErr w:type="spellEnd"/>
      <w:r w:rsidRPr="00AC3BED">
        <w:rPr>
          <w:rFonts w:ascii="Times New Roman" w:hAnsi="Times New Roman" w:cs="Times New Roman"/>
        </w:rPr>
        <w:t xml:space="preserve">, E. (2020). The intestinal </w:t>
      </w:r>
      <w:proofErr w:type="spellStart"/>
      <w:r w:rsidRPr="00AC3BED">
        <w:rPr>
          <w:rFonts w:ascii="Times New Roman" w:hAnsi="Times New Roman" w:cs="Times New Roman"/>
        </w:rPr>
        <w:t>microbiota</w:t>
      </w:r>
      <w:proofErr w:type="spellEnd"/>
      <w:r w:rsidRPr="00AC3BED">
        <w:rPr>
          <w:rFonts w:ascii="Times New Roman" w:hAnsi="Times New Roman" w:cs="Times New Roman"/>
        </w:rPr>
        <w:t xml:space="preserve"> fuelling metabolic inflammation. Nature Reviews Immunology, 20(1), 40–54. https://doi.org/10.1038/s41577-019-0198-</w:t>
      </w:r>
    </w:p>
    <w:p w14:paraId="32498A94"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Tolhurst, G., Heffron, H., Lam, Y. S., Parker, H. E., Habib, A. M., </w:t>
      </w:r>
      <w:proofErr w:type="spellStart"/>
      <w:r w:rsidRPr="00AC3BED">
        <w:rPr>
          <w:rFonts w:ascii="Times New Roman" w:hAnsi="Times New Roman" w:cs="Times New Roman"/>
        </w:rPr>
        <w:t>Diakogiannaki</w:t>
      </w:r>
      <w:proofErr w:type="spellEnd"/>
      <w:r w:rsidRPr="00AC3BED">
        <w:rPr>
          <w:rFonts w:ascii="Times New Roman" w:hAnsi="Times New Roman" w:cs="Times New Roman"/>
        </w:rPr>
        <w:t>, E., Cameron, J., Grosse, J., Reimann, F., &amp; Gribble, F. M. (2012). Short-chain fatty acids stimulate glucagon-like peptide-1 secretion via the G-protein-coupled receptor FFAR2. Diabetes, 61(2), 364–371.https://doi.org/10.2337/db11-1019</w:t>
      </w:r>
    </w:p>
    <w:p w14:paraId="4A560D0F"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Turnbaugh, P. J., </w:t>
      </w:r>
      <w:proofErr w:type="spellStart"/>
      <w:r w:rsidRPr="00AC3BED">
        <w:rPr>
          <w:rFonts w:ascii="Times New Roman" w:hAnsi="Times New Roman" w:cs="Times New Roman"/>
        </w:rPr>
        <w:t>Ridaura</w:t>
      </w:r>
      <w:proofErr w:type="spellEnd"/>
      <w:r w:rsidRPr="00AC3BED">
        <w:rPr>
          <w:rFonts w:ascii="Times New Roman" w:hAnsi="Times New Roman" w:cs="Times New Roman"/>
        </w:rPr>
        <w:t>, V. K., Faith, J. J., Rey, F. E., Knight, R., &amp; Gordon, J. I. (2009). The effect of diet on the human gut microbiome: A metagenomic analysis in humanized gnotobiotic mice. Science Translational Medicine, 1(6), 6ra14. https://doi.org/10.1126/scitranslmed.3000322</w:t>
      </w:r>
    </w:p>
    <w:p w14:paraId="623FC240"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Usov, A. I., Bilan, M. I., </w:t>
      </w:r>
      <w:proofErr w:type="spellStart"/>
      <w:r w:rsidRPr="00AC3BED">
        <w:rPr>
          <w:rFonts w:ascii="Times New Roman" w:hAnsi="Times New Roman" w:cs="Times New Roman"/>
        </w:rPr>
        <w:t>Ustyuzhanina</w:t>
      </w:r>
      <w:proofErr w:type="spellEnd"/>
      <w:r w:rsidRPr="00AC3BED">
        <w:rPr>
          <w:rFonts w:ascii="Times New Roman" w:hAnsi="Times New Roman" w:cs="Times New Roman"/>
        </w:rPr>
        <w:t xml:space="preserve">, N. E., &amp; </w:t>
      </w:r>
      <w:proofErr w:type="spellStart"/>
      <w:r w:rsidRPr="00AC3BED">
        <w:rPr>
          <w:rFonts w:ascii="Times New Roman" w:hAnsi="Times New Roman" w:cs="Times New Roman"/>
        </w:rPr>
        <w:t>Nifantiev</w:t>
      </w:r>
      <w:proofErr w:type="spellEnd"/>
      <w:r w:rsidRPr="00AC3BED">
        <w:rPr>
          <w:rFonts w:ascii="Times New Roman" w:hAnsi="Times New Roman" w:cs="Times New Roman"/>
        </w:rPr>
        <w:t>, N. E. (2022). Fucoidans of brown algae: Comparison of sulfated polysaccharides from Fucus vesiculosus and Ascophyllum nodosum. Marine Drugs. (Review article). https://www.ncbi.nlm.nih.gov/pmc/articles/PMC9604890/</w:t>
      </w:r>
    </w:p>
    <w:p w14:paraId="430C0E3B"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Wells, M. L., Potin, P., Craigie, J. S., Raven, J. A., Merchant, S. S., Helliwell, K. E., et al., &amp; Brawley, S. H. (2017). Algae as nutritional and functional food sources: Revisiting our understanding. Journal of Applied Phycology, 29(2), 949–982. https://doi.org/10.1007/s10811-016-0974-</w:t>
      </w:r>
    </w:p>
    <w:p w14:paraId="408AC660"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Wen, Y., Gao, L., Zhou, H., Ai, C., Huang, X., Wang, M., … &amp; Song, S. (2021). Opportunities and challenges of algal fucoidan for diabetes management. Trends in Food Science &amp; Technology, 111, 628–641. https://doi.org/10.1016/j.tifs.2021.03.028</w:t>
      </w:r>
    </w:p>
    <w:p w14:paraId="26E91BA8"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Wijesekara, I., </w:t>
      </w:r>
      <w:proofErr w:type="spellStart"/>
      <w:r w:rsidRPr="00AC3BED">
        <w:rPr>
          <w:rFonts w:ascii="Times New Roman" w:hAnsi="Times New Roman" w:cs="Times New Roman"/>
        </w:rPr>
        <w:t>Pangestuti</w:t>
      </w:r>
      <w:proofErr w:type="spellEnd"/>
      <w:r w:rsidRPr="00AC3BED">
        <w:rPr>
          <w:rFonts w:ascii="Times New Roman" w:hAnsi="Times New Roman" w:cs="Times New Roman"/>
        </w:rPr>
        <w:t>, R., &amp; Kim, S. K. (2011). Biological activities and potential health benefits of sulfated polysaccharides derived from marine algae. Carbohydrate Polymers, 84(1), 14–21.https://doi.org/10.1016/j.carbpol.2010.10.062</w:t>
      </w:r>
    </w:p>
    <w:p w14:paraId="57D6BA25"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Wright, C. M., </w:t>
      </w:r>
      <w:proofErr w:type="spellStart"/>
      <w:r w:rsidRPr="00AC3BED">
        <w:rPr>
          <w:rFonts w:ascii="Times New Roman" w:hAnsi="Times New Roman" w:cs="Times New Roman"/>
        </w:rPr>
        <w:t>Bezabhe</w:t>
      </w:r>
      <w:proofErr w:type="spellEnd"/>
      <w:r w:rsidRPr="00AC3BED">
        <w:rPr>
          <w:rFonts w:ascii="Times New Roman" w:hAnsi="Times New Roman" w:cs="Times New Roman"/>
        </w:rPr>
        <w:t xml:space="preserve">, W., Fitton, J. H., Stringer, D. N., </w:t>
      </w:r>
      <w:proofErr w:type="spellStart"/>
      <w:r w:rsidRPr="00AC3BED">
        <w:rPr>
          <w:rFonts w:ascii="Times New Roman" w:hAnsi="Times New Roman" w:cs="Times New Roman"/>
        </w:rPr>
        <w:t>Bereznicki</w:t>
      </w:r>
      <w:proofErr w:type="spellEnd"/>
      <w:r w:rsidRPr="00AC3BED">
        <w:rPr>
          <w:rFonts w:ascii="Times New Roman" w:hAnsi="Times New Roman" w:cs="Times New Roman"/>
        </w:rPr>
        <w:t>, L. R., &amp; Peterson, G. M. (2019). Effect of a fucoidan extract on insulin resistance and cardiometabolic markers in obese, nondiabetic subjects: A randomized, controlled trial. The Journal of Alternative and Complementary Medicine, 25(4), 346–352. https://doi.org/10.1089/acm.2018.0189</w:t>
      </w:r>
    </w:p>
    <w:p w14:paraId="63B00D88"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Yang, Y., Wang, T.-T., Xie, H.-A., Hu, P. P., &amp; Li, P. (2024). Experimental cell models of insulin resistance: overview and appraisal. Frontiers in Endocrinology, 15, 1469565. https://doi.org/10.3389/fendo.2024.1469565</w:t>
      </w:r>
    </w:p>
    <w:p w14:paraId="7404106A"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Yao, C. K., Muir, J. G., &amp; Gibson, P. R. (2018). Modulation of colonic hydrogen sulfide production by diet: A review. Gut Microbes, 9(5), 1–12. https://doi.org/10.1080/19490976.2018.1451280</w:t>
      </w:r>
    </w:p>
    <w:p w14:paraId="5AF6B5EE"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Ye, Z.-W., Yuan, Z.-Y., Wang, J., Li, H., Li, C.-F., Xu, G.-H., Yi, L.-T., &amp; Huang, W.-F. (2024). Fucoidan attenuates chronic colitis and behavioral deficits by reshaping gut microbiota–brain axis balance. Journal of Functional Foods, 112, 105951. https://doi.org/10.1016/j.jff.2023.105951</w:t>
      </w:r>
    </w:p>
    <w:p w14:paraId="45AE5C61"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lastRenderedPageBreak/>
        <w:t xml:space="preserve">Zang, L., </w:t>
      </w:r>
      <w:proofErr w:type="spellStart"/>
      <w:r w:rsidRPr="00AC3BED">
        <w:rPr>
          <w:rFonts w:ascii="Times New Roman" w:hAnsi="Times New Roman" w:cs="Times New Roman"/>
        </w:rPr>
        <w:t>Baharlooeian</w:t>
      </w:r>
      <w:proofErr w:type="spellEnd"/>
      <w:r w:rsidRPr="00AC3BED">
        <w:rPr>
          <w:rFonts w:ascii="Times New Roman" w:hAnsi="Times New Roman" w:cs="Times New Roman"/>
        </w:rPr>
        <w:t>, M., Terasawa, M., Shimada, Y., &amp; Nishimura, N. (2023). Beneficial effects of seaweed-derived components on metabolic syndrome via gut microbiota modulation. Frontiers in Nutrition, 10, 1173225. https://doi.org/10.3389/fnut.2023.1173225</w:t>
      </w:r>
    </w:p>
    <w:p w14:paraId="4D1AC4D0"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Zeng, X., Gao, J., Liu, Y., Zhang, M., &amp; Li, Y. (2025). Microbial metabolites as mediators of host immunometabolism: Implications for metabolic and inflammatory diseases. Frontiers in Microbiology, 16, 1675065.https://doi.org/10.3389/fmicb.2025.1675065 Di Vincenzo, F., Del Gaudio, I., Petito, V., &amp; Lopetuso, L. R. (2024). Gut microbiota, intestinal barrier, and systemic inflammation. Internal and Emergency Medicine, 19, 1–12. https://doi.org/10.1007/s11739-023-03374-w</w:t>
      </w:r>
    </w:p>
    <w:p w14:paraId="16FD35A8"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Zhang, X., You, Y., Wang, L., Ai, C., Huang, L., Wang, S., Wang, Z., Song, S., &amp; Zhu, B. (2022). Anti-obesity effects of Laminaria japonica fucoidan in high-fat diet-fed mice vary with the gut microbiota structure. Food &amp; Function, 13, 6259–6270. https://doi.org/10.1039/D2FO00480A</w:t>
      </w:r>
    </w:p>
    <w:p w14:paraId="0B003C8F"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Zhang, Y., Wang, J., &amp; Li, X. (2025). Fucoidan as a therapeutic agent for ulcerative colitis: Mechanisms of action and modulation of the gut microbiota. Frontiers in Cellular and Infection Microbiology, 15, 1626614. https://doi.org/10.3389/fcimb.2025.1626614</w:t>
      </w:r>
    </w:p>
    <w:p w14:paraId="231FFB37"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Zhao, H., Li, Q., Cheng, L., Buch, H., &amp; Zhang, F. (2024). </w:t>
      </w:r>
      <w:proofErr w:type="spellStart"/>
      <w:r w:rsidRPr="00AC3BED">
        <w:rPr>
          <w:rFonts w:ascii="Times New Roman" w:hAnsi="Times New Roman" w:cs="Times New Roman"/>
        </w:rPr>
        <w:t>Akkermansia</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muciniphila</w:t>
      </w:r>
      <w:proofErr w:type="spellEnd"/>
      <w:r w:rsidRPr="00AC3BED">
        <w:rPr>
          <w:rFonts w:ascii="Times New Roman" w:hAnsi="Times New Roman" w:cs="Times New Roman"/>
        </w:rPr>
        <w:t xml:space="preserve"> ONE effectively ameliorates colitis by improving gut barrier integrity and microbial balance. </w:t>
      </w:r>
      <w:proofErr w:type="spellStart"/>
      <w:r w:rsidRPr="00AC3BED">
        <w:rPr>
          <w:rFonts w:ascii="Times New Roman" w:hAnsi="Times New Roman" w:cs="Times New Roman"/>
        </w:rPr>
        <w:t>npj</w:t>
      </w:r>
      <w:proofErr w:type="spellEnd"/>
      <w:r w:rsidRPr="00AC3BED">
        <w:rPr>
          <w:rFonts w:ascii="Times New Roman" w:hAnsi="Times New Roman" w:cs="Times New Roman"/>
        </w:rPr>
        <w:t xml:space="preserve"> Science of Food, 8, 39. https://doi.org/10.1038/s41538-024-00339-x</w:t>
      </w:r>
    </w:p>
    <w:p w14:paraId="1CF5287A"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Zhao, X., Wang, X., Zhang, J., Feng, L., &amp; Gao, G. (2025). Sustainable production of </w:t>
      </w:r>
      <w:proofErr w:type="spellStart"/>
      <w:r w:rsidRPr="00AC3BED">
        <w:rPr>
          <w:rFonts w:ascii="Times New Roman" w:hAnsi="Times New Roman" w:cs="Times New Roman"/>
        </w:rPr>
        <w:t>ulvan</w:t>
      </w:r>
      <w:proofErr w:type="spellEnd"/>
      <w:r w:rsidRPr="00AC3BED">
        <w:rPr>
          <w:rFonts w:ascii="Times New Roman" w:hAnsi="Times New Roman" w:cs="Times New Roman"/>
        </w:rPr>
        <w:t xml:space="preserve"> from green </w:t>
      </w:r>
      <w:proofErr w:type="spellStart"/>
      <w:r w:rsidRPr="00AC3BED">
        <w:rPr>
          <w:rFonts w:ascii="Times New Roman" w:hAnsi="Times New Roman" w:cs="Times New Roman"/>
        </w:rPr>
        <w:t>macroalgae</w:t>
      </w:r>
      <w:proofErr w:type="spellEnd"/>
      <w:r w:rsidRPr="00AC3BED">
        <w:rPr>
          <w:rFonts w:ascii="Times New Roman" w:hAnsi="Times New Roman" w:cs="Times New Roman"/>
        </w:rPr>
        <w:t xml:space="preserve"> and its potential in carbon sequestration: A critical review. International Journal of Biological Macromolecules, xxx, Article 147978. https://doi.org/10.1016/j.ijbiomac.2025.147978</w:t>
      </w:r>
    </w:p>
    <w:p w14:paraId="041E8C58"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Zheng, W., Tang, S., Ren, X., Song, S., &amp; Ai, C. (2025). Fucoidan alleviated colitis aggravated by fiber deficiency through protecting the gut barrier, suppressing the MAPK/NF-</w:t>
      </w:r>
      <w:proofErr w:type="spellStart"/>
      <w:r w:rsidRPr="00AC3BED">
        <w:rPr>
          <w:rFonts w:ascii="Times New Roman" w:hAnsi="Times New Roman" w:cs="Times New Roman"/>
        </w:rPr>
        <w:t>κB</w:t>
      </w:r>
      <w:proofErr w:type="spellEnd"/>
      <w:r w:rsidRPr="00AC3BED">
        <w:rPr>
          <w:rFonts w:ascii="Times New Roman" w:hAnsi="Times New Roman" w:cs="Times New Roman"/>
        </w:rPr>
        <w:t xml:space="preserve"> pathway, and modulating gut microbiota and metabolites. Frontiers in Nutrition, 11, 1462584. https://doi.org/10.3389/fnut.2024.1462584</w:t>
      </w:r>
    </w:p>
    <w:p w14:paraId="22FAAC0A"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Zhou, Q.-L., Wang, Z., Chen, W.-T., Liu, X.-F., Cheong, K.-L., Zou, Y.-X., Zhong, S.-Y., &amp; Li, R. (2024). The structural characteristics, biological activities and mechanisms of bioactive brown seaweed polysaccharides: A review. Journal of Functional Foods, 119, 106303. https://doi.org/10.1016/j.jff.2024.106303</w:t>
      </w:r>
    </w:p>
    <w:p w14:paraId="05A6CB96"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Zhou, X., Zhang, Y., Wei, L., Yang, Y., Wang, B., Liu, C., &amp; Bai, J. (2024). In vitro fermentation characteristics of fucoidan and its regulatory effects on human gut microbiota and metabolites. Food Chemistry, 465, 141998. https://doi.org/10.1016/j.foodchem.2024.141998</w:t>
      </w:r>
    </w:p>
    <w:p w14:paraId="6ADCE5B3" w14:textId="77777777" w:rsidR="00AE3A89" w:rsidRPr="00AC3BED" w:rsidRDefault="00AE3A89" w:rsidP="00E03EDF">
      <w:pPr>
        <w:pStyle w:val="NormalWeb"/>
        <w:spacing w:line="360" w:lineRule="auto"/>
        <w:jc w:val="both"/>
      </w:pPr>
    </w:p>
    <w:sectPr w:rsidR="00AE3A89" w:rsidRPr="00AC3BED">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CEBED8" w14:textId="77777777" w:rsidR="00EB15E7" w:rsidRDefault="00EB15E7" w:rsidP="00553F29">
      <w:pPr>
        <w:spacing w:after="0" w:line="240" w:lineRule="auto"/>
      </w:pPr>
      <w:r>
        <w:separator/>
      </w:r>
    </w:p>
  </w:endnote>
  <w:endnote w:type="continuationSeparator" w:id="0">
    <w:p w14:paraId="79D372D2" w14:textId="77777777" w:rsidR="00EB15E7" w:rsidRDefault="00EB15E7" w:rsidP="00553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87B72" w14:textId="77777777" w:rsidR="00553F29" w:rsidRDefault="00553F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3E6BF" w14:textId="77777777" w:rsidR="00553F29" w:rsidRDefault="00553F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AEAD0" w14:textId="77777777" w:rsidR="00553F29" w:rsidRDefault="00553F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9CF42" w14:textId="77777777" w:rsidR="00EB15E7" w:rsidRDefault="00EB15E7" w:rsidP="00553F29">
      <w:pPr>
        <w:spacing w:after="0" w:line="240" w:lineRule="auto"/>
      </w:pPr>
      <w:r>
        <w:separator/>
      </w:r>
    </w:p>
  </w:footnote>
  <w:footnote w:type="continuationSeparator" w:id="0">
    <w:p w14:paraId="209D982F" w14:textId="77777777" w:rsidR="00EB15E7" w:rsidRDefault="00EB15E7" w:rsidP="00553F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B527C" w14:textId="68C78906" w:rsidR="00553F29" w:rsidRDefault="00EB15E7">
    <w:pPr>
      <w:pStyle w:val="Header"/>
    </w:pPr>
    <w:r>
      <w:rPr>
        <w:noProof/>
      </w:rPr>
      <w:pict w14:anchorId="6204AF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56840" w14:textId="350FEFDA" w:rsidR="00553F29" w:rsidRDefault="00EB15E7">
    <w:pPr>
      <w:pStyle w:val="Header"/>
    </w:pPr>
    <w:r>
      <w:rPr>
        <w:noProof/>
      </w:rPr>
      <w:pict w14:anchorId="320997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BCF7F" w14:textId="287B018E" w:rsidR="00553F29" w:rsidRDefault="00EB15E7">
    <w:pPr>
      <w:pStyle w:val="Header"/>
    </w:pPr>
    <w:r>
      <w:rPr>
        <w:noProof/>
      </w:rPr>
      <w:pict w14:anchorId="7329DF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F2BD6"/>
    <w:multiLevelType w:val="hybridMultilevel"/>
    <w:tmpl w:val="5AD87E18"/>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13D3363"/>
    <w:multiLevelType w:val="hybridMultilevel"/>
    <w:tmpl w:val="FE98B94A"/>
    <w:lvl w:ilvl="0" w:tplc="4009000F">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ACC"/>
    <w:rsid w:val="00003415"/>
    <w:rsid w:val="0001179D"/>
    <w:rsid w:val="00026649"/>
    <w:rsid w:val="000966DE"/>
    <w:rsid w:val="000B734E"/>
    <w:rsid w:val="000C3544"/>
    <w:rsid w:val="000F4828"/>
    <w:rsid w:val="001150A5"/>
    <w:rsid w:val="0016500A"/>
    <w:rsid w:val="001808C9"/>
    <w:rsid w:val="00197325"/>
    <w:rsid w:val="001A5B5D"/>
    <w:rsid w:val="001B0F67"/>
    <w:rsid w:val="001D054B"/>
    <w:rsid w:val="00227AB0"/>
    <w:rsid w:val="002332BE"/>
    <w:rsid w:val="002E61DA"/>
    <w:rsid w:val="002F4D87"/>
    <w:rsid w:val="00326333"/>
    <w:rsid w:val="00337838"/>
    <w:rsid w:val="00352A02"/>
    <w:rsid w:val="003A08EA"/>
    <w:rsid w:val="003D36CE"/>
    <w:rsid w:val="00436846"/>
    <w:rsid w:val="00470E53"/>
    <w:rsid w:val="00484515"/>
    <w:rsid w:val="004929C2"/>
    <w:rsid w:val="004A5CD9"/>
    <w:rsid w:val="004D70D1"/>
    <w:rsid w:val="004F5EB6"/>
    <w:rsid w:val="0050471E"/>
    <w:rsid w:val="00553F29"/>
    <w:rsid w:val="005837C3"/>
    <w:rsid w:val="00586E3E"/>
    <w:rsid w:val="005D72E0"/>
    <w:rsid w:val="005E0AD5"/>
    <w:rsid w:val="00667ACC"/>
    <w:rsid w:val="00693356"/>
    <w:rsid w:val="006A0AFE"/>
    <w:rsid w:val="006A673B"/>
    <w:rsid w:val="006D72ED"/>
    <w:rsid w:val="006F4F56"/>
    <w:rsid w:val="0073185E"/>
    <w:rsid w:val="0076677F"/>
    <w:rsid w:val="007944E0"/>
    <w:rsid w:val="007B44C5"/>
    <w:rsid w:val="007F65EC"/>
    <w:rsid w:val="00834E84"/>
    <w:rsid w:val="008523D8"/>
    <w:rsid w:val="008770C2"/>
    <w:rsid w:val="00886DF9"/>
    <w:rsid w:val="008A23FD"/>
    <w:rsid w:val="008C7502"/>
    <w:rsid w:val="00905DA0"/>
    <w:rsid w:val="0095729B"/>
    <w:rsid w:val="009D665E"/>
    <w:rsid w:val="00A119C6"/>
    <w:rsid w:val="00A51BA4"/>
    <w:rsid w:val="00A8268C"/>
    <w:rsid w:val="00AA4445"/>
    <w:rsid w:val="00AC3BED"/>
    <w:rsid w:val="00AE3A89"/>
    <w:rsid w:val="00B04A96"/>
    <w:rsid w:val="00B057CB"/>
    <w:rsid w:val="00B162B9"/>
    <w:rsid w:val="00B72373"/>
    <w:rsid w:val="00B94663"/>
    <w:rsid w:val="00B94692"/>
    <w:rsid w:val="00BE41C4"/>
    <w:rsid w:val="00C42826"/>
    <w:rsid w:val="00C53437"/>
    <w:rsid w:val="00C77D1B"/>
    <w:rsid w:val="00CB18B2"/>
    <w:rsid w:val="00CD1DC1"/>
    <w:rsid w:val="00D11E19"/>
    <w:rsid w:val="00D212A7"/>
    <w:rsid w:val="00D259B0"/>
    <w:rsid w:val="00D42D07"/>
    <w:rsid w:val="00D70F8A"/>
    <w:rsid w:val="00DB6EE9"/>
    <w:rsid w:val="00E03EDF"/>
    <w:rsid w:val="00E531D4"/>
    <w:rsid w:val="00E90E7C"/>
    <w:rsid w:val="00EB15E7"/>
    <w:rsid w:val="00F3319A"/>
    <w:rsid w:val="00F51250"/>
    <w:rsid w:val="00FF04A0"/>
    <w:rsid w:val="00FF123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5E5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7AC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7318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85E"/>
    <w:rPr>
      <w:rFonts w:ascii="Tahoma" w:hAnsi="Tahoma" w:cs="Tahoma"/>
      <w:sz w:val="16"/>
      <w:szCs w:val="16"/>
    </w:rPr>
  </w:style>
  <w:style w:type="character" w:styleId="Strong">
    <w:name w:val="Strong"/>
    <w:basedOn w:val="DefaultParagraphFont"/>
    <w:uiPriority w:val="22"/>
    <w:qFormat/>
    <w:rsid w:val="005D72E0"/>
    <w:rPr>
      <w:b/>
      <w:bCs/>
    </w:rPr>
  </w:style>
  <w:style w:type="character" w:styleId="Emphasis">
    <w:name w:val="Emphasis"/>
    <w:basedOn w:val="DefaultParagraphFont"/>
    <w:uiPriority w:val="20"/>
    <w:qFormat/>
    <w:rsid w:val="005D72E0"/>
    <w:rPr>
      <w:i/>
      <w:iCs/>
    </w:rPr>
  </w:style>
  <w:style w:type="table" w:styleId="TableGrid">
    <w:name w:val="Table Grid"/>
    <w:basedOn w:val="TableNormal"/>
    <w:uiPriority w:val="59"/>
    <w:rsid w:val="007F65EC"/>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dTableHeader">
    <w:name w:val="MdTableHeader"/>
    <w:qFormat/>
    <w:rsid w:val="00B057CB"/>
    <w:pPr>
      <w:spacing w:before="60" w:after="60" w:line="240" w:lineRule="auto"/>
    </w:pPr>
    <w:rPr>
      <w:rFonts w:ascii="Times New Roman" w:eastAsia="Times New Roman" w:hAnsi="Times New Roman" w:cs="Times New Roman"/>
      <w:b/>
      <w:bCs/>
      <w:lang w:eastAsia="en-IN"/>
    </w:rPr>
  </w:style>
  <w:style w:type="paragraph" w:customStyle="1" w:styleId="MdTableCell">
    <w:name w:val="MdTableCell"/>
    <w:qFormat/>
    <w:rsid w:val="00B057CB"/>
    <w:pPr>
      <w:spacing w:before="40" w:after="40" w:line="240" w:lineRule="auto"/>
    </w:pPr>
    <w:rPr>
      <w:rFonts w:ascii="Times New Roman" w:eastAsia="Times New Roman" w:hAnsi="Times New Roman" w:cs="Times New Roman"/>
      <w:sz w:val="20"/>
      <w:szCs w:val="20"/>
      <w:lang w:eastAsia="en-IN"/>
    </w:rPr>
  </w:style>
  <w:style w:type="character" w:customStyle="1" w:styleId="MdStrong">
    <w:name w:val="MdStrong"/>
    <w:uiPriority w:val="99"/>
    <w:qFormat/>
    <w:rsid w:val="00B057CB"/>
    <w:rPr>
      <w:b/>
      <w:bCs/>
    </w:rPr>
  </w:style>
  <w:style w:type="character" w:customStyle="1" w:styleId="MdEm">
    <w:name w:val="MdEm"/>
    <w:uiPriority w:val="99"/>
    <w:qFormat/>
    <w:rsid w:val="00B057CB"/>
    <w:rPr>
      <w:i/>
      <w:iCs/>
    </w:rPr>
  </w:style>
  <w:style w:type="paragraph" w:styleId="ListParagraph">
    <w:name w:val="List Paragraph"/>
    <w:basedOn w:val="Normal"/>
    <w:uiPriority w:val="34"/>
    <w:qFormat/>
    <w:rsid w:val="00AC3BED"/>
    <w:pPr>
      <w:ind w:left="720"/>
      <w:contextualSpacing/>
    </w:pPr>
    <w:rPr>
      <w:rFonts w:eastAsiaTheme="minorEastAsia"/>
      <w:lang w:val="en-US"/>
    </w:rPr>
  </w:style>
  <w:style w:type="character" w:styleId="Hyperlink">
    <w:name w:val="Hyperlink"/>
    <w:basedOn w:val="DefaultParagraphFont"/>
    <w:uiPriority w:val="99"/>
    <w:unhideWhenUsed/>
    <w:rsid w:val="00337838"/>
    <w:rPr>
      <w:color w:val="0000FF" w:themeColor="hyperlink"/>
      <w:u w:val="single"/>
    </w:rPr>
  </w:style>
  <w:style w:type="character" w:customStyle="1" w:styleId="UnresolvedMention">
    <w:name w:val="Unresolved Mention"/>
    <w:basedOn w:val="DefaultParagraphFont"/>
    <w:uiPriority w:val="99"/>
    <w:semiHidden/>
    <w:unhideWhenUsed/>
    <w:rsid w:val="00337838"/>
    <w:rPr>
      <w:color w:val="605E5C"/>
      <w:shd w:val="clear" w:color="auto" w:fill="E1DFDD"/>
    </w:rPr>
  </w:style>
  <w:style w:type="paragraph" w:styleId="Header">
    <w:name w:val="header"/>
    <w:basedOn w:val="Normal"/>
    <w:link w:val="HeaderChar"/>
    <w:uiPriority w:val="99"/>
    <w:unhideWhenUsed/>
    <w:rsid w:val="00553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F29"/>
  </w:style>
  <w:style w:type="paragraph" w:styleId="Footer">
    <w:name w:val="footer"/>
    <w:basedOn w:val="Normal"/>
    <w:link w:val="FooterChar"/>
    <w:uiPriority w:val="99"/>
    <w:unhideWhenUsed/>
    <w:rsid w:val="00553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F29"/>
  </w:style>
  <w:style w:type="paragraph" w:styleId="NoSpacing">
    <w:name w:val="No Spacing"/>
    <w:uiPriority w:val="1"/>
    <w:qFormat/>
    <w:rsid w:val="00436846"/>
    <w:pPr>
      <w:spacing w:after="0" w:line="240" w:lineRule="auto"/>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7AC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7318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85E"/>
    <w:rPr>
      <w:rFonts w:ascii="Tahoma" w:hAnsi="Tahoma" w:cs="Tahoma"/>
      <w:sz w:val="16"/>
      <w:szCs w:val="16"/>
    </w:rPr>
  </w:style>
  <w:style w:type="character" w:styleId="Strong">
    <w:name w:val="Strong"/>
    <w:basedOn w:val="DefaultParagraphFont"/>
    <w:uiPriority w:val="22"/>
    <w:qFormat/>
    <w:rsid w:val="005D72E0"/>
    <w:rPr>
      <w:b/>
      <w:bCs/>
    </w:rPr>
  </w:style>
  <w:style w:type="character" w:styleId="Emphasis">
    <w:name w:val="Emphasis"/>
    <w:basedOn w:val="DefaultParagraphFont"/>
    <w:uiPriority w:val="20"/>
    <w:qFormat/>
    <w:rsid w:val="005D72E0"/>
    <w:rPr>
      <w:i/>
      <w:iCs/>
    </w:rPr>
  </w:style>
  <w:style w:type="table" w:styleId="TableGrid">
    <w:name w:val="Table Grid"/>
    <w:basedOn w:val="TableNormal"/>
    <w:uiPriority w:val="59"/>
    <w:rsid w:val="007F65EC"/>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dTableHeader">
    <w:name w:val="MdTableHeader"/>
    <w:qFormat/>
    <w:rsid w:val="00B057CB"/>
    <w:pPr>
      <w:spacing w:before="60" w:after="60" w:line="240" w:lineRule="auto"/>
    </w:pPr>
    <w:rPr>
      <w:rFonts w:ascii="Times New Roman" w:eastAsia="Times New Roman" w:hAnsi="Times New Roman" w:cs="Times New Roman"/>
      <w:b/>
      <w:bCs/>
      <w:lang w:eastAsia="en-IN"/>
    </w:rPr>
  </w:style>
  <w:style w:type="paragraph" w:customStyle="1" w:styleId="MdTableCell">
    <w:name w:val="MdTableCell"/>
    <w:qFormat/>
    <w:rsid w:val="00B057CB"/>
    <w:pPr>
      <w:spacing w:before="40" w:after="40" w:line="240" w:lineRule="auto"/>
    </w:pPr>
    <w:rPr>
      <w:rFonts w:ascii="Times New Roman" w:eastAsia="Times New Roman" w:hAnsi="Times New Roman" w:cs="Times New Roman"/>
      <w:sz w:val="20"/>
      <w:szCs w:val="20"/>
      <w:lang w:eastAsia="en-IN"/>
    </w:rPr>
  </w:style>
  <w:style w:type="character" w:customStyle="1" w:styleId="MdStrong">
    <w:name w:val="MdStrong"/>
    <w:uiPriority w:val="99"/>
    <w:qFormat/>
    <w:rsid w:val="00B057CB"/>
    <w:rPr>
      <w:b/>
      <w:bCs/>
    </w:rPr>
  </w:style>
  <w:style w:type="character" w:customStyle="1" w:styleId="MdEm">
    <w:name w:val="MdEm"/>
    <w:uiPriority w:val="99"/>
    <w:qFormat/>
    <w:rsid w:val="00B057CB"/>
    <w:rPr>
      <w:i/>
      <w:iCs/>
    </w:rPr>
  </w:style>
  <w:style w:type="paragraph" w:styleId="ListParagraph">
    <w:name w:val="List Paragraph"/>
    <w:basedOn w:val="Normal"/>
    <w:uiPriority w:val="34"/>
    <w:qFormat/>
    <w:rsid w:val="00AC3BED"/>
    <w:pPr>
      <w:ind w:left="720"/>
      <w:contextualSpacing/>
    </w:pPr>
    <w:rPr>
      <w:rFonts w:eastAsiaTheme="minorEastAsia"/>
      <w:lang w:val="en-US"/>
    </w:rPr>
  </w:style>
  <w:style w:type="character" w:styleId="Hyperlink">
    <w:name w:val="Hyperlink"/>
    <w:basedOn w:val="DefaultParagraphFont"/>
    <w:uiPriority w:val="99"/>
    <w:unhideWhenUsed/>
    <w:rsid w:val="00337838"/>
    <w:rPr>
      <w:color w:val="0000FF" w:themeColor="hyperlink"/>
      <w:u w:val="single"/>
    </w:rPr>
  </w:style>
  <w:style w:type="character" w:customStyle="1" w:styleId="UnresolvedMention">
    <w:name w:val="Unresolved Mention"/>
    <w:basedOn w:val="DefaultParagraphFont"/>
    <w:uiPriority w:val="99"/>
    <w:semiHidden/>
    <w:unhideWhenUsed/>
    <w:rsid w:val="00337838"/>
    <w:rPr>
      <w:color w:val="605E5C"/>
      <w:shd w:val="clear" w:color="auto" w:fill="E1DFDD"/>
    </w:rPr>
  </w:style>
  <w:style w:type="paragraph" w:styleId="Header">
    <w:name w:val="header"/>
    <w:basedOn w:val="Normal"/>
    <w:link w:val="HeaderChar"/>
    <w:uiPriority w:val="99"/>
    <w:unhideWhenUsed/>
    <w:rsid w:val="00553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F29"/>
  </w:style>
  <w:style w:type="paragraph" w:styleId="Footer">
    <w:name w:val="footer"/>
    <w:basedOn w:val="Normal"/>
    <w:link w:val="FooterChar"/>
    <w:uiPriority w:val="99"/>
    <w:unhideWhenUsed/>
    <w:rsid w:val="00553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F29"/>
  </w:style>
  <w:style w:type="paragraph" w:styleId="NoSpacing">
    <w:name w:val="No Spacing"/>
    <w:uiPriority w:val="1"/>
    <w:qFormat/>
    <w:rsid w:val="00436846"/>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28550">
      <w:bodyDiv w:val="1"/>
      <w:marLeft w:val="0"/>
      <w:marRight w:val="0"/>
      <w:marTop w:val="0"/>
      <w:marBottom w:val="0"/>
      <w:divBdr>
        <w:top w:val="none" w:sz="0" w:space="0" w:color="auto"/>
        <w:left w:val="none" w:sz="0" w:space="0" w:color="auto"/>
        <w:bottom w:val="none" w:sz="0" w:space="0" w:color="auto"/>
        <w:right w:val="none" w:sz="0" w:space="0" w:color="auto"/>
      </w:divBdr>
    </w:div>
    <w:div w:id="719551919">
      <w:bodyDiv w:val="1"/>
      <w:marLeft w:val="0"/>
      <w:marRight w:val="0"/>
      <w:marTop w:val="0"/>
      <w:marBottom w:val="0"/>
      <w:divBdr>
        <w:top w:val="none" w:sz="0" w:space="0" w:color="auto"/>
        <w:left w:val="none" w:sz="0" w:space="0" w:color="auto"/>
        <w:bottom w:val="none" w:sz="0" w:space="0" w:color="auto"/>
        <w:right w:val="none" w:sz="0" w:space="0" w:color="auto"/>
      </w:divBdr>
    </w:div>
    <w:div w:id="1321696809">
      <w:bodyDiv w:val="1"/>
      <w:marLeft w:val="0"/>
      <w:marRight w:val="0"/>
      <w:marTop w:val="0"/>
      <w:marBottom w:val="0"/>
      <w:divBdr>
        <w:top w:val="none" w:sz="0" w:space="0" w:color="auto"/>
        <w:left w:val="none" w:sz="0" w:space="0" w:color="auto"/>
        <w:bottom w:val="none" w:sz="0" w:space="0" w:color="auto"/>
        <w:right w:val="none" w:sz="0" w:space="0" w:color="auto"/>
      </w:divBdr>
    </w:div>
    <w:div w:id="1401951017">
      <w:bodyDiv w:val="1"/>
      <w:marLeft w:val="0"/>
      <w:marRight w:val="0"/>
      <w:marTop w:val="0"/>
      <w:marBottom w:val="0"/>
      <w:divBdr>
        <w:top w:val="none" w:sz="0" w:space="0" w:color="auto"/>
        <w:left w:val="none" w:sz="0" w:space="0" w:color="auto"/>
        <w:bottom w:val="none" w:sz="0" w:space="0" w:color="auto"/>
        <w:right w:val="none" w:sz="0" w:space="0" w:color="auto"/>
      </w:divBdr>
    </w:div>
    <w:div w:id="1551918990">
      <w:bodyDiv w:val="1"/>
      <w:marLeft w:val="0"/>
      <w:marRight w:val="0"/>
      <w:marTop w:val="0"/>
      <w:marBottom w:val="0"/>
      <w:divBdr>
        <w:top w:val="none" w:sz="0" w:space="0" w:color="auto"/>
        <w:left w:val="none" w:sz="0" w:space="0" w:color="auto"/>
        <w:bottom w:val="none" w:sz="0" w:space="0" w:color="auto"/>
        <w:right w:val="none" w:sz="0" w:space="0" w:color="auto"/>
      </w:divBdr>
    </w:div>
    <w:div w:id="181393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13337-5C33-48C2-B816-43EE73F27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27</Pages>
  <Words>10418</Words>
  <Characters>59385</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21</cp:revision>
  <dcterms:created xsi:type="dcterms:W3CDTF">2026-02-06T11:04:00Z</dcterms:created>
  <dcterms:modified xsi:type="dcterms:W3CDTF">2026-02-06T11:51:00Z</dcterms:modified>
</cp:coreProperties>
</file>