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F6FC2" w14:textId="77777777" w:rsidR="00D41B58" w:rsidRPr="002C09EE" w:rsidRDefault="005451C8" w:rsidP="002C09EE">
      <w:pPr>
        <w:pStyle w:val="NormalWeb"/>
        <w:spacing w:line="360" w:lineRule="auto"/>
        <w:jc w:val="both"/>
        <w:rPr>
          <w:rFonts w:ascii="Arial" w:hAnsi="Arial" w:cs="Arial"/>
          <w:b/>
          <w:sz w:val="36"/>
          <w:szCs w:val="36"/>
        </w:rPr>
      </w:pPr>
      <w:r w:rsidRPr="005451C8">
        <w:rPr>
          <w:rFonts w:ascii="Arial" w:hAnsi="Arial" w:cs="Arial"/>
          <w:b/>
          <w:sz w:val="36"/>
          <w:szCs w:val="36"/>
        </w:rPr>
        <w:t>Induced Mutagenesis in Tomato: Comparative Morphological and Yield Evaluation of EMS-Derived Mutants for Genetic Variability and Superior Genotypes</w:t>
      </w:r>
    </w:p>
    <w:p w14:paraId="4C15E057" w14:textId="77777777" w:rsidR="002C57D2" w:rsidRPr="00FB3A86" w:rsidRDefault="002C57D2" w:rsidP="00F265FC">
      <w:pPr>
        <w:pStyle w:val="Affiliation"/>
        <w:spacing w:after="0" w:line="360" w:lineRule="auto"/>
        <w:jc w:val="both"/>
        <w:rPr>
          <w:rFonts w:ascii="Arial" w:hAnsi="Arial" w:cs="Arial"/>
        </w:rPr>
      </w:pPr>
    </w:p>
    <w:p w14:paraId="7E4C53ED" w14:textId="77777777" w:rsidR="00D41B58" w:rsidRDefault="00670CAB" w:rsidP="00F265FC">
      <w:pPr>
        <w:pStyle w:val="Copyright"/>
        <w:spacing w:after="0" w:line="360" w:lineRule="auto"/>
        <w:jc w:val="both"/>
        <w:rPr>
          <w:rFonts w:ascii="Arial" w:hAnsi="Arial" w:cs="Arial"/>
        </w:rPr>
      </w:pPr>
      <w:r>
        <w:rPr>
          <w:rFonts w:ascii="Arial" w:hAnsi="Arial" w:cs="Arial"/>
        </w:rPr>
      </w:r>
      <w:r>
        <w:rPr>
          <w:rFonts w:ascii="Arial" w:hAnsi="Arial" w:cs="Arial"/>
        </w:rPr>
        <w:pict w14:anchorId="237DA1E5">
          <v:shapetype id="_x0000_t32" coordsize="21600,21600" o:spt="32" o:oned="t" path="m,l21600,21600e" filled="f">
            <v:path arrowok="t" fillok="f" o:connecttype="none"/>
            <o:lock v:ext="edit" shapetype="t"/>
          </v:shapetype>
          <v:shape id="_x0000_s102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513CA1A2" w14:textId="77777777" w:rsidR="00D41B58" w:rsidRDefault="00D41B58" w:rsidP="00F265FC">
      <w:pPr>
        <w:pStyle w:val="Copyright"/>
        <w:spacing w:after="0" w:line="360" w:lineRule="auto"/>
        <w:jc w:val="both"/>
        <w:rPr>
          <w:rFonts w:ascii="Arial" w:hAnsi="Arial" w:cs="Arial"/>
        </w:rPr>
      </w:pPr>
    </w:p>
    <w:p w14:paraId="1E11AB7B" w14:textId="77777777" w:rsidR="00D41B58" w:rsidRDefault="00D41B58" w:rsidP="00F265FC">
      <w:pPr>
        <w:pStyle w:val="Copyright"/>
        <w:spacing w:after="0" w:line="360" w:lineRule="auto"/>
        <w:jc w:val="both"/>
        <w:rPr>
          <w:rFonts w:ascii="Arial" w:hAnsi="Arial" w:cs="Arial"/>
        </w:rPr>
      </w:pPr>
    </w:p>
    <w:p w14:paraId="26EC492E" w14:textId="77777777" w:rsidR="00D41B58" w:rsidRPr="00FB3A86" w:rsidRDefault="00D41B58" w:rsidP="00F265FC">
      <w:pPr>
        <w:pStyle w:val="Copyright"/>
        <w:spacing w:after="0" w:line="360" w:lineRule="auto"/>
        <w:jc w:val="both"/>
        <w:rPr>
          <w:rFonts w:ascii="Arial" w:hAnsi="Arial" w:cs="Arial"/>
        </w:rPr>
        <w:sectPr w:rsidR="00D41B58" w:rsidRPr="00FB3A86" w:rsidSect="00650A1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51C025BA" w14:textId="77777777" w:rsidR="00D41B58" w:rsidRDefault="00B01FCD" w:rsidP="00F265FC">
      <w:pPr>
        <w:pStyle w:val="AbstHead"/>
        <w:spacing w:after="0" w:line="360" w:lineRule="auto"/>
        <w:jc w:val="both"/>
        <w:rPr>
          <w:rFonts w:ascii="Arial" w:hAnsi="Arial" w:cs="Arial"/>
        </w:rPr>
      </w:pPr>
      <w:r w:rsidRPr="00FB3A86">
        <w:rPr>
          <w:rFonts w:ascii="Arial" w:hAnsi="Arial" w:cs="Arial"/>
        </w:rPr>
        <w:t>ABSTRACT</w:t>
      </w:r>
    </w:p>
    <w:p w14:paraId="53743D5E" w14:textId="77777777" w:rsidR="00790ADA" w:rsidRPr="00FB3A86" w:rsidRDefault="00B85C00" w:rsidP="00F265FC">
      <w:pPr>
        <w:pStyle w:val="AbstHead"/>
        <w:spacing w:after="0" w:line="360" w:lineRule="auto"/>
        <w:jc w:val="both"/>
        <w:rPr>
          <w:rFonts w:ascii="Arial" w:hAnsi="Arial" w:cs="Arial"/>
        </w:rPr>
      </w:pP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B6118" w14:paraId="5B8A5AF3" w14:textId="77777777" w:rsidTr="001E44FE">
        <w:tc>
          <w:tcPr>
            <w:tcW w:w="9576" w:type="dxa"/>
            <w:shd w:val="clear" w:color="auto" w:fill="F2F2F2"/>
          </w:tcPr>
          <w:p w14:paraId="4C4704A7" w14:textId="54284CCD" w:rsidR="00505F06" w:rsidRPr="001B6118" w:rsidRDefault="001B6118" w:rsidP="00B62715">
            <w:pPr>
              <w:pStyle w:val="NormalWeb"/>
              <w:spacing w:line="360" w:lineRule="auto"/>
              <w:jc w:val="both"/>
              <w:rPr>
                <w:rFonts w:eastAsia="Calibri"/>
              </w:rPr>
            </w:pPr>
            <w:r w:rsidRPr="001B1A4B">
              <w:rPr>
                <w:rFonts w:ascii="Arial" w:hAnsi="Arial" w:cs="Arial"/>
                <w:bCs/>
                <w:sz w:val="22"/>
                <w:szCs w:val="22"/>
              </w:rPr>
              <w:t>Crop improvement requires genetic variability, and induced mutagenesis provides an efficient approach for producing new variation. In this study, the genetic diversity of 24 tomato (</w:t>
            </w:r>
            <w:r w:rsidRPr="001B1A4B">
              <w:rPr>
                <w:rFonts w:ascii="Arial" w:hAnsi="Arial" w:cs="Arial"/>
                <w:bCs/>
                <w:i/>
                <w:sz w:val="22"/>
                <w:szCs w:val="22"/>
              </w:rPr>
              <w:t xml:space="preserve">Solanum </w:t>
            </w:r>
            <w:proofErr w:type="spellStart"/>
            <w:r w:rsidRPr="001B1A4B">
              <w:rPr>
                <w:rFonts w:ascii="Arial" w:hAnsi="Arial" w:cs="Arial"/>
                <w:bCs/>
                <w:i/>
                <w:sz w:val="22"/>
                <w:szCs w:val="22"/>
              </w:rPr>
              <w:t>lycopersicum</w:t>
            </w:r>
            <w:proofErr w:type="spellEnd"/>
            <w:r w:rsidRPr="001B1A4B">
              <w:rPr>
                <w:rFonts w:ascii="Arial" w:hAnsi="Arial" w:cs="Arial"/>
                <w:bCs/>
                <w:sz w:val="22"/>
                <w:szCs w:val="22"/>
              </w:rPr>
              <w:t xml:space="preserve"> L.) genotypes </w:t>
            </w:r>
            <w:r w:rsidRPr="00B62715">
              <w:rPr>
                <w:rFonts w:ascii="Arial" w:hAnsi="Arial" w:cs="Arial"/>
                <w:bCs/>
                <w:sz w:val="22"/>
                <w:szCs w:val="22"/>
                <w:highlight w:val="yellow"/>
              </w:rPr>
              <w:t>comprising 21 induced</w:t>
            </w:r>
            <w:r w:rsidRPr="001B1A4B">
              <w:rPr>
                <w:rFonts w:ascii="Arial" w:hAnsi="Arial" w:cs="Arial"/>
                <w:bCs/>
                <w:sz w:val="22"/>
                <w:szCs w:val="22"/>
              </w:rPr>
              <w:t xml:space="preserve"> mutants, one parent genotype, and two standard checks, was assessed in both controlled and natural environments. Principal component analysis (PCA), hierarchical cluster analysis, genetic variability factors, and analysis of variance were used to </w:t>
            </w:r>
            <w:r w:rsidR="00AE22AB" w:rsidRPr="00B62715">
              <w:rPr>
                <w:rFonts w:ascii="Arial" w:hAnsi="Arial" w:cs="Arial"/>
                <w:bCs/>
                <w:sz w:val="22"/>
                <w:szCs w:val="22"/>
                <w:highlight w:val="yellow"/>
              </w:rPr>
              <w:t xml:space="preserve">analyse </w:t>
            </w:r>
            <w:r w:rsidRPr="00B62715">
              <w:rPr>
                <w:rFonts w:ascii="Arial" w:hAnsi="Arial" w:cs="Arial"/>
                <w:bCs/>
                <w:sz w:val="22"/>
                <w:szCs w:val="22"/>
                <w:highlight w:val="yellow"/>
              </w:rPr>
              <w:t>morphological and</w:t>
            </w:r>
            <w:r w:rsidRPr="001B1A4B">
              <w:rPr>
                <w:rFonts w:ascii="Arial" w:hAnsi="Arial" w:cs="Arial"/>
                <w:bCs/>
                <w:sz w:val="22"/>
                <w:szCs w:val="22"/>
              </w:rPr>
              <w:t xml:space="preserve"> yield-related characteristics. All traits showed highly significant genotypic variances, suggesting significant genetic diversity. Fruit weight, number of locules, fruits per truss, and yield per plant all showed strong genotypic and phenotypic coefficients of variation, high heritability, and genetic advancement, indicating the predominance of additive gene action. While cluster analysis separated genotypes into discrete clusters, indicating significant genetic divergence among mutants and their isolation from the parent genotype, PCA showed that fruit size attributes and yield components were the main contributors to overall variability. The strength of trait relationships and diversity patterns was validated by the agreement between univariate and multivariate analyses. Overall, the study shows that induced mutants are important genetic resources and finds important characteristics and superior genotypes that can be successfully used in tomato breeding programs targeted at genetic improvement and yield increase.</w:t>
            </w:r>
          </w:p>
        </w:tc>
      </w:tr>
    </w:tbl>
    <w:p w14:paraId="65D005C6" w14:textId="77777777" w:rsidR="00636EB2" w:rsidRDefault="00636EB2" w:rsidP="00F265FC">
      <w:pPr>
        <w:pStyle w:val="Body"/>
        <w:spacing w:after="0" w:line="360" w:lineRule="auto"/>
        <w:rPr>
          <w:rFonts w:ascii="Arial" w:hAnsi="Arial" w:cs="Arial"/>
          <w:i/>
        </w:rPr>
      </w:pPr>
    </w:p>
    <w:p w14:paraId="787A738A" w14:textId="4758BA98" w:rsidR="00A24E7E" w:rsidRDefault="00A24E7E" w:rsidP="00F265FC">
      <w:pPr>
        <w:spacing w:line="360" w:lineRule="auto"/>
        <w:jc w:val="both"/>
        <w:rPr>
          <w:rFonts w:ascii="Arial" w:hAnsi="Arial" w:cs="Arial"/>
          <w:i/>
        </w:rPr>
      </w:pPr>
      <w:r>
        <w:rPr>
          <w:rFonts w:ascii="Arial" w:hAnsi="Arial" w:cs="Arial"/>
          <w:i/>
        </w:rPr>
        <w:lastRenderedPageBreak/>
        <w:t xml:space="preserve">Keywords: </w:t>
      </w:r>
      <w:r w:rsidR="001B6118" w:rsidRPr="001B6118">
        <w:rPr>
          <w:rFonts w:ascii="Arial" w:hAnsi="Arial" w:cs="Arial"/>
        </w:rPr>
        <w:t xml:space="preserve">Tomato, mutagenesis, </w:t>
      </w:r>
      <w:bookmarkStart w:id="0" w:name="_GoBack"/>
      <w:bookmarkEnd w:id="0"/>
      <w:r w:rsidR="001B6118" w:rsidRPr="001B6118">
        <w:rPr>
          <w:rFonts w:ascii="Arial" w:hAnsi="Arial" w:cs="Arial"/>
        </w:rPr>
        <w:t>genetic variability, heritability, principal component analysis, yield traits</w:t>
      </w:r>
    </w:p>
    <w:p w14:paraId="0CAF6395" w14:textId="77777777" w:rsidR="00790ADA" w:rsidRDefault="00790ADA" w:rsidP="00F265FC">
      <w:pPr>
        <w:pStyle w:val="Body"/>
        <w:spacing w:after="0" w:line="360" w:lineRule="auto"/>
        <w:rPr>
          <w:rFonts w:ascii="Arial" w:hAnsi="Arial" w:cs="Arial"/>
          <w:i/>
        </w:rPr>
      </w:pPr>
    </w:p>
    <w:p w14:paraId="3F8BF4B7" w14:textId="77777777" w:rsidR="00505F06" w:rsidRPr="00A24E7E" w:rsidRDefault="00505F06" w:rsidP="00F265FC">
      <w:pPr>
        <w:pStyle w:val="Body"/>
        <w:spacing w:after="0" w:line="360" w:lineRule="auto"/>
        <w:rPr>
          <w:rFonts w:ascii="Arial" w:hAnsi="Arial" w:cs="Arial"/>
          <w:i/>
        </w:rPr>
      </w:pPr>
    </w:p>
    <w:p w14:paraId="7737E30C" w14:textId="77777777" w:rsidR="007F7B32" w:rsidRDefault="00902823" w:rsidP="00F265FC">
      <w:pPr>
        <w:pStyle w:val="AbstHead"/>
        <w:spacing w:after="0" w:line="360" w:lineRule="auto"/>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60E4A02" w14:textId="77777777" w:rsidR="00790ADA" w:rsidRPr="00FB3A86" w:rsidRDefault="00790ADA" w:rsidP="00F265FC">
      <w:pPr>
        <w:pStyle w:val="AbstHead"/>
        <w:spacing w:after="0" w:line="360" w:lineRule="auto"/>
        <w:jc w:val="both"/>
        <w:rPr>
          <w:rFonts w:ascii="Arial" w:hAnsi="Arial" w:cs="Arial"/>
        </w:rPr>
      </w:pPr>
    </w:p>
    <w:p w14:paraId="5D39F1F0" w14:textId="041132DC" w:rsidR="00A70415" w:rsidRPr="00477B79" w:rsidRDefault="001B06C3" w:rsidP="00F265FC">
      <w:pPr>
        <w:spacing w:line="360" w:lineRule="auto"/>
        <w:jc w:val="both"/>
        <w:rPr>
          <w:rFonts w:ascii="Arial" w:hAnsi="Arial" w:cs="Arial"/>
          <w:bCs/>
          <w:sz w:val="22"/>
          <w:szCs w:val="22"/>
        </w:rPr>
      </w:pPr>
      <w:r w:rsidRPr="00B62715">
        <w:rPr>
          <w:rFonts w:ascii="Arial" w:hAnsi="Arial" w:cs="Arial"/>
          <w:color w:val="222222"/>
          <w:highlight w:val="yellow"/>
          <w:shd w:val="clear" w:color="auto" w:fill="FFFFFF"/>
        </w:rPr>
        <w:t xml:space="preserve">The development of new crop varieties with desirable agronomical traits, such as high productivity rates, has become crucial for this purpose. Since natural variation is scarce, breeding programs </w:t>
      </w:r>
      <w:proofErr w:type="gramStart"/>
      <w:r w:rsidRPr="00B62715">
        <w:rPr>
          <w:rFonts w:ascii="Arial" w:hAnsi="Arial" w:cs="Arial"/>
          <w:color w:val="222222"/>
          <w:highlight w:val="yellow"/>
          <w:shd w:val="clear" w:color="auto" w:fill="FFFFFF"/>
        </w:rPr>
        <w:t>are in need of</w:t>
      </w:r>
      <w:proofErr w:type="gramEnd"/>
      <w:r w:rsidRPr="00B62715">
        <w:rPr>
          <w:rFonts w:ascii="Arial" w:hAnsi="Arial" w:cs="Arial"/>
          <w:color w:val="222222"/>
          <w:highlight w:val="yellow"/>
          <w:shd w:val="clear" w:color="auto" w:fill="FFFFFF"/>
        </w:rPr>
        <w:t xml:space="preserve"> suitable alternatives and particularly induced mutagenesis programs. Modern breeding programs should ideally be based on a combination of natural and induced mutagenesis supported by advanced molecular biology techniques (</w:t>
      </w:r>
      <w:r w:rsidRPr="00897F15">
        <w:rPr>
          <w:rFonts w:ascii="inherit" w:hAnsi="inherit" w:cs="Helvetica"/>
          <w:color w:val="222222"/>
          <w:sz w:val="18"/>
          <w:szCs w:val="18"/>
          <w:highlight w:val="yellow"/>
        </w:rPr>
        <w:t>Fonseca</w:t>
      </w:r>
      <w:r w:rsidRPr="00BE2ACD">
        <w:rPr>
          <w:rFonts w:ascii="inherit" w:hAnsi="inherit" w:cs="Helvetica"/>
          <w:color w:val="222222"/>
          <w:sz w:val="18"/>
          <w:szCs w:val="18"/>
          <w:highlight w:val="yellow"/>
        </w:rPr>
        <w:t xml:space="preserve"> et al., 2022</w:t>
      </w:r>
      <w:r w:rsidRPr="00B62715">
        <w:rPr>
          <w:rFonts w:ascii="Arial" w:hAnsi="Arial" w:cs="Arial"/>
          <w:color w:val="222222"/>
          <w:highlight w:val="yellow"/>
          <w:shd w:val="clear" w:color="auto" w:fill="FFFFFF"/>
        </w:rPr>
        <w:t>).</w:t>
      </w:r>
      <w:r>
        <w:rPr>
          <w:rFonts w:ascii="Arial" w:hAnsi="Arial" w:cs="Arial"/>
          <w:color w:val="222222"/>
          <w:shd w:val="clear" w:color="auto" w:fill="FFFFFF"/>
        </w:rPr>
        <w:t> </w:t>
      </w:r>
      <w:r w:rsidRPr="00477B79">
        <w:rPr>
          <w:rFonts w:ascii="Arial" w:hAnsi="Arial" w:cs="Arial"/>
          <w:bCs/>
          <w:sz w:val="22"/>
          <w:szCs w:val="22"/>
        </w:rPr>
        <w:t xml:space="preserve"> </w:t>
      </w:r>
      <w:proofErr w:type="gramStart"/>
      <w:r w:rsidR="00A70415" w:rsidRPr="00477B79">
        <w:rPr>
          <w:rFonts w:ascii="Arial" w:hAnsi="Arial" w:cs="Arial"/>
          <w:bCs/>
          <w:sz w:val="22"/>
          <w:szCs w:val="22"/>
        </w:rPr>
        <w:t>Tomato</w:t>
      </w:r>
      <w:proofErr w:type="gramEnd"/>
      <w:r w:rsidR="00A70415" w:rsidRPr="00477B79">
        <w:rPr>
          <w:rFonts w:ascii="Arial" w:hAnsi="Arial" w:cs="Arial"/>
          <w:bCs/>
          <w:sz w:val="22"/>
          <w:szCs w:val="22"/>
        </w:rPr>
        <w:t xml:space="preserve"> (</w:t>
      </w:r>
      <w:r w:rsidR="00A70415" w:rsidRPr="00477B79">
        <w:rPr>
          <w:rFonts w:ascii="Arial" w:hAnsi="Arial" w:cs="Arial"/>
          <w:bCs/>
          <w:i/>
          <w:sz w:val="22"/>
          <w:szCs w:val="22"/>
        </w:rPr>
        <w:t xml:space="preserve">Solanum </w:t>
      </w:r>
      <w:proofErr w:type="spellStart"/>
      <w:r w:rsidR="00A70415" w:rsidRPr="00477B79">
        <w:rPr>
          <w:rFonts w:ascii="Arial" w:hAnsi="Arial" w:cs="Arial"/>
          <w:bCs/>
          <w:i/>
          <w:sz w:val="22"/>
          <w:szCs w:val="22"/>
        </w:rPr>
        <w:t>lycopersicum</w:t>
      </w:r>
      <w:proofErr w:type="spellEnd"/>
      <w:r w:rsidR="00A70415" w:rsidRPr="00477B79">
        <w:rPr>
          <w:rFonts w:ascii="Arial" w:hAnsi="Arial" w:cs="Arial"/>
          <w:bCs/>
          <w:sz w:val="22"/>
          <w:szCs w:val="22"/>
        </w:rPr>
        <w:t xml:space="preserve"> L.) is the second most significant vegetable crop in the world, with production from 4.9–5 million hectares reaching about 186–192 million </w:t>
      </w:r>
      <w:proofErr w:type="spellStart"/>
      <w:r w:rsidR="00A70415" w:rsidRPr="00477B79">
        <w:rPr>
          <w:rFonts w:ascii="Arial" w:hAnsi="Arial" w:cs="Arial"/>
          <w:bCs/>
          <w:sz w:val="22"/>
          <w:szCs w:val="22"/>
        </w:rPr>
        <w:t>tonnes</w:t>
      </w:r>
      <w:proofErr w:type="spellEnd"/>
      <w:r w:rsidR="00A70415" w:rsidRPr="00477B79">
        <w:rPr>
          <w:rFonts w:ascii="Arial" w:hAnsi="Arial" w:cs="Arial"/>
          <w:bCs/>
          <w:sz w:val="22"/>
          <w:szCs w:val="22"/>
        </w:rPr>
        <w:t xml:space="preserve"> in 2023 (FAO, 2024; FAOSTAT-derived statistics, 2024). Asia dominates with over 60% of total output, followed by Europe, the Americas, and Africa. The tomato's short life cycle, ease of hybridization and self-pollination, diploid genome (2n = 24, ~900-950 Mb), and abundance of genomic resources, such as well-annotated reference sequences and mutant collections, make it a valuable model crop for plant biology (Rothan </w:t>
      </w:r>
      <w:r w:rsidR="00A70415" w:rsidRPr="00477B79">
        <w:rPr>
          <w:rFonts w:ascii="Arial" w:hAnsi="Arial" w:cs="Arial"/>
          <w:bCs/>
          <w:i/>
          <w:sz w:val="22"/>
          <w:szCs w:val="22"/>
        </w:rPr>
        <w:t>et al</w:t>
      </w:r>
      <w:r w:rsidR="00A70415" w:rsidRPr="00477B79">
        <w:rPr>
          <w:rFonts w:ascii="Arial" w:hAnsi="Arial" w:cs="Arial"/>
          <w:bCs/>
          <w:sz w:val="22"/>
          <w:szCs w:val="22"/>
        </w:rPr>
        <w:t xml:space="preserve">., 2019; Gao </w:t>
      </w:r>
      <w:r w:rsidR="00A70415" w:rsidRPr="00477B79">
        <w:rPr>
          <w:rFonts w:ascii="Arial" w:hAnsi="Arial" w:cs="Arial"/>
          <w:bCs/>
          <w:i/>
          <w:sz w:val="22"/>
          <w:szCs w:val="22"/>
        </w:rPr>
        <w:t>et al</w:t>
      </w:r>
      <w:r w:rsidR="00A70415" w:rsidRPr="00477B79">
        <w:rPr>
          <w:rFonts w:ascii="Arial" w:hAnsi="Arial" w:cs="Arial"/>
          <w:bCs/>
          <w:sz w:val="22"/>
          <w:szCs w:val="22"/>
        </w:rPr>
        <w:t>., 2023).</w:t>
      </w:r>
      <w:r w:rsidR="003770F8">
        <w:rPr>
          <w:rFonts w:ascii="Arial" w:hAnsi="Arial" w:cs="Arial"/>
          <w:bCs/>
          <w:sz w:val="22"/>
          <w:szCs w:val="22"/>
        </w:rPr>
        <w:t xml:space="preserve"> </w:t>
      </w:r>
      <w:r w:rsidR="003770F8" w:rsidRPr="00B62715">
        <w:rPr>
          <w:highlight w:val="yellow"/>
        </w:rPr>
        <w:t xml:space="preserve">In tomato, crop improvement work on quality and nutrients is very much limited in India. Hybrids are preferred over pure lines varieties in tomato on account of their superiority in marketable fruit yield and fruit quality. Fruit shape in tomato is one of the most important components of fruit firmness, which represents the basis for studying this trait. The degree of fruit firmness has been used as an indication of fruit quality. Storability of tomato is of prime concern in terms of consumer preference and </w:t>
      </w:r>
      <w:proofErr w:type="gramStart"/>
      <w:r w:rsidR="003770F8" w:rsidRPr="00B62715">
        <w:rPr>
          <w:highlight w:val="yellow"/>
        </w:rPr>
        <w:t>breeders</w:t>
      </w:r>
      <w:proofErr w:type="gramEnd"/>
      <w:r w:rsidR="003770F8" w:rsidRPr="00B62715">
        <w:rPr>
          <w:highlight w:val="yellow"/>
        </w:rPr>
        <w:t xml:space="preserve"> choice. Therefore, pericarp thickness is considered to be a very important attribute among breeder for selecting cultivars as it is much related to </w:t>
      </w:r>
      <w:r w:rsidR="00AE22AB">
        <w:rPr>
          <w:highlight w:val="yellow"/>
        </w:rPr>
        <w:t xml:space="preserve">the </w:t>
      </w:r>
      <w:r w:rsidR="003770F8" w:rsidRPr="00B62715">
        <w:rPr>
          <w:highlight w:val="yellow"/>
        </w:rPr>
        <w:t>storage capacity of tomato. The success of hybridization depends upon the selection of suitable parental genotypes and superior performance of their cross combinations</w:t>
      </w:r>
      <w:r w:rsidR="004C294F">
        <w:rPr>
          <w:highlight w:val="yellow"/>
        </w:rPr>
        <w:t xml:space="preserve"> (</w:t>
      </w:r>
      <w:r w:rsidR="004C294F" w:rsidRPr="00A16EF9">
        <w:rPr>
          <w:rFonts w:ascii="Arial" w:hAnsi="Arial" w:cs="Arial"/>
          <w:color w:val="222222"/>
          <w:highlight w:val="yellow"/>
          <w:shd w:val="clear" w:color="auto" w:fill="FFFFFF"/>
        </w:rPr>
        <w:t>Chun</w:t>
      </w:r>
      <w:r w:rsidR="004C294F">
        <w:rPr>
          <w:rFonts w:ascii="Arial" w:hAnsi="Arial" w:cs="Arial"/>
          <w:color w:val="222222"/>
          <w:highlight w:val="yellow"/>
          <w:shd w:val="clear" w:color="auto" w:fill="FFFFFF"/>
        </w:rPr>
        <w:t xml:space="preserve"> et al., 2020</w:t>
      </w:r>
      <w:r w:rsidR="004C294F">
        <w:rPr>
          <w:highlight w:val="yellow"/>
        </w:rPr>
        <w:t>)</w:t>
      </w:r>
      <w:r w:rsidR="003770F8" w:rsidRPr="00B62715">
        <w:rPr>
          <w:highlight w:val="yellow"/>
        </w:rPr>
        <w:t>.</w:t>
      </w:r>
    </w:p>
    <w:p w14:paraId="13035B68" w14:textId="77777777" w:rsidR="00A70415" w:rsidRPr="00477B79" w:rsidRDefault="00A70415" w:rsidP="00F265FC">
      <w:pPr>
        <w:spacing w:line="360" w:lineRule="auto"/>
        <w:jc w:val="both"/>
        <w:rPr>
          <w:rFonts w:ascii="Arial" w:hAnsi="Arial" w:cs="Arial"/>
          <w:bCs/>
          <w:sz w:val="22"/>
          <w:szCs w:val="22"/>
        </w:rPr>
      </w:pPr>
      <w:r w:rsidRPr="00477B79">
        <w:rPr>
          <w:rFonts w:ascii="Arial" w:hAnsi="Arial" w:cs="Arial"/>
          <w:bCs/>
          <w:sz w:val="22"/>
          <w:szCs w:val="22"/>
        </w:rPr>
        <w:t xml:space="preserve">Although tomatoes can grow in a variety of soil types, generally prefer well-drained sandy loam or red loam with a pH of 6.0–7.0 and a high level of organic matter (Sharma </w:t>
      </w:r>
      <w:r w:rsidRPr="00477B79">
        <w:rPr>
          <w:rFonts w:ascii="Arial" w:hAnsi="Arial" w:cs="Arial"/>
          <w:bCs/>
          <w:i/>
          <w:sz w:val="22"/>
          <w:szCs w:val="22"/>
        </w:rPr>
        <w:t>et al</w:t>
      </w:r>
      <w:r w:rsidRPr="00477B79">
        <w:rPr>
          <w:rFonts w:ascii="Arial" w:hAnsi="Arial" w:cs="Arial"/>
          <w:bCs/>
          <w:sz w:val="22"/>
          <w:szCs w:val="22"/>
        </w:rPr>
        <w:t>., 2019). For fruit set and quality, temperatures between 21 and 24°C are ideal; temperatures above 32°C result in flower drop, decreased pollination, and yield losses (</w:t>
      </w:r>
      <w:proofErr w:type="spellStart"/>
      <w:r w:rsidRPr="00477B79">
        <w:rPr>
          <w:rFonts w:ascii="Arial" w:hAnsi="Arial" w:cs="Arial"/>
          <w:bCs/>
          <w:sz w:val="22"/>
          <w:szCs w:val="22"/>
        </w:rPr>
        <w:t>Ayankojo</w:t>
      </w:r>
      <w:proofErr w:type="spellEnd"/>
      <w:r w:rsidRPr="00477B79">
        <w:rPr>
          <w:rFonts w:ascii="Arial" w:hAnsi="Arial" w:cs="Arial"/>
          <w:bCs/>
          <w:sz w:val="22"/>
          <w:szCs w:val="22"/>
        </w:rPr>
        <w:t xml:space="preserve"> and Morgan, 2020). The crop's broad climatic tolerance, from </w:t>
      </w:r>
      <w:r w:rsidRPr="00477B79">
        <w:rPr>
          <w:rFonts w:ascii="Arial" w:hAnsi="Arial" w:cs="Arial"/>
          <w:bCs/>
          <w:sz w:val="22"/>
          <w:szCs w:val="22"/>
        </w:rPr>
        <w:lastRenderedPageBreak/>
        <w:t>temperate to tropical zones, supports its global cultivation, yet rising temperatures, drought, salinity, and erratic precipitation linked to climate change pose severe threats (</w:t>
      </w:r>
      <w:proofErr w:type="spellStart"/>
      <w:r w:rsidRPr="00477B79">
        <w:rPr>
          <w:rFonts w:ascii="Arial" w:hAnsi="Arial" w:cs="Arial"/>
          <w:bCs/>
          <w:sz w:val="22"/>
          <w:szCs w:val="22"/>
        </w:rPr>
        <w:t>Kürklü</w:t>
      </w:r>
      <w:proofErr w:type="spellEnd"/>
      <w:r w:rsidRPr="00477B79">
        <w:rPr>
          <w:rFonts w:ascii="Arial" w:hAnsi="Arial" w:cs="Arial"/>
          <w:bCs/>
          <w:sz w:val="22"/>
          <w:szCs w:val="22"/>
        </w:rPr>
        <w:t xml:space="preserve"> </w:t>
      </w:r>
      <w:r w:rsidRPr="00477B79">
        <w:rPr>
          <w:rFonts w:ascii="Arial" w:hAnsi="Arial" w:cs="Arial"/>
          <w:bCs/>
          <w:i/>
          <w:sz w:val="22"/>
          <w:szCs w:val="22"/>
        </w:rPr>
        <w:t>et al</w:t>
      </w:r>
      <w:r w:rsidRPr="00477B79">
        <w:rPr>
          <w:rFonts w:ascii="Arial" w:hAnsi="Arial" w:cs="Arial"/>
          <w:bCs/>
          <w:sz w:val="22"/>
          <w:szCs w:val="22"/>
        </w:rPr>
        <w:t xml:space="preserve">., 2025; Cammarano </w:t>
      </w:r>
      <w:r w:rsidRPr="00477B79">
        <w:rPr>
          <w:rFonts w:ascii="Arial" w:hAnsi="Arial" w:cs="Arial"/>
          <w:bCs/>
          <w:i/>
          <w:sz w:val="22"/>
          <w:szCs w:val="22"/>
        </w:rPr>
        <w:t>et al</w:t>
      </w:r>
      <w:r w:rsidRPr="00477B79">
        <w:rPr>
          <w:rFonts w:ascii="Arial" w:hAnsi="Arial" w:cs="Arial"/>
          <w:bCs/>
          <w:sz w:val="22"/>
          <w:szCs w:val="22"/>
        </w:rPr>
        <w:t xml:space="preserve">., 2022). In major processing regions like Italy and California, where production viability may significantly decline within decades, these stressors worsen biotic pressures and lower yield and quality (Cammarano </w:t>
      </w:r>
      <w:r w:rsidRPr="00477B79">
        <w:rPr>
          <w:rFonts w:ascii="Arial" w:hAnsi="Arial" w:cs="Arial"/>
          <w:bCs/>
          <w:i/>
          <w:sz w:val="22"/>
          <w:szCs w:val="22"/>
        </w:rPr>
        <w:t>et al</w:t>
      </w:r>
      <w:r w:rsidRPr="00477B79">
        <w:rPr>
          <w:rFonts w:ascii="Arial" w:hAnsi="Arial" w:cs="Arial"/>
          <w:bCs/>
          <w:sz w:val="22"/>
          <w:szCs w:val="22"/>
        </w:rPr>
        <w:t xml:space="preserve">., 2022; </w:t>
      </w:r>
      <w:proofErr w:type="spellStart"/>
      <w:r w:rsidRPr="00477B79">
        <w:rPr>
          <w:rFonts w:ascii="Arial" w:hAnsi="Arial" w:cs="Arial"/>
          <w:bCs/>
          <w:sz w:val="22"/>
          <w:szCs w:val="22"/>
        </w:rPr>
        <w:t>ClimateAi</w:t>
      </w:r>
      <w:proofErr w:type="spellEnd"/>
      <w:r w:rsidRPr="00477B79">
        <w:rPr>
          <w:rFonts w:ascii="Arial" w:hAnsi="Arial" w:cs="Arial"/>
          <w:bCs/>
          <w:sz w:val="22"/>
          <w:szCs w:val="22"/>
        </w:rPr>
        <w:t>, 2025).</w:t>
      </w:r>
    </w:p>
    <w:p w14:paraId="02D668BF" w14:textId="1253157C" w:rsidR="00A70415" w:rsidRPr="00477B79" w:rsidRDefault="00A70415" w:rsidP="00F265FC">
      <w:pPr>
        <w:spacing w:line="360" w:lineRule="auto"/>
        <w:jc w:val="both"/>
        <w:rPr>
          <w:rFonts w:ascii="Arial" w:hAnsi="Arial" w:cs="Arial"/>
          <w:bCs/>
          <w:sz w:val="22"/>
          <w:szCs w:val="22"/>
        </w:rPr>
      </w:pPr>
      <w:r w:rsidRPr="00477B79">
        <w:rPr>
          <w:rFonts w:ascii="Arial" w:hAnsi="Arial" w:cs="Arial"/>
          <w:bCs/>
          <w:sz w:val="22"/>
          <w:szCs w:val="22"/>
        </w:rPr>
        <w:t xml:space="preserve">Conventional methods of adaptive breeding are limited by the narrow genetic base of cultivated tomatoes (Juhi </w:t>
      </w:r>
      <w:r w:rsidRPr="00477B79">
        <w:rPr>
          <w:rFonts w:ascii="Arial" w:hAnsi="Arial" w:cs="Arial"/>
          <w:bCs/>
          <w:i/>
          <w:sz w:val="22"/>
          <w:szCs w:val="22"/>
        </w:rPr>
        <w:t>et al</w:t>
      </w:r>
      <w:r w:rsidRPr="00477B79">
        <w:rPr>
          <w:rFonts w:ascii="Arial" w:hAnsi="Arial" w:cs="Arial"/>
          <w:bCs/>
          <w:sz w:val="22"/>
          <w:szCs w:val="22"/>
        </w:rPr>
        <w:t xml:space="preserve">., 2019). </w:t>
      </w:r>
      <w:r w:rsidR="00BE2ACD" w:rsidRPr="00B62715">
        <w:rPr>
          <w:rFonts w:ascii="Arial" w:hAnsi="Arial" w:cs="Arial"/>
          <w:color w:val="222222"/>
          <w:highlight w:val="yellow"/>
          <w:shd w:val="clear" w:color="auto" w:fill="FFFFFF"/>
        </w:rPr>
        <w:t>Induced mutagenesis techniques available include insertional mutagenesis as well as the use of physical and chemical agents that have very diverse effects on target genomes. Insertional mutagenesis methods such as T-DNA have been successfully employed in tomato using methods such as activation tagging</w:t>
      </w:r>
      <w:r w:rsidR="00BE2ACD">
        <w:rPr>
          <w:rFonts w:ascii="Arial" w:hAnsi="Arial" w:cs="Arial"/>
          <w:color w:val="222222"/>
          <w:highlight w:val="yellow"/>
          <w:shd w:val="clear" w:color="auto" w:fill="FFFFFF"/>
        </w:rPr>
        <w:t xml:space="preserve"> (</w:t>
      </w:r>
      <w:r w:rsidR="00BE2ACD" w:rsidRPr="00A16EF9">
        <w:rPr>
          <w:rFonts w:ascii="Arial" w:hAnsi="Arial" w:cs="Arial"/>
          <w:color w:val="222222"/>
          <w:highlight w:val="yellow"/>
          <w:shd w:val="clear" w:color="auto" w:fill="FFFFFF"/>
        </w:rPr>
        <w:t>Carter</w:t>
      </w:r>
      <w:r w:rsidR="00BE2ACD">
        <w:rPr>
          <w:rFonts w:ascii="Arial" w:hAnsi="Arial" w:cs="Arial"/>
          <w:color w:val="222222"/>
          <w:highlight w:val="yellow"/>
          <w:shd w:val="clear" w:color="auto" w:fill="FFFFFF"/>
        </w:rPr>
        <w:t xml:space="preserve"> et al., 2013)</w:t>
      </w:r>
      <w:r w:rsidR="00BE2ACD" w:rsidRPr="00B62715">
        <w:rPr>
          <w:rFonts w:ascii="Arial" w:hAnsi="Arial" w:cs="Arial"/>
          <w:color w:val="222222"/>
          <w:highlight w:val="yellow"/>
          <w:shd w:val="clear" w:color="auto" w:fill="FFFFFF"/>
        </w:rPr>
        <w:t>.</w:t>
      </w:r>
      <w:r w:rsidR="00BE2ACD">
        <w:rPr>
          <w:rFonts w:ascii="Arial" w:hAnsi="Arial" w:cs="Arial"/>
          <w:color w:val="222222"/>
          <w:shd w:val="clear" w:color="auto" w:fill="FFFFFF"/>
        </w:rPr>
        <w:t xml:space="preserve"> </w:t>
      </w:r>
      <w:r w:rsidRPr="00477B79">
        <w:rPr>
          <w:rFonts w:ascii="Arial" w:hAnsi="Arial" w:cs="Arial"/>
          <w:bCs/>
          <w:sz w:val="22"/>
          <w:szCs w:val="22"/>
        </w:rPr>
        <w:t xml:space="preserve">Induced mutagenesis addresses this bottleneck by efficiently generating novel genetic variation without transgenic modifications, preserving elite backgrounds all while inducing point mutations, small insertions/deletions, or other changes (Sikora </w:t>
      </w:r>
      <w:r w:rsidRPr="00477B79">
        <w:rPr>
          <w:rFonts w:ascii="Arial" w:hAnsi="Arial" w:cs="Arial"/>
          <w:bCs/>
          <w:i/>
          <w:sz w:val="22"/>
          <w:szCs w:val="22"/>
        </w:rPr>
        <w:t>et al</w:t>
      </w:r>
      <w:r w:rsidRPr="00477B79">
        <w:rPr>
          <w:rFonts w:ascii="Arial" w:hAnsi="Arial" w:cs="Arial"/>
          <w:bCs/>
          <w:sz w:val="22"/>
          <w:szCs w:val="22"/>
        </w:rPr>
        <w:t xml:space="preserve">., 2019; Gao </w:t>
      </w:r>
      <w:r w:rsidRPr="00477B79">
        <w:rPr>
          <w:rFonts w:ascii="Arial" w:hAnsi="Arial" w:cs="Arial"/>
          <w:bCs/>
          <w:i/>
          <w:sz w:val="22"/>
          <w:szCs w:val="22"/>
        </w:rPr>
        <w:t>et al</w:t>
      </w:r>
      <w:r w:rsidRPr="00477B79">
        <w:rPr>
          <w:rFonts w:ascii="Arial" w:hAnsi="Arial" w:cs="Arial"/>
          <w:bCs/>
          <w:sz w:val="22"/>
          <w:szCs w:val="22"/>
        </w:rPr>
        <w:t xml:space="preserve">., 2023). The most popular chemical mutagen for tomatoes is still ethyl </w:t>
      </w:r>
      <w:proofErr w:type="spellStart"/>
      <w:r w:rsidRPr="00477B79">
        <w:rPr>
          <w:rFonts w:ascii="Arial" w:hAnsi="Arial" w:cs="Arial"/>
          <w:bCs/>
          <w:sz w:val="22"/>
          <w:szCs w:val="22"/>
        </w:rPr>
        <w:t>methanesulfonate</w:t>
      </w:r>
      <w:proofErr w:type="spellEnd"/>
      <w:r w:rsidRPr="00477B79">
        <w:rPr>
          <w:rFonts w:ascii="Arial" w:hAnsi="Arial" w:cs="Arial"/>
          <w:bCs/>
          <w:sz w:val="22"/>
          <w:szCs w:val="22"/>
        </w:rPr>
        <w:t xml:space="preserve"> (EMS), a strong alkylating agent that mostly causes GC→AT transitions (and some AT→GC at higher dosages) and produces high-density mutant libraries (Gao </w:t>
      </w:r>
      <w:r w:rsidRPr="00477B79">
        <w:rPr>
          <w:rFonts w:ascii="Arial" w:hAnsi="Arial" w:cs="Arial"/>
          <w:bCs/>
          <w:i/>
          <w:sz w:val="22"/>
          <w:szCs w:val="22"/>
        </w:rPr>
        <w:t>et al</w:t>
      </w:r>
      <w:r w:rsidRPr="00477B79">
        <w:rPr>
          <w:rFonts w:ascii="Arial" w:hAnsi="Arial" w:cs="Arial"/>
          <w:bCs/>
          <w:sz w:val="22"/>
          <w:szCs w:val="22"/>
        </w:rPr>
        <w:t xml:space="preserve">., 2023; Wang </w:t>
      </w:r>
      <w:r w:rsidRPr="00477B79">
        <w:rPr>
          <w:rFonts w:ascii="Arial" w:hAnsi="Arial" w:cs="Arial"/>
          <w:bCs/>
          <w:i/>
          <w:sz w:val="22"/>
          <w:szCs w:val="22"/>
        </w:rPr>
        <w:t>et al</w:t>
      </w:r>
      <w:r w:rsidRPr="00477B79">
        <w:rPr>
          <w:rFonts w:ascii="Arial" w:hAnsi="Arial" w:cs="Arial"/>
          <w:bCs/>
          <w:sz w:val="22"/>
          <w:szCs w:val="22"/>
        </w:rPr>
        <w:t xml:space="preserve">., 2025). Precise gene discovery and trait enhancement are now possible because of recent whole-genome sequencing of EMS mutagenized populations, which showed mutation densities far higher than previous estimates (up to 1 per 3 kb) (Gao </w:t>
      </w:r>
      <w:r w:rsidRPr="00477B79">
        <w:rPr>
          <w:rFonts w:ascii="Arial" w:hAnsi="Arial" w:cs="Arial"/>
          <w:bCs/>
          <w:i/>
          <w:sz w:val="22"/>
          <w:szCs w:val="22"/>
        </w:rPr>
        <w:t>et al</w:t>
      </w:r>
      <w:r w:rsidRPr="00477B79">
        <w:rPr>
          <w:rFonts w:ascii="Arial" w:hAnsi="Arial" w:cs="Arial"/>
          <w:bCs/>
          <w:sz w:val="22"/>
          <w:szCs w:val="22"/>
        </w:rPr>
        <w:t xml:space="preserve">., 2023; Wang </w:t>
      </w:r>
      <w:r w:rsidRPr="00477B79">
        <w:rPr>
          <w:rFonts w:ascii="Arial" w:hAnsi="Arial" w:cs="Arial"/>
          <w:bCs/>
          <w:i/>
          <w:sz w:val="22"/>
          <w:szCs w:val="22"/>
        </w:rPr>
        <w:t>et al</w:t>
      </w:r>
      <w:r w:rsidRPr="00477B79">
        <w:rPr>
          <w:rFonts w:ascii="Arial" w:hAnsi="Arial" w:cs="Arial"/>
          <w:bCs/>
          <w:sz w:val="22"/>
          <w:szCs w:val="22"/>
        </w:rPr>
        <w:t xml:space="preserve">., 2025). Fruit quality, stress tolerance, disease resistance (including those such as against potyviruses and </w:t>
      </w:r>
      <w:proofErr w:type="spellStart"/>
      <w:r w:rsidRPr="00477B79">
        <w:rPr>
          <w:rFonts w:ascii="Arial" w:hAnsi="Arial" w:cs="Arial"/>
          <w:bCs/>
          <w:sz w:val="22"/>
          <w:szCs w:val="22"/>
        </w:rPr>
        <w:t>Orobanche</w:t>
      </w:r>
      <w:proofErr w:type="spellEnd"/>
      <w:r w:rsidRPr="00477B79">
        <w:rPr>
          <w:rFonts w:ascii="Arial" w:hAnsi="Arial" w:cs="Arial"/>
          <w:bCs/>
          <w:sz w:val="22"/>
          <w:szCs w:val="22"/>
        </w:rPr>
        <w:t xml:space="preserve">), and morphological characteristics in tomatoes have all been successfully enhanced by EMS (Piron et al., 2010; Kostov et al., 2007; Wang et al., 2025). Combined with next-generation sequencing and mapping-by-sequencing, these approaches accelerate identification of causal mutations for targeted breeding (Sikora </w:t>
      </w:r>
      <w:r w:rsidRPr="00477B79">
        <w:rPr>
          <w:rFonts w:ascii="Arial" w:hAnsi="Arial" w:cs="Arial"/>
          <w:bCs/>
          <w:i/>
          <w:sz w:val="22"/>
          <w:szCs w:val="22"/>
        </w:rPr>
        <w:t>et al</w:t>
      </w:r>
      <w:r w:rsidRPr="00477B79">
        <w:rPr>
          <w:rFonts w:ascii="Arial" w:hAnsi="Arial" w:cs="Arial"/>
          <w:bCs/>
          <w:sz w:val="22"/>
          <w:szCs w:val="22"/>
        </w:rPr>
        <w:t>., 2019).</w:t>
      </w:r>
    </w:p>
    <w:p w14:paraId="767D1132" w14:textId="0B3ADA4C" w:rsidR="00A70415" w:rsidRPr="00477B79" w:rsidRDefault="00A70415" w:rsidP="00F265FC">
      <w:pPr>
        <w:spacing w:line="360" w:lineRule="auto"/>
        <w:jc w:val="both"/>
        <w:rPr>
          <w:rFonts w:ascii="Arial" w:hAnsi="Arial" w:cs="Arial"/>
          <w:bCs/>
          <w:sz w:val="22"/>
          <w:szCs w:val="22"/>
        </w:rPr>
      </w:pPr>
      <w:r w:rsidRPr="00477B79">
        <w:rPr>
          <w:rFonts w:ascii="Arial" w:hAnsi="Arial" w:cs="Arial"/>
          <w:bCs/>
          <w:sz w:val="22"/>
          <w:szCs w:val="22"/>
        </w:rPr>
        <w:t xml:space="preserve">Despite these advances, there are still gaps in understanding genotype-by-environment interactions for yield and morphological traits when assessing EMS-induced mutants under different field and controlled environments.  The present study addresses this by evaluating EMS-derived tomato mutants for morphological and yield-related performance under field and controlled environments. This approach is particularly timely and significant in light of the growing climate </w:t>
      </w:r>
      <w:r w:rsidRPr="00477B79">
        <w:rPr>
          <w:rFonts w:ascii="Arial" w:hAnsi="Arial" w:cs="Arial"/>
          <w:bCs/>
          <w:sz w:val="22"/>
          <w:szCs w:val="22"/>
        </w:rPr>
        <w:lastRenderedPageBreak/>
        <w:t>challenges, as it identifies resilient mutants with enhanced fruit size, pericarp thickness, locule number, and yield potential traits critical for adapting to variable conditions (</w:t>
      </w:r>
      <w:proofErr w:type="spellStart"/>
      <w:r w:rsidRPr="00477B79">
        <w:rPr>
          <w:rFonts w:ascii="Arial" w:hAnsi="Arial" w:cs="Arial"/>
          <w:bCs/>
          <w:sz w:val="22"/>
          <w:szCs w:val="22"/>
        </w:rPr>
        <w:t>Kürklü</w:t>
      </w:r>
      <w:proofErr w:type="spellEnd"/>
      <w:r w:rsidRPr="00477B79">
        <w:rPr>
          <w:rFonts w:ascii="Arial" w:hAnsi="Arial" w:cs="Arial"/>
          <w:bCs/>
          <w:sz w:val="22"/>
          <w:szCs w:val="22"/>
        </w:rPr>
        <w:t xml:space="preserve"> </w:t>
      </w:r>
      <w:r w:rsidRPr="00477B79">
        <w:rPr>
          <w:rFonts w:ascii="Arial" w:hAnsi="Arial" w:cs="Arial"/>
          <w:bCs/>
          <w:i/>
          <w:sz w:val="22"/>
          <w:szCs w:val="22"/>
        </w:rPr>
        <w:t>et al</w:t>
      </w:r>
      <w:r w:rsidRPr="00477B79">
        <w:rPr>
          <w:rFonts w:ascii="Arial" w:hAnsi="Arial" w:cs="Arial"/>
          <w:bCs/>
          <w:sz w:val="22"/>
          <w:szCs w:val="22"/>
        </w:rPr>
        <w:t xml:space="preserve">., 2025; </w:t>
      </w:r>
      <w:proofErr w:type="spellStart"/>
      <w:r w:rsidRPr="00477B79">
        <w:rPr>
          <w:rFonts w:ascii="Arial" w:hAnsi="Arial" w:cs="Arial"/>
          <w:bCs/>
          <w:sz w:val="22"/>
          <w:szCs w:val="22"/>
        </w:rPr>
        <w:t>Ayankojo</w:t>
      </w:r>
      <w:proofErr w:type="spellEnd"/>
      <w:r w:rsidRPr="00477B79">
        <w:rPr>
          <w:rFonts w:ascii="Arial" w:hAnsi="Arial" w:cs="Arial"/>
          <w:bCs/>
          <w:sz w:val="22"/>
          <w:szCs w:val="22"/>
        </w:rPr>
        <w:t xml:space="preserve"> and Morgan, 2020). By expanding genetic diversity in cultivated tomato, such mutant lines offer direct breeding value for developing climate-</w:t>
      </w:r>
      <w:r w:rsidRPr="00B62715">
        <w:rPr>
          <w:rFonts w:ascii="Arial" w:hAnsi="Arial" w:cs="Arial"/>
          <w:bCs/>
          <w:sz w:val="22"/>
          <w:szCs w:val="22"/>
          <w:highlight w:val="yellow"/>
        </w:rPr>
        <w:t xml:space="preserve">resilient, </w:t>
      </w:r>
      <w:r w:rsidR="00B62715" w:rsidRPr="00B62715">
        <w:rPr>
          <w:rFonts w:ascii="Arial" w:hAnsi="Arial" w:cs="Arial"/>
          <w:bCs/>
          <w:sz w:val="22"/>
          <w:szCs w:val="22"/>
          <w:highlight w:val="yellow"/>
        </w:rPr>
        <w:t>high</w:t>
      </w:r>
      <w:r w:rsidR="00B62715" w:rsidRPr="00B62715">
        <w:rPr>
          <w:rFonts w:ascii="Arial" w:hAnsi="Arial" w:cs="Arial"/>
          <w:bCs/>
          <w:sz w:val="22"/>
          <w:szCs w:val="22"/>
          <w:highlight w:val="yellow"/>
        </w:rPr>
        <w:t>-</w:t>
      </w:r>
      <w:r w:rsidRPr="00B62715">
        <w:rPr>
          <w:rFonts w:ascii="Arial" w:hAnsi="Arial" w:cs="Arial"/>
          <w:bCs/>
          <w:sz w:val="22"/>
          <w:szCs w:val="22"/>
          <w:highlight w:val="yellow"/>
        </w:rPr>
        <w:t>yielding varieties</w:t>
      </w:r>
      <w:r w:rsidRPr="00477B79">
        <w:rPr>
          <w:rFonts w:ascii="Arial" w:hAnsi="Arial" w:cs="Arial"/>
          <w:bCs/>
          <w:sz w:val="22"/>
          <w:szCs w:val="22"/>
        </w:rPr>
        <w:t xml:space="preserve">, supporting food security in vulnerable regions and advancing precision mutagenesis integrated with modern genomics. This work contributes novel insights into </w:t>
      </w:r>
      <w:r w:rsidR="00B62715" w:rsidRPr="00B62715">
        <w:rPr>
          <w:rFonts w:ascii="Arial" w:hAnsi="Arial" w:cs="Arial"/>
          <w:bCs/>
          <w:sz w:val="22"/>
          <w:szCs w:val="22"/>
          <w:highlight w:val="yellow"/>
        </w:rPr>
        <w:t>environment</w:t>
      </w:r>
      <w:r w:rsidR="00B62715" w:rsidRPr="00B62715">
        <w:rPr>
          <w:rFonts w:ascii="Arial" w:hAnsi="Arial" w:cs="Arial"/>
          <w:bCs/>
          <w:sz w:val="22"/>
          <w:szCs w:val="22"/>
          <w:highlight w:val="yellow"/>
        </w:rPr>
        <w:t>-</w:t>
      </w:r>
      <w:r w:rsidRPr="00477B79">
        <w:rPr>
          <w:rFonts w:ascii="Arial" w:hAnsi="Arial" w:cs="Arial"/>
          <w:bCs/>
          <w:sz w:val="22"/>
          <w:szCs w:val="22"/>
        </w:rPr>
        <w:t>specific trait expression in mutants, bridging functional genomics with applied breeding for sustainable tomato production.</w:t>
      </w:r>
    </w:p>
    <w:p w14:paraId="370992A5" w14:textId="77777777" w:rsidR="00790ADA" w:rsidRPr="00FB3A86" w:rsidRDefault="00790ADA" w:rsidP="00F265FC">
      <w:pPr>
        <w:pStyle w:val="Body"/>
        <w:spacing w:after="0" w:line="360" w:lineRule="auto"/>
        <w:rPr>
          <w:rFonts w:ascii="Arial" w:hAnsi="Arial" w:cs="Arial"/>
        </w:rPr>
      </w:pPr>
    </w:p>
    <w:p w14:paraId="054B8881" w14:textId="77777777" w:rsidR="007F7B32" w:rsidRDefault="00902823" w:rsidP="00F265FC">
      <w:pPr>
        <w:pStyle w:val="AbstHead"/>
        <w:spacing w:after="0" w:line="360" w:lineRule="auto"/>
        <w:jc w:val="both"/>
        <w:rPr>
          <w:rFonts w:ascii="Arial" w:hAnsi="Arial" w:cs="Arial"/>
        </w:rPr>
      </w:pPr>
      <w:r>
        <w:rPr>
          <w:rFonts w:ascii="Arial" w:hAnsi="Arial" w:cs="Arial"/>
        </w:rPr>
        <w:t>2. material and method</w:t>
      </w:r>
      <w:r w:rsidR="00B7197D">
        <w:rPr>
          <w:rFonts w:ascii="Arial" w:hAnsi="Arial" w:cs="Arial"/>
        </w:rPr>
        <w:t>s</w:t>
      </w:r>
    </w:p>
    <w:p w14:paraId="3DC0780F" w14:textId="77777777" w:rsidR="00790ADA" w:rsidRPr="00FB3A86" w:rsidRDefault="00790ADA" w:rsidP="00F265FC">
      <w:pPr>
        <w:pStyle w:val="AbstHead"/>
        <w:spacing w:after="0" w:line="360" w:lineRule="auto"/>
        <w:jc w:val="both"/>
        <w:rPr>
          <w:rFonts w:ascii="Arial" w:hAnsi="Arial" w:cs="Arial"/>
        </w:rPr>
      </w:pPr>
    </w:p>
    <w:p w14:paraId="1BCA9DF6" w14:textId="6BD53F7E" w:rsidR="00B7197D" w:rsidRPr="00477B79" w:rsidRDefault="00B7197D" w:rsidP="00F265FC">
      <w:pPr>
        <w:spacing w:line="360" w:lineRule="auto"/>
        <w:jc w:val="both"/>
        <w:rPr>
          <w:rFonts w:ascii="Arial" w:hAnsi="Arial" w:cs="Arial"/>
          <w:bCs/>
        </w:rPr>
      </w:pPr>
      <w:r w:rsidRPr="00477B79">
        <w:rPr>
          <w:rFonts w:ascii="Arial" w:hAnsi="Arial" w:cs="Arial"/>
          <w:bCs/>
        </w:rPr>
        <w:t xml:space="preserve">The present study was conducted using </w:t>
      </w:r>
      <w:r w:rsidR="00B62715" w:rsidRPr="00B62715">
        <w:rPr>
          <w:rStyle w:val="Strong"/>
          <w:rFonts w:ascii="Arial" w:hAnsi="Arial" w:cs="Arial"/>
          <w:bCs w:val="0"/>
          <w:highlight w:val="yellow"/>
        </w:rPr>
        <w:t>twenty</w:t>
      </w:r>
      <w:r w:rsidR="00B62715" w:rsidRPr="00B62715">
        <w:rPr>
          <w:rStyle w:val="Strong"/>
          <w:rFonts w:ascii="Arial" w:hAnsi="Arial" w:cs="Arial"/>
          <w:bCs w:val="0"/>
          <w:highlight w:val="yellow"/>
        </w:rPr>
        <w:t>-</w:t>
      </w:r>
      <w:r w:rsidRPr="00B62715">
        <w:rPr>
          <w:rStyle w:val="Strong"/>
          <w:rFonts w:ascii="Arial" w:hAnsi="Arial" w:cs="Arial"/>
          <w:bCs w:val="0"/>
          <w:highlight w:val="yellow"/>
        </w:rPr>
        <w:t>four tomato</w:t>
      </w:r>
      <w:r w:rsidRPr="00477B79">
        <w:rPr>
          <w:rStyle w:val="Strong"/>
          <w:rFonts w:ascii="Arial" w:hAnsi="Arial" w:cs="Arial"/>
          <w:bCs w:val="0"/>
        </w:rPr>
        <w:t xml:space="preserve"> (</w:t>
      </w:r>
      <w:r w:rsidRPr="00477B79">
        <w:rPr>
          <w:rStyle w:val="Emphasis"/>
          <w:rFonts w:ascii="Arial" w:eastAsiaTheme="majorEastAsia" w:hAnsi="Arial" w:cs="Arial"/>
          <w:bCs/>
        </w:rPr>
        <w:t xml:space="preserve">Solanum </w:t>
      </w:r>
      <w:proofErr w:type="spellStart"/>
      <w:r w:rsidRPr="00477B79">
        <w:rPr>
          <w:rStyle w:val="Emphasis"/>
          <w:rFonts w:ascii="Arial" w:eastAsiaTheme="majorEastAsia" w:hAnsi="Arial" w:cs="Arial"/>
          <w:bCs/>
        </w:rPr>
        <w:t>lycopersicum</w:t>
      </w:r>
      <w:proofErr w:type="spellEnd"/>
      <w:r w:rsidRPr="00477B79">
        <w:rPr>
          <w:rStyle w:val="Strong"/>
          <w:rFonts w:ascii="Arial" w:hAnsi="Arial" w:cs="Arial"/>
          <w:bCs w:val="0"/>
        </w:rPr>
        <w:t xml:space="preserve"> L.) genotypes</w:t>
      </w:r>
      <w:r w:rsidRPr="00477B79">
        <w:rPr>
          <w:rFonts w:ascii="Arial" w:hAnsi="Arial" w:cs="Arial"/>
          <w:bCs/>
        </w:rPr>
        <w:t xml:space="preserve"> (Fig. 1), comprising </w:t>
      </w:r>
      <w:proofErr w:type="gramStart"/>
      <w:r w:rsidRPr="00477B79">
        <w:rPr>
          <w:rStyle w:val="Strong"/>
          <w:rFonts w:ascii="Arial" w:hAnsi="Arial" w:cs="Arial"/>
          <w:bCs w:val="0"/>
        </w:rPr>
        <w:t>twenty one</w:t>
      </w:r>
      <w:proofErr w:type="gramEnd"/>
      <w:r w:rsidRPr="00477B79">
        <w:rPr>
          <w:rStyle w:val="Strong"/>
          <w:rFonts w:ascii="Arial" w:hAnsi="Arial" w:cs="Arial"/>
          <w:bCs w:val="0"/>
        </w:rPr>
        <w:t xml:space="preserve"> induced mutants</w:t>
      </w:r>
      <w:r w:rsidRPr="00477B79">
        <w:rPr>
          <w:rFonts w:ascii="Arial" w:hAnsi="Arial" w:cs="Arial"/>
          <w:bCs/>
        </w:rPr>
        <w:t xml:space="preserve">, their </w:t>
      </w:r>
      <w:r w:rsidRPr="00477B79">
        <w:rPr>
          <w:rStyle w:val="Strong"/>
          <w:rFonts w:ascii="Arial" w:hAnsi="Arial" w:cs="Arial"/>
          <w:bCs w:val="0"/>
        </w:rPr>
        <w:t>one parent genotype</w:t>
      </w:r>
      <w:r w:rsidRPr="00477B79">
        <w:rPr>
          <w:rFonts w:ascii="Arial" w:hAnsi="Arial" w:cs="Arial"/>
          <w:bCs/>
        </w:rPr>
        <w:t xml:space="preserve">, and </w:t>
      </w:r>
      <w:r w:rsidRPr="00477B79">
        <w:rPr>
          <w:rStyle w:val="Strong"/>
          <w:rFonts w:ascii="Arial" w:hAnsi="Arial" w:cs="Arial"/>
          <w:bCs w:val="0"/>
        </w:rPr>
        <w:t>two standard check varieties</w:t>
      </w:r>
      <w:r w:rsidRPr="00477B79">
        <w:rPr>
          <w:rFonts w:ascii="Arial" w:hAnsi="Arial" w:cs="Arial"/>
          <w:bCs/>
        </w:rPr>
        <w:t>. The aim of the study was to evaluate the degree of genetic diversity of mutants for morphological and yield-related variables. A Randomized Complete Block Design (RCBD) with three replications was used to set up the experiment. All genotypes were tested in open fields throughout the first year to evaluate how well they performed in a naturally variable environment. In order to investigate the stability and expression of morphological features under reduced environmental influence, the same set of genotypes was assessed under controlled conditions the following year. Uniform agronomic and cultural practices recommended for tomato cultivation were followed in both environments to reduce non-genetic variation. Each genotype was grown in plots of equal size, and standard crop management practices were applied throughout the growing period.</w:t>
      </w:r>
    </w:p>
    <w:p w14:paraId="471A96EC" w14:textId="77777777" w:rsidR="00B7197D" w:rsidRPr="00477B79" w:rsidRDefault="00B7197D" w:rsidP="00F265FC">
      <w:pPr>
        <w:spacing w:line="360" w:lineRule="auto"/>
        <w:jc w:val="both"/>
        <w:rPr>
          <w:rFonts w:ascii="Arial" w:hAnsi="Arial" w:cs="Arial"/>
          <w:bCs/>
        </w:rPr>
      </w:pPr>
      <w:r w:rsidRPr="00477B79">
        <w:rPr>
          <w:rFonts w:ascii="Arial" w:hAnsi="Arial" w:cs="Arial"/>
          <w:bCs/>
        </w:rPr>
        <w:t xml:space="preserve">Morphological observations were recorded on </w:t>
      </w:r>
      <w:r w:rsidRPr="002455FC">
        <w:rPr>
          <w:rStyle w:val="Strong"/>
          <w:rFonts w:ascii="Arial" w:hAnsi="Arial" w:cs="Arial"/>
          <w:b w:val="0"/>
          <w:bCs w:val="0"/>
        </w:rPr>
        <w:t>thirteen quantitative and qualitative traits</w:t>
      </w:r>
      <w:r w:rsidRPr="002455FC">
        <w:rPr>
          <w:rFonts w:ascii="Arial" w:hAnsi="Arial" w:cs="Arial"/>
          <w:b/>
          <w:bCs/>
        </w:rPr>
        <w:t xml:space="preserve">, namely </w:t>
      </w:r>
      <w:r w:rsidRPr="002455FC">
        <w:rPr>
          <w:rStyle w:val="Strong"/>
          <w:rFonts w:ascii="Arial" w:hAnsi="Arial" w:cs="Arial"/>
          <w:b w:val="0"/>
          <w:bCs w:val="0"/>
        </w:rPr>
        <w:t>plant height (cm), plant width (cm), plant growth type</w:t>
      </w:r>
      <w:r w:rsidRPr="002455FC">
        <w:rPr>
          <w:rFonts w:ascii="Arial" w:hAnsi="Arial" w:cs="Arial"/>
          <w:b/>
          <w:bCs/>
        </w:rPr>
        <w:t xml:space="preserve">, </w:t>
      </w:r>
      <w:r w:rsidRPr="002455FC">
        <w:rPr>
          <w:rStyle w:val="Strong"/>
          <w:rFonts w:ascii="Arial" w:hAnsi="Arial" w:cs="Arial"/>
          <w:b w:val="0"/>
          <w:bCs w:val="0"/>
        </w:rPr>
        <w:t>presence or absence of green shoulder tips on large fruits</w:t>
      </w:r>
      <w:r w:rsidRPr="002455FC">
        <w:rPr>
          <w:rFonts w:ascii="Arial" w:hAnsi="Arial" w:cs="Arial"/>
          <w:b/>
          <w:bCs/>
        </w:rPr>
        <w:t xml:space="preserve">, </w:t>
      </w:r>
      <w:r w:rsidRPr="002455FC">
        <w:rPr>
          <w:rStyle w:val="Strong"/>
          <w:rFonts w:ascii="Arial" w:hAnsi="Arial" w:cs="Arial"/>
          <w:b w:val="0"/>
          <w:bCs w:val="0"/>
        </w:rPr>
        <w:t>fruit color</w:t>
      </w:r>
      <w:r w:rsidRPr="002455FC">
        <w:rPr>
          <w:rFonts w:ascii="Arial" w:hAnsi="Arial" w:cs="Arial"/>
          <w:b/>
          <w:bCs/>
        </w:rPr>
        <w:t xml:space="preserve">, </w:t>
      </w:r>
      <w:r w:rsidRPr="002455FC">
        <w:rPr>
          <w:rStyle w:val="Strong"/>
          <w:rFonts w:ascii="Arial" w:hAnsi="Arial" w:cs="Arial"/>
          <w:b w:val="0"/>
          <w:bCs w:val="0"/>
        </w:rPr>
        <w:t>predominant fruit shape</w:t>
      </w:r>
      <w:r w:rsidRPr="002455FC">
        <w:rPr>
          <w:rFonts w:ascii="Arial" w:hAnsi="Arial" w:cs="Arial"/>
          <w:b/>
          <w:bCs/>
        </w:rPr>
        <w:t xml:space="preserve">, </w:t>
      </w:r>
      <w:r w:rsidRPr="002455FC">
        <w:rPr>
          <w:rStyle w:val="Strong"/>
          <w:rFonts w:ascii="Arial" w:hAnsi="Arial" w:cs="Arial"/>
          <w:b w:val="0"/>
          <w:bCs w:val="0"/>
        </w:rPr>
        <w:t>fruit weight (g)</w:t>
      </w:r>
      <w:r w:rsidRPr="002455FC">
        <w:rPr>
          <w:rFonts w:ascii="Arial" w:hAnsi="Arial" w:cs="Arial"/>
          <w:b/>
          <w:bCs/>
        </w:rPr>
        <w:t xml:space="preserve">, </w:t>
      </w:r>
      <w:r w:rsidRPr="002455FC">
        <w:rPr>
          <w:rStyle w:val="Strong"/>
          <w:rFonts w:ascii="Arial" w:hAnsi="Arial" w:cs="Arial"/>
          <w:b w:val="0"/>
          <w:bCs w:val="0"/>
        </w:rPr>
        <w:t>fruit length (cm)</w:t>
      </w:r>
      <w:r w:rsidRPr="002455FC">
        <w:rPr>
          <w:rFonts w:ascii="Arial" w:hAnsi="Arial" w:cs="Arial"/>
          <w:b/>
          <w:bCs/>
        </w:rPr>
        <w:t xml:space="preserve">, </w:t>
      </w:r>
      <w:r w:rsidRPr="002455FC">
        <w:rPr>
          <w:rStyle w:val="Strong"/>
          <w:rFonts w:ascii="Arial" w:hAnsi="Arial" w:cs="Arial"/>
          <w:b w:val="0"/>
          <w:bCs w:val="0"/>
        </w:rPr>
        <w:t>fruit width (cm)</w:t>
      </w:r>
      <w:r w:rsidRPr="002455FC">
        <w:rPr>
          <w:rFonts w:ascii="Arial" w:hAnsi="Arial" w:cs="Arial"/>
          <w:b/>
          <w:bCs/>
        </w:rPr>
        <w:t xml:space="preserve">, </w:t>
      </w:r>
      <w:r w:rsidRPr="002455FC">
        <w:rPr>
          <w:rStyle w:val="Strong"/>
          <w:rFonts w:ascii="Arial" w:hAnsi="Arial" w:cs="Arial"/>
          <w:b w:val="0"/>
          <w:bCs w:val="0"/>
        </w:rPr>
        <w:t>number of days to 50% flowering</w:t>
      </w:r>
      <w:r w:rsidRPr="002455FC">
        <w:rPr>
          <w:rFonts w:ascii="Arial" w:hAnsi="Arial" w:cs="Arial"/>
          <w:b/>
          <w:bCs/>
        </w:rPr>
        <w:t xml:space="preserve">, </w:t>
      </w:r>
      <w:r w:rsidRPr="002455FC">
        <w:rPr>
          <w:rStyle w:val="Strong"/>
          <w:rFonts w:ascii="Arial" w:hAnsi="Arial" w:cs="Arial"/>
          <w:b w:val="0"/>
          <w:bCs w:val="0"/>
        </w:rPr>
        <w:t>number of locules per fruit</w:t>
      </w:r>
      <w:r w:rsidRPr="002455FC">
        <w:rPr>
          <w:rFonts w:ascii="Arial" w:hAnsi="Arial" w:cs="Arial"/>
          <w:b/>
          <w:bCs/>
        </w:rPr>
        <w:t xml:space="preserve">, </w:t>
      </w:r>
      <w:r w:rsidRPr="002455FC">
        <w:rPr>
          <w:rStyle w:val="Strong"/>
          <w:rFonts w:ascii="Arial" w:hAnsi="Arial" w:cs="Arial"/>
          <w:b w:val="0"/>
          <w:bCs w:val="0"/>
        </w:rPr>
        <w:t>pericarp thickness (mm)</w:t>
      </w:r>
      <w:r w:rsidRPr="002455FC">
        <w:rPr>
          <w:rFonts w:ascii="Arial" w:hAnsi="Arial" w:cs="Arial"/>
          <w:b/>
          <w:bCs/>
        </w:rPr>
        <w:t xml:space="preserve">, and </w:t>
      </w:r>
      <w:r w:rsidRPr="002455FC">
        <w:rPr>
          <w:rStyle w:val="Strong"/>
          <w:rFonts w:ascii="Arial" w:hAnsi="Arial" w:cs="Arial"/>
          <w:b w:val="0"/>
          <w:bCs w:val="0"/>
        </w:rPr>
        <w:t>fruit yield per plant (kg)</w:t>
      </w:r>
      <w:r w:rsidRPr="002455FC">
        <w:rPr>
          <w:rFonts w:ascii="Arial" w:hAnsi="Arial" w:cs="Arial"/>
          <w:b/>
          <w:bCs/>
        </w:rPr>
        <w:t xml:space="preserve">. Data for quantitative traits were recorded from </w:t>
      </w:r>
      <w:r w:rsidRPr="002455FC">
        <w:rPr>
          <w:rStyle w:val="Strong"/>
          <w:rFonts w:ascii="Arial" w:hAnsi="Arial" w:cs="Arial"/>
          <w:b w:val="0"/>
          <w:bCs w:val="0"/>
        </w:rPr>
        <w:t>five randomly selected plants per genotype per replication</w:t>
      </w:r>
      <w:r w:rsidRPr="00477B79">
        <w:rPr>
          <w:rFonts w:ascii="Arial" w:hAnsi="Arial" w:cs="Arial"/>
          <w:bCs/>
        </w:rPr>
        <w:t>, and the mean values were used for statistical analysis. Qualitative traits were recorded based on visual observation using standard descriptors.</w:t>
      </w:r>
    </w:p>
    <w:p w14:paraId="621CAA2F" w14:textId="77777777" w:rsidR="00994396" w:rsidRPr="00B7197D" w:rsidRDefault="00994396" w:rsidP="00F265FC">
      <w:pPr>
        <w:spacing w:line="360" w:lineRule="auto"/>
        <w:jc w:val="both"/>
        <w:rPr>
          <w:rFonts w:ascii="Arial" w:hAnsi="Arial" w:cs="Arial"/>
          <w:b/>
        </w:rPr>
      </w:pPr>
    </w:p>
    <w:p w14:paraId="00B9ADBC" w14:textId="77777777" w:rsidR="00B7197D" w:rsidRPr="00994396" w:rsidRDefault="00B7197D" w:rsidP="00F265FC">
      <w:pPr>
        <w:spacing w:line="360" w:lineRule="auto"/>
        <w:jc w:val="both"/>
        <w:rPr>
          <w:rFonts w:ascii="Arial" w:hAnsi="Arial" w:cs="Arial"/>
          <w:b/>
          <w:sz w:val="22"/>
        </w:rPr>
      </w:pPr>
      <w:r w:rsidRPr="00994396">
        <w:rPr>
          <w:rStyle w:val="Strong"/>
          <w:rFonts w:ascii="Arial" w:hAnsi="Arial" w:cs="Arial"/>
          <w:sz w:val="22"/>
        </w:rPr>
        <w:t>Statistical Analysis</w:t>
      </w:r>
    </w:p>
    <w:p w14:paraId="6E4AC4E9" w14:textId="0B5AD708" w:rsidR="00B7197D" w:rsidRPr="00477B79" w:rsidRDefault="00B7197D" w:rsidP="00F265FC">
      <w:pPr>
        <w:spacing w:line="360" w:lineRule="auto"/>
        <w:jc w:val="both"/>
        <w:rPr>
          <w:rFonts w:ascii="Arial" w:hAnsi="Arial" w:cs="Arial"/>
          <w:bCs/>
        </w:rPr>
      </w:pPr>
      <w:r w:rsidRPr="00477B79">
        <w:rPr>
          <w:rFonts w:ascii="Arial" w:hAnsi="Arial" w:cs="Arial"/>
          <w:bCs/>
        </w:rPr>
        <w:lastRenderedPageBreak/>
        <w:t>To determine the significance of genotype differences, the recorded data were subjected to analysis of variance (ANOVA). The variability package in R software</w:t>
      </w:r>
      <w:r w:rsidR="001F33BC">
        <w:rPr>
          <w:rFonts w:ascii="Arial" w:hAnsi="Arial" w:cs="Arial"/>
          <w:bCs/>
        </w:rPr>
        <w:t xml:space="preserve"> (</w:t>
      </w:r>
      <w:proofErr w:type="spellStart"/>
      <w:r w:rsidR="001F33BC" w:rsidRPr="001F33BC">
        <w:rPr>
          <w:bCs/>
          <w:highlight w:val="yellow"/>
        </w:rPr>
        <w:t>Popat</w:t>
      </w:r>
      <w:proofErr w:type="spellEnd"/>
      <w:r w:rsidR="001F33BC">
        <w:rPr>
          <w:bCs/>
          <w:highlight w:val="yellow"/>
        </w:rPr>
        <w:t xml:space="preserve"> et al., 2020</w:t>
      </w:r>
      <w:r w:rsidR="001F33BC">
        <w:rPr>
          <w:rFonts w:ascii="Arial" w:hAnsi="Arial" w:cs="Arial"/>
          <w:bCs/>
        </w:rPr>
        <w:t>)</w:t>
      </w:r>
      <w:r w:rsidRPr="00477B79">
        <w:rPr>
          <w:rFonts w:ascii="Arial" w:hAnsi="Arial" w:cs="Arial"/>
          <w:bCs/>
        </w:rPr>
        <w:t xml:space="preserve"> was used to carry out the analysis of variance (ANOVA), and the significance of genotypic effects was examined at 1% and 5% probability levels. The ANOVA was used to determine variance components, such as genotypic variance (σ²g), phenotypic variance (σ²p), and environmental variance (σ²e). The genotypic coefficient of variation (GCV), phenotypic coefficient of variation (PCV), and environmental coefficient of variation (ECV) were calculated using these elements. The efficiency of selection </w:t>
      </w:r>
      <w:r w:rsidRPr="006374DE">
        <w:rPr>
          <w:rFonts w:ascii="Arial" w:hAnsi="Arial" w:cs="Arial"/>
          <w:bCs/>
        </w:rPr>
        <w:t xml:space="preserve">was evaluated by estimating broad-sense heritability (h²) and calculating genetic advance (GA) and genetic advance as a percentage of the mean (GAM). Descriptive statistics such as </w:t>
      </w:r>
      <w:r w:rsidRPr="006374DE">
        <w:rPr>
          <w:rStyle w:val="Strong"/>
          <w:rFonts w:ascii="Arial" w:hAnsi="Arial" w:cs="Arial"/>
          <w:b w:val="0"/>
          <w:bCs w:val="0"/>
        </w:rPr>
        <w:t>range, mean, standard deviation, and coefficient of variation</w:t>
      </w:r>
      <w:r w:rsidRPr="006374DE">
        <w:rPr>
          <w:rFonts w:ascii="Arial" w:hAnsi="Arial" w:cs="Arial"/>
          <w:bCs/>
        </w:rPr>
        <w:t xml:space="preserve"> were also computed to quantify</w:t>
      </w:r>
      <w:r w:rsidRPr="00477B79">
        <w:rPr>
          <w:rFonts w:ascii="Arial" w:hAnsi="Arial" w:cs="Arial"/>
          <w:bCs/>
        </w:rPr>
        <w:t xml:space="preserve"> variability among genotypes.</w:t>
      </w:r>
    </w:p>
    <w:p w14:paraId="457100A7" w14:textId="77777777" w:rsidR="00994396" w:rsidRPr="00477B79" w:rsidRDefault="00994396" w:rsidP="00F265FC">
      <w:pPr>
        <w:spacing w:line="360" w:lineRule="auto"/>
        <w:jc w:val="both"/>
        <w:rPr>
          <w:rFonts w:ascii="Arial" w:hAnsi="Arial" w:cs="Arial"/>
          <w:bCs/>
        </w:rPr>
      </w:pPr>
    </w:p>
    <w:p w14:paraId="1B32DC2A" w14:textId="77777777" w:rsidR="00B7197D" w:rsidRPr="00994396" w:rsidRDefault="00B7197D" w:rsidP="00F265FC">
      <w:pPr>
        <w:spacing w:line="360" w:lineRule="auto"/>
        <w:jc w:val="both"/>
        <w:rPr>
          <w:rFonts w:ascii="Arial" w:hAnsi="Arial" w:cs="Arial"/>
          <w:b/>
          <w:sz w:val="22"/>
        </w:rPr>
      </w:pPr>
      <w:r w:rsidRPr="00994396">
        <w:rPr>
          <w:rStyle w:val="Strong"/>
          <w:rFonts w:ascii="Arial" w:hAnsi="Arial" w:cs="Arial"/>
          <w:sz w:val="22"/>
        </w:rPr>
        <w:t>Multivariate Analysis</w:t>
      </w:r>
    </w:p>
    <w:p w14:paraId="0934F467" w14:textId="77777777" w:rsidR="00B7197D" w:rsidRPr="00477B79" w:rsidRDefault="00B7197D" w:rsidP="00F265FC">
      <w:pPr>
        <w:spacing w:line="360" w:lineRule="auto"/>
        <w:jc w:val="both"/>
        <w:rPr>
          <w:rFonts w:ascii="Arial" w:hAnsi="Arial" w:cs="Arial"/>
          <w:bCs/>
        </w:rPr>
      </w:pPr>
      <w:r w:rsidRPr="00477B79">
        <w:rPr>
          <w:rFonts w:ascii="Arial" w:hAnsi="Arial" w:cs="Arial"/>
          <w:bCs/>
        </w:rPr>
        <w:t xml:space="preserve">To assess genetic diversity and relationships </w:t>
      </w:r>
      <w:r w:rsidRPr="006374DE">
        <w:rPr>
          <w:rFonts w:ascii="Arial" w:hAnsi="Arial" w:cs="Arial"/>
          <w:bCs/>
        </w:rPr>
        <w:t>among traits and genotypes</w:t>
      </w:r>
      <w:r w:rsidRPr="006374DE">
        <w:rPr>
          <w:rFonts w:ascii="Arial" w:hAnsi="Arial" w:cs="Arial"/>
          <w:b/>
          <w:bCs/>
        </w:rPr>
        <w:t xml:space="preserve">, </w:t>
      </w:r>
      <w:r w:rsidRPr="006374DE">
        <w:rPr>
          <w:rStyle w:val="Strong"/>
          <w:rFonts w:ascii="Arial" w:hAnsi="Arial" w:cs="Arial"/>
          <w:b w:val="0"/>
          <w:bCs w:val="0"/>
        </w:rPr>
        <w:t>Principal Component Analysis (PCA)</w:t>
      </w:r>
      <w:r w:rsidRPr="006374DE">
        <w:rPr>
          <w:rFonts w:ascii="Arial" w:hAnsi="Arial" w:cs="Arial"/>
          <w:b/>
          <w:bCs/>
        </w:rPr>
        <w:t xml:space="preserve"> and </w:t>
      </w:r>
      <w:r w:rsidRPr="006374DE">
        <w:rPr>
          <w:rStyle w:val="Strong"/>
          <w:rFonts w:ascii="Arial" w:hAnsi="Arial" w:cs="Arial"/>
          <w:b w:val="0"/>
          <w:bCs w:val="0"/>
        </w:rPr>
        <w:t>Euclidean cluster analysis</w:t>
      </w:r>
      <w:r w:rsidRPr="006374DE">
        <w:rPr>
          <w:rFonts w:ascii="Arial" w:hAnsi="Arial" w:cs="Arial"/>
          <w:b/>
          <w:bCs/>
        </w:rPr>
        <w:t xml:space="preserve"> </w:t>
      </w:r>
      <w:r w:rsidRPr="006374DE">
        <w:rPr>
          <w:rFonts w:ascii="Arial" w:hAnsi="Arial" w:cs="Arial"/>
          <w:bCs/>
        </w:rPr>
        <w:t>were performed using</w:t>
      </w:r>
      <w:r w:rsidRPr="006374DE">
        <w:rPr>
          <w:rFonts w:ascii="Arial" w:hAnsi="Arial" w:cs="Arial"/>
          <w:b/>
          <w:bCs/>
        </w:rPr>
        <w:t xml:space="preserve"> </w:t>
      </w:r>
      <w:r w:rsidRPr="006374DE">
        <w:rPr>
          <w:rStyle w:val="Strong"/>
          <w:rFonts w:ascii="Arial" w:hAnsi="Arial" w:cs="Arial"/>
          <w:b w:val="0"/>
          <w:bCs w:val="0"/>
        </w:rPr>
        <w:t>R Studio</w:t>
      </w:r>
      <w:r w:rsidRPr="006374DE">
        <w:rPr>
          <w:rFonts w:ascii="Arial" w:hAnsi="Arial" w:cs="Arial"/>
          <w:b/>
          <w:bCs/>
        </w:rPr>
        <w:t xml:space="preserve"> </w:t>
      </w:r>
      <w:r w:rsidRPr="006374DE">
        <w:rPr>
          <w:rFonts w:ascii="Arial" w:hAnsi="Arial" w:cs="Arial"/>
          <w:bCs/>
        </w:rPr>
        <w:t>based on morphological and yield-related traits</w:t>
      </w:r>
      <w:r w:rsidRPr="006374DE">
        <w:rPr>
          <w:rFonts w:ascii="Arial" w:hAnsi="Arial" w:cs="Arial"/>
          <w:b/>
          <w:bCs/>
        </w:rPr>
        <w:t>.</w:t>
      </w:r>
      <w:r w:rsidRPr="00477B79">
        <w:rPr>
          <w:rFonts w:ascii="Arial" w:hAnsi="Arial" w:cs="Arial"/>
          <w:bCs/>
        </w:rPr>
        <w:t xml:space="preserve"> Eigenvalues and eigenvectors obtained from PCA were used to identify the principal components contributing most to total phenotypic variation. Principal components with </w:t>
      </w:r>
      <w:r w:rsidRPr="00477B79">
        <w:rPr>
          <w:rStyle w:val="Strong"/>
          <w:rFonts w:ascii="Arial" w:hAnsi="Arial" w:cs="Arial"/>
          <w:bCs w:val="0"/>
        </w:rPr>
        <w:t>eigenvalues greater than unity</w:t>
      </w:r>
      <w:r w:rsidRPr="00477B79">
        <w:rPr>
          <w:rFonts w:ascii="Arial" w:hAnsi="Arial" w:cs="Arial"/>
          <w:bCs/>
        </w:rPr>
        <w:t xml:space="preserve"> were considered significant and retained for interpretation, following the criteria proposed by </w:t>
      </w:r>
      <w:r w:rsidRPr="00477B79">
        <w:rPr>
          <w:rStyle w:val="Strong"/>
          <w:rFonts w:ascii="Arial" w:hAnsi="Arial" w:cs="Arial"/>
          <w:bCs w:val="0"/>
        </w:rPr>
        <w:t>Kovach (1994)</w:t>
      </w:r>
      <w:r w:rsidRPr="00477B79">
        <w:rPr>
          <w:rFonts w:ascii="Arial" w:hAnsi="Arial" w:cs="Arial"/>
          <w:bCs/>
        </w:rPr>
        <w:t xml:space="preserve"> and </w:t>
      </w:r>
      <w:r w:rsidRPr="00477B79">
        <w:rPr>
          <w:rStyle w:val="Strong"/>
          <w:rFonts w:ascii="Arial" w:hAnsi="Arial" w:cs="Arial"/>
          <w:bCs w:val="0"/>
        </w:rPr>
        <w:t>Mohammadi and Prasanna (2003)</w:t>
      </w:r>
      <w:r w:rsidRPr="00477B79">
        <w:rPr>
          <w:rFonts w:ascii="Arial" w:hAnsi="Arial" w:cs="Arial"/>
          <w:bCs/>
        </w:rPr>
        <w:t xml:space="preserve">. The distribution of genotypes and interrelationships among traits were visualized using a </w:t>
      </w:r>
      <w:r w:rsidRPr="00477B79">
        <w:rPr>
          <w:rStyle w:val="Strong"/>
          <w:rFonts w:ascii="Arial" w:hAnsi="Arial" w:cs="Arial"/>
          <w:bCs w:val="0"/>
        </w:rPr>
        <w:t>biplot</w:t>
      </w:r>
      <w:r w:rsidRPr="00477B79">
        <w:rPr>
          <w:rFonts w:ascii="Arial" w:hAnsi="Arial" w:cs="Arial"/>
          <w:bCs/>
        </w:rPr>
        <w:t>, enabling graphical interpretation of multivariate patterns under field and controlled conditions.</w:t>
      </w:r>
    </w:p>
    <w:p w14:paraId="4F90CF49" w14:textId="77777777" w:rsidR="00790ADA" w:rsidRPr="00477B79" w:rsidRDefault="00790ADA" w:rsidP="00F265FC">
      <w:pPr>
        <w:pStyle w:val="Body"/>
        <w:spacing w:after="0" w:line="360" w:lineRule="auto"/>
        <w:rPr>
          <w:rFonts w:ascii="Arial" w:hAnsi="Arial" w:cs="Arial"/>
          <w:bCs/>
        </w:rPr>
      </w:pPr>
    </w:p>
    <w:p w14:paraId="016D0262" w14:textId="77777777" w:rsidR="00902823" w:rsidRDefault="00000F8F" w:rsidP="00F265FC">
      <w:pPr>
        <w:pStyle w:val="Head1"/>
        <w:spacing w:after="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E011B6E" w14:textId="77777777" w:rsidR="00790ADA" w:rsidRPr="00FB3A86" w:rsidRDefault="00790ADA" w:rsidP="00F265FC">
      <w:pPr>
        <w:pStyle w:val="Head1"/>
        <w:spacing w:after="0" w:line="360" w:lineRule="auto"/>
        <w:jc w:val="both"/>
        <w:rPr>
          <w:rFonts w:ascii="Arial" w:hAnsi="Arial" w:cs="Arial"/>
        </w:rPr>
      </w:pPr>
    </w:p>
    <w:p w14:paraId="1B861CC9" w14:textId="77777777" w:rsidR="007E723C" w:rsidRPr="007E723C" w:rsidRDefault="007E723C" w:rsidP="00F265FC">
      <w:pPr>
        <w:spacing w:line="360" w:lineRule="auto"/>
        <w:jc w:val="both"/>
        <w:rPr>
          <w:rFonts w:ascii="Arial" w:hAnsi="Arial" w:cs="Arial"/>
          <w:b/>
        </w:rPr>
      </w:pPr>
      <w:r w:rsidRPr="007E723C">
        <w:rPr>
          <w:rStyle w:val="Strong"/>
          <w:rFonts w:ascii="Arial" w:hAnsi="Arial" w:cs="Arial"/>
        </w:rPr>
        <w:t>Analysis of Variance</w:t>
      </w:r>
    </w:p>
    <w:p w14:paraId="030B1773"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For every morphological and yield-related trait examined, the analysis of variance (ANOVA) showed highly significant differences (p &lt; 0.001) among genotypes (Table 1), demonstrating the tremendous genetic variability present in the experimental material. Fruit size parameters, plant architecture, and yield components are only a few of the variables where significant genotypic impacts have been found. This indicates that there is a lot of potential for efficient selection and genetic improvement. The lack of significant replication effects for the majority of traits further supports the consistency of management procedures and the sufficiency of experimental precision. Pathak </w:t>
      </w:r>
      <w:r w:rsidRPr="00477B79">
        <w:rPr>
          <w:rFonts w:ascii="Arial" w:hAnsi="Arial" w:cs="Arial"/>
          <w:bCs/>
          <w:i/>
        </w:rPr>
        <w:t>et al</w:t>
      </w:r>
      <w:r w:rsidRPr="00477B79">
        <w:rPr>
          <w:rFonts w:ascii="Arial" w:hAnsi="Arial" w:cs="Arial"/>
          <w:bCs/>
        </w:rPr>
        <w:t xml:space="preserve">. (2024) and Dar and Sharma (2011) have </w:t>
      </w:r>
      <w:r w:rsidRPr="00477B79">
        <w:rPr>
          <w:rFonts w:ascii="Arial" w:hAnsi="Arial" w:cs="Arial"/>
          <w:bCs/>
        </w:rPr>
        <w:lastRenderedPageBreak/>
        <w:t>reported similar findings of relatively significant genotypic variation among tomato germplasm, underscoring the significance of genetic variety as a requirement for crop improvement.</w:t>
      </w:r>
    </w:p>
    <w:p w14:paraId="5B8F54BE" w14:textId="77777777" w:rsidR="00994396" w:rsidRPr="007E723C" w:rsidRDefault="00994396" w:rsidP="00F265FC">
      <w:pPr>
        <w:spacing w:line="360" w:lineRule="auto"/>
        <w:jc w:val="both"/>
        <w:rPr>
          <w:rFonts w:ascii="Arial" w:hAnsi="Arial" w:cs="Arial"/>
          <w:b/>
        </w:rPr>
      </w:pPr>
    </w:p>
    <w:p w14:paraId="24B2DF2F" w14:textId="77777777" w:rsidR="007E723C" w:rsidRDefault="007E723C" w:rsidP="00F265FC">
      <w:pPr>
        <w:spacing w:line="360" w:lineRule="auto"/>
        <w:jc w:val="both"/>
        <w:rPr>
          <w:rStyle w:val="Strong"/>
          <w:rFonts w:ascii="Arial" w:hAnsi="Arial" w:cs="Arial"/>
          <w:sz w:val="22"/>
        </w:rPr>
      </w:pPr>
      <w:r w:rsidRPr="00994396">
        <w:rPr>
          <w:rStyle w:val="Strong"/>
          <w:rFonts w:ascii="Arial" w:hAnsi="Arial" w:cs="Arial"/>
          <w:sz w:val="22"/>
        </w:rPr>
        <w:t>Morphological and Yield Traits</w:t>
      </w:r>
    </w:p>
    <w:p w14:paraId="7D28D69A" w14:textId="77777777" w:rsidR="00994396" w:rsidRPr="00994396" w:rsidRDefault="00994396" w:rsidP="00F265FC">
      <w:pPr>
        <w:spacing w:line="360" w:lineRule="auto"/>
        <w:jc w:val="both"/>
        <w:rPr>
          <w:rStyle w:val="Strong"/>
          <w:rFonts w:ascii="Arial" w:hAnsi="Arial" w:cs="Arial"/>
          <w:bCs w:val="0"/>
          <w:sz w:val="22"/>
        </w:rPr>
      </w:pPr>
    </w:p>
    <w:p w14:paraId="22BDCB8E" w14:textId="49753B4B" w:rsidR="007E723C" w:rsidRPr="00477B79" w:rsidRDefault="007E723C" w:rsidP="00F265FC">
      <w:pPr>
        <w:spacing w:line="360" w:lineRule="auto"/>
        <w:jc w:val="both"/>
        <w:rPr>
          <w:rFonts w:ascii="Arial" w:hAnsi="Arial" w:cs="Arial"/>
          <w:bCs/>
        </w:rPr>
      </w:pPr>
      <w:r w:rsidRPr="00477B79">
        <w:rPr>
          <w:rFonts w:ascii="Arial" w:hAnsi="Arial" w:cs="Arial"/>
          <w:bCs/>
        </w:rPr>
        <w:t>Fruit weight had the greatest F-value (74.05) of all the variables examined, followed by fruit length, plant height, pericarp thickness, and yield per plant, all of which showed strong genetic influence. For fruit weight and yield per plant, high F-values and large genotypic mean squares indicate that these parameters are mostly controlled by genetic determinants and are less affected by environmental variation.</w:t>
      </w:r>
      <w:r w:rsidRPr="00477B79">
        <w:rPr>
          <w:rFonts w:ascii="Arial" w:hAnsi="Arial" w:cs="Arial"/>
          <w:bCs/>
        </w:rPr>
        <w:br/>
        <w:t xml:space="preserve">In line with earlier findings by Jiang </w:t>
      </w:r>
      <w:r w:rsidRPr="00477B79">
        <w:rPr>
          <w:rFonts w:ascii="Arial" w:hAnsi="Arial" w:cs="Arial"/>
          <w:bCs/>
          <w:i/>
        </w:rPr>
        <w:t>et al</w:t>
      </w:r>
      <w:r w:rsidRPr="00477B79">
        <w:rPr>
          <w:rFonts w:ascii="Arial" w:hAnsi="Arial" w:cs="Arial"/>
          <w:bCs/>
        </w:rPr>
        <w:t xml:space="preserve">. (2024), who reported large genotype-dependent variation for fruit dimensions in tomatoes, fruit size </w:t>
      </w:r>
      <w:r w:rsidRPr="00B62715">
        <w:rPr>
          <w:rFonts w:ascii="Arial" w:hAnsi="Arial" w:cs="Arial"/>
          <w:bCs/>
          <w:highlight w:val="yellow"/>
        </w:rPr>
        <w:t xml:space="preserve">parameters such </w:t>
      </w:r>
      <w:r w:rsidR="00B62715" w:rsidRPr="00B62715">
        <w:rPr>
          <w:rFonts w:ascii="Arial" w:hAnsi="Arial" w:cs="Arial"/>
          <w:bCs/>
          <w:highlight w:val="yellow"/>
        </w:rPr>
        <w:t xml:space="preserve">as </w:t>
      </w:r>
      <w:r w:rsidRPr="00B62715">
        <w:rPr>
          <w:rFonts w:ascii="Arial" w:hAnsi="Arial" w:cs="Arial"/>
          <w:bCs/>
          <w:highlight w:val="yellow"/>
        </w:rPr>
        <w:t>fruit length</w:t>
      </w:r>
      <w:r w:rsidRPr="00477B79">
        <w:rPr>
          <w:rFonts w:ascii="Arial" w:hAnsi="Arial" w:cs="Arial"/>
          <w:bCs/>
        </w:rPr>
        <w:t xml:space="preserve"> and diameter showed highly significant genotypic impacts. Additionally, yield per plant showed a high F-value and a very high genotypic sum of squares, </w:t>
      </w:r>
      <w:r w:rsidRPr="00B62715">
        <w:rPr>
          <w:rFonts w:ascii="Arial" w:hAnsi="Arial" w:cs="Arial"/>
          <w:bCs/>
          <w:highlight w:val="yellow"/>
        </w:rPr>
        <w:t xml:space="preserve">confirming </w:t>
      </w:r>
      <w:r w:rsidR="00B62715" w:rsidRPr="00B62715">
        <w:rPr>
          <w:rFonts w:ascii="Arial" w:hAnsi="Arial" w:cs="Arial"/>
          <w:bCs/>
          <w:highlight w:val="yellow"/>
        </w:rPr>
        <w:t>it</w:t>
      </w:r>
      <w:r w:rsidRPr="00B62715">
        <w:rPr>
          <w:rFonts w:ascii="Arial" w:hAnsi="Arial" w:cs="Arial"/>
          <w:bCs/>
          <w:highlight w:val="yellow"/>
        </w:rPr>
        <w:t xml:space="preserve">s potential for </w:t>
      </w:r>
      <w:r w:rsidR="00B62715" w:rsidRPr="00B62715">
        <w:rPr>
          <w:rFonts w:ascii="Arial" w:hAnsi="Arial" w:cs="Arial"/>
          <w:bCs/>
          <w:highlight w:val="yellow"/>
        </w:rPr>
        <w:t>selection</w:t>
      </w:r>
      <w:r w:rsidR="00B62715" w:rsidRPr="00B62715">
        <w:rPr>
          <w:rFonts w:ascii="Arial" w:hAnsi="Arial" w:cs="Arial"/>
          <w:bCs/>
          <w:highlight w:val="yellow"/>
        </w:rPr>
        <w:t>-</w:t>
      </w:r>
      <w:r w:rsidRPr="00B62715">
        <w:rPr>
          <w:rFonts w:ascii="Arial" w:hAnsi="Arial" w:cs="Arial"/>
          <w:bCs/>
          <w:highlight w:val="yellow"/>
        </w:rPr>
        <w:t>based enhancement. Similar findings have been re</w:t>
      </w:r>
      <w:r w:rsidRPr="00477B79">
        <w:rPr>
          <w:rFonts w:ascii="Arial" w:hAnsi="Arial" w:cs="Arial"/>
          <w:bCs/>
        </w:rPr>
        <w:t xml:space="preserve">ported by Zhang and Hussain (2024) and Kang </w:t>
      </w:r>
      <w:r w:rsidRPr="00477B79">
        <w:rPr>
          <w:rFonts w:ascii="Arial" w:hAnsi="Arial" w:cs="Arial"/>
          <w:bCs/>
          <w:i/>
        </w:rPr>
        <w:t>et al</w:t>
      </w:r>
      <w:r w:rsidRPr="00477B79">
        <w:rPr>
          <w:rFonts w:ascii="Arial" w:hAnsi="Arial" w:cs="Arial"/>
          <w:bCs/>
        </w:rPr>
        <w:t xml:space="preserve">. (2021), who noted highly substantial genotypic effects for fruit yield under both controlled and open field conditions. </w:t>
      </w:r>
      <w:r w:rsidRPr="00477B79">
        <w:rPr>
          <w:rFonts w:ascii="Arial" w:hAnsi="Arial" w:cs="Arial"/>
          <w:bCs/>
        </w:rPr>
        <w:br/>
        <w:t xml:space="preserve">On the other hand, characteristics like plant width and the number of primary branches showed relatively lower F-values, suggesting a higher contribution of environmental effects and potential participation of non-additive gene activity. Shams-un-Nisa </w:t>
      </w:r>
      <w:r w:rsidRPr="00477B79">
        <w:rPr>
          <w:rFonts w:ascii="Arial" w:hAnsi="Arial" w:cs="Arial"/>
          <w:bCs/>
          <w:i/>
        </w:rPr>
        <w:t>et al</w:t>
      </w:r>
      <w:r w:rsidRPr="00477B79">
        <w:rPr>
          <w:rFonts w:ascii="Arial" w:hAnsi="Arial" w:cs="Arial"/>
          <w:bCs/>
        </w:rPr>
        <w:t>. (2023) found similar patterns, reporting moderate to low heritability for branching traits, indicating the necessity for alternate breeding strategies such as recurrent selection.</w:t>
      </w:r>
    </w:p>
    <w:p w14:paraId="6636D8EE" w14:textId="77777777" w:rsidR="007E723C" w:rsidRPr="00477B79" w:rsidRDefault="007E723C" w:rsidP="00F265FC">
      <w:pPr>
        <w:spacing w:line="360" w:lineRule="auto"/>
        <w:jc w:val="both"/>
        <w:rPr>
          <w:rFonts w:ascii="Arial" w:hAnsi="Arial" w:cs="Arial"/>
          <w:bCs/>
        </w:rPr>
      </w:pPr>
      <w:r w:rsidRPr="00477B79">
        <w:rPr>
          <w:rStyle w:val="Strong"/>
          <w:rFonts w:ascii="Arial" w:hAnsi="Arial" w:cs="Arial"/>
          <w:b w:val="0"/>
        </w:rPr>
        <w:t>Genetic Variability Parameters</w:t>
      </w:r>
    </w:p>
    <w:p w14:paraId="612D1433"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High GCV and PCV values for fruit weight and yield per plant were found in estimates of genetic variability parameters (Table 2), suggesting significant variability and potential for selection. The minor variations between PCV and GCV for the majority of characteristics point to a predominance of genetic control and little environmental influence. </w:t>
      </w:r>
      <w:r w:rsidRPr="00477B79">
        <w:rPr>
          <w:rFonts w:ascii="Arial" w:hAnsi="Arial" w:cs="Arial"/>
          <w:bCs/>
        </w:rPr>
        <w:br/>
        <w:t xml:space="preserve">Fruit weight, yield per plant, number of locules, and fruits per truss all showed strong heritability and high genetic advancement as a percentage of mean, suggesting the supremacy of additive gene action. It is anticipated that these characteristics will react well to direct selection. These results are consistent with those of Maurya </w:t>
      </w:r>
      <w:r w:rsidRPr="00477B79">
        <w:rPr>
          <w:rFonts w:ascii="Arial" w:hAnsi="Arial" w:cs="Arial"/>
          <w:bCs/>
          <w:i/>
        </w:rPr>
        <w:t>et al</w:t>
      </w:r>
      <w:r w:rsidRPr="00477B79">
        <w:rPr>
          <w:rFonts w:ascii="Arial" w:hAnsi="Arial" w:cs="Arial"/>
          <w:bCs/>
        </w:rPr>
        <w:t xml:space="preserve">. (2022), Patel </w:t>
      </w:r>
      <w:r w:rsidRPr="00477B79">
        <w:rPr>
          <w:rFonts w:ascii="Arial" w:hAnsi="Arial" w:cs="Arial"/>
          <w:bCs/>
          <w:i/>
        </w:rPr>
        <w:t>et al</w:t>
      </w:r>
      <w:r w:rsidRPr="00477B79">
        <w:rPr>
          <w:rFonts w:ascii="Arial" w:hAnsi="Arial" w:cs="Arial"/>
          <w:bCs/>
        </w:rPr>
        <w:t xml:space="preserve">. (2017), and Saravanan </w:t>
      </w:r>
      <w:r w:rsidRPr="00477B79">
        <w:rPr>
          <w:rFonts w:ascii="Arial" w:hAnsi="Arial" w:cs="Arial"/>
          <w:bCs/>
          <w:i/>
        </w:rPr>
        <w:t>et al</w:t>
      </w:r>
      <w:r w:rsidRPr="00477B79">
        <w:rPr>
          <w:rFonts w:ascii="Arial" w:hAnsi="Arial" w:cs="Arial"/>
          <w:bCs/>
        </w:rPr>
        <w:t xml:space="preserve">. (2019), who documented comparable patterns for tomato yield and fruit quality characteristics. On the other hand, plant width and the number of primary branches showed poor genetic advancement and low heritability, indicating that these traits </w:t>
      </w:r>
      <w:r w:rsidRPr="00477B79">
        <w:rPr>
          <w:rFonts w:ascii="Arial" w:hAnsi="Arial" w:cs="Arial"/>
          <w:bCs/>
        </w:rPr>
        <w:lastRenderedPageBreak/>
        <w:t>are less accessible to simple selection due to environmental influences or non-additive gene effects. Al-Araby (2021) observed similar findings in tomato population segregation.</w:t>
      </w:r>
    </w:p>
    <w:p w14:paraId="196CDE64" w14:textId="77777777" w:rsidR="00994396" w:rsidRPr="007E723C" w:rsidRDefault="00994396" w:rsidP="00F265FC">
      <w:pPr>
        <w:spacing w:line="360" w:lineRule="auto"/>
        <w:jc w:val="both"/>
        <w:rPr>
          <w:rFonts w:ascii="Arial" w:hAnsi="Arial" w:cs="Arial"/>
          <w:b/>
        </w:rPr>
      </w:pPr>
    </w:p>
    <w:p w14:paraId="009C7175" w14:textId="77777777" w:rsidR="007E723C" w:rsidRPr="00994396" w:rsidRDefault="007E723C" w:rsidP="00F265FC">
      <w:pPr>
        <w:spacing w:line="360" w:lineRule="auto"/>
        <w:jc w:val="both"/>
        <w:rPr>
          <w:rStyle w:val="Strong"/>
          <w:rFonts w:ascii="Arial" w:hAnsi="Arial" w:cs="Arial"/>
          <w:bCs w:val="0"/>
          <w:sz w:val="22"/>
        </w:rPr>
      </w:pPr>
      <w:r w:rsidRPr="00994396">
        <w:rPr>
          <w:rStyle w:val="Strong"/>
          <w:rFonts w:ascii="Arial" w:hAnsi="Arial" w:cs="Arial"/>
          <w:sz w:val="22"/>
        </w:rPr>
        <w:t>Distribution of Trait Variability</w:t>
      </w:r>
    </w:p>
    <w:p w14:paraId="0CB941CA"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The phenotypic dispersion of tomato genotypes varied significantly, as seen by boxplots (Fig. 2). In line with their high GCV, PCV, and heritability estimations, yield per plant, fruit weight, fruit length, and fruit diameter all showed broad interquartile ranges and several extreme values, indicating significant variability and strong selection potential. Conversely, despite strong genetic control, the number of locules and fruits per truss displayed narrower dispersion, suggesting more consistency. Plant height, plant width, and the number of major branches </w:t>
      </w:r>
      <w:proofErr w:type="gramStart"/>
      <w:r w:rsidRPr="00477B79">
        <w:rPr>
          <w:rFonts w:ascii="Arial" w:hAnsi="Arial" w:cs="Arial"/>
          <w:bCs/>
        </w:rPr>
        <w:t>are</w:t>
      </w:r>
      <w:proofErr w:type="gramEnd"/>
      <w:r w:rsidRPr="00477B79">
        <w:rPr>
          <w:rFonts w:ascii="Arial" w:hAnsi="Arial" w:cs="Arial"/>
          <w:bCs/>
        </w:rPr>
        <w:t xml:space="preserve"> examples of vegetative variables that showed relatively less fluctuation, indicating phenotypic stability and a restricted sensitivity to direct selection. Overall, the boxplot analysis highlights fruit size and yield attributes as important factors contributing to genetic divergence and graphically supports ANOVA and multivariate results.</w:t>
      </w:r>
    </w:p>
    <w:p w14:paraId="3A1DA346" w14:textId="77777777" w:rsidR="00994396" w:rsidRPr="007E723C" w:rsidRDefault="00994396" w:rsidP="00F265FC">
      <w:pPr>
        <w:spacing w:line="360" w:lineRule="auto"/>
        <w:jc w:val="both"/>
        <w:rPr>
          <w:rFonts w:ascii="Arial" w:hAnsi="Arial" w:cs="Arial"/>
          <w:b/>
        </w:rPr>
      </w:pPr>
    </w:p>
    <w:p w14:paraId="1E0D7EF3" w14:textId="77777777" w:rsidR="007E723C" w:rsidRPr="00994396" w:rsidRDefault="007E723C" w:rsidP="00F265FC">
      <w:pPr>
        <w:spacing w:line="360" w:lineRule="auto"/>
        <w:jc w:val="both"/>
        <w:rPr>
          <w:rFonts w:ascii="Arial" w:hAnsi="Arial" w:cs="Arial"/>
          <w:b/>
          <w:sz w:val="22"/>
        </w:rPr>
      </w:pPr>
      <w:r w:rsidRPr="00994396">
        <w:rPr>
          <w:rStyle w:val="Strong"/>
          <w:rFonts w:ascii="Arial" w:hAnsi="Arial" w:cs="Arial"/>
          <w:sz w:val="22"/>
        </w:rPr>
        <w:t>Principal Component Analysis</w:t>
      </w:r>
    </w:p>
    <w:p w14:paraId="06CBE93A" w14:textId="31707EE5" w:rsidR="007E723C" w:rsidRPr="00477B79" w:rsidRDefault="007E723C" w:rsidP="00F265FC">
      <w:pPr>
        <w:spacing w:line="360" w:lineRule="auto"/>
        <w:jc w:val="both"/>
        <w:rPr>
          <w:rFonts w:ascii="Arial" w:hAnsi="Arial" w:cs="Arial"/>
          <w:bCs/>
        </w:rPr>
      </w:pPr>
      <w:r w:rsidRPr="00477B79">
        <w:rPr>
          <w:rFonts w:ascii="Arial" w:hAnsi="Arial" w:cs="Arial"/>
          <w:bCs/>
        </w:rPr>
        <w:t xml:space="preserve">In order to determine the main causes of phenotypic variation among the evaluated tomato genotypes and to uncover connections between the traits under study, principal component analysis (PCA) was used. Together, the first two principal components (PC1 and PC2) accounted for 70.3% of the variation, with PC1 contributing 50.3% and PC2 20.0% (Fig. 3). In tomato germplasm studies, the initial PCs frequently capture 60–80% of variation in yield and morphological traits. This significant percentage of explained variance suggests that the first two components adequately </w:t>
      </w:r>
      <w:proofErr w:type="spellStart"/>
      <w:r w:rsidR="00B62715" w:rsidRPr="00B62715">
        <w:rPr>
          <w:rFonts w:ascii="Arial" w:hAnsi="Arial" w:cs="Arial"/>
          <w:bCs/>
          <w:highlight w:val="yellow"/>
        </w:rPr>
        <w:t>summari</w:t>
      </w:r>
      <w:r w:rsidR="00B62715" w:rsidRPr="00B62715">
        <w:rPr>
          <w:rFonts w:ascii="Arial" w:hAnsi="Arial" w:cs="Arial"/>
          <w:bCs/>
          <w:highlight w:val="yellow"/>
        </w:rPr>
        <w:t>s</w:t>
      </w:r>
      <w:r w:rsidR="00B62715" w:rsidRPr="00B62715">
        <w:rPr>
          <w:rFonts w:ascii="Arial" w:hAnsi="Arial" w:cs="Arial"/>
          <w:bCs/>
          <w:highlight w:val="yellow"/>
        </w:rPr>
        <w:t>ed</w:t>
      </w:r>
      <w:proofErr w:type="spellEnd"/>
      <w:r w:rsidR="00B62715" w:rsidRPr="00B62715">
        <w:rPr>
          <w:rFonts w:ascii="Arial" w:hAnsi="Arial" w:cs="Arial"/>
          <w:bCs/>
          <w:highlight w:val="yellow"/>
        </w:rPr>
        <w:t xml:space="preserve"> </w:t>
      </w:r>
      <w:r w:rsidRPr="00B62715">
        <w:rPr>
          <w:rFonts w:ascii="Arial" w:hAnsi="Arial" w:cs="Arial"/>
          <w:bCs/>
          <w:highlight w:val="yellow"/>
        </w:rPr>
        <w:t>the multivariate</w:t>
      </w:r>
      <w:r w:rsidRPr="00477B79">
        <w:rPr>
          <w:rFonts w:ascii="Arial" w:hAnsi="Arial" w:cs="Arial"/>
          <w:bCs/>
        </w:rPr>
        <w:t xml:space="preserve"> structure of the dataset (Kumar </w:t>
      </w:r>
      <w:r w:rsidRPr="00477B79">
        <w:rPr>
          <w:rFonts w:ascii="Arial" w:hAnsi="Arial" w:cs="Arial"/>
          <w:bCs/>
          <w:i/>
        </w:rPr>
        <w:t>et al</w:t>
      </w:r>
      <w:r w:rsidRPr="00477B79">
        <w:rPr>
          <w:rFonts w:ascii="Arial" w:hAnsi="Arial" w:cs="Arial"/>
          <w:bCs/>
        </w:rPr>
        <w:t xml:space="preserve">., 2022; Islam </w:t>
      </w:r>
      <w:r w:rsidRPr="00477B79">
        <w:rPr>
          <w:rFonts w:ascii="Arial" w:hAnsi="Arial" w:cs="Arial"/>
          <w:bCs/>
          <w:i/>
        </w:rPr>
        <w:t>et al</w:t>
      </w:r>
      <w:r w:rsidRPr="00477B79">
        <w:rPr>
          <w:rFonts w:ascii="Arial" w:hAnsi="Arial" w:cs="Arial"/>
          <w:bCs/>
        </w:rPr>
        <w:t xml:space="preserve">., 2023; </w:t>
      </w:r>
      <w:proofErr w:type="spellStart"/>
      <w:r w:rsidRPr="00477B79">
        <w:rPr>
          <w:rFonts w:ascii="Arial" w:hAnsi="Arial" w:cs="Arial"/>
          <w:bCs/>
        </w:rPr>
        <w:t>Akinyode</w:t>
      </w:r>
      <w:proofErr w:type="spellEnd"/>
      <w:r w:rsidRPr="00477B79">
        <w:rPr>
          <w:rFonts w:ascii="Arial" w:hAnsi="Arial" w:cs="Arial"/>
          <w:bCs/>
        </w:rPr>
        <w:t xml:space="preserve"> </w:t>
      </w:r>
      <w:r w:rsidRPr="00477B79">
        <w:rPr>
          <w:rFonts w:ascii="Arial" w:hAnsi="Arial" w:cs="Arial"/>
          <w:bCs/>
          <w:i/>
        </w:rPr>
        <w:t>et al</w:t>
      </w:r>
      <w:r w:rsidRPr="00477B79">
        <w:rPr>
          <w:rFonts w:ascii="Arial" w:hAnsi="Arial" w:cs="Arial"/>
          <w:bCs/>
        </w:rPr>
        <w:t>., 2023).</w:t>
      </w:r>
    </w:p>
    <w:p w14:paraId="57BF0B58"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Fruit morphological and yield-related characteristics predominated in PC1, with substantial positive loadings (&gt;0.7, deduced from vector lengths and orientations in the biplot) for fruit weight, fruit diameter, pericarp thickness, number of locules, yield per plant, and yield per hectare. These characteristics were crucial in distinguishing genotypes because they closely matched those showing high genotypic variability, heritability, and genetic advancement in the previous ANOVA and genetic parameter analyses (Hanson </w:t>
      </w:r>
      <w:r w:rsidRPr="00477B79">
        <w:rPr>
          <w:rFonts w:ascii="Arial" w:hAnsi="Arial" w:cs="Arial"/>
          <w:bCs/>
          <w:i/>
        </w:rPr>
        <w:t>et al</w:t>
      </w:r>
      <w:r w:rsidRPr="00477B79">
        <w:rPr>
          <w:rFonts w:ascii="Arial" w:hAnsi="Arial" w:cs="Arial"/>
          <w:bCs/>
        </w:rPr>
        <w:t xml:space="preserve">., 1956; Kumar </w:t>
      </w:r>
      <w:r w:rsidRPr="00477B79">
        <w:rPr>
          <w:rFonts w:ascii="Arial" w:hAnsi="Arial" w:cs="Arial"/>
          <w:bCs/>
          <w:i/>
        </w:rPr>
        <w:t>et al</w:t>
      </w:r>
      <w:r w:rsidRPr="00477B79">
        <w:rPr>
          <w:rFonts w:ascii="Arial" w:hAnsi="Arial" w:cs="Arial"/>
          <w:bCs/>
        </w:rPr>
        <w:t xml:space="preserve">., 2022; Islam </w:t>
      </w:r>
      <w:r w:rsidRPr="00477B79">
        <w:rPr>
          <w:rFonts w:ascii="Arial" w:hAnsi="Arial" w:cs="Arial"/>
          <w:bCs/>
          <w:i/>
        </w:rPr>
        <w:t>et al</w:t>
      </w:r>
      <w:r w:rsidRPr="00477B79">
        <w:rPr>
          <w:rFonts w:ascii="Arial" w:hAnsi="Arial" w:cs="Arial"/>
          <w:bCs/>
        </w:rPr>
        <w:t xml:space="preserve">., 2023). Fruit size and yield components are the primary drivers of genetic divergence in the evaluated plant material, as indicated by the clustering of these vectors along PC. In contrast, PC2 was primarily influenced by plant architectural and fruit number traits, including number of primary branches, fruits per truss, fruits per plant, and plant height (with secondary contributions from seed-related traits). These traits displayed moderate variability and comparatively lower heritability, consistent with their lesser contribution to </w:t>
      </w:r>
      <w:r w:rsidRPr="00477B79">
        <w:rPr>
          <w:rFonts w:ascii="Arial" w:hAnsi="Arial" w:cs="Arial"/>
          <w:bCs/>
        </w:rPr>
        <w:lastRenderedPageBreak/>
        <w:t xml:space="preserve">overall phenotypic diversity and their partial independence from direct yield determinants (Islam </w:t>
      </w:r>
      <w:r w:rsidRPr="00477B79">
        <w:rPr>
          <w:rFonts w:ascii="Arial" w:hAnsi="Arial" w:cs="Arial"/>
          <w:bCs/>
          <w:i/>
        </w:rPr>
        <w:t>et al</w:t>
      </w:r>
      <w:r w:rsidRPr="00477B79">
        <w:rPr>
          <w:rFonts w:ascii="Arial" w:hAnsi="Arial" w:cs="Arial"/>
          <w:bCs/>
        </w:rPr>
        <w:t xml:space="preserve">., 2023; </w:t>
      </w:r>
      <w:proofErr w:type="spellStart"/>
      <w:r w:rsidRPr="00477B79">
        <w:rPr>
          <w:rFonts w:ascii="Arial" w:hAnsi="Arial" w:cs="Arial"/>
          <w:bCs/>
        </w:rPr>
        <w:t>Panthee</w:t>
      </w:r>
      <w:proofErr w:type="spellEnd"/>
      <w:r w:rsidRPr="00477B79">
        <w:rPr>
          <w:rFonts w:ascii="Arial" w:hAnsi="Arial" w:cs="Arial"/>
          <w:bCs/>
        </w:rPr>
        <w:t>, 2012).</w:t>
      </w:r>
    </w:p>
    <w:p w14:paraId="57230E6D"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Clear insights into trait associations were obtained using the PCA biplot. Strong positive relationships between these economically significant characteristics were shown by acute angles between vectors for fruit weight, fruit diameter, pericarp thickness, number of locules, and yield metrics (per plant and per hectare). The viability of simultaneous selection for increased fruit size, quality, and productivity is supported by this interdependence; several tomato diversity studies have confirmed this approach (Kumar </w:t>
      </w:r>
      <w:r w:rsidRPr="00477B79">
        <w:rPr>
          <w:rFonts w:ascii="Arial" w:hAnsi="Arial" w:cs="Arial"/>
          <w:bCs/>
          <w:i/>
        </w:rPr>
        <w:t>et al</w:t>
      </w:r>
      <w:r w:rsidRPr="00477B79">
        <w:rPr>
          <w:rFonts w:ascii="Arial" w:hAnsi="Arial" w:cs="Arial"/>
          <w:bCs/>
        </w:rPr>
        <w:t xml:space="preserve">., 2022; Islam </w:t>
      </w:r>
      <w:r w:rsidRPr="00477B79">
        <w:rPr>
          <w:rFonts w:ascii="Arial" w:hAnsi="Arial" w:cs="Arial"/>
          <w:bCs/>
          <w:i/>
        </w:rPr>
        <w:t>et al</w:t>
      </w:r>
      <w:r w:rsidRPr="00477B79">
        <w:rPr>
          <w:rFonts w:ascii="Arial" w:hAnsi="Arial" w:cs="Arial"/>
          <w:bCs/>
        </w:rPr>
        <w:t xml:space="preserve">., 2023; </w:t>
      </w:r>
      <w:proofErr w:type="spellStart"/>
      <w:r w:rsidRPr="00477B79">
        <w:rPr>
          <w:rFonts w:ascii="Arial" w:hAnsi="Arial" w:cs="Arial"/>
          <w:bCs/>
        </w:rPr>
        <w:t>Akinyode</w:t>
      </w:r>
      <w:proofErr w:type="spellEnd"/>
      <w:r w:rsidRPr="00477B79">
        <w:rPr>
          <w:rFonts w:ascii="Arial" w:hAnsi="Arial" w:cs="Arial"/>
          <w:bCs/>
        </w:rPr>
        <w:t xml:space="preserve"> </w:t>
      </w:r>
      <w:r w:rsidRPr="00477B79">
        <w:rPr>
          <w:rFonts w:ascii="Arial" w:hAnsi="Arial" w:cs="Arial"/>
          <w:bCs/>
          <w:i/>
        </w:rPr>
        <w:t>et al</w:t>
      </w:r>
      <w:r w:rsidRPr="00477B79">
        <w:rPr>
          <w:rFonts w:ascii="Arial" w:hAnsi="Arial" w:cs="Arial"/>
          <w:bCs/>
        </w:rPr>
        <w:t xml:space="preserve">., 2023). On the other hand, weak or insignificant associations were suggested by near-orthogonal or obtuse angles between the yield-related cluster and vectors for plant architectural characteristics (such as primary branches and plant height). This divergence highlights the relative independence between growth habit and reproductive success in tomatoes by implying that increasing vegetative vigor does not necessarily boost fruit yield. (Islam </w:t>
      </w:r>
      <w:r w:rsidRPr="00477B79">
        <w:rPr>
          <w:rFonts w:ascii="Arial" w:hAnsi="Arial" w:cs="Arial"/>
          <w:bCs/>
          <w:i/>
        </w:rPr>
        <w:t>et al</w:t>
      </w:r>
      <w:r w:rsidRPr="00477B79">
        <w:rPr>
          <w:rFonts w:ascii="Arial" w:hAnsi="Arial" w:cs="Arial"/>
          <w:bCs/>
        </w:rPr>
        <w:t>., 2023).</w:t>
      </w:r>
    </w:p>
    <w:p w14:paraId="76ED552B" w14:textId="43C0D814" w:rsidR="007E723C" w:rsidRPr="00477B79" w:rsidRDefault="007E723C" w:rsidP="00F265FC">
      <w:pPr>
        <w:spacing w:line="360" w:lineRule="auto"/>
        <w:jc w:val="both"/>
        <w:rPr>
          <w:rFonts w:ascii="Arial" w:hAnsi="Arial" w:cs="Arial"/>
          <w:bCs/>
        </w:rPr>
      </w:pPr>
      <w:r w:rsidRPr="00477B79">
        <w:rPr>
          <w:rFonts w:ascii="Arial" w:hAnsi="Arial" w:cs="Arial"/>
          <w:bCs/>
        </w:rPr>
        <w:t>The biplot's genotype location showed a partial separation according to the evaluation environment. Under controlled conditions, genotypes with higher PC1 scores tend to form a tighter cluster, indicating improved expression of fruit size and yield attributes under reduced abiotic stress. Field-grown genotypes showed more dispersion, particularly along PC2, suggesting that the environment had a greater impact on architectural characteristics</w:t>
      </w:r>
      <w:r w:rsidR="00B62715">
        <w:rPr>
          <w:rFonts w:ascii="Arial" w:hAnsi="Arial" w:cs="Arial"/>
          <w:bCs/>
        </w:rPr>
        <w:t>,</w:t>
      </w:r>
      <w:r w:rsidRPr="00477B79">
        <w:rPr>
          <w:rFonts w:ascii="Arial" w:hAnsi="Arial" w:cs="Arial"/>
          <w:bCs/>
        </w:rPr>
        <w:t xml:space="preserve"> including branching and plant stature. While environment-specific clustering highlights the importance of genotype × environment (G×E) interactions, partial genotype overlap across environments suggests the presence of stable performers with consistent trait </w:t>
      </w:r>
      <w:r w:rsidRPr="00B62715">
        <w:rPr>
          <w:rFonts w:ascii="Arial" w:hAnsi="Arial" w:cs="Arial"/>
          <w:bCs/>
          <w:highlight w:val="yellow"/>
        </w:rPr>
        <w:t>expression</w:t>
      </w:r>
      <w:r w:rsidR="00B62715" w:rsidRPr="00B62715">
        <w:rPr>
          <w:rFonts w:ascii="Arial" w:hAnsi="Arial" w:cs="Arial"/>
          <w:bCs/>
          <w:highlight w:val="yellow"/>
        </w:rPr>
        <w:t>,</w:t>
      </w:r>
      <w:r w:rsidR="00B62715">
        <w:rPr>
          <w:rFonts w:ascii="Arial" w:hAnsi="Arial" w:cs="Arial"/>
          <w:bCs/>
        </w:rPr>
        <w:t xml:space="preserve"> </w:t>
      </w:r>
      <w:r w:rsidRPr="00477B79">
        <w:rPr>
          <w:rFonts w:ascii="Arial" w:hAnsi="Arial" w:cs="Arial"/>
          <w:bCs/>
        </w:rPr>
        <w:t>highly desirable for broad adaptation (</w:t>
      </w:r>
      <w:proofErr w:type="spellStart"/>
      <w:r w:rsidRPr="00477B79">
        <w:rPr>
          <w:rFonts w:ascii="Arial" w:hAnsi="Arial" w:cs="Arial"/>
          <w:bCs/>
        </w:rPr>
        <w:t>Panthee</w:t>
      </w:r>
      <w:proofErr w:type="spellEnd"/>
      <w:r w:rsidRPr="00477B79">
        <w:rPr>
          <w:rFonts w:ascii="Arial" w:hAnsi="Arial" w:cs="Arial"/>
          <w:bCs/>
        </w:rPr>
        <w:t xml:space="preserve">, 2012; van der Knaap </w:t>
      </w:r>
      <w:r w:rsidRPr="00477B79">
        <w:rPr>
          <w:rFonts w:ascii="Arial" w:hAnsi="Arial" w:cs="Arial"/>
          <w:bCs/>
          <w:i/>
        </w:rPr>
        <w:t>et al</w:t>
      </w:r>
      <w:r w:rsidRPr="00477B79">
        <w:rPr>
          <w:rFonts w:ascii="Arial" w:hAnsi="Arial" w:cs="Arial"/>
          <w:bCs/>
        </w:rPr>
        <w:t>., 2021). These results are consistent with previous studies in tomatoes, where field variability highlights architectural plasticity but controlled settings frequently increase production potential.</w:t>
      </w:r>
    </w:p>
    <w:p w14:paraId="09E95034" w14:textId="77777777" w:rsidR="007E723C" w:rsidRPr="00477B79" w:rsidRDefault="007E723C" w:rsidP="00F265FC">
      <w:pPr>
        <w:spacing w:line="360" w:lineRule="auto"/>
        <w:jc w:val="both"/>
        <w:rPr>
          <w:rFonts w:ascii="Arial" w:hAnsi="Arial" w:cs="Arial"/>
          <w:bCs/>
        </w:rPr>
      </w:pPr>
      <w:r w:rsidRPr="00477B79">
        <w:rPr>
          <w:rFonts w:ascii="Arial" w:hAnsi="Arial" w:cs="Arial"/>
          <w:bCs/>
        </w:rPr>
        <w:t>Collectively, the PCA results corroborate the univariate analysis by confirming that fruit morphological and yield-related traits are the main sources of genetic variability set of genotypes. Selection emphasizing PC1-associated traits (e.g., fruit weight, diameter, pericarp thickness, and yield components) offers the greatest potential for productivity gains through direct or correlated response. Environment-specific breeding or indirect selection through linked markers may be necessary for architectural features since they are less connected with yield and more susceptible to the environment. These insights provide a foundation for targeted improvement of tomato germplasm, particularly in regions with variable growing conditions such as Jammu and Kashmir, where balancing yield stability and adaptability is critical.</w:t>
      </w:r>
    </w:p>
    <w:p w14:paraId="56B69ED9" w14:textId="77777777" w:rsidR="00994396" w:rsidRPr="00477B79" w:rsidRDefault="00994396" w:rsidP="00F265FC">
      <w:pPr>
        <w:spacing w:line="360" w:lineRule="auto"/>
        <w:jc w:val="both"/>
        <w:rPr>
          <w:rFonts w:ascii="Arial" w:hAnsi="Arial" w:cs="Arial"/>
          <w:bCs/>
        </w:rPr>
      </w:pPr>
    </w:p>
    <w:p w14:paraId="36F8E15F" w14:textId="77777777" w:rsidR="007E723C" w:rsidRPr="00477B79" w:rsidRDefault="00EE2455" w:rsidP="00EE2455">
      <w:pPr>
        <w:spacing w:line="360" w:lineRule="auto"/>
        <w:jc w:val="both"/>
        <w:rPr>
          <w:rFonts w:ascii="Arial" w:hAnsi="Arial" w:cs="Arial"/>
          <w:bCs/>
        </w:rPr>
      </w:pPr>
      <w:r w:rsidRPr="00994396">
        <w:rPr>
          <w:rFonts w:ascii="Arial" w:hAnsi="Arial" w:cs="Arial"/>
          <w:b/>
          <w:sz w:val="22"/>
        </w:rPr>
        <w:lastRenderedPageBreak/>
        <w:t xml:space="preserve">Cluster </w:t>
      </w:r>
      <w:r w:rsidR="007E723C" w:rsidRPr="00994396">
        <w:rPr>
          <w:rFonts w:ascii="Arial" w:hAnsi="Arial" w:cs="Arial"/>
          <w:b/>
          <w:sz w:val="22"/>
        </w:rPr>
        <w:t>Analysis:</w:t>
      </w:r>
      <w:r w:rsidR="007E723C" w:rsidRPr="007E723C">
        <w:rPr>
          <w:rFonts w:ascii="Arial" w:hAnsi="Arial" w:cs="Arial"/>
          <w:b/>
        </w:rPr>
        <w:br/>
      </w:r>
      <w:r w:rsidR="007E723C" w:rsidRPr="00477B79">
        <w:rPr>
          <w:rFonts w:ascii="Arial" w:hAnsi="Arial" w:cs="Arial"/>
          <w:bCs/>
        </w:rPr>
        <w:t xml:space="preserve">Hierarchical cluster analysis based on morphological and yield-related traits revealed clear genetic divergence among the tomato mutants, parent genotype, and standard checks (Fig. 4). Using Euclidean distance, the dendrogram grouped the </w:t>
      </w:r>
      <w:r w:rsidR="007E723C" w:rsidRPr="00477B79">
        <w:rPr>
          <w:rStyle w:val="Strong"/>
          <w:rFonts w:ascii="Arial" w:hAnsi="Arial" w:cs="Arial"/>
          <w:bCs w:val="0"/>
        </w:rPr>
        <w:t>21 mutants (S1–S21), one parent genotype (PC), and two standard checks (SH1 and SH2)</w:t>
      </w:r>
      <w:r w:rsidR="007E723C" w:rsidRPr="00477B79">
        <w:rPr>
          <w:rFonts w:ascii="Arial" w:hAnsi="Arial" w:cs="Arial"/>
          <w:bCs/>
        </w:rPr>
        <w:t xml:space="preserve"> into distinct clusters, reflecting variation generated through mutation and subsequent selection.</w:t>
      </w:r>
    </w:p>
    <w:p w14:paraId="04EABAA1" w14:textId="77777777" w:rsidR="00994396" w:rsidRPr="00994396" w:rsidRDefault="00994396" w:rsidP="00EE2455">
      <w:pPr>
        <w:spacing w:line="360" w:lineRule="auto"/>
        <w:jc w:val="both"/>
        <w:rPr>
          <w:rFonts w:ascii="Arial" w:hAnsi="Arial" w:cs="Arial"/>
          <w:b/>
          <w:sz w:val="22"/>
        </w:rPr>
      </w:pPr>
    </w:p>
    <w:p w14:paraId="3C06600C" w14:textId="77777777" w:rsidR="007E723C" w:rsidRPr="00994396" w:rsidRDefault="007E723C" w:rsidP="00F265FC">
      <w:pPr>
        <w:spacing w:line="360" w:lineRule="auto"/>
        <w:jc w:val="both"/>
        <w:rPr>
          <w:rFonts w:ascii="Arial" w:hAnsi="Arial" w:cs="Arial"/>
          <w:b/>
          <w:sz w:val="22"/>
        </w:rPr>
      </w:pPr>
      <w:r w:rsidRPr="00994396">
        <w:rPr>
          <w:rStyle w:val="Strong"/>
          <w:rFonts w:ascii="Arial" w:hAnsi="Arial" w:cs="Arial"/>
          <w:sz w:val="22"/>
        </w:rPr>
        <w:t>Clustering Pattern and Genetic Relationships</w:t>
      </w:r>
    </w:p>
    <w:p w14:paraId="5B9F709E"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The dendrogram broadly separated the genotypes into </w:t>
      </w:r>
      <w:r w:rsidRPr="00477B79">
        <w:rPr>
          <w:rStyle w:val="Strong"/>
          <w:rFonts w:ascii="Arial" w:hAnsi="Arial" w:cs="Arial"/>
          <w:bCs w:val="0"/>
        </w:rPr>
        <w:t>two major lineages</w:t>
      </w:r>
      <w:r w:rsidRPr="00477B79">
        <w:rPr>
          <w:rFonts w:ascii="Arial" w:hAnsi="Arial" w:cs="Arial"/>
          <w:bCs/>
        </w:rPr>
        <w:t xml:space="preserve">, indicating substantial divergence between groups. A large cluster comprised the majority of mutants (S1–S21), which were further subdivided into several sub-clusters. Mutants such as </w:t>
      </w:r>
      <w:r w:rsidRPr="00477B79">
        <w:rPr>
          <w:rStyle w:val="Strong"/>
          <w:rFonts w:ascii="Arial" w:hAnsi="Arial" w:cs="Arial"/>
          <w:bCs w:val="0"/>
        </w:rPr>
        <w:t>S10, S9, S7, S14, S11, and S13</w:t>
      </w:r>
      <w:r w:rsidRPr="00477B79">
        <w:rPr>
          <w:rFonts w:ascii="Arial" w:hAnsi="Arial" w:cs="Arial"/>
          <w:bCs/>
        </w:rPr>
        <w:t xml:space="preserve"> grouped closely, suggesting strong phenotypic similarity, possibly due to shared mutation effects or similar expression of fruit size and yield attributes. Similar clustering among induced mutants has been reported in tomato, where mutagenesis often generates families of lines with comparable trait expression (Saravanan </w:t>
      </w:r>
      <w:r w:rsidRPr="00477B79">
        <w:rPr>
          <w:rFonts w:ascii="Arial" w:hAnsi="Arial" w:cs="Arial"/>
          <w:bCs/>
          <w:i/>
        </w:rPr>
        <w:t>et al</w:t>
      </w:r>
      <w:r w:rsidRPr="00477B79">
        <w:rPr>
          <w:rFonts w:ascii="Arial" w:hAnsi="Arial" w:cs="Arial"/>
          <w:bCs/>
        </w:rPr>
        <w:t xml:space="preserve">., 2019; Maurya </w:t>
      </w:r>
      <w:r w:rsidRPr="00477B79">
        <w:rPr>
          <w:rFonts w:ascii="Arial" w:hAnsi="Arial" w:cs="Arial"/>
          <w:bCs/>
          <w:i/>
        </w:rPr>
        <w:t>et al</w:t>
      </w:r>
      <w:r w:rsidRPr="00477B79">
        <w:rPr>
          <w:rFonts w:ascii="Arial" w:hAnsi="Arial" w:cs="Arial"/>
          <w:bCs/>
        </w:rPr>
        <w:t>., 2022).</w:t>
      </w:r>
    </w:p>
    <w:p w14:paraId="0EB04973" w14:textId="5F746EEE" w:rsidR="007E723C" w:rsidRPr="00477B79" w:rsidRDefault="007E723C" w:rsidP="00F265FC">
      <w:pPr>
        <w:spacing w:line="360" w:lineRule="auto"/>
        <w:jc w:val="both"/>
        <w:rPr>
          <w:rFonts w:ascii="Arial" w:hAnsi="Arial" w:cs="Arial"/>
          <w:bCs/>
        </w:rPr>
      </w:pPr>
      <w:r w:rsidRPr="00477B79">
        <w:rPr>
          <w:rFonts w:ascii="Arial" w:hAnsi="Arial" w:cs="Arial"/>
          <w:bCs/>
        </w:rPr>
        <w:t xml:space="preserve">Another subgroup included </w:t>
      </w:r>
      <w:r w:rsidRPr="00477B79">
        <w:rPr>
          <w:rStyle w:val="Strong"/>
          <w:rFonts w:ascii="Arial" w:hAnsi="Arial" w:cs="Arial"/>
          <w:bCs w:val="0"/>
        </w:rPr>
        <w:t>S3, S1, S5, S4, and S2</w:t>
      </w:r>
      <w:r w:rsidRPr="00477B79">
        <w:rPr>
          <w:rFonts w:ascii="Arial" w:hAnsi="Arial" w:cs="Arial"/>
          <w:bCs/>
        </w:rPr>
        <w:t xml:space="preserve">, indicating moderate divergence within the mutant population. The presence of multiple sub-clusters among mutants highlights the effectiveness of mutagenesis in creating broad phenotypic variability, which is essential for </w:t>
      </w:r>
      <w:r w:rsidR="00B62715" w:rsidRPr="00B62715">
        <w:rPr>
          <w:rFonts w:ascii="Arial" w:hAnsi="Arial" w:cs="Arial"/>
          <w:bCs/>
          <w:highlight w:val="yellow"/>
        </w:rPr>
        <w:t xml:space="preserve">the </w:t>
      </w:r>
      <w:r w:rsidRPr="00B62715">
        <w:rPr>
          <w:rFonts w:ascii="Arial" w:hAnsi="Arial" w:cs="Arial"/>
          <w:bCs/>
          <w:highlight w:val="yellow"/>
        </w:rPr>
        <w:t>select</w:t>
      </w:r>
      <w:r w:rsidRPr="00477B79">
        <w:rPr>
          <w:rFonts w:ascii="Arial" w:hAnsi="Arial" w:cs="Arial"/>
          <w:bCs/>
        </w:rPr>
        <w:t>ion of superior lines.</w:t>
      </w:r>
    </w:p>
    <w:p w14:paraId="1BFE7169" w14:textId="77777777" w:rsidR="00994396" w:rsidRPr="00477B79" w:rsidRDefault="00994396" w:rsidP="00F265FC">
      <w:pPr>
        <w:spacing w:line="360" w:lineRule="auto"/>
        <w:jc w:val="both"/>
        <w:rPr>
          <w:rFonts w:ascii="Arial" w:hAnsi="Arial" w:cs="Arial"/>
          <w:bCs/>
        </w:rPr>
      </w:pPr>
    </w:p>
    <w:p w14:paraId="0B517834" w14:textId="77777777" w:rsidR="007E723C" w:rsidRPr="00994396" w:rsidRDefault="007E723C" w:rsidP="00F265FC">
      <w:pPr>
        <w:spacing w:line="360" w:lineRule="auto"/>
        <w:jc w:val="both"/>
        <w:rPr>
          <w:rFonts w:ascii="Arial" w:hAnsi="Arial" w:cs="Arial"/>
          <w:b/>
          <w:sz w:val="22"/>
        </w:rPr>
      </w:pPr>
      <w:r w:rsidRPr="00994396">
        <w:rPr>
          <w:rStyle w:val="Strong"/>
          <w:rFonts w:ascii="Arial" w:hAnsi="Arial" w:cs="Arial"/>
          <w:sz w:val="22"/>
        </w:rPr>
        <w:t>Position of Parent and Standard Checks</w:t>
      </w:r>
    </w:p>
    <w:p w14:paraId="4F7D1910"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The </w:t>
      </w:r>
      <w:r w:rsidRPr="00477B79">
        <w:rPr>
          <w:rStyle w:val="Strong"/>
          <w:rFonts w:ascii="Arial" w:hAnsi="Arial" w:cs="Arial"/>
          <w:bCs w:val="0"/>
        </w:rPr>
        <w:t>parent genotype (PC)</w:t>
      </w:r>
      <w:r w:rsidRPr="00477B79">
        <w:rPr>
          <w:rFonts w:ascii="Arial" w:hAnsi="Arial" w:cs="Arial"/>
          <w:bCs/>
        </w:rPr>
        <w:t xml:space="preserve"> clustered closely with </w:t>
      </w:r>
      <w:r w:rsidRPr="00477B79">
        <w:rPr>
          <w:rStyle w:val="Strong"/>
          <w:rFonts w:ascii="Arial" w:hAnsi="Arial" w:cs="Arial"/>
          <w:bCs w:val="0"/>
        </w:rPr>
        <w:t>standard check SH1</w:t>
      </w:r>
      <w:r w:rsidRPr="00477B79">
        <w:rPr>
          <w:rFonts w:ascii="Arial" w:hAnsi="Arial" w:cs="Arial"/>
          <w:bCs/>
        </w:rPr>
        <w:t xml:space="preserve">, while </w:t>
      </w:r>
      <w:r w:rsidRPr="00477B79">
        <w:rPr>
          <w:rStyle w:val="Strong"/>
          <w:rFonts w:ascii="Arial" w:hAnsi="Arial" w:cs="Arial"/>
          <w:bCs w:val="0"/>
        </w:rPr>
        <w:t>SH2</w:t>
      </w:r>
      <w:r w:rsidRPr="00477B79">
        <w:rPr>
          <w:rFonts w:ascii="Arial" w:hAnsi="Arial" w:cs="Arial"/>
          <w:bCs/>
        </w:rPr>
        <w:t xml:space="preserve"> appeared slightly more distant. This pattern suggests that SH1 is genetically closer to the parent in terms of the evaluated traits, whereas SH2 represents a comparatively divergent genetic background. The placement of PC near the checks rather than within mutant-dense clusters confirms that induced mutants have diverged phenotypically from the original parent, validating the success of mutation breeding. Importantly, several mutants viz., </w:t>
      </w:r>
      <w:r w:rsidRPr="00477B79">
        <w:rPr>
          <w:rStyle w:val="Strong"/>
          <w:rFonts w:ascii="Arial" w:hAnsi="Arial" w:cs="Arial"/>
          <w:bCs w:val="0"/>
        </w:rPr>
        <w:t>S15, S16, and S19</w:t>
      </w:r>
      <w:r w:rsidRPr="00477B79">
        <w:rPr>
          <w:rFonts w:ascii="Arial" w:hAnsi="Arial" w:cs="Arial"/>
          <w:bCs/>
        </w:rPr>
        <w:t xml:space="preserve"> appeared at greater linkage distances from the parent and checks, indicating pronounced divergence. Such mutants are particularly valuable as potential donor lines for novel alleles related to yield or fruit quality traits.</w:t>
      </w:r>
    </w:p>
    <w:p w14:paraId="0D37612B"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From a breeding perspective, mutants clustering far from the parent genotype and standard checks are promising candidates for hybridization, as genetic distance between parents is often positively associated with heterosis and transgressive segregation (Arunachalam, 1981; Mohammadi and Prasanna, 2003). Conversely, mutants clustering close to PC may </w:t>
      </w:r>
      <w:r w:rsidRPr="00477B79">
        <w:rPr>
          <w:rFonts w:ascii="Arial" w:hAnsi="Arial" w:cs="Arial"/>
          <w:bCs/>
        </w:rPr>
        <w:lastRenderedPageBreak/>
        <w:t>serve as improved derivatives retaining parental adaptation while expressing specific desirable traits.</w:t>
      </w:r>
    </w:p>
    <w:p w14:paraId="209766BF" w14:textId="77777777" w:rsidR="007E723C" w:rsidRPr="00477B79" w:rsidRDefault="007E723C" w:rsidP="00F265FC">
      <w:pPr>
        <w:spacing w:line="360" w:lineRule="auto"/>
        <w:jc w:val="both"/>
        <w:rPr>
          <w:rFonts w:ascii="Arial" w:hAnsi="Arial" w:cs="Arial"/>
          <w:bCs/>
        </w:rPr>
      </w:pPr>
      <w:r w:rsidRPr="00477B79">
        <w:rPr>
          <w:rFonts w:ascii="Arial" w:hAnsi="Arial" w:cs="Arial"/>
          <w:bCs/>
        </w:rPr>
        <w:t>The clustering pattern is consistent with PCA and variability analyses, where fruit weight, fruit dimensions, pericarp thickness, number of locules, and yield traits were major contributors to genetic divergence. The agreement among multivariate methods reinforces the reliability of cluster analysis for parent selection in tomato improvement programs.</w:t>
      </w:r>
    </w:p>
    <w:p w14:paraId="6B4D62BC" w14:textId="77777777" w:rsidR="00790ADA" w:rsidRPr="00477B79" w:rsidRDefault="00790ADA" w:rsidP="00F265FC">
      <w:pPr>
        <w:pStyle w:val="Body"/>
        <w:spacing w:after="0" w:line="360" w:lineRule="auto"/>
        <w:rPr>
          <w:rFonts w:ascii="Arial" w:hAnsi="Arial" w:cs="Arial"/>
          <w:bCs/>
        </w:rPr>
      </w:pPr>
    </w:p>
    <w:p w14:paraId="12D1ACBA" w14:textId="77777777" w:rsidR="00231920" w:rsidRPr="00477B79" w:rsidRDefault="00863BD3" w:rsidP="00F265FC">
      <w:pPr>
        <w:pStyle w:val="Body"/>
        <w:spacing w:after="0" w:line="360" w:lineRule="auto"/>
        <w:rPr>
          <w:rFonts w:ascii="Arial" w:hAnsi="Arial" w:cs="Arial"/>
          <w:bCs/>
        </w:rPr>
      </w:pPr>
      <w:r w:rsidRPr="00477B79">
        <w:rPr>
          <w:rFonts w:ascii="Arial" w:hAnsi="Arial" w:cs="Arial"/>
          <w:bCs/>
        </w:rPr>
        <w:t xml:space="preserve"> </w:t>
      </w:r>
    </w:p>
    <w:p w14:paraId="10DC1ABD" w14:textId="77777777" w:rsidR="00790ADA" w:rsidRPr="00477B79" w:rsidRDefault="00790ADA" w:rsidP="00F265FC">
      <w:pPr>
        <w:pStyle w:val="Body"/>
        <w:spacing w:after="0" w:line="360" w:lineRule="auto"/>
        <w:rPr>
          <w:rFonts w:ascii="Arial" w:hAnsi="Arial" w:cs="Arial"/>
          <w:bCs/>
        </w:rPr>
      </w:pPr>
    </w:p>
    <w:p w14:paraId="66FA7CDB" w14:textId="16AFF2AA" w:rsidR="000F4E41" w:rsidRPr="00994396" w:rsidRDefault="009500A6" w:rsidP="00F265FC">
      <w:pPr>
        <w:spacing w:line="360" w:lineRule="auto"/>
        <w:jc w:val="both"/>
        <w:rPr>
          <w:rFonts w:ascii="Arial" w:hAnsi="Arial" w:cs="Arial"/>
          <w:b/>
          <w:sz w:val="22"/>
        </w:rPr>
      </w:pPr>
      <w:r w:rsidRPr="00994396">
        <w:rPr>
          <w:rFonts w:ascii="Arial" w:hAnsi="Arial" w:cs="Arial"/>
          <w:b/>
          <w:sz w:val="22"/>
        </w:rPr>
        <w:t>Table 1.</w:t>
      </w:r>
      <w:r w:rsidR="000F4E41" w:rsidRPr="00994396">
        <w:rPr>
          <w:rFonts w:ascii="Arial" w:hAnsi="Arial" w:cs="Arial"/>
          <w:b/>
          <w:sz w:val="22"/>
        </w:rPr>
        <w:t xml:space="preserve"> Analysis of variance (ANOVA) f</w:t>
      </w:r>
      <w:r w:rsidR="000F4E41" w:rsidRPr="00994396">
        <w:rPr>
          <w:rFonts w:ascii="Arial" w:hAnsi="Arial" w:cs="Arial"/>
          <w:b/>
          <w:iCs/>
          <w:sz w:val="22"/>
        </w:rPr>
        <w:t xml:space="preserve">or morphological traits among </w:t>
      </w:r>
      <w:r w:rsidR="000F4E41" w:rsidRPr="00994396">
        <w:rPr>
          <w:rFonts w:ascii="Arial" w:hAnsi="Arial" w:cs="Arial"/>
          <w:b/>
          <w:sz w:val="22"/>
        </w:rPr>
        <w:t>24 tomato genotypes comprising 21 induced mutants, one parent genotype, and two standard checks</w:t>
      </w:r>
    </w:p>
    <w:p w14:paraId="3294C03E" w14:textId="77777777" w:rsidR="00863BD3" w:rsidRPr="000F4E41" w:rsidRDefault="00863BD3" w:rsidP="00F265FC">
      <w:pPr>
        <w:tabs>
          <w:tab w:val="left" w:pos="1080"/>
        </w:tabs>
        <w:spacing w:line="360" w:lineRule="auto"/>
        <w:jc w:val="both"/>
        <w:rPr>
          <w:rFonts w:ascii="Arial" w:hAnsi="Arial" w:cs="Arial"/>
          <w:b/>
        </w:rPr>
      </w:pPr>
    </w:p>
    <w:tbl>
      <w:tblPr>
        <w:tblStyle w:val="TableGrid"/>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2E0" w:firstRow="1" w:lastRow="1" w:firstColumn="1" w:lastColumn="0" w:noHBand="1" w:noVBand="0"/>
      </w:tblPr>
      <w:tblGrid>
        <w:gridCol w:w="1752"/>
        <w:gridCol w:w="1231"/>
        <w:gridCol w:w="763"/>
        <w:gridCol w:w="1134"/>
        <w:gridCol w:w="1134"/>
        <w:gridCol w:w="1134"/>
        <w:gridCol w:w="1276"/>
      </w:tblGrid>
      <w:tr w:rsidR="000F4E41" w:rsidRPr="001D7352" w14:paraId="738C5F09" w14:textId="77777777" w:rsidTr="000B5C76">
        <w:trPr>
          <w:trHeight w:val="232"/>
        </w:trPr>
        <w:tc>
          <w:tcPr>
            <w:tcW w:w="0" w:type="auto"/>
            <w:hideMark/>
          </w:tcPr>
          <w:p w14:paraId="0F9FC678" w14:textId="77777777" w:rsidR="000F4E41" w:rsidRPr="001D7352" w:rsidRDefault="000F4E41" w:rsidP="00F265FC">
            <w:pPr>
              <w:spacing w:line="360" w:lineRule="auto"/>
              <w:rPr>
                <w:rFonts w:asciiTheme="majorBidi" w:hAnsiTheme="majorBidi" w:cstheme="majorBidi"/>
              </w:rPr>
            </w:pPr>
          </w:p>
        </w:tc>
        <w:tc>
          <w:tcPr>
            <w:tcW w:w="0" w:type="auto"/>
            <w:hideMark/>
          </w:tcPr>
          <w:p w14:paraId="7F8DA90E"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sz w:val="24"/>
                <w:szCs w:val="24"/>
              </w:rPr>
              <w:t>Source</w:t>
            </w:r>
          </w:p>
        </w:tc>
        <w:tc>
          <w:tcPr>
            <w:tcW w:w="763" w:type="dxa"/>
            <w:hideMark/>
          </w:tcPr>
          <w:p w14:paraId="789B7884"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sz w:val="24"/>
                <w:szCs w:val="24"/>
              </w:rPr>
              <w:t>df</w:t>
            </w:r>
          </w:p>
        </w:tc>
        <w:tc>
          <w:tcPr>
            <w:tcW w:w="1134" w:type="dxa"/>
            <w:hideMark/>
          </w:tcPr>
          <w:p w14:paraId="7F6B58A9"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sz w:val="24"/>
                <w:szCs w:val="24"/>
              </w:rPr>
              <w:t>Sum Sq</w:t>
            </w:r>
          </w:p>
        </w:tc>
        <w:tc>
          <w:tcPr>
            <w:tcW w:w="1134" w:type="dxa"/>
            <w:hideMark/>
          </w:tcPr>
          <w:p w14:paraId="54353D36"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sz w:val="24"/>
                <w:szCs w:val="24"/>
              </w:rPr>
              <w:t>Mean Sq</w:t>
            </w:r>
          </w:p>
        </w:tc>
        <w:tc>
          <w:tcPr>
            <w:tcW w:w="1134" w:type="dxa"/>
            <w:hideMark/>
          </w:tcPr>
          <w:p w14:paraId="197A1729"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sz w:val="24"/>
                <w:szCs w:val="24"/>
              </w:rPr>
              <w:t>F value</w:t>
            </w:r>
          </w:p>
        </w:tc>
        <w:tc>
          <w:tcPr>
            <w:tcW w:w="1276" w:type="dxa"/>
          </w:tcPr>
          <w:p w14:paraId="7BD751DD"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i/>
                <w:iCs/>
                <w:sz w:val="24"/>
                <w:szCs w:val="24"/>
              </w:rPr>
              <w:t>p</w:t>
            </w:r>
            <w:r w:rsidRPr="001D7352">
              <w:rPr>
                <w:rFonts w:asciiTheme="majorBidi" w:hAnsiTheme="majorBidi" w:cstheme="majorBidi"/>
                <w:b/>
                <w:bCs/>
                <w:sz w:val="24"/>
                <w:szCs w:val="24"/>
              </w:rPr>
              <w:t>-value</w:t>
            </w:r>
          </w:p>
          <w:p w14:paraId="0E6C808D" w14:textId="77777777" w:rsidR="000F4E41" w:rsidRPr="001D7352" w:rsidRDefault="000F4E41" w:rsidP="00F265FC">
            <w:pPr>
              <w:spacing w:line="360" w:lineRule="auto"/>
              <w:rPr>
                <w:rFonts w:asciiTheme="majorBidi" w:hAnsiTheme="majorBidi" w:cstheme="majorBidi"/>
                <w:b/>
                <w:bCs/>
                <w:sz w:val="24"/>
                <w:szCs w:val="24"/>
              </w:rPr>
            </w:pPr>
          </w:p>
        </w:tc>
      </w:tr>
      <w:tr w:rsidR="000F4E41" w:rsidRPr="001D7352" w14:paraId="0A783415" w14:textId="77777777" w:rsidTr="000B5C76">
        <w:trPr>
          <w:trHeight w:val="266"/>
        </w:trPr>
        <w:tc>
          <w:tcPr>
            <w:tcW w:w="0" w:type="auto"/>
            <w:hideMark/>
          </w:tcPr>
          <w:p w14:paraId="6B26D6D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Length of fruit (mm)</w:t>
            </w:r>
          </w:p>
        </w:tc>
        <w:tc>
          <w:tcPr>
            <w:tcW w:w="0" w:type="auto"/>
            <w:hideMark/>
          </w:tcPr>
          <w:p w14:paraId="4C0D495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34C2F72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369072A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171.9</w:t>
            </w:r>
          </w:p>
        </w:tc>
        <w:tc>
          <w:tcPr>
            <w:tcW w:w="1134" w:type="dxa"/>
            <w:hideMark/>
          </w:tcPr>
          <w:p w14:paraId="5E8A4DB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85.94</w:t>
            </w:r>
          </w:p>
        </w:tc>
        <w:tc>
          <w:tcPr>
            <w:tcW w:w="1134" w:type="dxa"/>
            <w:hideMark/>
          </w:tcPr>
          <w:p w14:paraId="7AD3A33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2.77</w:t>
            </w:r>
          </w:p>
        </w:tc>
        <w:tc>
          <w:tcPr>
            <w:tcW w:w="1276" w:type="dxa"/>
            <w:hideMark/>
          </w:tcPr>
          <w:p w14:paraId="242A6BD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.073</w:t>
            </w:r>
          </w:p>
        </w:tc>
      </w:tr>
      <w:tr w:rsidR="000F4E41" w:rsidRPr="001D7352" w14:paraId="0E0BC77A" w14:textId="77777777" w:rsidTr="000B5C76">
        <w:trPr>
          <w:trHeight w:val="232"/>
        </w:trPr>
        <w:tc>
          <w:tcPr>
            <w:tcW w:w="0" w:type="auto"/>
            <w:hideMark/>
          </w:tcPr>
          <w:p w14:paraId="4072D1B6" w14:textId="77777777" w:rsidR="000F4E41" w:rsidRPr="001D7352" w:rsidRDefault="000F4E41" w:rsidP="00F265FC">
            <w:pPr>
              <w:spacing w:line="360" w:lineRule="auto"/>
              <w:rPr>
                <w:rFonts w:asciiTheme="majorBidi" w:hAnsiTheme="majorBidi" w:cstheme="majorBidi"/>
              </w:rPr>
            </w:pPr>
          </w:p>
        </w:tc>
        <w:tc>
          <w:tcPr>
            <w:tcW w:w="0" w:type="auto"/>
            <w:hideMark/>
          </w:tcPr>
          <w:p w14:paraId="0FE402E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3950B60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68632CE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28,253.4</w:t>
            </w:r>
          </w:p>
        </w:tc>
        <w:tc>
          <w:tcPr>
            <w:tcW w:w="1134" w:type="dxa"/>
            <w:hideMark/>
          </w:tcPr>
          <w:p w14:paraId="3FBDE93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1228.41</w:t>
            </w:r>
          </w:p>
        </w:tc>
        <w:tc>
          <w:tcPr>
            <w:tcW w:w="1134" w:type="dxa"/>
            <w:hideMark/>
          </w:tcPr>
          <w:p w14:paraId="73A8BA45"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39.53</w:t>
            </w:r>
          </w:p>
        </w:tc>
        <w:tc>
          <w:tcPr>
            <w:tcW w:w="1276" w:type="dxa"/>
            <w:hideMark/>
          </w:tcPr>
          <w:p w14:paraId="2AFEDA5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465883AB" w14:textId="77777777" w:rsidTr="000B5C76">
        <w:trPr>
          <w:trHeight w:val="232"/>
        </w:trPr>
        <w:tc>
          <w:tcPr>
            <w:tcW w:w="0" w:type="auto"/>
            <w:hideMark/>
          </w:tcPr>
          <w:p w14:paraId="74F054CE" w14:textId="77777777" w:rsidR="000F4E41" w:rsidRPr="001D7352" w:rsidRDefault="000F4E41" w:rsidP="00F265FC">
            <w:pPr>
              <w:spacing w:line="360" w:lineRule="auto"/>
              <w:rPr>
                <w:rFonts w:asciiTheme="majorBidi" w:hAnsiTheme="majorBidi" w:cstheme="majorBidi"/>
              </w:rPr>
            </w:pPr>
          </w:p>
        </w:tc>
        <w:tc>
          <w:tcPr>
            <w:tcW w:w="0" w:type="auto"/>
            <w:hideMark/>
          </w:tcPr>
          <w:p w14:paraId="42F2599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666418A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2913736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1429.6</w:t>
            </w:r>
          </w:p>
        </w:tc>
        <w:tc>
          <w:tcPr>
            <w:tcW w:w="1134" w:type="dxa"/>
            <w:hideMark/>
          </w:tcPr>
          <w:p w14:paraId="6A3DEB2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31.08</w:t>
            </w:r>
          </w:p>
        </w:tc>
        <w:tc>
          <w:tcPr>
            <w:tcW w:w="1134" w:type="dxa"/>
            <w:hideMark/>
          </w:tcPr>
          <w:p w14:paraId="64727F92" w14:textId="77777777" w:rsidR="000F4E41" w:rsidRPr="001D7352" w:rsidRDefault="000F4E41" w:rsidP="00F265FC">
            <w:pPr>
              <w:spacing w:line="360" w:lineRule="auto"/>
              <w:rPr>
                <w:rFonts w:asciiTheme="majorBidi" w:hAnsiTheme="majorBidi" w:cstheme="majorBidi"/>
              </w:rPr>
            </w:pPr>
          </w:p>
        </w:tc>
        <w:tc>
          <w:tcPr>
            <w:tcW w:w="1276" w:type="dxa"/>
            <w:hideMark/>
          </w:tcPr>
          <w:p w14:paraId="1794E66C"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21C5794F" w14:textId="77777777" w:rsidTr="000B5C76">
        <w:trPr>
          <w:trHeight w:val="266"/>
        </w:trPr>
        <w:tc>
          <w:tcPr>
            <w:tcW w:w="0" w:type="auto"/>
            <w:hideMark/>
          </w:tcPr>
          <w:p w14:paraId="4CC0071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Diameter of fruit (mm)</w:t>
            </w:r>
          </w:p>
        </w:tc>
        <w:tc>
          <w:tcPr>
            <w:tcW w:w="0" w:type="auto"/>
            <w:hideMark/>
          </w:tcPr>
          <w:p w14:paraId="7DDC101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7E62E27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329665B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205.9</w:t>
            </w:r>
          </w:p>
        </w:tc>
        <w:tc>
          <w:tcPr>
            <w:tcW w:w="1134" w:type="dxa"/>
            <w:hideMark/>
          </w:tcPr>
          <w:p w14:paraId="4EC8F4C5"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102.93</w:t>
            </w:r>
          </w:p>
        </w:tc>
        <w:tc>
          <w:tcPr>
            <w:tcW w:w="1134" w:type="dxa"/>
            <w:hideMark/>
          </w:tcPr>
          <w:p w14:paraId="0E631AD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9.37</w:t>
            </w:r>
          </w:p>
        </w:tc>
        <w:tc>
          <w:tcPr>
            <w:tcW w:w="1276" w:type="dxa"/>
            <w:hideMark/>
          </w:tcPr>
          <w:p w14:paraId="0B0A35F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0B033B6B" w14:textId="77777777" w:rsidTr="000B5C76">
        <w:trPr>
          <w:trHeight w:val="232"/>
        </w:trPr>
        <w:tc>
          <w:tcPr>
            <w:tcW w:w="0" w:type="auto"/>
            <w:hideMark/>
          </w:tcPr>
          <w:p w14:paraId="2FCB9C19" w14:textId="77777777" w:rsidR="000F4E41" w:rsidRPr="001D7352" w:rsidRDefault="000F4E41" w:rsidP="00F265FC">
            <w:pPr>
              <w:spacing w:line="360" w:lineRule="auto"/>
              <w:rPr>
                <w:rFonts w:asciiTheme="majorBidi" w:hAnsiTheme="majorBidi" w:cstheme="majorBidi"/>
              </w:rPr>
            </w:pPr>
          </w:p>
        </w:tc>
        <w:tc>
          <w:tcPr>
            <w:tcW w:w="0" w:type="auto"/>
            <w:hideMark/>
          </w:tcPr>
          <w:p w14:paraId="3130411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233E4A0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27A9CDC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5982.8</w:t>
            </w:r>
          </w:p>
        </w:tc>
        <w:tc>
          <w:tcPr>
            <w:tcW w:w="1134" w:type="dxa"/>
            <w:hideMark/>
          </w:tcPr>
          <w:p w14:paraId="3846F9D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260.12</w:t>
            </w:r>
          </w:p>
        </w:tc>
        <w:tc>
          <w:tcPr>
            <w:tcW w:w="1134" w:type="dxa"/>
            <w:hideMark/>
          </w:tcPr>
          <w:p w14:paraId="15EC9F8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23.68</w:t>
            </w:r>
          </w:p>
        </w:tc>
        <w:tc>
          <w:tcPr>
            <w:tcW w:w="1276" w:type="dxa"/>
            <w:hideMark/>
          </w:tcPr>
          <w:p w14:paraId="31B1BF4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7F2E6A17" w14:textId="77777777" w:rsidTr="000B5C76">
        <w:trPr>
          <w:trHeight w:val="232"/>
        </w:trPr>
        <w:tc>
          <w:tcPr>
            <w:tcW w:w="0" w:type="auto"/>
            <w:hideMark/>
          </w:tcPr>
          <w:p w14:paraId="160B35B1" w14:textId="77777777" w:rsidR="000F4E41" w:rsidRPr="001D7352" w:rsidRDefault="000F4E41" w:rsidP="00F265FC">
            <w:pPr>
              <w:spacing w:line="360" w:lineRule="auto"/>
              <w:rPr>
                <w:rFonts w:asciiTheme="majorBidi" w:hAnsiTheme="majorBidi" w:cstheme="majorBidi"/>
              </w:rPr>
            </w:pPr>
          </w:p>
        </w:tc>
        <w:tc>
          <w:tcPr>
            <w:tcW w:w="0" w:type="auto"/>
            <w:hideMark/>
          </w:tcPr>
          <w:p w14:paraId="4717752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69F65FA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2BC0D85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505.3</w:t>
            </w:r>
          </w:p>
        </w:tc>
        <w:tc>
          <w:tcPr>
            <w:tcW w:w="1134" w:type="dxa"/>
            <w:hideMark/>
          </w:tcPr>
          <w:p w14:paraId="20379A4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10.99</w:t>
            </w:r>
          </w:p>
        </w:tc>
        <w:tc>
          <w:tcPr>
            <w:tcW w:w="1134" w:type="dxa"/>
            <w:hideMark/>
          </w:tcPr>
          <w:p w14:paraId="1026837E" w14:textId="77777777" w:rsidR="000F4E41" w:rsidRPr="001D7352" w:rsidRDefault="000F4E41" w:rsidP="00F265FC">
            <w:pPr>
              <w:spacing w:line="360" w:lineRule="auto"/>
              <w:rPr>
                <w:rFonts w:asciiTheme="majorBidi" w:hAnsiTheme="majorBidi" w:cstheme="majorBidi"/>
              </w:rPr>
            </w:pPr>
          </w:p>
        </w:tc>
        <w:tc>
          <w:tcPr>
            <w:tcW w:w="1276" w:type="dxa"/>
            <w:hideMark/>
          </w:tcPr>
          <w:p w14:paraId="308F2941"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21162446" w14:textId="77777777" w:rsidTr="000B5C76">
        <w:trPr>
          <w:trHeight w:val="380"/>
        </w:trPr>
        <w:tc>
          <w:tcPr>
            <w:tcW w:w="0" w:type="auto"/>
            <w:hideMark/>
          </w:tcPr>
          <w:p w14:paraId="32A8FF8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Pericarp thickness (mm)</w:t>
            </w:r>
          </w:p>
        </w:tc>
        <w:tc>
          <w:tcPr>
            <w:tcW w:w="0" w:type="auto"/>
            <w:hideMark/>
          </w:tcPr>
          <w:p w14:paraId="185E90D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7EE6680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6832E1E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0.524</w:t>
            </w:r>
          </w:p>
        </w:tc>
        <w:tc>
          <w:tcPr>
            <w:tcW w:w="1134" w:type="dxa"/>
            <w:hideMark/>
          </w:tcPr>
          <w:p w14:paraId="0310A49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0.262</w:t>
            </w:r>
          </w:p>
        </w:tc>
        <w:tc>
          <w:tcPr>
            <w:tcW w:w="1134" w:type="dxa"/>
            <w:hideMark/>
          </w:tcPr>
          <w:p w14:paraId="308740F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1.05</w:t>
            </w:r>
          </w:p>
        </w:tc>
        <w:tc>
          <w:tcPr>
            <w:tcW w:w="1276" w:type="dxa"/>
            <w:hideMark/>
          </w:tcPr>
          <w:p w14:paraId="4FD45D8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.358</w:t>
            </w:r>
          </w:p>
        </w:tc>
      </w:tr>
      <w:tr w:rsidR="000F4E41" w:rsidRPr="001D7352" w14:paraId="65AC06C4" w14:textId="77777777" w:rsidTr="000B5C76">
        <w:trPr>
          <w:trHeight w:val="232"/>
        </w:trPr>
        <w:tc>
          <w:tcPr>
            <w:tcW w:w="0" w:type="auto"/>
            <w:hideMark/>
          </w:tcPr>
          <w:p w14:paraId="697A456D" w14:textId="77777777" w:rsidR="000F4E41" w:rsidRPr="001D7352" w:rsidRDefault="000F4E41" w:rsidP="00F265FC">
            <w:pPr>
              <w:spacing w:line="360" w:lineRule="auto"/>
              <w:rPr>
                <w:rFonts w:asciiTheme="majorBidi" w:hAnsiTheme="majorBidi" w:cstheme="majorBidi"/>
              </w:rPr>
            </w:pPr>
          </w:p>
        </w:tc>
        <w:tc>
          <w:tcPr>
            <w:tcW w:w="0" w:type="auto"/>
            <w:hideMark/>
          </w:tcPr>
          <w:p w14:paraId="12C6690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60B8D44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2DB4058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157.755</w:t>
            </w:r>
          </w:p>
        </w:tc>
        <w:tc>
          <w:tcPr>
            <w:tcW w:w="1134" w:type="dxa"/>
            <w:hideMark/>
          </w:tcPr>
          <w:p w14:paraId="6E45CBA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6.859</w:t>
            </w:r>
          </w:p>
        </w:tc>
        <w:tc>
          <w:tcPr>
            <w:tcW w:w="1134" w:type="dxa"/>
            <w:hideMark/>
          </w:tcPr>
          <w:p w14:paraId="06A3F42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27.49</w:t>
            </w:r>
          </w:p>
        </w:tc>
        <w:tc>
          <w:tcPr>
            <w:tcW w:w="1276" w:type="dxa"/>
            <w:hideMark/>
          </w:tcPr>
          <w:p w14:paraId="5AD9840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579D77A0" w14:textId="77777777" w:rsidTr="000B5C76">
        <w:trPr>
          <w:trHeight w:val="232"/>
        </w:trPr>
        <w:tc>
          <w:tcPr>
            <w:tcW w:w="0" w:type="auto"/>
            <w:hideMark/>
          </w:tcPr>
          <w:p w14:paraId="138C8CCF" w14:textId="77777777" w:rsidR="000F4E41" w:rsidRPr="001D7352" w:rsidRDefault="000F4E41" w:rsidP="00F265FC">
            <w:pPr>
              <w:spacing w:line="360" w:lineRule="auto"/>
              <w:rPr>
                <w:rFonts w:asciiTheme="majorBidi" w:hAnsiTheme="majorBidi" w:cstheme="majorBidi"/>
              </w:rPr>
            </w:pPr>
          </w:p>
        </w:tc>
        <w:tc>
          <w:tcPr>
            <w:tcW w:w="0" w:type="auto"/>
            <w:hideMark/>
          </w:tcPr>
          <w:p w14:paraId="1202A17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09FA0C6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58BABD0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11.477</w:t>
            </w:r>
          </w:p>
        </w:tc>
        <w:tc>
          <w:tcPr>
            <w:tcW w:w="1134" w:type="dxa"/>
            <w:hideMark/>
          </w:tcPr>
          <w:p w14:paraId="0EF1DDA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0.250</w:t>
            </w:r>
          </w:p>
        </w:tc>
        <w:tc>
          <w:tcPr>
            <w:tcW w:w="1134" w:type="dxa"/>
            <w:hideMark/>
          </w:tcPr>
          <w:p w14:paraId="6FD12708" w14:textId="77777777" w:rsidR="000F4E41" w:rsidRPr="001D7352" w:rsidRDefault="000F4E41" w:rsidP="00F265FC">
            <w:pPr>
              <w:spacing w:line="360" w:lineRule="auto"/>
              <w:rPr>
                <w:rFonts w:asciiTheme="majorBidi" w:hAnsiTheme="majorBidi" w:cstheme="majorBidi"/>
              </w:rPr>
            </w:pPr>
          </w:p>
        </w:tc>
        <w:tc>
          <w:tcPr>
            <w:tcW w:w="1276" w:type="dxa"/>
            <w:hideMark/>
          </w:tcPr>
          <w:p w14:paraId="45D3562B"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61C223C0" w14:textId="77777777" w:rsidTr="000B5C76">
        <w:trPr>
          <w:trHeight w:val="266"/>
        </w:trPr>
        <w:tc>
          <w:tcPr>
            <w:tcW w:w="0" w:type="auto"/>
            <w:hideMark/>
          </w:tcPr>
          <w:p w14:paraId="4F03245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Fruit weight (g)</w:t>
            </w:r>
          </w:p>
        </w:tc>
        <w:tc>
          <w:tcPr>
            <w:tcW w:w="0" w:type="auto"/>
            <w:hideMark/>
          </w:tcPr>
          <w:p w14:paraId="4695268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62F48AA5"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5A77C836"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107</w:t>
            </w:r>
          </w:p>
        </w:tc>
        <w:tc>
          <w:tcPr>
            <w:tcW w:w="1134" w:type="dxa"/>
            <w:hideMark/>
          </w:tcPr>
          <w:p w14:paraId="4048AB8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53.45</w:t>
            </w:r>
          </w:p>
        </w:tc>
        <w:tc>
          <w:tcPr>
            <w:tcW w:w="1134" w:type="dxa"/>
            <w:hideMark/>
          </w:tcPr>
          <w:p w14:paraId="3EE8B00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1.50</w:t>
            </w:r>
          </w:p>
        </w:tc>
        <w:tc>
          <w:tcPr>
            <w:tcW w:w="1276" w:type="dxa"/>
            <w:hideMark/>
          </w:tcPr>
          <w:p w14:paraId="7FB51A6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.233</w:t>
            </w:r>
          </w:p>
        </w:tc>
      </w:tr>
      <w:tr w:rsidR="000F4E41" w:rsidRPr="001D7352" w14:paraId="2CC4DAB9" w14:textId="77777777" w:rsidTr="000B5C76">
        <w:trPr>
          <w:trHeight w:val="232"/>
        </w:trPr>
        <w:tc>
          <w:tcPr>
            <w:tcW w:w="0" w:type="auto"/>
            <w:hideMark/>
          </w:tcPr>
          <w:p w14:paraId="6FE26A38" w14:textId="77777777" w:rsidR="000F4E41" w:rsidRPr="001D7352" w:rsidRDefault="000F4E41" w:rsidP="00F265FC">
            <w:pPr>
              <w:spacing w:line="360" w:lineRule="auto"/>
              <w:rPr>
                <w:rFonts w:asciiTheme="majorBidi" w:hAnsiTheme="majorBidi" w:cstheme="majorBidi"/>
              </w:rPr>
            </w:pPr>
          </w:p>
        </w:tc>
        <w:tc>
          <w:tcPr>
            <w:tcW w:w="0" w:type="auto"/>
            <w:hideMark/>
          </w:tcPr>
          <w:p w14:paraId="5C11CEA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323163C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2BCDF9A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60,524</w:t>
            </w:r>
          </w:p>
        </w:tc>
        <w:tc>
          <w:tcPr>
            <w:tcW w:w="1134" w:type="dxa"/>
            <w:hideMark/>
          </w:tcPr>
          <w:p w14:paraId="17F02BA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2631.5</w:t>
            </w:r>
          </w:p>
        </w:tc>
        <w:tc>
          <w:tcPr>
            <w:tcW w:w="1134" w:type="dxa"/>
            <w:hideMark/>
          </w:tcPr>
          <w:p w14:paraId="73C77C4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74.05</w:t>
            </w:r>
          </w:p>
        </w:tc>
        <w:tc>
          <w:tcPr>
            <w:tcW w:w="1276" w:type="dxa"/>
            <w:hideMark/>
          </w:tcPr>
          <w:p w14:paraId="46F7D576"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5D6BEFB0" w14:textId="77777777" w:rsidTr="000B5C76">
        <w:trPr>
          <w:trHeight w:val="232"/>
        </w:trPr>
        <w:tc>
          <w:tcPr>
            <w:tcW w:w="0" w:type="auto"/>
            <w:hideMark/>
          </w:tcPr>
          <w:p w14:paraId="1707B04B" w14:textId="77777777" w:rsidR="000F4E41" w:rsidRPr="001D7352" w:rsidRDefault="000F4E41" w:rsidP="00F265FC">
            <w:pPr>
              <w:spacing w:line="360" w:lineRule="auto"/>
              <w:rPr>
                <w:rFonts w:asciiTheme="majorBidi" w:hAnsiTheme="majorBidi" w:cstheme="majorBidi"/>
              </w:rPr>
            </w:pPr>
          </w:p>
        </w:tc>
        <w:tc>
          <w:tcPr>
            <w:tcW w:w="0" w:type="auto"/>
            <w:hideMark/>
          </w:tcPr>
          <w:p w14:paraId="1D02F2D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152B8B96"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4296ACA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1635</w:t>
            </w:r>
          </w:p>
        </w:tc>
        <w:tc>
          <w:tcPr>
            <w:tcW w:w="1134" w:type="dxa"/>
            <w:hideMark/>
          </w:tcPr>
          <w:p w14:paraId="296AF84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35.54</w:t>
            </w:r>
          </w:p>
        </w:tc>
        <w:tc>
          <w:tcPr>
            <w:tcW w:w="1134" w:type="dxa"/>
            <w:hideMark/>
          </w:tcPr>
          <w:p w14:paraId="07C3CC09" w14:textId="77777777" w:rsidR="000F4E41" w:rsidRPr="001D7352" w:rsidRDefault="000F4E41" w:rsidP="00F265FC">
            <w:pPr>
              <w:spacing w:line="360" w:lineRule="auto"/>
              <w:rPr>
                <w:rFonts w:asciiTheme="majorBidi" w:hAnsiTheme="majorBidi" w:cstheme="majorBidi"/>
              </w:rPr>
            </w:pPr>
          </w:p>
        </w:tc>
        <w:tc>
          <w:tcPr>
            <w:tcW w:w="1276" w:type="dxa"/>
            <w:hideMark/>
          </w:tcPr>
          <w:p w14:paraId="7D771BA1"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4FC2960D" w14:textId="77777777" w:rsidTr="000B5C76">
        <w:trPr>
          <w:trHeight w:val="380"/>
        </w:trPr>
        <w:tc>
          <w:tcPr>
            <w:tcW w:w="0" w:type="auto"/>
            <w:hideMark/>
          </w:tcPr>
          <w:p w14:paraId="10D72B0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No. of primary branches</w:t>
            </w:r>
          </w:p>
        </w:tc>
        <w:tc>
          <w:tcPr>
            <w:tcW w:w="0" w:type="auto"/>
            <w:hideMark/>
          </w:tcPr>
          <w:p w14:paraId="299B4BB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45B49BF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3CCF856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14.53</w:t>
            </w:r>
          </w:p>
        </w:tc>
        <w:tc>
          <w:tcPr>
            <w:tcW w:w="1134" w:type="dxa"/>
            <w:hideMark/>
          </w:tcPr>
          <w:p w14:paraId="003DAF3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7.26</w:t>
            </w:r>
          </w:p>
        </w:tc>
        <w:tc>
          <w:tcPr>
            <w:tcW w:w="1134" w:type="dxa"/>
            <w:hideMark/>
          </w:tcPr>
          <w:p w14:paraId="5978837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0.83</w:t>
            </w:r>
          </w:p>
        </w:tc>
        <w:tc>
          <w:tcPr>
            <w:tcW w:w="1276" w:type="dxa"/>
            <w:hideMark/>
          </w:tcPr>
          <w:p w14:paraId="7F57361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.443</w:t>
            </w:r>
          </w:p>
        </w:tc>
      </w:tr>
      <w:tr w:rsidR="000F4E41" w:rsidRPr="001D7352" w14:paraId="37E4B4CC" w14:textId="77777777" w:rsidTr="000B5C76">
        <w:trPr>
          <w:trHeight w:val="232"/>
        </w:trPr>
        <w:tc>
          <w:tcPr>
            <w:tcW w:w="0" w:type="auto"/>
            <w:hideMark/>
          </w:tcPr>
          <w:p w14:paraId="77034311" w14:textId="77777777" w:rsidR="000F4E41" w:rsidRPr="001D7352" w:rsidRDefault="000F4E41" w:rsidP="00F265FC">
            <w:pPr>
              <w:spacing w:line="360" w:lineRule="auto"/>
              <w:rPr>
                <w:rFonts w:asciiTheme="majorBidi" w:hAnsiTheme="majorBidi" w:cstheme="majorBidi"/>
              </w:rPr>
            </w:pPr>
          </w:p>
        </w:tc>
        <w:tc>
          <w:tcPr>
            <w:tcW w:w="0" w:type="auto"/>
            <w:hideMark/>
          </w:tcPr>
          <w:p w14:paraId="5330D4E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13650B06"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26649BE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609.78</w:t>
            </w:r>
          </w:p>
        </w:tc>
        <w:tc>
          <w:tcPr>
            <w:tcW w:w="1134" w:type="dxa"/>
            <w:hideMark/>
          </w:tcPr>
          <w:p w14:paraId="7CBCD12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26.51</w:t>
            </w:r>
          </w:p>
        </w:tc>
        <w:tc>
          <w:tcPr>
            <w:tcW w:w="1134" w:type="dxa"/>
            <w:hideMark/>
          </w:tcPr>
          <w:p w14:paraId="72B03A1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3.02</w:t>
            </w:r>
          </w:p>
        </w:tc>
        <w:tc>
          <w:tcPr>
            <w:tcW w:w="1276" w:type="dxa"/>
            <w:hideMark/>
          </w:tcPr>
          <w:p w14:paraId="6DB0EF9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0E2187D0" w14:textId="77777777" w:rsidTr="000B5C76">
        <w:trPr>
          <w:trHeight w:val="232"/>
        </w:trPr>
        <w:tc>
          <w:tcPr>
            <w:tcW w:w="0" w:type="auto"/>
            <w:hideMark/>
          </w:tcPr>
          <w:p w14:paraId="5BF8C575" w14:textId="77777777" w:rsidR="000F4E41" w:rsidRPr="001D7352" w:rsidRDefault="000F4E41" w:rsidP="00F265FC">
            <w:pPr>
              <w:spacing w:line="360" w:lineRule="auto"/>
              <w:rPr>
                <w:rFonts w:asciiTheme="majorBidi" w:hAnsiTheme="majorBidi" w:cstheme="majorBidi"/>
              </w:rPr>
            </w:pPr>
          </w:p>
        </w:tc>
        <w:tc>
          <w:tcPr>
            <w:tcW w:w="0" w:type="auto"/>
            <w:hideMark/>
          </w:tcPr>
          <w:p w14:paraId="71BC010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548150F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000C470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403.47</w:t>
            </w:r>
          </w:p>
        </w:tc>
        <w:tc>
          <w:tcPr>
            <w:tcW w:w="1134" w:type="dxa"/>
            <w:hideMark/>
          </w:tcPr>
          <w:p w14:paraId="720DF14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8.77</w:t>
            </w:r>
          </w:p>
        </w:tc>
        <w:tc>
          <w:tcPr>
            <w:tcW w:w="1134" w:type="dxa"/>
            <w:hideMark/>
          </w:tcPr>
          <w:p w14:paraId="1BEEBFF6" w14:textId="77777777" w:rsidR="000F4E41" w:rsidRPr="001D7352" w:rsidRDefault="000F4E41" w:rsidP="00F265FC">
            <w:pPr>
              <w:spacing w:line="360" w:lineRule="auto"/>
              <w:rPr>
                <w:rFonts w:asciiTheme="majorBidi" w:hAnsiTheme="majorBidi" w:cstheme="majorBidi"/>
              </w:rPr>
            </w:pPr>
          </w:p>
        </w:tc>
        <w:tc>
          <w:tcPr>
            <w:tcW w:w="1276" w:type="dxa"/>
            <w:hideMark/>
          </w:tcPr>
          <w:p w14:paraId="31470F45"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1711FB26" w14:textId="77777777" w:rsidTr="000B5C76">
        <w:trPr>
          <w:trHeight w:val="266"/>
        </w:trPr>
        <w:tc>
          <w:tcPr>
            <w:tcW w:w="0" w:type="auto"/>
            <w:hideMark/>
          </w:tcPr>
          <w:p w14:paraId="3763DD7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Yield per plant (g)</w:t>
            </w:r>
          </w:p>
        </w:tc>
        <w:tc>
          <w:tcPr>
            <w:tcW w:w="0" w:type="auto"/>
            <w:hideMark/>
          </w:tcPr>
          <w:p w14:paraId="0D33690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0851331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2E21FBB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5.88×10</w:t>
            </w:r>
            <w:r w:rsidRPr="001D7352">
              <w:rPr>
                <w:rFonts w:ascii="Cambria Math" w:hAnsi="Cambria Math" w:cs="Cambria Math"/>
              </w:rPr>
              <w:t>⁶</w:t>
            </w:r>
          </w:p>
        </w:tc>
        <w:tc>
          <w:tcPr>
            <w:tcW w:w="1134" w:type="dxa"/>
            <w:hideMark/>
          </w:tcPr>
          <w:p w14:paraId="68C310D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2.94×10</w:t>
            </w:r>
            <w:r w:rsidRPr="001D7352">
              <w:rPr>
                <w:rFonts w:ascii="Cambria Math" w:hAnsi="Cambria Math" w:cs="Cambria Math"/>
              </w:rPr>
              <w:t>⁶</w:t>
            </w:r>
          </w:p>
        </w:tc>
        <w:tc>
          <w:tcPr>
            <w:tcW w:w="1134" w:type="dxa"/>
            <w:hideMark/>
          </w:tcPr>
          <w:p w14:paraId="1E6B0FF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2.83</w:t>
            </w:r>
          </w:p>
        </w:tc>
        <w:tc>
          <w:tcPr>
            <w:tcW w:w="1276" w:type="dxa"/>
            <w:hideMark/>
          </w:tcPr>
          <w:p w14:paraId="0C50E94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.070</w:t>
            </w:r>
          </w:p>
        </w:tc>
      </w:tr>
      <w:tr w:rsidR="000F4E41" w:rsidRPr="001D7352" w14:paraId="2D0696BE" w14:textId="77777777" w:rsidTr="000B5C76">
        <w:trPr>
          <w:trHeight w:val="232"/>
        </w:trPr>
        <w:tc>
          <w:tcPr>
            <w:tcW w:w="0" w:type="auto"/>
            <w:hideMark/>
          </w:tcPr>
          <w:p w14:paraId="27DC96AE" w14:textId="77777777" w:rsidR="000F4E41" w:rsidRPr="001D7352" w:rsidRDefault="000F4E41" w:rsidP="00F265FC">
            <w:pPr>
              <w:spacing w:line="360" w:lineRule="auto"/>
              <w:rPr>
                <w:rFonts w:asciiTheme="majorBidi" w:hAnsiTheme="majorBidi" w:cstheme="majorBidi"/>
              </w:rPr>
            </w:pPr>
          </w:p>
        </w:tc>
        <w:tc>
          <w:tcPr>
            <w:tcW w:w="0" w:type="auto"/>
            <w:hideMark/>
          </w:tcPr>
          <w:p w14:paraId="548D5BB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4E035DE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7236677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8.31×10</w:t>
            </w:r>
            <w:r w:rsidRPr="001D7352">
              <w:rPr>
                <w:rFonts w:ascii="Cambria Math" w:hAnsi="Cambria Math" w:cs="Cambria Math"/>
              </w:rPr>
              <w:t>⁸</w:t>
            </w:r>
          </w:p>
        </w:tc>
        <w:tc>
          <w:tcPr>
            <w:tcW w:w="1134" w:type="dxa"/>
            <w:hideMark/>
          </w:tcPr>
          <w:p w14:paraId="2C2D414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3.61×10</w:t>
            </w:r>
            <w:r w:rsidRPr="001D7352">
              <w:rPr>
                <w:rFonts w:ascii="Cambria Math" w:hAnsi="Cambria Math" w:cs="Cambria Math"/>
              </w:rPr>
              <w:t>⁷</w:t>
            </w:r>
          </w:p>
        </w:tc>
        <w:tc>
          <w:tcPr>
            <w:tcW w:w="1134" w:type="dxa"/>
            <w:hideMark/>
          </w:tcPr>
          <w:p w14:paraId="5F2E78B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34.74</w:t>
            </w:r>
          </w:p>
        </w:tc>
        <w:tc>
          <w:tcPr>
            <w:tcW w:w="1276" w:type="dxa"/>
            <w:hideMark/>
          </w:tcPr>
          <w:p w14:paraId="14DAE81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6456EFE6" w14:textId="77777777" w:rsidTr="000B5C76">
        <w:trPr>
          <w:trHeight w:val="232"/>
        </w:trPr>
        <w:tc>
          <w:tcPr>
            <w:tcW w:w="0" w:type="auto"/>
            <w:hideMark/>
          </w:tcPr>
          <w:p w14:paraId="70D1CF70" w14:textId="77777777" w:rsidR="000F4E41" w:rsidRPr="001D7352" w:rsidRDefault="000F4E41" w:rsidP="00F265FC">
            <w:pPr>
              <w:spacing w:line="360" w:lineRule="auto"/>
              <w:rPr>
                <w:rFonts w:asciiTheme="majorBidi" w:hAnsiTheme="majorBidi" w:cstheme="majorBidi"/>
              </w:rPr>
            </w:pPr>
          </w:p>
        </w:tc>
        <w:tc>
          <w:tcPr>
            <w:tcW w:w="0" w:type="auto"/>
            <w:hideMark/>
          </w:tcPr>
          <w:p w14:paraId="3C0FE26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486DD78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38F2E3E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4.78×10</w:t>
            </w:r>
            <w:r w:rsidRPr="001D7352">
              <w:rPr>
                <w:rFonts w:ascii="Cambria Math" w:hAnsi="Cambria Math" w:cs="Cambria Math"/>
              </w:rPr>
              <w:t>⁷</w:t>
            </w:r>
          </w:p>
        </w:tc>
        <w:tc>
          <w:tcPr>
            <w:tcW w:w="1134" w:type="dxa"/>
            <w:hideMark/>
          </w:tcPr>
          <w:p w14:paraId="591F2C0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1.04×10</w:t>
            </w:r>
            <w:r w:rsidRPr="001D7352">
              <w:rPr>
                <w:rFonts w:ascii="Cambria Math" w:hAnsi="Cambria Math" w:cs="Cambria Math"/>
              </w:rPr>
              <w:t>⁶</w:t>
            </w:r>
          </w:p>
        </w:tc>
        <w:tc>
          <w:tcPr>
            <w:tcW w:w="1134" w:type="dxa"/>
            <w:hideMark/>
          </w:tcPr>
          <w:p w14:paraId="1BE7F696" w14:textId="77777777" w:rsidR="000F4E41" w:rsidRPr="001D7352" w:rsidRDefault="000F4E41" w:rsidP="00F265FC">
            <w:pPr>
              <w:spacing w:line="360" w:lineRule="auto"/>
              <w:rPr>
                <w:rFonts w:asciiTheme="majorBidi" w:hAnsiTheme="majorBidi" w:cstheme="majorBidi"/>
              </w:rPr>
            </w:pPr>
          </w:p>
        </w:tc>
        <w:tc>
          <w:tcPr>
            <w:tcW w:w="1276" w:type="dxa"/>
            <w:hideMark/>
          </w:tcPr>
          <w:p w14:paraId="2CEB9243"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789CA51B" w14:textId="77777777" w:rsidTr="000B5C76">
        <w:trPr>
          <w:trHeight w:val="266"/>
        </w:trPr>
        <w:tc>
          <w:tcPr>
            <w:tcW w:w="0" w:type="auto"/>
            <w:hideMark/>
          </w:tcPr>
          <w:p w14:paraId="763E496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Plant width (inch)</w:t>
            </w:r>
          </w:p>
        </w:tc>
        <w:tc>
          <w:tcPr>
            <w:tcW w:w="0" w:type="auto"/>
            <w:hideMark/>
          </w:tcPr>
          <w:p w14:paraId="4E93087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79B9072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4A549DB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0.0137</w:t>
            </w:r>
          </w:p>
        </w:tc>
        <w:tc>
          <w:tcPr>
            <w:tcW w:w="1134" w:type="dxa"/>
            <w:hideMark/>
          </w:tcPr>
          <w:p w14:paraId="2B34409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0.00684</w:t>
            </w:r>
          </w:p>
        </w:tc>
        <w:tc>
          <w:tcPr>
            <w:tcW w:w="1134" w:type="dxa"/>
            <w:hideMark/>
          </w:tcPr>
          <w:p w14:paraId="0E9EAE0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1.41</w:t>
            </w:r>
          </w:p>
        </w:tc>
        <w:tc>
          <w:tcPr>
            <w:tcW w:w="1276" w:type="dxa"/>
            <w:hideMark/>
          </w:tcPr>
          <w:p w14:paraId="7887463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.254</w:t>
            </w:r>
          </w:p>
        </w:tc>
      </w:tr>
      <w:tr w:rsidR="000F4E41" w:rsidRPr="001D7352" w14:paraId="461580B3" w14:textId="77777777" w:rsidTr="000B5C76">
        <w:trPr>
          <w:trHeight w:val="232"/>
        </w:trPr>
        <w:tc>
          <w:tcPr>
            <w:tcW w:w="0" w:type="auto"/>
            <w:hideMark/>
          </w:tcPr>
          <w:p w14:paraId="2C76FED0" w14:textId="77777777" w:rsidR="000F4E41" w:rsidRPr="001D7352" w:rsidRDefault="000F4E41" w:rsidP="00F265FC">
            <w:pPr>
              <w:spacing w:line="360" w:lineRule="auto"/>
              <w:rPr>
                <w:rFonts w:asciiTheme="majorBidi" w:hAnsiTheme="majorBidi" w:cstheme="majorBidi"/>
              </w:rPr>
            </w:pPr>
          </w:p>
        </w:tc>
        <w:tc>
          <w:tcPr>
            <w:tcW w:w="0" w:type="auto"/>
            <w:hideMark/>
          </w:tcPr>
          <w:p w14:paraId="6C1A2AB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42E6387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1511739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0.5477</w:t>
            </w:r>
          </w:p>
        </w:tc>
        <w:tc>
          <w:tcPr>
            <w:tcW w:w="1134" w:type="dxa"/>
            <w:hideMark/>
          </w:tcPr>
          <w:p w14:paraId="598B53F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0.02381</w:t>
            </w:r>
          </w:p>
        </w:tc>
        <w:tc>
          <w:tcPr>
            <w:tcW w:w="1134" w:type="dxa"/>
            <w:hideMark/>
          </w:tcPr>
          <w:p w14:paraId="512055B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4.92</w:t>
            </w:r>
          </w:p>
        </w:tc>
        <w:tc>
          <w:tcPr>
            <w:tcW w:w="1276" w:type="dxa"/>
            <w:hideMark/>
          </w:tcPr>
          <w:p w14:paraId="6084148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059C1852" w14:textId="77777777" w:rsidTr="000B5C76">
        <w:trPr>
          <w:trHeight w:val="232"/>
        </w:trPr>
        <w:tc>
          <w:tcPr>
            <w:tcW w:w="0" w:type="auto"/>
            <w:hideMark/>
          </w:tcPr>
          <w:p w14:paraId="41F72932" w14:textId="77777777" w:rsidR="000F4E41" w:rsidRPr="001D7352" w:rsidRDefault="000F4E41" w:rsidP="00F265FC">
            <w:pPr>
              <w:spacing w:line="360" w:lineRule="auto"/>
              <w:rPr>
                <w:rFonts w:asciiTheme="majorBidi" w:hAnsiTheme="majorBidi" w:cstheme="majorBidi"/>
              </w:rPr>
            </w:pPr>
          </w:p>
        </w:tc>
        <w:tc>
          <w:tcPr>
            <w:tcW w:w="0" w:type="auto"/>
            <w:hideMark/>
          </w:tcPr>
          <w:p w14:paraId="41F438A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512E688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7C6D31F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0.2225</w:t>
            </w:r>
          </w:p>
        </w:tc>
        <w:tc>
          <w:tcPr>
            <w:tcW w:w="1134" w:type="dxa"/>
            <w:hideMark/>
          </w:tcPr>
          <w:p w14:paraId="042408D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0.00484</w:t>
            </w:r>
          </w:p>
        </w:tc>
        <w:tc>
          <w:tcPr>
            <w:tcW w:w="1134" w:type="dxa"/>
            <w:hideMark/>
          </w:tcPr>
          <w:p w14:paraId="7574B842" w14:textId="77777777" w:rsidR="000F4E41" w:rsidRPr="001D7352" w:rsidRDefault="000F4E41" w:rsidP="00F265FC">
            <w:pPr>
              <w:spacing w:line="360" w:lineRule="auto"/>
              <w:rPr>
                <w:rFonts w:asciiTheme="majorBidi" w:hAnsiTheme="majorBidi" w:cstheme="majorBidi"/>
              </w:rPr>
            </w:pPr>
          </w:p>
        </w:tc>
        <w:tc>
          <w:tcPr>
            <w:tcW w:w="1276" w:type="dxa"/>
            <w:hideMark/>
          </w:tcPr>
          <w:p w14:paraId="19CDC21A"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2AA2BC7F" w14:textId="77777777" w:rsidTr="000B5C76">
        <w:trPr>
          <w:trHeight w:val="266"/>
        </w:trPr>
        <w:tc>
          <w:tcPr>
            <w:tcW w:w="0" w:type="auto"/>
            <w:hideMark/>
          </w:tcPr>
          <w:p w14:paraId="505DB01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Plant height (ft)</w:t>
            </w:r>
          </w:p>
        </w:tc>
        <w:tc>
          <w:tcPr>
            <w:tcW w:w="0" w:type="auto"/>
            <w:hideMark/>
          </w:tcPr>
          <w:p w14:paraId="35396C4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76FC88C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511947F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0.033</w:t>
            </w:r>
          </w:p>
        </w:tc>
        <w:tc>
          <w:tcPr>
            <w:tcW w:w="1134" w:type="dxa"/>
            <w:hideMark/>
          </w:tcPr>
          <w:p w14:paraId="51E99AD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0.0163</w:t>
            </w:r>
          </w:p>
        </w:tc>
        <w:tc>
          <w:tcPr>
            <w:tcW w:w="1134" w:type="dxa"/>
            <w:hideMark/>
          </w:tcPr>
          <w:p w14:paraId="09E58C4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0.18</w:t>
            </w:r>
          </w:p>
        </w:tc>
        <w:tc>
          <w:tcPr>
            <w:tcW w:w="1276" w:type="dxa"/>
            <w:hideMark/>
          </w:tcPr>
          <w:p w14:paraId="46439B1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.835</w:t>
            </w:r>
          </w:p>
        </w:tc>
      </w:tr>
      <w:tr w:rsidR="000F4E41" w:rsidRPr="001D7352" w14:paraId="0C17605D" w14:textId="77777777" w:rsidTr="000B5C76">
        <w:trPr>
          <w:trHeight w:val="232"/>
        </w:trPr>
        <w:tc>
          <w:tcPr>
            <w:tcW w:w="0" w:type="auto"/>
            <w:hideMark/>
          </w:tcPr>
          <w:p w14:paraId="40260B82" w14:textId="77777777" w:rsidR="000F4E41" w:rsidRPr="001D7352" w:rsidRDefault="000F4E41" w:rsidP="00F265FC">
            <w:pPr>
              <w:spacing w:line="360" w:lineRule="auto"/>
              <w:rPr>
                <w:rFonts w:asciiTheme="majorBidi" w:hAnsiTheme="majorBidi" w:cstheme="majorBidi"/>
              </w:rPr>
            </w:pPr>
          </w:p>
        </w:tc>
        <w:tc>
          <w:tcPr>
            <w:tcW w:w="0" w:type="auto"/>
            <w:hideMark/>
          </w:tcPr>
          <w:p w14:paraId="0E945CF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6CBFF275"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1AC5543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58.995</w:t>
            </w:r>
          </w:p>
        </w:tc>
        <w:tc>
          <w:tcPr>
            <w:tcW w:w="1134" w:type="dxa"/>
            <w:hideMark/>
          </w:tcPr>
          <w:p w14:paraId="1F3C701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2.565</w:t>
            </w:r>
          </w:p>
        </w:tc>
        <w:tc>
          <w:tcPr>
            <w:tcW w:w="1134" w:type="dxa"/>
            <w:hideMark/>
          </w:tcPr>
          <w:p w14:paraId="6CA3E47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28.59</w:t>
            </w:r>
          </w:p>
        </w:tc>
        <w:tc>
          <w:tcPr>
            <w:tcW w:w="1276" w:type="dxa"/>
            <w:hideMark/>
          </w:tcPr>
          <w:p w14:paraId="66815E9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3946605D" w14:textId="77777777" w:rsidTr="000B5C76">
        <w:trPr>
          <w:trHeight w:val="232"/>
        </w:trPr>
        <w:tc>
          <w:tcPr>
            <w:tcW w:w="0" w:type="auto"/>
            <w:hideMark/>
          </w:tcPr>
          <w:p w14:paraId="77D89384" w14:textId="77777777" w:rsidR="000F4E41" w:rsidRPr="001D7352" w:rsidRDefault="000F4E41" w:rsidP="00F265FC">
            <w:pPr>
              <w:spacing w:line="360" w:lineRule="auto"/>
              <w:rPr>
                <w:rFonts w:asciiTheme="majorBidi" w:hAnsiTheme="majorBidi" w:cstheme="majorBidi"/>
              </w:rPr>
            </w:pPr>
          </w:p>
        </w:tc>
        <w:tc>
          <w:tcPr>
            <w:tcW w:w="0" w:type="auto"/>
            <w:hideMark/>
          </w:tcPr>
          <w:p w14:paraId="4AA036F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7F68D5D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73DFFFC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4.128</w:t>
            </w:r>
          </w:p>
        </w:tc>
        <w:tc>
          <w:tcPr>
            <w:tcW w:w="1134" w:type="dxa"/>
            <w:hideMark/>
          </w:tcPr>
          <w:p w14:paraId="7364668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0.0897</w:t>
            </w:r>
          </w:p>
        </w:tc>
        <w:tc>
          <w:tcPr>
            <w:tcW w:w="1134" w:type="dxa"/>
            <w:hideMark/>
          </w:tcPr>
          <w:p w14:paraId="6DBD74BF" w14:textId="77777777" w:rsidR="000F4E41" w:rsidRPr="001D7352" w:rsidRDefault="000F4E41" w:rsidP="00F265FC">
            <w:pPr>
              <w:spacing w:line="360" w:lineRule="auto"/>
              <w:rPr>
                <w:rFonts w:asciiTheme="majorBidi" w:hAnsiTheme="majorBidi" w:cstheme="majorBidi"/>
              </w:rPr>
            </w:pPr>
          </w:p>
        </w:tc>
        <w:tc>
          <w:tcPr>
            <w:tcW w:w="1276" w:type="dxa"/>
            <w:hideMark/>
          </w:tcPr>
          <w:p w14:paraId="1834B668" w14:textId="77777777" w:rsidR="000F4E41" w:rsidRPr="001D7352" w:rsidRDefault="000F4E41" w:rsidP="00F265FC">
            <w:pPr>
              <w:spacing w:line="360" w:lineRule="auto"/>
              <w:rPr>
                <w:rFonts w:asciiTheme="majorBidi" w:hAnsiTheme="majorBidi" w:cstheme="majorBidi"/>
                <w:sz w:val="20"/>
                <w:szCs w:val="20"/>
                <w:lang w:eastAsia="en-IN"/>
              </w:rPr>
            </w:pPr>
          </w:p>
        </w:tc>
      </w:tr>
    </w:tbl>
    <w:p w14:paraId="5BEBAC8C" w14:textId="77777777" w:rsidR="00863BD3" w:rsidRDefault="00863BD3" w:rsidP="00F265FC">
      <w:pPr>
        <w:tabs>
          <w:tab w:val="left" w:pos="1080"/>
        </w:tabs>
        <w:spacing w:line="360" w:lineRule="auto"/>
        <w:jc w:val="both"/>
        <w:rPr>
          <w:rFonts w:ascii="Arial" w:hAnsi="Arial"/>
          <w:b/>
        </w:rPr>
      </w:pPr>
    </w:p>
    <w:p w14:paraId="7B474BC0" w14:textId="77777777" w:rsidR="000F4E41" w:rsidRPr="00994396" w:rsidRDefault="000F4E41" w:rsidP="00F265FC">
      <w:pPr>
        <w:pStyle w:val="Caption"/>
        <w:keepNext/>
        <w:spacing w:line="360" w:lineRule="auto"/>
        <w:rPr>
          <w:rFonts w:ascii="Arial" w:hAnsi="Arial" w:cs="Arial"/>
          <w:b/>
          <w:i w:val="0"/>
          <w:iCs w:val="0"/>
          <w:color w:val="auto"/>
          <w:sz w:val="22"/>
          <w:szCs w:val="20"/>
        </w:rPr>
      </w:pPr>
      <w:r w:rsidRPr="00994396">
        <w:rPr>
          <w:rFonts w:ascii="Arial" w:hAnsi="Arial" w:cs="Arial"/>
          <w:b/>
          <w:i w:val="0"/>
          <w:iCs w:val="0"/>
          <w:color w:val="auto"/>
          <w:sz w:val="22"/>
          <w:szCs w:val="20"/>
        </w:rPr>
        <w:t xml:space="preserve">Table </w:t>
      </w:r>
      <w:r w:rsidR="00BB1F14" w:rsidRPr="00994396">
        <w:rPr>
          <w:rFonts w:ascii="Arial" w:hAnsi="Arial" w:cs="Arial"/>
          <w:b/>
          <w:i w:val="0"/>
          <w:iCs w:val="0"/>
          <w:color w:val="auto"/>
          <w:sz w:val="22"/>
          <w:szCs w:val="20"/>
        </w:rPr>
        <w:fldChar w:fldCharType="begin"/>
      </w:r>
      <w:r w:rsidRPr="00994396">
        <w:rPr>
          <w:rFonts w:ascii="Arial" w:hAnsi="Arial" w:cs="Arial"/>
          <w:b/>
          <w:i w:val="0"/>
          <w:iCs w:val="0"/>
          <w:color w:val="auto"/>
          <w:sz w:val="22"/>
          <w:szCs w:val="20"/>
        </w:rPr>
        <w:instrText xml:space="preserve"> SEQ Table \* ARABIC </w:instrText>
      </w:r>
      <w:r w:rsidR="00BB1F14" w:rsidRPr="00994396">
        <w:rPr>
          <w:rFonts w:ascii="Arial" w:hAnsi="Arial" w:cs="Arial"/>
          <w:b/>
          <w:i w:val="0"/>
          <w:iCs w:val="0"/>
          <w:color w:val="auto"/>
          <w:sz w:val="22"/>
          <w:szCs w:val="20"/>
        </w:rPr>
        <w:fldChar w:fldCharType="separate"/>
      </w:r>
      <w:r w:rsidRPr="00994396">
        <w:rPr>
          <w:rFonts w:ascii="Arial" w:hAnsi="Arial" w:cs="Arial"/>
          <w:b/>
          <w:i w:val="0"/>
          <w:iCs w:val="0"/>
          <w:noProof/>
          <w:color w:val="auto"/>
          <w:sz w:val="22"/>
          <w:szCs w:val="20"/>
        </w:rPr>
        <w:t>2</w:t>
      </w:r>
      <w:r w:rsidR="00BB1F14" w:rsidRPr="00994396">
        <w:rPr>
          <w:rFonts w:ascii="Arial" w:hAnsi="Arial" w:cs="Arial"/>
          <w:b/>
          <w:i w:val="0"/>
          <w:iCs w:val="0"/>
          <w:color w:val="auto"/>
          <w:sz w:val="22"/>
          <w:szCs w:val="20"/>
        </w:rPr>
        <w:fldChar w:fldCharType="end"/>
      </w:r>
      <w:r w:rsidRPr="00994396">
        <w:rPr>
          <w:rFonts w:ascii="Arial" w:hAnsi="Arial" w:cs="Arial"/>
          <w:b/>
          <w:i w:val="0"/>
          <w:iCs w:val="0"/>
          <w:color w:val="auto"/>
          <w:sz w:val="22"/>
          <w:szCs w:val="20"/>
        </w:rPr>
        <w:t xml:space="preserve"> Estimates of genetic variability parameters including GCV, PCV, heritability, and genetic advance for key morphological traits in genotypes.</w:t>
      </w:r>
    </w:p>
    <w:p w14:paraId="7931FD3B" w14:textId="77777777" w:rsidR="000F4E41" w:rsidRPr="00DC3180" w:rsidRDefault="000F4E41" w:rsidP="00F265FC">
      <w:pPr>
        <w:tabs>
          <w:tab w:val="left" w:pos="1080"/>
        </w:tabs>
        <w:spacing w:line="360" w:lineRule="auto"/>
        <w:jc w:val="both"/>
        <w:rPr>
          <w:rFonts w:ascii="Arial" w:hAnsi="Arial"/>
          <w:b/>
        </w:rPr>
      </w:pPr>
    </w:p>
    <w:tbl>
      <w:tblPr>
        <w:tblStyle w:val="TableGrid"/>
        <w:tblW w:w="5000" w:type="pct"/>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942"/>
        <w:gridCol w:w="849"/>
        <w:gridCol w:w="849"/>
        <w:gridCol w:w="752"/>
        <w:gridCol w:w="947"/>
        <w:gridCol w:w="655"/>
        <w:gridCol w:w="655"/>
        <w:gridCol w:w="1114"/>
        <w:gridCol w:w="909"/>
        <w:gridCol w:w="752"/>
      </w:tblGrid>
      <w:tr w:rsidR="000F4E41" w:rsidRPr="001D7352" w14:paraId="46D9E568" w14:textId="77777777" w:rsidTr="00F425DE">
        <w:trPr>
          <w:trHeight w:val="709"/>
          <w:jc w:val="center"/>
        </w:trPr>
        <w:tc>
          <w:tcPr>
            <w:tcW w:w="0" w:type="auto"/>
            <w:hideMark/>
          </w:tcPr>
          <w:p w14:paraId="0DCCC3A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 xml:space="preserve">Trait      </w:t>
            </w:r>
          </w:p>
        </w:tc>
        <w:tc>
          <w:tcPr>
            <w:tcW w:w="0" w:type="auto"/>
            <w:hideMark/>
          </w:tcPr>
          <w:p w14:paraId="0379F9C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Mean</w:t>
            </w:r>
          </w:p>
        </w:tc>
        <w:tc>
          <w:tcPr>
            <w:tcW w:w="0" w:type="auto"/>
            <w:hideMark/>
          </w:tcPr>
          <w:p w14:paraId="79708F5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SD</w:t>
            </w:r>
          </w:p>
        </w:tc>
        <w:tc>
          <w:tcPr>
            <w:tcW w:w="0" w:type="auto"/>
            <w:hideMark/>
          </w:tcPr>
          <w:p w14:paraId="6E3848C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Min</w:t>
            </w:r>
          </w:p>
        </w:tc>
        <w:tc>
          <w:tcPr>
            <w:tcW w:w="0" w:type="auto"/>
            <w:hideMark/>
          </w:tcPr>
          <w:p w14:paraId="004D1FD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Max</w:t>
            </w:r>
          </w:p>
        </w:tc>
        <w:tc>
          <w:tcPr>
            <w:tcW w:w="0" w:type="auto"/>
            <w:hideMark/>
          </w:tcPr>
          <w:p w14:paraId="29CA2B7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GCV (%)</w:t>
            </w:r>
          </w:p>
        </w:tc>
        <w:tc>
          <w:tcPr>
            <w:tcW w:w="0" w:type="auto"/>
            <w:hideMark/>
          </w:tcPr>
          <w:p w14:paraId="4BF2DB0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PCV (%)</w:t>
            </w:r>
          </w:p>
        </w:tc>
        <w:tc>
          <w:tcPr>
            <w:tcW w:w="0" w:type="auto"/>
            <w:hideMark/>
          </w:tcPr>
          <w:p w14:paraId="3EC8D55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Heritability (H²)</w:t>
            </w:r>
          </w:p>
        </w:tc>
        <w:tc>
          <w:tcPr>
            <w:tcW w:w="0" w:type="auto"/>
            <w:hideMark/>
          </w:tcPr>
          <w:p w14:paraId="39AD168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Genetic Advance (GA)</w:t>
            </w:r>
          </w:p>
        </w:tc>
        <w:tc>
          <w:tcPr>
            <w:tcW w:w="0" w:type="auto"/>
            <w:hideMark/>
          </w:tcPr>
          <w:p w14:paraId="40458A5D"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GA as % of Mean</w:t>
            </w:r>
          </w:p>
        </w:tc>
      </w:tr>
      <w:tr w:rsidR="000F4E41" w:rsidRPr="001D7352" w14:paraId="4426A425" w14:textId="77777777" w:rsidTr="00F425DE">
        <w:trPr>
          <w:trHeight w:val="576"/>
          <w:jc w:val="center"/>
        </w:trPr>
        <w:tc>
          <w:tcPr>
            <w:tcW w:w="0" w:type="auto"/>
            <w:hideMark/>
          </w:tcPr>
          <w:p w14:paraId="3042958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Length of fruit (mm)</w:t>
            </w:r>
          </w:p>
        </w:tc>
        <w:tc>
          <w:tcPr>
            <w:tcW w:w="0" w:type="auto"/>
            <w:hideMark/>
          </w:tcPr>
          <w:p w14:paraId="056F589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44.32</w:t>
            </w:r>
          </w:p>
        </w:tc>
        <w:tc>
          <w:tcPr>
            <w:tcW w:w="0" w:type="auto"/>
            <w:hideMark/>
          </w:tcPr>
          <w:p w14:paraId="1BA5D4E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20.24</w:t>
            </w:r>
          </w:p>
        </w:tc>
        <w:tc>
          <w:tcPr>
            <w:tcW w:w="0" w:type="auto"/>
            <w:hideMark/>
          </w:tcPr>
          <w:p w14:paraId="43E538B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15.61</w:t>
            </w:r>
          </w:p>
        </w:tc>
        <w:tc>
          <w:tcPr>
            <w:tcW w:w="0" w:type="auto"/>
            <w:hideMark/>
          </w:tcPr>
          <w:p w14:paraId="4BBCE6E5"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87.70</w:t>
            </w:r>
          </w:p>
        </w:tc>
        <w:tc>
          <w:tcPr>
            <w:tcW w:w="0" w:type="auto"/>
            <w:hideMark/>
          </w:tcPr>
          <w:p w14:paraId="28F2BE0D"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45.08</w:t>
            </w:r>
          </w:p>
        </w:tc>
        <w:tc>
          <w:tcPr>
            <w:tcW w:w="0" w:type="auto"/>
            <w:hideMark/>
          </w:tcPr>
          <w:p w14:paraId="0371D0E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46.80</w:t>
            </w:r>
          </w:p>
        </w:tc>
        <w:tc>
          <w:tcPr>
            <w:tcW w:w="0" w:type="auto"/>
            <w:hideMark/>
          </w:tcPr>
          <w:p w14:paraId="406872D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0.93</w:t>
            </w:r>
          </w:p>
        </w:tc>
        <w:tc>
          <w:tcPr>
            <w:tcW w:w="0" w:type="auto"/>
            <w:hideMark/>
          </w:tcPr>
          <w:p w14:paraId="020A165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39.64</w:t>
            </w:r>
          </w:p>
        </w:tc>
        <w:tc>
          <w:tcPr>
            <w:tcW w:w="0" w:type="auto"/>
            <w:hideMark/>
          </w:tcPr>
          <w:p w14:paraId="5807F3F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89.45</w:t>
            </w:r>
          </w:p>
        </w:tc>
      </w:tr>
      <w:tr w:rsidR="000F4E41" w:rsidRPr="001D7352" w14:paraId="27319D8B" w14:textId="77777777" w:rsidTr="00F425DE">
        <w:trPr>
          <w:trHeight w:val="576"/>
          <w:jc w:val="center"/>
        </w:trPr>
        <w:tc>
          <w:tcPr>
            <w:tcW w:w="0" w:type="auto"/>
            <w:hideMark/>
          </w:tcPr>
          <w:p w14:paraId="1973FB6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Diameter of fruit (mm)</w:t>
            </w:r>
          </w:p>
        </w:tc>
        <w:tc>
          <w:tcPr>
            <w:tcW w:w="0" w:type="auto"/>
            <w:hideMark/>
          </w:tcPr>
          <w:p w14:paraId="117F8D3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30.64</w:t>
            </w:r>
          </w:p>
        </w:tc>
        <w:tc>
          <w:tcPr>
            <w:tcW w:w="0" w:type="auto"/>
            <w:hideMark/>
          </w:tcPr>
          <w:p w14:paraId="65590357"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9.31</w:t>
            </w:r>
          </w:p>
        </w:tc>
        <w:tc>
          <w:tcPr>
            <w:tcW w:w="0" w:type="auto"/>
            <w:hideMark/>
          </w:tcPr>
          <w:p w14:paraId="22E21FB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14.78</w:t>
            </w:r>
          </w:p>
        </w:tc>
        <w:tc>
          <w:tcPr>
            <w:tcW w:w="0" w:type="auto"/>
            <w:hideMark/>
          </w:tcPr>
          <w:p w14:paraId="57E658CF"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54.38</w:t>
            </w:r>
          </w:p>
        </w:tc>
        <w:tc>
          <w:tcPr>
            <w:tcW w:w="0" w:type="auto"/>
            <w:hideMark/>
          </w:tcPr>
          <w:p w14:paraId="3AE9EE0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29.74</w:t>
            </w:r>
          </w:p>
        </w:tc>
        <w:tc>
          <w:tcPr>
            <w:tcW w:w="0" w:type="auto"/>
            <w:hideMark/>
          </w:tcPr>
          <w:p w14:paraId="3B5DE49A"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31.65</w:t>
            </w:r>
          </w:p>
        </w:tc>
        <w:tc>
          <w:tcPr>
            <w:tcW w:w="0" w:type="auto"/>
            <w:hideMark/>
          </w:tcPr>
          <w:p w14:paraId="1C17C22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0.88</w:t>
            </w:r>
          </w:p>
        </w:tc>
        <w:tc>
          <w:tcPr>
            <w:tcW w:w="0" w:type="auto"/>
            <w:hideMark/>
          </w:tcPr>
          <w:p w14:paraId="56806D0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17.64</w:t>
            </w:r>
          </w:p>
        </w:tc>
        <w:tc>
          <w:tcPr>
            <w:tcW w:w="0" w:type="auto"/>
            <w:hideMark/>
          </w:tcPr>
          <w:p w14:paraId="17E42A25"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57.58</w:t>
            </w:r>
          </w:p>
        </w:tc>
      </w:tr>
      <w:tr w:rsidR="000F4E41" w:rsidRPr="001D7352" w14:paraId="2AAA77B8" w14:textId="77777777" w:rsidTr="00F425DE">
        <w:trPr>
          <w:trHeight w:val="443"/>
          <w:jc w:val="center"/>
        </w:trPr>
        <w:tc>
          <w:tcPr>
            <w:tcW w:w="0" w:type="auto"/>
            <w:hideMark/>
          </w:tcPr>
          <w:p w14:paraId="357597A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No. of locules</w:t>
            </w:r>
          </w:p>
        </w:tc>
        <w:tc>
          <w:tcPr>
            <w:tcW w:w="0" w:type="auto"/>
            <w:hideMark/>
          </w:tcPr>
          <w:p w14:paraId="7B47469E"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2.71</w:t>
            </w:r>
          </w:p>
        </w:tc>
        <w:tc>
          <w:tcPr>
            <w:tcW w:w="0" w:type="auto"/>
            <w:hideMark/>
          </w:tcPr>
          <w:p w14:paraId="786D05A5"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1.08</w:t>
            </w:r>
          </w:p>
        </w:tc>
        <w:tc>
          <w:tcPr>
            <w:tcW w:w="0" w:type="auto"/>
            <w:hideMark/>
          </w:tcPr>
          <w:p w14:paraId="097E7AAA"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2.00</w:t>
            </w:r>
          </w:p>
        </w:tc>
        <w:tc>
          <w:tcPr>
            <w:tcW w:w="0" w:type="auto"/>
            <w:hideMark/>
          </w:tcPr>
          <w:p w14:paraId="543478A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6.00</w:t>
            </w:r>
          </w:p>
        </w:tc>
        <w:tc>
          <w:tcPr>
            <w:tcW w:w="0" w:type="auto"/>
            <w:hideMark/>
          </w:tcPr>
          <w:p w14:paraId="7C04FDD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39.97</w:t>
            </w:r>
          </w:p>
        </w:tc>
        <w:tc>
          <w:tcPr>
            <w:tcW w:w="0" w:type="auto"/>
            <w:hideMark/>
          </w:tcPr>
          <w:p w14:paraId="668B589A"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39.97</w:t>
            </w:r>
          </w:p>
        </w:tc>
        <w:tc>
          <w:tcPr>
            <w:tcW w:w="0" w:type="auto"/>
            <w:hideMark/>
          </w:tcPr>
          <w:p w14:paraId="0AD3060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0.99</w:t>
            </w:r>
          </w:p>
        </w:tc>
        <w:tc>
          <w:tcPr>
            <w:tcW w:w="0" w:type="auto"/>
            <w:hideMark/>
          </w:tcPr>
          <w:p w14:paraId="5C9A2A1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2.23</w:t>
            </w:r>
          </w:p>
        </w:tc>
        <w:tc>
          <w:tcPr>
            <w:tcW w:w="0" w:type="auto"/>
            <w:hideMark/>
          </w:tcPr>
          <w:p w14:paraId="214D39AD"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82.35</w:t>
            </w:r>
          </w:p>
        </w:tc>
      </w:tr>
      <w:tr w:rsidR="000F4E41" w:rsidRPr="001D7352" w14:paraId="46BF5AC5" w14:textId="77777777" w:rsidTr="00F425DE">
        <w:trPr>
          <w:trHeight w:val="709"/>
          <w:jc w:val="center"/>
        </w:trPr>
        <w:tc>
          <w:tcPr>
            <w:tcW w:w="0" w:type="auto"/>
            <w:hideMark/>
          </w:tcPr>
          <w:p w14:paraId="68BF877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Pericarp thickness (mm)</w:t>
            </w:r>
          </w:p>
        </w:tc>
        <w:tc>
          <w:tcPr>
            <w:tcW w:w="0" w:type="auto"/>
            <w:hideMark/>
          </w:tcPr>
          <w:p w14:paraId="16BCADDC"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5.89</w:t>
            </w:r>
          </w:p>
        </w:tc>
        <w:tc>
          <w:tcPr>
            <w:tcW w:w="0" w:type="auto"/>
            <w:hideMark/>
          </w:tcPr>
          <w:p w14:paraId="5F668B4A"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1.51</w:t>
            </w:r>
          </w:p>
        </w:tc>
        <w:tc>
          <w:tcPr>
            <w:tcW w:w="0" w:type="auto"/>
            <w:hideMark/>
          </w:tcPr>
          <w:p w14:paraId="7BFA82D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3.32</w:t>
            </w:r>
          </w:p>
        </w:tc>
        <w:tc>
          <w:tcPr>
            <w:tcW w:w="0" w:type="auto"/>
            <w:hideMark/>
          </w:tcPr>
          <w:p w14:paraId="5479DCE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8.25</w:t>
            </w:r>
          </w:p>
        </w:tc>
        <w:tc>
          <w:tcPr>
            <w:tcW w:w="0" w:type="auto"/>
            <w:hideMark/>
          </w:tcPr>
          <w:p w14:paraId="621C545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25.19</w:t>
            </w:r>
          </w:p>
        </w:tc>
        <w:tc>
          <w:tcPr>
            <w:tcW w:w="0" w:type="auto"/>
            <w:hideMark/>
          </w:tcPr>
          <w:p w14:paraId="73DBB5C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26.58</w:t>
            </w:r>
          </w:p>
        </w:tc>
        <w:tc>
          <w:tcPr>
            <w:tcW w:w="0" w:type="auto"/>
            <w:hideMark/>
          </w:tcPr>
          <w:p w14:paraId="4ED9E4B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0.90</w:t>
            </w:r>
          </w:p>
        </w:tc>
        <w:tc>
          <w:tcPr>
            <w:tcW w:w="0" w:type="auto"/>
            <w:hideMark/>
          </w:tcPr>
          <w:p w14:paraId="182834B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2.90</w:t>
            </w:r>
          </w:p>
        </w:tc>
        <w:tc>
          <w:tcPr>
            <w:tcW w:w="0" w:type="auto"/>
            <w:hideMark/>
          </w:tcPr>
          <w:p w14:paraId="597A5FF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49.18</w:t>
            </w:r>
          </w:p>
        </w:tc>
      </w:tr>
      <w:tr w:rsidR="000F4E41" w:rsidRPr="001D7352" w14:paraId="4EF8C3F1" w14:textId="77777777" w:rsidTr="00F425DE">
        <w:trPr>
          <w:trHeight w:val="443"/>
          <w:jc w:val="center"/>
        </w:trPr>
        <w:tc>
          <w:tcPr>
            <w:tcW w:w="0" w:type="auto"/>
            <w:hideMark/>
          </w:tcPr>
          <w:p w14:paraId="360A169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Fruit weight (g)</w:t>
            </w:r>
          </w:p>
        </w:tc>
        <w:tc>
          <w:tcPr>
            <w:tcW w:w="0" w:type="auto"/>
            <w:hideMark/>
          </w:tcPr>
          <w:p w14:paraId="3C10EB8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45.39</w:t>
            </w:r>
          </w:p>
        </w:tc>
        <w:tc>
          <w:tcPr>
            <w:tcW w:w="0" w:type="auto"/>
            <w:hideMark/>
          </w:tcPr>
          <w:p w14:paraId="702889FC"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29.62</w:t>
            </w:r>
          </w:p>
        </w:tc>
        <w:tc>
          <w:tcPr>
            <w:tcW w:w="0" w:type="auto"/>
            <w:hideMark/>
          </w:tcPr>
          <w:p w14:paraId="5E42709F"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6.60</w:t>
            </w:r>
          </w:p>
        </w:tc>
        <w:tc>
          <w:tcPr>
            <w:tcW w:w="0" w:type="auto"/>
            <w:hideMark/>
          </w:tcPr>
          <w:p w14:paraId="35E7692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95.90</w:t>
            </w:r>
          </w:p>
        </w:tc>
        <w:tc>
          <w:tcPr>
            <w:tcW w:w="0" w:type="auto"/>
            <w:hideMark/>
          </w:tcPr>
          <w:p w14:paraId="09B95AB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64.80</w:t>
            </w:r>
          </w:p>
        </w:tc>
        <w:tc>
          <w:tcPr>
            <w:tcW w:w="0" w:type="auto"/>
            <w:hideMark/>
          </w:tcPr>
          <w:p w14:paraId="26D96FF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66.12</w:t>
            </w:r>
          </w:p>
        </w:tc>
        <w:tc>
          <w:tcPr>
            <w:tcW w:w="0" w:type="auto"/>
            <w:hideMark/>
          </w:tcPr>
          <w:p w14:paraId="7EA89ED5"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0.96</w:t>
            </w:r>
          </w:p>
        </w:tc>
        <w:tc>
          <w:tcPr>
            <w:tcW w:w="0" w:type="auto"/>
            <w:hideMark/>
          </w:tcPr>
          <w:p w14:paraId="25E23E4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59.39</w:t>
            </w:r>
          </w:p>
        </w:tc>
        <w:tc>
          <w:tcPr>
            <w:tcW w:w="0" w:type="auto"/>
            <w:hideMark/>
          </w:tcPr>
          <w:p w14:paraId="737AF43D"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130.83</w:t>
            </w:r>
          </w:p>
        </w:tc>
      </w:tr>
      <w:tr w:rsidR="000F4E41" w:rsidRPr="001D7352" w14:paraId="4B626213" w14:textId="77777777" w:rsidTr="00F425DE">
        <w:trPr>
          <w:trHeight w:val="709"/>
          <w:jc w:val="center"/>
        </w:trPr>
        <w:tc>
          <w:tcPr>
            <w:tcW w:w="0" w:type="auto"/>
            <w:hideMark/>
          </w:tcPr>
          <w:p w14:paraId="3881D117"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lastRenderedPageBreak/>
              <w:t>No. of primary branches</w:t>
            </w:r>
          </w:p>
        </w:tc>
        <w:tc>
          <w:tcPr>
            <w:tcW w:w="0" w:type="auto"/>
            <w:hideMark/>
          </w:tcPr>
          <w:p w14:paraId="673F1F5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19.56</w:t>
            </w:r>
          </w:p>
        </w:tc>
        <w:tc>
          <w:tcPr>
            <w:tcW w:w="0" w:type="auto"/>
            <w:hideMark/>
          </w:tcPr>
          <w:p w14:paraId="7BA2517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2.97</w:t>
            </w:r>
          </w:p>
        </w:tc>
        <w:tc>
          <w:tcPr>
            <w:tcW w:w="0" w:type="auto"/>
            <w:hideMark/>
          </w:tcPr>
          <w:p w14:paraId="1D1BAAD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14.00</w:t>
            </w:r>
          </w:p>
        </w:tc>
        <w:tc>
          <w:tcPr>
            <w:tcW w:w="0" w:type="auto"/>
            <w:hideMark/>
          </w:tcPr>
          <w:p w14:paraId="4976539F"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23.67</w:t>
            </w:r>
          </w:p>
        </w:tc>
        <w:tc>
          <w:tcPr>
            <w:tcW w:w="0" w:type="auto"/>
            <w:hideMark/>
          </w:tcPr>
          <w:p w14:paraId="5B72E037"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12.44</w:t>
            </w:r>
          </w:p>
        </w:tc>
        <w:tc>
          <w:tcPr>
            <w:tcW w:w="0" w:type="auto"/>
            <w:hideMark/>
          </w:tcPr>
          <w:p w14:paraId="6110759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19.60</w:t>
            </w:r>
          </w:p>
        </w:tc>
        <w:tc>
          <w:tcPr>
            <w:tcW w:w="0" w:type="auto"/>
            <w:hideMark/>
          </w:tcPr>
          <w:p w14:paraId="4F7B48D7"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0.40</w:t>
            </w:r>
          </w:p>
        </w:tc>
        <w:tc>
          <w:tcPr>
            <w:tcW w:w="0" w:type="auto"/>
            <w:hideMark/>
          </w:tcPr>
          <w:p w14:paraId="47A6420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3.18</w:t>
            </w:r>
          </w:p>
        </w:tc>
        <w:tc>
          <w:tcPr>
            <w:tcW w:w="0" w:type="auto"/>
            <w:hideMark/>
          </w:tcPr>
          <w:p w14:paraId="50403C9E"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16.26</w:t>
            </w:r>
          </w:p>
        </w:tc>
      </w:tr>
      <w:tr w:rsidR="000F4E41" w:rsidRPr="001D7352" w14:paraId="1765DE4D" w14:textId="77777777" w:rsidTr="00F425DE">
        <w:trPr>
          <w:trHeight w:val="443"/>
          <w:jc w:val="center"/>
        </w:trPr>
        <w:tc>
          <w:tcPr>
            <w:tcW w:w="0" w:type="auto"/>
            <w:hideMark/>
          </w:tcPr>
          <w:p w14:paraId="1859433A"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Fruits per truss</w:t>
            </w:r>
          </w:p>
        </w:tc>
        <w:tc>
          <w:tcPr>
            <w:tcW w:w="0" w:type="auto"/>
            <w:hideMark/>
          </w:tcPr>
          <w:p w14:paraId="3374D71F"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6.58</w:t>
            </w:r>
          </w:p>
        </w:tc>
        <w:tc>
          <w:tcPr>
            <w:tcW w:w="0" w:type="auto"/>
            <w:hideMark/>
          </w:tcPr>
          <w:p w14:paraId="246D8BF1"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1.98</w:t>
            </w:r>
          </w:p>
        </w:tc>
        <w:tc>
          <w:tcPr>
            <w:tcW w:w="0" w:type="auto"/>
            <w:hideMark/>
          </w:tcPr>
          <w:p w14:paraId="199E619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4.00</w:t>
            </w:r>
          </w:p>
        </w:tc>
        <w:tc>
          <w:tcPr>
            <w:tcW w:w="0" w:type="auto"/>
            <w:hideMark/>
          </w:tcPr>
          <w:p w14:paraId="6C118FF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12.00</w:t>
            </w:r>
          </w:p>
        </w:tc>
        <w:tc>
          <w:tcPr>
            <w:tcW w:w="0" w:type="auto"/>
            <w:hideMark/>
          </w:tcPr>
          <w:p w14:paraId="78CC57C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30.02</w:t>
            </w:r>
          </w:p>
        </w:tc>
        <w:tc>
          <w:tcPr>
            <w:tcW w:w="0" w:type="auto"/>
            <w:hideMark/>
          </w:tcPr>
          <w:p w14:paraId="5250934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30.02</w:t>
            </w:r>
          </w:p>
        </w:tc>
        <w:tc>
          <w:tcPr>
            <w:tcW w:w="0" w:type="auto"/>
            <w:hideMark/>
          </w:tcPr>
          <w:p w14:paraId="782E31B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0.99</w:t>
            </w:r>
          </w:p>
        </w:tc>
        <w:tc>
          <w:tcPr>
            <w:tcW w:w="0" w:type="auto"/>
            <w:hideMark/>
          </w:tcPr>
          <w:p w14:paraId="1F35A15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4.07</w:t>
            </w:r>
          </w:p>
        </w:tc>
        <w:tc>
          <w:tcPr>
            <w:tcW w:w="0" w:type="auto"/>
            <w:hideMark/>
          </w:tcPr>
          <w:p w14:paraId="677BE75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61.84</w:t>
            </w:r>
          </w:p>
        </w:tc>
      </w:tr>
      <w:tr w:rsidR="000F4E41" w:rsidRPr="001D7352" w14:paraId="6B1C91DA" w14:textId="77777777" w:rsidTr="00F425DE">
        <w:trPr>
          <w:trHeight w:val="576"/>
          <w:jc w:val="center"/>
        </w:trPr>
        <w:tc>
          <w:tcPr>
            <w:tcW w:w="0" w:type="auto"/>
            <w:hideMark/>
          </w:tcPr>
          <w:p w14:paraId="3A0DFB9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Yield per plant (g)</w:t>
            </w:r>
          </w:p>
        </w:tc>
        <w:tc>
          <w:tcPr>
            <w:tcW w:w="0" w:type="auto"/>
            <w:hideMark/>
          </w:tcPr>
          <w:p w14:paraId="45791ACE"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5298.39</w:t>
            </w:r>
          </w:p>
        </w:tc>
        <w:tc>
          <w:tcPr>
            <w:tcW w:w="0" w:type="auto"/>
            <w:hideMark/>
          </w:tcPr>
          <w:p w14:paraId="520639F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3469.58</w:t>
            </w:r>
          </w:p>
        </w:tc>
        <w:tc>
          <w:tcPr>
            <w:tcW w:w="0" w:type="auto"/>
            <w:hideMark/>
          </w:tcPr>
          <w:p w14:paraId="53EA662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882.67</w:t>
            </w:r>
          </w:p>
        </w:tc>
        <w:tc>
          <w:tcPr>
            <w:tcW w:w="0" w:type="auto"/>
            <w:hideMark/>
          </w:tcPr>
          <w:p w14:paraId="625D296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12492.80</w:t>
            </w:r>
          </w:p>
        </w:tc>
        <w:tc>
          <w:tcPr>
            <w:tcW w:w="0" w:type="auto"/>
            <w:hideMark/>
          </w:tcPr>
          <w:p w14:paraId="2B0A225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64.53</w:t>
            </w:r>
          </w:p>
        </w:tc>
        <w:tc>
          <w:tcPr>
            <w:tcW w:w="0" w:type="auto"/>
            <w:hideMark/>
          </w:tcPr>
          <w:p w14:paraId="3ED4603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67.34</w:t>
            </w:r>
          </w:p>
        </w:tc>
        <w:tc>
          <w:tcPr>
            <w:tcW w:w="0" w:type="auto"/>
            <w:hideMark/>
          </w:tcPr>
          <w:p w14:paraId="747BD41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0.92</w:t>
            </w:r>
          </w:p>
        </w:tc>
        <w:tc>
          <w:tcPr>
            <w:tcW w:w="0" w:type="auto"/>
            <w:hideMark/>
          </w:tcPr>
          <w:p w14:paraId="4D83E2A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6749.99</w:t>
            </w:r>
          </w:p>
        </w:tc>
        <w:tc>
          <w:tcPr>
            <w:tcW w:w="0" w:type="auto"/>
            <w:hideMark/>
          </w:tcPr>
          <w:p w14:paraId="579ADCFC"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127.40</w:t>
            </w:r>
          </w:p>
        </w:tc>
      </w:tr>
      <w:tr w:rsidR="000F4E41" w:rsidRPr="001D7352" w14:paraId="74A2F0A1" w14:textId="77777777" w:rsidTr="00F425DE">
        <w:trPr>
          <w:trHeight w:val="443"/>
          <w:jc w:val="center"/>
        </w:trPr>
        <w:tc>
          <w:tcPr>
            <w:tcW w:w="0" w:type="auto"/>
            <w:hideMark/>
          </w:tcPr>
          <w:p w14:paraId="42143E0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Plant width (inch)</w:t>
            </w:r>
          </w:p>
        </w:tc>
        <w:tc>
          <w:tcPr>
            <w:tcW w:w="0" w:type="auto"/>
            <w:hideMark/>
          </w:tcPr>
          <w:p w14:paraId="1D9C405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0.50</w:t>
            </w:r>
          </w:p>
        </w:tc>
        <w:tc>
          <w:tcPr>
            <w:tcW w:w="0" w:type="auto"/>
            <w:hideMark/>
          </w:tcPr>
          <w:p w14:paraId="0E5C895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0.09</w:t>
            </w:r>
          </w:p>
        </w:tc>
        <w:tc>
          <w:tcPr>
            <w:tcW w:w="0" w:type="auto"/>
            <w:hideMark/>
          </w:tcPr>
          <w:p w14:paraId="0F0CC81D"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0.38</w:t>
            </w:r>
          </w:p>
        </w:tc>
        <w:tc>
          <w:tcPr>
            <w:tcW w:w="0" w:type="auto"/>
            <w:hideMark/>
          </w:tcPr>
          <w:p w14:paraId="7865B24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0.64</w:t>
            </w:r>
          </w:p>
        </w:tc>
        <w:tc>
          <w:tcPr>
            <w:tcW w:w="0" w:type="auto"/>
            <w:hideMark/>
          </w:tcPr>
          <w:p w14:paraId="70758BBC"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15.77</w:t>
            </w:r>
          </w:p>
        </w:tc>
        <w:tc>
          <w:tcPr>
            <w:tcW w:w="0" w:type="auto"/>
            <w:hideMark/>
          </w:tcPr>
          <w:p w14:paraId="687E96D1"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20.93</w:t>
            </w:r>
          </w:p>
        </w:tc>
        <w:tc>
          <w:tcPr>
            <w:tcW w:w="0" w:type="auto"/>
            <w:hideMark/>
          </w:tcPr>
          <w:p w14:paraId="5B6CC2F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0.57</w:t>
            </w:r>
          </w:p>
        </w:tc>
        <w:tc>
          <w:tcPr>
            <w:tcW w:w="0" w:type="auto"/>
            <w:hideMark/>
          </w:tcPr>
          <w:p w14:paraId="767F6A6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0.12</w:t>
            </w:r>
          </w:p>
        </w:tc>
        <w:tc>
          <w:tcPr>
            <w:tcW w:w="0" w:type="auto"/>
            <w:hideMark/>
          </w:tcPr>
          <w:p w14:paraId="1122870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24.47</w:t>
            </w:r>
          </w:p>
        </w:tc>
      </w:tr>
      <w:tr w:rsidR="000F4E41" w:rsidRPr="001D7352" w14:paraId="05582F59" w14:textId="77777777" w:rsidTr="00F425DE">
        <w:trPr>
          <w:trHeight w:val="443"/>
          <w:jc w:val="center"/>
        </w:trPr>
        <w:tc>
          <w:tcPr>
            <w:tcW w:w="0" w:type="auto"/>
            <w:hideMark/>
          </w:tcPr>
          <w:p w14:paraId="29F64F91"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Plant height (ft)</w:t>
            </w:r>
          </w:p>
        </w:tc>
        <w:tc>
          <w:tcPr>
            <w:tcW w:w="0" w:type="auto"/>
            <w:hideMark/>
          </w:tcPr>
          <w:p w14:paraId="695749E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7.11</w:t>
            </w:r>
          </w:p>
        </w:tc>
        <w:tc>
          <w:tcPr>
            <w:tcW w:w="0" w:type="auto"/>
            <w:hideMark/>
          </w:tcPr>
          <w:p w14:paraId="54BB607C"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0.92</w:t>
            </w:r>
          </w:p>
        </w:tc>
        <w:tc>
          <w:tcPr>
            <w:tcW w:w="0" w:type="auto"/>
            <w:hideMark/>
          </w:tcPr>
          <w:p w14:paraId="3371640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5.47</w:t>
            </w:r>
          </w:p>
        </w:tc>
        <w:tc>
          <w:tcPr>
            <w:tcW w:w="0" w:type="auto"/>
            <w:hideMark/>
          </w:tcPr>
          <w:p w14:paraId="2016C7A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8.63</w:t>
            </w:r>
          </w:p>
        </w:tc>
        <w:tc>
          <w:tcPr>
            <w:tcW w:w="0" w:type="auto"/>
            <w:hideMark/>
          </w:tcPr>
          <w:p w14:paraId="24F6B94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12.78</w:t>
            </w:r>
          </w:p>
        </w:tc>
        <w:tc>
          <w:tcPr>
            <w:tcW w:w="0" w:type="auto"/>
            <w:hideMark/>
          </w:tcPr>
          <w:p w14:paraId="282E7737"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13.46</w:t>
            </w:r>
          </w:p>
        </w:tc>
        <w:tc>
          <w:tcPr>
            <w:tcW w:w="0" w:type="auto"/>
            <w:hideMark/>
          </w:tcPr>
          <w:p w14:paraId="19A04915"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0.90</w:t>
            </w:r>
          </w:p>
        </w:tc>
        <w:tc>
          <w:tcPr>
            <w:tcW w:w="0" w:type="auto"/>
            <w:hideMark/>
          </w:tcPr>
          <w:p w14:paraId="352064C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1.78</w:t>
            </w:r>
          </w:p>
        </w:tc>
        <w:tc>
          <w:tcPr>
            <w:tcW w:w="0" w:type="auto"/>
            <w:hideMark/>
          </w:tcPr>
          <w:p w14:paraId="36C6D7F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25.00</w:t>
            </w:r>
          </w:p>
        </w:tc>
      </w:tr>
    </w:tbl>
    <w:p w14:paraId="231D0C2D" w14:textId="77777777" w:rsidR="00376BBE" w:rsidRDefault="00376BBE" w:rsidP="00F265FC">
      <w:pPr>
        <w:pStyle w:val="Body"/>
        <w:spacing w:after="0" w:line="360" w:lineRule="auto"/>
        <w:rPr>
          <w:rFonts w:ascii="Arial" w:hAnsi="Arial" w:cs="Arial"/>
        </w:rPr>
      </w:pPr>
    </w:p>
    <w:p w14:paraId="2C68DF95" w14:textId="77777777" w:rsidR="00376BBE" w:rsidRDefault="00376BBE" w:rsidP="00F265FC">
      <w:pPr>
        <w:pStyle w:val="Body"/>
        <w:spacing w:after="0" w:line="360" w:lineRule="auto"/>
        <w:rPr>
          <w:rFonts w:ascii="Arial" w:hAnsi="Arial" w:cs="Arial"/>
        </w:rPr>
      </w:pPr>
    </w:p>
    <w:p w14:paraId="4E562AAC" w14:textId="77777777" w:rsidR="00927834" w:rsidRDefault="00215C6B" w:rsidP="00F265FC">
      <w:pPr>
        <w:autoSpaceDE w:val="0"/>
        <w:autoSpaceDN w:val="0"/>
        <w:adjustRightInd w:val="0"/>
        <w:spacing w:line="360" w:lineRule="auto"/>
        <w:jc w:val="both"/>
        <w:rPr>
          <w:rFonts w:ascii="Arial" w:hAnsi="Arial" w:cs="Arial"/>
          <w:b/>
          <w:bCs/>
          <w:sz w:val="22"/>
          <w:szCs w:val="22"/>
        </w:rPr>
      </w:pPr>
      <w:r w:rsidRPr="00215C6B">
        <w:rPr>
          <w:rFonts w:ascii="Arial" w:hAnsi="Arial" w:cs="Arial"/>
          <w:b/>
          <w:bCs/>
          <w:sz w:val="22"/>
          <w:szCs w:val="22"/>
        </w:rPr>
        <w:object w:dxaOrig="7183" w:dyaOrig="5399" w14:anchorId="25B89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pt;height:338.25pt" o:ole="">
            <v:imagedata r:id="rId14" o:title=""/>
          </v:shape>
          <o:OLEObject Type="Embed" ProgID="PowerPoint.Slide.12" ShapeID="_x0000_i1026" DrawAspect="Content" ObjectID="_1832333680" r:id="rId15"/>
        </w:object>
      </w:r>
    </w:p>
    <w:p w14:paraId="5AAFF6A1" w14:textId="77777777" w:rsidR="00927834" w:rsidRDefault="00927834" w:rsidP="00F265FC">
      <w:pPr>
        <w:autoSpaceDE w:val="0"/>
        <w:autoSpaceDN w:val="0"/>
        <w:adjustRightInd w:val="0"/>
        <w:spacing w:line="360" w:lineRule="auto"/>
        <w:jc w:val="both"/>
        <w:rPr>
          <w:rFonts w:ascii="Arial" w:hAnsi="Arial" w:cs="Arial"/>
          <w:b/>
          <w:bCs/>
          <w:szCs w:val="22"/>
        </w:rPr>
      </w:pPr>
    </w:p>
    <w:p w14:paraId="2B9558C7" w14:textId="77777777" w:rsidR="000F4E41" w:rsidRPr="00974B4A" w:rsidRDefault="009E048A" w:rsidP="00F265FC">
      <w:pPr>
        <w:spacing w:line="360" w:lineRule="auto"/>
        <w:jc w:val="both"/>
        <w:rPr>
          <w:rFonts w:ascii="Times New Roman" w:hAnsi="Times New Roman"/>
          <w:sz w:val="24"/>
          <w:szCs w:val="24"/>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0F4E41" w:rsidRPr="000F4E41">
        <w:rPr>
          <w:rFonts w:ascii="Arial" w:hAnsi="Arial" w:cs="Arial"/>
        </w:rPr>
        <w:t>Representative fruit morphology of induced tomato mutants (S1–S21), parent genotype (PC), and standard checks; Shalimar-I (SH1) and Shalimar-I I(SH2).</w:t>
      </w:r>
      <w:r w:rsidR="000F4E41" w:rsidRPr="00974B4A">
        <w:rPr>
          <w:rFonts w:ascii="Times New Roman" w:hAnsi="Times New Roman"/>
          <w:sz w:val="24"/>
          <w:szCs w:val="24"/>
        </w:rPr>
        <w:t xml:space="preserve"> </w:t>
      </w:r>
    </w:p>
    <w:p w14:paraId="1B7B9F6A" w14:textId="77777777" w:rsidR="00927834" w:rsidRPr="008247A6" w:rsidRDefault="00927834" w:rsidP="00F265FC">
      <w:pPr>
        <w:autoSpaceDE w:val="0"/>
        <w:autoSpaceDN w:val="0"/>
        <w:adjustRightInd w:val="0"/>
        <w:spacing w:line="360" w:lineRule="auto"/>
        <w:jc w:val="both"/>
        <w:rPr>
          <w:rFonts w:ascii="Arial" w:hAnsi="Arial" w:cs="Arial"/>
          <w:b/>
          <w:bCs/>
          <w:szCs w:val="22"/>
        </w:rPr>
      </w:pPr>
    </w:p>
    <w:p w14:paraId="709F662B" w14:textId="77777777" w:rsidR="00927834" w:rsidRPr="008247A6" w:rsidRDefault="00927834" w:rsidP="00F265FC">
      <w:pPr>
        <w:autoSpaceDE w:val="0"/>
        <w:autoSpaceDN w:val="0"/>
        <w:adjustRightInd w:val="0"/>
        <w:spacing w:line="360" w:lineRule="auto"/>
        <w:ind w:left="360"/>
        <w:jc w:val="both"/>
        <w:rPr>
          <w:rFonts w:ascii="Arial" w:hAnsi="Arial" w:cs="Arial"/>
          <w:i/>
          <w:sz w:val="18"/>
        </w:rPr>
      </w:pPr>
    </w:p>
    <w:p w14:paraId="2E1F7675" w14:textId="77777777" w:rsidR="00863BD3" w:rsidRPr="00FB3A86" w:rsidRDefault="00863BD3" w:rsidP="00F265FC">
      <w:pPr>
        <w:pStyle w:val="Body"/>
        <w:spacing w:after="0" w:line="360" w:lineRule="auto"/>
        <w:rPr>
          <w:rFonts w:ascii="Arial" w:hAnsi="Arial" w:cs="Arial"/>
        </w:rPr>
      </w:pPr>
    </w:p>
    <w:p w14:paraId="081043A5" w14:textId="77777777" w:rsidR="00E053D0" w:rsidRDefault="000F4E41" w:rsidP="00F265FC">
      <w:pPr>
        <w:pStyle w:val="Body"/>
        <w:spacing w:after="0" w:line="360" w:lineRule="auto"/>
        <w:rPr>
          <w:rFonts w:ascii="Arial" w:hAnsi="Arial" w:cs="Arial"/>
        </w:rPr>
      </w:pPr>
      <w:r w:rsidRPr="000F4E41">
        <w:rPr>
          <w:rFonts w:ascii="Arial" w:hAnsi="Arial" w:cs="Arial"/>
          <w:noProof/>
        </w:rPr>
        <w:lastRenderedPageBreak/>
        <w:drawing>
          <wp:inline distT="0" distB="0" distL="0" distR="0" wp14:anchorId="3677FF13" wp14:editId="34813CCB">
            <wp:extent cx="5059680" cy="4655820"/>
            <wp:effectExtent l="1905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059680" cy="4655820"/>
                    </a:xfrm>
                    <a:prstGeom prst="rect">
                      <a:avLst/>
                    </a:prstGeom>
                    <a:noFill/>
                  </pic:spPr>
                </pic:pic>
              </a:graphicData>
            </a:graphic>
          </wp:inline>
        </w:drawing>
      </w:r>
    </w:p>
    <w:p w14:paraId="72FFBBF3" w14:textId="77777777" w:rsidR="000F4E41" w:rsidRPr="000F4E41" w:rsidRDefault="000F4E41" w:rsidP="00F265FC">
      <w:pPr>
        <w:spacing w:line="360" w:lineRule="auto"/>
        <w:rPr>
          <w:rFonts w:ascii="Arial" w:hAnsi="Arial" w:cs="Arial"/>
        </w:rPr>
      </w:pPr>
      <w:r w:rsidRPr="000F4E41">
        <w:rPr>
          <w:rFonts w:ascii="Arial" w:hAnsi="Arial" w:cs="Arial"/>
          <w:b/>
          <w:iCs/>
        </w:rPr>
        <w:t>Fig. 2</w:t>
      </w:r>
      <w:r w:rsidRPr="000F4E41">
        <w:rPr>
          <w:rFonts w:ascii="Arial" w:hAnsi="Arial" w:cs="Arial"/>
          <w:iCs/>
        </w:rPr>
        <w:t xml:space="preserve"> Boxplots illustrating the distribution and variability of selected morphological traits among genotypes</w:t>
      </w:r>
      <w:r w:rsidRPr="000F4E41">
        <w:rPr>
          <w:rFonts w:ascii="Arial" w:hAnsi="Arial" w:cs="Arial"/>
        </w:rPr>
        <w:t xml:space="preserve"> </w:t>
      </w:r>
    </w:p>
    <w:p w14:paraId="57DA3D28" w14:textId="77777777" w:rsidR="000F4E41" w:rsidRDefault="000F4E41" w:rsidP="00F265FC">
      <w:pPr>
        <w:pStyle w:val="Body"/>
        <w:spacing w:after="0" w:line="360" w:lineRule="auto"/>
        <w:rPr>
          <w:rFonts w:ascii="Arial" w:hAnsi="Arial" w:cs="Arial"/>
        </w:rPr>
      </w:pPr>
    </w:p>
    <w:p w14:paraId="6A690650" w14:textId="77777777" w:rsidR="00790ADA" w:rsidRDefault="000F4E41" w:rsidP="00F265FC">
      <w:pPr>
        <w:pStyle w:val="Body"/>
        <w:spacing w:after="0" w:line="360" w:lineRule="auto"/>
        <w:rPr>
          <w:rFonts w:ascii="Arial" w:hAnsi="Arial" w:cs="Arial"/>
        </w:rPr>
      </w:pPr>
      <w:r w:rsidRPr="000F4E41">
        <w:rPr>
          <w:rFonts w:ascii="Arial" w:hAnsi="Arial" w:cs="Arial"/>
          <w:noProof/>
        </w:rPr>
        <w:lastRenderedPageBreak/>
        <w:drawing>
          <wp:inline distT="0" distB="0" distL="0" distR="0" wp14:anchorId="5D05F6C2" wp14:editId="48D86776">
            <wp:extent cx="5212080" cy="4323910"/>
            <wp:effectExtent l="19050" t="0" r="7620" b="0"/>
            <wp:docPr id="14" name="Picture 13"/>
            <wp:cNvGraphicFramePr/>
            <a:graphic xmlns:a="http://schemas.openxmlformats.org/drawingml/2006/main">
              <a:graphicData uri="http://schemas.openxmlformats.org/drawingml/2006/picture">
                <pic:pic xmlns:pic="http://schemas.openxmlformats.org/drawingml/2006/picture">
                  <pic:nvPicPr>
                    <pic:cNvPr id="260098" name="Picture 2"/>
                    <pic:cNvPicPr>
                      <a:picLocks noChangeAspect="1" noChangeArrowheads="1"/>
                    </pic:cNvPicPr>
                  </pic:nvPicPr>
                  <pic:blipFill>
                    <a:blip r:embed="rId17" cstate="print"/>
                    <a:srcRect l="40120" t="22051" r="18373" b="16704"/>
                    <a:stretch>
                      <a:fillRect/>
                    </a:stretch>
                  </pic:blipFill>
                  <pic:spPr bwMode="auto">
                    <a:xfrm>
                      <a:off x="0" y="0"/>
                      <a:ext cx="5212080" cy="4323910"/>
                    </a:xfrm>
                    <a:prstGeom prst="rect">
                      <a:avLst/>
                    </a:prstGeom>
                    <a:noFill/>
                    <a:ln w="9525">
                      <a:noFill/>
                      <a:miter lim="800000"/>
                      <a:headEnd/>
                      <a:tailEnd/>
                    </a:ln>
                  </pic:spPr>
                </pic:pic>
              </a:graphicData>
            </a:graphic>
          </wp:inline>
        </w:drawing>
      </w:r>
    </w:p>
    <w:p w14:paraId="5A2422A6" w14:textId="77777777" w:rsidR="000F4E41" w:rsidRDefault="000F4E41" w:rsidP="00F265FC">
      <w:pPr>
        <w:spacing w:line="360" w:lineRule="auto"/>
        <w:rPr>
          <w:rFonts w:ascii="Arial" w:hAnsi="Arial" w:cs="Arial"/>
        </w:rPr>
      </w:pPr>
      <w:r w:rsidRPr="000F4E41">
        <w:rPr>
          <w:rFonts w:ascii="Arial" w:hAnsi="Arial" w:cs="Arial"/>
          <w:b/>
          <w:bCs/>
        </w:rPr>
        <w:t>Fig.3.</w:t>
      </w:r>
      <w:r w:rsidRPr="000F4E41">
        <w:rPr>
          <w:rFonts w:ascii="Arial" w:hAnsi="Arial" w:cs="Arial"/>
        </w:rPr>
        <w:t xml:space="preserve"> PCA biplot showing trait relationships and variation among genotypes </w:t>
      </w:r>
    </w:p>
    <w:p w14:paraId="37521040" w14:textId="77777777" w:rsidR="000F4E41" w:rsidRDefault="000F4E41" w:rsidP="00F265FC">
      <w:pPr>
        <w:spacing w:line="360" w:lineRule="auto"/>
        <w:rPr>
          <w:rFonts w:ascii="Arial" w:hAnsi="Arial" w:cs="Arial"/>
        </w:rPr>
      </w:pPr>
      <w:r w:rsidRPr="000F4E41">
        <w:rPr>
          <w:rFonts w:ascii="Arial" w:hAnsi="Arial" w:cs="Arial"/>
          <w:noProof/>
        </w:rPr>
        <w:lastRenderedPageBreak/>
        <w:drawing>
          <wp:inline distT="0" distB="0" distL="0" distR="0" wp14:anchorId="310604CB" wp14:editId="4EF29AF0">
            <wp:extent cx="5212080" cy="4578178"/>
            <wp:effectExtent l="19050" t="0" r="7620" b="0"/>
            <wp:docPr id="12" name="Picture 12"/>
            <wp:cNvGraphicFramePr/>
            <a:graphic xmlns:a="http://schemas.openxmlformats.org/drawingml/2006/main">
              <a:graphicData uri="http://schemas.openxmlformats.org/drawingml/2006/picture">
                <pic:pic xmlns:pic="http://schemas.openxmlformats.org/drawingml/2006/picture">
                  <pic:nvPicPr>
                    <pic:cNvPr id="261125" name="Picture 5"/>
                    <pic:cNvPicPr>
                      <a:picLocks noChangeAspect="1" noChangeArrowheads="1"/>
                    </pic:cNvPicPr>
                  </pic:nvPicPr>
                  <pic:blipFill>
                    <a:blip r:embed="rId18" cstate="print"/>
                    <a:srcRect l="38932" t="22438" r="20114" b="13579"/>
                    <a:stretch>
                      <a:fillRect/>
                    </a:stretch>
                  </pic:blipFill>
                  <pic:spPr bwMode="auto">
                    <a:xfrm>
                      <a:off x="0" y="0"/>
                      <a:ext cx="5212080" cy="4578178"/>
                    </a:xfrm>
                    <a:prstGeom prst="rect">
                      <a:avLst/>
                    </a:prstGeom>
                    <a:noFill/>
                    <a:ln w="9525">
                      <a:noFill/>
                      <a:miter lim="800000"/>
                      <a:headEnd/>
                      <a:tailEnd/>
                    </a:ln>
                  </pic:spPr>
                </pic:pic>
              </a:graphicData>
            </a:graphic>
          </wp:inline>
        </w:drawing>
      </w:r>
    </w:p>
    <w:p w14:paraId="624627D6" w14:textId="77777777" w:rsidR="000F4E41" w:rsidRPr="000F4E41" w:rsidRDefault="000F4E41" w:rsidP="00F265FC">
      <w:pPr>
        <w:spacing w:line="360" w:lineRule="auto"/>
        <w:jc w:val="both"/>
        <w:rPr>
          <w:rFonts w:ascii="Arial" w:hAnsi="Arial" w:cs="Arial"/>
          <w:i/>
        </w:rPr>
      </w:pPr>
      <w:r w:rsidRPr="000F4E41">
        <w:rPr>
          <w:rFonts w:ascii="Arial" w:hAnsi="Arial" w:cs="Arial"/>
          <w:b/>
        </w:rPr>
        <w:t>Fig.</w:t>
      </w:r>
      <w:proofErr w:type="gramStart"/>
      <w:r w:rsidRPr="000F4E41">
        <w:rPr>
          <w:rFonts w:ascii="Arial" w:hAnsi="Arial" w:cs="Arial"/>
          <w:b/>
        </w:rPr>
        <w:t>4</w:t>
      </w:r>
      <w:r w:rsidRPr="000F4E41">
        <w:rPr>
          <w:rFonts w:ascii="Arial" w:hAnsi="Arial" w:cs="Arial"/>
        </w:rPr>
        <w:t xml:space="preserve">  Dendrogram</w:t>
      </w:r>
      <w:proofErr w:type="gramEnd"/>
      <w:r w:rsidRPr="000F4E41">
        <w:rPr>
          <w:rFonts w:ascii="Arial" w:hAnsi="Arial" w:cs="Arial"/>
        </w:rPr>
        <w:t xml:space="preserve"> showing hierarchical cluster analysis of genotypes based on morphological traits. </w:t>
      </w:r>
    </w:p>
    <w:p w14:paraId="38732C9C" w14:textId="77777777" w:rsidR="000F4E41" w:rsidRPr="000F4E41" w:rsidRDefault="000F4E41" w:rsidP="00F265FC">
      <w:pPr>
        <w:spacing w:line="360" w:lineRule="auto"/>
        <w:rPr>
          <w:rFonts w:ascii="Arial" w:hAnsi="Arial" w:cs="Arial"/>
        </w:rPr>
      </w:pPr>
    </w:p>
    <w:p w14:paraId="35833DC8" w14:textId="77777777" w:rsidR="000F4E41" w:rsidRPr="00FB3A86" w:rsidRDefault="000F4E41" w:rsidP="00F265FC">
      <w:pPr>
        <w:pStyle w:val="Body"/>
        <w:spacing w:after="0" w:line="360" w:lineRule="auto"/>
        <w:rPr>
          <w:rFonts w:ascii="Arial" w:hAnsi="Arial" w:cs="Arial"/>
        </w:rPr>
      </w:pPr>
    </w:p>
    <w:p w14:paraId="06E5E4B9" w14:textId="77777777" w:rsidR="00B01FCD" w:rsidRDefault="00000F8F" w:rsidP="00F265FC">
      <w:pPr>
        <w:pStyle w:val="ConcHead"/>
        <w:spacing w:after="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3C843020" w14:textId="77777777" w:rsidR="00BB51E4" w:rsidRPr="00C04496" w:rsidRDefault="00BB51E4" w:rsidP="00F265FC">
      <w:pPr>
        <w:pStyle w:val="NormalWeb"/>
        <w:spacing w:line="360" w:lineRule="auto"/>
        <w:jc w:val="both"/>
        <w:rPr>
          <w:rFonts w:ascii="Arial" w:hAnsi="Arial" w:cs="Arial"/>
          <w:bCs/>
          <w:sz w:val="20"/>
          <w:szCs w:val="20"/>
        </w:rPr>
      </w:pPr>
      <w:r w:rsidRPr="00C04496">
        <w:rPr>
          <w:rFonts w:ascii="Arial" w:hAnsi="Arial" w:cs="Arial"/>
          <w:bCs/>
          <w:sz w:val="20"/>
          <w:szCs w:val="20"/>
        </w:rPr>
        <w:t xml:space="preserve">The current study revealed significant genetic variation among tomato genotypes for yield-related and physical characteristics assessed in both controlled and natural environments. Strong genetic control and the possibility of successful selection were proven by highly substantial genotypic differences across all traits. The predominance of additive gene action and the suitability of these traits for direct phenotypic selection are indicated by high genotypic and phenotypic coefficients of variation, as well as high heritability and genetic advance for fruit weight, number of locules, fruits per truss, and yield per plant. These results were further supported by multivariate studies, which consistently identified yield components and fruit size attributes as the main drivers of genetic divergence, whereas </w:t>
      </w:r>
      <w:r w:rsidRPr="00C04496">
        <w:rPr>
          <w:rFonts w:ascii="Arial" w:hAnsi="Arial" w:cs="Arial"/>
          <w:bCs/>
          <w:sz w:val="20"/>
          <w:szCs w:val="20"/>
        </w:rPr>
        <w:lastRenderedPageBreak/>
        <w:t>vegetative qualities showed lesser correlations with yield. Overall, fruit weight, fruit dimensions, pericarp thickness, and yield per plant emerged as key selection criteria, and the superior genotypes identified in this study provide valuable genetic resources for developing high-yielding tomato cultivars.</w:t>
      </w:r>
    </w:p>
    <w:p w14:paraId="34D612E9" w14:textId="77777777" w:rsidR="008E76FF" w:rsidRPr="008E76FF" w:rsidRDefault="008E76FF" w:rsidP="008E76FF">
      <w:pPr>
        <w:keepNext/>
        <w:keepLines/>
        <w:spacing w:before="120" w:after="120" w:line="360" w:lineRule="auto"/>
        <w:jc w:val="both"/>
        <w:outlineLvl w:val="1"/>
        <w:rPr>
          <w:rFonts w:ascii="Times New Roman" w:hAnsi="Times New Roman"/>
          <w:bCs/>
          <w:sz w:val="24"/>
          <w:szCs w:val="24"/>
          <w:highlight w:val="yellow"/>
          <w:lang w:val="en-GB" w:eastAsia="en-IN"/>
        </w:rPr>
      </w:pPr>
      <w:bookmarkStart w:id="1" w:name="_Hlk218867759"/>
      <w:r w:rsidRPr="008E76FF">
        <w:rPr>
          <w:rFonts w:ascii="Times New Roman" w:hAnsi="Times New Roman"/>
          <w:bCs/>
          <w:sz w:val="24"/>
          <w:szCs w:val="24"/>
          <w:highlight w:val="yellow"/>
          <w:lang w:val="en-GB" w:eastAsia="en-IN"/>
        </w:rPr>
        <w:t>Disclaimer (Artificial intelligence)</w:t>
      </w:r>
    </w:p>
    <w:p w14:paraId="13A03490" w14:textId="77777777" w:rsidR="008E76FF" w:rsidRPr="008E76FF" w:rsidRDefault="008E76FF" w:rsidP="008E76FF">
      <w:pPr>
        <w:keepNext/>
        <w:keepLines/>
        <w:spacing w:before="120" w:after="120" w:line="360" w:lineRule="auto"/>
        <w:jc w:val="both"/>
        <w:outlineLvl w:val="1"/>
        <w:rPr>
          <w:rFonts w:ascii="Times New Roman" w:hAnsi="Times New Roman"/>
          <w:bCs/>
          <w:sz w:val="24"/>
          <w:szCs w:val="24"/>
          <w:lang w:val="en-GB" w:eastAsia="en-IN"/>
        </w:rPr>
      </w:pPr>
      <w:r w:rsidRPr="008E76FF">
        <w:rPr>
          <w:rFonts w:ascii="Times New Roman" w:hAnsi="Times New Roman"/>
          <w:bCs/>
          <w:sz w:val="24"/>
          <w:szCs w:val="24"/>
          <w:highlight w:val="yellow"/>
          <w:lang w:val="en-GB" w:eastAsia="en-IN"/>
        </w:rPr>
        <w:t>Author(s) hereby declare that NO generative AI technologies such as Large Language Models (</w:t>
      </w:r>
      <w:proofErr w:type="spellStart"/>
      <w:r w:rsidRPr="008E76FF">
        <w:rPr>
          <w:rFonts w:ascii="Times New Roman" w:hAnsi="Times New Roman"/>
          <w:bCs/>
          <w:sz w:val="24"/>
          <w:szCs w:val="24"/>
          <w:highlight w:val="yellow"/>
          <w:lang w:val="en-GB" w:eastAsia="en-IN"/>
        </w:rPr>
        <w:t>ChatGPT</w:t>
      </w:r>
      <w:proofErr w:type="spellEnd"/>
      <w:r w:rsidRPr="008E76FF">
        <w:rPr>
          <w:rFonts w:ascii="Times New Roman" w:hAnsi="Times New Roman"/>
          <w:bCs/>
          <w:sz w:val="24"/>
          <w:szCs w:val="24"/>
          <w:highlight w:val="yellow"/>
          <w:lang w:val="en-GB" w:eastAsia="en-IN"/>
        </w:rPr>
        <w:t>, COPILOT, etc.) and text-to-image generators have been used during the writing or editing of this manuscript.</w:t>
      </w:r>
      <w:r w:rsidRPr="008E76FF">
        <w:rPr>
          <w:rFonts w:ascii="Times New Roman" w:hAnsi="Times New Roman"/>
          <w:bCs/>
          <w:sz w:val="24"/>
          <w:szCs w:val="24"/>
          <w:lang w:val="en-GB" w:eastAsia="en-IN"/>
        </w:rPr>
        <w:t xml:space="preserve"> </w:t>
      </w:r>
    </w:p>
    <w:bookmarkEnd w:id="1"/>
    <w:p w14:paraId="363707D4" w14:textId="77777777" w:rsidR="00790ADA" w:rsidRPr="00C04496" w:rsidRDefault="00790ADA" w:rsidP="00F265FC">
      <w:pPr>
        <w:pStyle w:val="Body"/>
        <w:spacing w:after="0" w:line="360" w:lineRule="auto"/>
        <w:rPr>
          <w:rFonts w:ascii="Arial" w:hAnsi="Arial" w:cs="Arial"/>
          <w:bCs/>
        </w:rPr>
      </w:pPr>
    </w:p>
    <w:p w14:paraId="2D1CDDC0" w14:textId="77777777" w:rsidR="00860000" w:rsidRDefault="00860000" w:rsidP="00F265FC">
      <w:pPr>
        <w:pStyle w:val="ReferHead"/>
        <w:spacing w:after="0" w:line="360" w:lineRule="auto"/>
        <w:jc w:val="both"/>
        <w:rPr>
          <w:rFonts w:ascii="Arial" w:hAnsi="Arial" w:cs="Arial"/>
        </w:rPr>
      </w:pPr>
    </w:p>
    <w:p w14:paraId="4773CFDD" w14:textId="77777777" w:rsidR="00B01FCD" w:rsidRDefault="00B01FCD" w:rsidP="00F265FC">
      <w:pPr>
        <w:pStyle w:val="ReferHead"/>
        <w:spacing w:after="0" w:line="360" w:lineRule="auto"/>
        <w:jc w:val="both"/>
        <w:rPr>
          <w:rFonts w:ascii="Arial" w:hAnsi="Arial" w:cs="Arial"/>
        </w:rPr>
      </w:pPr>
      <w:r w:rsidRPr="00FB3A86">
        <w:rPr>
          <w:rFonts w:ascii="Arial" w:hAnsi="Arial" w:cs="Arial"/>
        </w:rPr>
        <w:t>References</w:t>
      </w:r>
    </w:p>
    <w:p w14:paraId="40FA2535"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proofErr w:type="spellStart"/>
      <w:r w:rsidRPr="00BF53B8">
        <w:rPr>
          <w:rFonts w:ascii="Times New Roman" w:hAnsi="Times New Roman"/>
          <w:sz w:val="24"/>
          <w:szCs w:val="24"/>
          <w:lang w:eastAsia="en-IN"/>
        </w:rPr>
        <w:t>Akinyode</w:t>
      </w:r>
      <w:proofErr w:type="spellEnd"/>
      <w:r w:rsidRPr="00BF53B8">
        <w:rPr>
          <w:rFonts w:ascii="Times New Roman" w:hAnsi="Times New Roman"/>
          <w:sz w:val="24"/>
          <w:szCs w:val="24"/>
          <w:lang w:eastAsia="en-IN"/>
        </w:rPr>
        <w:t xml:space="preserve">, S. O., Aremu, C. O., &amp; </w:t>
      </w:r>
      <w:proofErr w:type="spellStart"/>
      <w:r w:rsidRPr="00BF53B8">
        <w:rPr>
          <w:rFonts w:ascii="Times New Roman" w:hAnsi="Times New Roman"/>
          <w:sz w:val="24"/>
          <w:szCs w:val="24"/>
          <w:lang w:eastAsia="en-IN"/>
        </w:rPr>
        <w:t>Oyelakin</w:t>
      </w:r>
      <w:proofErr w:type="spellEnd"/>
      <w:r w:rsidRPr="00BF53B8">
        <w:rPr>
          <w:rFonts w:ascii="Times New Roman" w:hAnsi="Times New Roman"/>
          <w:sz w:val="24"/>
          <w:szCs w:val="24"/>
          <w:lang w:eastAsia="en-IN"/>
        </w:rPr>
        <w:t>, O. O. (2023). Multivariate analysis of yield and fruit quality traits in tomato (</w:t>
      </w:r>
      <w:r w:rsidRPr="00BF53B8">
        <w:rPr>
          <w:rFonts w:ascii="Times New Roman" w:hAnsi="Times New Roman"/>
          <w:i/>
          <w:iCs/>
          <w:sz w:val="24"/>
          <w:szCs w:val="24"/>
          <w:lang w:eastAsia="en-IN"/>
        </w:rPr>
        <w:t xml:space="preserve">Solanum </w:t>
      </w:r>
      <w:proofErr w:type="spellStart"/>
      <w:r w:rsidRPr="00BF53B8">
        <w:rPr>
          <w:rFonts w:ascii="Times New Roman" w:hAnsi="Times New Roman"/>
          <w:i/>
          <w:iCs/>
          <w:sz w:val="24"/>
          <w:szCs w:val="24"/>
          <w:lang w:eastAsia="en-IN"/>
        </w:rPr>
        <w:t>lycopersicum</w:t>
      </w:r>
      <w:proofErr w:type="spellEnd"/>
      <w:r w:rsidRPr="00BF53B8">
        <w:rPr>
          <w:rFonts w:ascii="Times New Roman" w:hAnsi="Times New Roman"/>
          <w:sz w:val="24"/>
          <w:szCs w:val="24"/>
          <w:lang w:eastAsia="en-IN"/>
        </w:rPr>
        <w:t xml:space="preserve"> L.). </w:t>
      </w:r>
      <w:r w:rsidRPr="00BF53B8">
        <w:rPr>
          <w:rFonts w:ascii="Times New Roman" w:hAnsi="Times New Roman"/>
          <w:i/>
          <w:iCs/>
          <w:sz w:val="24"/>
          <w:szCs w:val="24"/>
          <w:lang w:eastAsia="en-IN"/>
        </w:rPr>
        <w:t xml:space="preserve">Scientia </w:t>
      </w:r>
      <w:proofErr w:type="spellStart"/>
      <w:r w:rsidRPr="00BF53B8">
        <w:rPr>
          <w:rFonts w:ascii="Times New Roman" w:hAnsi="Times New Roman"/>
          <w:i/>
          <w:iCs/>
          <w:sz w:val="24"/>
          <w:szCs w:val="24"/>
          <w:lang w:eastAsia="en-IN"/>
        </w:rPr>
        <w:t>Horticulturae</w:t>
      </w:r>
      <w:proofErr w:type="spellEnd"/>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309</w:t>
      </w:r>
      <w:r w:rsidRPr="00BF53B8">
        <w:rPr>
          <w:rFonts w:ascii="Times New Roman" w:hAnsi="Times New Roman"/>
          <w:sz w:val="24"/>
          <w:szCs w:val="24"/>
          <w:lang w:eastAsia="en-IN"/>
        </w:rPr>
        <w:t>, 111617.</w:t>
      </w:r>
    </w:p>
    <w:p w14:paraId="57722683"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Al-Araby, A. A. (2021). Genetic variability, heritability and genetic advance of some tomato genotypes under different environments. </w:t>
      </w:r>
      <w:r w:rsidRPr="00BF53B8">
        <w:rPr>
          <w:rFonts w:ascii="Times New Roman" w:hAnsi="Times New Roman"/>
          <w:i/>
          <w:iCs/>
          <w:sz w:val="24"/>
          <w:szCs w:val="24"/>
          <w:lang w:eastAsia="en-IN"/>
        </w:rPr>
        <w:t>Journal of Plant Production</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12</w:t>
      </w:r>
      <w:r w:rsidRPr="00BF53B8">
        <w:rPr>
          <w:rFonts w:ascii="Times New Roman" w:hAnsi="Times New Roman"/>
          <w:sz w:val="24"/>
          <w:szCs w:val="24"/>
          <w:lang w:eastAsia="en-IN"/>
        </w:rPr>
        <w:t>, 347–353.</w:t>
      </w:r>
    </w:p>
    <w:p w14:paraId="513C5BA3"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Arunachalam, V. (1981). Genetic distances in plant breeding. </w:t>
      </w:r>
      <w:r w:rsidRPr="00BF53B8">
        <w:rPr>
          <w:rFonts w:ascii="Times New Roman" w:hAnsi="Times New Roman"/>
          <w:i/>
          <w:iCs/>
          <w:sz w:val="24"/>
          <w:szCs w:val="24"/>
          <w:lang w:eastAsia="en-IN"/>
        </w:rPr>
        <w:t>Indian Journal of Genetics and Plant Breeding</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41</w:t>
      </w:r>
      <w:r w:rsidRPr="00BF53B8">
        <w:rPr>
          <w:rFonts w:ascii="Times New Roman" w:hAnsi="Times New Roman"/>
          <w:sz w:val="24"/>
          <w:szCs w:val="24"/>
          <w:lang w:eastAsia="en-IN"/>
        </w:rPr>
        <w:t>, 226–236.</w:t>
      </w:r>
    </w:p>
    <w:p w14:paraId="13945336"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proofErr w:type="spellStart"/>
      <w:r w:rsidRPr="00BF53B8">
        <w:rPr>
          <w:rFonts w:ascii="Times New Roman" w:hAnsi="Times New Roman"/>
          <w:sz w:val="24"/>
          <w:szCs w:val="24"/>
          <w:lang w:eastAsia="en-IN"/>
        </w:rPr>
        <w:t>Ayankojo</w:t>
      </w:r>
      <w:proofErr w:type="spellEnd"/>
      <w:r w:rsidRPr="00BF53B8">
        <w:rPr>
          <w:rFonts w:ascii="Times New Roman" w:hAnsi="Times New Roman"/>
          <w:sz w:val="24"/>
          <w:szCs w:val="24"/>
          <w:lang w:eastAsia="en-IN"/>
        </w:rPr>
        <w:t xml:space="preserve">, I. T., &amp; Morgan, K. T. (2020). Heat stress effects on tomato growth, yield, and fruit quality. </w:t>
      </w:r>
      <w:r w:rsidRPr="00BF53B8">
        <w:rPr>
          <w:rFonts w:ascii="Times New Roman" w:hAnsi="Times New Roman"/>
          <w:i/>
          <w:iCs/>
          <w:sz w:val="24"/>
          <w:szCs w:val="24"/>
          <w:lang w:eastAsia="en-IN"/>
        </w:rPr>
        <w:t>Horticultural Reviews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47</w:t>
      </w:r>
      <w:r w:rsidRPr="00BF53B8">
        <w:rPr>
          <w:rFonts w:ascii="Times New Roman" w:hAnsi="Times New Roman"/>
          <w:sz w:val="24"/>
          <w:szCs w:val="24"/>
          <w:lang w:eastAsia="en-IN"/>
        </w:rPr>
        <w:t>, 67–108.</w:t>
      </w:r>
    </w:p>
    <w:p w14:paraId="3C48EDAC"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Cammarano, D., </w:t>
      </w:r>
      <w:r w:rsidRPr="00F65DE3">
        <w:rPr>
          <w:rFonts w:ascii="Times New Roman" w:hAnsi="Times New Roman"/>
          <w:i/>
          <w:sz w:val="24"/>
          <w:szCs w:val="24"/>
          <w:lang w:eastAsia="en-IN"/>
        </w:rPr>
        <w:t>et al</w:t>
      </w:r>
      <w:r w:rsidRPr="00BF53B8">
        <w:rPr>
          <w:rFonts w:ascii="Times New Roman" w:hAnsi="Times New Roman"/>
          <w:sz w:val="24"/>
          <w:szCs w:val="24"/>
          <w:lang w:eastAsia="en-IN"/>
        </w:rPr>
        <w:t xml:space="preserve">. (2022). Climate change impact on processing tomato production in Mediterranean environments. </w:t>
      </w:r>
      <w:r w:rsidRPr="00BF53B8">
        <w:rPr>
          <w:rFonts w:ascii="Times New Roman" w:hAnsi="Times New Roman"/>
          <w:i/>
          <w:iCs/>
          <w:sz w:val="24"/>
          <w:szCs w:val="24"/>
          <w:lang w:eastAsia="en-IN"/>
        </w:rPr>
        <w:t>Agricultural Systems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196</w:t>
      </w:r>
      <w:r w:rsidRPr="00BF53B8">
        <w:rPr>
          <w:rFonts w:ascii="Times New Roman" w:hAnsi="Times New Roman"/>
          <w:sz w:val="24"/>
          <w:szCs w:val="24"/>
          <w:lang w:eastAsia="en-IN"/>
        </w:rPr>
        <w:t>, 103329.</w:t>
      </w:r>
    </w:p>
    <w:p w14:paraId="54D2BC05"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proofErr w:type="spellStart"/>
      <w:r w:rsidRPr="00BF53B8">
        <w:rPr>
          <w:rFonts w:ascii="Times New Roman" w:hAnsi="Times New Roman"/>
          <w:sz w:val="24"/>
          <w:szCs w:val="24"/>
          <w:lang w:eastAsia="en-IN"/>
        </w:rPr>
        <w:t>ClimateAi</w:t>
      </w:r>
      <w:proofErr w:type="spellEnd"/>
      <w:r w:rsidRPr="00BF53B8">
        <w:rPr>
          <w:rFonts w:ascii="Times New Roman" w:hAnsi="Times New Roman"/>
          <w:sz w:val="24"/>
          <w:szCs w:val="24"/>
          <w:lang w:eastAsia="en-IN"/>
        </w:rPr>
        <w:t xml:space="preserve">. (2025). Climate risk assessment for tomato production regions. </w:t>
      </w:r>
      <w:proofErr w:type="spellStart"/>
      <w:r w:rsidRPr="00BF53B8">
        <w:rPr>
          <w:rFonts w:ascii="Times New Roman" w:hAnsi="Times New Roman"/>
          <w:i/>
          <w:iCs/>
          <w:sz w:val="24"/>
          <w:szCs w:val="24"/>
          <w:lang w:eastAsia="en-IN"/>
        </w:rPr>
        <w:t>ClimateAi</w:t>
      </w:r>
      <w:proofErr w:type="spellEnd"/>
      <w:r w:rsidRPr="00BF53B8">
        <w:rPr>
          <w:rFonts w:ascii="Times New Roman" w:hAnsi="Times New Roman"/>
          <w:i/>
          <w:iCs/>
          <w:sz w:val="24"/>
          <w:szCs w:val="24"/>
          <w:lang w:eastAsia="en-IN"/>
        </w:rPr>
        <w:t xml:space="preserve"> Technical Report</w:t>
      </w:r>
      <w:r w:rsidRPr="00BF53B8">
        <w:rPr>
          <w:rFonts w:ascii="Times New Roman" w:hAnsi="Times New Roman"/>
          <w:sz w:val="24"/>
          <w:szCs w:val="24"/>
          <w:lang w:eastAsia="en-IN"/>
        </w:rPr>
        <w:t>.</w:t>
      </w:r>
    </w:p>
    <w:p w14:paraId="3383F22B"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lastRenderedPageBreak/>
        <w:t>Dar, R. A., &amp; Sharma, J. P. (2011). Genetic variability studies of yield and quality traits in tomato (</w:t>
      </w:r>
      <w:r w:rsidRPr="00BF53B8">
        <w:rPr>
          <w:rFonts w:ascii="Times New Roman" w:hAnsi="Times New Roman"/>
          <w:i/>
          <w:iCs/>
          <w:sz w:val="24"/>
          <w:szCs w:val="24"/>
          <w:lang w:eastAsia="en-IN"/>
        </w:rPr>
        <w:t xml:space="preserve">Solanum </w:t>
      </w:r>
      <w:proofErr w:type="spellStart"/>
      <w:r w:rsidRPr="00BF53B8">
        <w:rPr>
          <w:rFonts w:ascii="Times New Roman" w:hAnsi="Times New Roman"/>
          <w:i/>
          <w:iCs/>
          <w:sz w:val="24"/>
          <w:szCs w:val="24"/>
          <w:lang w:eastAsia="en-IN"/>
        </w:rPr>
        <w:t>lycopersicum</w:t>
      </w:r>
      <w:proofErr w:type="spellEnd"/>
      <w:r w:rsidRPr="00BF53B8">
        <w:rPr>
          <w:rFonts w:ascii="Times New Roman" w:hAnsi="Times New Roman"/>
          <w:sz w:val="24"/>
          <w:szCs w:val="24"/>
          <w:lang w:eastAsia="en-IN"/>
        </w:rPr>
        <w:t xml:space="preserve"> L.). </w:t>
      </w:r>
      <w:r w:rsidRPr="00BF53B8">
        <w:rPr>
          <w:rFonts w:ascii="Times New Roman" w:hAnsi="Times New Roman"/>
          <w:i/>
          <w:iCs/>
          <w:sz w:val="24"/>
          <w:szCs w:val="24"/>
          <w:lang w:eastAsia="en-IN"/>
        </w:rPr>
        <w:t>International Journal of Plant Breeding and Genetics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5</w:t>
      </w:r>
      <w:r w:rsidRPr="00BF53B8">
        <w:rPr>
          <w:rFonts w:ascii="Times New Roman" w:hAnsi="Times New Roman"/>
          <w:sz w:val="24"/>
          <w:szCs w:val="24"/>
          <w:lang w:eastAsia="en-IN"/>
        </w:rPr>
        <w:t>, 168–174.</w:t>
      </w:r>
    </w:p>
    <w:p w14:paraId="67EE3A1B"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FAO. (2024). </w:t>
      </w:r>
      <w:r w:rsidRPr="00BF53B8">
        <w:rPr>
          <w:rFonts w:ascii="Times New Roman" w:hAnsi="Times New Roman"/>
          <w:i/>
          <w:iCs/>
          <w:sz w:val="24"/>
          <w:szCs w:val="24"/>
          <w:lang w:eastAsia="en-IN"/>
        </w:rPr>
        <w:t>FAOSTAT Statistical Database</w:t>
      </w:r>
      <w:r w:rsidRPr="00BF53B8">
        <w:rPr>
          <w:rFonts w:ascii="Times New Roman" w:hAnsi="Times New Roman"/>
          <w:sz w:val="24"/>
          <w:szCs w:val="24"/>
          <w:lang w:eastAsia="en-IN"/>
        </w:rPr>
        <w:t>. Food and Agriculture Organization of the United Nations, Rome.</w:t>
      </w:r>
    </w:p>
    <w:p w14:paraId="3937F986"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Gao, Y., Wang, S., Aslam, M., &amp; Li, Z. (2023). EMS mutagenesis and mutant resources for functional genomics and crop improvement. </w:t>
      </w:r>
      <w:r w:rsidRPr="00BF53B8">
        <w:rPr>
          <w:rFonts w:ascii="Times New Roman" w:hAnsi="Times New Roman"/>
          <w:i/>
          <w:iCs/>
          <w:sz w:val="24"/>
          <w:szCs w:val="24"/>
          <w:lang w:eastAsia="en-IN"/>
        </w:rPr>
        <w:t>Plant Biotechnology Journal</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21</w:t>
      </w:r>
      <w:r w:rsidRPr="00BF53B8">
        <w:rPr>
          <w:rFonts w:ascii="Times New Roman" w:hAnsi="Times New Roman"/>
          <w:sz w:val="24"/>
          <w:szCs w:val="24"/>
          <w:lang w:eastAsia="en-IN"/>
        </w:rPr>
        <w:t>, 1251–1265.</w:t>
      </w:r>
    </w:p>
    <w:p w14:paraId="336C49BF"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Hanson, G. H., Robinson, H. F., &amp; Comstock, R. E. (1956). Biometrical studies of yield in segregating populations of Korean lespedeza. </w:t>
      </w:r>
      <w:r w:rsidRPr="00BF53B8">
        <w:rPr>
          <w:rFonts w:ascii="Times New Roman" w:hAnsi="Times New Roman"/>
          <w:i/>
          <w:iCs/>
          <w:sz w:val="24"/>
          <w:szCs w:val="24"/>
          <w:lang w:eastAsia="en-IN"/>
        </w:rPr>
        <w:t>Agronomy Journal</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48</w:t>
      </w:r>
      <w:r w:rsidRPr="00BF53B8">
        <w:rPr>
          <w:rFonts w:ascii="Times New Roman" w:hAnsi="Times New Roman"/>
          <w:sz w:val="24"/>
          <w:szCs w:val="24"/>
          <w:lang w:eastAsia="en-IN"/>
        </w:rPr>
        <w:t>, 268–272.</w:t>
      </w:r>
    </w:p>
    <w:p w14:paraId="5C55E37A"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Islam, M. R., Hasan, M. M., &amp; Rahman, M. M. (2023). Genetic diversity and trait association in tomato using PCA and cluster analysis. </w:t>
      </w:r>
      <w:r w:rsidRPr="00BF53B8">
        <w:rPr>
          <w:rFonts w:ascii="Times New Roman" w:hAnsi="Times New Roman"/>
          <w:i/>
          <w:iCs/>
          <w:sz w:val="24"/>
          <w:szCs w:val="24"/>
          <w:lang w:eastAsia="en-IN"/>
        </w:rPr>
        <w:t>Bangladesh Journal of Agricultural Research</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48</w:t>
      </w:r>
      <w:r w:rsidRPr="00BF53B8">
        <w:rPr>
          <w:rFonts w:ascii="Times New Roman" w:hAnsi="Times New Roman"/>
          <w:sz w:val="24"/>
          <w:szCs w:val="24"/>
          <w:lang w:eastAsia="en-IN"/>
        </w:rPr>
        <w:t>, 215–229.</w:t>
      </w:r>
    </w:p>
    <w:p w14:paraId="660496E9"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Jiang, H., Liu, Y., &amp; Zhang, X. (2024). Genetic dissection of fruit size traits in tomato. </w:t>
      </w:r>
      <w:r w:rsidRPr="00BF53B8">
        <w:rPr>
          <w:rFonts w:ascii="Times New Roman" w:hAnsi="Times New Roman"/>
          <w:i/>
          <w:iCs/>
          <w:sz w:val="24"/>
          <w:szCs w:val="24"/>
          <w:lang w:eastAsia="en-IN"/>
        </w:rPr>
        <w:t>Frontiers in Plant Science</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15</w:t>
      </w:r>
      <w:r w:rsidRPr="00BF53B8">
        <w:rPr>
          <w:rFonts w:ascii="Times New Roman" w:hAnsi="Times New Roman"/>
          <w:sz w:val="24"/>
          <w:szCs w:val="24"/>
          <w:lang w:eastAsia="en-IN"/>
        </w:rPr>
        <w:t>, 1189042.</w:t>
      </w:r>
    </w:p>
    <w:p w14:paraId="591E4F72"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Juhi, R., Kumar, R., &amp; Rai, N. (2019). Genetic bottlenecks and strategies for widening the genetic base of cultivated tomato. </w:t>
      </w:r>
      <w:r w:rsidRPr="00BF53B8">
        <w:rPr>
          <w:rFonts w:ascii="Times New Roman" w:hAnsi="Times New Roman"/>
          <w:i/>
          <w:iCs/>
          <w:sz w:val="24"/>
          <w:szCs w:val="24"/>
          <w:lang w:eastAsia="en-IN"/>
        </w:rPr>
        <w:t>Vegetable Science</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46</w:t>
      </w:r>
      <w:r w:rsidRPr="00BF53B8">
        <w:rPr>
          <w:rFonts w:ascii="Times New Roman" w:hAnsi="Times New Roman"/>
          <w:sz w:val="24"/>
          <w:szCs w:val="24"/>
          <w:lang w:eastAsia="en-IN"/>
        </w:rPr>
        <w:t>, 1–9.</w:t>
      </w:r>
    </w:p>
    <w:p w14:paraId="7ADAAA58"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Kang, H., Kim, J., &amp; Lee, S. (2021). Yield stability of tomato genotypes under controlled and open-field conditions. </w:t>
      </w:r>
      <w:r w:rsidRPr="00BF53B8">
        <w:rPr>
          <w:rFonts w:ascii="Times New Roman" w:hAnsi="Times New Roman"/>
          <w:i/>
          <w:iCs/>
          <w:sz w:val="24"/>
          <w:szCs w:val="24"/>
          <w:lang w:eastAsia="en-IN"/>
        </w:rPr>
        <w:t>Horticulture, Environment, and Biotechnology</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62</w:t>
      </w:r>
      <w:r w:rsidRPr="00BF53B8">
        <w:rPr>
          <w:rFonts w:ascii="Times New Roman" w:hAnsi="Times New Roman"/>
          <w:sz w:val="24"/>
          <w:szCs w:val="24"/>
          <w:lang w:eastAsia="en-IN"/>
        </w:rPr>
        <w:t>, 563–575.</w:t>
      </w:r>
    </w:p>
    <w:p w14:paraId="31C5DB52"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Kostov, K., </w:t>
      </w:r>
      <w:proofErr w:type="spellStart"/>
      <w:r w:rsidRPr="00BF53B8">
        <w:rPr>
          <w:rFonts w:ascii="Times New Roman" w:hAnsi="Times New Roman"/>
          <w:sz w:val="24"/>
          <w:szCs w:val="24"/>
          <w:lang w:eastAsia="en-IN"/>
        </w:rPr>
        <w:t>Batchvarova</w:t>
      </w:r>
      <w:proofErr w:type="spellEnd"/>
      <w:r w:rsidRPr="00BF53B8">
        <w:rPr>
          <w:rFonts w:ascii="Times New Roman" w:hAnsi="Times New Roman"/>
          <w:sz w:val="24"/>
          <w:szCs w:val="24"/>
          <w:lang w:eastAsia="en-IN"/>
        </w:rPr>
        <w:t xml:space="preserve">, R., &amp; Slavov, S. (2007). Induced mutagenesis for improving disease resistance in tomato. </w:t>
      </w:r>
      <w:r w:rsidRPr="00BF53B8">
        <w:rPr>
          <w:rFonts w:ascii="Times New Roman" w:hAnsi="Times New Roman"/>
          <w:i/>
          <w:iCs/>
          <w:sz w:val="24"/>
          <w:szCs w:val="24"/>
          <w:lang w:eastAsia="en-IN"/>
        </w:rPr>
        <w:t>Bulgarian Journal of Agricultural Science</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13</w:t>
      </w:r>
      <w:r w:rsidRPr="00BF53B8">
        <w:rPr>
          <w:rFonts w:ascii="Times New Roman" w:hAnsi="Times New Roman"/>
          <w:sz w:val="24"/>
          <w:szCs w:val="24"/>
          <w:lang w:eastAsia="en-IN"/>
        </w:rPr>
        <w:t>, 513–518.</w:t>
      </w:r>
    </w:p>
    <w:p w14:paraId="0E7B9B41"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lastRenderedPageBreak/>
        <w:t xml:space="preserve">Kovach, W. L. (1994). </w:t>
      </w:r>
      <w:r w:rsidRPr="00BF53B8">
        <w:rPr>
          <w:rFonts w:ascii="Times New Roman" w:hAnsi="Times New Roman"/>
          <w:i/>
          <w:iCs/>
          <w:sz w:val="24"/>
          <w:szCs w:val="24"/>
          <w:lang w:eastAsia="en-IN"/>
        </w:rPr>
        <w:t>Multivariate Statistics for Ecologists</w:t>
      </w:r>
      <w:r w:rsidRPr="00BF53B8">
        <w:rPr>
          <w:rFonts w:ascii="Times New Roman" w:hAnsi="Times New Roman"/>
          <w:sz w:val="24"/>
          <w:szCs w:val="24"/>
          <w:lang w:eastAsia="en-IN"/>
        </w:rPr>
        <w:t>. Kovach Computing Services, Wales.</w:t>
      </w:r>
    </w:p>
    <w:p w14:paraId="36FFC483"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Kumar, A., Meena, O. P., &amp; Mehta, N. (2022). Multivariate analysis for yield and quality traits in tomato. </w:t>
      </w:r>
      <w:r w:rsidRPr="00BF53B8">
        <w:rPr>
          <w:rFonts w:ascii="Times New Roman" w:hAnsi="Times New Roman"/>
          <w:i/>
          <w:iCs/>
          <w:sz w:val="24"/>
          <w:szCs w:val="24"/>
          <w:lang w:eastAsia="en-IN"/>
        </w:rPr>
        <w:t>Journal of Applied and Natural Science</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14</w:t>
      </w:r>
      <w:r w:rsidRPr="00BF53B8">
        <w:rPr>
          <w:rFonts w:ascii="Times New Roman" w:hAnsi="Times New Roman"/>
          <w:sz w:val="24"/>
          <w:szCs w:val="24"/>
          <w:lang w:eastAsia="en-IN"/>
        </w:rPr>
        <w:t>, 963–970.</w:t>
      </w:r>
    </w:p>
    <w:p w14:paraId="0D229C67"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proofErr w:type="spellStart"/>
      <w:r w:rsidRPr="00BF53B8">
        <w:rPr>
          <w:rFonts w:ascii="Times New Roman" w:hAnsi="Times New Roman"/>
          <w:sz w:val="24"/>
          <w:szCs w:val="24"/>
          <w:lang w:eastAsia="en-IN"/>
        </w:rPr>
        <w:t>Kürklü</w:t>
      </w:r>
      <w:proofErr w:type="spellEnd"/>
      <w:r w:rsidRPr="00BF53B8">
        <w:rPr>
          <w:rFonts w:ascii="Times New Roman" w:hAnsi="Times New Roman"/>
          <w:sz w:val="24"/>
          <w:szCs w:val="24"/>
          <w:lang w:eastAsia="en-IN"/>
        </w:rPr>
        <w:t xml:space="preserve">, A., Cengiz, R., &amp; Kibar, H. (2025). Climate resilience strategies for vegetable crops under heat stress. </w:t>
      </w:r>
      <w:r w:rsidRPr="00BF53B8">
        <w:rPr>
          <w:rFonts w:ascii="Times New Roman" w:hAnsi="Times New Roman"/>
          <w:i/>
          <w:iCs/>
          <w:sz w:val="24"/>
          <w:szCs w:val="24"/>
          <w:lang w:eastAsia="en-IN"/>
        </w:rPr>
        <w:t>Agricultural Water Management</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293</w:t>
      </w:r>
      <w:r w:rsidRPr="00BF53B8">
        <w:rPr>
          <w:rFonts w:ascii="Times New Roman" w:hAnsi="Times New Roman"/>
          <w:sz w:val="24"/>
          <w:szCs w:val="24"/>
          <w:lang w:eastAsia="en-IN"/>
        </w:rPr>
        <w:t>, 108813.</w:t>
      </w:r>
    </w:p>
    <w:p w14:paraId="03D6C17C"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Maurya, R. P., Singh, P., &amp; Verma, S. (2022). Genetic variability and diversity studies in tomato mutants. </w:t>
      </w:r>
      <w:r w:rsidRPr="00BF53B8">
        <w:rPr>
          <w:rFonts w:ascii="Times New Roman" w:hAnsi="Times New Roman"/>
          <w:i/>
          <w:iCs/>
          <w:sz w:val="24"/>
          <w:szCs w:val="24"/>
          <w:lang w:eastAsia="en-IN"/>
        </w:rPr>
        <w:t>Indian Journal of Agricultural Research</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56</w:t>
      </w:r>
      <w:r w:rsidRPr="00BF53B8">
        <w:rPr>
          <w:rFonts w:ascii="Times New Roman" w:hAnsi="Times New Roman"/>
          <w:sz w:val="24"/>
          <w:szCs w:val="24"/>
          <w:lang w:eastAsia="en-IN"/>
        </w:rPr>
        <w:t>, 210–216.</w:t>
      </w:r>
    </w:p>
    <w:p w14:paraId="60C97003"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Mohammadi, S. A., &amp; Prasanna, B. M. (2003). Analysis of genetic diversity in crop plants—salient statistical tools and considerations. </w:t>
      </w:r>
      <w:r w:rsidRPr="00BF53B8">
        <w:rPr>
          <w:rFonts w:ascii="Times New Roman" w:hAnsi="Times New Roman"/>
          <w:i/>
          <w:iCs/>
          <w:sz w:val="24"/>
          <w:szCs w:val="24"/>
          <w:lang w:eastAsia="en-IN"/>
        </w:rPr>
        <w:t>Crop Science</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43</w:t>
      </w:r>
      <w:r w:rsidRPr="00BF53B8">
        <w:rPr>
          <w:rFonts w:ascii="Times New Roman" w:hAnsi="Times New Roman"/>
          <w:sz w:val="24"/>
          <w:szCs w:val="24"/>
          <w:lang w:eastAsia="en-IN"/>
        </w:rPr>
        <w:t>, 1235–1248.</w:t>
      </w:r>
    </w:p>
    <w:p w14:paraId="2ADB053F"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proofErr w:type="spellStart"/>
      <w:r w:rsidRPr="00BF53B8">
        <w:rPr>
          <w:rFonts w:ascii="Times New Roman" w:hAnsi="Times New Roman"/>
          <w:sz w:val="24"/>
          <w:szCs w:val="24"/>
          <w:lang w:eastAsia="en-IN"/>
        </w:rPr>
        <w:t>Panthee</w:t>
      </w:r>
      <w:proofErr w:type="spellEnd"/>
      <w:r w:rsidRPr="00BF53B8">
        <w:rPr>
          <w:rFonts w:ascii="Times New Roman" w:hAnsi="Times New Roman"/>
          <w:sz w:val="24"/>
          <w:szCs w:val="24"/>
          <w:lang w:eastAsia="en-IN"/>
        </w:rPr>
        <w:t xml:space="preserve">, D. R. (2012). Genetic improvement of tomato for yield and stress tolerance. </w:t>
      </w:r>
      <w:r w:rsidRPr="00BF53B8">
        <w:rPr>
          <w:rFonts w:ascii="Times New Roman" w:hAnsi="Times New Roman"/>
          <w:i/>
          <w:iCs/>
          <w:sz w:val="24"/>
          <w:szCs w:val="24"/>
          <w:lang w:eastAsia="en-IN"/>
        </w:rPr>
        <w:t>Plant Breeding Reviews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36</w:t>
      </w:r>
      <w:r w:rsidRPr="00BF53B8">
        <w:rPr>
          <w:rFonts w:ascii="Times New Roman" w:hAnsi="Times New Roman"/>
          <w:sz w:val="24"/>
          <w:szCs w:val="24"/>
          <w:lang w:eastAsia="en-IN"/>
        </w:rPr>
        <w:t>, 345–396.</w:t>
      </w:r>
    </w:p>
    <w:p w14:paraId="2F6519C7"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Pathak, V. K., Sharma, A., &amp; Kumar, S. (2024). Genetic variability and heritability analysis in tomato under temperate conditions. </w:t>
      </w:r>
      <w:r w:rsidRPr="00BF53B8">
        <w:rPr>
          <w:rFonts w:ascii="Times New Roman" w:hAnsi="Times New Roman"/>
          <w:i/>
          <w:iCs/>
          <w:sz w:val="24"/>
          <w:szCs w:val="24"/>
          <w:lang w:eastAsia="en-IN"/>
        </w:rPr>
        <w:t>Journal of Plant Research</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137</w:t>
      </w:r>
      <w:r w:rsidRPr="00BF53B8">
        <w:rPr>
          <w:rFonts w:ascii="Times New Roman" w:hAnsi="Times New Roman"/>
          <w:sz w:val="24"/>
          <w:szCs w:val="24"/>
          <w:lang w:eastAsia="en-IN"/>
        </w:rPr>
        <w:t>, 211–223.</w:t>
      </w:r>
    </w:p>
    <w:p w14:paraId="549AC39B"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Patel, S. A., Patel, J. B., &amp; Patel, R. N. (2017). Genetic variability and correlation studies in tomato. </w:t>
      </w:r>
      <w:r w:rsidRPr="00BF53B8">
        <w:rPr>
          <w:rFonts w:ascii="Times New Roman" w:hAnsi="Times New Roman"/>
          <w:i/>
          <w:iCs/>
          <w:sz w:val="24"/>
          <w:szCs w:val="24"/>
          <w:lang w:eastAsia="en-IN"/>
        </w:rPr>
        <w:t>International Journal of Current Microbiology and Applied Sciences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6</w:t>
      </w:r>
      <w:r w:rsidRPr="00BF53B8">
        <w:rPr>
          <w:rFonts w:ascii="Times New Roman" w:hAnsi="Times New Roman"/>
          <w:sz w:val="24"/>
          <w:szCs w:val="24"/>
          <w:lang w:eastAsia="en-IN"/>
        </w:rPr>
        <w:t>, 2355–2362.</w:t>
      </w:r>
    </w:p>
    <w:p w14:paraId="504EE2C1"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Piron, F., </w:t>
      </w:r>
      <w:proofErr w:type="spellStart"/>
      <w:r w:rsidRPr="00BF53B8">
        <w:rPr>
          <w:rFonts w:ascii="Times New Roman" w:hAnsi="Times New Roman"/>
          <w:sz w:val="24"/>
          <w:szCs w:val="24"/>
          <w:lang w:eastAsia="en-IN"/>
        </w:rPr>
        <w:t>Nicolaï</w:t>
      </w:r>
      <w:proofErr w:type="spellEnd"/>
      <w:r w:rsidRPr="00BF53B8">
        <w:rPr>
          <w:rFonts w:ascii="Times New Roman" w:hAnsi="Times New Roman"/>
          <w:sz w:val="24"/>
          <w:szCs w:val="24"/>
          <w:lang w:eastAsia="en-IN"/>
        </w:rPr>
        <w:t xml:space="preserve">, M., Minoïa, S., </w:t>
      </w:r>
      <w:proofErr w:type="spellStart"/>
      <w:r w:rsidRPr="00BF53B8">
        <w:rPr>
          <w:rFonts w:ascii="Times New Roman" w:hAnsi="Times New Roman"/>
          <w:sz w:val="24"/>
          <w:szCs w:val="24"/>
          <w:lang w:eastAsia="en-IN"/>
        </w:rPr>
        <w:t>Piednoir</w:t>
      </w:r>
      <w:proofErr w:type="spellEnd"/>
      <w:r w:rsidRPr="00BF53B8">
        <w:rPr>
          <w:rFonts w:ascii="Times New Roman" w:hAnsi="Times New Roman"/>
          <w:sz w:val="24"/>
          <w:szCs w:val="24"/>
          <w:lang w:eastAsia="en-IN"/>
        </w:rPr>
        <w:t xml:space="preserve">, E., Moretti, A., </w:t>
      </w:r>
      <w:proofErr w:type="spellStart"/>
      <w:r w:rsidRPr="00BF53B8">
        <w:rPr>
          <w:rFonts w:ascii="Times New Roman" w:hAnsi="Times New Roman"/>
          <w:sz w:val="24"/>
          <w:szCs w:val="24"/>
          <w:lang w:eastAsia="en-IN"/>
        </w:rPr>
        <w:t>Salgues</w:t>
      </w:r>
      <w:proofErr w:type="spellEnd"/>
      <w:r w:rsidRPr="00BF53B8">
        <w:rPr>
          <w:rFonts w:ascii="Times New Roman" w:hAnsi="Times New Roman"/>
          <w:sz w:val="24"/>
          <w:szCs w:val="24"/>
          <w:lang w:eastAsia="en-IN"/>
        </w:rPr>
        <w:t xml:space="preserve">, A., Zamir, D., </w:t>
      </w:r>
      <w:proofErr w:type="spellStart"/>
      <w:r w:rsidRPr="00BF53B8">
        <w:rPr>
          <w:rFonts w:ascii="Times New Roman" w:hAnsi="Times New Roman"/>
          <w:sz w:val="24"/>
          <w:szCs w:val="24"/>
          <w:lang w:eastAsia="en-IN"/>
        </w:rPr>
        <w:t>Caranta</w:t>
      </w:r>
      <w:proofErr w:type="spellEnd"/>
      <w:r w:rsidRPr="00BF53B8">
        <w:rPr>
          <w:rFonts w:ascii="Times New Roman" w:hAnsi="Times New Roman"/>
          <w:sz w:val="24"/>
          <w:szCs w:val="24"/>
          <w:lang w:eastAsia="en-IN"/>
        </w:rPr>
        <w:t xml:space="preserve">, C., &amp; Bendahmane, A. (2010). An induced mutation in tomato confers resistance to potyviruses. </w:t>
      </w:r>
      <w:r w:rsidRPr="00BF53B8">
        <w:rPr>
          <w:rFonts w:ascii="Times New Roman" w:hAnsi="Times New Roman"/>
          <w:i/>
          <w:iCs/>
          <w:sz w:val="24"/>
          <w:szCs w:val="24"/>
          <w:lang w:eastAsia="en-IN"/>
        </w:rPr>
        <w:t>Molecular Plant–Microbe Interactions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23</w:t>
      </w:r>
      <w:r w:rsidRPr="00BF53B8">
        <w:rPr>
          <w:rFonts w:ascii="Times New Roman" w:hAnsi="Times New Roman"/>
          <w:sz w:val="24"/>
          <w:szCs w:val="24"/>
          <w:lang w:eastAsia="en-IN"/>
        </w:rPr>
        <w:t>, 1377–1384.</w:t>
      </w:r>
    </w:p>
    <w:p w14:paraId="7D5DF0F5"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Rothan, C., Diouf, I., &amp; Causse, M. (2019). Trait discovery and editing in tomato. </w:t>
      </w:r>
      <w:r w:rsidRPr="00BF53B8">
        <w:rPr>
          <w:rFonts w:ascii="Times New Roman" w:hAnsi="Times New Roman"/>
          <w:i/>
          <w:iCs/>
          <w:sz w:val="24"/>
          <w:szCs w:val="24"/>
          <w:lang w:eastAsia="en-IN"/>
        </w:rPr>
        <w:t>Annual Review of Plant Biology</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70</w:t>
      </w:r>
      <w:r w:rsidRPr="00BF53B8">
        <w:rPr>
          <w:rFonts w:ascii="Times New Roman" w:hAnsi="Times New Roman"/>
          <w:sz w:val="24"/>
          <w:szCs w:val="24"/>
          <w:lang w:eastAsia="en-IN"/>
        </w:rPr>
        <w:t>, 367–395.</w:t>
      </w:r>
    </w:p>
    <w:p w14:paraId="17F1E7F5"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lastRenderedPageBreak/>
        <w:t xml:space="preserve">Saravanan, S., Kumar, S., &amp; Singh, J. P. (2019). Variability, heritability and genetic advance in tomato. </w:t>
      </w:r>
      <w:r w:rsidRPr="00BF53B8">
        <w:rPr>
          <w:rFonts w:ascii="Times New Roman" w:hAnsi="Times New Roman"/>
          <w:i/>
          <w:iCs/>
          <w:sz w:val="24"/>
          <w:szCs w:val="24"/>
          <w:lang w:eastAsia="en-IN"/>
        </w:rPr>
        <w:t>Journal of Pharmacognosy and Phytochemistry</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8</w:t>
      </w:r>
      <w:r w:rsidRPr="00BF53B8">
        <w:rPr>
          <w:rFonts w:ascii="Times New Roman" w:hAnsi="Times New Roman"/>
          <w:sz w:val="24"/>
          <w:szCs w:val="24"/>
          <w:lang w:eastAsia="en-IN"/>
        </w:rPr>
        <w:t>, 213–217.</w:t>
      </w:r>
    </w:p>
    <w:p w14:paraId="365C6CB5"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Shams-un-Nisa, S., Khan, M. A., &amp; Ali, A. (2023). Genetic analysis of branching and yield traits in tomato. </w:t>
      </w:r>
      <w:r w:rsidRPr="00BF53B8">
        <w:rPr>
          <w:rFonts w:ascii="Times New Roman" w:hAnsi="Times New Roman"/>
          <w:i/>
          <w:iCs/>
          <w:sz w:val="24"/>
          <w:szCs w:val="24"/>
          <w:lang w:eastAsia="en-IN"/>
        </w:rPr>
        <w:t>Pakistan Journal of Agricultural Sciences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60</w:t>
      </w:r>
      <w:r w:rsidRPr="00BF53B8">
        <w:rPr>
          <w:rFonts w:ascii="Times New Roman" w:hAnsi="Times New Roman"/>
          <w:sz w:val="24"/>
          <w:szCs w:val="24"/>
          <w:lang w:eastAsia="en-IN"/>
        </w:rPr>
        <w:t>, 45–53.</w:t>
      </w:r>
    </w:p>
    <w:p w14:paraId="12C33944"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Sharma, S., Dhaliwal, M. S., &amp; Singh, R. (2019). Tomato production under different soil and climatic conditions. </w:t>
      </w:r>
      <w:r w:rsidRPr="00BF53B8">
        <w:rPr>
          <w:rFonts w:ascii="Times New Roman" w:hAnsi="Times New Roman"/>
          <w:i/>
          <w:iCs/>
          <w:sz w:val="24"/>
          <w:szCs w:val="24"/>
          <w:lang w:eastAsia="en-IN"/>
        </w:rPr>
        <w:t>Vegetable Crops Research Bulletin</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90</w:t>
      </w:r>
      <w:r w:rsidRPr="00BF53B8">
        <w:rPr>
          <w:rFonts w:ascii="Times New Roman" w:hAnsi="Times New Roman"/>
          <w:sz w:val="24"/>
          <w:szCs w:val="24"/>
          <w:lang w:eastAsia="en-IN"/>
        </w:rPr>
        <w:t>, 5–18.</w:t>
      </w:r>
    </w:p>
    <w:p w14:paraId="6678B38D"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Sikora, P., </w:t>
      </w:r>
      <w:proofErr w:type="spellStart"/>
      <w:r w:rsidRPr="00BF53B8">
        <w:rPr>
          <w:rFonts w:ascii="Times New Roman" w:hAnsi="Times New Roman"/>
          <w:sz w:val="24"/>
          <w:szCs w:val="24"/>
          <w:lang w:eastAsia="en-IN"/>
        </w:rPr>
        <w:t>Chawade</w:t>
      </w:r>
      <w:proofErr w:type="spellEnd"/>
      <w:r w:rsidRPr="00BF53B8">
        <w:rPr>
          <w:rFonts w:ascii="Times New Roman" w:hAnsi="Times New Roman"/>
          <w:sz w:val="24"/>
          <w:szCs w:val="24"/>
          <w:lang w:eastAsia="en-IN"/>
        </w:rPr>
        <w:t xml:space="preserve">, A., Larsson, M., Olsson, J., &amp; Olsson, O. (2019). Mutagenesis as a tool in plant genetics, functional genomics, and breeding. </w:t>
      </w:r>
      <w:r w:rsidRPr="00BF53B8">
        <w:rPr>
          <w:rFonts w:ascii="Times New Roman" w:hAnsi="Times New Roman"/>
          <w:i/>
          <w:iCs/>
          <w:sz w:val="24"/>
          <w:szCs w:val="24"/>
          <w:lang w:eastAsia="en-IN"/>
        </w:rPr>
        <w:t>International Journal of Plant Genomics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2019</w:t>
      </w:r>
      <w:r w:rsidRPr="00BF53B8">
        <w:rPr>
          <w:rFonts w:ascii="Times New Roman" w:hAnsi="Times New Roman"/>
          <w:sz w:val="24"/>
          <w:szCs w:val="24"/>
          <w:lang w:eastAsia="en-IN"/>
        </w:rPr>
        <w:t>, 1–13.</w:t>
      </w:r>
    </w:p>
    <w:p w14:paraId="3F8D1DDC"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van der Knaap, E., Chakrabarti, M., Chu, Y. H., &amp; Clevenger, J. P. (2021). Fruit development and genetic control of yield in tomato. </w:t>
      </w:r>
      <w:r w:rsidRPr="00BF53B8">
        <w:rPr>
          <w:rFonts w:ascii="Times New Roman" w:hAnsi="Times New Roman"/>
          <w:i/>
          <w:iCs/>
          <w:sz w:val="24"/>
          <w:szCs w:val="24"/>
          <w:lang w:eastAsia="en-IN"/>
        </w:rPr>
        <w:t>Plant Cell</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33</w:t>
      </w:r>
      <w:r w:rsidRPr="00BF53B8">
        <w:rPr>
          <w:rFonts w:ascii="Times New Roman" w:hAnsi="Times New Roman"/>
          <w:sz w:val="24"/>
          <w:szCs w:val="24"/>
          <w:lang w:eastAsia="en-IN"/>
        </w:rPr>
        <w:t>, 1336–1355.</w:t>
      </w:r>
    </w:p>
    <w:p w14:paraId="23BF6182"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Wang, Y., Li, Z., &amp; Gao, Y. (2025). High-density EMS mutagenesis and whole-genome sequencing in tomato. </w:t>
      </w:r>
      <w:r w:rsidRPr="00BF53B8">
        <w:rPr>
          <w:rFonts w:ascii="Times New Roman" w:hAnsi="Times New Roman"/>
          <w:i/>
          <w:iCs/>
          <w:sz w:val="24"/>
          <w:szCs w:val="24"/>
          <w:lang w:eastAsia="en-IN"/>
        </w:rPr>
        <w:t>Plant Biotechnology Journal</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23</w:t>
      </w:r>
      <w:r w:rsidRPr="00BF53B8">
        <w:rPr>
          <w:rFonts w:ascii="Times New Roman" w:hAnsi="Times New Roman"/>
          <w:sz w:val="24"/>
          <w:szCs w:val="24"/>
          <w:lang w:eastAsia="en-IN"/>
        </w:rPr>
        <w:t>, 102–114.</w:t>
      </w:r>
    </w:p>
    <w:p w14:paraId="71961676" w14:textId="77777777" w:rsidR="004D4277" w:rsidRDefault="00BB51E4" w:rsidP="00040B8F">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Zhang, L., &amp; Hussain, A. (2024). Genetic variation and selection indices for yield improvement in tomato. </w:t>
      </w:r>
      <w:proofErr w:type="spellStart"/>
      <w:r w:rsidRPr="00BF53B8">
        <w:rPr>
          <w:rFonts w:ascii="Times New Roman" w:hAnsi="Times New Roman"/>
          <w:i/>
          <w:iCs/>
          <w:sz w:val="24"/>
          <w:szCs w:val="24"/>
          <w:lang w:eastAsia="en-IN"/>
        </w:rPr>
        <w:t>Euphytica</w:t>
      </w:r>
      <w:proofErr w:type="spellEnd"/>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220</w:t>
      </w:r>
      <w:r w:rsidRPr="00BF53B8">
        <w:rPr>
          <w:rFonts w:ascii="Times New Roman" w:hAnsi="Times New Roman"/>
          <w:sz w:val="24"/>
          <w:szCs w:val="24"/>
          <w:lang w:eastAsia="en-IN"/>
        </w:rPr>
        <w:t>, 54.</w:t>
      </w:r>
    </w:p>
    <w:p w14:paraId="679E0758" w14:textId="77777777" w:rsidR="001F33BC" w:rsidRPr="001F33BC" w:rsidRDefault="001F33BC" w:rsidP="001F33BC">
      <w:pPr>
        <w:spacing w:before="100" w:beforeAutospacing="1" w:after="100" w:afterAutospacing="1" w:line="278" w:lineRule="auto"/>
        <w:contextualSpacing/>
        <w:rPr>
          <w:lang w:val="sv-SE"/>
        </w:rPr>
      </w:pPr>
      <w:proofErr w:type="spellStart"/>
      <w:r w:rsidRPr="001F33BC">
        <w:rPr>
          <w:bCs/>
          <w:highlight w:val="yellow"/>
        </w:rPr>
        <w:t>Popat</w:t>
      </w:r>
      <w:proofErr w:type="spellEnd"/>
      <w:r w:rsidRPr="001F33BC">
        <w:rPr>
          <w:bCs/>
          <w:highlight w:val="yellow"/>
        </w:rPr>
        <w:t xml:space="preserve"> R, Patel R, Parmar D (2020). variability: Genetic Variability Analysis for Plant Breeding Research. </w:t>
      </w:r>
      <w:r w:rsidRPr="001F33BC">
        <w:rPr>
          <w:bCs/>
          <w:highlight w:val="yellow"/>
          <w:lang w:val="sv-SE"/>
        </w:rPr>
        <w:t xml:space="preserve">R package version 0.1.0, </w:t>
      </w:r>
      <w:r w:rsidRPr="001F33BC">
        <w:rPr>
          <w:rFonts w:ascii="Aptos" w:eastAsia="Aptos" w:hAnsi="Aptos"/>
          <w:kern w:val="2"/>
          <w:highlight w:val="yellow"/>
        </w:rPr>
        <w:fldChar w:fldCharType="begin"/>
      </w:r>
      <w:r w:rsidRPr="001F33BC">
        <w:rPr>
          <w:rFonts w:ascii="Aptos" w:eastAsia="Aptos" w:hAnsi="Aptos"/>
          <w:kern w:val="2"/>
          <w:highlight w:val="yellow"/>
        </w:rPr>
        <w:instrText xml:space="preserve"> HYPERLINK "https://CRAN.R-project.org/package=variability" </w:instrText>
      </w:r>
      <w:r w:rsidRPr="001F33BC">
        <w:rPr>
          <w:rFonts w:ascii="Aptos" w:eastAsia="Aptos" w:hAnsi="Aptos"/>
          <w:kern w:val="2"/>
          <w:highlight w:val="yellow"/>
        </w:rPr>
        <w:fldChar w:fldCharType="separate"/>
      </w:r>
      <w:r w:rsidRPr="001F33BC">
        <w:rPr>
          <w:bCs/>
          <w:color w:val="467886"/>
          <w:highlight w:val="yellow"/>
          <w:u w:val="single"/>
          <w:lang w:val="sv-SE"/>
        </w:rPr>
        <w:t>https://CRAN.R-project.org/package=variability</w:t>
      </w:r>
      <w:r w:rsidRPr="001F33BC">
        <w:rPr>
          <w:bCs/>
          <w:color w:val="467886"/>
          <w:highlight w:val="yellow"/>
          <w:u w:val="single"/>
          <w:lang w:val="sv-SE"/>
        </w:rPr>
        <w:fldChar w:fldCharType="end"/>
      </w:r>
      <w:r w:rsidRPr="001F33BC">
        <w:rPr>
          <w:bCs/>
          <w:highlight w:val="yellow"/>
          <w:lang w:val="sv-SE"/>
        </w:rPr>
        <w:t>.</w:t>
      </w:r>
    </w:p>
    <w:p w14:paraId="62B88399" w14:textId="77777777" w:rsidR="001B06C3" w:rsidRDefault="001B06C3" w:rsidP="001B06C3">
      <w:pPr>
        <w:pStyle w:val="NormalWeb"/>
        <w:shd w:val="clear" w:color="auto" w:fill="FFFFFF"/>
        <w:spacing w:before="0" w:beforeAutospacing="0" w:after="150" w:afterAutospacing="0"/>
        <w:rPr>
          <w:rFonts w:ascii="inherit" w:hAnsi="inherit" w:cs="Helvetica"/>
          <w:color w:val="222222"/>
          <w:sz w:val="18"/>
          <w:szCs w:val="18"/>
        </w:rPr>
      </w:pPr>
      <w:r w:rsidRPr="00B62715">
        <w:rPr>
          <w:rFonts w:ascii="inherit" w:hAnsi="inherit" w:cs="Helvetica"/>
          <w:color w:val="222222"/>
          <w:sz w:val="18"/>
          <w:szCs w:val="18"/>
          <w:highlight w:val="yellow"/>
        </w:rPr>
        <w:t xml:space="preserve">Fonseca, R., Capel, C., Nieto-Canseco, R., Ortiz-Atienza, A., </w:t>
      </w:r>
      <w:proofErr w:type="spellStart"/>
      <w:r w:rsidRPr="00B62715">
        <w:rPr>
          <w:rFonts w:ascii="inherit" w:hAnsi="inherit" w:cs="Helvetica"/>
          <w:color w:val="222222"/>
          <w:sz w:val="18"/>
          <w:szCs w:val="18"/>
          <w:highlight w:val="yellow"/>
        </w:rPr>
        <w:t>Bretones</w:t>
      </w:r>
      <w:proofErr w:type="spellEnd"/>
      <w:r w:rsidRPr="00B62715">
        <w:rPr>
          <w:rFonts w:ascii="inherit" w:hAnsi="inherit" w:cs="Helvetica"/>
          <w:color w:val="222222"/>
          <w:sz w:val="18"/>
          <w:szCs w:val="18"/>
          <w:highlight w:val="yellow"/>
        </w:rPr>
        <w:t>, S., López-</w:t>
      </w:r>
      <w:proofErr w:type="spellStart"/>
      <w:r w:rsidRPr="00B62715">
        <w:rPr>
          <w:rFonts w:ascii="inherit" w:hAnsi="inherit" w:cs="Helvetica"/>
          <w:color w:val="222222"/>
          <w:sz w:val="18"/>
          <w:szCs w:val="18"/>
          <w:highlight w:val="yellow"/>
        </w:rPr>
        <w:t>Fábregas</w:t>
      </w:r>
      <w:proofErr w:type="spellEnd"/>
      <w:r w:rsidRPr="00B62715">
        <w:rPr>
          <w:rFonts w:ascii="inherit" w:hAnsi="inherit" w:cs="Helvetica"/>
          <w:color w:val="222222"/>
          <w:sz w:val="18"/>
          <w:szCs w:val="18"/>
          <w:highlight w:val="yellow"/>
        </w:rPr>
        <w:t>, J. D., Quevedo-</w:t>
      </w:r>
      <w:proofErr w:type="spellStart"/>
      <w:r w:rsidRPr="00B62715">
        <w:rPr>
          <w:rFonts w:ascii="inherit" w:hAnsi="inherit" w:cs="Helvetica"/>
          <w:color w:val="222222"/>
          <w:sz w:val="18"/>
          <w:szCs w:val="18"/>
          <w:highlight w:val="yellow"/>
        </w:rPr>
        <w:t>Colmena</w:t>
      </w:r>
      <w:proofErr w:type="spellEnd"/>
      <w:r w:rsidRPr="00B62715">
        <w:rPr>
          <w:rFonts w:ascii="inherit" w:hAnsi="inherit" w:cs="Helvetica"/>
          <w:color w:val="222222"/>
          <w:sz w:val="18"/>
          <w:szCs w:val="18"/>
          <w:highlight w:val="yellow"/>
        </w:rPr>
        <w:t xml:space="preserve">, A. S., </w:t>
      </w:r>
      <w:proofErr w:type="spellStart"/>
      <w:r w:rsidRPr="00B62715">
        <w:rPr>
          <w:rFonts w:ascii="inherit" w:hAnsi="inherit" w:cs="Helvetica"/>
          <w:color w:val="222222"/>
          <w:sz w:val="18"/>
          <w:szCs w:val="18"/>
          <w:highlight w:val="yellow"/>
        </w:rPr>
        <w:t>Lebrón</w:t>
      </w:r>
      <w:proofErr w:type="spellEnd"/>
      <w:r w:rsidRPr="00B62715">
        <w:rPr>
          <w:rFonts w:ascii="inherit" w:hAnsi="inherit" w:cs="Helvetica"/>
          <w:color w:val="222222"/>
          <w:sz w:val="18"/>
          <w:szCs w:val="18"/>
          <w:highlight w:val="yellow"/>
        </w:rPr>
        <w:t xml:space="preserve">, R., </w:t>
      </w:r>
      <w:proofErr w:type="spellStart"/>
      <w:r w:rsidRPr="00B62715">
        <w:rPr>
          <w:rFonts w:ascii="inherit" w:hAnsi="inherit" w:cs="Helvetica"/>
          <w:color w:val="222222"/>
          <w:sz w:val="18"/>
          <w:szCs w:val="18"/>
          <w:highlight w:val="yellow"/>
        </w:rPr>
        <w:t>Barragán</w:t>
      </w:r>
      <w:proofErr w:type="spellEnd"/>
      <w:r w:rsidRPr="00B62715">
        <w:rPr>
          <w:rFonts w:ascii="inherit" w:hAnsi="inherit" w:cs="Helvetica"/>
          <w:color w:val="222222"/>
          <w:sz w:val="18"/>
          <w:szCs w:val="18"/>
          <w:highlight w:val="yellow"/>
        </w:rPr>
        <w:t xml:space="preserve">-Lozano, T., Villalobos-Ramírez, V., </w:t>
      </w:r>
      <w:proofErr w:type="spellStart"/>
      <w:r w:rsidRPr="00B62715">
        <w:rPr>
          <w:rFonts w:ascii="inherit" w:hAnsi="inherit" w:cs="Helvetica"/>
          <w:color w:val="222222"/>
          <w:sz w:val="18"/>
          <w:szCs w:val="18"/>
          <w:highlight w:val="yellow"/>
        </w:rPr>
        <w:t>Yuste-Lisbona</w:t>
      </w:r>
      <w:proofErr w:type="spellEnd"/>
      <w:r w:rsidRPr="00B62715">
        <w:rPr>
          <w:rFonts w:ascii="inherit" w:hAnsi="inherit" w:cs="Helvetica"/>
          <w:color w:val="222222"/>
          <w:sz w:val="18"/>
          <w:szCs w:val="18"/>
          <w:highlight w:val="yellow"/>
        </w:rPr>
        <w:t xml:space="preserve">, F. J., </w:t>
      </w:r>
      <w:proofErr w:type="spellStart"/>
      <w:r w:rsidRPr="00B62715">
        <w:rPr>
          <w:rFonts w:ascii="inherit" w:hAnsi="inherit" w:cs="Helvetica"/>
          <w:color w:val="222222"/>
          <w:sz w:val="18"/>
          <w:szCs w:val="18"/>
          <w:highlight w:val="yellow"/>
        </w:rPr>
        <w:t>Angosto</w:t>
      </w:r>
      <w:proofErr w:type="spellEnd"/>
      <w:r w:rsidRPr="00B62715">
        <w:rPr>
          <w:rFonts w:ascii="inherit" w:hAnsi="inherit" w:cs="Helvetica"/>
          <w:color w:val="222222"/>
          <w:sz w:val="18"/>
          <w:szCs w:val="18"/>
          <w:highlight w:val="yellow"/>
        </w:rPr>
        <w:t>, T., Capel, J., &amp; Lozano, R. (2022). A Tomato EMS-Mutagenized Population Provides New Valuable Resources for Gene Discovery and Breeding of Developmental Traits. </w:t>
      </w:r>
      <w:r w:rsidRPr="00B62715">
        <w:rPr>
          <w:rStyle w:val="Emphasis"/>
          <w:rFonts w:ascii="inherit" w:hAnsi="inherit" w:cs="Helvetica"/>
          <w:color w:val="222222"/>
          <w:sz w:val="18"/>
          <w:szCs w:val="18"/>
          <w:highlight w:val="yellow"/>
        </w:rPr>
        <w:t>Plants</w:t>
      </w:r>
      <w:r w:rsidRPr="00B62715">
        <w:rPr>
          <w:rFonts w:ascii="inherit" w:hAnsi="inherit" w:cs="Helvetica"/>
          <w:color w:val="222222"/>
          <w:sz w:val="18"/>
          <w:szCs w:val="18"/>
          <w:highlight w:val="yellow"/>
        </w:rPr>
        <w:t>, </w:t>
      </w:r>
      <w:r w:rsidRPr="00B62715">
        <w:rPr>
          <w:rStyle w:val="Emphasis"/>
          <w:rFonts w:ascii="inherit" w:hAnsi="inherit" w:cs="Helvetica"/>
          <w:color w:val="222222"/>
          <w:sz w:val="18"/>
          <w:szCs w:val="18"/>
          <w:highlight w:val="yellow"/>
        </w:rPr>
        <w:t>11</w:t>
      </w:r>
      <w:r w:rsidRPr="00B62715">
        <w:rPr>
          <w:rFonts w:ascii="inherit" w:hAnsi="inherit" w:cs="Helvetica"/>
          <w:color w:val="222222"/>
          <w:sz w:val="18"/>
          <w:szCs w:val="18"/>
          <w:highlight w:val="yellow"/>
        </w:rPr>
        <w:t>(19), 2453. https://doi.org/10.3390/plants11192453</w:t>
      </w:r>
    </w:p>
    <w:p w14:paraId="7E63BF83" w14:textId="77777777" w:rsidR="00BE2ACD" w:rsidRDefault="00BE2ACD" w:rsidP="00040B8F">
      <w:pPr>
        <w:spacing w:before="100" w:beforeAutospacing="1" w:after="100" w:afterAutospacing="1" w:line="360" w:lineRule="auto"/>
        <w:rPr>
          <w:rFonts w:ascii="Arial" w:hAnsi="Arial" w:cs="Arial"/>
          <w:color w:val="222222"/>
          <w:highlight w:val="yellow"/>
          <w:shd w:val="clear" w:color="auto" w:fill="FFFFFF"/>
        </w:rPr>
      </w:pPr>
      <w:r w:rsidRPr="00B62715">
        <w:rPr>
          <w:rFonts w:ascii="Arial" w:hAnsi="Arial" w:cs="Arial"/>
          <w:color w:val="222222"/>
          <w:highlight w:val="yellow"/>
          <w:shd w:val="clear" w:color="auto" w:fill="FFFFFF"/>
        </w:rPr>
        <w:t xml:space="preserve">Carter, J.D.; Pereira, A.; </w:t>
      </w:r>
      <w:proofErr w:type="spellStart"/>
      <w:r w:rsidRPr="00B62715">
        <w:rPr>
          <w:rFonts w:ascii="Arial" w:hAnsi="Arial" w:cs="Arial"/>
          <w:color w:val="222222"/>
          <w:highlight w:val="yellow"/>
          <w:shd w:val="clear" w:color="auto" w:fill="FFFFFF"/>
        </w:rPr>
        <w:t>Dickerman</w:t>
      </w:r>
      <w:proofErr w:type="spellEnd"/>
      <w:r w:rsidRPr="00B62715">
        <w:rPr>
          <w:rFonts w:ascii="Arial" w:hAnsi="Arial" w:cs="Arial"/>
          <w:color w:val="222222"/>
          <w:highlight w:val="yellow"/>
          <w:shd w:val="clear" w:color="auto" w:fill="FFFFFF"/>
        </w:rPr>
        <w:t>, A.W.; Veilleux, R.E. An active ac/ds transposon system for activation tagging in tomato cultivar m82 using clonal propagation. </w:t>
      </w:r>
      <w:r w:rsidRPr="00B62715">
        <w:rPr>
          <w:rStyle w:val="html-italic"/>
          <w:rFonts w:ascii="Arial" w:hAnsi="Arial" w:cs="Arial"/>
          <w:i/>
          <w:iCs/>
          <w:color w:val="222222"/>
          <w:highlight w:val="yellow"/>
          <w:shd w:val="clear" w:color="auto" w:fill="FFFFFF"/>
        </w:rPr>
        <w:t>Plant Phys.</w:t>
      </w:r>
      <w:r w:rsidRPr="00B62715">
        <w:rPr>
          <w:rFonts w:ascii="Arial" w:hAnsi="Arial" w:cs="Arial"/>
          <w:color w:val="222222"/>
          <w:highlight w:val="yellow"/>
          <w:shd w:val="clear" w:color="auto" w:fill="FFFFFF"/>
        </w:rPr>
        <w:t> </w:t>
      </w:r>
      <w:r w:rsidRPr="00B62715">
        <w:rPr>
          <w:rFonts w:ascii="Arial" w:hAnsi="Arial" w:cs="Arial"/>
          <w:b/>
          <w:bCs/>
          <w:color w:val="222222"/>
          <w:highlight w:val="yellow"/>
          <w:shd w:val="clear" w:color="auto" w:fill="FFFFFF"/>
        </w:rPr>
        <w:t>2013</w:t>
      </w:r>
      <w:r w:rsidRPr="00B62715">
        <w:rPr>
          <w:rFonts w:ascii="Arial" w:hAnsi="Arial" w:cs="Arial"/>
          <w:color w:val="222222"/>
          <w:highlight w:val="yellow"/>
          <w:shd w:val="clear" w:color="auto" w:fill="FFFFFF"/>
        </w:rPr>
        <w:t>, </w:t>
      </w:r>
      <w:r w:rsidRPr="00B62715">
        <w:rPr>
          <w:rStyle w:val="html-italic"/>
          <w:rFonts w:ascii="Arial" w:hAnsi="Arial" w:cs="Arial"/>
          <w:i/>
          <w:iCs/>
          <w:color w:val="222222"/>
          <w:highlight w:val="yellow"/>
          <w:shd w:val="clear" w:color="auto" w:fill="FFFFFF"/>
        </w:rPr>
        <w:t>162</w:t>
      </w:r>
      <w:r w:rsidRPr="00B62715">
        <w:rPr>
          <w:rFonts w:ascii="Arial" w:hAnsi="Arial" w:cs="Arial"/>
          <w:color w:val="222222"/>
          <w:highlight w:val="yellow"/>
          <w:shd w:val="clear" w:color="auto" w:fill="FFFFFF"/>
        </w:rPr>
        <w:t>, 145–156.</w:t>
      </w:r>
    </w:p>
    <w:p w14:paraId="31257B90" w14:textId="77777777" w:rsidR="003770F8" w:rsidRDefault="003770F8" w:rsidP="00040B8F">
      <w:pPr>
        <w:spacing w:before="100" w:beforeAutospacing="1" w:after="100" w:afterAutospacing="1" w:line="360" w:lineRule="auto"/>
        <w:rPr>
          <w:rFonts w:ascii="Times New Roman" w:hAnsi="Times New Roman"/>
          <w:sz w:val="24"/>
          <w:szCs w:val="24"/>
          <w:lang w:eastAsia="en-IN"/>
        </w:rPr>
      </w:pPr>
    </w:p>
    <w:p w14:paraId="000C70E0" w14:textId="58893C39" w:rsidR="003770F8" w:rsidRPr="00040B8F" w:rsidRDefault="003770F8" w:rsidP="00040B8F">
      <w:pPr>
        <w:spacing w:before="100" w:beforeAutospacing="1" w:after="100" w:afterAutospacing="1" w:line="360" w:lineRule="auto"/>
        <w:rPr>
          <w:rFonts w:ascii="Times New Roman" w:hAnsi="Times New Roman"/>
          <w:sz w:val="24"/>
          <w:szCs w:val="24"/>
          <w:lang w:eastAsia="en-IN"/>
        </w:rPr>
        <w:sectPr w:rsidR="003770F8" w:rsidRPr="00040B8F" w:rsidSect="00650A14">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r w:rsidRPr="00B62715">
        <w:rPr>
          <w:rFonts w:ascii="Arial" w:hAnsi="Arial" w:cs="Arial"/>
          <w:color w:val="222222"/>
          <w:highlight w:val="yellow"/>
          <w:shd w:val="clear" w:color="auto" w:fill="FFFFFF"/>
        </w:rPr>
        <w:lastRenderedPageBreak/>
        <w:t>Chun, J. I., Kim, H., Jo, Y. D., Kim, J. B., &amp; Kang, J. H. (2020). Development of a mutant population of micro-tom tomato using gamma-irradiation. </w:t>
      </w:r>
      <w:r w:rsidRPr="00B62715">
        <w:rPr>
          <w:rFonts w:ascii="Arial" w:hAnsi="Arial" w:cs="Arial"/>
          <w:i/>
          <w:iCs/>
          <w:color w:val="222222"/>
          <w:highlight w:val="yellow"/>
          <w:shd w:val="clear" w:color="auto" w:fill="FFFFFF"/>
        </w:rPr>
        <w:t>Plant breeding and biotechnology</w:t>
      </w:r>
      <w:r w:rsidRPr="00B62715">
        <w:rPr>
          <w:rFonts w:ascii="Arial" w:hAnsi="Arial" w:cs="Arial"/>
          <w:color w:val="222222"/>
          <w:highlight w:val="yellow"/>
          <w:shd w:val="clear" w:color="auto" w:fill="FFFFFF"/>
        </w:rPr>
        <w:t>, </w:t>
      </w:r>
      <w:r w:rsidRPr="00B62715">
        <w:rPr>
          <w:rFonts w:ascii="Arial" w:hAnsi="Arial" w:cs="Arial"/>
          <w:i/>
          <w:iCs/>
          <w:color w:val="222222"/>
          <w:highlight w:val="yellow"/>
          <w:shd w:val="clear" w:color="auto" w:fill="FFFFFF"/>
        </w:rPr>
        <w:t>8</w:t>
      </w:r>
      <w:r w:rsidRPr="00B62715">
        <w:rPr>
          <w:rFonts w:ascii="Arial" w:hAnsi="Arial" w:cs="Arial"/>
          <w:color w:val="222222"/>
          <w:highlight w:val="yellow"/>
          <w:shd w:val="clear" w:color="auto" w:fill="FFFFFF"/>
        </w:rPr>
        <w:t>(4), 307-315.</w:t>
      </w:r>
    </w:p>
    <w:p w14:paraId="78530123" w14:textId="77777777" w:rsidR="00B01FCD" w:rsidRPr="00FB3A86" w:rsidRDefault="00B01FCD" w:rsidP="00F265FC">
      <w:pPr>
        <w:pStyle w:val="Appendix"/>
        <w:spacing w:after="0" w:line="360" w:lineRule="auto"/>
        <w:jc w:val="both"/>
        <w:rPr>
          <w:rFonts w:ascii="Arial" w:hAnsi="Arial" w:cs="Arial"/>
          <w:b w:val="0"/>
        </w:rPr>
      </w:pPr>
    </w:p>
    <w:sectPr w:rsidR="00B01FCD" w:rsidRPr="00FB3A86" w:rsidSect="00650A1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ABADC" w14:textId="77777777" w:rsidR="00670CAB" w:rsidRDefault="00670CAB" w:rsidP="00C37E61">
      <w:r>
        <w:separator/>
      </w:r>
    </w:p>
  </w:endnote>
  <w:endnote w:type="continuationSeparator" w:id="0">
    <w:p w14:paraId="29EE513C" w14:textId="77777777" w:rsidR="00670CAB" w:rsidRDefault="00670CA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FCDA1" w14:textId="77777777" w:rsidR="00A07084" w:rsidRDefault="00A07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78B4" w14:textId="77777777" w:rsidR="00A07084" w:rsidRDefault="00A070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7BD99" w14:textId="77777777" w:rsidR="005451C8" w:rsidRDefault="005451C8">
    <w:pPr>
      <w:pStyle w:val="Footer"/>
      <w:rPr>
        <w:rFonts w:ascii="Arial" w:hAnsi="Arial" w:cs="Arial"/>
        <w:sz w:val="16"/>
      </w:rPr>
    </w:pPr>
  </w:p>
  <w:p w14:paraId="7AB18420" w14:textId="77777777" w:rsidR="005451C8" w:rsidRDefault="005451C8"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726BD49" w14:textId="77777777" w:rsidR="005451C8" w:rsidRDefault="005451C8">
    <w:pPr>
      <w:pStyle w:val="Footer"/>
      <w:rPr>
        <w:rFonts w:ascii="Arial" w:hAnsi="Arial" w:cs="Arial"/>
        <w:sz w:val="16"/>
      </w:rPr>
    </w:pPr>
  </w:p>
  <w:p w14:paraId="74383E28" w14:textId="0C280D68" w:rsidR="005451C8" w:rsidRPr="009E048A" w:rsidRDefault="005451C8">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C5DBD" w14:textId="77777777" w:rsidR="005451C8" w:rsidRPr="00C37E61" w:rsidRDefault="005451C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17BAC" w14:textId="77777777" w:rsidR="00670CAB" w:rsidRDefault="00670CAB" w:rsidP="00C37E61">
      <w:r>
        <w:separator/>
      </w:r>
    </w:p>
  </w:footnote>
  <w:footnote w:type="continuationSeparator" w:id="0">
    <w:p w14:paraId="16DFCB46" w14:textId="77777777" w:rsidR="00670CAB" w:rsidRDefault="00670CA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7C70D" w14:textId="5C989611" w:rsidR="00A07084" w:rsidRDefault="00670CAB">
    <w:pPr>
      <w:pStyle w:val="Header"/>
    </w:pPr>
    <w:r>
      <w:rPr>
        <w:noProof/>
      </w:rPr>
      <w:pict w14:anchorId="0C456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FCC8D" w14:textId="09A4E8AC" w:rsidR="00A07084" w:rsidRDefault="00670CAB">
    <w:pPr>
      <w:pStyle w:val="Header"/>
    </w:pPr>
    <w:r>
      <w:rPr>
        <w:noProof/>
      </w:rPr>
      <w:pict w14:anchorId="225DF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38B8B" w14:textId="0E78E3F9" w:rsidR="005451C8" w:rsidRPr="00296529" w:rsidRDefault="00670CAB" w:rsidP="00296529">
    <w:pPr>
      <w:ind w:left="2160"/>
      <w:jc w:val="center"/>
      <w:rPr>
        <w:rFonts w:ascii="Times New Roman" w:eastAsia="Calibri" w:hAnsi="Times New Roman"/>
        <w:i/>
        <w:sz w:val="18"/>
        <w:szCs w:val="22"/>
      </w:rPr>
    </w:pPr>
    <w:r>
      <w:rPr>
        <w:noProof/>
      </w:rPr>
      <w:pict w14:anchorId="65C69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5CD2F95" w14:textId="77777777" w:rsidR="005451C8" w:rsidRPr="00296529" w:rsidRDefault="005451C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BA74A09" w14:textId="77777777" w:rsidR="005451C8" w:rsidRPr="00296529" w:rsidRDefault="005451C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BD00C1D" w14:textId="77777777" w:rsidR="005451C8" w:rsidRPr="00296529" w:rsidRDefault="005451C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76DB45C" w14:textId="77777777" w:rsidR="005451C8" w:rsidRDefault="005451C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6AD2921" w14:textId="77777777" w:rsidR="005451C8" w:rsidRDefault="005451C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0FACA1" w14:textId="77777777" w:rsidR="005451C8" w:rsidRDefault="005451C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C3FDC" w14:textId="059CA705" w:rsidR="00A07084" w:rsidRDefault="00670CAB">
    <w:pPr>
      <w:pStyle w:val="Header"/>
    </w:pPr>
    <w:r>
      <w:rPr>
        <w:noProof/>
      </w:rPr>
      <w:pict w14:anchorId="2A1F16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9735E" w14:textId="55B03D00" w:rsidR="00A07084" w:rsidRDefault="00670CAB">
    <w:pPr>
      <w:pStyle w:val="Header"/>
    </w:pPr>
    <w:r>
      <w:rPr>
        <w:noProof/>
      </w:rPr>
      <w:pict w14:anchorId="46DAD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3F3A6" w14:textId="12204815" w:rsidR="00A07084" w:rsidRDefault="00670CAB">
    <w:pPr>
      <w:pStyle w:val="Header"/>
    </w:pPr>
    <w:r>
      <w:rPr>
        <w:noProof/>
      </w:rPr>
      <w:pict w14:anchorId="75BDE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B9F2FA7"/>
    <w:multiLevelType w:val="hybridMultilevel"/>
    <w:tmpl w:val="92AEA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WyMDQxMLIwszS1NDdU0lEKTi0uzszPAykwrAUAI62qTCwAAAA="/>
  </w:docVars>
  <w:rsids>
    <w:rsidRoot w:val="00AA6219"/>
    <w:rsid w:val="00000F8F"/>
    <w:rsid w:val="00010F07"/>
    <w:rsid w:val="00030174"/>
    <w:rsid w:val="00040B8F"/>
    <w:rsid w:val="0004579C"/>
    <w:rsid w:val="0006703A"/>
    <w:rsid w:val="000A47FA"/>
    <w:rsid w:val="000A65D3"/>
    <w:rsid w:val="000B1E33"/>
    <w:rsid w:val="000D689F"/>
    <w:rsid w:val="000E7B7B"/>
    <w:rsid w:val="000E7D62"/>
    <w:rsid w:val="000F4E41"/>
    <w:rsid w:val="000F5647"/>
    <w:rsid w:val="00103357"/>
    <w:rsid w:val="00123C9F"/>
    <w:rsid w:val="00126190"/>
    <w:rsid w:val="00130F17"/>
    <w:rsid w:val="001320BF"/>
    <w:rsid w:val="001561BE"/>
    <w:rsid w:val="00163BC4"/>
    <w:rsid w:val="00191062"/>
    <w:rsid w:val="00191C8D"/>
    <w:rsid w:val="00192B72"/>
    <w:rsid w:val="001A29D8"/>
    <w:rsid w:val="001A5CAA"/>
    <w:rsid w:val="001B0427"/>
    <w:rsid w:val="001B06C3"/>
    <w:rsid w:val="001B1A4B"/>
    <w:rsid w:val="001B6118"/>
    <w:rsid w:val="001B681D"/>
    <w:rsid w:val="001C17CA"/>
    <w:rsid w:val="001D3A51"/>
    <w:rsid w:val="001E10D2"/>
    <w:rsid w:val="001E25B4"/>
    <w:rsid w:val="001E44FE"/>
    <w:rsid w:val="001F33BC"/>
    <w:rsid w:val="00200595"/>
    <w:rsid w:val="00204835"/>
    <w:rsid w:val="00215C6B"/>
    <w:rsid w:val="00231920"/>
    <w:rsid w:val="0023195C"/>
    <w:rsid w:val="0024282C"/>
    <w:rsid w:val="002455FC"/>
    <w:rsid w:val="00245D48"/>
    <w:rsid w:val="002460DC"/>
    <w:rsid w:val="00250985"/>
    <w:rsid w:val="002556F6"/>
    <w:rsid w:val="00283105"/>
    <w:rsid w:val="00284C4C"/>
    <w:rsid w:val="00287E68"/>
    <w:rsid w:val="00296529"/>
    <w:rsid w:val="002B27FB"/>
    <w:rsid w:val="002B685A"/>
    <w:rsid w:val="002B6E59"/>
    <w:rsid w:val="002C09EE"/>
    <w:rsid w:val="002C57D2"/>
    <w:rsid w:val="002E0D56"/>
    <w:rsid w:val="002F33D7"/>
    <w:rsid w:val="00315186"/>
    <w:rsid w:val="0033343E"/>
    <w:rsid w:val="003512C2"/>
    <w:rsid w:val="00353262"/>
    <w:rsid w:val="00371FB6"/>
    <w:rsid w:val="003763C1"/>
    <w:rsid w:val="00376BBE"/>
    <w:rsid w:val="003770F8"/>
    <w:rsid w:val="0039224F"/>
    <w:rsid w:val="003A43A4"/>
    <w:rsid w:val="003A7E18"/>
    <w:rsid w:val="003B4290"/>
    <w:rsid w:val="003C4C86"/>
    <w:rsid w:val="003C6258"/>
    <w:rsid w:val="003D7A94"/>
    <w:rsid w:val="003E2904"/>
    <w:rsid w:val="00401927"/>
    <w:rsid w:val="0041027F"/>
    <w:rsid w:val="00412475"/>
    <w:rsid w:val="00423789"/>
    <w:rsid w:val="00440F43"/>
    <w:rsid w:val="00441B6F"/>
    <w:rsid w:val="00446221"/>
    <w:rsid w:val="00450E62"/>
    <w:rsid w:val="004522D5"/>
    <w:rsid w:val="004539DB"/>
    <w:rsid w:val="00471A80"/>
    <w:rsid w:val="00477B79"/>
    <w:rsid w:val="004C294F"/>
    <w:rsid w:val="004D305E"/>
    <w:rsid w:val="004D4277"/>
    <w:rsid w:val="00502516"/>
    <w:rsid w:val="00505F06"/>
    <w:rsid w:val="00506828"/>
    <w:rsid w:val="0053056E"/>
    <w:rsid w:val="005451C8"/>
    <w:rsid w:val="00551279"/>
    <w:rsid w:val="00554FDA"/>
    <w:rsid w:val="00574694"/>
    <w:rsid w:val="005976AB"/>
    <w:rsid w:val="005C784C"/>
    <w:rsid w:val="005D17F6"/>
    <w:rsid w:val="005E5539"/>
    <w:rsid w:val="005F4DEE"/>
    <w:rsid w:val="00602BF5"/>
    <w:rsid w:val="00617FDD"/>
    <w:rsid w:val="00621601"/>
    <w:rsid w:val="00633614"/>
    <w:rsid w:val="00633F68"/>
    <w:rsid w:val="00636EB2"/>
    <w:rsid w:val="006374DE"/>
    <w:rsid w:val="006375B8"/>
    <w:rsid w:val="00650A14"/>
    <w:rsid w:val="0066510A"/>
    <w:rsid w:val="00670CAB"/>
    <w:rsid w:val="00673F9F"/>
    <w:rsid w:val="00686953"/>
    <w:rsid w:val="00687DEA"/>
    <w:rsid w:val="00687E67"/>
    <w:rsid w:val="006967F7"/>
    <w:rsid w:val="006A23FD"/>
    <w:rsid w:val="006A250C"/>
    <w:rsid w:val="006B21D3"/>
    <w:rsid w:val="006B57D0"/>
    <w:rsid w:val="006C027A"/>
    <w:rsid w:val="006D30FF"/>
    <w:rsid w:val="006D6940"/>
    <w:rsid w:val="006E2587"/>
    <w:rsid w:val="006F11EC"/>
    <w:rsid w:val="0070082C"/>
    <w:rsid w:val="00704721"/>
    <w:rsid w:val="007369E6"/>
    <w:rsid w:val="00746E59"/>
    <w:rsid w:val="00754C9A"/>
    <w:rsid w:val="0075599A"/>
    <w:rsid w:val="00761D52"/>
    <w:rsid w:val="0077749E"/>
    <w:rsid w:val="0078129F"/>
    <w:rsid w:val="00790ADA"/>
    <w:rsid w:val="00793FA1"/>
    <w:rsid w:val="007B12EF"/>
    <w:rsid w:val="007D2288"/>
    <w:rsid w:val="007E088F"/>
    <w:rsid w:val="007E624B"/>
    <w:rsid w:val="007E723C"/>
    <w:rsid w:val="007F7B32"/>
    <w:rsid w:val="00804BC2"/>
    <w:rsid w:val="0081431A"/>
    <w:rsid w:val="00827AD8"/>
    <w:rsid w:val="0083216F"/>
    <w:rsid w:val="00842B73"/>
    <w:rsid w:val="00860000"/>
    <w:rsid w:val="00863BD3"/>
    <w:rsid w:val="008641ED"/>
    <w:rsid w:val="00866D66"/>
    <w:rsid w:val="008671C6"/>
    <w:rsid w:val="00875803"/>
    <w:rsid w:val="00897F15"/>
    <w:rsid w:val="008B459E"/>
    <w:rsid w:val="008E13AE"/>
    <w:rsid w:val="008E1506"/>
    <w:rsid w:val="008E710C"/>
    <w:rsid w:val="008E76FF"/>
    <w:rsid w:val="008F69D6"/>
    <w:rsid w:val="00902823"/>
    <w:rsid w:val="00914CFC"/>
    <w:rsid w:val="00915CA6"/>
    <w:rsid w:val="00927834"/>
    <w:rsid w:val="00933C3C"/>
    <w:rsid w:val="009500A6"/>
    <w:rsid w:val="00957C18"/>
    <w:rsid w:val="009659BA"/>
    <w:rsid w:val="00983040"/>
    <w:rsid w:val="00994396"/>
    <w:rsid w:val="009B38C8"/>
    <w:rsid w:val="009B3FB9"/>
    <w:rsid w:val="009C2465"/>
    <w:rsid w:val="009D35A0"/>
    <w:rsid w:val="009D7EB7"/>
    <w:rsid w:val="009E048A"/>
    <w:rsid w:val="009E08E9"/>
    <w:rsid w:val="009E3DB9"/>
    <w:rsid w:val="009E6E35"/>
    <w:rsid w:val="009F0EDA"/>
    <w:rsid w:val="00A03B96"/>
    <w:rsid w:val="00A05B19"/>
    <w:rsid w:val="00A07084"/>
    <w:rsid w:val="00A1134E"/>
    <w:rsid w:val="00A16147"/>
    <w:rsid w:val="00A24E7E"/>
    <w:rsid w:val="00A258C3"/>
    <w:rsid w:val="00A347C0"/>
    <w:rsid w:val="00A34FC7"/>
    <w:rsid w:val="00A51431"/>
    <w:rsid w:val="00A539AD"/>
    <w:rsid w:val="00A70415"/>
    <w:rsid w:val="00A90263"/>
    <w:rsid w:val="00A94063"/>
    <w:rsid w:val="00A96C20"/>
    <w:rsid w:val="00AA614E"/>
    <w:rsid w:val="00AA6219"/>
    <w:rsid w:val="00AA74E0"/>
    <w:rsid w:val="00AB48F5"/>
    <w:rsid w:val="00AB703F"/>
    <w:rsid w:val="00AC6BB8"/>
    <w:rsid w:val="00AE008F"/>
    <w:rsid w:val="00AE22AB"/>
    <w:rsid w:val="00B01FCD"/>
    <w:rsid w:val="00B0663B"/>
    <w:rsid w:val="00B1472E"/>
    <w:rsid w:val="00B1776C"/>
    <w:rsid w:val="00B52583"/>
    <w:rsid w:val="00B52896"/>
    <w:rsid w:val="00B62715"/>
    <w:rsid w:val="00B7197D"/>
    <w:rsid w:val="00B84B48"/>
    <w:rsid w:val="00B85C00"/>
    <w:rsid w:val="00B95236"/>
    <w:rsid w:val="00B96BD9"/>
    <w:rsid w:val="00BA1B01"/>
    <w:rsid w:val="00BA2641"/>
    <w:rsid w:val="00BB1F14"/>
    <w:rsid w:val="00BB37AA"/>
    <w:rsid w:val="00BB51E4"/>
    <w:rsid w:val="00BC53A0"/>
    <w:rsid w:val="00BD0DD6"/>
    <w:rsid w:val="00BE2ACD"/>
    <w:rsid w:val="00BE62AD"/>
    <w:rsid w:val="00BF121F"/>
    <w:rsid w:val="00BF1F80"/>
    <w:rsid w:val="00C04496"/>
    <w:rsid w:val="00C166EF"/>
    <w:rsid w:val="00C17EB0"/>
    <w:rsid w:val="00C27F5F"/>
    <w:rsid w:val="00C30A0F"/>
    <w:rsid w:val="00C37E61"/>
    <w:rsid w:val="00C40073"/>
    <w:rsid w:val="00C70F1B"/>
    <w:rsid w:val="00C71A47"/>
    <w:rsid w:val="00C7464C"/>
    <w:rsid w:val="00C85588"/>
    <w:rsid w:val="00CB38DD"/>
    <w:rsid w:val="00CB6B09"/>
    <w:rsid w:val="00CC34A9"/>
    <w:rsid w:val="00CD0536"/>
    <w:rsid w:val="00CD6755"/>
    <w:rsid w:val="00CD6856"/>
    <w:rsid w:val="00CE0089"/>
    <w:rsid w:val="00CE793C"/>
    <w:rsid w:val="00CF193C"/>
    <w:rsid w:val="00D173F1"/>
    <w:rsid w:val="00D41B58"/>
    <w:rsid w:val="00D74CB0"/>
    <w:rsid w:val="00D8295D"/>
    <w:rsid w:val="00D85EE8"/>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20FA"/>
    <w:rsid w:val="00EA012C"/>
    <w:rsid w:val="00EC6A55"/>
    <w:rsid w:val="00ED0288"/>
    <w:rsid w:val="00EE2455"/>
    <w:rsid w:val="00EE52CB"/>
    <w:rsid w:val="00EF581D"/>
    <w:rsid w:val="00EF7FD8"/>
    <w:rsid w:val="00F06F59"/>
    <w:rsid w:val="00F17988"/>
    <w:rsid w:val="00F265FC"/>
    <w:rsid w:val="00F425DE"/>
    <w:rsid w:val="00F43065"/>
    <w:rsid w:val="00F469F0"/>
    <w:rsid w:val="00F53273"/>
    <w:rsid w:val="00F755E4"/>
    <w:rsid w:val="00F77D02"/>
    <w:rsid w:val="00F80C2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7"/>
      </o:rules>
    </o:shapelayout>
  </w:shapeDefaults>
  <w:decimalSymbol w:val="."/>
  <w:listSeparator w:val=","/>
  <w14:docId w14:val="4652FE70"/>
  <w15:docId w15:val="{3DEA440B-9814-41DF-88C8-B0FCB7C82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B7197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451C8"/>
    <w:pPr>
      <w:spacing w:before="100" w:beforeAutospacing="1" w:after="100" w:afterAutospacing="1"/>
    </w:pPr>
    <w:rPr>
      <w:rFonts w:ascii="Times New Roman" w:hAnsi="Times New Roman"/>
      <w:sz w:val="24"/>
      <w:szCs w:val="24"/>
      <w:lang w:val="en-IN" w:eastAsia="en-IN"/>
    </w:rPr>
  </w:style>
  <w:style w:type="character" w:customStyle="1" w:styleId="Heading3Char">
    <w:name w:val="Heading 3 Char"/>
    <w:basedOn w:val="DefaultParagraphFont"/>
    <w:link w:val="Heading3"/>
    <w:semiHidden/>
    <w:rsid w:val="00B7197D"/>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B7197D"/>
    <w:rPr>
      <w:b/>
      <w:bCs/>
    </w:rPr>
  </w:style>
  <w:style w:type="paragraph" w:styleId="Caption">
    <w:name w:val="caption"/>
    <w:basedOn w:val="Normal"/>
    <w:next w:val="Normal"/>
    <w:uiPriority w:val="35"/>
    <w:unhideWhenUsed/>
    <w:qFormat/>
    <w:rsid w:val="000F4E41"/>
    <w:pPr>
      <w:spacing w:after="200"/>
    </w:pPr>
    <w:rPr>
      <w:rFonts w:asciiTheme="minorHAnsi" w:eastAsiaTheme="minorHAnsi" w:hAnsiTheme="minorHAnsi" w:cstheme="minorBidi"/>
      <w:i/>
      <w:iCs/>
      <w:color w:val="1F497D" w:themeColor="text2"/>
      <w:kern w:val="2"/>
      <w:sz w:val="18"/>
      <w:szCs w:val="18"/>
      <w:lang w:val="en-IN"/>
    </w:rPr>
  </w:style>
  <w:style w:type="character" w:styleId="UnresolvedMention">
    <w:name w:val="Unresolved Mention"/>
    <w:basedOn w:val="DefaultParagraphFont"/>
    <w:uiPriority w:val="99"/>
    <w:semiHidden/>
    <w:unhideWhenUsed/>
    <w:rsid w:val="003D7A94"/>
    <w:rPr>
      <w:color w:val="605E5C"/>
      <w:shd w:val="clear" w:color="auto" w:fill="E1DFDD"/>
    </w:rPr>
  </w:style>
  <w:style w:type="character" w:customStyle="1" w:styleId="html-italic">
    <w:name w:val="html-italic"/>
    <w:basedOn w:val="DefaultParagraphFont"/>
    <w:rsid w:val="00BE2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64234690">
      <w:bodyDiv w:val="1"/>
      <w:marLeft w:val="0"/>
      <w:marRight w:val="0"/>
      <w:marTop w:val="0"/>
      <w:marBottom w:val="0"/>
      <w:divBdr>
        <w:top w:val="none" w:sz="0" w:space="0" w:color="auto"/>
        <w:left w:val="none" w:sz="0" w:space="0" w:color="auto"/>
        <w:bottom w:val="none" w:sz="0" w:space="0" w:color="auto"/>
        <w:right w:val="none" w:sz="0" w:space="0" w:color="auto"/>
      </w:divBdr>
      <w:divsChild>
        <w:div w:id="1859850496">
          <w:marLeft w:val="0"/>
          <w:marRight w:val="0"/>
          <w:marTop w:val="0"/>
          <w:marBottom w:val="0"/>
          <w:divBdr>
            <w:top w:val="none" w:sz="0" w:space="0" w:color="auto"/>
            <w:left w:val="none" w:sz="0" w:space="0" w:color="auto"/>
            <w:bottom w:val="none" w:sz="0" w:space="0" w:color="auto"/>
            <w:right w:val="none" w:sz="0" w:space="0" w:color="auto"/>
          </w:divBdr>
          <w:divsChild>
            <w:div w:id="10253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CC333-3757-4471-82D0-BB45EBDC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TotalTime>
  <Pages>21</Pages>
  <Words>5049</Words>
  <Characters>28785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33767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59</cp:revision>
  <cp:lastPrinted>1999-07-06T11:00:00Z</cp:lastPrinted>
  <dcterms:created xsi:type="dcterms:W3CDTF">2026-01-29T13:50:00Z</dcterms:created>
  <dcterms:modified xsi:type="dcterms:W3CDTF">2026-02-11T11:18:00Z</dcterms:modified>
</cp:coreProperties>
</file>