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AF14B" w14:textId="77777777" w:rsidR="00B2699B" w:rsidRDefault="00D44AF2">
      <w:pPr>
        <w:spacing w:line="360" w:lineRule="auto"/>
        <w:jc w:val="center"/>
        <w:rPr>
          <w:rFonts w:ascii="Times New Roman" w:hAnsi="Times New Roman" w:cs="Times New Roman"/>
          <w:b/>
          <w:bCs/>
          <w:sz w:val="28"/>
          <w:szCs w:val="28"/>
          <w:lang w:val="en-US"/>
        </w:rPr>
      </w:pPr>
      <w:bookmarkStart w:id="0" w:name="_Hlk221288986"/>
      <w:bookmarkStart w:id="1" w:name="_GoBack"/>
      <w:bookmarkEnd w:id="1"/>
      <w:r>
        <w:rPr>
          <w:rFonts w:ascii="Times New Roman" w:hAnsi="Times New Roman" w:cs="Times New Roman"/>
          <w:b/>
          <w:bCs/>
          <w:sz w:val="28"/>
          <w:szCs w:val="28"/>
        </w:rPr>
        <w:t xml:space="preserve">Therapeutic Management of Systemic Hypertension in Dogs: </w:t>
      </w:r>
      <w:r>
        <w:rPr>
          <w:rFonts w:ascii="Times New Roman" w:hAnsi="Times New Roman" w:cs="Times New Roman"/>
          <w:b/>
          <w:bCs/>
          <w:sz w:val="28"/>
          <w:szCs w:val="28"/>
          <w:lang w:val="en-US"/>
        </w:rPr>
        <w:t xml:space="preserve"> A Comparative </w:t>
      </w:r>
      <w:proofErr w:type="spellStart"/>
      <w:r>
        <w:rPr>
          <w:rFonts w:ascii="Times New Roman" w:hAnsi="Times New Roman" w:cs="Times New Roman"/>
          <w:b/>
          <w:bCs/>
          <w:sz w:val="28"/>
          <w:szCs w:val="28"/>
        </w:rPr>
        <w:t>Clinico</w:t>
      </w:r>
      <w:proofErr w:type="spellEnd"/>
      <w:r>
        <w:rPr>
          <w:rFonts w:ascii="Times New Roman" w:hAnsi="Times New Roman" w:cs="Times New Roman"/>
          <w:b/>
          <w:bCs/>
          <w:sz w:val="28"/>
          <w:szCs w:val="28"/>
          <w:lang w:val="en-US"/>
        </w:rPr>
        <w:t>-</w:t>
      </w:r>
      <w:r>
        <w:rPr>
          <w:rFonts w:ascii="Times New Roman" w:hAnsi="Times New Roman" w:cs="Times New Roman"/>
          <w:b/>
          <w:bCs/>
          <w:sz w:val="28"/>
          <w:szCs w:val="28"/>
        </w:rPr>
        <w:t xml:space="preserve">biochemical </w:t>
      </w:r>
      <w:r>
        <w:rPr>
          <w:rFonts w:ascii="Times New Roman" w:hAnsi="Times New Roman" w:cs="Times New Roman"/>
          <w:b/>
          <w:bCs/>
          <w:sz w:val="28"/>
          <w:szCs w:val="28"/>
          <w:lang w:val="en-US"/>
        </w:rPr>
        <w:t>Evaluation of Antihypertensive Drugs</w:t>
      </w:r>
    </w:p>
    <w:p w14:paraId="471785D0" w14:textId="77777777" w:rsidR="00B2699B" w:rsidRDefault="00B2699B">
      <w:pPr>
        <w:spacing w:line="360" w:lineRule="auto"/>
        <w:rPr>
          <w:rFonts w:ascii="Times New Roman" w:hAnsi="Times New Roman" w:cs="Times New Roman"/>
          <w:b/>
          <w:bCs/>
          <w:sz w:val="24"/>
          <w:szCs w:val="24"/>
        </w:rPr>
      </w:pPr>
    </w:p>
    <w:p w14:paraId="6C7565E9" w14:textId="77777777" w:rsidR="00B2699B" w:rsidRDefault="00D44AF2">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ED38451" w14:textId="0D1CAD3E" w:rsidR="00B2699B" w:rsidRDefault="00D44A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was undertaken to diagnose systemic hypertension and evaluate the therapeutic efficacy of different antihypertensive drugs in </w:t>
      </w:r>
      <w:r>
        <w:rPr>
          <w:rFonts w:ascii="Times New Roman" w:hAnsi="Times New Roman" w:cs="Times New Roman"/>
          <w:sz w:val="24"/>
          <w:szCs w:val="24"/>
          <w:lang w:val="en-US"/>
        </w:rPr>
        <w:t>management of systemic hypertension in d</w:t>
      </w:r>
      <w:proofErr w:type="spellStart"/>
      <w:r>
        <w:rPr>
          <w:rFonts w:ascii="Times New Roman" w:hAnsi="Times New Roman" w:cs="Times New Roman"/>
          <w:sz w:val="24"/>
          <w:szCs w:val="24"/>
        </w:rPr>
        <w:t>ogs</w:t>
      </w:r>
      <w:proofErr w:type="spellEnd"/>
      <w:r>
        <w:rPr>
          <w:rFonts w:ascii="Times New Roman" w:hAnsi="Times New Roman" w:cs="Times New Roman"/>
          <w:sz w:val="24"/>
          <w:szCs w:val="24"/>
        </w:rPr>
        <w:t xml:space="preserve"> presented to the Veterinary Clinical Complex (VCC), College of Veterinary Science and Animal Husbandry, </w:t>
      </w:r>
      <w:proofErr w:type="spellStart"/>
      <w:r>
        <w:rPr>
          <w:rFonts w:ascii="Times New Roman" w:hAnsi="Times New Roman" w:cs="Times New Roman"/>
          <w:sz w:val="24"/>
          <w:szCs w:val="24"/>
        </w:rPr>
        <w:t>Nanaji</w:t>
      </w:r>
      <w:proofErr w:type="spellEnd"/>
      <w:r>
        <w:rPr>
          <w:rFonts w:ascii="Times New Roman" w:hAnsi="Times New Roman" w:cs="Times New Roman"/>
          <w:sz w:val="24"/>
          <w:szCs w:val="24"/>
        </w:rPr>
        <w:t xml:space="preserve"> Deshmukh Veterinary Science University, Jabalpur, Madhya Pradesh. A total of 2548 dogs of either sex, irrespective of breed and age, were screened over a six-month period from July to December 2025. Among these, 251 clinically suspected dogs were evaluated </w:t>
      </w:r>
      <w:r>
        <w:rPr>
          <w:rFonts w:ascii="Times New Roman" w:hAnsi="Times New Roman" w:cs="Times New Roman"/>
          <w:sz w:val="24"/>
          <w:szCs w:val="24"/>
          <w:lang w:val="en-US"/>
        </w:rPr>
        <w:t xml:space="preserve">for hypertension using Doppler Vet BP device </w:t>
      </w:r>
      <w:r>
        <w:rPr>
          <w:rFonts w:ascii="Times New Roman" w:hAnsi="Times New Roman" w:cs="Times New Roman"/>
          <w:sz w:val="24"/>
          <w:szCs w:val="24"/>
        </w:rPr>
        <w:t>and 65 dogs were confirmed hypertensive, recording an overall prevalence of 25.89 per cent (65/251). Comprehensive evaluation was performed in all cases, including detailed clinical examination and recording of haematological, biochemical and lipid profile parameters for baseline assessment and therapeutic monitoring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For </w:t>
      </w:r>
      <w:r>
        <w:rPr>
          <w:rFonts w:ascii="Times New Roman" w:hAnsi="Times New Roman" w:cs="Times New Roman"/>
          <w:sz w:val="24"/>
          <w:szCs w:val="24"/>
          <w:lang w:val="en-US"/>
        </w:rPr>
        <w:t xml:space="preserve">comparative </w:t>
      </w:r>
      <w:r>
        <w:rPr>
          <w:rFonts w:ascii="Times New Roman" w:hAnsi="Times New Roman" w:cs="Times New Roman"/>
          <w:sz w:val="24"/>
          <w:szCs w:val="24"/>
        </w:rPr>
        <w:t xml:space="preserve">therapeutic </w:t>
      </w:r>
      <w:r>
        <w:rPr>
          <w:rFonts w:ascii="Times New Roman" w:hAnsi="Times New Roman" w:cs="Times New Roman"/>
          <w:sz w:val="24"/>
          <w:szCs w:val="24"/>
          <w:lang w:val="en-US"/>
        </w:rPr>
        <w:t>efficacy</w:t>
      </w:r>
      <w:r>
        <w:rPr>
          <w:rFonts w:ascii="Times New Roman" w:hAnsi="Times New Roman" w:cs="Times New Roman"/>
          <w:sz w:val="24"/>
          <w:szCs w:val="24"/>
        </w:rPr>
        <w:t>, 1</w:t>
      </w:r>
      <w:r>
        <w:rPr>
          <w:rFonts w:ascii="Times New Roman" w:hAnsi="Times New Roman" w:cs="Times New Roman"/>
          <w:sz w:val="24"/>
          <w:szCs w:val="24"/>
          <w:lang w:val="en-US"/>
        </w:rPr>
        <w:t>2</w:t>
      </w:r>
      <w:r>
        <w:rPr>
          <w:rFonts w:ascii="Times New Roman" w:hAnsi="Times New Roman" w:cs="Times New Roman"/>
          <w:sz w:val="24"/>
          <w:szCs w:val="24"/>
        </w:rPr>
        <w:t xml:space="preserve"> </w:t>
      </w:r>
      <w:proofErr w:type="spellStart"/>
      <w:r w:rsidR="00B24708">
        <w:rPr>
          <w:rFonts w:ascii="Times New Roman" w:hAnsi="Times New Roman" w:cs="Times New Roman"/>
          <w:sz w:val="24"/>
          <w:szCs w:val="24"/>
        </w:rPr>
        <w:t>conifrmed</w:t>
      </w:r>
      <w:proofErr w:type="spellEnd"/>
      <w:r w:rsidR="00B24708">
        <w:rPr>
          <w:rFonts w:ascii="Times New Roman" w:hAnsi="Times New Roman" w:cs="Times New Roman"/>
          <w:sz w:val="24"/>
          <w:szCs w:val="24"/>
        </w:rPr>
        <w:t xml:space="preserve"> </w:t>
      </w:r>
      <w:r>
        <w:rPr>
          <w:rFonts w:ascii="Times New Roman" w:hAnsi="Times New Roman" w:cs="Times New Roman"/>
          <w:sz w:val="24"/>
          <w:szCs w:val="24"/>
        </w:rPr>
        <w:t>hypertensive dogs were allocated into t</w:t>
      </w:r>
      <w:r>
        <w:rPr>
          <w:rFonts w:ascii="Times New Roman" w:hAnsi="Times New Roman" w:cs="Times New Roman"/>
          <w:sz w:val="24"/>
          <w:szCs w:val="24"/>
          <w:lang w:val="en-US"/>
        </w:rPr>
        <w:t xml:space="preserve">wo </w:t>
      </w:r>
      <w:r>
        <w:rPr>
          <w:rFonts w:ascii="Times New Roman" w:hAnsi="Times New Roman" w:cs="Times New Roman"/>
          <w:sz w:val="24"/>
          <w:szCs w:val="24"/>
        </w:rPr>
        <w:t>groups</w:t>
      </w:r>
      <w:r>
        <w:rPr>
          <w:rFonts w:ascii="Times New Roman" w:hAnsi="Times New Roman" w:cs="Times New Roman"/>
          <w:sz w:val="24"/>
          <w:szCs w:val="24"/>
          <w:lang w:val="en-US"/>
        </w:rPr>
        <w:t xml:space="preserve"> (n= 6 each)</w:t>
      </w:r>
      <w:r>
        <w:rPr>
          <w:rFonts w:ascii="Times New Roman" w:hAnsi="Times New Roman" w:cs="Times New Roman"/>
          <w:sz w:val="24"/>
          <w:szCs w:val="24"/>
        </w:rPr>
        <w:t xml:space="preserve"> and treated with ramipril in combination with amlodipine (Group 1) or telmisartan in combination with amlodipine (Group 2)</w:t>
      </w:r>
      <w:r w:rsidR="00B24708">
        <w:rPr>
          <w:rFonts w:ascii="Times New Roman" w:hAnsi="Times New Roman" w:cs="Times New Roman"/>
          <w:sz w:val="24"/>
          <w:szCs w:val="24"/>
        </w:rPr>
        <w:t xml:space="preserve"> and 6 dogs without systemic hypertension were kept as apparently healthy control group </w:t>
      </w:r>
      <w:r>
        <w:rPr>
          <w:rFonts w:ascii="Times New Roman" w:hAnsi="Times New Roman" w:cs="Times New Roman"/>
          <w:sz w:val="24"/>
          <w:szCs w:val="24"/>
          <w:lang w:val="en-US"/>
        </w:rPr>
        <w:t xml:space="preserve">(Group 3) </w:t>
      </w:r>
      <w:r>
        <w:rPr>
          <w:rFonts w:ascii="Times New Roman" w:hAnsi="Times New Roman" w:cs="Times New Roman"/>
          <w:sz w:val="24"/>
          <w:szCs w:val="24"/>
        </w:rPr>
        <w:t>for 28 days. Both treatment protocols resulted in a progressive and statistically significant reduction in systolic arterial pressure (SAP) observed</w:t>
      </w:r>
      <w:r>
        <w:rPr>
          <w:rFonts w:ascii="Times New Roman" w:hAnsi="Times New Roman" w:cs="Times New Roman"/>
          <w:sz w:val="24"/>
          <w:szCs w:val="24"/>
          <w:lang w:val="en-US"/>
        </w:rPr>
        <w:t xml:space="preserve"> by day 3 in group 2 and by day 7 in group 1.</w:t>
      </w:r>
      <w:r>
        <w:rPr>
          <w:rFonts w:ascii="Times New Roman" w:hAnsi="Times New Roman" w:cs="Times New Roman"/>
          <w:sz w:val="24"/>
          <w:szCs w:val="24"/>
        </w:rPr>
        <w:t xml:space="preserve">  Haemato-biochemical, lipid and electrolyte profiles improved towards physiological limits by day 28 in both groups. </w:t>
      </w:r>
      <w:r>
        <w:rPr>
          <w:rFonts w:ascii="Times New Roman" w:hAnsi="Times New Roman" w:cs="Times New Roman"/>
          <w:sz w:val="24"/>
          <w:szCs w:val="24"/>
          <w:highlight w:val="cyan"/>
        </w:rPr>
        <w:t>The study concludes that in this 28-day evaluation, the telmisartan–amlodipine combination achieved earlier and more sustained reductions in systolic arterial pressure than ramipril–amlodipine; longer-term, larger controlled studies are warranted to confirm durability and safety.</w:t>
      </w:r>
    </w:p>
    <w:p w14:paraId="43880E30" w14:textId="77777777" w:rsidR="00B2699B" w:rsidRDefault="00D44AF2">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rPr>
        <w:t>Key words</w:t>
      </w:r>
      <w:r>
        <w:rPr>
          <w:rFonts w:ascii="Times New Roman" w:hAnsi="Times New Roman" w:cs="Times New Roman"/>
          <w:sz w:val="24"/>
          <w:szCs w:val="24"/>
        </w:rPr>
        <w:t>: Doppler, Systemic hypertension, Systolic arterial pressure and Dogs.</w:t>
      </w:r>
    </w:p>
    <w:p w14:paraId="55951D87" w14:textId="77777777" w:rsidR="00B2699B" w:rsidRDefault="00D44AF2">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INTRODUCTION </w:t>
      </w:r>
    </w:p>
    <w:p w14:paraId="549AB8EE" w14:textId="77777777" w:rsidR="00B2699B" w:rsidRDefault="00D44AF2">
      <w:pPr>
        <w:spacing w:after="0" w:line="346"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Blood pressure refers to the force exerted by circulating blood on the walls of the arterial vessels and is expressed in millimetres of mercury (mmHg). It fluctuates with each cardiac cycle, reaching a peak during systole and a minimum during diastole (Parker and Freeman, 2011). Arterial blood pressure is determined by the interaction between cardiac </w:t>
      </w:r>
      <w:r>
        <w:rPr>
          <w:rFonts w:ascii="Times New Roman" w:hAnsi="Times New Roman" w:cs="Times New Roman"/>
          <w:sz w:val="24"/>
          <w:szCs w:val="24"/>
        </w:rPr>
        <w:lastRenderedPageBreak/>
        <w:t xml:space="preserve">output and total peripheral resistance. Systemic arterial blood pressure comprises systolic, diastolic and mean arterial pressures (Skelding and Valverde, 2020). In both human and veterinary medicine, systolic blood pressure is regarded as the most critical component of arterial pressure, as its elevation plays a significant role in the development of vascular injury and hypertensive complications. The normal reference range for systolic blood pressure in healthy dogs is approximately 110 to 160 mmHg with values persistently exceeding 160 mmHg indicative of hypertension (Acierno </w:t>
      </w:r>
      <w:r>
        <w:rPr>
          <w:rFonts w:ascii="Times New Roman" w:hAnsi="Times New Roman" w:cs="Times New Roman"/>
          <w:i/>
          <w:iCs/>
          <w:sz w:val="24"/>
          <w:szCs w:val="24"/>
        </w:rPr>
        <w:t>et al</w:t>
      </w:r>
      <w:r>
        <w:rPr>
          <w:rFonts w:ascii="Times New Roman" w:hAnsi="Times New Roman" w:cs="Times New Roman"/>
          <w:sz w:val="24"/>
          <w:szCs w:val="24"/>
        </w:rPr>
        <w:t>., 2018).</w:t>
      </w:r>
    </w:p>
    <w:p w14:paraId="4EB56A16" w14:textId="77777777" w:rsidR="00B2699B" w:rsidRDefault="00D44AF2">
      <w:pPr>
        <w:tabs>
          <w:tab w:val="left" w:pos="90"/>
        </w:tabs>
        <w:spacing w:after="0" w:line="346"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Hypertension is often called a “silent killer” because it is frequently diagnosed only after severe end-organ damage. In humans, primary hypertension accounts for over 90% of elevated blood pressure cases, whereas secondary hypertension is more frequently observed in canine practice. In dogs, systemic hypertension primarily arises secondary to renal disease, leading to target organ damage. Clinical manifestations of hypertension include renal impairments (proteinuria, microalbuminuria, azotaemia), ocular lesions (retinopathy, </w:t>
      </w:r>
      <w:proofErr w:type="spellStart"/>
      <w:r>
        <w:rPr>
          <w:rFonts w:ascii="Times New Roman" w:hAnsi="Times New Roman" w:cs="Times New Roman"/>
          <w:sz w:val="24"/>
          <w:szCs w:val="24"/>
        </w:rPr>
        <w:t>hyphema</w:t>
      </w:r>
      <w:proofErr w:type="spellEnd"/>
      <w:r>
        <w:rPr>
          <w:rFonts w:ascii="Times New Roman" w:hAnsi="Times New Roman" w:cs="Times New Roman"/>
          <w:sz w:val="24"/>
          <w:szCs w:val="24"/>
        </w:rPr>
        <w:t>), neurological signs (seizures, focal deficits) and cardiovascular changes (left ventricular hypertrophy, arrhythmias, murmurs, gallop rhythms, epistaxis), highlighting the multisystem</w:t>
      </w:r>
      <w:proofErr w:type="spellStart"/>
      <w:r>
        <w:rPr>
          <w:rFonts w:ascii="Times New Roman" w:hAnsi="Times New Roman" w:cs="Times New Roman"/>
          <w:sz w:val="24"/>
          <w:szCs w:val="24"/>
          <w:lang w:val="en-US"/>
        </w:rPr>
        <w:t>ic</w:t>
      </w:r>
      <w:proofErr w:type="spellEnd"/>
      <w:r>
        <w:rPr>
          <w:rFonts w:ascii="Times New Roman" w:hAnsi="Times New Roman" w:cs="Times New Roman"/>
          <w:sz w:val="24"/>
          <w:szCs w:val="24"/>
        </w:rPr>
        <w:t xml:space="preserve"> impact of elevated blood pressure (Brown </w:t>
      </w:r>
      <w:r>
        <w:rPr>
          <w:rFonts w:ascii="Times New Roman" w:hAnsi="Times New Roman" w:cs="Times New Roman"/>
          <w:i/>
          <w:iCs/>
          <w:sz w:val="24"/>
          <w:szCs w:val="24"/>
        </w:rPr>
        <w:t>et al</w:t>
      </w:r>
      <w:r>
        <w:rPr>
          <w:rFonts w:ascii="Times New Roman" w:hAnsi="Times New Roman" w:cs="Times New Roman"/>
          <w:sz w:val="24"/>
          <w:szCs w:val="24"/>
        </w:rPr>
        <w:t xml:space="preserve">., 2007; LeBlanc </w:t>
      </w:r>
      <w:r>
        <w:rPr>
          <w:rFonts w:ascii="Times New Roman" w:hAnsi="Times New Roman" w:cs="Times New Roman"/>
          <w:i/>
          <w:iCs/>
          <w:sz w:val="24"/>
          <w:szCs w:val="24"/>
        </w:rPr>
        <w:t>et al</w:t>
      </w:r>
      <w:r>
        <w:rPr>
          <w:rFonts w:ascii="Times New Roman" w:hAnsi="Times New Roman" w:cs="Times New Roman"/>
          <w:sz w:val="24"/>
          <w:szCs w:val="24"/>
        </w:rPr>
        <w:t>., 2011).</w:t>
      </w:r>
    </w:p>
    <w:p w14:paraId="20B3AFDA" w14:textId="77777777" w:rsidR="00B2699B" w:rsidRDefault="00D44AF2">
      <w:pPr>
        <w:tabs>
          <w:tab w:val="left" w:pos="90"/>
        </w:tabs>
        <w:spacing w:after="0" w:line="36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Successful management of hypertensive patients depends on diagnosing and treating underlying disease processes, properly selecting antihypertensive drug and monitoring a patient’s response to treatment (Acierno and Labato, 2004). Amlodipine, a calcium channel blocker (CCB), is the first-line treatment due to its strong vasodilatory effects. (Brown, 2013). Angiotensin converting enzyme (ACE) inhibitors such as enalapril and benazepril are commonly used, especially in dogs with renal disease or proteinuria, as they decrease vasoconstriction and sodium retention. Angiotensin II receptor blockers (ARBs) like telmisartan are used as alternatives or adjuncts to ACE inhibitors, promoting vasodilation and providing renal protection. However, for treating severely hypertensive dogs (SBP &gt; 200 mm Hg) coadministration of a RAAS inhibitor and a CCB is appropriate (Acierno </w:t>
      </w:r>
      <w:r>
        <w:rPr>
          <w:rFonts w:ascii="Times New Roman" w:hAnsi="Times New Roman" w:cs="Times New Roman"/>
          <w:i/>
          <w:iCs/>
          <w:sz w:val="24"/>
          <w:szCs w:val="24"/>
        </w:rPr>
        <w:t>et al</w:t>
      </w:r>
      <w:r>
        <w:rPr>
          <w:rFonts w:ascii="Times New Roman" w:hAnsi="Times New Roman" w:cs="Times New Roman"/>
          <w:sz w:val="24"/>
          <w:szCs w:val="24"/>
        </w:rPr>
        <w:t>., 2018). Hypotension is one of the common complications associated with antihypertensive therapy. Whenever the BP falls below 110 mm Hg along with signs of lethargy and muscle weakness in a patient, antihypertensive therapy needs to be adjusted or discontinued (Sangwan and Saini, 2023). Hence, therapy should be tailored to each dog’s clinical condition and monitored regularly to prevent organ damage and control symptoms.</w:t>
      </w:r>
    </w:p>
    <w:p w14:paraId="286DFA37" w14:textId="77777777" w:rsidR="00B2699B" w:rsidRDefault="00D44AF2">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14:paraId="1E24D66A"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present study was carried out for a period of six months from July 2025 to December 2025 at the Veterinary Clinical Complex, Department of Veterinary Medicine, College of Veterinary </w:t>
      </w:r>
      <w:r>
        <w:rPr>
          <w:rFonts w:ascii="Times New Roman" w:hAnsi="Times New Roman" w:cs="Times New Roman"/>
          <w:sz w:val="24"/>
          <w:szCs w:val="24"/>
        </w:rPr>
        <w:lastRenderedPageBreak/>
        <w:t xml:space="preserve">Science and Animal Husbandry, </w:t>
      </w:r>
      <w:proofErr w:type="spellStart"/>
      <w:r>
        <w:rPr>
          <w:rFonts w:ascii="Times New Roman" w:hAnsi="Times New Roman" w:cs="Times New Roman"/>
          <w:sz w:val="24"/>
          <w:szCs w:val="24"/>
        </w:rPr>
        <w:t>Nanaji</w:t>
      </w:r>
      <w:proofErr w:type="spellEnd"/>
      <w:r>
        <w:rPr>
          <w:rFonts w:ascii="Times New Roman" w:hAnsi="Times New Roman" w:cs="Times New Roman"/>
          <w:sz w:val="24"/>
          <w:szCs w:val="24"/>
        </w:rPr>
        <w:t xml:space="preserve"> Deshmukh Veterinary Science University, Jabalpur, Madhya Pradesh. During the study period, dogs presented with a history of clinical conditions commonly associated with systemic hypertension, including renal and cardiac disorders, ascites, seizures, ocular abnormalities and epistaxis, were thoroughly examined. The diagnosis of systemic hypertension was established based on repeated systolic blood pressure recordings along with supportive clinical and laboratory findings</w:t>
      </w:r>
      <w:r>
        <w:rPr>
          <w:rFonts w:ascii="Times New Roman" w:hAnsi="Times New Roman" w:cs="Times New Roman"/>
          <w:b/>
          <w:bCs/>
          <w:sz w:val="24"/>
          <w:szCs w:val="24"/>
        </w:rPr>
        <w:t>.</w:t>
      </w:r>
    </w:p>
    <w:p w14:paraId="06427076"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Blood Pressure Measurements</w:t>
      </w:r>
    </w:p>
    <w:p w14:paraId="3DE10B13"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dogs included in the study underwent systolic arterial blood pressure recording using a non-invasive Doppler technique. Blood pressure was measured with a Doppler Vet BP device (Sono Med MD4, Mano Medical Company) following a standardized procedure. Based on systolic blood pressure values and the associated risk of target organ damage (TOD), dogs were categorized into four groups as normotensive (&lt;140 mmHg), prehypertensive (140–159 mmHg), hypertensive (160–179 mmHg) and severely hypertensive (≥180 mmHg) in accordance with the American College of Veterinary Internal Medicine (ACVIM) guidelines. To reduce situational hypertension, blood pressure measurements were obtained after allowing an adequate acclimatization period. An appropriately sized cuff, with a width equivalent to 30–40% of the limb circumference, was placed on the forelimb at the level of the heart following clipping of hair proximal to the palmar metacarpal pad along the course of the superficial palmar arterial arch. Ultrasonic coupling gel was applied to the Doppler transducer, which was positioned over the artery to obtain a clear audible pulse signal. The cuff was inflated until the Doppler signal disappeared and was further inflated to approximately 40 mmHg above this point, followed by gradual deflation. The pressure at which the Doppler signal reappeared was recorded as systolic arterial pressure. The initial reading was excluded and the mean of five to seven consecutive consistent measurements was calculated (Stepien, 2017). </w:t>
      </w:r>
    </w:p>
    <w:p w14:paraId="7D72B82F"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61312" behindDoc="0" locked="0" layoutInCell="1" allowOverlap="1" wp14:anchorId="2CB99255" wp14:editId="662F93AE">
            <wp:simplePos x="0" y="0"/>
            <wp:positionH relativeFrom="column">
              <wp:posOffset>3295650</wp:posOffset>
            </wp:positionH>
            <wp:positionV relativeFrom="paragraph">
              <wp:posOffset>28575</wp:posOffset>
            </wp:positionV>
            <wp:extent cx="2559685" cy="2434590"/>
            <wp:effectExtent l="0" t="0" r="0" b="4445"/>
            <wp:wrapNone/>
            <wp:docPr id="1508970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70888"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59956" cy="2434575"/>
                    </a:xfrm>
                    <a:prstGeom prst="rect">
                      <a:avLst/>
                    </a:prstGeom>
                    <a:noFill/>
                  </pic:spPr>
                </pic:pic>
              </a:graphicData>
            </a:graphic>
          </wp:anchor>
        </w:drawing>
      </w:r>
      <w:r>
        <w:rPr>
          <w:rFonts w:ascii="Times New Roman" w:hAnsi="Times New Roman" w:cs="Times New Roman"/>
          <w:b/>
          <w:bCs/>
          <w:noProof/>
          <w:spacing w:val="-4"/>
          <w:kern w:val="24"/>
          <w:lang w:val="en-US"/>
        </w:rPr>
        <w:drawing>
          <wp:anchor distT="0" distB="0" distL="114300" distR="114300" simplePos="0" relativeHeight="251660288" behindDoc="0" locked="0" layoutInCell="1" allowOverlap="1" wp14:anchorId="4A415B05" wp14:editId="484D9C5E">
            <wp:simplePos x="0" y="0"/>
            <wp:positionH relativeFrom="column">
              <wp:posOffset>229235</wp:posOffset>
            </wp:positionH>
            <wp:positionV relativeFrom="paragraph">
              <wp:posOffset>109220</wp:posOffset>
            </wp:positionV>
            <wp:extent cx="2632075" cy="2353945"/>
            <wp:effectExtent l="38100" t="38100" r="34925" b="46355"/>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2075" cy="2354226"/>
                    </a:xfrm>
                    <a:prstGeom prst="rect">
                      <a:avLst/>
                    </a:prstGeom>
                    <a:ln w="25400" cap="sq">
                      <a:solidFill>
                        <a:srgbClr val="000000"/>
                      </a:solidFill>
                      <a:miter lim="800000"/>
                      <a:headEnd/>
                      <a:tailEnd/>
                    </a:ln>
                    <a:effectLst/>
                  </pic:spPr>
                </pic:pic>
              </a:graphicData>
            </a:graphic>
          </wp:anchor>
        </w:drawing>
      </w:r>
    </w:p>
    <w:p w14:paraId="3510CC93" w14:textId="77777777" w:rsidR="00B2699B" w:rsidRDefault="00B2699B">
      <w:pPr>
        <w:spacing w:line="360" w:lineRule="auto"/>
        <w:ind w:firstLine="720"/>
        <w:jc w:val="both"/>
        <w:rPr>
          <w:rFonts w:ascii="Times New Roman" w:hAnsi="Times New Roman" w:cs="Times New Roman"/>
          <w:sz w:val="24"/>
          <w:szCs w:val="24"/>
        </w:rPr>
      </w:pPr>
    </w:p>
    <w:p w14:paraId="6084F3A6" w14:textId="77777777" w:rsidR="00B2699B" w:rsidRDefault="00B2699B">
      <w:pPr>
        <w:spacing w:line="360" w:lineRule="auto"/>
        <w:ind w:firstLine="720"/>
        <w:jc w:val="both"/>
        <w:rPr>
          <w:rFonts w:ascii="Times New Roman" w:hAnsi="Times New Roman" w:cs="Times New Roman"/>
          <w:sz w:val="24"/>
          <w:szCs w:val="24"/>
        </w:rPr>
      </w:pPr>
    </w:p>
    <w:p w14:paraId="678415BF" w14:textId="77777777" w:rsidR="00B2699B" w:rsidRDefault="00B2699B">
      <w:pPr>
        <w:spacing w:line="360" w:lineRule="auto"/>
        <w:ind w:firstLine="720"/>
        <w:jc w:val="both"/>
        <w:rPr>
          <w:rFonts w:ascii="Times New Roman" w:hAnsi="Times New Roman" w:cs="Times New Roman"/>
          <w:sz w:val="24"/>
          <w:szCs w:val="24"/>
        </w:rPr>
      </w:pPr>
    </w:p>
    <w:p w14:paraId="5143368C" w14:textId="77777777" w:rsidR="00B2699B" w:rsidRDefault="00B2699B">
      <w:pPr>
        <w:spacing w:line="360" w:lineRule="auto"/>
        <w:jc w:val="both"/>
        <w:rPr>
          <w:rFonts w:ascii="Times New Roman" w:hAnsi="Times New Roman" w:cs="Times New Roman"/>
          <w:b/>
          <w:bCs/>
          <w:sz w:val="24"/>
          <w:szCs w:val="24"/>
        </w:rPr>
      </w:pPr>
    </w:p>
    <w:p w14:paraId="1A9083DC" w14:textId="77777777" w:rsidR="00B2699B" w:rsidRDefault="00B2699B">
      <w:pPr>
        <w:spacing w:line="360" w:lineRule="auto"/>
        <w:jc w:val="both"/>
        <w:rPr>
          <w:rFonts w:ascii="Times New Roman" w:hAnsi="Times New Roman" w:cs="Times New Roman"/>
          <w:b/>
          <w:bCs/>
          <w:sz w:val="24"/>
          <w:szCs w:val="24"/>
        </w:rPr>
      </w:pPr>
    </w:p>
    <w:p w14:paraId="351F5116"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noProof/>
          <w:lang w:val="en-US"/>
        </w:rPr>
        <w:lastRenderedPageBreak/>
        <mc:AlternateContent>
          <mc:Choice Requires="wps">
            <w:drawing>
              <wp:anchor distT="0" distB="0" distL="114300" distR="114300" simplePos="0" relativeHeight="251665408" behindDoc="0" locked="0" layoutInCell="1" allowOverlap="1" wp14:anchorId="64749BE9" wp14:editId="688E2AB6">
                <wp:simplePos x="0" y="0"/>
                <wp:positionH relativeFrom="column">
                  <wp:posOffset>4567555</wp:posOffset>
                </wp:positionH>
                <wp:positionV relativeFrom="paragraph">
                  <wp:posOffset>432435</wp:posOffset>
                </wp:positionV>
                <wp:extent cx="929640" cy="373380"/>
                <wp:effectExtent l="0" t="0" r="0" b="7620"/>
                <wp:wrapNone/>
                <wp:docPr id="1068318674" name="Text Box 3"/>
                <wp:cNvGraphicFramePr/>
                <a:graphic xmlns:a="http://schemas.openxmlformats.org/drawingml/2006/main">
                  <a:graphicData uri="http://schemas.microsoft.com/office/word/2010/wordprocessingShape">
                    <wps:wsp>
                      <wps:cNvSpPr txBox="1"/>
                      <wps:spPr>
                        <a:xfrm>
                          <a:off x="0" y="0"/>
                          <a:ext cx="929640" cy="373380"/>
                        </a:xfrm>
                        <a:prstGeom prst="rect">
                          <a:avLst/>
                        </a:prstGeom>
                        <a:noFill/>
                        <a:ln w="6350">
                          <a:noFill/>
                        </a:ln>
                      </wps:spPr>
                      <wps:txbx>
                        <w:txbxContent>
                          <w:p w14:paraId="59AB4470" w14:textId="77777777" w:rsidR="00B2699B" w:rsidRDefault="00D44AF2">
                            <w:pPr>
                              <w:rPr>
                                <w:rFonts w:ascii="Times New Roman" w:hAnsi="Times New Roman" w:cs="Times New Roman"/>
                                <w:b/>
                                <w:bCs/>
                                <w:sz w:val="24"/>
                                <w:szCs w:val="24"/>
                                <w:lang w:val="en-US"/>
                              </w:rPr>
                            </w:pPr>
                            <w:r>
                              <w:rPr>
                                <w:rFonts w:ascii="Times New Roman" w:hAnsi="Times New Roman" w:cs="Times New Roman"/>
                                <w:b/>
                                <w:bCs/>
                                <w:lang w:val="en-US"/>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749BE9" id="_x0000_t202" coordsize="21600,21600" o:spt="202" path="m,l,21600r21600,l21600,xe">
                <v:stroke joinstyle="miter"/>
                <v:path gradientshapeok="t" o:connecttype="rect"/>
              </v:shapetype>
              <v:shape id="Text Box 3" o:spid="_x0000_s1026" type="#_x0000_t202" style="position:absolute;left:0;text-align:left;margin-left:359.65pt;margin-top:34.05pt;width:73.2pt;height:29.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" filled="f" stroked="f" strokeweight=".5pt">
                <v:textbox>
                  <w:txbxContent>
                    <w:p w14:paraId="59AB4470" w14:textId="77777777" w:rsidR="00B2699B" w:rsidRDefault="00D44AF2">
                      <w:pPr>
                        <w:rPr>
                          <w:rFonts w:ascii="Times New Roman" w:hAnsi="Times New Roman" w:cs="Times New Roman"/>
                          <w:b/>
                          <w:bCs/>
                          <w:sz w:val="24"/>
                          <w:szCs w:val="24"/>
                          <w:lang w:val="en-US"/>
                        </w:rPr>
                      </w:pPr>
                      <w:r>
                        <w:rPr>
                          <w:rFonts w:ascii="Times New Roman" w:hAnsi="Times New Roman" w:cs="Times New Roman"/>
                          <w:b/>
                          <w:bCs/>
                          <w:lang w:val="en-US"/>
                        </w:rPr>
                        <w:t>(b)</w:t>
                      </w:r>
                    </w:p>
                  </w:txbxContent>
                </v:textbox>
              </v:shap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64384" behindDoc="0" locked="0" layoutInCell="1" allowOverlap="1" wp14:anchorId="310965A1" wp14:editId="508C9F57">
                <wp:simplePos x="0" y="0"/>
                <wp:positionH relativeFrom="column">
                  <wp:posOffset>1340485</wp:posOffset>
                </wp:positionH>
                <wp:positionV relativeFrom="paragraph">
                  <wp:posOffset>537210</wp:posOffset>
                </wp:positionV>
                <wp:extent cx="937260" cy="274320"/>
                <wp:effectExtent l="0" t="0" r="0" b="0"/>
                <wp:wrapNone/>
                <wp:docPr id="832670703" name="Text Box 1"/>
                <wp:cNvGraphicFramePr/>
                <a:graphic xmlns:a="http://schemas.openxmlformats.org/drawingml/2006/main">
                  <a:graphicData uri="http://schemas.microsoft.com/office/word/2010/wordprocessingShape">
                    <wps:wsp>
                      <wps:cNvSpPr txBox="1"/>
                      <wps:spPr>
                        <a:xfrm>
                          <a:off x="0" y="0"/>
                          <a:ext cx="937260" cy="274320"/>
                        </a:xfrm>
                        <a:prstGeom prst="rect">
                          <a:avLst/>
                        </a:prstGeom>
                        <a:noFill/>
                        <a:ln w="6350">
                          <a:noFill/>
                        </a:ln>
                      </wps:spPr>
                      <wps:txbx>
                        <w:txbxContent>
                          <w:p w14:paraId="7437D5B0" w14:textId="77777777" w:rsidR="00B2699B" w:rsidRDefault="00D44AF2">
                            <w:pPr>
                              <w:rPr>
                                <w:rFonts w:ascii="Times New Roman" w:hAnsi="Times New Roman" w:cs="Times New Roman"/>
                                <w:b/>
                                <w:bCs/>
                                <w:sz w:val="24"/>
                                <w:szCs w:val="24"/>
                                <w:lang w:val="en-US"/>
                              </w:rPr>
                            </w:pPr>
                            <w:r>
                              <w:rPr>
                                <w:rFonts w:ascii="Times New Roman" w:hAnsi="Times New Roman" w:cs="Times New Roman"/>
                                <w:b/>
                                <w:bCs/>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0965A1" id="Text Box 1" o:spid="_x0000_s1027" type="#_x0000_t202" style="position:absolute;left:0;text-align:left;margin-left:105.55pt;margin-top:42.3pt;width:73.8pt;height:21.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" filled="f" stroked="f" strokeweight=".5pt">
                <v:textbox>
                  <w:txbxContent>
                    <w:p w14:paraId="7437D5B0" w14:textId="77777777" w:rsidR="00B2699B" w:rsidRDefault="00D44AF2">
                      <w:pPr>
                        <w:rPr>
                          <w:rFonts w:ascii="Times New Roman" w:hAnsi="Times New Roman" w:cs="Times New Roman"/>
                          <w:b/>
                          <w:bCs/>
                          <w:sz w:val="24"/>
                          <w:szCs w:val="24"/>
                          <w:lang w:val="en-US"/>
                        </w:rPr>
                      </w:pPr>
                      <w:r>
                        <w:rPr>
                          <w:rFonts w:ascii="Times New Roman" w:hAnsi="Times New Roman" w:cs="Times New Roman"/>
                          <w:b/>
                          <w:bCs/>
                          <w:sz w:val="24"/>
                          <w:szCs w:val="24"/>
                          <w:lang w:val="en-US"/>
                        </w:rPr>
                        <w:t>(a)</w:t>
                      </w:r>
                    </w:p>
                  </w:txbxContent>
                </v:textbox>
              </v:shape>
            </w:pict>
          </mc:Fallback>
        </mc:AlternateContent>
      </w:r>
    </w:p>
    <w:p w14:paraId="0D767B62" w14:textId="77777777" w:rsidR="00B2699B" w:rsidRDefault="00B2699B">
      <w:pPr>
        <w:spacing w:line="360" w:lineRule="auto"/>
        <w:jc w:val="both"/>
        <w:rPr>
          <w:rFonts w:ascii="Times New Roman" w:hAnsi="Times New Roman" w:cs="Times New Roman"/>
          <w:b/>
          <w:bCs/>
          <w:lang w:val="en-US"/>
          <w14:ligatures w14:val="none"/>
        </w:rPr>
      </w:pPr>
    </w:p>
    <w:p w14:paraId="15680F88" w14:textId="77777777" w:rsidR="00B2699B" w:rsidRDefault="00B2699B">
      <w:pPr>
        <w:spacing w:line="360" w:lineRule="auto"/>
        <w:jc w:val="both"/>
        <w:rPr>
          <w:rFonts w:ascii="Times New Roman" w:hAnsi="Times New Roman" w:cs="Times New Roman"/>
          <w:b/>
          <w:bCs/>
          <w:lang w:val="en-US"/>
          <w14:ligatures w14:val="none"/>
        </w:rPr>
      </w:pPr>
    </w:p>
    <w:p w14:paraId="54289F55" w14:textId="77777777" w:rsidR="00B2699B" w:rsidRDefault="00D44AF2">
      <w:pPr>
        <w:spacing w:line="360" w:lineRule="auto"/>
        <w:jc w:val="both"/>
        <w:rPr>
          <w:rFonts w:ascii="Times New Roman" w:hAnsi="Times New Roman" w:cs="Times New Roman"/>
          <w:b/>
          <w:bCs/>
          <w:lang w:val="en-US"/>
          <w14:ligatures w14:val="none"/>
        </w:rPr>
      </w:pPr>
      <w:r>
        <w:rPr>
          <w:rFonts w:ascii="Times New Roman" w:hAnsi="Times New Roman" w:cs="Times New Roman"/>
          <w:b/>
          <w:bCs/>
          <w:noProof/>
          <w:sz w:val="24"/>
          <w:szCs w:val="24"/>
        </w:rPr>
        <w:drawing>
          <wp:anchor distT="0" distB="0" distL="114300" distR="114300" simplePos="0" relativeHeight="251663360" behindDoc="0" locked="0" layoutInCell="1" allowOverlap="1" wp14:anchorId="3DC99BE1" wp14:editId="7A6DE751">
            <wp:simplePos x="0" y="0"/>
            <wp:positionH relativeFrom="column">
              <wp:posOffset>1529080</wp:posOffset>
            </wp:positionH>
            <wp:positionV relativeFrom="paragraph">
              <wp:posOffset>531495</wp:posOffset>
            </wp:positionV>
            <wp:extent cx="2818130" cy="2011680"/>
            <wp:effectExtent l="0" t="0" r="1905" b="7620"/>
            <wp:wrapNone/>
            <wp:docPr id="1557053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53475"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19186" cy="2012517"/>
                    </a:xfrm>
                    <a:prstGeom prst="rect">
                      <a:avLst/>
                    </a:prstGeom>
                    <a:noFill/>
                  </pic:spPr>
                </pic:pic>
              </a:graphicData>
            </a:graphic>
          </wp:anchor>
        </w:drawing>
      </w:r>
      <w:r>
        <w:rPr>
          <w:rFonts w:ascii="Times New Roman" w:hAnsi="Times New Roman" w:cs="Times New Roman"/>
          <w:b/>
          <w:bCs/>
          <w:lang w:val="en-US"/>
          <w14:ligatures w14:val="none"/>
        </w:rPr>
        <w:t xml:space="preserve">Figure 01: Blood pressure measuring device (a) Doppler Vet BP machine by Sonomed MD4 (b) Cuffs of different sizes </w:t>
      </w:r>
    </w:p>
    <w:p w14:paraId="3575724C" w14:textId="77777777" w:rsidR="00B2699B" w:rsidRDefault="00B2699B">
      <w:pPr>
        <w:spacing w:line="360" w:lineRule="auto"/>
        <w:ind w:left="1080" w:hanging="1080"/>
        <w:jc w:val="both"/>
        <w:rPr>
          <w:rFonts w:ascii="Times New Roman" w:hAnsi="Times New Roman" w:cs="Times New Roman"/>
          <w:b/>
          <w:bCs/>
          <w:lang w:val="en-US"/>
          <w14:ligatures w14:val="none"/>
        </w:rPr>
      </w:pPr>
    </w:p>
    <w:p w14:paraId="75AE8F18" w14:textId="77777777" w:rsidR="00B2699B" w:rsidRDefault="00B2699B">
      <w:pPr>
        <w:spacing w:line="360" w:lineRule="auto"/>
        <w:ind w:left="1080" w:hanging="1080"/>
        <w:jc w:val="both"/>
        <w:rPr>
          <w:rFonts w:ascii="Times New Roman" w:hAnsi="Times New Roman" w:cs="Times New Roman"/>
          <w:b/>
          <w:bCs/>
          <w:lang w:val="en-US"/>
          <w14:ligatures w14:val="none"/>
        </w:rPr>
      </w:pPr>
    </w:p>
    <w:p w14:paraId="44B4827B" w14:textId="77777777" w:rsidR="00B2699B" w:rsidRDefault="00B2699B">
      <w:pPr>
        <w:spacing w:line="360" w:lineRule="auto"/>
        <w:ind w:left="1080" w:hanging="1080"/>
        <w:jc w:val="both"/>
        <w:rPr>
          <w:rFonts w:ascii="Times New Roman" w:hAnsi="Times New Roman" w:cs="Times New Roman"/>
          <w:b/>
          <w:bCs/>
          <w:lang w:val="en-US"/>
          <w14:ligatures w14:val="none"/>
        </w:rPr>
      </w:pPr>
    </w:p>
    <w:p w14:paraId="5BFE7EC6" w14:textId="77777777" w:rsidR="00B2699B" w:rsidRDefault="00B2699B">
      <w:pPr>
        <w:spacing w:line="360" w:lineRule="auto"/>
        <w:jc w:val="both"/>
        <w:rPr>
          <w:rFonts w:ascii="Times New Roman" w:hAnsi="Times New Roman" w:cs="Times New Roman"/>
          <w:b/>
          <w:bCs/>
          <w:sz w:val="24"/>
          <w:szCs w:val="24"/>
        </w:rPr>
      </w:pPr>
    </w:p>
    <w:p w14:paraId="4D5266D1" w14:textId="77777777" w:rsidR="00B2699B" w:rsidRDefault="00B2699B">
      <w:pPr>
        <w:spacing w:line="360" w:lineRule="auto"/>
        <w:jc w:val="both"/>
        <w:rPr>
          <w:rFonts w:ascii="Times New Roman" w:hAnsi="Times New Roman" w:cs="Times New Roman"/>
          <w:b/>
          <w:bCs/>
          <w:sz w:val="24"/>
          <w:szCs w:val="24"/>
        </w:rPr>
      </w:pPr>
    </w:p>
    <w:p w14:paraId="6D3F478D"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FA8CE15" w14:textId="77777777" w:rsidR="00B2699B" w:rsidRDefault="00D44AF2">
      <w:pPr>
        <w:spacing w:line="360" w:lineRule="auto"/>
        <w:ind w:left="1080" w:hanging="1080"/>
        <w:jc w:val="center"/>
        <w:rPr>
          <w:rFonts w:ascii="Times New Roman" w:hAnsi="Times New Roman" w:cs="Times New Roman"/>
          <w:b/>
          <w:bCs/>
          <w:lang w:val="en-US"/>
          <w14:ligatures w14:val="none"/>
        </w:rPr>
      </w:pPr>
      <w:r>
        <w:rPr>
          <w:rFonts w:ascii="Times New Roman" w:hAnsi="Times New Roman" w:cs="Times New Roman"/>
          <w:b/>
          <w:bCs/>
          <w:lang w:val="en-US"/>
          <w14:ligatures w14:val="none"/>
        </w:rPr>
        <w:t>Figure 02:  Measurement of blood pressure using Doppler Vet BP machine in dog</w:t>
      </w:r>
    </w:p>
    <w:p w14:paraId="79F6B7CB"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Collection of samples</w:t>
      </w:r>
    </w:p>
    <w:p w14:paraId="08F5E17B"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 specimen of approximately 3 ml of blood samples was aseptically drawn from each dog’s saphenous or cephalic vein and 1 ml of blood was extracted into vial containing EDTA and submitted to standard haematology testing while remaining 2 ml of the blood sample was collected into clot activator vials. In suspected cases of diabetes mellitus 1 ml of blood was collected in vial containing sodium fluoride,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serum was extracted following centrifugation (3000 rpm/minute, 5 minutes) and was kept at a temperature of -20°C until further biochemical analysis.</w:t>
      </w:r>
    </w:p>
    <w:p w14:paraId="5BD7F38A"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Treatment Groups                </w:t>
      </w:r>
    </w:p>
    <w:p w14:paraId="06A6D665"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dogs with systemic hypertension (SAP ≥160 mmHg), combination therapy was preferentially instituted, with minor adjustments made according to individual clinical response. For therapeutic evaluation, 12 dogs with confirmed systemic hypertension were randomly assigned to two treatment groups (n = 6 each). Moreover, six apparently healthy dogs without systemic hypertension were kept as a healthy control group i.e., G3 (Table 01).</w:t>
      </w:r>
    </w:p>
    <w:p w14:paraId="497B8B53" w14:textId="77777777" w:rsidR="00B2699B" w:rsidRDefault="00D44AF2">
      <w:pPr>
        <w:ind w:left="1134" w:hanging="1134"/>
        <w:rPr>
          <w:rFonts w:ascii="Times New Roman" w:hAnsi="Times New Roman" w:cs="Times New Roman"/>
          <w:b/>
          <w:bCs/>
          <w:sz w:val="24"/>
          <w:szCs w:val="24"/>
        </w:rPr>
      </w:pPr>
      <w:r>
        <w:rPr>
          <w:rFonts w:ascii="Times New Roman" w:hAnsi="Times New Roman" w:cs="Times New Roman"/>
          <w:b/>
          <w:bCs/>
          <w:sz w:val="24"/>
          <w:szCs w:val="24"/>
        </w:rPr>
        <w:t>Table 01:</w:t>
      </w:r>
      <w:r>
        <w:rPr>
          <w:rFonts w:ascii="Times New Roman" w:hAnsi="Times New Roman" w:cs="Times New Roman"/>
          <w:b/>
          <w:bCs/>
          <w:sz w:val="24"/>
          <w:szCs w:val="24"/>
        </w:rPr>
        <w:tab/>
        <w:t>Treatment protocol in different groups of dogs with systemic hypertension</w:t>
      </w:r>
    </w:p>
    <w:tbl>
      <w:tblPr>
        <w:tblStyle w:val="PlainTable21"/>
        <w:tblW w:w="0" w:type="auto"/>
        <w:tblLook w:val="04A0" w:firstRow="1" w:lastRow="0" w:firstColumn="1" w:lastColumn="0" w:noHBand="0" w:noVBand="1"/>
      </w:tblPr>
      <w:tblGrid>
        <w:gridCol w:w="913"/>
        <w:gridCol w:w="1244"/>
        <w:gridCol w:w="1706"/>
        <w:gridCol w:w="1916"/>
        <w:gridCol w:w="900"/>
        <w:gridCol w:w="1627"/>
      </w:tblGrid>
      <w:tr w:rsidR="00B2699B" w14:paraId="515C2EC5" w14:textId="77777777" w:rsidTr="00B2699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3" w:type="dxa"/>
          </w:tcPr>
          <w:p w14:paraId="239CD68E" w14:textId="77777777" w:rsidR="00B2699B" w:rsidRDefault="00D44AF2">
            <w:pPr>
              <w:spacing w:before="120" w:after="120" w:line="240" w:lineRule="auto"/>
              <w:jc w:val="center"/>
              <w:rPr>
                <w:rFonts w:ascii="Times New Roman" w:hAnsi="Times New Roman" w:cs="Times New Roman"/>
                <w:sz w:val="24"/>
                <w:szCs w:val="24"/>
              </w:rPr>
            </w:pPr>
            <w:r>
              <w:rPr>
                <w:rFonts w:ascii="Times New Roman" w:hAnsi="Times New Roman" w:cs="Times New Roman"/>
                <w:b w:val="0"/>
                <w:bCs w:val="0"/>
                <w:sz w:val="24"/>
                <w:szCs w:val="24"/>
              </w:rPr>
              <w:lastRenderedPageBreak/>
              <w:t>Group</w:t>
            </w:r>
          </w:p>
        </w:tc>
        <w:tc>
          <w:tcPr>
            <w:tcW w:w="1244" w:type="dxa"/>
          </w:tcPr>
          <w:p w14:paraId="52DFD289" w14:textId="77777777" w:rsidR="00B2699B" w:rsidRDefault="00D44AF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Number of animals</w:t>
            </w:r>
          </w:p>
        </w:tc>
        <w:tc>
          <w:tcPr>
            <w:tcW w:w="1452" w:type="dxa"/>
          </w:tcPr>
          <w:p w14:paraId="6F9CC083" w14:textId="77777777" w:rsidR="00B2699B" w:rsidRDefault="00D44AF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Drugs</w:t>
            </w:r>
          </w:p>
        </w:tc>
        <w:tc>
          <w:tcPr>
            <w:tcW w:w="1916" w:type="dxa"/>
          </w:tcPr>
          <w:p w14:paraId="6B924D42" w14:textId="77777777" w:rsidR="00B2699B" w:rsidRDefault="00D44AF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Dose</w:t>
            </w:r>
          </w:p>
        </w:tc>
        <w:tc>
          <w:tcPr>
            <w:tcW w:w="900" w:type="dxa"/>
          </w:tcPr>
          <w:p w14:paraId="66AADDED" w14:textId="77777777" w:rsidR="00B2699B" w:rsidRDefault="00D44AF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Route</w:t>
            </w:r>
          </w:p>
        </w:tc>
        <w:tc>
          <w:tcPr>
            <w:tcW w:w="1627" w:type="dxa"/>
          </w:tcPr>
          <w:p w14:paraId="4410BE2A" w14:textId="77777777" w:rsidR="00B2699B" w:rsidRDefault="00D44AF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Frequency and duration</w:t>
            </w:r>
          </w:p>
        </w:tc>
      </w:tr>
      <w:tr w:rsidR="00B2699B" w14:paraId="01A7F8D3"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913" w:type="dxa"/>
            <w:tcBorders>
              <w:top w:val="single" w:sz="4" w:space="0" w:color="7F7F7F" w:themeColor="text1" w:themeTint="80"/>
              <w:bottom w:val="single" w:sz="4" w:space="0" w:color="7F7F7F" w:themeColor="text1" w:themeTint="80"/>
            </w:tcBorders>
          </w:tcPr>
          <w:p w14:paraId="587B096A" w14:textId="77777777" w:rsidR="00B2699B" w:rsidRDefault="00D44AF2">
            <w:pPr>
              <w:spacing w:before="120" w:after="120" w:line="240" w:lineRule="auto"/>
              <w:jc w:val="center"/>
              <w:rPr>
                <w:rFonts w:ascii="Times New Roman" w:hAnsi="Times New Roman" w:cs="Times New Roman"/>
                <w:b w:val="0"/>
                <w:bCs w:val="0"/>
                <w:sz w:val="24"/>
                <w:szCs w:val="24"/>
              </w:rPr>
            </w:pPr>
            <w:r>
              <w:rPr>
                <w:rFonts w:ascii="Times New Roman" w:hAnsi="Times New Roman" w:cs="Times New Roman"/>
                <w:sz w:val="24"/>
                <w:szCs w:val="24"/>
              </w:rPr>
              <w:t>G1</w:t>
            </w:r>
          </w:p>
        </w:tc>
        <w:tc>
          <w:tcPr>
            <w:tcW w:w="1244" w:type="dxa"/>
            <w:tcBorders>
              <w:top w:val="single" w:sz="4" w:space="0" w:color="7F7F7F" w:themeColor="text1" w:themeTint="80"/>
              <w:bottom w:val="single" w:sz="4" w:space="0" w:color="7F7F7F" w:themeColor="text1" w:themeTint="80"/>
            </w:tcBorders>
          </w:tcPr>
          <w:p w14:paraId="03251D26"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p>
        </w:tc>
        <w:tc>
          <w:tcPr>
            <w:tcW w:w="1452" w:type="dxa"/>
            <w:tcBorders>
              <w:top w:val="single" w:sz="4" w:space="0" w:color="7F7F7F" w:themeColor="text1" w:themeTint="80"/>
              <w:bottom w:val="single" w:sz="4" w:space="0" w:color="7F7F7F" w:themeColor="text1" w:themeTint="80"/>
            </w:tcBorders>
          </w:tcPr>
          <w:p w14:paraId="41DBF506"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Ramipril*</w:t>
            </w:r>
          </w:p>
          <w:p w14:paraId="2E53C631"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Amlodipine**</w:t>
            </w:r>
          </w:p>
        </w:tc>
        <w:tc>
          <w:tcPr>
            <w:tcW w:w="1916" w:type="dxa"/>
            <w:tcBorders>
              <w:top w:val="single" w:sz="4" w:space="0" w:color="7F7F7F" w:themeColor="text1" w:themeTint="80"/>
              <w:bottom w:val="single" w:sz="4" w:space="0" w:color="7F7F7F" w:themeColor="text1" w:themeTint="80"/>
            </w:tcBorders>
          </w:tcPr>
          <w:p w14:paraId="5EE71C91" w14:textId="77777777" w:rsidR="00B2699B" w:rsidRDefault="00D44A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0.125mg/kg b. wt.</w:t>
            </w:r>
          </w:p>
          <w:p w14:paraId="633FCD8D" w14:textId="77777777" w:rsidR="00B2699B" w:rsidRDefault="00D44A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0.25 mg/kg </w:t>
            </w:r>
            <w:proofErr w:type="spellStart"/>
            <w:r>
              <w:rPr>
                <w:rFonts w:ascii="Times New Roman" w:hAnsi="Times New Roman" w:cs="Times New Roman"/>
                <w:sz w:val="24"/>
                <w:szCs w:val="24"/>
              </w:rPr>
              <w:t>b.wt</w:t>
            </w:r>
            <w:proofErr w:type="spellEnd"/>
            <w:r>
              <w:rPr>
                <w:rFonts w:ascii="Times New Roman" w:hAnsi="Times New Roman" w:cs="Times New Roman"/>
                <w:sz w:val="24"/>
                <w:szCs w:val="24"/>
              </w:rPr>
              <w:t>.</w:t>
            </w:r>
          </w:p>
        </w:tc>
        <w:tc>
          <w:tcPr>
            <w:tcW w:w="900" w:type="dxa"/>
            <w:tcBorders>
              <w:top w:val="single" w:sz="4" w:space="0" w:color="7F7F7F" w:themeColor="text1" w:themeTint="80"/>
              <w:bottom w:val="single" w:sz="4" w:space="0" w:color="7F7F7F" w:themeColor="text1" w:themeTint="80"/>
            </w:tcBorders>
          </w:tcPr>
          <w:p w14:paraId="21BD8320"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w:t>
            </w:r>
          </w:p>
          <w:p w14:paraId="7E5C217D"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w:t>
            </w:r>
          </w:p>
        </w:tc>
        <w:tc>
          <w:tcPr>
            <w:tcW w:w="1627" w:type="dxa"/>
            <w:tcBorders>
              <w:top w:val="single" w:sz="4" w:space="0" w:color="7F7F7F" w:themeColor="text1" w:themeTint="80"/>
              <w:bottom w:val="single" w:sz="4" w:space="0" w:color="7F7F7F" w:themeColor="text1" w:themeTint="80"/>
            </w:tcBorders>
          </w:tcPr>
          <w:p w14:paraId="2F7DA176" w14:textId="77777777" w:rsidR="00B2699B" w:rsidRDefault="00D44A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Once daily for </w:t>
            </w:r>
            <w:r>
              <w:rPr>
                <w:rFonts w:ascii="Times New Roman" w:hAnsi="Times New Roman" w:cs="Times New Roman"/>
                <w:sz w:val="24"/>
                <w:szCs w:val="24"/>
                <w:lang w:val="en-US"/>
              </w:rPr>
              <w:t xml:space="preserve">4 </w:t>
            </w:r>
            <w:r>
              <w:rPr>
                <w:rFonts w:ascii="Times New Roman" w:hAnsi="Times New Roman" w:cs="Times New Roman"/>
                <w:sz w:val="24"/>
                <w:szCs w:val="24"/>
              </w:rPr>
              <w:t>weeks</w:t>
            </w:r>
          </w:p>
        </w:tc>
      </w:tr>
      <w:tr w:rsidR="00B2699B" w14:paraId="7C523360"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913" w:type="dxa"/>
          </w:tcPr>
          <w:p w14:paraId="240158AC" w14:textId="77777777" w:rsidR="00B2699B" w:rsidRDefault="00D44AF2">
            <w:pPr>
              <w:spacing w:before="120" w:after="120" w:line="240" w:lineRule="auto"/>
              <w:jc w:val="center"/>
              <w:rPr>
                <w:rFonts w:ascii="Times New Roman" w:hAnsi="Times New Roman" w:cs="Times New Roman"/>
                <w:b w:val="0"/>
                <w:bCs w:val="0"/>
                <w:sz w:val="24"/>
                <w:szCs w:val="24"/>
              </w:rPr>
            </w:pPr>
            <w:r>
              <w:rPr>
                <w:rFonts w:ascii="Times New Roman" w:hAnsi="Times New Roman" w:cs="Times New Roman"/>
                <w:sz w:val="24"/>
                <w:szCs w:val="24"/>
              </w:rPr>
              <w:t>G2</w:t>
            </w:r>
          </w:p>
        </w:tc>
        <w:tc>
          <w:tcPr>
            <w:tcW w:w="1244" w:type="dxa"/>
          </w:tcPr>
          <w:p w14:paraId="62B383CB"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p>
        </w:tc>
        <w:tc>
          <w:tcPr>
            <w:tcW w:w="1452" w:type="dxa"/>
          </w:tcPr>
          <w:p w14:paraId="1BD3E8C3"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Telmisartan***</w:t>
            </w:r>
          </w:p>
          <w:p w14:paraId="2B95531D"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Amlodipine</w:t>
            </w:r>
          </w:p>
        </w:tc>
        <w:tc>
          <w:tcPr>
            <w:tcW w:w="1916" w:type="dxa"/>
          </w:tcPr>
          <w:p w14:paraId="1AA243F3" w14:textId="77777777" w:rsidR="00B2699B" w:rsidRDefault="00D44A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1 mg/kg b. wt.</w:t>
            </w:r>
          </w:p>
          <w:p w14:paraId="5E156E88" w14:textId="77777777" w:rsidR="00B2699B" w:rsidRDefault="00D44A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0.25 mg/kg b. wt.</w:t>
            </w:r>
          </w:p>
        </w:tc>
        <w:tc>
          <w:tcPr>
            <w:tcW w:w="900" w:type="dxa"/>
          </w:tcPr>
          <w:p w14:paraId="773E4C84"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w:t>
            </w:r>
          </w:p>
          <w:p w14:paraId="2C0A607C"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w:t>
            </w:r>
          </w:p>
        </w:tc>
        <w:tc>
          <w:tcPr>
            <w:tcW w:w="1627" w:type="dxa"/>
          </w:tcPr>
          <w:p w14:paraId="25244AB1" w14:textId="77777777" w:rsidR="00B2699B" w:rsidRDefault="00D44A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Once daily for </w:t>
            </w:r>
            <w:r>
              <w:rPr>
                <w:rFonts w:ascii="Times New Roman" w:hAnsi="Times New Roman" w:cs="Times New Roman"/>
                <w:sz w:val="24"/>
                <w:szCs w:val="24"/>
                <w:lang w:val="en-US"/>
              </w:rPr>
              <w:t>4</w:t>
            </w:r>
            <w:r>
              <w:rPr>
                <w:rFonts w:ascii="Times New Roman" w:hAnsi="Times New Roman" w:cs="Times New Roman"/>
                <w:sz w:val="24"/>
                <w:szCs w:val="24"/>
              </w:rPr>
              <w:t xml:space="preserve"> weeks</w:t>
            </w:r>
          </w:p>
        </w:tc>
      </w:tr>
      <w:tr w:rsidR="00B2699B" w14:paraId="431C5828"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913" w:type="dxa"/>
            <w:tcBorders>
              <w:top w:val="single" w:sz="4" w:space="0" w:color="7F7F7F" w:themeColor="text1" w:themeTint="80"/>
              <w:bottom w:val="single" w:sz="4" w:space="0" w:color="7F7F7F" w:themeColor="text1" w:themeTint="80"/>
            </w:tcBorders>
          </w:tcPr>
          <w:p w14:paraId="7889EA39" w14:textId="77777777" w:rsidR="00B2699B" w:rsidRDefault="00D44AF2">
            <w:pPr>
              <w:spacing w:before="120" w:after="120" w:line="240" w:lineRule="auto"/>
              <w:jc w:val="center"/>
              <w:rPr>
                <w:rFonts w:ascii="Times New Roman" w:hAnsi="Times New Roman" w:cs="Times New Roman"/>
                <w:b w:val="0"/>
                <w:bCs w:val="0"/>
                <w:sz w:val="24"/>
                <w:szCs w:val="24"/>
              </w:rPr>
            </w:pPr>
            <w:r>
              <w:rPr>
                <w:rFonts w:ascii="Times New Roman" w:hAnsi="Times New Roman" w:cs="Times New Roman"/>
                <w:sz w:val="24"/>
                <w:szCs w:val="24"/>
              </w:rPr>
              <w:t>G3</w:t>
            </w:r>
          </w:p>
        </w:tc>
        <w:tc>
          <w:tcPr>
            <w:tcW w:w="1244" w:type="dxa"/>
            <w:tcBorders>
              <w:top w:val="single" w:sz="4" w:space="0" w:color="7F7F7F" w:themeColor="text1" w:themeTint="80"/>
              <w:bottom w:val="single" w:sz="4" w:space="0" w:color="7F7F7F" w:themeColor="text1" w:themeTint="80"/>
            </w:tcBorders>
          </w:tcPr>
          <w:p w14:paraId="5DEB92C1"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p>
        </w:tc>
        <w:tc>
          <w:tcPr>
            <w:tcW w:w="5895" w:type="dxa"/>
            <w:gridSpan w:val="4"/>
            <w:tcBorders>
              <w:top w:val="single" w:sz="4" w:space="0" w:color="7F7F7F" w:themeColor="text1" w:themeTint="80"/>
              <w:bottom w:val="single" w:sz="4" w:space="0" w:color="7F7F7F" w:themeColor="text1" w:themeTint="80"/>
            </w:tcBorders>
          </w:tcPr>
          <w:p w14:paraId="3169CE4E" w14:textId="77777777" w:rsidR="00B2699B" w:rsidRDefault="00D44AF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Apparently healthy control</w:t>
            </w:r>
          </w:p>
        </w:tc>
      </w:tr>
    </w:tbl>
    <w:p w14:paraId="316EDDDC" w14:textId="77777777" w:rsidR="00B2699B" w:rsidRDefault="00D44AF2">
      <w:pPr>
        <w:spacing w:line="360" w:lineRule="auto"/>
        <w:rPr>
          <w:rFonts w:ascii="Times New Roman" w:hAnsi="Times New Roman" w:cs="Times New Roman"/>
          <w:sz w:val="24"/>
          <w:szCs w:val="24"/>
        </w:rPr>
      </w:pPr>
      <w:r>
        <w:rPr>
          <w:rFonts w:ascii="Times New Roman" w:hAnsi="Times New Roman" w:cs="Times New Roman"/>
          <w:sz w:val="24"/>
          <w:szCs w:val="24"/>
        </w:rPr>
        <w:t xml:space="preserve">*(Choi </w:t>
      </w:r>
      <w:r>
        <w:rPr>
          <w:rFonts w:ascii="Times New Roman" w:hAnsi="Times New Roman" w:cs="Times New Roman"/>
          <w:i/>
          <w:iCs/>
          <w:sz w:val="24"/>
          <w:szCs w:val="24"/>
        </w:rPr>
        <w:t>et al</w:t>
      </w:r>
      <w:r>
        <w:rPr>
          <w:rFonts w:ascii="Times New Roman" w:hAnsi="Times New Roman" w:cs="Times New Roman"/>
          <w:sz w:val="24"/>
          <w:szCs w:val="24"/>
        </w:rPr>
        <w:t xml:space="preserve">., 2022), **(Acierno </w:t>
      </w:r>
      <w:r>
        <w:rPr>
          <w:rFonts w:ascii="Times New Roman" w:hAnsi="Times New Roman" w:cs="Times New Roman"/>
          <w:i/>
          <w:iCs/>
          <w:sz w:val="24"/>
          <w:szCs w:val="24"/>
        </w:rPr>
        <w:t>et al</w:t>
      </w:r>
      <w:r>
        <w:rPr>
          <w:rFonts w:ascii="Times New Roman" w:hAnsi="Times New Roman" w:cs="Times New Roman"/>
          <w:sz w:val="24"/>
          <w:szCs w:val="24"/>
        </w:rPr>
        <w:t xml:space="preserve">., 2018), ***(Charitha </w:t>
      </w:r>
      <w:r>
        <w:rPr>
          <w:rFonts w:ascii="Times New Roman" w:hAnsi="Times New Roman" w:cs="Times New Roman"/>
          <w:i/>
          <w:iCs/>
          <w:sz w:val="24"/>
          <w:szCs w:val="24"/>
        </w:rPr>
        <w:t>et al</w:t>
      </w:r>
      <w:r>
        <w:rPr>
          <w:rFonts w:ascii="Times New Roman" w:hAnsi="Times New Roman" w:cs="Times New Roman"/>
          <w:sz w:val="24"/>
          <w:szCs w:val="24"/>
        </w:rPr>
        <w:t>., 2023)</w:t>
      </w:r>
    </w:p>
    <w:p w14:paraId="054206E9" w14:textId="77777777" w:rsidR="00B2699B" w:rsidRDefault="00D44AF2">
      <w:pPr>
        <w:spacing w:line="360" w:lineRule="auto"/>
        <w:ind w:firstLine="1440"/>
        <w:jc w:val="both"/>
        <w:rPr>
          <w:rFonts w:ascii="Arial" w:hAnsi="Arial" w:cs="Arial"/>
          <w:sz w:val="24"/>
          <w:szCs w:val="24"/>
        </w:rPr>
      </w:pPr>
      <w:r>
        <w:rPr>
          <w:rFonts w:ascii="Times New Roman" w:hAnsi="Times New Roman" w:cs="Times New Roman"/>
          <w:sz w:val="24"/>
          <w:szCs w:val="24"/>
        </w:rPr>
        <w:t xml:space="preserve">Supportive therapy was provided to all groups as clinically indicated. This included administration of a diuretic, hydrochlorothiazide, at a dose of 2–4 mg/kg orally once daily, along with antiemetics (Ondansetron@ 0.2 mg/kg </w:t>
      </w:r>
      <w:proofErr w:type="spellStart"/>
      <w:r>
        <w:rPr>
          <w:rFonts w:ascii="Times New Roman" w:hAnsi="Times New Roman" w:cs="Times New Roman"/>
          <w:sz w:val="24"/>
          <w:szCs w:val="24"/>
        </w:rPr>
        <w:t>b.wt</w:t>
      </w:r>
      <w:proofErr w:type="spellEnd"/>
      <w:r>
        <w:rPr>
          <w:rFonts w:ascii="Times New Roman" w:hAnsi="Times New Roman" w:cs="Times New Roman"/>
          <w:sz w:val="24"/>
          <w:szCs w:val="24"/>
        </w:rPr>
        <w:t xml:space="preserve">.), a proton pump inhibitor (Pantaprazole@1mg </w:t>
      </w:r>
      <w:proofErr w:type="spellStart"/>
      <w:r>
        <w:rPr>
          <w:rFonts w:ascii="Times New Roman" w:hAnsi="Times New Roman" w:cs="Times New Roman"/>
          <w:sz w:val="24"/>
          <w:szCs w:val="24"/>
        </w:rPr>
        <w:t>b.wt</w:t>
      </w:r>
      <w:proofErr w:type="spellEnd"/>
      <w:r>
        <w:rPr>
          <w:rFonts w:ascii="Times New Roman" w:hAnsi="Times New Roman" w:cs="Times New Roman"/>
          <w:sz w:val="24"/>
          <w:szCs w:val="24"/>
        </w:rPr>
        <w:t>.), and multivitamin supplementation based on individual clinical presentations. Dietary modifications and fluid management were implemented as required and tailored to each dog’s underlying condition. Antihypertensive therapy was continued throughout the study period, and drug dosages were adjusted as necessary to achieve the desired therapeutic response</w:t>
      </w:r>
      <w:r>
        <w:rPr>
          <w:rFonts w:ascii="Arial" w:hAnsi="Arial" w:cs="Arial"/>
          <w:sz w:val="24"/>
          <w:szCs w:val="24"/>
        </w:rPr>
        <w:t>.</w:t>
      </w:r>
    </w:p>
    <w:p w14:paraId="510FBEC8"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 analysis</w:t>
      </w:r>
    </w:p>
    <w:p w14:paraId="6416E9F4" w14:textId="77777777" w:rsidR="00B2699B" w:rsidRDefault="00D44AF2">
      <w:pPr>
        <w:numPr>
          <w:ilvl w:val="0"/>
          <w:numId w:val="1"/>
        </w:numPr>
        <w:tabs>
          <w:tab w:val="clear" w:pos="720"/>
        </w:tabs>
        <w:spacing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The recorded data pertaining to clinical parameters and haemato-biochemical parameters were analysed by applying two-way and mean comparisons were made by Duncan's multiple range test (DMRT) as per standard statistical procedure IBM SPSS computer software version 30.0 </w:t>
      </w:r>
    </w:p>
    <w:p w14:paraId="5E1A13AD" w14:textId="77777777" w:rsidR="00B2699B" w:rsidRDefault="00D44AF2">
      <w:pPr>
        <w:numPr>
          <w:ilvl w:val="1"/>
          <w:numId w:val="1"/>
        </w:numPr>
        <w:tabs>
          <w:tab w:val="clear" w:pos="1440"/>
          <w:tab w:val="left" w:pos="1134"/>
        </w:tabs>
        <w:spacing w:line="360" w:lineRule="auto"/>
        <w:ind w:left="426"/>
        <w:rPr>
          <w:rFonts w:ascii="Times New Roman" w:hAnsi="Times New Roman" w:cs="Times New Roman"/>
          <w:sz w:val="24"/>
          <w:szCs w:val="24"/>
        </w:rPr>
      </w:pPr>
      <w:r>
        <w:rPr>
          <w:rFonts w:ascii="Times New Roman" w:hAnsi="Times New Roman" w:cs="Times New Roman"/>
          <w:sz w:val="24"/>
          <w:szCs w:val="24"/>
          <w:lang w:val="en-US"/>
        </w:rPr>
        <w:t xml:space="preserve">The recorded data of blood pressure was analyzed using one-way ANOVA in IBM SPSS software and mean comparisons were made by Tukey pairwise comparison based on least significant difference at 5% level of significance, as per the standard procedure </w:t>
      </w:r>
      <w:r>
        <w:rPr>
          <w:rFonts w:ascii="Times New Roman" w:hAnsi="Times New Roman" w:cs="Times New Roman"/>
          <w:sz w:val="24"/>
          <w:szCs w:val="24"/>
        </w:rPr>
        <w:t>(IBM Corp., 2023).</w:t>
      </w:r>
    </w:p>
    <w:p w14:paraId="2971AC1D"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08E4AD54"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study period, a total of 2,548 dogs were screened for systemic hypertension. Out of these, 65 dogs were confirmed to be affected, accounting for an overall prevalence of 2.55% in the screened canine population. These results suggested that focusing hemodynamic </w:t>
      </w:r>
      <w:r>
        <w:rPr>
          <w:rFonts w:ascii="Times New Roman" w:hAnsi="Times New Roman" w:cs="Times New Roman"/>
          <w:sz w:val="24"/>
          <w:szCs w:val="24"/>
        </w:rPr>
        <w:lastRenderedPageBreak/>
        <w:t xml:space="preserve">assessments on clinically suspected cases is a highly effective strategy for the detection of hypertensive animals. Age-wise analysis demonstrated highest occurrence of systemic hypertension in dogs aged 6–9 years (33.75%), followed by 1–3 years (28.20%) and &gt;9 years (21.56%), with the lowest prevalence in dogs &lt;1 year. A significantly greater prevalence was observed in males (76.92%) compared to females (23.08%). Breed-wise, Labrador Retrievers showed the highest occurrence, followed by small breeds, German </w:t>
      </w:r>
      <w:proofErr w:type="spellStart"/>
      <w:r>
        <w:rPr>
          <w:rFonts w:ascii="Times New Roman" w:hAnsi="Times New Roman" w:cs="Times New Roman"/>
          <w:sz w:val="24"/>
          <w:szCs w:val="24"/>
        </w:rPr>
        <w:t>Shepherdsand</w:t>
      </w:r>
      <w:proofErr w:type="spellEnd"/>
      <w:r>
        <w:rPr>
          <w:rFonts w:ascii="Times New Roman" w:hAnsi="Times New Roman" w:cs="Times New Roman"/>
          <w:sz w:val="24"/>
          <w:szCs w:val="24"/>
        </w:rPr>
        <w:t xml:space="preserve"> Golden Retrievers, while non-descript dogs exhibited relatively lower prevalence.</w:t>
      </w:r>
    </w:p>
    <w:p w14:paraId="47DA2C5B"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Clinical parameters</w:t>
      </w:r>
    </w:p>
    <w:p w14:paraId="17E48BC8"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temperature (˚F), heart rate (beats/min) and respiration rate (breaths/min) were recorded in dogs with systemic hypertension on day 0 (pre-treatment) and day 28 (post-treatment) and compared with apparently healthy control dogs. On day 0, mean temperature did not differ significantly between the treatment groups (G1 and G2) and the control group, while heart rate was significantly higher in both treatment groups. Respiration rate showed no significant difference between groups G1 and G2. Following antihypertensive therapy, a statistically significant reduction in rectal temperature, heart rate and respiration rate was observed in both treatment groups on day 28, with values approaching the normal physiological range. (Table 02).</w:t>
      </w:r>
    </w:p>
    <w:p w14:paraId="35D340A3"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of the present study </w:t>
      </w:r>
      <w:proofErr w:type="gramStart"/>
      <w:r>
        <w:rPr>
          <w:rFonts w:ascii="Times New Roman" w:hAnsi="Times New Roman" w:cs="Times New Roman"/>
          <w:sz w:val="24"/>
          <w:szCs w:val="24"/>
        </w:rPr>
        <w:t>are in agreement</w:t>
      </w:r>
      <w:proofErr w:type="gramEnd"/>
      <w:r>
        <w:rPr>
          <w:rFonts w:ascii="Times New Roman" w:hAnsi="Times New Roman" w:cs="Times New Roman"/>
          <w:sz w:val="24"/>
          <w:szCs w:val="24"/>
        </w:rPr>
        <w:t xml:space="preserve"> with Beeston </w:t>
      </w:r>
      <w:r>
        <w:rPr>
          <w:rFonts w:ascii="Times New Roman" w:hAnsi="Times New Roman" w:cs="Times New Roman"/>
          <w:i/>
          <w:iCs/>
          <w:sz w:val="24"/>
          <w:szCs w:val="24"/>
        </w:rPr>
        <w:t>et al</w:t>
      </w:r>
      <w:r>
        <w:rPr>
          <w:rFonts w:ascii="Times New Roman" w:hAnsi="Times New Roman" w:cs="Times New Roman"/>
          <w:sz w:val="24"/>
          <w:szCs w:val="24"/>
        </w:rPr>
        <w:t xml:space="preserve">. (2022) and Charitha </w:t>
      </w:r>
      <w:r>
        <w:rPr>
          <w:rFonts w:ascii="Times New Roman" w:hAnsi="Times New Roman" w:cs="Times New Roman"/>
          <w:i/>
          <w:iCs/>
          <w:sz w:val="24"/>
          <w:szCs w:val="24"/>
        </w:rPr>
        <w:t>et al</w:t>
      </w:r>
      <w:r>
        <w:rPr>
          <w:rFonts w:ascii="Times New Roman" w:hAnsi="Times New Roman" w:cs="Times New Roman"/>
          <w:sz w:val="24"/>
          <w:szCs w:val="24"/>
        </w:rPr>
        <w:t xml:space="preserve">. (2023), who reported that changes in temperature, heart rate and respiration rate were generally mild and remained within normal physiological limits. The elevated heart rate and respiration rate observed at presentation are likely attributable to increased sympathetic nervous system activity, systemic stress and concurrent disease conditions commonly associated with secondary hypertension. Mild tachypnoea may also represent a compensatory response to metabolic derangements and neurohumoral activation in affected dogs. In contrast, Surman </w:t>
      </w:r>
      <w:r>
        <w:rPr>
          <w:rFonts w:ascii="Times New Roman" w:hAnsi="Times New Roman" w:cs="Times New Roman"/>
          <w:i/>
          <w:iCs/>
          <w:sz w:val="24"/>
          <w:szCs w:val="24"/>
        </w:rPr>
        <w:t>et al.</w:t>
      </w:r>
      <w:r>
        <w:rPr>
          <w:rFonts w:ascii="Times New Roman" w:hAnsi="Times New Roman" w:cs="Times New Roman"/>
          <w:sz w:val="24"/>
          <w:szCs w:val="24"/>
        </w:rPr>
        <w:t xml:space="preserve"> (2012) reported no significant differences in heart rate between hypertensive and normotensive retired racing Greyhounds, which may be explained by the absence of underlying systemic disease and breed-specific cardiovascular adaptations. The normalization of clinical parameters following antihypertensive therapy in the present study reflects effective attenuation of systemic stress and restoration of physiological homeostasis</w:t>
      </w:r>
    </w:p>
    <w:p w14:paraId="046383E9" w14:textId="77777777" w:rsidR="00B2699B" w:rsidRDefault="00D44AF2">
      <w:pPr>
        <w:spacing w:line="360" w:lineRule="auto"/>
        <w:ind w:left="1134" w:hanging="992"/>
        <w:jc w:val="both"/>
        <w:rPr>
          <w:rFonts w:ascii="Times New Roman" w:hAnsi="Times New Roman" w:cs="Times New Roman"/>
          <w:sz w:val="24"/>
          <w:szCs w:val="24"/>
        </w:rPr>
      </w:pPr>
      <w:r>
        <w:rPr>
          <w:rFonts w:ascii="Times New Roman" w:hAnsi="Times New Roman" w:cs="Times New Roman"/>
          <w:b/>
          <w:bCs/>
          <w:sz w:val="24"/>
          <w:szCs w:val="24"/>
        </w:rPr>
        <w:t xml:space="preserve">Table 02: Mean values of clinical parameters of dogs with hypertension in </w:t>
      </w:r>
      <w:r>
        <w:rPr>
          <w:rFonts w:ascii="Times New Roman" w:hAnsi="Times New Roman" w:cs="Times New Roman"/>
          <w:b/>
          <w:bCs/>
          <w:sz w:val="24"/>
          <w:szCs w:val="24"/>
          <w:lang w:val="en-US"/>
        </w:rPr>
        <w:t>different treatment groups at different intervals</w:t>
      </w:r>
    </w:p>
    <w:tbl>
      <w:tblPr>
        <w:tblStyle w:val="PlainTable21"/>
        <w:tblW w:w="8789" w:type="dxa"/>
        <w:tblLook w:val="04A0" w:firstRow="1" w:lastRow="0" w:firstColumn="1" w:lastColumn="0" w:noHBand="0" w:noVBand="1"/>
      </w:tblPr>
      <w:tblGrid>
        <w:gridCol w:w="2127"/>
        <w:gridCol w:w="1843"/>
        <w:gridCol w:w="2404"/>
        <w:gridCol w:w="2415"/>
      </w:tblGrid>
      <w:tr w:rsidR="00B2699B" w14:paraId="634BBD80" w14:textId="77777777" w:rsidTr="00B2699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78C83B30" w14:textId="77777777" w:rsidR="00B2699B" w:rsidRDefault="00D44AF2">
            <w:pPr>
              <w:spacing w:before="60" w:after="60" w:line="360" w:lineRule="auto"/>
              <w:ind w:right="-28"/>
              <w:jc w:val="center"/>
              <w:rPr>
                <w:rFonts w:ascii="Times New Roman" w:hAnsi="Times New Roman" w:cs="Times New Roman"/>
                <w:bCs w:val="0"/>
                <w:sz w:val="24"/>
                <w:szCs w:val="24"/>
              </w:rPr>
            </w:pPr>
            <w:r>
              <w:rPr>
                <w:rFonts w:ascii="Times New Roman" w:hAnsi="Times New Roman" w:cs="Times New Roman"/>
                <w:sz w:val="24"/>
                <w:szCs w:val="24"/>
              </w:rPr>
              <w:lastRenderedPageBreak/>
              <w:t>Parameters</w:t>
            </w:r>
          </w:p>
        </w:tc>
        <w:tc>
          <w:tcPr>
            <w:tcW w:w="1843" w:type="dxa"/>
            <w:vMerge w:val="restart"/>
          </w:tcPr>
          <w:p w14:paraId="34938D76" w14:textId="77777777" w:rsidR="00B2699B" w:rsidRDefault="00D44AF2">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sz w:val="24"/>
                <w:szCs w:val="24"/>
              </w:rPr>
              <w:t>Treatment groups</w:t>
            </w:r>
          </w:p>
        </w:tc>
        <w:tc>
          <w:tcPr>
            <w:tcW w:w="4819" w:type="dxa"/>
            <w:gridSpan w:val="2"/>
          </w:tcPr>
          <w:p w14:paraId="1BA6A66F" w14:textId="77777777" w:rsidR="00B2699B" w:rsidRDefault="00D44AF2">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sz w:val="24"/>
                <w:szCs w:val="24"/>
              </w:rPr>
              <w:t>Mean ± SE</w:t>
            </w:r>
          </w:p>
        </w:tc>
      </w:tr>
      <w:tr w:rsidR="00B2699B" w14:paraId="3A06CAB3"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127" w:type="dxa"/>
            <w:vMerge/>
            <w:tcBorders>
              <w:top w:val="single" w:sz="4" w:space="0" w:color="7F7F7F" w:themeColor="text1" w:themeTint="80"/>
              <w:bottom w:val="single" w:sz="4" w:space="0" w:color="7F7F7F" w:themeColor="text1" w:themeTint="80"/>
            </w:tcBorders>
          </w:tcPr>
          <w:p w14:paraId="6BB1B4C9" w14:textId="77777777" w:rsidR="00B2699B" w:rsidRDefault="00B2699B">
            <w:pPr>
              <w:spacing w:before="60" w:after="60" w:line="360" w:lineRule="auto"/>
              <w:ind w:right="-28"/>
              <w:jc w:val="center"/>
              <w:rPr>
                <w:rFonts w:ascii="Times New Roman" w:hAnsi="Times New Roman" w:cs="Times New Roman"/>
                <w:bCs w:val="0"/>
                <w:sz w:val="24"/>
                <w:szCs w:val="24"/>
              </w:rPr>
            </w:pPr>
          </w:p>
        </w:tc>
        <w:tc>
          <w:tcPr>
            <w:tcW w:w="1843" w:type="dxa"/>
            <w:vMerge/>
            <w:tcBorders>
              <w:top w:val="single" w:sz="4" w:space="0" w:color="7F7F7F" w:themeColor="text1" w:themeTint="80"/>
              <w:bottom w:val="single" w:sz="4" w:space="0" w:color="7F7F7F" w:themeColor="text1" w:themeTint="80"/>
            </w:tcBorders>
          </w:tcPr>
          <w:p w14:paraId="1B716255" w14:textId="77777777" w:rsidR="00B2699B" w:rsidRDefault="00B2699B">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404" w:type="dxa"/>
            <w:tcBorders>
              <w:top w:val="single" w:sz="4" w:space="0" w:color="7F7F7F" w:themeColor="text1" w:themeTint="80"/>
              <w:bottom w:val="single" w:sz="4" w:space="0" w:color="7F7F7F" w:themeColor="text1" w:themeTint="80"/>
            </w:tcBorders>
          </w:tcPr>
          <w:p w14:paraId="67D60C27"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2415" w:type="dxa"/>
            <w:tcBorders>
              <w:top w:val="single" w:sz="4" w:space="0" w:color="7F7F7F" w:themeColor="text1" w:themeTint="80"/>
              <w:bottom w:val="single" w:sz="4" w:space="0" w:color="7F7F7F" w:themeColor="text1" w:themeTint="80"/>
            </w:tcBorders>
          </w:tcPr>
          <w:p w14:paraId="199D13A1"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B2699B" w14:paraId="3BBC9ACE"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319B0C3F"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Temperature(˚F)</w:t>
            </w:r>
          </w:p>
          <w:p w14:paraId="243190D9"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1843" w:type="dxa"/>
          </w:tcPr>
          <w:p w14:paraId="1C8EA502"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404" w:type="dxa"/>
          </w:tcPr>
          <w:p w14:paraId="275CFED7"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102.78</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±0.14</w:t>
            </w:r>
          </w:p>
        </w:tc>
        <w:tc>
          <w:tcPr>
            <w:tcW w:w="2415" w:type="dxa"/>
          </w:tcPr>
          <w:p w14:paraId="35A95207"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101.41</w:t>
            </w:r>
            <w:r>
              <w:rPr>
                <w:rFonts w:ascii="Times New Roman" w:hAnsi="Times New Roman" w:cs="Times New Roman"/>
                <w:sz w:val="24"/>
                <w:szCs w:val="24"/>
                <w:vertAlign w:val="superscript"/>
              </w:rPr>
              <w:t xml:space="preserve"> B</w:t>
            </w:r>
            <w:r>
              <w:rPr>
                <w:rFonts w:ascii="Times New Roman" w:hAnsi="Times New Roman" w:cs="Times New Roman"/>
                <w:sz w:val="24"/>
                <w:szCs w:val="24"/>
              </w:rPr>
              <w:t xml:space="preserve"> ±0.28</w:t>
            </w:r>
          </w:p>
        </w:tc>
      </w:tr>
      <w:tr w:rsidR="00B2699B" w14:paraId="0E23F2AE"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127" w:type="dxa"/>
            <w:vMerge/>
            <w:tcBorders>
              <w:top w:val="single" w:sz="4" w:space="0" w:color="7F7F7F" w:themeColor="text1" w:themeTint="80"/>
              <w:bottom w:val="single" w:sz="4" w:space="0" w:color="7F7F7F" w:themeColor="text1" w:themeTint="80"/>
            </w:tcBorders>
          </w:tcPr>
          <w:p w14:paraId="4D8B9685"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1843" w:type="dxa"/>
            <w:tcBorders>
              <w:top w:val="single" w:sz="4" w:space="0" w:color="7F7F7F" w:themeColor="text1" w:themeTint="80"/>
              <w:bottom w:val="single" w:sz="4" w:space="0" w:color="7F7F7F" w:themeColor="text1" w:themeTint="80"/>
            </w:tcBorders>
          </w:tcPr>
          <w:p w14:paraId="7F1A434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404" w:type="dxa"/>
            <w:tcBorders>
              <w:top w:val="single" w:sz="4" w:space="0" w:color="7F7F7F" w:themeColor="text1" w:themeTint="80"/>
              <w:bottom w:val="single" w:sz="4" w:space="0" w:color="7F7F7F" w:themeColor="text1" w:themeTint="80"/>
            </w:tcBorders>
          </w:tcPr>
          <w:p w14:paraId="2D95031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102.45</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±0.37</w:t>
            </w:r>
          </w:p>
        </w:tc>
        <w:tc>
          <w:tcPr>
            <w:tcW w:w="2415" w:type="dxa"/>
            <w:tcBorders>
              <w:top w:val="single" w:sz="4" w:space="0" w:color="7F7F7F" w:themeColor="text1" w:themeTint="80"/>
              <w:bottom w:val="single" w:sz="4" w:space="0" w:color="7F7F7F" w:themeColor="text1" w:themeTint="80"/>
            </w:tcBorders>
          </w:tcPr>
          <w:p w14:paraId="48A5726F"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101.8</w:t>
            </w:r>
            <w:r>
              <w:rPr>
                <w:rFonts w:ascii="Times New Roman" w:hAnsi="Times New Roman" w:cs="Times New Roman"/>
                <w:sz w:val="24"/>
                <w:szCs w:val="24"/>
                <w:vertAlign w:val="superscript"/>
              </w:rPr>
              <w:t xml:space="preserve"> B</w:t>
            </w:r>
            <w:r>
              <w:rPr>
                <w:rFonts w:ascii="Times New Roman" w:hAnsi="Times New Roman" w:cs="Times New Roman"/>
                <w:sz w:val="24"/>
                <w:szCs w:val="24"/>
              </w:rPr>
              <w:t xml:space="preserve"> ±0.27</w:t>
            </w:r>
          </w:p>
        </w:tc>
      </w:tr>
      <w:tr w:rsidR="00B2699B" w14:paraId="26E36736"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1421B556"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1843" w:type="dxa"/>
          </w:tcPr>
          <w:p w14:paraId="6C365997"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404" w:type="dxa"/>
          </w:tcPr>
          <w:p w14:paraId="7C17DC47"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102.36</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±0.11</w:t>
            </w:r>
          </w:p>
        </w:tc>
        <w:tc>
          <w:tcPr>
            <w:tcW w:w="2415" w:type="dxa"/>
          </w:tcPr>
          <w:p w14:paraId="3A6A9BAF"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102.25</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±0.27</w:t>
            </w:r>
          </w:p>
        </w:tc>
      </w:tr>
      <w:tr w:rsidR="00B2699B" w14:paraId="30070D0B"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7F7F7F" w:themeColor="text1" w:themeTint="80"/>
              <w:bottom w:val="single" w:sz="4" w:space="0" w:color="7F7F7F" w:themeColor="text1" w:themeTint="80"/>
            </w:tcBorders>
          </w:tcPr>
          <w:p w14:paraId="7CFB45E6"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Heart rate (beats/min)</w:t>
            </w:r>
          </w:p>
        </w:tc>
        <w:tc>
          <w:tcPr>
            <w:tcW w:w="1843" w:type="dxa"/>
            <w:tcBorders>
              <w:top w:val="single" w:sz="4" w:space="0" w:color="7F7F7F" w:themeColor="text1" w:themeTint="80"/>
              <w:bottom w:val="single" w:sz="4" w:space="0" w:color="7F7F7F" w:themeColor="text1" w:themeTint="80"/>
            </w:tcBorders>
          </w:tcPr>
          <w:p w14:paraId="4EB58D1A"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404" w:type="dxa"/>
            <w:tcBorders>
              <w:top w:val="single" w:sz="4" w:space="0" w:color="7F7F7F" w:themeColor="text1" w:themeTint="80"/>
              <w:bottom w:val="single" w:sz="4" w:space="0" w:color="7F7F7F" w:themeColor="text1" w:themeTint="80"/>
            </w:tcBorders>
          </w:tcPr>
          <w:p w14:paraId="25F304B9"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135.50</w:t>
            </w:r>
            <w:r>
              <w:rPr>
                <w:rFonts w:ascii="Times New Roman" w:hAnsi="Times New Roman" w:cs="Times New Roman"/>
                <w:color w:val="000000"/>
                <w:sz w:val="24"/>
                <w:szCs w:val="24"/>
                <w:vertAlign w:val="superscript"/>
              </w:rPr>
              <w:t xml:space="preserve"> Ab</w:t>
            </w:r>
            <w:r>
              <w:rPr>
                <w:rFonts w:ascii="Times New Roman" w:hAnsi="Times New Roman" w:cs="Times New Roman"/>
                <w:color w:val="000000"/>
                <w:sz w:val="24"/>
                <w:szCs w:val="24"/>
              </w:rPr>
              <w:t xml:space="preserve"> ±7.21</w:t>
            </w:r>
            <w:r>
              <w:rPr>
                <w:rFonts w:ascii="Times New Roman" w:hAnsi="Times New Roman" w:cs="Times New Roman"/>
                <w:color w:val="000000"/>
                <w:sz w:val="24"/>
                <w:szCs w:val="24"/>
                <w:vertAlign w:val="superscript"/>
              </w:rPr>
              <w:t xml:space="preserve"> </w:t>
            </w:r>
          </w:p>
        </w:tc>
        <w:tc>
          <w:tcPr>
            <w:tcW w:w="2415" w:type="dxa"/>
            <w:tcBorders>
              <w:top w:val="single" w:sz="4" w:space="0" w:color="7F7F7F" w:themeColor="text1" w:themeTint="80"/>
              <w:bottom w:val="single" w:sz="4" w:space="0" w:color="7F7F7F" w:themeColor="text1" w:themeTint="80"/>
            </w:tcBorders>
          </w:tcPr>
          <w:p w14:paraId="770904B8"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104.16</w:t>
            </w:r>
            <w:r>
              <w:rPr>
                <w:rFonts w:ascii="Times New Roman" w:hAnsi="Times New Roman" w:cs="Times New Roman"/>
                <w:color w:val="000000"/>
                <w:sz w:val="24"/>
                <w:szCs w:val="24"/>
                <w:vertAlign w:val="superscript"/>
              </w:rPr>
              <w:t xml:space="preserve"> Ba</w:t>
            </w:r>
            <w:r>
              <w:rPr>
                <w:rFonts w:ascii="Times New Roman" w:hAnsi="Times New Roman" w:cs="Times New Roman"/>
                <w:color w:val="000000"/>
                <w:sz w:val="24"/>
                <w:szCs w:val="24"/>
              </w:rPr>
              <w:t xml:space="preserve"> ±6.13</w:t>
            </w:r>
          </w:p>
        </w:tc>
      </w:tr>
      <w:tr w:rsidR="00B2699B" w14:paraId="79C80AFF"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198C1EC3"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1843" w:type="dxa"/>
          </w:tcPr>
          <w:p w14:paraId="2F84E86C"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404" w:type="dxa"/>
          </w:tcPr>
          <w:p w14:paraId="18D538F3"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134.55</w:t>
            </w:r>
            <w:r>
              <w:rPr>
                <w:rFonts w:ascii="Times New Roman" w:hAnsi="Times New Roman" w:cs="Times New Roman"/>
                <w:color w:val="000000"/>
                <w:sz w:val="24"/>
                <w:szCs w:val="24"/>
                <w:vertAlign w:val="superscript"/>
              </w:rPr>
              <w:t xml:space="preserve"> Ab</w:t>
            </w:r>
            <w:r>
              <w:rPr>
                <w:rFonts w:ascii="Times New Roman" w:hAnsi="Times New Roman" w:cs="Times New Roman"/>
                <w:color w:val="000000"/>
                <w:sz w:val="24"/>
                <w:szCs w:val="24"/>
              </w:rPr>
              <w:t xml:space="preserve"> ±6.48</w:t>
            </w:r>
            <w:r>
              <w:rPr>
                <w:rFonts w:ascii="Times New Roman" w:hAnsi="Times New Roman" w:cs="Times New Roman"/>
                <w:color w:val="000000"/>
                <w:sz w:val="24"/>
                <w:szCs w:val="24"/>
                <w:vertAlign w:val="superscript"/>
              </w:rPr>
              <w:t xml:space="preserve"> </w:t>
            </w:r>
          </w:p>
        </w:tc>
        <w:tc>
          <w:tcPr>
            <w:tcW w:w="2415" w:type="dxa"/>
          </w:tcPr>
          <w:p w14:paraId="46F68138"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117.16</w:t>
            </w:r>
            <w:r>
              <w:rPr>
                <w:rFonts w:ascii="Times New Roman" w:hAnsi="Times New Roman" w:cs="Times New Roman"/>
                <w:color w:val="000000"/>
                <w:sz w:val="24"/>
                <w:szCs w:val="24"/>
                <w:vertAlign w:val="superscript"/>
              </w:rPr>
              <w:t xml:space="preserve"> Ba</w:t>
            </w:r>
            <w:r>
              <w:rPr>
                <w:rFonts w:ascii="Times New Roman" w:hAnsi="Times New Roman" w:cs="Times New Roman"/>
                <w:color w:val="000000"/>
                <w:sz w:val="24"/>
                <w:szCs w:val="24"/>
              </w:rPr>
              <w:t xml:space="preserve"> ±4.19</w:t>
            </w:r>
          </w:p>
        </w:tc>
      </w:tr>
      <w:tr w:rsidR="00B2699B" w14:paraId="68D5D021"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127" w:type="dxa"/>
            <w:vMerge/>
            <w:tcBorders>
              <w:top w:val="single" w:sz="4" w:space="0" w:color="7F7F7F" w:themeColor="text1" w:themeTint="80"/>
              <w:bottom w:val="single" w:sz="4" w:space="0" w:color="7F7F7F" w:themeColor="text1" w:themeTint="80"/>
            </w:tcBorders>
          </w:tcPr>
          <w:p w14:paraId="0A5AC7AF"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1843" w:type="dxa"/>
            <w:tcBorders>
              <w:top w:val="single" w:sz="4" w:space="0" w:color="7F7F7F" w:themeColor="text1" w:themeTint="80"/>
              <w:bottom w:val="single" w:sz="4" w:space="0" w:color="7F7F7F" w:themeColor="text1" w:themeTint="80"/>
            </w:tcBorders>
          </w:tcPr>
          <w:p w14:paraId="57AB3F8B"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404" w:type="dxa"/>
            <w:tcBorders>
              <w:top w:val="single" w:sz="4" w:space="0" w:color="7F7F7F" w:themeColor="text1" w:themeTint="80"/>
              <w:bottom w:val="single" w:sz="4" w:space="0" w:color="7F7F7F" w:themeColor="text1" w:themeTint="80"/>
            </w:tcBorders>
          </w:tcPr>
          <w:p w14:paraId="5FB18F76"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112.0</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±2.12</w:t>
            </w:r>
          </w:p>
        </w:tc>
        <w:tc>
          <w:tcPr>
            <w:tcW w:w="2415" w:type="dxa"/>
            <w:tcBorders>
              <w:top w:val="single" w:sz="4" w:space="0" w:color="7F7F7F" w:themeColor="text1" w:themeTint="80"/>
              <w:bottom w:val="single" w:sz="4" w:space="0" w:color="7F7F7F" w:themeColor="text1" w:themeTint="80"/>
            </w:tcBorders>
          </w:tcPr>
          <w:p w14:paraId="39D98526"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112.67</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±2.51</w:t>
            </w:r>
          </w:p>
        </w:tc>
      </w:tr>
      <w:tr w:rsidR="00B2699B" w14:paraId="78627408"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6D9E6D35"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Respiration rate (breath/min)</w:t>
            </w:r>
          </w:p>
        </w:tc>
        <w:tc>
          <w:tcPr>
            <w:tcW w:w="1843" w:type="dxa"/>
          </w:tcPr>
          <w:p w14:paraId="71D087A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404" w:type="dxa"/>
          </w:tcPr>
          <w:p w14:paraId="67F2211C"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28.67</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±1.68</w:t>
            </w:r>
          </w:p>
        </w:tc>
        <w:tc>
          <w:tcPr>
            <w:tcW w:w="2415" w:type="dxa"/>
          </w:tcPr>
          <w:p w14:paraId="4EED1599"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23.67</w:t>
            </w:r>
            <w:r>
              <w:rPr>
                <w:rFonts w:ascii="Times New Roman" w:hAnsi="Times New Roman" w:cs="Times New Roman"/>
                <w:sz w:val="24"/>
                <w:szCs w:val="24"/>
                <w:vertAlign w:val="superscript"/>
              </w:rPr>
              <w:t xml:space="preserve"> B</w:t>
            </w:r>
            <w:r>
              <w:rPr>
                <w:rFonts w:ascii="Times New Roman" w:hAnsi="Times New Roman" w:cs="Times New Roman"/>
                <w:sz w:val="24"/>
                <w:szCs w:val="24"/>
              </w:rPr>
              <w:t xml:space="preserve"> ±1.81</w:t>
            </w:r>
          </w:p>
        </w:tc>
      </w:tr>
      <w:tr w:rsidR="00B2699B" w14:paraId="420B2D95"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127" w:type="dxa"/>
            <w:vMerge/>
            <w:tcBorders>
              <w:top w:val="single" w:sz="4" w:space="0" w:color="7F7F7F" w:themeColor="text1" w:themeTint="80"/>
              <w:bottom w:val="single" w:sz="4" w:space="0" w:color="7F7F7F" w:themeColor="text1" w:themeTint="80"/>
            </w:tcBorders>
          </w:tcPr>
          <w:p w14:paraId="740A54DC"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1843" w:type="dxa"/>
            <w:tcBorders>
              <w:top w:val="single" w:sz="4" w:space="0" w:color="7F7F7F" w:themeColor="text1" w:themeTint="80"/>
              <w:bottom w:val="single" w:sz="4" w:space="0" w:color="7F7F7F" w:themeColor="text1" w:themeTint="80"/>
            </w:tcBorders>
          </w:tcPr>
          <w:p w14:paraId="4B6662CC"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404" w:type="dxa"/>
            <w:tcBorders>
              <w:top w:val="single" w:sz="4" w:space="0" w:color="7F7F7F" w:themeColor="text1" w:themeTint="80"/>
              <w:bottom w:val="single" w:sz="4" w:space="0" w:color="7F7F7F" w:themeColor="text1" w:themeTint="80"/>
            </w:tcBorders>
          </w:tcPr>
          <w:p w14:paraId="31E91516"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31.83</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±2.13</w:t>
            </w:r>
          </w:p>
        </w:tc>
        <w:tc>
          <w:tcPr>
            <w:tcW w:w="2415" w:type="dxa"/>
            <w:tcBorders>
              <w:top w:val="single" w:sz="4" w:space="0" w:color="7F7F7F" w:themeColor="text1" w:themeTint="80"/>
              <w:bottom w:val="single" w:sz="4" w:space="0" w:color="7F7F7F" w:themeColor="text1" w:themeTint="80"/>
            </w:tcBorders>
          </w:tcPr>
          <w:p w14:paraId="55DAB2D3"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25.00</w:t>
            </w:r>
            <w:r>
              <w:rPr>
                <w:rFonts w:ascii="Times New Roman" w:hAnsi="Times New Roman" w:cs="Times New Roman"/>
                <w:sz w:val="24"/>
                <w:szCs w:val="24"/>
                <w:vertAlign w:val="superscript"/>
              </w:rPr>
              <w:t xml:space="preserve"> B</w:t>
            </w:r>
            <w:r>
              <w:rPr>
                <w:rFonts w:ascii="Times New Roman" w:hAnsi="Times New Roman" w:cs="Times New Roman"/>
                <w:sz w:val="24"/>
                <w:szCs w:val="24"/>
              </w:rPr>
              <w:t xml:space="preserve"> ±1.52</w:t>
            </w:r>
          </w:p>
        </w:tc>
      </w:tr>
      <w:tr w:rsidR="00B2699B" w14:paraId="79C219CE"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41E07A4E"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1843" w:type="dxa"/>
          </w:tcPr>
          <w:p w14:paraId="5BC0DF9F"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404" w:type="dxa"/>
          </w:tcPr>
          <w:p w14:paraId="114FB613"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27.17</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±1.42</w:t>
            </w:r>
          </w:p>
        </w:tc>
        <w:tc>
          <w:tcPr>
            <w:tcW w:w="2415" w:type="dxa"/>
          </w:tcPr>
          <w:p w14:paraId="3A08AC2D"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27.00</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±1.67</w:t>
            </w:r>
          </w:p>
        </w:tc>
      </w:tr>
    </w:tbl>
    <w:p w14:paraId="2664DD69" w14:textId="77777777" w:rsidR="00B2699B" w:rsidRDefault="00D44AF2">
      <w:pPr>
        <w:spacing w:after="120" w:line="360" w:lineRule="auto"/>
        <w:ind w:right="-28"/>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 Mean values with different superscript between groups (lowercase) and between intervals (uppercase) differ   significantly (p&lt; 0.05)</w:t>
      </w:r>
    </w:p>
    <w:p w14:paraId="068EDC71"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Haematological Parameters</w:t>
      </w:r>
    </w:p>
    <w:p w14:paraId="31AB7F9E"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Haematological parameters such as haemoglobin, packed cell volume (PCV), total erythrocyte count (TEC) and total leukocyte count (TLC) in all 12 dogs were evaluated in dogs with systemic hypertension on day 0 (pre-treatment) and day 28 (post-treatment) and compared with apparently healthy controls. The mean haemoglobin, TEC and TLC values in both treatment groups (G1 and G2) were significantly higher than apparently healthy control group (G3) which were significantly improved on day 28 (post-treatment) in G2 compared to G1, indicating anaemia-associated alterations in hypertensive dogs (Table 03).</w:t>
      </w:r>
    </w:p>
    <w:p w14:paraId="1B4B9C74"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findings are consistent with reports by McGrotty (2008), Lee and Hyun (2009), Priyanka (2010) and Charitha </w:t>
      </w:r>
      <w:r>
        <w:rPr>
          <w:rFonts w:ascii="Times New Roman" w:hAnsi="Times New Roman" w:cs="Times New Roman"/>
          <w:i/>
          <w:iCs/>
          <w:sz w:val="24"/>
          <w:szCs w:val="24"/>
        </w:rPr>
        <w:t>et al</w:t>
      </w:r>
      <w:r>
        <w:rPr>
          <w:rFonts w:ascii="Times New Roman" w:hAnsi="Times New Roman" w:cs="Times New Roman"/>
          <w:sz w:val="24"/>
          <w:szCs w:val="24"/>
        </w:rPr>
        <w:t xml:space="preserve">. (2023). The observed changes may be attributed to impaired erythropoietin production due to loss </w:t>
      </w:r>
      <w:proofErr w:type="spellStart"/>
      <w:r>
        <w:rPr>
          <w:rFonts w:ascii="Times New Roman" w:hAnsi="Times New Roman" w:cs="Times New Roman"/>
          <w:sz w:val="24"/>
          <w:szCs w:val="24"/>
        </w:rPr>
        <w:t>otf</w:t>
      </w:r>
      <w:proofErr w:type="spellEnd"/>
      <w:r>
        <w:rPr>
          <w:rFonts w:ascii="Times New Roman" w:hAnsi="Times New Roman" w:cs="Times New Roman"/>
          <w:sz w:val="24"/>
          <w:szCs w:val="24"/>
        </w:rPr>
        <w:t xml:space="preserve"> functional renal parenchyma, reduced erythrocyte lifespan, suppressed bone marrow erythropoiesis and chronic occult blood loss. The elevated TLC at presentation likely reflects systemic inflammation and concurrent secondary disease conditions, especially renal and endocrine disorders, as reported by Beeston </w:t>
      </w:r>
      <w:r>
        <w:rPr>
          <w:rFonts w:ascii="Times New Roman" w:hAnsi="Times New Roman" w:cs="Times New Roman"/>
          <w:i/>
          <w:iCs/>
          <w:sz w:val="24"/>
          <w:szCs w:val="24"/>
        </w:rPr>
        <w:t>et al</w:t>
      </w:r>
      <w:r>
        <w:rPr>
          <w:rFonts w:ascii="Times New Roman" w:hAnsi="Times New Roman" w:cs="Times New Roman"/>
          <w:sz w:val="24"/>
          <w:szCs w:val="24"/>
        </w:rPr>
        <w:t xml:space="preserve">. (2022), Choi </w:t>
      </w:r>
      <w:r>
        <w:rPr>
          <w:rFonts w:ascii="Times New Roman" w:hAnsi="Times New Roman" w:cs="Times New Roman"/>
          <w:i/>
          <w:iCs/>
          <w:sz w:val="24"/>
          <w:szCs w:val="24"/>
        </w:rPr>
        <w:t>et al</w:t>
      </w:r>
      <w:r>
        <w:rPr>
          <w:rFonts w:ascii="Times New Roman" w:hAnsi="Times New Roman" w:cs="Times New Roman"/>
          <w:sz w:val="24"/>
          <w:szCs w:val="24"/>
        </w:rPr>
        <w:t xml:space="preserve">. (2022) and Sangwan </w:t>
      </w:r>
      <w:r>
        <w:rPr>
          <w:rFonts w:ascii="Times New Roman" w:hAnsi="Times New Roman" w:cs="Times New Roman"/>
          <w:i/>
          <w:iCs/>
          <w:sz w:val="24"/>
          <w:szCs w:val="24"/>
        </w:rPr>
        <w:t>et al</w:t>
      </w:r>
      <w:r>
        <w:rPr>
          <w:rFonts w:ascii="Times New Roman" w:hAnsi="Times New Roman" w:cs="Times New Roman"/>
          <w:sz w:val="24"/>
          <w:szCs w:val="24"/>
        </w:rPr>
        <w:t xml:space="preserve">. (2024). In contrast, Jose </w:t>
      </w:r>
      <w:r>
        <w:rPr>
          <w:rFonts w:ascii="Times New Roman" w:hAnsi="Times New Roman" w:cs="Times New Roman"/>
          <w:i/>
          <w:iCs/>
          <w:sz w:val="24"/>
          <w:szCs w:val="24"/>
        </w:rPr>
        <w:t>et al</w:t>
      </w:r>
      <w:r>
        <w:rPr>
          <w:rFonts w:ascii="Times New Roman" w:hAnsi="Times New Roman" w:cs="Times New Roman"/>
          <w:sz w:val="24"/>
          <w:szCs w:val="24"/>
        </w:rPr>
        <w:t xml:space="preserve">. (2020) observed minimal haematological changes apart from thrombocytosis. These changes may be </w:t>
      </w:r>
      <w:r>
        <w:rPr>
          <w:rFonts w:ascii="Times New Roman" w:hAnsi="Times New Roman" w:cs="Times New Roman"/>
          <w:sz w:val="24"/>
          <w:szCs w:val="24"/>
        </w:rPr>
        <w:lastRenderedPageBreak/>
        <w:t>attributed to improvement in systemic inflammation, renal perfusion and erythropoietic activity, underscoring the close interplay between systemic hypertension, renal dysfunction and haematological alterations.</w:t>
      </w:r>
    </w:p>
    <w:p w14:paraId="3EBDCFA1" w14:textId="77777777" w:rsidR="00B2699B" w:rsidRDefault="00D44AF2">
      <w:pPr>
        <w:spacing w:after="120" w:line="360" w:lineRule="auto"/>
        <w:ind w:left="993" w:right="-28" w:hanging="1029"/>
        <w:jc w:val="both"/>
        <w:rPr>
          <w:rFonts w:ascii="Times New Roman" w:hAnsi="Times New Roman" w:cs="Times New Roman"/>
          <w:sz w:val="24"/>
          <w:szCs w:val="24"/>
        </w:rPr>
      </w:pPr>
      <w:r>
        <w:rPr>
          <w:rFonts w:ascii="Times New Roman" w:hAnsi="Times New Roman" w:cs="Times New Roman"/>
          <w:b/>
          <w:bCs/>
          <w:sz w:val="24"/>
          <w:szCs w:val="24"/>
        </w:rPr>
        <w:t>Table 03: Mean value of haematological parameters of dogs with hypertension in different treatment groups at different intervals</w:t>
      </w:r>
    </w:p>
    <w:tbl>
      <w:tblPr>
        <w:tblStyle w:val="PlainTable21"/>
        <w:tblW w:w="9067" w:type="dxa"/>
        <w:tblLayout w:type="fixed"/>
        <w:tblLook w:val="04A0" w:firstRow="1" w:lastRow="0" w:firstColumn="1" w:lastColumn="0" w:noHBand="0" w:noVBand="1"/>
      </w:tblPr>
      <w:tblGrid>
        <w:gridCol w:w="2841"/>
        <w:gridCol w:w="1549"/>
        <w:gridCol w:w="2268"/>
        <w:gridCol w:w="2409"/>
      </w:tblGrid>
      <w:tr w:rsidR="00B2699B" w14:paraId="5C6344B1" w14:textId="77777777" w:rsidTr="00B2699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12D323E4" w14:textId="77777777" w:rsidR="00B2699B" w:rsidRDefault="00D44AF2">
            <w:pPr>
              <w:spacing w:before="60" w:after="60" w:line="360" w:lineRule="auto"/>
              <w:jc w:val="center"/>
              <w:rPr>
                <w:rFonts w:ascii="Times New Roman" w:hAnsi="Times New Roman" w:cs="Times New Roman"/>
                <w:bCs w:val="0"/>
                <w:sz w:val="24"/>
                <w:szCs w:val="24"/>
              </w:rPr>
            </w:pPr>
            <w:r>
              <w:rPr>
                <w:rFonts w:ascii="Times New Roman" w:hAnsi="Times New Roman" w:cs="Times New Roman"/>
                <w:sz w:val="24"/>
                <w:szCs w:val="24"/>
              </w:rPr>
              <w:t>Parameters</w:t>
            </w:r>
          </w:p>
        </w:tc>
        <w:tc>
          <w:tcPr>
            <w:tcW w:w="1549" w:type="dxa"/>
            <w:vMerge w:val="restart"/>
          </w:tcPr>
          <w:p w14:paraId="4914917B" w14:textId="77777777" w:rsidR="00B2699B" w:rsidRDefault="00D44AF2">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sz w:val="24"/>
                <w:szCs w:val="24"/>
              </w:rPr>
              <w:t>Treatment Groups</w:t>
            </w:r>
          </w:p>
        </w:tc>
        <w:tc>
          <w:tcPr>
            <w:tcW w:w="4677" w:type="dxa"/>
            <w:gridSpan w:val="2"/>
          </w:tcPr>
          <w:p w14:paraId="351E099B" w14:textId="77777777" w:rsidR="00B2699B" w:rsidRDefault="00D44AF2">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sz w:val="24"/>
                <w:szCs w:val="24"/>
              </w:rPr>
              <w:t>Mean ± SE</w:t>
            </w:r>
          </w:p>
        </w:tc>
      </w:tr>
      <w:tr w:rsidR="00B2699B" w14:paraId="63940BE0"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tcBorders>
              <w:top w:val="single" w:sz="4" w:space="0" w:color="7F7F7F" w:themeColor="text1" w:themeTint="80"/>
              <w:bottom w:val="single" w:sz="4" w:space="0" w:color="7F7F7F" w:themeColor="text1" w:themeTint="80"/>
            </w:tcBorders>
          </w:tcPr>
          <w:p w14:paraId="674F1BC8" w14:textId="77777777" w:rsidR="00B2699B" w:rsidRDefault="00B2699B">
            <w:pPr>
              <w:spacing w:before="60" w:after="60" w:line="360" w:lineRule="auto"/>
              <w:jc w:val="center"/>
              <w:rPr>
                <w:rFonts w:ascii="Times New Roman" w:hAnsi="Times New Roman" w:cs="Times New Roman"/>
                <w:bCs w:val="0"/>
                <w:sz w:val="24"/>
                <w:szCs w:val="24"/>
              </w:rPr>
            </w:pPr>
          </w:p>
        </w:tc>
        <w:tc>
          <w:tcPr>
            <w:tcW w:w="1549" w:type="dxa"/>
            <w:vMerge/>
            <w:tcBorders>
              <w:top w:val="single" w:sz="4" w:space="0" w:color="7F7F7F" w:themeColor="text1" w:themeTint="80"/>
              <w:bottom w:val="single" w:sz="4" w:space="0" w:color="7F7F7F" w:themeColor="text1" w:themeTint="80"/>
            </w:tcBorders>
          </w:tcPr>
          <w:p w14:paraId="60E9AD8F" w14:textId="77777777" w:rsidR="00B2699B" w:rsidRDefault="00B2699B">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268" w:type="dxa"/>
            <w:tcBorders>
              <w:top w:val="single" w:sz="4" w:space="0" w:color="7F7F7F" w:themeColor="text1" w:themeTint="80"/>
              <w:bottom w:val="single" w:sz="4" w:space="0" w:color="7F7F7F" w:themeColor="text1" w:themeTint="80"/>
            </w:tcBorders>
          </w:tcPr>
          <w:p w14:paraId="7FB421FC"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2409" w:type="dxa"/>
            <w:tcBorders>
              <w:top w:val="single" w:sz="4" w:space="0" w:color="7F7F7F" w:themeColor="text1" w:themeTint="80"/>
              <w:bottom w:val="single" w:sz="4" w:space="0" w:color="7F7F7F" w:themeColor="text1" w:themeTint="80"/>
            </w:tcBorders>
          </w:tcPr>
          <w:p w14:paraId="3C88B4FC"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B2699B" w14:paraId="6A9C88A2"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41987288" w14:textId="77777777" w:rsidR="00B2699B" w:rsidRDefault="00D44AF2">
            <w:pPr>
              <w:spacing w:before="60" w:after="60" w:line="360" w:lineRule="auto"/>
              <w:rPr>
                <w:rFonts w:ascii="Times New Roman" w:hAnsi="Times New Roman" w:cs="Times New Roman"/>
                <w:b w:val="0"/>
                <w:bCs w:val="0"/>
                <w:sz w:val="24"/>
                <w:szCs w:val="24"/>
              </w:rPr>
            </w:pPr>
            <w:r>
              <w:rPr>
                <w:rFonts w:ascii="Times New Roman" w:hAnsi="Times New Roman" w:cs="Times New Roman"/>
                <w:sz w:val="24"/>
                <w:szCs w:val="24"/>
              </w:rPr>
              <w:t>Haemoglobin (g/dL)</w:t>
            </w:r>
          </w:p>
        </w:tc>
        <w:tc>
          <w:tcPr>
            <w:tcW w:w="1549" w:type="dxa"/>
          </w:tcPr>
          <w:p w14:paraId="106EA34D"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268" w:type="dxa"/>
          </w:tcPr>
          <w:p w14:paraId="7F7B76EB"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09.35</w:t>
            </w:r>
            <w:r>
              <w:rPr>
                <w:rFonts w:ascii="Times New Roman" w:hAnsi="Times New Roman" w:cs="Times New Roman"/>
                <w:sz w:val="24"/>
                <w:szCs w:val="24"/>
                <w:vertAlign w:val="superscript"/>
              </w:rPr>
              <w:t xml:space="preserve"> Bb</w:t>
            </w:r>
            <w:r>
              <w:rPr>
                <w:rFonts w:ascii="Times New Roman" w:hAnsi="Times New Roman" w:cs="Times New Roman"/>
                <w:sz w:val="24"/>
                <w:szCs w:val="24"/>
              </w:rPr>
              <w:t xml:space="preserve"> ± 0.07</w:t>
            </w:r>
          </w:p>
        </w:tc>
        <w:tc>
          <w:tcPr>
            <w:tcW w:w="2409" w:type="dxa"/>
          </w:tcPr>
          <w:p w14:paraId="3E8E0D2F"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12.18</w:t>
            </w:r>
            <w:r>
              <w:rPr>
                <w:rFonts w:ascii="Times New Roman" w:hAnsi="Times New Roman" w:cs="Times New Roman"/>
                <w:sz w:val="24"/>
                <w:szCs w:val="24"/>
                <w:vertAlign w:val="superscript"/>
              </w:rPr>
              <w:t xml:space="preserve"> Ab</w:t>
            </w:r>
            <w:r>
              <w:rPr>
                <w:rFonts w:ascii="Times New Roman" w:hAnsi="Times New Roman" w:cs="Times New Roman"/>
                <w:sz w:val="24"/>
                <w:szCs w:val="24"/>
              </w:rPr>
              <w:t xml:space="preserve"> ± 0.94</w:t>
            </w:r>
          </w:p>
        </w:tc>
      </w:tr>
      <w:tr w:rsidR="00B2699B" w14:paraId="01EBC536"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tcBorders>
              <w:top w:val="single" w:sz="4" w:space="0" w:color="7F7F7F" w:themeColor="text1" w:themeTint="80"/>
              <w:bottom w:val="single" w:sz="4" w:space="0" w:color="7F7F7F" w:themeColor="text1" w:themeTint="80"/>
            </w:tcBorders>
          </w:tcPr>
          <w:p w14:paraId="12329069" w14:textId="77777777" w:rsidR="00B2699B" w:rsidRDefault="00B2699B">
            <w:pPr>
              <w:spacing w:before="60" w:after="60" w:line="360" w:lineRule="auto"/>
              <w:rPr>
                <w:rFonts w:ascii="Times New Roman" w:hAnsi="Times New Roman" w:cs="Times New Roman"/>
                <w:b w:val="0"/>
                <w:bCs w:val="0"/>
                <w:sz w:val="24"/>
                <w:szCs w:val="24"/>
              </w:rPr>
            </w:pPr>
          </w:p>
        </w:tc>
        <w:tc>
          <w:tcPr>
            <w:tcW w:w="1549" w:type="dxa"/>
            <w:tcBorders>
              <w:top w:val="single" w:sz="4" w:space="0" w:color="7F7F7F" w:themeColor="text1" w:themeTint="80"/>
              <w:bottom w:val="single" w:sz="4" w:space="0" w:color="7F7F7F" w:themeColor="text1" w:themeTint="80"/>
            </w:tcBorders>
          </w:tcPr>
          <w:p w14:paraId="38DAD2A7"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268" w:type="dxa"/>
            <w:tcBorders>
              <w:top w:val="single" w:sz="4" w:space="0" w:color="7F7F7F" w:themeColor="text1" w:themeTint="80"/>
              <w:bottom w:val="single" w:sz="4" w:space="0" w:color="7F7F7F" w:themeColor="text1" w:themeTint="80"/>
            </w:tcBorders>
          </w:tcPr>
          <w:p w14:paraId="3DD02796"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09.40</w:t>
            </w:r>
            <w:r>
              <w:rPr>
                <w:rFonts w:ascii="Times New Roman" w:hAnsi="Times New Roman" w:cs="Times New Roman"/>
                <w:sz w:val="24"/>
                <w:szCs w:val="24"/>
                <w:vertAlign w:val="superscript"/>
              </w:rPr>
              <w:t xml:space="preserve"> Bb</w:t>
            </w:r>
            <w:r>
              <w:rPr>
                <w:rFonts w:ascii="Times New Roman" w:hAnsi="Times New Roman" w:cs="Times New Roman"/>
                <w:sz w:val="24"/>
                <w:szCs w:val="24"/>
              </w:rPr>
              <w:t xml:space="preserve"> ± 0.05</w:t>
            </w:r>
          </w:p>
        </w:tc>
        <w:tc>
          <w:tcPr>
            <w:tcW w:w="2409" w:type="dxa"/>
            <w:tcBorders>
              <w:top w:val="single" w:sz="4" w:space="0" w:color="7F7F7F" w:themeColor="text1" w:themeTint="80"/>
              <w:bottom w:val="single" w:sz="4" w:space="0" w:color="7F7F7F" w:themeColor="text1" w:themeTint="80"/>
            </w:tcBorders>
          </w:tcPr>
          <w:p w14:paraId="758B73F0"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12.78</w:t>
            </w:r>
            <w:r>
              <w:rPr>
                <w:rFonts w:ascii="Times New Roman" w:hAnsi="Times New Roman" w:cs="Times New Roman"/>
                <w:sz w:val="24"/>
                <w:szCs w:val="24"/>
                <w:vertAlign w:val="superscript"/>
              </w:rPr>
              <w:t xml:space="preserve"> Ab</w:t>
            </w:r>
            <w:r>
              <w:rPr>
                <w:rFonts w:ascii="Times New Roman" w:hAnsi="Times New Roman" w:cs="Times New Roman"/>
                <w:sz w:val="24"/>
                <w:szCs w:val="24"/>
              </w:rPr>
              <w:t xml:space="preserve"> ± 0.94</w:t>
            </w:r>
          </w:p>
        </w:tc>
      </w:tr>
      <w:tr w:rsidR="00B2699B" w14:paraId="18711B3E"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4CF96861" w14:textId="77777777" w:rsidR="00B2699B" w:rsidRDefault="00B2699B">
            <w:pPr>
              <w:spacing w:before="60" w:after="60" w:line="360" w:lineRule="auto"/>
              <w:rPr>
                <w:rFonts w:ascii="Times New Roman" w:hAnsi="Times New Roman" w:cs="Times New Roman"/>
                <w:b w:val="0"/>
                <w:bCs w:val="0"/>
                <w:sz w:val="24"/>
                <w:szCs w:val="24"/>
              </w:rPr>
            </w:pPr>
          </w:p>
        </w:tc>
        <w:tc>
          <w:tcPr>
            <w:tcW w:w="1549" w:type="dxa"/>
          </w:tcPr>
          <w:p w14:paraId="17264130"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268" w:type="dxa"/>
          </w:tcPr>
          <w:p w14:paraId="319F80CA"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13.05</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0.46</w:t>
            </w:r>
          </w:p>
        </w:tc>
        <w:tc>
          <w:tcPr>
            <w:tcW w:w="2409" w:type="dxa"/>
          </w:tcPr>
          <w:p w14:paraId="4F1CA19E"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13.22</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0.37</w:t>
            </w:r>
          </w:p>
        </w:tc>
      </w:tr>
      <w:tr w:rsidR="00B2699B" w14:paraId="2E31E9C2"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Borders>
              <w:top w:val="single" w:sz="4" w:space="0" w:color="7F7F7F" w:themeColor="text1" w:themeTint="80"/>
              <w:bottom w:val="single" w:sz="4" w:space="0" w:color="7F7F7F" w:themeColor="text1" w:themeTint="80"/>
            </w:tcBorders>
          </w:tcPr>
          <w:p w14:paraId="462EE221" w14:textId="77777777" w:rsidR="00B2699B" w:rsidRDefault="00D44AF2">
            <w:pPr>
              <w:spacing w:before="60" w:after="60" w:line="360" w:lineRule="auto"/>
              <w:rPr>
                <w:rFonts w:ascii="Times New Roman" w:hAnsi="Times New Roman" w:cs="Times New Roman"/>
                <w:b w:val="0"/>
                <w:bCs w:val="0"/>
                <w:sz w:val="24"/>
                <w:szCs w:val="24"/>
              </w:rPr>
            </w:pPr>
            <w:r>
              <w:rPr>
                <w:rFonts w:ascii="Times New Roman" w:hAnsi="Times New Roman" w:cs="Times New Roman"/>
                <w:sz w:val="24"/>
                <w:szCs w:val="24"/>
              </w:rPr>
              <w:t>TEC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/µL)</w:t>
            </w:r>
          </w:p>
        </w:tc>
        <w:tc>
          <w:tcPr>
            <w:tcW w:w="1549" w:type="dxa"/>
            <w:tcBorders>
              <w:top w:val="single" w:sz="4" w:space="0" w:color="7F7F7F" w:themeColor="text1" w:themeTint="80"/>
              <w:bottom w:val="single" w:sz="4" w:space="0" w:color="7F7F7F" w:themeColor="text1" w:themeTint="80"/>
            </w:tcBorders>
          </w:tcPr>
          <w:p w14:paraId="0FA5E635"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268" w:type="dxa"/>
            <w:tcBorders>
              <w:top w:val="single" w:sz="4" w:space="0" w:color="7F7F7F" w:themeColor="text1" w:themeTint="80"/>
              <w:bottom w:val="single" w:sz="4" w:space="0" w:color="7F7F7F" w:themeColor="text1" w:themeTint="80"/>
            </w:tcBorders>
          </w:tcPr>
          <w:p w14:paraId="6A7D270A"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04.46</w:t>
            </w:r>
            <w:r>
              <w:rPr>
                <w:rFonts w:ascii="Times New Roman" w:hAnsi="Times New Roman" w:cs="Times New Roman"/>
                <w:sz w:val="24"/>
                <w:szCs w:val="24"/>
                <w:vertAlign w:val="superscript"/>
              </w:rPr>
              <w:t xml:space="preserve"> Ab</w:t>
            </w:r>
            <w:r>
              <w:rPr>
                <w:rFonts w:ascii="Times New Roman" w:hAnsi="Times New Roman" w:cs="Times New Roman"/>
                <w:sz w:val="24"/>
                <w:szCs w:val="24"/>
              </w:rPr>
              <w:t xml:space="preserve"> ± 0.04</w:t>
            </w:r>
          </w:p>
        </w:tc>
        <w:tc>
          <w:tcPr>
            <w:tcW w:w="2409" w:type="dxa"/>
            <w:tcBorders>
              <w:top w:val="single" w:sz="4" w:space="0" w:color="7F7F7F" w:themeColor="text1" w:themeTint="80"/>
              <w:bottom w:val="single" w:sz="4" w:space="0" w:color="7F7F7F" w:themeColor="text1" w:themeTint="80"/>
            </w:tcBorders>
          </w:tcPr>
          <w:p w14:paraId="5E4F95C7"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05.81</w:t>
            </w:r>
            <w:r>
              <w:rPr>
                <w:rFonts w:ascii="Times New Roman" w:hAnsi="Times New Roman" w:cs="Times New Roman"/>
                <w:sz w:val="24"/>
                <w:szCs w:val="24"/>
                <w:vertAlign w:val="superscript"/>
              </w:rPr>
              <w:t xml:space="preserve"> Bb</w:t>
            </w:r>
            <w:r>
              <w:rPr>
                <w:rFonts w:ascii="Times New Roman" w:hAnsi="Times New Roman" w:cs="Times New Roman"/>
                <w:sz w:val="24"/>
                <w:szCs w:val="24"/>
              </w:rPr>
              <w:t xml:space="preserve"> ± 0.04</w:t>
            </w:r>
          </w:p>
        </w:tc>
      </w:tr>
      <w:tr w:rsidR="00B2699B" w14:paraId="4BCFABBE"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4BE1719F" w14:textId="77777777" w:rsidR="00B2699B" w:rsidRDefault="00B2699B">
            <w:pPr>
              <w:spacing w:before="60" w:after="60" w:line="360" w:lineRule="auto"/>
              <w:jc w:val="center"/>
              <w:rPr>
                <w:rFonts w:ascii="Times New Roman" w:hAnsi="Times New Roman" w:cs="Times New Roman"/>
                <w:b w:val="0"/>
                <w:bCs w:val="0"/>
                <w:sz w:val="24"/>
                <w:szCs w:val="24"/>
              </w:rPr>
            </w:pPr>
          </w:p>
        </w:tc>
        <w:tc>
          <w:tcPr>
            <w:tcW w:w="1549" w:type="dxa"/>
          </w:tcPr>
          <w:p w14:paraId="22D0B8CE"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268" w:type="dxa"/>
          </w:tcPr>
          <w:p w14:paraId="3C4E7AB9"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04.45</w:t>
            </w:r>
            <w:r>
              <w:rPr>
                <w:rFonts w:ascii="Times New Roman" w:hAnsi="Times New Roman" w:cs="Times New Roman"/>
                <w:sz w:val="24"/>
                <w:szCs w:val="24"/>
                <w:vertAlign w:val="superscript"/>
              </w:rPr>
              <w:t xml:space="preserve"> Ab</w:t>
            </w:r>
            <w:r>
              <w:rPr>
                <w:rFonts w:ascii="Times New Roman" w:hAnsi="Times New Roman" w:cs="Times New Roman"/>
                <w:sz w:val="24"/>
                <w:szCs w:val="24"/>
              </w:rPr>
              <w:t xml:space="preserve"> ± 0.04</w:t>
            </w:r>
          </w:p>
        </w:tc>
        <w:tc>
          <w:tcPr>
            <w:tcW w:w="2409" w:type="dxa"/>
          </w:tcPr>
          <w:p w14:paraId="29C6D46A"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06.21</w:t>
            </w:r>
            <w:r>
              <w:rPr>
                <w:rFonts w:ascii="Times New Roman" w:hAnsi="Times New Roman" w:cs="Times New Roman"/>
                <w:sz w:val="24"/>
                <w:szCs w:val="24"/>
                <w:vertAlign w:val="superscript"/>
              </w:rPr>
              <w:t xml:space="preserve"> Aab</w:t>
            </w:r>
            <w:r>
              <w:rPr>
                <w:rFonts w:ascii="Times New Roman" w:hAnsi="Times New Roman" w:cs="Times New Roman"/>
                <w:sz w:val="24"/>
                <w:szCs w:val="24"/>
              </w:rPr>
              <w:t xml:space="preserve"> ± 0.04</w:t>
            </w:r>
          </w:p>
        </w:tc>
      </w:tr>
      <w:tr w:rsidR="00B2699B" w14:paraId="0A2357EA"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tcBorders>
              <w:top w:val="single" w:sz="4" w:space="0" w:color="7F7F7F" w:themeColor="text1" w:themeTint="80"/>
              <w:bottom w:val="single" w:sz="4" w:space="0" w:color="7F7F7F" w:themeColor="text1" w:themeTint="80"/>
            </w:tcBorders>
          </w:tcPr>
          <w:p w14:paraId="78FC6B91" w14:textId="77777777" w:rsidR="00B2699B" w:rsidRDefault="00B2699B">
            <w:pPr>
              <w:spacing w:before="60" w:after="60" w:line="360" w:lineRule="auto"/>
              <w:jc w:val="center"/>
              <w:rPr>
                <w:rFonts w:ascii="Times New Roman" w:hAnsi="Times New Roman" w:cs="Times New Roman"/>
                <w:b w:val="0"/>
                <w:bCs w:val="0"/>
                <w:sz w:val="24"/>
                <w:szCs w:val="24"/>
              </w:rPr>
            </w:pPr>
          </w:p>
        </w:tc>
        <w:tc>
          <w:tcPr>
            <w:tcW w:w="1549" w:type="dxa"/>
            <w:tcBorders>
              <w:top w:val="single" w:sz="4" w:space="0" w:color="7F7F7F" w:themeColor="text1" w:themeTint="80"/>
              <w:bottom w:val="single" w:sz="4" w:space="0" w:color="7F7F7F" w:themeColor="text1" w:themeTint="80"/>
            </w:tcBorders>
          </w:tcPr>
          <w:p w14:paraId="06B787D3"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268" w:type="dxa"/>
            <w:tcBorders>
              <w:top w:val="single" w:sz="4" w:space="0" w:color="7F7F7F" w:themeColor="text1" w:themeTint="80"/>
              <w:bottom w:val="single" w:sz="4" w:space="0" w:color="7F7F7F" w:themeColor="text1" w:themeTint="80"/>
            </w:tcBorders>
          </w:tcPr>
          <w:p w14:paraId="49E25DBA"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06.60</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0.27</w:t>
            </w:r>
          </w:p>
        </w:tc>
        <w:tc>
          <w:tcPr>
            <w:tcW w:w="2409" w:type="dxa"/>
            <w:tcBorders>
              <w:top w:val="single" w:sz="4" w:space="0" w:color="7F7F7F" w:themeColor="text1" w:themeTint="80"/>
              <w:bottom w:val="single" w:sz="4" w:space="0" w:color="7F7F7F" w:themeColor="text1" w:themeTint="80"/>
            </w:tcBorders>
          </w:tcPr>
          <w:p w14:paraId="0C328BA1"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06.68</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0.28</w:t>
            </w:r>
          </w:p>
        </w:tc>
      </w:tr>
      <w:tr w:rsidR="00B2699B" w14:paraId="763C6792"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08F056DF" w14:textId="77777777" w:rsidR="00B2699B" w:rsidRDefault="00D44AF2">
            <w:pPr>
              <w:spacing w:before="60" w:after="60" w:line="360" w:lineRule="auto"/>
              <w:rPr>
                <w:rFonts w:ascii="Times New Roman" w:hAnsi="Times New Roman" w:cs="Times New Roman"/>
                <w:b w:val="0"/>
                <w:bCs w:val="0"/>
                <w:sz w:val="24"/>
                <w:szCs w:val="24"/>
              </w:rPr>
            </w:pPr>
            <w:r>
              <w:rPr>
                <w:rFonts w:ascii="Times New Roman" w:hAnsi="Times New Roman" w:cs="Times New Roman"/>
                <w:sz w:val="24"/>
                <w:szCs w:val="24"/>
              </w:rPr>
              <w:t>PCV (%)</w:t>
            </w:r>
          </w:p>
        </w:tc>
        <w:tc>
          <w:tcPr>
            <w:tcW w:w="1549" w:type="dxa"/>
          </w:tcPr>
          <w:p w14:paraId="07415898"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268" w:type="dxa"/>
          </w:tcPr>
          <w:p w14:paraId="70F07FCE"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29.73</w:t>
            </w:r>
            <w:r>
              <w:rPr>
                <w:rFonts w:ascii="Times New Roman" w:hAnsi="Times New Roman" w:cs="Times New Roman"/>
                <w:sz w:val="24"/>
                <w:szCs w:val="24"/>
                <w:vertAlign w:val="superscript"/>
              </w:rPr>
              <w:t xml:space="preserve"> Ab</w:t>
            </w:r>
            <w:r>
              <w:rPr>
                <w:rFonts w:ascii="Times New Roman" w:hAnsi="Times New Roman" w:cs="Times New Roman"/>
                <w:sz w:val="24"/>
                <w:szCs w:val="24"/>
              </w:rPr>
              <w:t xml:space="preserve"> ± 0.20</w:t>
            </w:r>
          </w:p>
        </w:tc>
        <w:tc>
          <w:tcPr>
            <w:tcW w:w="2409" w:type="dxa"/>
          </w:tcPr>
          <w:p w14:paraId="5563F1B4"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36.41</w:t>
            </w:r>
            <w:r>
              <w:rPr>
                <w:rFonts w:ascii="Times New Roman" w:hAnsi="Times New Roman" w:cs="Times New Roman"/>
                <w:sz w:val="24"/>
                <w:szCs w:val="24"/>
                <w:vertAlign w:val="superscript"/>
              </w:rPr>
              <w:t xml:space="preserve"> Bb</w:t>
            </w:r>
            <w:r>
              <w:rPr>
                <w:rFonts w:ascii="Times New Roman" w:hAnsi="Times New Roman" w:cs="Times New Roman"/>
                <w:sz w:val="24"/>
                <w:szCs w:val="24"/>
              </w:rPr>
              <w:t xml:space="preserve"> ± 0.23</w:t>
            </w:r>
          </w:p>
        </w:tc>
      </w:tr>
      <w:tr w:rsidR="00B2699B" w14:paraId="442BFC75"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tcBorders>
              <w:top w:val="single" w:sz="4" w:space="0" w:color="7F7F7F" w:themeColor="text1" w:themeTint="80"/>
              <w:bottom w:val="single" w:sz="4" w:space="0" w:color="7F7F7F" w:themeColor="text1" w:themeTint="80"/>
            </w:tcBorders>
          </w:tcPr>
          <w:p w14:paraId="065E3C6F" w14:textId="77777777" w:rsidR="00B2699B" w:rsidRDefault="00B2699B">
            <w:pPr>
              <w:spacing w:before="60" w:after="60" w:line="360" w:lineRule="auto"/>
              <w:rPr>
                <w:rFonts w:ascii="Times New Roman" w:hAnsi="Times New Roman" w:cs="Times New Roman"/>
                <w:b w:val="0"/>
                <w:bCs w:val="0"/>
                <w:sz w:val="24"/>
                <w:szCs w:val="24"/>
              </w:rPr>
            </w:pPr>
          </w:p>
        </w:tc>
        <w:tc>
          <w:tcPr>
            <w:tcW w:w="1549" w:type="dxa"/>
            <w:tcBorders>
              <w:top w:val="single" w:sz="4" w:space="0" w:color="7F7F7F" w:themeColor="text1" w:themeTint="80"/>
              <w:bottom w:val="single" w:sz="4" w:space="0" w:color="7F7F7F" w:themeColor="text1" w:themeTint="80"/>
            </w:tcBorders>
          </w:tcPr>
          <w:p w14:paraId="6841337B"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268" w:type="dxa"/>
            <w:tcBorders>
              <w:top w:val="single" w:sz="4" w:space="0" w:color="7F7F7F" w:themeColor="text1" w:themeTint="80"/>
              <w:bottom w:val="single" w:sz="4" w:space="0" w:color="7F7F7F" w:themeColor="text1" w:themeTint="80"/>
            </w:tcBorders>
          </w:tcPr>
          <w:p w14:paraId="2860E8A0"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29.76</w:t>
            </w:r>
            <w:r>
              <w:rPr>
                <w:rFonts w:ascii="Times New Roman" w:hAnsi="Times New Roman" w:cs="Times New Roman"/>
                <w:sz w:val="24"/>
                <w:szCs w:val="24"/>
                <w:vertAlign w:val="superscript"/>
              </w:rPr>
              <w:t xml:space="preserve"> Ab</w:t>
            </w:r>
            <w:r>
              <w:rPr>
                <w:rFonts w:ascii="Times New Roman" w:hAnsi="Times New Roman" w:cs="Times New Roman"/>
                <w:sz w:val="24"/>
                <w:szCs w:val="24"/>
              </w:rPr>
              <w:t xml:space="preserve"> ± 0.14</w:t>
            </w:r>
          </w:p>
        </w:tc>
        <w:tc>
          <w:tcPr>
            <w:tcW w:w="2409" w:type="dxa"/>
            <w:tcBorders>
              <w:top w:val="single" w:sz="4" w:space="0" w:color="7F7F7F" w:themeColor="text1" w:themeTint="80"/>
              <w:bottom w:val="single" w:sz="4" w:space="0" w:color="7F7F7F" w:themeColor="text1" w:themeTint="80"/>
            </w:tcBorders>
          </w:tcPr>
          <w:p w14:paraId="28C90E07"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39.95</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0.10</w:t>
            </w:r>
          </w:p>
        </w:tc>
      </w:tr>
      <w:tr w:rsidR="00B2699B" w14:paraId="7C71B681"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6680ED24" w14:textId="77777777" w:rsidR="00B2699B" w:rsidRDefault="00B2699B">
            <w:pPr>
              <w:spacing w:before="60" w:after="60" w:line="360" w:lineRule="auto"/>
              <w:rPr>
                <w:rFonts w:ascii="Times New Roman" w:hAnsi="Times New Roman" w:cs="Times New Roman"/>
                <w:b w:val="0"/>
                <w:bCs w:val="0"/>
                <w:sz w:val="24"/>
                <w:szCs w:val="24"/>
              </w:rPr>
            </w:pPr>
          </w:p>
        </w:tc>
        <w:tc>
          <w:tcPr>
            <w:tcW w:w="1549" w:type="dxa"/>
          </w:tcPr>
          <w:p w14:paraId="7B1679B5"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268" w:type="dxa"/>
          </w:tcPr>
          <w:p w14:paraId="284809B8"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39.56</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 0.98</w:t>
            </w:r>
          </w:p>
        </w:tc>
        <w:tc>
          <w:tcPr>
            <w:tcW w:w="2409" w:type="dxa"/>
          </w:tcPr>
          <w:p w14:paraId="6EA9A026"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41.63</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 0.10</w:t>
            </w:r>
          </w:p>
        </w:tc>
      </w:tr>
      <w:tr w:rsidR="00B2699B" w14:paraId="21033E66"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Borders>
              <w:top w:val="single" w:sz="4" w:space="0" w:color="7F7F7F" w:themeColor="text1" w:themeTint="80"/>
              <w:bottom w:val="single" w:sz="4" w:space="0" w:color="7F7F7F" w:themeColor="text1" w:themeTint="80"/>
            </w:tcBorders>
          </w:tcPr>
          <w:p w14:paraId="317377DD" w14:textId="77777777" w:rsidR="00B2699B" w:rsidRDefault="00D44AF2">
            <w:pPr>
              <w:spacing w:before="60" w:after="60" w:line="360" w:lineRule="auto"/>
              <w:rPr>
                <w:rFonts w:ascii="Times New Roman" w:hAnsi="Times New Roman" w:cs="Times New Roman"/>
                <w:b w:val="0"/>
                <w:bCs w:val="0"/>
                <w:sz w:val="24"/>
                <w:szCs w:val="24"/>
              </w:rPr>
            </w:pPr>
            <w:r>
              <w:rPr>
                <w:rFonts w:ascii="Times New Roman" w:hAnsi="Times New Roman" w:cs="Times New Roman"/>
                <w:sz w:val="24"/>
                <w:szCs w:val="24"/>
              </w:rPr>
              <w:t>TLC (×10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/µL)</w:t>
            </w:r>
          </w:p>
        </w:tc>
        <w:tc>
          <w:tcPr>
            <w:tcW w:w="1549" w:type="dxa"/>
            <w:tcBorders>
              <w:top w:val="single" w:sz="4" w:space="0" w:color="7F7F7F" w:themeColor="text1" w:themeTint="80"/>
              <w:bottom w:val="single" w:sz="4" w:space="0" w:color="7F7F7F" w:themeColor="text1" w:themeTint="80"/>
            </w:tcBorders>
          </w:tcPr>
          <w:p w14:paraId="35CA1CA6"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268" w:type="dxa"/>
            <w:tcBorders>
              <w:top w:val="single" w:sz="4" w:space="0" w:color="7F7F7F" w:themeColor="text1" w:themeTint="80"/>
              <w:bottom w:val="single" w:sz="4" w:space="0" w:color="7F7F7F" w:themeColor="text1" w:themeTint="80"/>
            </w:tcBorders>
          </w:tcPr>
          <w:p w14:paraId="25B9CB19"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18.30</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2.59</w:t>
            </w:r>
          </w:p>
        </w:tc>
        <w:tc>
          <w:tcPr>
            <w:tcW w:w="2409" w:type="dxa"/>
            <w:tcBorders>
              <w:top w:val="single" w:sz="4" w:space="0" w:color="7F7F7F" w:themeColor="text1" w:themeTint="80"/>
              <w:bottom w:val="single" w:sz="4" w:space="0" w:color="7F7F7F" w:themeColor="text1" w:themeTint="80"/>
            </w:tcBorders>
          </w:tcPr>
          <w:p w14:paraId="63B139CC"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10.21</w:t>
            </w:r>
            <w:r>
              <w:rPr>
                <w:rFonts w:ascii="Times New Roman" w:hAnsi="Times New Roman" w:cs="Times New Roman"/>
                <w:sz w:val="24"/>
                <w:szCs w:val="24"/>
                <w:vertAlign w:val="superscript"/>
              </w:rPr>
              <w:t xml:space="preserve"> Bb</w:t>
            </w:r>
            <w:r>
              <w:rPr>
                <w:rFonts w:ascii="Times New Roman" w:hAnsi="Times New Roman" w:cs="Times New Roman"/>
                <w:sz w:val="24"/>
                <w:szCs w:val="24"/>
              </w:rPr>
              <w:t xml:space="preserve"> ± 0.52</w:t>
            </w:r>
          </w:p>
        </w:tc>
      </w:tr>
      <w:tr w:rsidR="00B2699B" w14:paraId="769AA033"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147D8921" w14:textId="77777777" w:rsidR="00B2699B" w:rsidRDefault="00B2699B">
            <w:pPr>
              <w:spacing w:before="60" w:after="60" w:line="360" w:lineRule="auto"/>
              <w:jc w:val="center"/>
              <w:rPr>
                <w:rFonts w:ascii="Times New Roman" w:hAnsi="Times New Roman" w:cs="Times New Roman"/>
                <w:b w:val="0"/>
                <w:bCs w:val="0"/>
                <w:sz w:val="24"/>
                <w:szCs w:val="24"/>
              </w:rPr>
            </w:pPr>
          </w:p>
        </w:tc>
        <w:tc>
          <w:tcPr>
            <w:tcW w:w="1549" w:type="dxa"/>
          </w:tcPr>
          <w:p w14:paraId="2F0261B3"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268" w:type="dxa"/>
          </w:tcPr>
          <w:p w14:paraId="096AD809"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19.61</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2.43</w:t>
            </w:r>
          </w:p>
        </w:tc>
        <w:tc>
          <w:tcPr>
            <w:tcW w:w="2409" w:type="dxa"/>
          </w:tcPr>
          <w:p w14:paraId="62EE9A19"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09.28</w:t>
            </w:r>
            <w:r>
              <w:rPr>
                <w:rFonts w:ascii="Times New Roman" w:hAnsi="Times New Roman" w:cs="Times New Roman"/>
                <w:sz w:val="24"/>
                <w:szCs w:val="24"/>
                <w:vertAlign w:val="superscript"/>
              </w:rPr>
              <w:t xml:space="preserve"> Bb</w:t>
            </w:r>
            <w:r>
              <w:rPr>
                <w:rFonts w:ascii="Times New Roman" w:hAnsi="Times New Roman" w:cs="Times New Roman"/>
                <w:sz w:val="24"/>
                <w:szCs w:val="24"/>
              </w:rPr>
              <w:t xml:space="preserve"> ± 0.65</w:t>
            </w:r>
          </w:p>
        </w:tc>
      </w:tr>
      <w:tr w:rsidR="00B2699B" w14:paraId="58E6BB53"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2841" w:type="dxa"/>
            <w:vMerge/>
            <w:tcBorders>
              <w:top w:val="single" w:sz="4" w:space="0" w:color="7F7F7F" w:themeColor="text1" w:themeTint="80"/>
              <w:bottom w:val="single" w:sz="4" w:space="0" w:color="7F7F7F" w:themeColor="text1" w:themeTint="80"/>
            </w:tcBorders>
          </w:tcPr>
          <w:p w14:paraId="2500ACAE" w14:textId="77777777" w:rsidR="00B2699B" w:rsidRDefault="00B2699B">
            <w:pPr>
              <w:spacing w:before="60" w:after="60" w:line="360" w:lineRule="auto"/>
              <w:jc w:val="center"/>
              <w:rPr>
                <w:rFonts w:ascii="Times New Roman" w:hAnsi="Times New Roman" w:cs="Times New Roman"/>
                <w:b w:val="0"/>
                <w:bCs w:val="0"/>
                <w:sz w:val="24"/>
                <w:szCs w:val="24"/>
              </w:rPr>
            </w:pPr>
          </w:p>
        </w:tc>
        <w:tc>
          <w:tcPr>
            <w:tcW w:w="1549" w:type="dxa"/>
            <w:tcBorders>
              <w:top w:val="single" w:sz="4" w:space="0" w:color="7F7F7F" w:themeColor="text1" w:themeTint="80"/>
              <w:bottom w:val="single" w:sz="4" w:space="0" w:color="7F7F7F" w:themeColor="text1" w:themeTint="80"/>
            </w:tcBorders>
          </w:tcPr>
          <w:p w14:paraId="25ED5545"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268" w:type="dxa"/>
            <w:tcBorders>
              <w:top w:val="single" w:sz="4" w:space="0" w:color="7F7F7F" w:themeColor="text1" w:themeTint="80"/>
              <w:bottom w:val="single" w:sz="4" w:space="0" w:color="7F7F7F" w:themeColor="text1" w:themeTint="80"/>
            </w:tcBorders>
          </w:tcPr>
          <w:p w14:paraId="1CED0B8A"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13.39</w:t>
            </w:r>
            <w:r>
              <w:rPr>
                <w:rFonts w:ascii="Times New Roman" w:hAnsi="Times New Roman" w:cs="Times New Roman"/>
                <w:color w:val="000000"/>
                <w:sz w:val="24"/>
                <w:szCs w:val="24"/>
                <w:vertAlign w:val="superscript"/>
              </w:rPr>
              <w:t xml:space="preserve"> Ab</w:t>
            </w:r>
            <w:r>
              <w:rPr>
                <w:rFonts w:ascii="Times New Roman" w:hAnsi="Times New Roman" w:cs="Times New Roman"/>
                <w:color w:val="000000"/>
                <w:sz w:val="24"/>
                <w:szCs w:val="24"/>
              </w:rPr>
              <w:t xml:space="preserve"> ± 0.72</w:t>
            </w:r>
          </w:p>
        </w:tc>
        <w:tc>
          <w:tcPr>
            <w:tcW w:w="2409" w:type="dxa"/>
            <w:tcBorders>
              <w:top w:val="single" w:sz="4" w:space="0" w:color="7F7F7F" w:themeColor="text1" w:themeTint="80"/>
              <w:bottom w:val="single" w:sz="4" w:space="0" w:color="7F7F7F" w:themeColor="text1" w:themeTint="80"/>
            </w:tcBorders>
          </w:tcPr>
          <w:p w14:paraId="4CE06DF2" w14:textId="77777777" w:rsidR="00B2699B" w:rsidRDefault="00D44AF2">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13.17</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 0.78</w:t>
            </w:r>
          </w:p>
        </w:tc>
      </w:tr>
    </w:tbl>
    <w:p w14:paraId="26AD33E6" w14:textId="77777777" w:rsidR="00B2699B" w:rsidRDefault="00D44AF2">
      <w:pPr>
        <w:spacing w:after="120" w:line="360" w:lineRule="auto"/>
        <w:ind w:right="-28"/>
        <w:jc w:val="both"/>
        <w:rPr>
          <w:rFonts w:ascii="Times New Roman" w:hAnsi="Times New Roman" w:cs="Times New Roman"/>
          <w:sz w:val="20"/>
          <w:szCs w:val="24"/>
          <w:lang w:val="en-US"/>
        </w:rPr>
      </w:pPr>
      <w:r>
        <w:rPr>
          <w:rFonts w:ascii="Times New Roman" w:hAnsi="Times New Roman" w:cs="Times New Roman"/>
          <w:sz w:val="20"/>
          <w:szCs w:val="24"/>
          <w:lang w:val="en-US"/>
        </w:rPr>
        <w:t>Mean values with different superscript between groups (lowercase) and between intervals (uppercase) differ   significantly (p&lt; 0.05)</w:t>
      </w:r>
    </w:p>
    <w:p w14:paraId="5DACC2BD" w14:textId="77777777" w:rsidR="00B2699B" w:rsidRDefault="00D44AF2">
      <w:pPr>
        <w:spacing w:after="120" w:line="360" w:lineRule="auto"/>
        <w:ind w:right="-28"/>
        <w:jc w:val="both"/>
        <w:rPr>
          <w:rFonts w:ascii="Times New Roman" w:hAnsi="Times New Roman" w:cs="Times New Roman"/>
          <w:sz w:val="20"/>
          <w:szCs w:val="24"/>
          <w:lang w:val="en-US"/>
        </w:rPr>
      </w:pPr>
      <w:r>
        <w:rPr>
          <w:rFonts w:ascii="Times New Roman" w:hAnsi="Times New Roman" w:cs="Times New Roman"/>
          <w:b/>
          <w:bCs/>
          <w:sz w:val="24"/>
          <w:szCs w:val="24"/>
        </w:rPr>
        <w:t>Biochemical parameters</w:t>
      </w:r>
    </w:p>
    <w:p w14:paraId="47B7B1BD"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Serum biochemical parameters for hepatic biomarkers (alanine aminotransferase, total protein and albumin concentrations) were evaluated in dogs with systemic hypertension on day 0 (pre-treatment) and day 28 (post-treatment) and compared with apparently healthy controls.  The mean ALT values were significantly higher in both treatment groups (G1 and G2) while serum total protein and albumin concentrations were comparatively lower. Following antihypertensive therapy, a significant reduction in ALT activity was observed in both treatment </w:t>
      </w:r>
      <w:r>
        <w:rPr>
          <w:rFonts w:ascii="Times New Roman" w:hAnsi="Times New Roman" w:cs="Times New Roman"/>
          <w:sz w:val="24"/>
          <w:szCs w:val="24"/>
        </w:rPr>
        <w:lastRenderedPageBreak/>
        <w:t>groups on day 28, reduction was more pronounced in group G2. Concurrently, serum total protein and albumin concentrations showed a significant increase in both treatment groups, with maximum improvement recorded in group G2. Mean BUN and creatinine values were significantly higher in both treatment groups (G1 and G2) compared to the control group which were statistically significant reduced by day 28 (post-treatment). Blood glucose concentration and serum creatine kinase-MB (CK-MB) activity were evaluated on day 0 (pre-treatment) and day 28 (post-treatment) and compared with apparently healthy control dogs. However, the mean blood glucose levels and CK-MB showed a significant reduction in both treatment groups on day 28 (post-treatment) and the degree of improvement was comparatively higher in dogs of group G2 (Table 04).</w:t>
      </w:r>
    </w:p>
    <w:p w14:paraId="6D2A7AC5"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reduction in serum ALT activity following treatment in the present study is consistent with findings reported by Priyanka (2010) and Beeston </w:t>
      </w:r>
      <w:r>
        <w:rPr>
          <w:rFonts w:ascii="Times New Roman" w:hAnsi="Times New Roman" w:cs="Times New Roman"/>
          <w:i/>
          <w:iCs/>
          <w:sz w:val="24"/>
          <w:szCs w:val="24"/>
        </w:rPr>
        <w:t>et al</w:t>
      </w:r>
      <w:r>
        <w:rPr>
          <w:rFonts w:ascii="Times New Roman" w:hAnsi="Times New Roman" w:cs="Times New Roman"/>
          <w:sz w:val="24"/>
          <w:szCs w:val="24"/>
        </w:rPr>
        <w:t xml:space="preserve">. (2022), indicating reversible hepatocellular injury associated with systemic hypertension and renal involvement. Elevated ALT activity at presentation may reflect secondary hepatocellular damage due to reduced hepatic perfusion, hypoxic injury resulting from sustained vasoconstriction and multisystem involvement in hypertensive dogs, whereas the absence of significant ALT alterations reported by Jose </w:t>
      </w:r>
      <w:r>
        <w:rPr>
          <w:rFonts w:ascii="Times New Roman" w:hAnsi="Times New Roman" w:cs="Times New Roman"/>
          <w:i/>
          <w:iCs/>
          <w:sz w:val="24"/>
          <w:szCs w:val="24"/>
        </w:rPr>
        <w:t>et al</w:t>
      </w:r>
      <w:r>
        <w:rPr>
          <w:rFonts w:ascii="Times New Roman" w:hAnsi="Times New Roman" w:cs="Times New Roman"/>
          <w:sz w:val="24"/>
          <w:szCs w:val="24"/>
        </w:rPr>
        <w:t xml:space="preserve">. (2020) suggests variability based on disease severity. The decreased serum total protein and albumin concentrations observed are similar to earlier reports by Herring </w:t>
      </w:r>
      <w:r>
        <w:rPr>
          <w:rFonts w:ascii="Times New Roman" w:hAnsi="Times New Roman" w:cs="Times New Roman"/>
          <w:i/>
          <w:iCs/>
          <w:sz w:val="24"/>
          <w:szCs w:val="24"/>
        </w:rPr>
        <w:t>et al</w:t>
      </w:r>
      <w:r>
        <w:rPr>
          <w:rFonts w:ascii="Times New Roman" w:hAnsi="Times New Roman" w:cs="Times New Roman"/>
          <w:sz w:val="24"/>
          <w:szCs w:val="24"/>
        </w:rPr>
        <w:t xml:space="preserve">. (2014) and Cole </w:t>
      </w:r>
      <w:r>
        <w:rPr>
          <w:rFonts w:ascii="Times New Roman" w:hAnsi="Times New Roman" w:cs="Times New Roman"/>
          <w:i/>
          <w:iCs/>
          <w:sz w:val="24"/>
          <w:szCs w:val="24"/>
        </w:rPr>
        <w:t>et al</w:t>
      </w:r>
      <w:r>
        <w:rPr>
          <w:rFonts w:ascii="Times New Roman" w:hAnsi="Times New Roman" w:cs="Times New Roman"/>
          <w:sz w:val="24"/>
          <w:szCs w:val="24"/>
        </w:rPr>
        <w:t xml:space="preserve">. (2020), Lecavalier </w:t>
      </w:r>
      <w:r>
        <w:rPr>
          <w:rFonts w:ascii="Times New Roman" w:hAnsi="Times New Roman" w:cs="Times New Roman"/>
          <w:i/>
          <w:iCs/>
          <w:sz w:val="24"/>
          <w:szCs w:val="24"/>
        </w:rPr>
        <w:t>et al</w:t>
      </w:r>
      <w:r>
        <w:rPr>
          <w:rFonts w:ascii="Times New Roman" w:hAnsi="Times New Roman" w:cs="Times New Roman"/>
          <w:sz w:val="24"/>
          <w:szCs w:val="24"/>
        </w:rPr>
        <w:t xml:space="preserve">. (2021), due to proteinuria and impaired protein homeostasis secondary to glomerular damage, highlighting the role of RAAS-modulating antihypertensive treatment in reducing renal protein loss. </w:t>
      </w:r>
    </w:p>
    <w:p w14:paraId="11B4D2FA"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of the present study for mean BUN and creatinine </w:t>
      </w:r>
      <w:proofErr w:type="gramStart"/>
      <w:r>
        <w:rPr>
          <w:rFonts w:ascii="Times New Roman" w:hAnsi="Times New Roman" w:cs="Times New Roman"/>
          <w:sz w:val="24"/>
          <w:szCs w:val="24"/>
        </w:rPr>
        <w:t>are in agreement</w:t>
      </w:r>
      <w:proofErr w:type="gramEnd"/>
      <w:r>
        <w:rPr>
          <w:rFonts w:ascii="Times New Roman" w:hAnsi="Times New Roman" w:cs="Times New Roman"/>
          <w:sz w:val="24"/>
          <w:szCs w:val="24"/>
        </w:rPr>
        <w:t xml:space="preserve"> with earlier reports by McGrotty (2008), Lee and Hyun (2009), Priyanka (2010), Acierno </w:t>
      </w:r>
      <w:r>
        <w:rPr>
          <w:rFonts w:ascii="Times New Roman" w:hAnsi="Times New Roman" w:cs="Times New Roman"/>
          <w:i/>
          <w:iCs/>
          <w:sz w:val="24"/>
          <w:szCs w:val="24"/>
        </w:rPr>
        <w:t>et al</w:t>
      </w:r>
      <w:r>
        <w:rPr>
          <w:rFonts w:ascii="Times New Roman" w:hAnsi="Times New Roman" w:cs="Times New Roman"/>
          <w:sz w:val="24"/>
          <w:szCs w:val="24"/>
        </w:rPr>
        <w:t xml:space="preserve">. (2018), Devipriya </w:t>
      </w:r>
      <w:r>
        <w:rPr>
          <w:rFonts w:ascii="Times New Roman" w:hAnsi="Times New Roman" w:cs="Times New Roman"/>
          <w:i/>
          <w:iCs/>
          <w:sz w:val="24"/>
          <w:szCs w:val="24"/>
        </w:rPr>
        <w:t>et al</w:t>
      </w:r>
      <w:r>
        <w:rPr>
          <w:rFonts w:ascii="Times New Roman" w:hAnsi="Times New Roman" w:cs="Times New Roman"/>
          <w:sz w:val="24"/>
          <w:szCs w:val="24"/>
        </w:rPr>
        <w:t xml:space="preserve">. (2018), Beeston </w:t>
      </w:r>
      <w:r>
        <w:rPr>
          <w:rFonts w:ascii="Times New Roman" w:hAnsi="Times New Roman" w:cs="Times New Roman"/>
          <w:i/>
          <w:iCs/>
          <w:sz w:val="24"/>
          <w:szCs w:val="24"/>
        </w:rPr>
        <w:t>et al</w:t>
      </w:r>
      <w:r>
        <w:rPr>
          <w:rFonts w:ascii="Times New Roman" w:hAnsi="Times New Roman" w:cs="Times New Roman"/>
          <w:sz w:val="24"/>
          <w:szCs w:val="24"/>
        </w:rPr>
        <w:t xml:space="preserve">. (2022), Choi </w:t>
      </w:r>
      <w:r>
        <w:rPr>
          <w:rFonts w:ascii="Times New Roman" w:hAnsi="Times New Roman" w:cs="Times New Roman"/>
          <w:i/>
          <w:iCs/>
          <w:sz w:val="24"/>
          <w:szCs w:val="24"/>
        </w:rPr>
        <w:t>et al</w:t>
      </w:r>
      <w:r>
        <w:rPr>
          <w:rFonts w:ascii="Times New Roman" w:hAnsi="Times New Roman" w:cs="Times New Roman"/>
          <w:sz w:val="24"/>
          <w:szCs w:val="24"/>
        </w:rPr>
        <w:t xml:space="preserve">. (2022) and Ahmed </w:t>
      </w:r>
      <w:r>
        <w:rPr>
          <w:rFonts w:ascii="Times New Roman" w:hAnsi="Times New Roman" w:cs="Times New Roman"/>
          <w:i/>
          <w:iCs/>
          <w:sz w:val="24"/>
          <w:szCs w:val="24"/>
        </w:rPr>
        <w:t>et al</w:t>
      </w:r>
      <w:r>
        <w:rPr>
          <w:rFonts w:ascii="Times New Roman" w:hAnsi="Times New Roman" w:cs="Times New Roman"/>
          <w:sz w:val="24"/>
          <w:szCs w:val="24"/>
        </w:rPr>
        <w:t xml:space="preserve">. (2022). The increase in BUN observed at presentation may be due to reduced renal perfusion, haemoconcentration and decreased glomerular filtration rate, resulting in prerenal azotaemia in chronic kidney disease. Elevated creatinine concentrations reflect loss of functional renal parenchyma and impaired renal clearance capacity. In contrast, Leong </w:t>
      </w:r>
      <w:r>
        <w:rPr>
          <w:rFonts w:ascii="Times New Roman" w:hAnsi="Times New Roman" w:cs="Times New Roman"/>
          <w:i/>
          <w:iCs/>
          <w:sz w:val="24"/>
          <w:szCs w:val="24"/>
        </w:rPr>
        <w:t>et al</w:t>
      </w:r>
      <w:r>
        <w:rPr>
          <w:rFonts w:ascii="Times New Roman" w:hAnsi="Times New Roman" w:cs="Times New Roman"/>
          <w:sz w:val="24"/>
          <w:szCs w:val="24"/>
        </w:rPr>
        <w:t xml:space="preserve">. (2025) reported no significant alteration in serum creatinine concentration, emphasizing that systemic hypertension may occur at any stage of chronic kidney disease and that serum creatinine concentration does not always correlate directly with blood pressure levels. </w:t>
      </w:r>
    </w:p>
    <w:p w14:paraId="610E7A97"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findings of this study regarding blood glucose were consistent with those of Herring </w:t>
      </w:r>
      <w:r>
        <w:rPr>
          <w:rFonts w:ascii="Times New Roman" w:hAnsi="Times New Roman" w:cs="Times New Roman"/>
          <w:i/>
          <w:iCs/>
          <w:sz w:val="24"/>
          <w:szCs w:val="24"/>
        </w:rPr>
        <w:t>et al</w:t>
      </w:r>
      <w:r>
        <w:rPr>
          <w:rFonts w:ascii="Times New Roman" w:hAnsi="Times New Roman" w:cs="Times New Roman"/>
          <w:sz w:val="24"/>
          <w:szCs w:val="24"/>
        </w:rPr>
        <w:t xml:space="preserve">. (2014), Priyanka </w:t>
      </w:r>
      <w:r>
        <w:rPr>
          <w:rFonts w:ascii="Times New Roman" w:hAnsi="Times New Roman" w:cs="Times New Roman"/>
          <w:i/>
          <w:iCs/>
          <w:sz w:val="24"/>
          <w:szCs w:val="24"/>
        </w:rPr>
        <w:t>et al</w:t>
      </w:r>
      <w:r>
        <w:rPr>
          <w:rFonts w:ascii="Times New Roman" w:hAnsi="Times New Roman" w:cs="Times New Roman"/>
          <w:sz w:val="24"/>
          <w:szCs w:val="24"/>
        </w:rPr>
        <w:t xml:space="preserve">. (2010), Kour </w:t>
      </w:r>
      <w:r>
        <w:rPr>
          <w:rFonts w:ascii="Times New Roman" w:hAnsi="Times New Roman" w:cs="Times New Roman"/>
          <w:i/>
          <w:iCs/>
          <w:sz w:val="24"/>
          <w:szCs w:val="24"/>
        </w:rPr>
        <w:t>et al</w:t>
      </w:r>
      <w:r>
        <w:rPr>
          <w:rFonts w:ascii="Times New Roman" w:hAnsi="Times New Roman" w:cs="Times New Roman"/>
          <w:sz w:val="24"/>
          <w:szCs w:val="24"/>
        </w:rPr>
        <w:t xml:space="preserve">. (2020) and Charitha </w:t>
      </w:r>
      <w:r>
        <w:rPr>
          <w:rFonts w:ascii="Times New Roman" w:hAnsi="Times New Roman" w:cs="Times New Roman"/>
          <w:i/>
          <w:iCs/>
          <w:sz w:val="24"/>
          <w:szCs w:val="24"/>
        </w:rPr>
        <w:t>et al</w:t>
      </w:r>
      <w:r>
        <w:rPr>
          <w:rFonts w:ascii="Times New Roman" w:hAnsi="Times New Roman" w:cs="Times New Roman"/>
          <w:sz w:val="24"/>
          <w:szCs w:val="24"/>
        </w:rPr>
        <w:t xml:space="preserve">. (2023). This hyperglycaemic state may be associated with diabetes mellitus related hypertension or stress induced metabolic alterations commonly observed in chronically ill dogs, whereas the absence of significant changes reported by Jose </w:t>
      </w:r>
      <w:r>
        <w:rPr>
          <w:rFonts w:ascii="Times New Roman" w:hAnsi="Times New Roman" w:cs="Times New Roman"/>
          <w:i/>
          <w:iCs/>
          <w:sz w:val="24"/>
          <w:szCs w:val="24"/>
        </w:rPr>
        <w:t>et al</w:t>
      </w:r>
      <w:r>
        <w:rPr>
          <w:rFonts w:ascii="Times New Roman" w:hAnsi="Times New Roman" w:cs="Times New Roman"/>
          <w:sz w:val="24"/>
          <w:szCs w:val="24"/>
        </w:rPr>
        <w:t xml:space="preserve">. (2020) suggests that inter-study variability may be influenced by differences in concurrent metabolic disorders. In parallel, serum creatine kinase-MB (CK-MB) concentrations, corroborating findings of Priyanka (2010), Acierno </w:t>
      </w:r>
      <w:r>
        <w:rPr>
          <w:rFonts w:ascii="Times New Roman" w:hAnsi="Times New Roman" w:cs="Times New Roman"/>
          <w:i/>
          <w:iCs/>
          <w:sz w:val="24"/>
          <w:szCs w:val="24"/>
        </w:rPr>
        <w:t>et al</w:t>
      </w:r>
      <w:r>
        <w:rPr>
          <w:rFonts w:ascii="Times New Roman" w:hAnsi="Times New Roman" w:cs="Times New Roman"/>
          <w:sz w:val="24"/>
          <w:szCs w:val="24"/>
        </w:rPr>
        <w:t xml:space="preserve">. (2018), Beeston </w:t>
      </w:r>
      <w:r>
        <w:rPr>
          <w:rFonts w:ascii="Times New Roman" w:hAnsi="Times New Roman" w:cs="Times New Roman"/>
          <w:i/>
          <w:iCs/>
          <w:sz w:val="24"/>
          <w:szCs w:val="24"/>
        </w:rPr>
        <w:t>et al</w:t>
      </w:r>
      <w:r>
        <w:rPr>
          <w:rFonts w:ascii="Times New Roman" w:hAnsi="Times New Roman" w:cs="Times New Roman"/>
          <w:sz w:val="24"/>
          <w:szCs w:val="24"/>
        </w:rPr>
        <w:t xml:space="preserve">. (2022) and Tyagi </w:t>
      </w:r>
      <w:r>
        <w:rPr>
          <w:rFonts w:ascii="Times New Roman" w:hAnsi="Times New Roman" w:cs="Times New Roman"/>
          <w:i/>
          <w:iCs/>
          <w:sz w:val="24"/>
          <w:szCs w:val="24"/>
        </w:rPr>
        <w:t>et al</w:t>
      </w:r>
      <w:r>
        <w:rPr>
          <w:rFonts w:ascii="Times New Roman" w:hAnsi="Times New Roman" w:cs="Times New Roman"/>
          <w:sz w:val="24"/>
          <w:szCs w:val="24"/>
        </w:rPr>
        <w:t xml:space="preserve">. (2025) likely reflect subclinical myocardial injury secondary to sustained pressure overload, increased cardiac afterload and impaired myocardial perfusion, resulting in leakage of myocardial enzymes into circulation. </w:t>
      </w:r>
    </w:p>
    <w:p w14:paraId="0381CE6C" w14:textId="77777777" w:rsidR="00B2699B" w:rsidRDefault="00D44AF2">
      <w:pPr>
        <w:spacing w:after="120" w:line="360" w:lineRule="auto"/>
        <w:ind w:left="1170" w:right="-28" w:hanging="117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04:</w:t>
      </w:r>
      <w:r>
        <w:rPr>
          <w:rFonts w:ascii="Times New Roman" w:hAnsi="Times New Roman" w:cs="Times New Roman"/>
          <w:b/>
          <w:bCs/>
          <w:sz w:val="24"/>
          <w:szCs w:val="24"/>
          <w:lang w:val="en-US"/>
        </w:rPr>
        <w:tab/>
      </w:r>
      <w:r>
        <w:rPr>
          <w:rFonts w:ascii="Times New Roman" w:hAnsi="Times New Roman" w:cs="Times New Roman"/>
          <w:b/>
          <w:bCs/>
          <w:sz w:val="24"/>
          <w:szCs w:val="24"/>
        </w:rPr>
        <w:t>Mean values of biochemical parameters of dogs with hypertension in different treatment groups at different intervals</w:t>
      </w:r>
      <w:r>
        <w:rPr>
          <w:rFonts w:ascii="Times New Roman" w:hAnsi="Times New Roman" w:cs="Times New Roman"/>
          <w:b/>
          <w:bCs/>
          <w:sz w:val="24"/>
          <w:szCs w:val="24"/>
          <w:lang w:val="en-US"/>
        </w:rPr>
        <w:tab/>
      </w:r>
    </w:p>
    <w:tbl>
      <w:tblPr>
        <w:tblStyle w:val="PlainTable21"/>
        <w:tblW w:w="8618" w:type="dxa"/>
        <w:tblLook w:val="04A0" w:firstRow="1" w:lastRow="0" w:firstColumn="1" w:lastColumn="0" w:noHBand="0" w:noVBand="1"/>
      </w:tblPr>
      <w:tblGrid>
        <w:gridCol w:w="763"/>
        <w:gridCol w:w="2489"/>
        <w:gridCol w:w="1287"/>
        <w:gridCol w:w="2119"/>
        <w:gridCol w:w="1960"/>
      </w:tblGrid>
      <w:tr w:rsidR="00B2699B" w14:paraId="430530A4" w14:textId="77777777" w:rsidTr="00B2699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25D8B75D" w14:textId="77777777" w:rsidR="00B2699B" w:rsidRDefault="00D44AF2">
            <w:pPr>
              <w:spacing w:before="60" w:after="60" w:line="360" w:lineRule="auto"/>
              <w:ind w:right="-28"/>
              <w:jc w:val="center"/>
              <w:rPr>
                <w:rFonts w:ascii="Times New Roman" w:hAnsi="Times New Roman" w:cs="Times New Roman"/>
                <w:sz w:val="24"/>
                <w:szCs w:val="24"/>
              </w:rPr>
            </w:pPr>
            <w:proofErr w:type="spellStart"/>
            <w:r>
              <w:rPr>
                <w:rFonts w:ascii="Times New Roman" w:hAnsi="Times New Roman" w:cs="Times New Roman"/>
                <w:sz w:val="24"/>
                <w:szCs w:val="24"/>
              </w:rPr>
              <w:t>S.No</w:t>
            </w:r>
            <w:proofErr w:type="spellEnd"/>
            <w:r>
              <w:rPr>
                <w:rFonts w:ascii="Times New Roman" w:hAnsi="Times New Roman" w:cs="Times New Roman"/>
                <w:sz w:val="24"/>
                <w:szCs w:val="24"/>
              </w:rPr>
              <w:t>.</w:t>
            </w:r>
          </w:p>
        </w:tc>
        <w:tc>
          <w:tcPr>
            <w:tcW w:w="2489" w:type="dxa"/>
            <w:vMerge w:val="restart"/>
          </w:tcPr>
          <w:p w14:paraId="05FF321F" w14:textId="77777777" w:rsidR="00B2699B" w:rsidRDefault="00D44AF2">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Parameters</w:t>
            </w:r>
          </w:p>
        </w:tc>
        <w:tc>
          <w:tcPr>
            <w:tcW w:w="1287" w:type="dxa"/>
            <w:vMerge w:val="restart"/>
          </w:tcPr>
          <w:p w14:paraId="2A327FBE" w14:textId="77777777" w:rsidR="00B2699B" w:rsidRDefault="00D44AF2">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Treatment groups</w:t>
            </w:r>
          </w:p>
        </w:tc>
        <w:tc>
          <w:tcPr>
            <w:tcW w:w="4079" w:type="dxa"/>
            <w:gridSpan w:val="2"/>
          </w:tcPr>
          <w:p w14:paraId="6E5B6381" w14:textId="77777777" w:rsidR="00B2699B" w:rsidRDefault="00D44AF2">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Mean ± SE</w:t>
            </w:r>
          </w:p>
        </w:tc>
      </w:tr>
      <w:tr w:rsidR="00B2699B" w14:paraId="66BB9005"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Borders>
              <w:top w:val="single" w:sz="4" w:space="0" w:color="7F7F7F" w:themeColor="text1" w:themeTint="80"/>
              <w:bottom w:val="single" w:sz="4" w:space="0" w:color="7F7F7F" w:themeColor="text1" w:themeTint="80"/>
            </w:tcBorders>
          </w:tcPr>
          <w:p w14:paraId="3927E942" w14:textId="77777777" w:rsidR="00B2699B" w:rsidRDefault="00B2699B">
            <w:pPr>
              <w:spacing w:before="60" w:after="60" w:line="360" w:lineRule="auto"/>
              <w:ind w:right="-28"/>
              <w:jc w:val="center"/>
              <w:rPr>
                <w:rFonts w:ascii="Times New Roman" w:hAnsi="Times New Roman" w:cs="Times New Roman"/>
                <w:sz w:val="24"/>
                <w:szCs w:val="24"/>
              </w:rPr>
            </w:pPr>
          </w:p>
        </w:tc>
        <w:tc>
          <w:tcPr>
            <w:tcW w:w="2489" w:type="dxa"/>
            <w:vMerge/>
            <w:tcBorders>
              <w:top w:val="single" w:sz="4" w:space="0" w:color="7F7F7F" w:themeColor="text1" w:themeTint="80"/>
              <w:bottom w:val="single" w:sz="4" w:space="0" w:color="7F7F7F" w:themeColor="text1" w:themeTint="80"/>
            </w:tcBorders>
          </w:tcPr>
          <w:p w14:paraId="4B2C4F1C" w14:textId="77777777" w:rsidR="00B2699B" w:rsidRDefault="00B2699B">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287" w:type="dxa"/>
            <w:vMerge/>
            <w:tcBorders>
              <w:top w:val="single" w:sz="4" w:space="0" w:color="7F7F7F" w:themeColor="text1" w:themeTint="80"/>
              <w:bottom w:val="single" w:sz="4" w:space="0" w:color="7F7F7F" w:themeColor="text1" w:themeTint="80"/>
            </w:tcBorders>
          </w:tcPr>
          <w:p w14:paraId="7DE3BF9B" w14:textId="77777777" w:rsidR="00B2699B" w:rsidRDefault="00B2699B">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119" w:type="dxa"/>
            <w:tcBorders>
              <w:top w:val="single" w:sz="4" w:space="0" w:color="7F7F7F" w:themeColor="text1" w:themeTint="80"/>
              <w:bottom w:val="single" w:sz="4" w:space="0" w:color="7F7F7F" w:themeColor="text1" w:themeTint="80"/>
            </w:tcBorders>
          </w:tcPr>
          <w:p w14:paraId="253AA6BB"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Pre-treatment</w:t>
            </w:r>
          </w:p>
        </w:tc>
        <w:tc>
          <w:tcPr>
            <w:tcW w:w="1960" w:type="dxa"/>
            <w:tcBorders>
              <w:top w:val="single" w:sz="4" w:space="0" w:color="7F7F7F" w:themeColor="text1" w:themeTint="80"/>
              <w:bottom w:val="single" w:sz="4" w:space="0" w:color="7F7F7F" w:themeColor="text1" w:themeTint="80"/>
            </w:tcBorders>
          </w:tcPr>
          <w:p w14:paraId="561B0C81"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Post-treatment</w:t>
            </w:r>
          </w:p>
        </w:tc>
      </w:tr>
      <w:tr w:rsidR="00B2699B" w14:paraId="371B1ECA"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449103E1"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1.</w:t>
            </w:r>
          </w:p>
        </w:tc>
        <w:tc>
          <w:tcPr>
            <w:tcW w:w="2489" w:type="dxa"/>
            <w:vMerge w:val="restart"/>
          </w:tcPr>
          <w:p w14:paraId="0A4EB671" w14:textId="77777777" w:rsidR="00B2699B" w:rsidRDefault="00D44AF2">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Alanine Aminotransferase (U/L)</w:t>
            </w:r>
          </w:p>
        </w:tc>
        <w:tc>
          <w:tcPr>
            <w:tcW w:w="1287" w:type="dxa"/>
          </w:tcPr>
          <w:p w14:paraId="08B9CF84"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119" w:type="dxa"/>
          </w:tcPr>
          <w:p w14:paraId="5B5AB2D9"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104.19</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9.72</w:t>
            </w:r>
          </w:p>
        </w:tc>
        <w:tc>
          <w:tcPr>
            <w:tcW w:w="1960" w:type="dxa"/>
          </w:tcPr>
          <w:p w14:paraId="418C1C01"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60.330</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2.30</w:t>
            </w:r>
          </w:p>
        </w:tc>
      </w:tr>
      <w:tr w:rsidR="00B2699B" w14:paraId="78E63DAC"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Borders>
              <w:top w:val="single" w:sz="4" w:space="0" w:color="7F7F7F" w:themeColor="text1" w:themeTint="80"/>
              <w:bottom w:val="single" w:sz="4" w:space="0" w:color="7F7F7F" w:themeColor="text1" w:themeTint="80"/>
            </w:tcBorders>
          </w:tcPr>
          <w:p w14:paraId="26790FB7"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Borders>
              <w:top w:val="single" w:sz="4" w:space="0" w:color="7F7F7F" w:themeColor="text1" w:themeTint="80"/>
              <w:bottom w:val="single" w:sz="4" w:space="0" w:color="7F7F7F" w:themeColor="text1" w:themeTint="80"/>
            </w:tcBorders>
          </w:tcPr>
          <w:p w14:paraId="0D5C9B47"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34BDA452"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119" w:type="dxa"/>
            <w:tcBorders>
              <w:top w:val="single" w:sz="4" w:space="0" w:color="7F7F7F" w:themeColor="text1" w:themeTint="80"/>
              <w:bottom w:val="single" w:sz="4" w:space="0" w:color="7F7F7F" w:themeColor="text1" w:themeTint="80"/>
            </w:tcBorders>
          </w:tcPr>
          <w:p w14:paraId="6A55BA19"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106.48</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7.42</w:t>
            </w:r>
          </w:p>
        </w:tc>
        <w:tc>
          <w:tcPr>
            <w:tcW w:w="1960" w:type="dxa"/>
            <w:tcBorders>
              <w:top w:val="single" w:sz="4" w:space="0" w:color="7F7F7F" w:themeColor="text1" w:themeTint="80"/>
              <w:bottom w:val="single" w:sz="4" w:space="0" w:color="7F7F7F" w:themeColor="text1" w:themeTint="80"/>
            </w:tcBorders>
          </w:tcPr>
          <w:p w14:paraId="75D148E4"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52.36</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6.89</w:t>
            </w:r>
          </w:p>
        </w:tc>
      </w:tr>
      <w:tr w:rsidR="00B2699B" w14:paraId="32431531"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33D8F096"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Pr>
          <w:p w14:paraId="24928322"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23BD849F"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119" w:type="dxa"/>
          </w:tcPr>
          <w:p w14:paraId="3895965D"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51.88</w:t>
            </w:r>
            <w:r>
              <w:rPr>
                <w:rFonts w:ascii="Times New Roman" w:hAnsi="Times New Roman" w:cs="Times New Roman"/>
                <w:color w:val="000000"/>
                <w:sz w:val="24"/>
                <w:szCs w:val="24"/>
                <w:vertAlign w:val="superscript"/>
              </w:rPr>
              <w:t xml:space="preserve"> Ab</w:t>
            </w:r>
            <w:r>
              <w:rPr>
                <w:rFonts w:ascii="Times New Roman" w:hAnsi="Times New Roman" w:cs="Times New Roman"/>
                <w:color w:val="000000"/>
                <w:sz w:val="24"/>
                <w:szCs w:val="24"/>
              </w:rPr>
              <w:t xml:space="preserve"> ± 5.58</w:t>
            </w:r>
          </w:p>
        </w:tc>
        <w:tc>
          <w:tcPr>
            <w:tcW w:w="1960" w:type="dxa"/>
          </w:tcPr>
          <w:p w14:paraId="5DB63604"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51.88</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 5.58</w:t>
            </w:r>
          </w:p>
        </w:tc>
      </w:tr>
      <w:tr w:rsidR="00B2699B" w14:paraId="529AB09A"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Borders>
              <w:top w:val="single" w:sz="4" w:space="0" w:color="7F7F7F" w:themeColor="text1" w:themeTint="80"/>
              <w:bottom w:val="single" w:sz="4" w:space="0" w:color="7F7F7F" w:themeColor="text1" w:themeTint="80"/>
            </w:tcBorders>
          </w:tcPr>
          <w:p w14:paraId="5290B531"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2.</w:t>
            </w:r>
          </w:p>
        </w:tc>
        <w:tc>
          <w:tcPr>
            <w:tcW w:w="2489" w:type="dxa"/>
            <w:vMerge w:val="restart"/>
            <w:tcBorders>
              <w:top w:val="single" w:sz="4" w:space="0" w:color="7F7F7F" w:themeColor="text1" w:themeTint="80"/>
              <w:bottom w:val="single" w:sz="4" w:space="0" w:color="7F7F7F" w:themeColor="text1" w:themeTint="80"/>
            </w:tcBorders>
          </w:tcPr>
          <w:p w14:paraId="14840214" w14:textId="77777777" w:rsidR="00B2699B" w:rsidRDefault="00D44AF2">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protein (g/dL)</w:t>
            </w:r>
          </w:p>
        </w:tc>
        <w:tc>
          <w:tcPr>
            <w:tcW w:w="1287" w:type="dxa"/>
            <w:tcBorders>
              <w:top w:val="single" w:sz="4" w:space="0" w:color="7F7F7F" w:themeColor="text1" w:themeTint="80"/>
              <w:bottom w:val="single" w:sz="4" w:space="0" w:color="7F7F7F" w:themeColor="text1" w:themeTint="80"/>
            </w:tcBorders>
          </w:tcPr>
          <w:p w14:paraId="2750749C"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119" w:type="dxa"/>
            <w:tcBorders>
              <w:top w:val="single" w:sz="4" w:space="0" w:color="7F7F7F" w:themeColor="text1" w:themeTint="80"/>
              <w:bottom w:val="single" w:sz="4" w:space="0" w:color="7F7F7F" w:themeColor="text1" w:themeTint="80"/>
            </w:tcBorders>
          </w:tcPr>
          <w:p w14:paraId="5496591D"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06.23</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0.14</w:t>
            </w:r>
          </w:p>
        </w:tc>
        <w:tc>
          <w:tcPr>
            <w:tcW w:w="1960" w:type="dxa"/>
            <w:tcBorders>
              <w:top w:val="single" w:sz="4" w:space="0" w:color="7F7F7F" w:themeColor="text1" w:themeTint="80"/>
              <w:bottom w:val="single" w:sz="4" w:space="0" w:color="7F7F7F" w:themeColor="text1" w:themeTint="80"/>
            </w:tcBorders>
          </w:tcPr>
          <w:p w14:paraId="26E5A293"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06.94</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0.09</w:t>
            </w:r>
          </w:p>
        </w:tc>
      </w:tr>
      <w:tr w:rsidR="00B2699B" w14:paraId="5EC51B5E"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1375DD90"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Pr>
          <w:p w14:paraId="2BC19A15"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3D40D705"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119" w:type="dxa"/>
          </w:tcPr>
          <w:p w14:paraId="7B85A7EA"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05.95</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0.19</w:t>
            </w:r>
          </w:p>
        </w:tc>
        <w:tc>
          <w:tcPr>
            <w:tcW w:w="1960" w:type="dxa"/>
          </w:tcPr>
          <w:p w14:paraId="5187B8B0"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06.95</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0.08</w:t>
            </w:r>
          </w:p>
        </w:tc>
      </w:tr>
      <w:tr w:rsidR="00B2699B" w14:paraId="66468873"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Borders>
              <w:top w:val="single" w:sz="4" w:space="0" w:color="7F7F7F" w:themeColor="text1" w:themeTint="80"/>
              <w:bottom w:val="single" w:sz="4" w:space="0" w:color="7F7F7F" w:themeColor="text1" w:themeTint="80"/>
            </w:tcBorders>
          </w:tcPr>
          <w:p w14:paraId="4AB7C069"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Borders>
              <w:top w:val="single" w:sz="4" w:space="0" w:color="7F7F7F" w:themeColor="text1" w:themeTint="80"/>
              <w:bottom w:val="single" w:sz="4" w:space="0" w:color="7F7F7F" w:themeColor="text1" w:themeTint="80"/>
            </w:tcBorders>
          </w:tcPr>
          <w:p w14:paraId="065D5F21"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47172671"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119" w:type="dxa"/>
            <w:tcBorders>
              <w:top w:val="single" w:sz="4" w:space="0" w:color="7F7F7F" w:themeColor="text1" w:themeTint="80"/>
              <w:bottom w:val="single" w:sz="4" w:space="0" w:color="7F7F7F" w:themeColor="text1" w:themeTint="80"/>
            </w:tcBorders>
          </w:tcPr>
          <w:p w14:paraId="5E2A9265"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06.31</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 0.28</w:t>
            </w:r>
          </w:p>
        </w:tc>
        <w:tc>
          <w:tcPr>
            <w:tcW w:w="1960" w:type="dxa"/>
            <w:tcBorders>
              <w:top w:val="single" w:sz="4" w:space="0" w:color="7F7F7F" w:themeColor="text1" w:themeTint="80"/>
              <w:bottom w:val="single" w:sz="4" w:space="0" w:color="7F7F7F" w:themeColor="text1" w:themeTint="80"/>
            </w:tcBorders>
          </w:tcPr>
          <w:p w14:paraId="223F0243"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06.29</w:t>
            </w:r>
            <w:r>
              <w:rPr>
                <w:rFonts w:ascii="Times New Roman" w:hAnsi="Times New Roman" w:cs="Times New Roman"/>
                <w:color w:val="000000"/>
                <w:sz w:val="24"/>
                <w:szCs w:val="24"/>
                <w:vertAlign w:val="superscript"/>
              </w:rPr>
              <w:t xml:space="preserve"> Ab </w:t>
            </w:r>
            <w:r>
              <w:rPr>
                <w:rFonts w:ascii="Times New Roman" w:hAnsi="Times New Roman" w:cs="Times New Roman"/>
                <w:color w:val="000000"/>
                <w:sz w:val="24"/>
                <w:szCs w:val="24"/>
              </w:rPr>
              <w:t>± 0.27</w:t>
            </w:r>
          </w:p>
        </w:tc>
      </w:tr>
      <w:tr w:rsidR="00B2699B" w14:paraId="71A22DF1"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3AED81E3"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3.</w:t>
            </w:r>
          </w:p>
        </w:tc>
        <w:tc>
          <w:tcPr>
            <w:tcW w:w="2489" w:type="dxa"/>
            <w:vMerge w:val="restart"/>
          </w:tcPr>
          <w:p w14:paraId="449CC0B3" w14:textId="77777777" w:rsidR="00B2699B" w:rsidRDefault="00D44AF2">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Albumin (g/dL)</w:t>
            </w:r>
          </w:p>
        </w:tc>
        <w:tc>
          <w:tcPr>
            <w:tcW w:w="1287" w:type="dxa"/>
          </w:tcPr>
          <w:p w14:paraId="4C9967B2"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119" w:type="dxa"/>
          </w:tcPr>
          <w:p w14:paraId="342BFB3F"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02.64</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 0.35</w:t>
            </w:r>
          </w:p>
        </w:tc>
        <w:tc>
          <w:tcPr>
            <w:tcW w:w="1960" w:type="dxa"/>
          </w:tcPr>
          <w:p w14:paraId="165262BA"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02.93</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 0.13</w:t>
            </w:r>
          </w:p>
        </w:tc>
      </w:tr>
      <w:tr w:rsidR="00B2699B" w14:paraId="56062F36"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Borders>
              <w:top w:val="single" w:sz="4" w:space="0" w:color="7F7F7F" w:themeColor="text1" w:themeTint="80"/>
              <w:bottom w:val="single" w:sz="4" w:space="0" w:color="7F7F7F" w:themeColor="text1" w:themeTint="80"/>
            </w:tcBorders>
          </w:tcPr>
          <w:p w14:paraId="75C9757A"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Borders>
              <w:top w:val="single" w:sz="4" w:space="0" w:color="7F7F7F" w:themeColor="text1" w:themeTint="80"/>
              <w:bottom w:val="single" w:sz="4" w:space="0" w:color="7F7F7F" w:themeColor="text1" w:themeTint="80"/>
            </w:tcBorders>
          </w:tcPr>
          <w:p w14:paraId="4CACBE22"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1A06FF16"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119" w:type="dxa"/>
            <w:tcBorders>
              <w:top w:val="single" w:sz="4" w:space="0" w:color="7F7F7F" w:themeColor="text1" w:themeTint="80"/>
              <w:bottom w:val="single" w:sz="4" w:space="0" w:color="7F7F7F" w:themeColor="text1" w:themeTint="80"/>
            </w:tcBorders>
          </w:tcPr>
          <w:p w14:paraId="1974B594"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02.34</w:t>
            </w:r>
            <w:r>
              <w:rPr>
                <w:rFonts w:ascii="Times New Roman" w:hAnsi="Times New Roman" w:cs="Times New Roman"/>
                <w:sz w:val="24"/>
                <w:szCs w:val="24"/>
                <w:vertAlign w:val="superscript"/>
              </w:rPr>
              <w:t xml:space="preserve"> B</w:t>
            </w:r>
            <w:r>
              <w:rPr>
                <w:rFonts w:ascii="Times New Roman" w:hAnsi="Times New Roman" w:cs="Times New Roman"/>
                <w:sz w:val="24"/>
                <w:szCs w:val="24"/>
              </w:rPr>
              <w:t xml:space="preserve"> ± 0.22</w:t>
            </w:r>
          </w:p>
        </w:tc>
        <w:tc>
          <w:tcPr>
            <w:tcW w:w="1960" w:type="dxa"/>
            <w:tcBorders>
              <w:top w:val="single" w:sz="4" w:space="0" w:color="7F7F7F" w:themeColor="text1" w:themeTint="80"/>
              <w:bottom w:val="single" w:sz="4" w:space="0" w:color="7F7F7F" w:themeColor="text1" w:themeTint="80"/>
            </w:tcBorders>
          </w:tcPr>
          <w:p w14:paraId="2D66A64A"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03.01</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 0.28</w:t>
            </w:r>
          </w:p>
        </w:tc>
      </w:tr>
      <w:tr w:rsidR="00B2699B" w14:paraId="21BB1857"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464E0BA6"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Pr>
          <w:p w14:paraId="3B21C1C3"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1913233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119" w:type="dxa"/>
          </w:tcPr>
          <w:p w14:paraId="0E3BCD5B"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02.94</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 0.08</w:t>
            </w:r>
          </w:p>
        </w:tc>
        <w:tc>
          <w:tcPr>
            <w:tcW w:w="1960" w:type="dxa"/>
          </w:tcPr>
          <w:p w14:paraId="2741C8A5"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02.97</w:t>
            </w:r>
            <w:r>
              <w:rPr>
                <w:rFonts w:ascii="Times New Roman" w:hAnsi="Times New Roman" w:cs="Times New Roman"/>
                <w:sz w:val="24"/>
                <w:szCs w:val="24"/>
                <w:vertAlign w:val="superscript"/>
              </w:rPr>
              <w:t xml:space="preserve"> A</w:t>
            </w:r>
            <w:r>
              <w:rPr>
                <w:rFonts w:ascii="Times New Roman" w:hAnsi="Times New Roman" w:cs="Times New Roman"/>
                <w:sz w:val="24"/>
                <w:szCs w:val="24"/>
              </w:rPr>
              <w:t xml:space="preserve"> ± 0.15</w:t>
            </w:r>
          </w:p>
        </w:tc>
      </w:tr>
      <w:tr w:rsidR="00B2699B" w14:paraId="1D3F55B9"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Borders>
              <w:top w:val="single" w:sz="4" w:space="0" w:color="7F7F7F" w:themeColor="text1" w:themeTint="80"/>
              <w:bottom w:val="single" w:sz="4" w:space="0" w:color="7F7F7F" w:themeColor="text1" w:themeTint="80"/>
            </w:tcBorders>
          </w:tcPr>
          <w:p w14:paraId="21A19680"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4.</w:t>
            </w:r>
          </w:p>
        </w:tc>
        <w:tc>
          <w:tcPr>
            <w:tcW w:w="2489" w:type="dxa"/>
            <w:vMerge w:val="restart"/>
            <w:tcBorders>
              <w:top w:val="single" w:sz="4" w:space="0" w:color="7F7F7F" w:themeColor="text1" w:themeTint="80"/>
              <w:bottom w:val="single" w:sz="4" w:space="0" w:color="7F7F7F" w:themeColor="text1" w:themeTint="80"/>
            </w:tcBorders>
          </w:tcPr>
          <w:p w14:paraId="4F177E9F" w14:textId="77777777" w:rsidR="00B2699B" w:rsidRDefault="00D44AF2">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BUN (mg/dL)</w:t>
            </w:r>
          </w:p>
        </w:tc>
        <w:tc>
          <w:tcPr>
            <w:tcW w:w="1287" w:type="dxa"/>
            <w:tcBorders>
              <w:top w:val="single" w:sz="4" w:space="0" w:color="7F7F7F" w:themeColor="text1" w:themeTint="80"/>
              <w:bottom w:val="single" w:sz="4" w:space="0" w:color="7F7F7F" w:themeColor="text1" w:themeTint="80"/>
            </w:tcBorders>
          </w:tcPr>
          <w:p w14:paraId="53617699"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119" w:type="dxa"/>
            <w:tcBorders>
              <w:top w:val="single" w:sz="4" w:space="0" w:color="7F7F7F" w:themeColor="text1" w:themeTint="80"/>
              <w:bottom w:val="single" w:sz="4" w:space="0" w:color="7F7F7F" w:themeColor="text1" w:themeTint="80"/>
            </w:tcBorders>
          </w:tcPr>
          <w:p w14:paraId="5D0FA771"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42.97</w:t>
            </w:r>
            <w:r>
              <w:rPr>
                <w:rFonts w:ascii="Times New Roman" w:hAnsi="Times New Roman" w:cs="Times New Roman"/>
                <w:color w:val="000000"/>
                <w:sz w:val="24"/>
                <w:szCs w:val="24"/>
                <w:vertAlign w:val="superscript"/>
              </w:rPr>
              <w:t xml:space="preserve"> Aab</w:t>
            </w:r>
            <w:r>
              <w:rPr>
                <w:rFonts w:ascii="Times New Roman" w:hAnsi="Times New Roman" w:cs="Times New Roman"/>
                <w:color w:val="000000"/>
                <w:sz w:val="24"/>
                <w:szCs w:val="24"/>
              </w:rPr>
              <w:t xml:space="preserve"> ± 8.39</w:t>
            </w:r>
          </w:p>
        </w:tc>
        <w:tc>
          <w:tcPr>
            <w:tcW w:w="1960" w:type="dxa"/>
            <w:tcBorders>
              <w:top w:val="single" w:sz="4" w:space="0" w:color="7F7F7F" w:themeColor="text1" w:themeTint="80"/>
              <w:bottom w:val="single" w:sz="4" w:space="0" w:color="7F7F7F" w:themeColor="text1" w:themeTint="80"/>
            </w:tcBorders>
          </w:tcPr>
          <w:p w14:paraId="3C978E6A"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20.06</w:t>
            </w:r>
            <w:r>
              <w:rPr>
                <w:rFonts w:ascii="Times New Roman" w:hAnsi="Times New Roman" w:cs="Times New Roman"/>
                <w:color w:val="000000"/>
                <w:sz w:val="24"/>
                <w:szCs w:val="24"/>
                <w:vertAlign w:val="superscript"/>
              </w:rPr>
              <w:t xml:space="preserve"> Bb</w:t>
            </w:r>
            <w:r>
              <w:rPr>
                <w:rFonts w:ascii="Times New Roman" w:hAnsi="Times New Roman" w:cs="Times New Roman"/>
                <w:color w:val="000000"/>
                <w:sz w:val="24"/>
                <w:szCs w:val="24"/>
              </w:rPr>
              <w:t xml:space="preserve"> ± 1.26</w:t>
            </w:r>
          </w:p>
        </w:tc>
      </w:tr>
      <w:tr w:rsidR="00B2699B" w14:paraId="50CD3580"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21C84C30"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Pr>
          <w:p w14:paraId="1C1F86D6"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00847878"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119" w:type="dxa"/>
          </w:tcPr>
          <w:p w14:paraId="750E33F6"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44.74</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 6.59</w:t>
            </w:r>
          </w:p>
        </w:tc>
        <w:tc>
          <w:tcPr>
            <w:tcW w:w="1960" w:type="dxa"/>
          </w:tcPr>
          <w:p w14:paraId="3CEC5031"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29.90</w:t>
            </w:r>
            <w:r>
              <w:rPr>
                <w:rFonts w:ascii="Times New Roman" w:hAnsi="Times New Roman" w:cs="Times New Roman"/>
                <w:color w:val="000000"/>
                <w:sz w:val="24"/>
                <w:szCs w:val="24"/>
                <w:vertAlign w:val="superscript"/>
              </w:rPr>
              <w:t xml:space="preserve"> Ba</w:t>
            </w:r>
            <w:r>
              <w:rPr>
                <w:rFonts w:ascii="Times New Roman" w:hAnsi="Times New Roman" w:cs="Times New Roman"/>
                <w:color w:val="000000"/>
                <w:sz w:val="24"/>
                <w:szCs w:val="24"/>
              </w:rPr>
              <w:t xml:space="preserve"> ± 4.03</w:t>
            </w:r>
          </w:p>
        </w:tc>
      </w:tr>
      <w:tr w:rsidR="00B2699B" w14:paraId="3F98282F"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Borders>
              <w:top w:val="single" w:sz="4" w:space="0" w:color="7F7F7F" w:themeColor="text1" w:themeTint="80"/>
              <w:bottom w:val="single" w:sz="4" w:space="0" w:color="7F7F7F" w:themeColor="text1" w:themeTint="80"/>
            </w:tcBorders>
          </w:tcPr>
          <w:p w14:paraId="6B8A5733"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Borders>
              <w:top w:val="single" w:sz="4" w:space="0" w:color="7F7F7F" w:themeColor="text1" w:themeTint="80"/>
              <w:bottom w:val="single" w:sz="4" w:space="0" w:color="7F7F7F" w:themeColor="text1" w:themeTint="80"/>
            </w:tcBorders>
          </w:tcPr>
          <w:p w14:paraId="3540285A"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7958E307"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119" w:type="dxa"/>
            <w:tcBorders>
              <w:top w:val="single" w:sz="4" w:space="0" w:color="7F7F7F" w:themeColor="text1" w:themeTint="80"/>
              <w:bottom w:val="single" w:sz="4" w:space="0" w:color="7F7F7F" w:themeColor="text1" w:themeTint="80"/>
            </w:tcBorders>
          </w:tcPr>
          <w:p w14:paraId="620A77A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25.05</w:t>
            </w:r>
            <w:r>
              <w:rPr>
                <w:rFonts w:ascii="Times New Roman" w:hAnsi="Times New Roman" w:cs="Times New Roman"/>
                <w:color w:val="000000"/>
                <w:sz w:val="24"/>
                <w:szCs w:val="24"/>
                <w:vertAlign w:val="superscript"/>
              </w:rPr>
              <w:t xml:space="preserve"> Ab</w:t>
            </w:r>
            <w:r>
              <w:rPr>
                <w:rFonts w:ascii="Times New Roman" w:hAnsi="Times New Roman" w:cs="Times New Roman"/>
                <w:color w:val="000000"/>
                <w:sz w:val="24"/>
                <w:szCs w:val="24"/>
              </w:rPr>
              <w:t xml:space="preserve"> ± 1.35</w:t>
            </w:r>
          </w:p>
        </w:tc>
        <w:tc>
          <w:tcPr>
            <w:tcW w:w="1960" w:type="dxa"/>
            <w:tcBorders>
              <w:top w:val="single" w:sz="4" w:space="0" w:color="7F7F7F" w:themeColor="text1" w:themeTint="80"/>
              <w:bottom w:val="single" w:sz="4" w:space="0" w:color="7F7F7F" w:themeColor="text1" w:themeTint="80"/>
            </w:tcBorders>
          </w:tcPr>
          <w:p w14:paraId="469E3D08"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25.44</w:t>
            </w:r>
            <w:r>
              <w:rPr>
                <w:rFonts w:ascii="Times New Roman" w:hAnsi="Times New Roman" w:cs="Times New Roman"/>
                <w:color w:val="000000"/>
                <w:sz w:val="24"/>
                <w:szCs w:val="24"/>
                <w:vertAlign w:val="superscript"/>
              </w:rPr>
              <w:t xml:space="preserve"> Aab</w:t>
            </w:r>
            <w:r>
              <w:rPr>
                <w:rFonts w:ascii="Times New Roman" w:hAnsi="Times New Roman" w:cs="Times New Roman"/>
                <w:color w:val="000000"/>
                <w:sz w:val="24"/>
                <w:szCs w:val="24"/>
              </w:rPr>
              <w:t xml:space="preserve"> ± 1.39</w:t>
            </w:r>
          </w:p>
        </w:tc>
      </w:tr>
      <w:tr w:rsidR="00B2699B" w14:paraId="29A26828"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4B4A6977"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5.</w:t>
            </w:r>
          </w:p>
        </w:tc>
        <w:tc>
          <w:tcPr>
            <w:tcW w:w="2489" w:type="dxa"/>
            <w:vMerge w:val="restart"/>
          </w:tcPr>
          <w:p w14:paraId="00BCE4A2" w14:textId="77777777" w:rsidR="00B2699B" w:rsidRDefault="00D44AF2">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Creatinine (mg/dL)</w:t>
            </w:r>
          </w:p>
        </w:tc>
        <w:tc>
          <w:tcPr>
            <w:tcW w:w="1287" w:type="dxa"/>
          </w:tcPr>
          <w:p w14:paraId="699BCBA1"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119" w:type="dxa"/>
          </w:tcPr>
          <w:p w14:paraId="18DFC2D9"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02.34</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0.33</w:t>
            </w:r>
          </w:p>
        </w:tc>
        <w:tc>
          <w:tcPr>
            <w:tcW w:w="1960" w:type="dxa"/>
          </w:tcPr>
          <w:p w14:paraId="5B42B83A"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01.27</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0.09</w:t>
            </w:r>
          </w:p>
        </w:tc>
      </w:tr>
      <w:tr w:rsidR="00B2699B" w14:paraId="63C58BCF"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Borders>
              <w:top w:val="single" w:sz="4" w:space="0" w:color="7F7F7F" w:themeColor="text1" w:themeTint="80"/>
              <w:bottom w:val="single" w:sz="4" w:space="0" w:color="7F7F7F" w:themeColor="text1" w:themeTint="80"/>
            </w:tcBorders>
          </w:tcPr>
          <w:p w14:paraId="56828D43"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Borders>
              <w:top w:val="single" w:sz="4" w:space="0" w:color="7F7F7F" w:themeColor="text1" w:themeTint="80"/>
              <w:bottom w:val="single" w:sz="4" w:space="0" w:color="7F7F7F" w:themeColor="text1" w:themeTint="80"/>
            </w:tcBorders>
          </w:tcPr>
          <w:p w14:paraId="69722F29"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5C882058"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119" w:type="dxa"/>
            <w:tcBorders>
              <w:top w:val="single" w:sz="4" w:space="0" w:color="7F7F7F" w:themeColor="text1" w:themeTint="80"/>
              <w:bottom w:val="single" w:sz="4" w:space="0" w:color="7F7F7F" w:themeColor="text1" w:themeTint="80"/>
            </w:tcBorders>
          </w:tcPr>
          <w:p w14:paraId="6D4DB1BF"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02.42</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0.5</w:t>
            </w:r>
          </w:p>
        </w:tc>
        <w:tc>
          <w:tcPr>
            <w:tcW w:w="1960" w:type="dxa"/>
            <w:tcBorders>
              <w:top w:val="single" w:sz="4" w:space="0" w:color="7F7F7F" w:themeColor="text1" w:themeTint="80"/>
              <w:bottom w:val="single" w:sz="4" w:space="0" w:color="7F7F7F" w:themeColor="text1" w:themeTint="80"/>
            </w:tcBorders>
          </w:tcPr>
          <w:p w14:paraId="58A8EE29"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01.49</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0.15</w:t>
            </w:r>
          </w:p>
        </w:tc>
      </w:tr>
      <w:tr w:rsidR="00B2699B" w14:paraId="63975E2D"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2C917A23"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Pr>
          <w:p w14:paraId="640766CE"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0AFFE1BA"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119" w:type="dxa"/>
          </w:tcPr>
          <w:p w14:paraId="15835DD6"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00.98</w:t>
            </w:r>
            <w:r>
              <w:rPr>
                <w:rFonts w:ascii="Times New Roman" w:hAnsi="Times New Roman" w:cs="Times New Roman"/>
                <w:sz w:val="24"/>
                <w:szCs w:val="24"/>
                <w:vertAlign w:val="superscript"/>
              </w:rPr>
              <w:t xml:space="preserve"> Ab</w:t>
            </w:r>
            <w:r>
              <w:rPr>
                <w:rFonts w:ascii="Times New Roman" w:hAnsi="Times New Roman" w:cs="Times New Roman"/>
                <w:sz w:val="24"/>
                <w:szCs w:val="24"/>
              </w:rPr>
              <w:t xml:space="preserve"> ± 0.08</w:t>
            </w:r>
          </w:p>
        </w:tc>
        <w:tc>
          <w:tcPr>
            <w:tcW w:w="1960" w:type="dxa"/>
          </w:tcPr>
          <w:p w14:paraId="6BB3963C"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01.27</w:t>
            </w:r>
            <w:r>
              <w:rPr>
                <w:rFonts w:ascii="Times New Roman" w:hAnsi="Times New Roman" w:cs="Times New Roman"/>
                <w:sz w:val="24"/>
                <w:szCs w:val="24"/>
                <w:vertAlign w:val="superscript"/>
              </w:rPr>
              <w:t xml:space="preserve"> Ab</w:t>
            </w:r>
            <w:r>
              <w:rPr>
                <w:rFonts w:ascii="Times New Roman" w:hAnsi="Times New Roman" w:cs="Times New Roman"/>
                <w:sz w:val="24"/>
                <w:szCs w:val="24"/>
              </w:rPr>
              <w:t xml:space="preserve"> ± 0.08</w:t>
            </w:r>
          </w:p>
        </w:tc>
      </w:tr>
      <w:tr w:rsidR="00B2699B" w14:paraId="10A3925F"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Borders>
              <w:top w:val="single" w:sz="4" w:space="0" w:color="7F7F7F" w:themeColor="text1" w:themeTint="80"/>
              <w:bottom w:val="single" w:sz="4" w:space="0" w:color="7F7F7F" w:themeColor="text1" w:themeTint="80"/>
            </w:tcBorders>
          </w:tcPr>
          <w:p w14:paraId="4104D138"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6.</w:t>
            </w:r>
          </w:p>
        </w:tc>
        <w:tc>
          <w:tcPr>
            <w:tcW w:w="2489" w:type="dxa"/>
            <w:vMerge w:val="restart"/>
            <w:tcBorders>
              <w:top w:val="single" w:sz="4" w:space="0" w:color="7F7F7F" w:themeColor="text1" w:themeTint="80"/>
              <w:bottom w:val="single" w:sz="4" w:space="0" w:color="7F7F7F" w:themeColor="text1" w:themeTint="80"/>
            </w:tcBorders>
          </w:tcPr>
          <w:p w14:paraId="70DB2842" w14:textId="77777777" w:rsidR="00B2699B" w:rsidRDefault="00D44AF2">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Blood glucose (mg/dL)</w:t>
            </w:r>
          </w:p>
          <w:p w14:paraId="22A460CB"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1722061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119" w:type="dxa"/>
            <w:tcBorders>
              <w:top w:val="single" w:sz="4" w:space="0" w:color="7F7F7F" w:themeColor="text1" w:themeTint="80"/>
              <w:bottom w:val="single" w:sz="4" w:space="0" w:color="7F7F7F" w:themeColor="text1" w:themeTint="80"/>
            </w:tcBorders>
          </w:tcPr>
          <w:p w14:paraId="0F51737C"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120.75</w:t>
            </w:r>
            <w:r>
              <w:rPr>
                <w:rFonts w:ascii="Times New Roman" w:hAnsi="Times New Roman" w:cs="Times New Roman"/>
                <w:sz w:val="24"/>
                <w:szCs w:val="24"/>
                <w:vertAlign w:val="superscript"/>
              </w:rPr>
              <w:t>Ab</w:t>
            </w:r>
            <w:r>
              <w:rPr>
                <w:rFonts w:ascii="Times New Roman" w:hAnsi="Times New Roman" w:cs="Times New Roman"/>
                <w:sz w:val="24"/>
                <w:szCs w:val="24"/>
              </w:rPr>
              <w:t>± 8.69</w:t>
            </w:r>
          </w:p>
        </w:tc>
        <w:tc>
          <w:tcPr>
            <w:tcW w:w="1960" w:type="dxa"/>
            <w:tcBorders>
              <w:top w:val="single" w:sz="4" w:space="0" w:color="7F7F7F" w:themeColor="text1" w:themeTint="80"/>
              <w:bottom w:val="single" w:sz="4" w:space="0" w:color="7F7F7F" w:themeColor="text1" w:themeTint="80"/>
            </w:tcBorders>
          </w:tcPr>
          <w:p w14:paraId="42C81392"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107.80</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3.47</w:t>
            </w:r>
          </w:p>
        </w:tc>
      </w:tr>
      <w:tr w:rsidR="00B2699B" w14:paraId="260AE7BA"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6E33012E"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Pr>
          <w:p w14:paraId="35C1242B"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4D95532C"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119" w:type="dxa"/>
          </w:tcPr>
          <w:p w14:paraId="74A498BF"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134.5</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10.74</w:t>
            </w:r>
          </w:p>
        </w:tc>
        <w:tc>
          <w:tcPr>
            <w:tcW w:w="1960" w:type="dxa"/>
          </w:tcPr>
          <w:p w14:paraId="6984C874"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103.37</w:t>
            </w:r>
            <w:r>
              <w:rPr>
                <w:rFonts w:ascii="Times New Roman" w:hAnsi="Times New Roman" w:cs="Times New Roman"/>
                <w:sz w:val="24"/>
                <w:szCs w:val="24"/>
                <w:vertAlign w:val="superscript"/>
              </w:rPr>
              <w:t xml:space="preserve"> Bab</w:t>
            </w:r>
            <w:r>
              <w:rPr>
                <w:rFonts w:ascii="Times New Roman" w:hAnsi="Times New Roman" w:cs="Times New Roman"/>
                <w:sz w:val="24"/>
                <w:szCs w:val="24"/>
              </w:rPr>
              <w:t xml:space="preserve"> ± 2.14</w:t>
            </w:r>
          </w:p>
        </w:tc>
      </w:tr>
      <w:tr w:rsidR="00B2699B" w14:paraId="3B93C37B"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Borders>
              <w:top w:val="single" w:sz="4" w:space="0" w:color="7F7F7F" w:themeColor="text1" w:themeTint="80"/>
              <w:bottom w:val="single" w:sz="4" w:space="0" w:color="7F7F7F" w:themeColor="text1" w:themeTint="80"/>
            </w:tcBorders>
          </w:tcPr>
          <w:p w14:paraId="0B689F65"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Borders>
              <w:top w:val="single" w:sz="4" w:space="0" w:color="7F7F7F" w:themeColor="text1" w:themeTint="80"/>
              <w:bottom w:val="single" w:sz="4" w:space="0" w:color="7F7F7F" w:themeColor="text1" w:themeTint="80"/>
            </w:tcBorders>
          </w:tcPr>
          <w:p w14:paraId="47B78A7B"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674871A4"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119" w:type="dxa"/>
            <w:tcBorders>
              <w:top w:val="single" w:sz="4" w:space="0" w:color="7F7F7F" w:themeColor="text1" w:themeTint="80"/>
              <w:bottom w:val="single" w:sz="4" w:space="0" w:color="7F7F7F" w:themeColor="text1" w:themeTint="80"/>
            </w:tcBorders>
          </w:tcPr>
          <w:p w14:paraId="613C7C10"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vertAlign w:val="superscript"/>
              </w:rPr>
            </w:pPr>
            <w:r>
              <w:rPr>
                <w:rFonts w:ascii="Times New Roman" w:hAnsi="Times New Roman" w:cs="Times New Roman"/>
                <w:color w:val="000000"/>
                <w:sz w:val="24"/>
                <w:szCs w:val="24"/>
              </w:rPr>
              <w:t>95.33</w:t>
            </w:r>
            <w:r>
              <w:rPr>
                <w:rFonts w:ascii="Times New Roman" w:hAnsi="Times New Roman" w:cs="Times New Roman"/>
                <w:color w:val="000000"/>
                <w:sz w:val="24"/>
                <w:szCs w:val="24"/>
                <w:vertAlign w:val="superscript"/>
              </w:rPr>
              <w:t xml:space="preserve"> Ab</w:t>
            </w:r>
            <w:r>
              <w:rPr>
                <w:rFonts w:ascii="Times New Roman" w:hAnsi="Times New Roman" w:cs="Times New Roman"/>
                <w:color w:val="000000"/>
                <w:sz w:val="24"/>
                <w:szCs w:val="24"/>
              </w:rPr>
              <w:t xml:space="preserve"> ± 5.30</w:t>
            </w:r>
          </w:p>
        </w:tc>
        <w:tc>
          <w:tcPr>
            <w:tcW w:w="1960" w:type="dxa"/>
            <w:tcBorders>
              <w:top w:val="single" w:sz="4" w:space="0" w:color="7F7F7F" w:themeColor="text1" w:themeTint="80"/>
              <w:bottom w:val="single" w:sz="4" w:space="0" w:color="7F7F7F" w:themeColor="text1" w:themeTint="80"/>
            </w:tcBorders>
          </w:tcPr>
          <w:p w14:paraId="687069B2"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95.78</w:t>
            </w:r>
            <w:r>
              <w:rPr>
                <w:rFonts w:ascii="Times New Roman" w:hAnsi="Times New Roman" w:cs="Times New Roman"/>
                <w:color w:val="000000"/>
                <w:sz w:val="24"/>
                <w:szCs w:val="24"/>
                <w:vertAlign w:val="superscript"/>
              </w:rPr>
              <w:t xml:space="preserve"> Ab</w:t>
            </w:r>
            <w:r>
              <w:rPr>
                <w:rFonts w:ascii="Times New Roman" w:hAnsi="Times New Roman" w:cs="Times New Roman"/>
                <w:color w:val="000000"/>
                <w:sz w:val="24"/>
                <w:szCs w:val="24"/>
              </w:rPr>
              <w:t xml:space="preserve"> ± 5.14</w:t>
            </w:r>
          </w:p>
        </w:tc>
      </w:tr>
      <w:tr w:rsidR="00B2699B" w14:paraId="388CC945"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2EBF1C27"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7.</w:t>
            </w:r>
          </w:p>
        </w:tc>
        <w:tc>
          <w:tcPr>
            <w:tcW w:w="2489" w:type="dxa"/>
            <w:vMerge w:val="restart"/>
          </w:tcPr>
          <w:p w14:paraId="74A7CF2B" w14:textId="77777777" w:rsidR="00B2699B" w:rsidRDefault="00D44AF2">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CK-MB (U/L)</w:t>
            </w:r>
          </w:p>
        </w:tc>
        <w:tc>
          <w:tcPr>
            <w:tcW w:w="1287" w:type="dxa"/>
          </w:tcPr>
          <w:p w14:paraId="64C39E01"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119" w:type="dxa"/>
          </w:tcPr>
          <w:p w14:paraId="3F917018"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36.65</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4.59</w:t>
            </w:r>
          </w:p>
        </w:tc>
        <w:tc>
          <w:tcPr>
            <w:tcW w:w="1960" w:type="dxa"/>
          </w:tcPr>
          <w:p w14:paraId="4986197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21.66</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0.78</w:t>
            </w:r>
          </w:p>
        </w:tc>
      </w:tr>
      <w:tr w:rsidR="00B2699B" w14:paraId="7AB5484F"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Borders>
              <w:top w:val="single" w:sz="4" w:space="0" w:color="7F7F7F" w:themeColor="text1" w:themeTint="80"/>
              <w:bottom w:val="single" w:sz="4" w:space="0" w:color="7F7F7F" w:themeColor="text1" w:themeTint="80"/>
            </w:tcBorders>
          </w:tcPr>
          <w:p w14:paraId="0C123562"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89" w:type="dxa"/>
            <w:vMerge/>
            <w:tcBorders>
              <w:top w:val="single" w:sz="4" w:space="0" w:color="7F7F7F" w:themeColor="text1" w:themeTint="80"/>
              <w:bottom w:val="single" w:sz="4" w:space="0" w:color="7F7F7F" w:themeColor="text1" w:themeTint="80"/>
            </w:tcBorders>
          </w:tcPr>
          <w:p w14:paraId="3196B7DC" w14:textId="77777777" w:rsidR="00B2699B" w:rsidRDefault="00B2699B">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7E1842CB"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119" w:type="dxa"/>
            <w:tcBorders>
              <w:top w:val="single" w:sz="4" w:space="0" w:color="7F7F7F" w:themeColor="text1" w:themeTint="80"/>
              <w:bottom w:val="single" w:sz="4" w:space="0" w:color="7F7F7F" w:themeColor="text1" w:themeTint="80"/>
            </w:tcBorders>
          </w:tcPr>
          <w:p w14:paraId="03C757B7"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41.17</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4.26</w:t>
            </w:r>
          </w:p>
        </w:tc>
        <w:tc>
          <w:tcPr>
            <w:tcW w:w="1960" w:type="dxa"/>
            <w:tcBorders>
              <w:top w:val="single" w:sz="4" w:space="0" w:color="7F7F7F" w:themeColor="text1" w:themeTint="80"/>
              <w:bottom w:val="single" w:sz="4" w:space="0" w:color="7F7F7F" w:themeColor="text1" w:themeTint="80"/>
            </w:tcBorders>
          </w:tcPr>
          <w:p w14:paraId="117CC599"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22.61</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0.82</w:t>
            </w:r>
          </w:p>
        </w:tc>
      </w:tr>
      <w:tr w:rsidR="00B2699B" w14:paraId="27AFE0F4"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17A3F4B7" w14:textId="77777777" w:rsidR="00B2699B" w:rsidRDefault="00B2699B">
            <w:pPr>
              <w:spacing w:before="60" w:after="60" w:line="360" w:lineRule="auto"/>
              <w:ind w:right="-28"/>
              <w:jc w:val="center"/>
              <w:rPr>
                <w:rFonts w:ascii="Times New Roman" w:hAnsi="Times New Roman" w:cs="Times New Roman"/>
                <w:b w:val="0"/>
                <w:bCs w:val="0"/>
                <w:color w:val="EE0000"/>
                <w:sz w:val="24"/>
                <w:szCs w:val="24"/>
              </w:rPr>
            </w:pPr>
          </w:p>
        </w:tc>
        <w:tc>
          <w:tcPr>
            <w:tcW w:w="2489" w:type="dxa"/>
            <w:vMerge/>
          </w:tcPr>
          <w:p w14:paraId="07EFC742" w14:textId="77777777" w:rsidR="00B2699B" w:rsidRDefault="00B2699B">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p>
        </w:tc>
        <w:tc>
          <w:tcPr>
            <w:tcW w:w="1287" w:type="dxa"/>
          </w:tcPr>
          <w:p w14:paraId="14BBD9FD"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Pr>
                <w:rFonts w:ascii="Times New Roman" w:hAnsi="Times New Roman" w:cs="Times New Roman"/>
                <w:color w:val="000000"/>
                <w:sz w:val="24"/>
                <w:szCs w:val="24"/>
              </w:rPr>
              <w:t>G3</w:t>
            </w:r>
          </w:p>
        </w:tc>
        <w:tc>
          <w:tcPr>
            <w:tcW w:w="2119" w:type="dxa"/>
          </w:tcPr>
          <w:p w14:paraId="05A67C6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22.65</w:t>
            </w:r>
            <w:r>
              <w:rPr>
                <w:rFonts w:ascii="Times New Roman" w:hAnsi="Times New Roman" w:cs="Times New Roman"/>
                <w:color w:val="000000"/>
                <w:sz w:val="24"/>
                <w:szCs w:val="24"/>
                <w:vertAlign w:val="superscript"/>
              </w:rPr>
              <w:t xml:space="preserve"> Ab</w:t>
            </w:r>
            <w:r>
              <w:rPr>
                <w:rFonts w:ascii="Times New Roman" w:hAnsi="Times New Roman" w:cs="Times New Roman"/>
                <w:color w:val="000000"/>
                <w:sz w:val="24"/>
                <w:szCs w:val="24"/>
              </w:rPr>
              <w:t xml:space="preserve"> ± 2.39</w:t>
            </w:r>
          </w:p>
        </w:tc>
        <w:tc>
          <w:tcPr>
            <w:tcW w:w="1960" w:type="dxa"/>
          </w:tcPr>
          <w:p w14:paraId="5F00404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22.19</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 2.56</w:t>
            </w:r>
          </w:p>
        </w:tc>
      </w:tr>
    </w:tbl>
    <w:p w14:paraId="2155CAB5" w14:textId="77777777" w:rsidR="00B2699B" w:rsidRDefault="00D44AF2">
      <w:pPr>
        <w:spacing w:after="120" w:line="360" w:lineRule="auto"/>
        <w:ind w:left="142" w:right="-28"/>
        <w:jc w:val="both"/>
        <w:rPr>
          <w:rFonts w:ascii="Times New Roman" w:hAnsi="Times New Roman" w:cs="Times New Roman"/>
          <w:sz w:val="20"/>
          <w:szCs w:val="24"/>
          <w:lang w:val="en-US"/>
        </w:rPr>
      </w:pPr>
      <w:r>
        <w:rPr>
          <w:rFonts w:ascii="Times New Roman" w:hAnsi="Times New Roman" w:cs="Times New Roman"/>
          <w:sz w:val="20"/>
          <w:szCs w:val="24"/>
          <w:lang w:val="en-US"/>
        </w:rPr>
        <w:t>Mean values with different superscript between groups (lowercase) and between intervals (uppercase) differ significantly (p&lt;0.05)</w:t>
      </w:r>
    </w:p>
    <w:p w14:paraId="734E41F7" w14:textId="77777777" w:rsidR="00B2699B" w:rsidRDefault="00D44AF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Lipid profile</w:t>
      </w:r>
    </w:p>
    <w:p w14:paraId="1C45941F"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Analysis of data revealed that lipid parameters such as serum total cholesterol, triglycerides, High density lipoprotein-C (HDL-C) and </w:t>
      </w:r>
      <w:proofErr w:type="gramStart"/>
      <w:r>
        <w:rPr>
          <w:rFonts w:ascii="Times New Roman" w:hAnsi="Times New Roman" w:cs="Times New Roman"/>
          <w:sz w:val="24"/>
          <w:szCs w:val="24"/>
        </w:rPr>
        <w:t>Low density</w:t>
      </w:r>
      <w:proofErr w:type="gramEnd"/>
      <w:r>
        <w:rPr>
          <w:rFonts w:ascii="Times New Roman" w:hAnsi="Times New Roman" w:cs="Times New Roman"/>
          <w:sz w:val="24"/>
          <w:szCs w:val="24"/>
        </w:rPr>
        <w:t xml:space="preserve"> lipoprotein-C (LDL-C) in all 12 dogs were evaluated on day 0 (pre-treatment) and day 28 (post-treatment) and compared with apparently healthy controls. The mean serum total cholesterol, triglyceride and HDL-C values in both hypertensive treatment groups (G1 and G2) were significantly higher than those of the healthy control group (G3), whereas mean LDL-cholesterol values were comparatively lower showing non-significant difference, with overall greater improvement in G2 compared to G1(Table 05).</w:t>
      </w:r>
    </w:p>
    <w:p w14:paraId="3450389D"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variations in our study regarding lipid profile (serum total cholesterol, triglycerides, HDL-C, LDL-C) align with findings of Priyanka (2010) and Usui </w:t>
      </w:r>
      <w:r>
        <w:rPr>
          <w:rFonts w:ascii="Times New Roman" w:hAnsi="Times New Roman" w:cs="Times New Roman"/>
          <w:i/>
          <w:iCs/>
          <w:sz w:val="24"/>
          <w:szCs w:val="24"/>
        </w:rPr>
        <w:t>et al</w:t>
      </w:r>
      <w:r>
        <w:rPr>
          <w:rFonts w:ascii="Times New Roman" w:hAnsi="Times New Roman" w:cs="Times New Roman"/>
          <w:sz w:val="24"/>
          <w:szCs w:val="24"/>
        </w:rPr>
        <w:t xml:space="preserve">. (2015), Bala </w:t>
      </w:r>
      <w:r>
        <w:rPr>
          <w:rFonts w:ascii="Times New Roman" w:hAnsi="Times New Roman" w:cs="Times New Roman"/>
          <w:i/>
          <w:iCs/>
          <w:sz w:val="24"/>
          <w:szCs w:val="24"/>
        </w:rPr>
        <w:t>et al</w:t>
      </w:r>
      <w:r>
        <w:rPr>
          <w:rFonts w:ascii="Times New Roman" w:hAnsi="Times New Roman" w:cs="Times New Roman"/>
          <w:sz w:val="24"/>
          <w:szCs w:val="24"/>
        </w:rPr>
        <w:t xml:space="preserve">. (2021), Charitha </w:t>
      </w:r>
      <w:r>
        <w:rPr>
          <w:rFonts w:ascii="Times New Roman" w:hAnsi="Times New Roman" w:cs="Times New Roman"/>
          <w:i/>
          <w:iCs/>
          <w:sz w:val="24"/>
          <w:szCs w:val="24"/>
        </w:rPr>
        <w:t>et al</w:t>
      </w:r>
      <w:r>
        <w:rPr>
          <w:rFonts w:ascii="Times New Roman" w:hAnsi="Times New Roman" w:cs="Times New Roman"/>
          <w:sz w:val="24"/>
          <w:szCs w:val="24"/>
        </w:rPr>
        <w:t xml:space="preserve">. (2023) and Tyagi </w:t>
      </w:r>
      <w:r>
        <w:rPr>
          <w:rFonts w:ascii="Times New Roman" w:hAnsi="Times New Roman" w:cs="Times New Roman"/>
          <w:i/>
          <w:iCs/>
          <w:sz w:val="24"/>
          <w:szCs w:val="24"/>
        </w:rPr>
        <w:t>et al</w:t>
      </w:r>
      <w:r>
        <w:rPr>
          <w:rFonts w:ascii="Times New Roman" w:hAnsi="Times New Roman" w:cs="Times New Roman"/>
          <w:sz w:val="24"/>
          <w:szCs w:val="24"/>
        </w:rPr>
        <w:t xml:space="preserve">. (2025). Conversely, Jose </w:t>
      </w:r>
      <w:r>
        <w:rPr>
          <w:rFonts w:ascii="Times New Roman" w:hAnsi="Times New Roman" w:cs="Times New Roman"/>
          <w:i/>
          <w:iCs/>
          <w:sz w:val="24"/>
          <w:szCs w:val="24"/>
        </w:rPr>
        <w:t>et al.</w:t>
      </w:r>
      <w:r>
        <w:rPr>
          <w:rFonts w:ascii="Times New Roman" w:hAnsi="Times New Roman" w:cs="Times New Roman"/>
          <w:sz w:val="24"/>
          <w:szCs w:val="24"/>
        </w:rPr>
        <w:t xml:space="preserve"> (2020) found no significant differences in cholesterol and triglyceride levels, indicating dyslipidaemia is not an inherent parameter associated with hypertension. Conversely, Mori </w:t>
      </w:r>
      <w:r>
        <w:rPr>
          <w:rFonts w:ascii="Times New Roman" w:hAnsi="Times New Roman" w:cs="Times New Roman"/>
          <w:i/>
          <w:iCs/>
          <w:sz w:val="24"/>
          <w:szCs w:val="24"/>
        </w:rPr>
        <w:t>et al</w:t>
      </w:r>
      <w:r>
        <w:rPr>
          <w:rFonts w:ascii="Times New Roman" w:hAnsi="Times New Roman" w:cs="Times New Roman"/>
          <w:sz w:val="24"/>
          <w:szCs w:val="24"/>
        </w:rPr>
        <w:t xml:space="preserve">. (2011), Nandini </w:t>
      </w:r>
      <w:r>
        <w:rPr>
          <w:rFonts w:ascii="Times New Roman" w:hAnsi="Times New Roman" w:cs="Times New Roman"/>
          <w:i/>
          <w:iCs/>
          <w:sz w:val="24"/>
          <w:szCs w:val="24"/>
        </w:rPr>
        <w:t>et al</w:t>
      </w:r>
      <w:r>
        <w:rPr>
          <w:rFonts w:ascii="Times New Roman" w:hAnsi="Times New Roman" w:cs="Times New Roman"/>
          <w:sz w:val="24"/>
          <w:szCs w:val="24"/>
        </w:rPr>
        <w:t xml:space="preserve">. (2012), Bala </w:t>
      </w:r>
      <w:r>
        <w:rPr>
          <w:rFonts w:ascii="Times New Roman" w:hAnsi="Times New Roman" w:cs="Times New Roman"/>
          <w:i/>
          <w:iCs/>
          <w:sz w:val="24"/>
          <w:szCs w:val="24"/>
        </w:rPr>
        <w:t>et al</w:t>
      </w:r>
      <w:r>
        <w:rPr>
          <w:rFonts w:ascii="Times New Roman" w:hAnsi="Times New Roman" w:cs="Times New Roman"/>
          <w:sz w:val="24"/>
          <w:szCs w:val="24"/>
        </w:rPr>
        <w:t xml:space="preserve">. (2021) and Tyagi </w:t>
      </w:r>
      <w:r>
        <w:rPr>
          <w:rFonts w:ascii="Times New Roman" w:hAnsi="Times New Roman" w:cs="Times New Roman"/>
          <w:i/>
          <w:iCs/>
          <w:sz w:val="24"/>
          <w:szCs w:val="24"/>
        </w:rPr>
        <w:t>et al</w:t>
      </w:r>
      <w:r>
        <w:rPr>
          <w:rFonts w:ascii="Times New Roman" w:hAnsi="Times New Roman" w:cs="Times New Roman"/>
          <w:sz w:val="24"/>
          <w:szCs w:val="24"/>
        </w:rPr>
        <w:t>. (2025), documented significant differences in LDL-C levels in overweight or metabolically compromised dogs. The observed dyslipidaemia may be attributed to altered lipid metabolism secondary to chronic systemic diseases, particularly renal and endocrine disorders (</w:t>
      </w:r>
      <w:proofErr w:type="spellStart"/>
      <w:r>
        <w:rPr>
          <w:rFonts w:ascii="Times New Roman" w:hAnsi="Times New Roman" w:cs="Times New Roman"/>
          <w:sz w:val="24"/>
          <w:szCs w:val="24"/>
        </w:rPr>
        <w:t>Xenoulis</w:t>
      </w:r>
      <w:proofErr w:type="spellEnd"/>
      <w:r>
        <w:rPr>
          <w:rFonts w:ascii="Times New Roman" w:hAnsi="Times New Roman" w:cs="Times New Roman"/>
          <w:sz w:val="24"/>
          <w:szCs w:val="24"/>
        </w:rPr>
        <w:t xml:space="preserve"> and Steiner, 2010). Reduced clearance of lipoproteins, insulin resistance, hepatic dysfunction and persistent activation of neurohormonal pathways such as RAAS are known to contribute to hypercholesterolemia and </w:t>
      </w:r>
      <w:r>
        <w:rPr>
          <w:rFonts w:ascii="Times New Roman" w:hAnsi="Times New Roman" w:cs="Times New Roman"/>
          <w:sz w:val="24"/>
          <w:szCs w:val="24"/>
        </w:rPr>
        <w:lastRenderedPageBreak/>
        <w:t>hypertriglyceridemia. Elevated LDL-C levels further predispose hypertensive dogs to endothelial dysfunction, vascular stiffness and progression of cardiovascular target organ damage.</w:t>
      </w:r>
    </w:p>
    <w:p w14:paraId="0498A03A" w14:textId="77777777" w:rsidR="00B2699B" w:rsidRDefault="00D44AF2">
      <w:pPr>
        <w:spacing w:after="120" w:line="360" w:lineRule="auto"/>
        <w:ind w:left="993" w:right="-28" w:hanging="993"/>
        <w:jc w:val="both"/>
        <w:rPr>
          <w:rFonts w:ascii="Times New Roman" w:hAnsi="Times New Roman" w:cs="Times New Roman"/>
          <w:sz w:val="24"/>
          <w:szCs w:val="24"/>
        </w:rPr>
      </w:pPr>
      <w:r>
        <w:rPr>
          <w:rFonts w:ascii="Times New Roman" w:hAnsi="Times New Roman" w:cs="Times New Roman"/>
          <w:b/>
          <w:bCs/>
          <w:sz w:val="24"/>
          <w:szCs w:val="24"/>
          <w:lang w:val="en-US"/>
        </w:rPr>
        <w:t xml:space="preserve">Table 05: Mean values of lipid profile </w:t>
      </w:r>
      <w:r>
        <w:rPr>
          <w:rFonts w:ascii="Times New Roman" w:hAnsi="Times New Roman" w:cs="Times New Roman"/>
          <w:b/>
          <w:bCs/>
          <w:sz w:val="24"/>
          <w:szCs w:val="24"/>
        </w:rPr>
        <w:t>of dogs with hypertension in different treatment   groups at different intervals</w:t>
      </w:r>
    </w:p>
    <w:tbl>
      <w:tblPr>
        <w:tblStyle w:val="PlainTable21"/>
        <w:tblW w:w="9067" w:type="dxa"/>
        <w:tblLook w:val="04A0" w:firstRow="1" w:lastRow="0" w:firstColumn="1" w:lastColumn="0" w:noHBand="0" w:noVBand="1"/>
      </w:tblPr>
      <w:tblGrid>
        <w:gridCol w:w="839"/>
        <w:gridCol w:w="2710"/>
        <w:gridCol w:w="1287"/>
        <w:gridCol w:w="2105"/>
        <w:gridCol w:w="2126"/>
      </w:tblGrid>
      <w:tr w:rsidR="00B2699B" w14:paraId="4357A029" w14:textId="77777777" w:rsidTr="00B2699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6E478598" w14:textId="77777777" w:rsidR="00B2699B" w:rsidRDefault="00D44AF2">
            <w:pPr>
              <w:spacing w:before="120" w:after="120" w:line="360" w:lineRule="auto"/>
              <w:ind w:right="-28"/>
              <w:jc w:val="center"/>
              <w:rPr>
                <w:rFonts w:ascii="Times New Roman" w:hAnsi="Times New Roman" w:cs="Times New Roman"/>
                <w:bCs w:val="0"/>
                <w:sz w:val="24"/>
                <w:szCs w:val="24"/>
              </w:rPr>
            </w:pPr>
            <w:proofErr w:type="spellStart"/>
            <w:r>
              <w:rPr>
                <w:rFonts w:ascii="Times New Roman" w:hAnsi="Times New Roman" w:cs="Times New Roman"/>
                <w:sz w:val="24"/>
                <w:szCs w:val="24"/>
              </w:rPr>
              <w:t>S.No</w:t>
            </w:r>
            <w:proofErr w:type="spellEnd"/>
            <w:r>
              <w:rPr>
                <w:rFonts w:ascii="Times New Roman" w:hAnsi="Times New Roman" w:cs="Times New Roman"/>
                <w:sz w:val="24"/>
                <w:szCs w:val="24"/>
              </w:rPr>
              <w:t>.</w:t>
            </w:r>
          </w:p>
        </w:tc>
        <w:tc>
          <w:tcPr>
            <w:tcW w:w="2710" w:type="dxa"/>
            <w:vMerge w:val="restart"/>
          </w:tcPr>
          <w:p w14:paraId="48DCFEB8" w14:textId="77777777" w:rsidR="00B2699B" w:rsidRDefault="00D44AF2">
            <w:pPr>
              <w:spacing w:before="120" w:after="12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sz w:val="24"/>
                <w:szCs w:val="24"/>
              </w:rPr>
              <w:t>Parameters</w:t>
            </w:r>
          </w:p>
        </w:tc>
        <w:tc>
          <w:tcPr>
            <w:tcW w:w="1287" w:type="dxa"/>
            <w:vMerge w:val="restart"/>
          </w:tcPr>
          <w:p w14:paraId="6124C543" w14:textId="77777777" w:rsidR="00B2699B" w:rsidRDefault="00D44AF2">
            <w:pPr>
              <w:spacing w:before="120" w:after="12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sz w:val="24"/>
                <w:szCs w:val="24"/>
              </w:rPr>
              <w:t>Treatment Groups</w:t>
            </w:r>
          </w:p>
        </w:tc>
        <w:tc>
          <w:tcPr>
            <w:tcW w:w="4231" w:type="dxa"/>
            <w:gridSpan w:val="2"/>
          </w:tcPr>
          <w:p w14:paraId="5AB0952C" w14:textId="77777777" w:rsidR="00B2699B" w:rsidRDefault="00D44AF2">
            <w:pPr>
              <w:spacing w:before="120" w:after="12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sz w:val="24"/>
                <w:szCs w:val="24"/>
              </w:rPr>
              <w:t>Mean ± SE</w:t>
            </w:r>
          </w:p>
        </w:tc>
      </w:tr>
      <w:tr w:rsidR="00B2699B" w14:paraId="66B86A58"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tcBorders>
              <w:top w:val="single" w:sz="4" w:space="0" w:color="7F7F7F" w:themeColor="text1" w:themeTint="80"/>
              <w:bottom w:val="single" w:sz="4" w:space="0" w:color="7F7F7F" w:themeColor="text1" w:themeTint="80"/>
            </w:tcBorders>
          </w:tcPr>
          <w:p w14:paraId="13A8234F" w14:textId="77777777" w:rsidR="00B2699B" w:rsidRDefault="00B2699B">
            <w:pPr>
              <w:spacing w:before="120" w:after="120" w:line="360" w:lineRule="auto"/>
              <w:ind w:right="-28"/>
              <w:jc w:val="center"/>
              <w:rPr>
                <w:rFonts w:ascii="Times New Roman" w:hAnsi="Times New Roman" w:cs="Times New Roman"/>
                <w:bCs w:val="0"/>
                <w:sz w:val="24"/>
                <w:szCs w:val="24"/>
              </w:rPr>
            </w:pPr>
          </w:p>
        </w:tc>
        <w:tc>
          <w:tcPr>
            <w:tcW w:w="2710" w:type="dxa"/>
            <w:vMerge/>
            <w:tcBorders>
              <w:top w:val="single" w:sz="4" w:space="0" w:color="7F7F7F" w:themeColor="text1" w:themeTint="80"/>
              <w:bottom w:val="single" w:sz="4" w:space="0" w:color="7F7F7F" w:themeColor="text1" w:themeTint="80"/>
            </w:tcBorders>
          </w:tcPr>
          <w:p w14:paraId="345F3C15" w14:textId="77777777" w:rsidR="00B2699B" w:rsidRDefault="00B2699B">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287" w:type="dxa"/>
            <w:vMerge/>
            <w:tcBorders>
              <w:top w:val="single" w:sz="4" w:space="0" w:color="7F7F7F" w:themeColor="text1" w:themeTint="80"/>
              <w:bottom w:val="single" w:sz="4" w:space="0" w:color="7F7F7F" w:themeColor="text1" w:themeTint="80"/>
            </w:tcBorders>
          </w:tcPr>
          <w:p w14:paraId="4490B5D0" w14:textId="77777777" w:rsidR="00B2699B" w:rsidRDefault="00B2699B">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05" w:type="dxa"/>
            <w:tcBorders>
              <w:top w:val="single" w:sz="4" w:space="0" w:color="7F7F7F" w:themeColor="text1" w:themeTint="80"/>
              <w:bottom w:val="single" w:sz="4" w:space="0" w:color="7F7F7F" w:themeColor="text1" w:themeTint="80"/>
            </w:tcBorders>
          </w:tcPr>
          <w:p w14:paraId="7E9BD1A3"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2126" w:type="dxa"/>
            <w:tcBorders>
              <w:top w:val="single" w:sz="4" w:space="0" w:color="7F7F7F" w:themeColor="text1" w:themeTint="80"/>
              <w:bottom w:val="single" w:sz="4" w:space="0" w:color="7F7F7F" w:themeColor="text1" w:themeTint="80"/>
            </w:tcBorders>
          </w:tcPr>
          <w:p w14:paraId="3AC65BB1"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B2699B" w14:paraId="36A718E0"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4BD49207" w14:textId="77777777" w:rsidR="00B2699B" w:rsidRDefault="00D44AF2">
            <w:pPr>
              <w:spacing w:before="120" w:after="12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1.</w:t>
            </w:r>
          </w:p>
        </w:tc>
        <w:tc>
          <w:tcPr>
            <w:tcW w:w="2710" w:type="dxa"/>
            <w:vMerge w:val="restart"/>
          </w:tcPr>
          <w:p w14:paraId="34F2EB23"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Cholesterol (mg/dL)</w:t>
            </w:r>
          </w:p>
        </w:tc>
        <w:tc>
          <w:tcPr>
            <w:tcW w:w="1287" w:type="dxa"/>
          </w:tcPr>
          <w:p w14:paraId="66337A53"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105" w:type="dxa"/>
          </w:tcPr>
          <w:p w14:paraId="5FE8AF79"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224.5± 14.32</w:t>
            </w:r>
            <w:r>
              <w:rPr>
                <w:rFonts w:ascii="Times New Roman" w:hAnsi="Times New Roman" w:cs="Times New Roman"/>
                <w:sz w:val="24"/>
                <w:szCs w:val="24"/>
                <w:vertAlign w:val="superscript"/>
              </w:rPr>
              <w:t>Aab</w:t>
            </w:r>
          </w:p>
        </w:tc>
        <w:tc>
          <w:tcPr>
            <w:tcW w:w="2126" w:type="dxa"/>
          </w:tcPr>
          <w:p w14:paraId="7CA08F51"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187.91± 9.36</w:t>
            </w:r>
            <w:r>
              <w:rPr>
                <w:rFonts w:ascii="Times New Roman" w:hAnsi="Times New Roman" w:cs="Times New Roman"/>
                <w:sz w:val="24"/>
                <w:szCs w:val="24"/>
                <w:vertAlign w:val="superscript"/>
              </w:rPr>
              <w:t>Ba</w:t>
            </w:r>
          </w:p>
        </w:tc>
      </w:tr>
      <w:tr w:rsidR="00B2699B" w14:paraId="07069554"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tcBorders>
              <w:top w:val="single" w:sz="4" w:space="0" w:color="7F7F7F" w:themeColor="text1" w:themeTint="80"/>
              <w:bottom w:val="single" w:sz="4" w:space="0" w:color="7F7F7F" w:themeColor="text1" w:themeTint="80"/>
            </w:tcBorders>
          </w:tcPr>
          <w:p w14:paraId="43722C5B" w14:textId="77777777" w:rsidR="00B2699B" w:rsidRDefault="00B2699B">
            <w:pPr>
              <w:spacing w:before="120" w:after="120" w:line="360" w:lineRule="auto"/>
              <w:ind w:right="-28"/>
              <w:jc w:val="center"/>
              <w:rPr>
                <w:rFonts w:ascii="Times New Roman" w:hAnsi="Times New Roman" w:cs="Times New Roman"/>
                <w:b w:val="0"/>
                <w:bCs w:val="0"/>
                <w:sz w:val="24"/>
                <w:szCs w:val="24"/>
              </w:rPr>
            </w:pPr>
          </w:p>
        </w:tc>
        <w:tc>
          <w:tcPr>
            <w:tcW w:w="2710" w:type="dxa"/>
            <w:vMerge/>
            <w:tcBorders>
              <w:top w:val="single" w:sz="4" w:space="0" w:color="7F7F7F" w:themeColor="text1" w:themeTint="80"/>
              <w:bottom w:val="single" w:sz="4" w:space="0" w:color="7F7F7F" w:themeColor="text1" w:themeTint="80"/>
            </w:tcBorders>
          </w:tcPr>
          <w:p w14:paraId="0E1C76E1" w14:textId="77777777" w:rsidR="00B2699B" w:rsidRDefault="00B2699B">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750944B7"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105" w:type="dxa"/>
            <w:tcBorders>
              <w:top w:val="single" w:sz="4" w:space="0" w:color="7F7F7F" w:themeColor="text1" w:themeTint="80"/>
              <w:bottom w:val="single" w:sz="4" w:space="0" w:color="7F7F7F" w:themeColor="text1" w:themeTint="80"/>
            </w:tcBorders>
          </w:tcPr>
          <w:p w14:paraId="7F9E1C69"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248.1± 14.23</w:t>
            </w:r>
            <w:r>
              <w:rPr>
                <w:rFonts w:ascii="Times New Roman" w:hAnsi="Times New Roman" w:cs="Times New Roman"/>
                <w:sz w:val="24"/>
                <w:szCs w:val="24"/>
                <w:vertAlign w:val="superscript"/>
              </w:rPr>
              <w:t>Aa</w:t>
            </w:r>
          </w:p>
        </w:tc>
        <w:tc>
          <w:tcPr>
            <w:tcW w:w="2126" w:type="dxa"/>
            <w:tcBorders>
              <w:top w:val="single" w:sz="4" w:space="0" w:color="7F7F7F" w:themeColor="text1" w:themeTint="80"/>
              <w:bottom w:val="single" w:sz="4" w:space="0" w:color="7F7F7F" w:themeColor="text1" w:themeTint="80"/>
            </w:tcBorders>
          </w:tcPr>
          <w:p w14:paraId="6FB4D2C4"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190.88± 6.17</w:t>
            </w:r>
            <w:r>
              <w:rPr>
                <w:rFonts w:ascii="Times New Roman" w:hAnsi="Times New Roman" w:cs="Times New Roman"/>
                <w:sz w:val="24"/>
                <w:szCs w:val="24"/>
                <w:vertAlign w:val="superscript"/>
              </w:rPr>
              <w:t>Ba</w:t>
            </w:r>
          </w:p>
        </w:tc>
      </w:tr>
      <w:tr w:rsidR="00B2699B" w14:paraId="16D32CEB"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229B6F31" w14:textId="77777777" w:rsidR="00B2699B" w:rsidRDefault="00B2699B">
            <w:pPr>
              <w:spacing w:before="120" w:after="120" w:line="360" w:lineRule="auto"/>
              <w:ind w:right="-28"/>
              <w:jc w:val="center"/>
              <w:rPr>
                <w:rFonts w:ascii="Times New Roman" w:hAnsi="Times New Roman" w:cs="Times New Roman"/>
                <w:b w:val="0"/>
                <w:bCs w:val="0"/>
                <w:sz w:val="24"/>
                <w:szCs w:val="24"/>
              </w:rPr>
            </w:pPr>
          </w:p>
        </w:tc>
        <w:tc>
          <w:tcPr>
            <w:tcW w:w="2710" w:type="dxa"/>
            <w:vMerge/>
          </w:tcPr>
          <w:p w14:paraId="40055CB4" w14:textId="77777777" w:rsidR="00B2699B" w:rsidRDefault="00B2699B">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28C23E2F"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105" w:type="dxa"/>
          </w:tcPr>
          <w:p w14:paraId="3ED84DEB"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187.5± 13.45</w:t>
            </w:r>
            <w:r>
              <w:rPr>
                <w:rFonts w:ascii="Times New Roman" w:hAnsi="Times New Roman" w:cs="Times New Roman"/>
                <w:color w:val="000000"/>
                <w:sz w:val="24"/>
                <w:szCs w:val="24"/>
                <w:vertAlign w:val="superscript"/>
              </w:rPr>
              <w:t>Ab</w:t>
            </w:r>
          </w:p>
        </w:tc>
        <w:tc>
          <w:tcPr>
            <w:tcW w:w="2126" w:type="dxa"/>
          </w:tcPr>
          <w:p w14:paraId="0B31F6BB"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187.2± 14.23</w:t>
            </w:r>
            <w:r>
              <w:rPr>
                <w:rFonts w:ascii="Times New Roman" w:hAnsi="Times New Roman" w:cs="Times New Roman"/>
                <w:color w:val="000000"/>
                <w:sz w:val="24"/>
                <w:szCs w:val="24"/>
                <w:vertAlign w:val="superscript"/>
              </w:rPr>
              <w:t>Aa</w:t>
            </w:r>
          </w:p>
        </w:tc>
      </w:tr>
      <w:tr w:rsidR="00B2699B" w14:paraId="3B460DD4"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Borders>
              <w:top w:val="single" w:sz="4" w:space="0" w:color="7F7F7F" w:themeColor="text1" w:themeTint="80"/>
              <w:bottom w:val="single" w:sz="4" w:space="0" w:color="7F7F7F" w:themeColor="text1" w:themeTint="80"/>
            </w:tcBorders>
          </w:tcPr>
          <w:p w14:paraId="3E6EE3B3" w14:textId="77777777" w:rsidR="00B2699B" w:rsidRDefault="00D44AF2">
            <w:pPr>
              <w:spacing w:before="120" w:after="12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2.</w:t>
            </w:r>
          </w:p>
        </w:tc>
        <w:tc>
          <w:tcPr>
            <w:tcW w:w="2710" w:type="dxa"/>
            <w:vMerge w:val="restart"/>
            <w:tcBorders>
              <w:top w:val="single" w:sz="4" w:space="0" w:color="7F7F7F" w:themeColor="text1" w:themeTint="80"/>
              <w:bottom w:val="single" w:sz="4" w:space="0" w:color="7F7F7F" w:themeColor="text1" w:themeTint="80"/>
            </w:tcBorders>
          </w:tcPr>
          <w:p w14:paraId="3F2229F0"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Triglycerides (mg/dL)</w:t>
            </w:r>
          </w:p>
        </w:tc>
        <w:tc>
          <w:tcPr>
            <w:tcW w:w="1287" w:type="dxa"/>
            <w:tcBorders>
              <w:top w:val="single" w:sz="4" w:space="0" w:color="7F7F7F" w:themeColor="text1" w:themeTint="80"/>
              <w:bottom w:val="single" w:sz="4" w:space="0" w:color="7F7F7F" w:themeColor="text1" w:themeTint="80"/>
            </w:tcBorders>
          </w:tcPr>
          <w:p w14:paraId="1CAFA2D9"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105" w:type="dxa"/>
            <w:tcBorders>
              <w:top w:val="single" w:sz="4" w:space="0" w:color="7F7F7F" w:themeColor="text1" w:themeTint="80"/>
              <w:bottom w:val="single" w:sz="4" w:space="0" w:color="7F7F7F" w:themeColor="text1" w:themeTint="80"/>
            </w:tcBorders>
          </w:tcPr>
          <w:p w14:paraId="19071D53"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116.5± 12.41</w:t>
            </w:r>
            <w:r>
              <w:rPr>
                <w:rFonts w:ascii="Times New Roman" w:hAnsi="Times New Roman" w:cs="Times New Roman"/>
                <w:sz w:val="24"/>
                <w:szCs w:val="24"/>
                <w:vertAlign w:val="superscript"/>
              </w:rPr>
              <w:t>Aa</w:t>
            </w:r>
          </w:p>
        </w:tc>
        <w:tc>
          <w:tcPr>
            <w:tcW w:w="2126" w:type="dxa"/>
            <w:tcBorders>
              <w:top w:val="single" w:sz="4" w:space="0" w:color="7F7F7F" w:themeColor="text1" w:themeTint="80"/>
              <w:bottom w:val="single" w:sz="4" w:space="0" w:color="7F7F7F" w:themeColor="text1" w:themeTint="80"/>
            </w:tcBorders>
          </w:tcPr>
          <w:p w14:paraId="40FCBF5C"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96.12± 7.45</w:t>
            </w:r>
            <w:r>
              <w:rPr>
                <w:rFonts w:ascii="Times New Roman" w:hAnsi="Times New Roman" w:cs="Times New Roman"/>
                <w:sz w:val="24"/>
                <w:szCs w:val="24"/>
                <w:vertAlign w:val="superscript"/>
              </w:rPr>
              <w:t>Ba</w:t>
            </w:r>
          </w:p>
        </w:tc>
      </w:tr>
      <w:tr w:rsidR="00B2699B" w14:paraId="0EBEE465"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098D5CF4" w14:textId="77777777" w:rsidR="00B2699B" w:rsidRDefault="00B2699B">
            <w:pPr>
              <w:spacing w:before="120" w:after="120" w:line="360" w:lineRule="auto"/>
              <w:ind w:right="-28"/>
              <w:jc w:val="center"/>
              <w:rPr>
                <w:rFonts w:ascii="Times New Roman" w:hAnsi="Times New Roman" w:cs="Times New Roman"/>
                <w:b w:val="0"/>
                <w:bCs w:val="0"/>
                <w:sz w:val="24"/>
                <w:szCs w:val="24"/>
              </w:rPr>
            </w:pPr>
          </w:p>
        </w:tc>
        <w:tc>
          <w:tcPr>
            <w:tcW w:w="2710" w:type="dxa"/>
            <w:vMerge/>
          </w:tcPr>
          <w:p w14:paraId="0F33B571" w14:textId="77777777" w:rsidR="00B2699B" w:rsidRDefault="00B2699B">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4DC45763"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105" w:type="dxa"/>
          </w:tcPr>
          <w:p w14:paraId="005958AB"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122.08± 9.56</w:t>
            </w:r>
            <w:r>
              <w:rPr>
                <w:rFonts w:ascii="Times New Roman" w:hAnsi="Times New Roman" w:cs="Times New Roman"/>
                <w:sz w:val="24"/>
                <w:szCs w:val="24"/>
                <w:vertAlign w:val="superscript"/>
              </w:rPr>
              <w:t>Aa</w:t>
            </w:r>
          </w:p>
        </w:tc>
        <w:tc>
          <w:tcPr>
            <w:tcW w:w="2126" w:type="dxa"/>
          </w:tcPr>
          <w:p w14:paraId="7EAB5A94"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88.36± 5.82</w:t>
            </w:r>
            <w:r>
              <w:rPr>
                <w:rFonts w:ascii="Times New Roman" w:hAnsi="Times New Roman" w:cs="Times New Roman"/>
                <w:sz w:val="24"/>
                <w:szCs w:val="24"/>
                <w:vertAlign w:val="superscript"/>
              </w:rPr>
              <w:t>Aa</w:t>
            </w:r>
          </w:p>
        </w:tc>
      </w:tr>
      <w:tr w:rsidR="00B2699B" w14:paraId="58C89E5B"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tcBorders>
              <w:top w:val="single" w:sz="4" w:space="0" w:color="7F7F7F" w:themeColor="text1" w:themeTint="80"/>
              <w:bottom w:val="single" w:sz="4" w:space="0" w:color="7F7F7F" w:themeColor="text1" w:themeTint="80"/>
            </w:tcBorders>
          </w:tcPr>
          <w:p w14:paraId="4C4CA585" w14:textId="77777777" w:rsidR="00B2699B" w:rsidRDefault="00B2699B">
            <w:pPr>
              <w:spacing w:before="120" w:after="120" w:line="360" w:lineRule="auto"/>
              <w:ind w:right="-28"/>
              <w:jc w:val="center"/>
              <w:rPr>
                <w:rFonts w:ascii="Times New Roman" w:hAnsi="Times New Roman" w:cs="Times New Roman"/>
                <w:b w:val="0"/>
                <w:bCs w:val="0"/>
                <w:sz w:val="24"/>
                <w:szCs w:val="24"/>
              </w:rPr>
            </w:pPr>
          </w:p>
        </w:tc>
        <w:tc>
          <w:tcPr>
            <w:tcW w:w="2710" w:type="dxa"/>
            <w:vMerge/>
            <w:tcBorders>
              <w:top w:val="single" w:sz="4" w:space="0" w:color="7F7F7F" w:themeColor="text1" w:themeTint="80"/>
              <w:bottom w:val="single" w:sz="4" w:space="0" w:color="7F7F7F" w:themeColor="text1" w:themeTint="80"/>
            </w:tcBorders>
          </w:tcPr>
          <w:p w14:paraId="3376CD50" w14:textId="77777777" w:rsidR="00B2699B" w:rsidRDefault="00B2699B">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6FAF4269"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105" w:type="dxa"/>
            <w:tcBorders>
              <w:top w:val="single" w:sz="4" w:space="0" w:color="7F7F7F" w:themeColor="text1" w:themeTint="80"/>
              <w:bottom w:val="single" w:sz="4" w:space="0" w:color="7F7F7F" w:themeColor="text1" w:themeTint="80"/>
            </w:tcBorders>
          </w:tcPr>
          <w:p w14:paraId="3193B9DF"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 7.28</w:t>
            </w:r>
            <w:r>
              <w:rPr>
                <w:rFonts w:ascii="Times New Roman" w:hAnsi="Times New Roman" w:cs="Times New Roman"/>
                <w:sz w:val="24"/>
                <w:szCs w:val="24"/>
                <w:vertAlign w:val="superscript"/>
              </w:rPr>
              <w:t>Ab</w:t>
            </w:r>
          </w:p>
        </w:tc>
        <w:tc>
          <w:tcPr>
            <w:tcW w:w="2126" w:type="dxa"/>
            <w:tcBorders>
              <w:top w:val="single" w:sz="4" w:space="0" w:color="7F7F7F" w:themeColor="text1" w:themeTint="80"/>
              <w:bottom w:val="single" w:sz="4" w:space="0" w:color="7F7F7F" w:themeColor="text1" w:themeTint="80"/>
            </w:tcBorders>
          </w:tcPr>
          <w:p w14:paraId="0B4E6014"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65.68± 7.48</w:t>
            </w:r>
            <w:r>
              <w:rPr>
                <w:rFonts w:ascii="Times New Roman" w:hAnsi="Times New Roman" w:cs="Times New Roman"/>
                <w:sz w:val="24"/>
                <w:szCs w:val="24"/>
                <w:vertAlign w:val="superscript"/>
              </w:rPr>
              <w:t>Ab</w:t>
            </w:r>
          </w:p>
        </w:tc>
      </w:tr>
      <w:tr w:rsidR="00B2699B" w14:paraId="78EA14BD"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236FE0A7" w14:textId="77777777" w:rsidR="00B2699B" w:rsidRDefault="00D44AF2">
            <w:pPr>
              <w:spacing w:before="120" w:after="12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3.</w:t>
            </w:r>
          </w:p>
        </w:tc>
        <w:tc>
          <w:tcPr>
            <w:tcW w:w="2710" w:type="dxa"/>
            <w:vMerge w:val="restart"/>
          </w:tcPr>
          <w:p w14:paraId="160A271C"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HDL-C (mg/dL)</w:t>
            </w:r>
          </w:p>
        </w:tc>
        <w:tc>
          <w:tcPr>
            <w:tcW w:w="1287" w:type="dxa"/>
          </w:tcPr>
          <w:p w14:paraId="1E8B18BE"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105" w:type="dxa"/>
          </w:tcPr>
          <w:p w14:paraId="5940F402"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135.2± 13.17</w:t>
            </w:r>
            <w:r>
              <w:rPr>
                <w:rFonts w:ascii="Times New Roman" w:hAnsi="Times New Roman" w:cs="Times New Roman"/>
                <w:sz w:val="24"/>
                <w:szCs w:val="24"/>
                <w:vertAlign w:val="superscript"/>
              </w:rPr>
              <w:t>A</w:t>
            </w:r>
          </w:p>
        </w:tc>
        <w:tc>
          <w:tcPr>
            <w:tcW w:w="2126" w:type="dxa"/>
          </w:tcPr>
          <w:p w14:paraId="2BDDD967"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149.07± 9.77</w:t>
            </w:r>
            <w:r>
              <w:rPr>
                <w:rFonts w:ascii="Times New Roman" w:hAnsi="Times New Roman" w:cs="Times New Roman"/>
                <w:sz w:val="24"/>
                <w:szCs w:val="24"/>
                <w:vertAlign w:val="superscript"/>
              </w:rPr>
              <w:t xml:space="preserve"> A</w:t>
            </w:r>
          </w:p>
        </w:tc>
      </w:tr>
      <w:tr w:rsidR="00B2699B" w14:paraId="7AE80050"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tcBorders>
              <w:top w:val="single" w:sz="4" w:space="0" w:color="7F7F7F" w:themeColor="text1" w:themeTint="80"/>
              <w:bottom w:val="single" w:sz="4" w:space="0" w:color="7F7F7F" w:themeColor="text1" w:themeTint="80"/>
            </w:tcBorders>
          </w:tcPr>
          <w:p w14:paraId="472A8C13" w14:textId="77777777" w:rsidR="00B2699B" w:rsidRDefault="00B2699B">
            <w:pPr>
              <w:spacing w:before="120" w:after="120" w:line="360" w:lineRule="auto"/>
              <w:ind w:right="-28"/>
              <w:jc w:val="center"/>
              <w:rPr>
                <w:rFonts w:ascii="Times New Roman" w:hAnsi="Times New Roman" w:cs="Times New Roman"/>
                <w:b w:val="0"/>
                <w:bCs w:val="0"/>
                <w:sz w:val="24"/>
                <w:szCs w:val="24"/>
              </w:rPr>
            </w:pPr>
          </w:p>
        </w:tc>
        <w:tc>
          <w:tcPr>
            <w:tcW w:w="2710" w:type="dxa"/>
            <w:vMerge/>
            <w:tcBorders>
              <w:top w:val="single" w:sz="4" w:space="0" w:color="7F7F7F" w:themeColor="text1" w:themeTint="80"/>
              <w:bottom w:val="single" w:sz="4" w:space="0" w:color="7F7F7F" w:themeColor="text1" w:themeTint="80"/>
            </w:tcBorders>
          </w:tcPr>
          <w:p w14:paraId="464C80A8" w14:textId="77777777" w:rsidR="00B2699B" w:rsidRDefault="00B2699B">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7FF07901"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105" w:type="dxa"/>
            <w:tcBorders>
              <w:top w:val="single" w:sz="4" w:space="0" w:color="7F7F7F" w:themeColor="text1" w:themeTint="80"/>
              <w:bottom w:val="single" w:sz="4" w:space="0" w:color="7F7F7F" w:themeColor="text1" w:themeTint="80"/>
            </w:tcBorders>
          </w:tcPr>
          <w:p w14:paraId="475F229C"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135.3± 10.56</w:t>
            </w:r>
            <w:r>
              <w:rPr>
                <w:rFonts w:ascii="Times New Roman" w:hAnsi="Times New Roman" w:cs="Times New Roman"/>
                <w:sz w:val="24"/>
                <w:szCs w:val="24"/>
                <w:vertAlign w:val="superscript"/>
              </w:rPr>
              <w:t>B</w:t>
            </w:r>
          </w:p>
        </w:tc>
        <w:tc>
          <w:tcPr>
            <w:tcW w:w="2126" w:type="dxa"/>
            <w:tcBorders>
              <w:top w:val="single" w:sz="4" w:space="0" w:color="7F7F7F" w:themeColor="text1" w:themeTint="80"/>
              <w:bottom w:val="single" w:sz="4" w:space="0" w:color="7F7F7F" w:themeColor="text1" w:themeTint="80"/>
            </w:tcBorders>
          </w:tcPr>
          <w:p w14:paraId="27BF8F45"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151.63± 8.06</w:t>
            </w:r>
            <w:r>
              <w:rPr>
                <w:rFonts w:ascii="Times New Roman" w:hAnsi="Times New Roman" w:cs="Times New Roman"/>
                <w:sz w:val="24"/>
                <w:szCs w:val="24"/>
                <w:vertAlign w:val="superscript"/>
              </w:rPr>
              <w:t xml:space="preserve"> A</w:t>
            </w:r>
          </w:p>
        </w:tc>
      </w:tr>
      <w:tr w:rsidR="00B2699B" w14:paraId="54E30B8E"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3160EA62" w14:textId="77777777" w:rsidR="00B2699B" w:rsidRDefault="00B2699B">
            <w:pPr>
              <w:spacing w:before="120" w:after="120" w:line="360" w:lineRule="auto"/>
              <w:ind w:right="-28"/>
              <w:jc w:val="center"/>
              <w:rPr>
                <w:rFonts w:ascii="Times New Roman" w:hAnsi="Times New Roman" w:cs="Times New Roman"/>
                <w:b w:val="0"/>
                <w:bCs w:val="0"/>
                <w:sz w:val="24"/>
                <w:szCs w:val="24"/>
              </w:rPr>
            </w:pPr>
          </w:p>
        </w:tc>
        <w:tc>
          <w:tcPr>
            <w:tcW w:w="2710" w:type="dxa"/>
            <w:vMerge/>
          </w:tcPr>
          <w:p w14:paraId="6E0C8C0A" w14:textId="77777777" w:rsidR="00B2699B" w:rsidRDefault="00B2699B">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72653EAF"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105" w:type="dxa"/>
          </w:tcPr>
          <w:p w14:paraId="3122C4DF"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123.4± 14.34</w:t>
            </w:r>
            <w:r>
              <w:rPr>
                <w:rFonts w:ascii="Times New Roman" w:hAnsi="Times New Roman" w:cs="Times New Roman"/>
                <w:sz w:val="24"/>
                <w:szCs w:val="24"/>
                <w:vertAlign w:val="superscript"/>
              </w:rPr>
              <w:t>A</w:t>
            </w:r>
          </w:p>
        </w:tc>
        <w:tc>
          <w:tcPr>
            <w:tcW w:w="2126" w:type="dxa"/>
          </w:tcPr>
          <w:p w14:paraId="1DE77E3F"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124.5± 13.96</w:t>
            </w:r>
            <w:r>
              <w:rPr>
                <w:rFonts w:ascii="Times New Roman" w:hAnsi="Times New Roman" w:cs="Times New Roman"/>
                <w:sz w:val="24"/>
                <w:szCs w:val="24"/>
                <w:vertAlign w:val="superscript"/>
              </w:rPr>
              <w:t>A</w:t>
            </w:r>
          </w:p>
        </w:tc>
      </w:tr>
      <w:tr w:rsidR="00B2699B" w14:paraId="33133E95"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Borders>
              <w:top w:val="single" w:sz="4" w:space="0" w:color="7F7F7F" w:themeColor="text1" w:themeTint="80"/>
              <w:bottom w:val="single" w:sz="4" w:space="0" w:color="7F7F7F" w:themeColor="text1" w:themeTint="80"/>
            </w:tcBorders>
          </w:tcPr>
          <w:p w14:paraId="253F2A2B" w14:textId="77777777" w:rsidR="00B2699B" w:rsidRDefault="00D44AF2">
            <w:pPr>
              <w:spacing w:before="120" w:after="12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4.</w:t>
            </w:r>
          </w:p>
        </w:tc>
        <w:tc>
          <w:tcPr>
            <w:tcW w:w="2710" w:type="dxa"/>
            <w:vMerge w:val="restart"/>
            <w:tcBorders>
              <w:top w:val="single" w:sz="4" w:space="0" w:color="7F7F7F" w:themeColor="text1" w:themeTint="80"/>
              <w:bottom w:val="single" w:sz="4" w:space="0" w:color="7F7F7F" w:themeColor="text1" w:themeTint="80"/>
            </w:tcBorders>
          </w:tcPr>
          <w:p w14:paraId="03417676"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LDL-C (mg/dL)</w:t>
            </w:r>
          </w:p>
        </w:tc>
        <w:tc>
          <w:tcPr>
            <w:tcW w:w="1287" w:type="dxa"/>
            <w:tcBorders>
              <w:top w:val="single" w:sz="4" w:space="0" w:color="7F7F7F" w:themeColor="text1" w:themeTint="80"/>
              <w:bottom w:val="single" w:sz="4" w:space="0" w:color="7F7F7F" w:themeColor="text1" w:themeTint="80"/>
            </w:tcBorders>
          </w:tcPr>
          <w:p w14:paraId="016A413F"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2105" w:type="dxa"/>
            <w:tcBorders>
              <w:top w:val="single" w:sz="4" w:space="0" w:color="7F7F7F" w:themeColor="text1" w:themeTint="80"/>
              <w:bottom w:val="single" w:sz="4" w:space="0" w:color="7F7F7F" w:themeColor="text1" w:themeTint="80"/>
            </w:tcBorders>
          </w:tcPr>
          <w:p w14:paraId="6455C017"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79.67± 8.22</w:t>
            </w:r>
            <w:r>
              <w:rPr>
                <w:rFonts w:ascii="Times New Roman" w:hAnsi="Times New Roman" w:cs="Times New Roman"/>
                <w:sz w:val="24"/>
                <w:szCs w:val="24"/>
                <w:vertAlign w:val="superscript"/>
              </w:rPr>
              <w:t>A</w:t>
            </w:r>
          </w:p>
        </w:tc>
        <w:tc>
          <w:tcPr>
            <w:tcW w:w="2126" w:type="dxa"/>
            <w:tcBorders>
              <w:top w:val="single" w:sz="4" w:space="0" w:color="7F7F7F" w:themeColor="text1" w:themeTint="80"/>
              <w:bottom w:val="single" w:sz="4" w:space="0" w:color="7F7F7F" w:themeColor="text1" w:themeTint="80"/>
            </w:tcBorders>
          </w:tcPr>
          <w:p w14:paraId="48B717A7"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70.68± 8.17</w:t>
            </w:r>
            <w:r>
              <w:rPr>
                <w:rFonts w:ascii="Times New Roman" w:hAnsi="Times New Roman" w:cs="Times New Roman"/>
                <w:sz w:val="24"/>
                <w:szCs w:val="24"/>
                <w:vertAlign w:val="superscript"/>
              </w:rPr>
              <w:t>A</w:t>
            </w:r>
          </w:p>
        </w:tc>
      </w:tr>
      <w:tr w:rsidR="00B2699B" w14:paraId="01EA3E47"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0454969A" w14:textId="77777777" w:rsidR="00B2699B" w:rsidRDefault="00B2699B">
            <w:pPr>
              <w:spacing w:before="120" w:after="120" w:line="360" w:lineRule="auto"/>
              <w:ind w:right="-28"/>
              <w:jc w:val="center"/>
              <w:rPr>
                <w:rFonts w:ascii="Times New Roman" w:hAnsi="Times New Roman" w:cs="Times New Roman"/>
                <w:b w:val="0"/>
                <w:bCs w:val="0"/>
                <w:sz w:val="24"/>
                <w:szCs w:val="24"/>
              </w:rPr>
            </w:pPr>
          </w:p>
        </w:tc>
        <w:tc>
          <w:tcPr>
            <w:tcW w:w="2710" w:type="dxa"/>
            <w:vMerge/>
          </w:tcPr>
          <w:p w14:paraId="3C223576" w14:textId="77777777" w:rsidR="00B2699B" w:rsidRDefault="00B2699B">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0769CD75"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2105" w:type="dxa"/>
          </w:tcPr>
          <w:p w14:paraId="00FBAFF7"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82.49± 6.94</w:t>
            </w:r>
            <w:r>
              <w:rPr>
                <w:rFonts w:ascii="Times New Roman" w:hAnsi="Times New Roman" w:cs="Times New Roman"/>
                <w:sz w:val="24"/>
                <w:szCs w:val="24"/>
                <w:vertAlign w:val="superscript"/>
              </w:rPr>
              <w:t>A</w:t>
            </w:r>
          </w:p>
        </w:tc>
        <w:tc>
          <w:tcPr>
            <w:tcW w:w="2126" w:type="dxa"/>
          </w:tcPr>
          <w:p w14:paraId="529A3B85"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73.81± 6.15</w:t>
            </w:r>
            <w:r>
              <w:rPr>
                <w:rFonts w:ascii="Times New Roman" w:hAnsi="Times New Roman" w:cs="Times New Roman"/>
                <w:sz w:val="24"/>
                <w:szCs w:val="24"/>
                <w:vertAlign w:val="superscript"/>
              </w:rPr>
              <w:t>B</w:t>
            </w:r>
          </w:p>
        </w:tc>
      </w:tr>
      <w:tr w:rsidR="00B2699B" w14:paraId="16A064C3"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39" w:type="dxa"/>
            <w:vMerge/>
            <w:tcBorders>
              <w:top w:val="single" w:sz="4" w:space="0" w:color="7F7F7F" w:themeColor="text1" w:themeTint="80"/>
              <w:bottom w:val="single" w:sz="4" w:space="0" w:color="7F7F7F" w:themeColor="text1" w:themeTint="80"/>
            </w:tcBorders>
          </w:tcPr>
          <w:p w14:paraId="1263EA62" w14:textId="77777777" w:rsidR="00B2699B" w:rsidRDefault="00B2699B">
            <w:pPr>
              <w:spacing w:before="120" w:after="120" w:line="360" w:lineRule="auto"/>
              <w:ind w:right="-28"/>
              <w:jc w:val="center"/>
              <w:rPr>
                <w:rFonts w:ascii="Times New Roman" w:hAnsi="Times New Roman" w:cs="Times New Roman"/>
                <w:b w:val="0"/>
                <w:bCs w:val="0"/>
                <w:sz w:val="24"/>
                <w:szCs w:val="24"/>
              </w:rPr>
            </w:pPr>
          </w:p>
        </w:tc>
        <w:tc>
          <w:tcPr>
            <w:tcW w:w="2710" w:type="dxa"/>
            <w:vMerge/>
            <w:tcBorders>
              <w:top w:val="single" w:sz="4" w:space="0" w:color="7F7F7F" w:themeColor="text1" w:themeTint="80"/>
              <w:bottom w:val="single" w:sz="4" w:space="0" w:color="7F7F7F" w:themeColor="text1" w:themeTint="80"/>
            </w:tcBorders>
          </w:tcPr>
          <w:p w14:paraId="1E237B1C" w14:textId="77777777" w:rsidR="00B2699B" w:rsidRDefault="00B2699B">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Borders>
              <w:top w:val="single" w:sz="4" w:space="0" w:color="7F7F7F" w:themeColor="text1" w:themeTint="80"/>
              <w:bottom w:val="single" w:sz="4" w:space="0" w:color="7F7F7F" w:themeColor="text1" w:themeTint="80"/>
            </w:tcBorders>
          </w:tcPr>
          <w:p w14:paraId="5236B2EB"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2105" w:type="dxa"/>
            <w:tcBorders>
              <w:top w:val="single" w:sz="4" w:space="0" w:color="7F7F7F" w:themeColor="text1" w:themeTint="80"/>
              <w:bottom w:val="single" w:sz="4" w:space="0" w:color="7F7F7F" w:themeColor="text1" w:themeTint="80"/>
            </w:tcBorders>
          </w:tcPr>
          <w:p w14:paraId="177AC1BB"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68.68± 5.41</w:t>
            </w:r>
            <w:r>
              <w:rPr>
                <w:rFonts w:ascii="Times New Roman" w:hAnsi="Times New Roman" w:cs="Times New Roman"/>
                <w:sz w:val="24"/>
                <w:szCs w:val="24"/>
                <w:vertAlign w:val="superscript"/>
              </w:rPr>
              <w:t>A</w:t>
            </w:r>
          </w:p>
        </w:tc>
        <w:tc>
          <w:tcPr>
            <w:tcW w:w="2126" w:type="dxa"/>
            <w:tcBorders>
              <w:top w:val="single" w:sz="4" w:space="0" w:color="7F7F7F" w:themeColor="text1" w:themeTint="80"/>
              <w:bottom w:val="single" w:sz="4" w:space="0" w:color="7F7F7F" w:themeColor="text1" w:themeTint="80"/>
            </w:tcBorders>
          </w:tcPr>
          <w:p w14:paraId="5B66ED09" w14:textId="77777777" w:rsidR="00B2699B" w:rsidRDefault="00D44AF2">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68.38± 5.39</w:t>
            </w:r>
            <w:r>
              <w:rPr>
                <w:rFonts w:ascii="Times New Roman" w:hAnsi="Times New Roman" w:cs="Times New Roman"/>
                <w:sz w:val="24"/>
                <w:szCs w:val="24"/>
                <w:vertAlign w:val="superscript"/>
              </w:rPr>
              <w:t>A</w:t>
            </w:r>
          </w:p>
        </w:tc>
      </w:tr>
    </w:tbl>
    <w:p w14:paraId="2246554C" w14:textId="77777777" w:rsidR="00B2699B" w:rsidRDefault="00D44AF2">
      <w:pPr>
        <w:spacing w:after="120" w:line="360" w:lineRule="auto"/>
        <w:ind w:right="-28"/>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   Mean values with different superscript between groups (lowercase) and between intervals (uppercase) differ     significantly (p&lt;0.05)</w:t>
      </w:r>
    </w:p>
    <w:p w14:paraId="7F4310E2"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Electrolyte Profile</w:t>
      </w:r>
    </w:p>
    <w:p w14:paraId="4AEBAADB" w14:textId="77777777" w:rsidR="00B2699B" w:rsidRDefault="00D44AF2">
      <w:pPr>
        <w:spacing w:after="120" w:line="360" w:lineRule="auto"/>
        <w:ind w:right="-28" w:firstLine="1440"/>
        <w:jc w:val="both"/>
        <w:rPr>
          <w:rFonts w:ascii="Times New Roman" w:hAnsi="Times New Roman" w:cs="Times New Roman"/>
          <w:sz w:val="24"/>
          <w:szCs w:val="24"/>
        </w:rPr>
      </w:pPr>
      <w:r>
        <w:rPr>
          <w:rFonts w:ascii="Times New Roman" w:hAnsi="Times New Roman" w:cs="Times New Roman"/>
          <w:sz w:val="24"/>
          <w:szCs w:val="24"/>
        </w:rPr>
        <w:t>Analysis of data revealed that serum electrolyte parameters (sodium, potassium, chloride and calcium) in all 12 dogs were evaluated on day 0 (pre-treatment) and day 28 (post-</w:t>
      </w:r>
      <w:r>
        <w:rPr>
          <w:rFonts w:ascii="Times New Roman" w:hAnsi="Times New Roman" w:cs="Times New Roman"/>
          <w:sz w:val="24"/>
          <w:szCs w:val="24"/>
        </w:rPr>
        <w:lastRenderedPageBreak/>
        <w:t>treatment) and compared with apparently healthy controls. The mean values of serum sodium, chloride and calcium concentrations in showed significant improvement with overall greater improvement observed in G2 compared to G1. However, mean serum potassium concentrations did not differ significantly and the values remained within the physiological range (Table 06).</w:t>
      </w:r>
    </w:p>
    <w:p w14:paraId="4E067E08"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electrolyte alterations (Sodium, chloride, calcium) observed in the present study largely corroborate with earlier reports by Priyanka (2010) and Charitha </w:t>
      </w:r>
      <w:r>
        <w:rPr>
          <w:rFonts w:ascii="Times New Roman" w:hAnsi="Times New Roman" w:cs="Times New Roman"/>
          <w:i/>
          <w:iCs/>
          <w:sz w:val="24"/>
          <w:szCs w:val="24"/>
        </w:rPr>
        <w:t>et al</w:t>
      </w:r>
      <w:r>
        <w:rPr>
          <w:rFonts w:ascii="Times New Roman" w:hAnsi="Times New Roman" w:cs="Times New Roman"/>
          <w:sz w:val="24"/>
          <w:szCs w:val="24"/>
        </w:rPr>
        <w:t xml:space="preserve">. (2023). Serum potassium concentrations showed a non-significant reduction, which </w:t>
      </w:r>
      <w:proofErr w:type="gramStart"/>
      <w:r>
        <w:rPr>
          <w:rFonts w:ascii="Times New Roman" w:hAnsi="Times New Roman" w:cs="Times New Roman"/>
          <w:sz w:val="24"/>
          <w:szCs w:val="24"/>
        </w:rPr>
        <w:t>is in agreement</w:t>
      </w:r>
      <w:proofErr w:type="gramEnd"/>
      <w:r>
        <w:rPr>
          <w:rFonts w:ascii="Times New Roman" w:hAnsi="Times New Roman" w:cs="Times New Roman"/>
          <w:sz w:val="24"/>
          <w:szCs w:val="24"/>
        </w:rPr>
        <w:t xml:space="preserve"> with findings of Acierno </w:t>
      </w:r>
      <w:r>
        <w:rPr>
          <w:rFonts w:ascii="Times New Roman" w:hAnsi="Times New Roman" w:cs="Times New Roman"/>
          <w:i/>
          <w:iCs/>
          <w:sz w:val="24"/>
          <w:szCs w:val="24"/>
        </w:rPr>
        <w:t>et al</w:t>
      </w:r>
      <w:r>
        <w:rPr>
          <w:rFonts w:ascii="Times New Roman" w:hAnsi="Times New Roman" w:cs="Times New Roman"/>
          <w:sz w:val="24"/>
          <w:szCs w:val="24"/>
        </w:rPr>
        <w:t xml:space="preserve">. (2018), Caro-Vadillo </w:t>
      </w:r>
      <w:r>
        <w:rPr>
          <w:rFonts w:ascii="Times New Roman" w:hAnsi="Times New Roman" w:cs="Times New Roman"/>
          <w:i/>
          <w:iCs/>
          <w:sz w:val="24"/>
          <w:szCs w:val="24"/>
        </w:rPr>
        <w:t>et al</w:t>
      </w:r>
      <w:r>
        <w:rPr>
          <w:rFonts w:ascii="Times New Roman" w:hAnsi="Times New Roman" w:cs="Times New Roman"/>
          <w:sz w:val="24"/>
          <w:szCs w:val="24"/>
        </w:rPr>
        <w:t xml:space="preserve">. (2018) and Charitha </w:t>
      </w:r>
      <w:r>
        <w:rPr>
          <w:rFonts w:ascii="Times New Roman" w:hAnsi="Times New Roman" w:cs="Times New Roman"/>
          <w:i/>
          <w:iCs/>
          <w:sz w:val="24"/>
          <w:szCs w:val="24"/>
        </w:rPr>
        <w:t>et al</w:t>
      </w:r>
      <w:r>
        <w:rPr>
          <w:rFonts w:ascii="Times New Roman" w:hAnsi="Times New Roman" w:cs="Times New Roman"/>
          <w:sz w:val="24"/>
          <w:szCs w:val="24"/>
        </w:rPr>
        <w:t xml:space="preserve">. (2023), who noted that potassium levels generally remain stable in hypertensive dogs, although on contrary reports by Lee and Hyun (2009) and Jose </w:t>
      </w:r>
      <w:r>
        <w:rPr>
          <w:rFonts w:ascii="Times New Roman" w:hAnsi="Times New Roman" w:cs="Times New Roman"/>
          <w:i/>
          <w:iCs/>
          <w:sz w:val="24"/>
          <w:szCs w:val="24"/>
        </w:rPr>
        <w:t>et al</w:t>
      </w:r>
      <w:r>
        <w:rPr>
          <w:rFonts w:ascii="Times New Roman" w:hAnsi="Times New Roman" w:cs="Times New Roman"/>
          <w:sz w:val="24"/>
          <w:szCs w:val="24"/>
        </w:rPr>
        <w:t xml:space="preserve">. (2020) have described significant potassium abnormalities, particularly in dogs with hypertension secondary to chronic kidney disease. Likewise, Jose </w:t>
      </w:r>
      <w:r>
        <w:rPr>
          <w:rFonts w:ascii="Times New Roman" w:hAnsi="Times New Roman" w:cs="Times New Roman"/>
          <w:i/>
          <w:iCs/>
          <w:sz w:val="24"/>
          <w:szCs w:val="24"/>
        </w:rPr>
        <w:t>et al</w:t>
      </w:r>
      <w:r>
        <w:rPr>
          <w:rFonts w:ascii="Times New Roman" w:hAnsi="Times New Roman" w:cs="Times New Roman"/>
          <w:sz w:val="24"/>
          <w:szCs w:val="24"/>
        </w:rPr>
        <w:t xml:space="preserve">. (2020) and Beeston </w:t>
      </w:r>
      <w:r>
        <w:rPr>
          <w:rFonts w:ascii="Times New Roman" w:hAnsi="Times New Roman" w:cs="Times New Roman"/>
          <w:i/>
          <w:iCs/>
          <w:sz w:val="24"/>
          <w:szCs w:val="24"/>
        </w:rPr>
        <w:t>et al</w:t>
      </w:r>
      <w:r>
        <w:rPr>
          <w:rFonts w:ascii="Times New Roman" w:hAnsi="Times New Roman" w:cs="Times New Roman"/>
          <w:sz w:val="24"/>
          <w:szCs w:val="24"/>
        </w:rPr>
        <w:t xml:space="preserve">. (2022) reported non-significant variations in sodium and chloride levels, highlighting inter-study variability. This variation may be due to underlying renal dysfunction, hormonal dysregulation and altered fluid balance. Hypokalaemia may result from enhanced aldosterone activity, increased renal potassium excretion or diuretic therapy, whereas sodium alterations reflect impaired renal handling of electrolytes and water. Changes in serum calcium levels may be associated with renal insufficiency, altered vitamin D metabolism or parathyroid hormone dysregulation. These electrolyte disturbances can further exacerbate hypertension by increasing vascular reactivity, myocardial excitability and peripheral resistance. </w:t>
      </w:r>
    </w:p>
    <w:p w14:paraId="6A1DD704" w14:textId="77777777" w:rsidR="00B2699B" w:rsidRDefault="00D44AF2">
      <w:pPr>
        <w:spacing w:after="120" w:line="360" w:lineRule="auto"/>
        <w:ind w:left="993" w:right="-28" w:hanging="1135"/>
        <w:jc w:val="both"/>
        <w:rPr>
          <w:rFonts w:ascii="Times New Roman" w:hAnsi="Times New Roman" w:cs="Times New Roman"/>
          <w:b/>
          <w:bCs/>
          <w:sz w:val="24"/>
          <w:szCs w:val="24"/>
        </w:rPr>
      </w:pPr>
      <w:r>
        <w:rPr>
          <w:rFonts w:ascii="Times New Roman" w:hAnsi="Times New Roman" w:cs="Times New Roman"/>
          <w:b/>
          <w:bCs/>
          <w:sz w:val="24"/>
          <w:szCs w:val="24"/>
        </w:rPr>
        <w:t xml:space="preserve">  Table 06: Mean values of electrolyte profile of dogs with systemic hypertension in different treatment groups at different intervals</w:t>
      </w:r>
      <w:r>
        <w:rPr>
          <w:rFonts w:ascii="Times New Roman" w:hAnsi="Times New Roman" w:cs="Times New Roman"/>
          <w:b/>
          <w:bCs/>
          <w:sz w:val="24"/>
          <w:szCs w:val="24"/>
          <w:lang w:val="en-US"/>
        </w:rPr>
        <w:t xml:space="preserve"> </w:t>
      </w:r>
    </w:p>
    <w:tbl>
      <w:tblPr>
        <w:tblStyle w:val="PlainTable21"/>
        <w:tblW w:w="8685" w:type="dxa"/>
        <w:tblLook w:val="04A0" w:firstRow="1" w:lastRow="0" w:firstColumn="1" w:lastColumn="0" w:noHBand="0" w:noVBand="1"/>
      </w:tblPr>
      <w:tblGrid>
        <w:gridCol w:w="846"/>
        <w:gridCol w:w="2466"/>
        <w:gridCol w:w="1871"/>
        <w:gridCol w:w="1758"/>
        <w:gridCol w:w="1744"/>
      </w:tblGrid>
      <w:tr w:rsidR="00B2699B" w14:paraId="5D53397F" w14:textId="77777777" w:rsidTr="00B2699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5CE93B1" w14:textId="77777777" w:rsidR="00B2699B" w:rsidRDefault="00D44AF2">
            <w:pPr>
              <w:spacing w:before="60" w:after="60" w:line="360" w:lineRule="auto"/>
              <w:ind w:right="-28"/>
              <w:jc w:val="center"/>
              <w:rPr>
                <w:rFonts w:ascii="Times New Roman" w:hAnsi="Times New Roman" w:cs="Times New Roman"/>
                <w:bCs w:val="0"/>
                <w:sz w:val="24"/>
                <w:szCs w:val="24"/>
              </w:rPr>
            </w:pPr>
            <w:proofErr w:type="spellStart"/>
            <w:r>
              <w:rPr>
                <w:rFonts w:ascii="Times New Roman" w:hAnsi="Times New Roman" w:cs="Times New Roman"/>
                <w:sz w:val="24"/>
                <w:szCs w:val="24"/>
              </w:rPr>
              <w:t>S.No</w:t>
            </w:r>
            <w:proofErr w:type="spellEnd"/>
            <w:r>
              <w:rPr>
                <w:rFonts w:ascii="Times New Roman" w:hAnsi="Times New Roman" w:cs="Times New Roman"/>
                <w:sz w:val="24"/>
                <w:szCs w:val="24"/>
              </w:rPr>
              <w:t>.</w:t>
            </w:r>
          </w:p>
        </w:tc>
        <w:tc>
          <w:tcPr>
            <w:tcW w:w="2466" w:type="dxa"/>
            <w:vMerge w:val="restart"/>
          </w:tcPr>
          <w:p w14:paraId="31049B9C" w14:textId="77777777" w:rsidR="00B2699B" w:rsidRDefault="00D44AF2">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sz w:val="24"/>
                <w:szCs w:val="24"/>
              </w:rPr>
              <w:t>Parameters</w:t>
            </w:r>
          </w:p>
        </w:tc>
        <w:tc>
          <w:tcPr>
            <w:tcW w:w="1871" w:type="dxa"/>
            <w:vMerge w:val="restart"/>
          </w:tcPr>
          <w:p w14:paraId="18D26CE4" w14:textId="77777777" w:rsidR="00B2699B" w:rsidRDefault="00D44AF2">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sz w:val="24"/>
                <w:szCs w:val="24"/>
              </w:rPr>
              <w:t>Treatment Groups</w:t>
            </w:r>
          </w:p>
        </w:tc>
        <w:tc>
          <w:tcPr>
            <w:tcW w:w="3502" w:type="dxa"/>
            <w:gridSpan w:val="2"/>
          </w:tcPr>
          <w:p w14:paraId="5BA829AA" w14:textId="77777777" w:rsidR="00B2699B" w:rsidRDefault="00D44AF2">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sz w:val="24"/>
                <w:szCs w:val="24"/>
              </w:rPr>
              <w:t>Mean ± SE</w:t>
            </w:r>
          </w:p>
        </w:tc>
      </w:tr>
      <w:tr w:rsidR="00B2699B" w14:paraId="7F65E109"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7F7F7F" w:themeColor="text1" w:themeTint="80"/>
              <w:bottom w:val="single" w:sz="4" w:space="0" w:color="7F7F7F" w:themeColor="text1" w:themeTint="80"/>
            </w:tcBorders>
          </w:tcPr>
          <w:p w14:paraId="5CD195B3" w14:textId="77777777" w:rsidR="00B2699B" w:rsidRDefault="00B2699B">
            <w:pPr>
              <w:spacing w:before="60" w:after="60" w:line="360" w:lineRule="auto"/>
              <w:ind w:right="-28"/>
              <w:jc w:val="center"/>
              <w:rPr>
                <w:rFonts w:ascii="Times New Roman" w:hAnsi="Times New Roman" w:cs="Times New Roman"/>
                <w:bCs w:val="0"/>
                <w:sz w:val="24"/>
                <w:szCs w:val="24"/>
              </w:rPr>
            </w:pPr>
          </w:p>
        </w:tc>
        <w:tc>
          <w:tcPr>
            <w:tcW w:w="2466" w:type="dxa"/>
            <w:vMerge/>
            <w:tcBorders>
              <w:top w:val="single" w:sz="4" w:space="0" w:color="7F7F7F" w:themeColor="text1" w:themeTint="80"/>
              <w:bottom w:val="single" w:sz="4" w:space="0" w:color="7F7F7F" w:themeColor="text1" w:themeTint="80"/>
            </w:tcBorders>
          </w:tcPr>
          <w:p w14:paraId="6F68E8B0" w14:textId="77777777" w:rsidR="00B2699B" w:rsidRDefault="00B2699B">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871" w:type="dxa"/>
            <w:vMerge/>
            <w:tcBorders>
              <w:top w:val="single" w:sz="4" w:space="0" w:color="7F7F7F" w:themeColor="text1" w:themeTint="80"/>
              <w:bottom w:val="single" w:sz="4" w:space="0" w:color="7F7F7F" w:themeColor="text1" w:themeTint="80"/>
            </w:tcBorders>
          </w:tcPr>
          <w:p w14:paraId="26B3A106" w14:textId="77777777" w:rsidR="00B2699B" w:rsidRDefault="00B2699B">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758" w:type="dxa"/>
            <w:tcBorders>
              <w:top w:val="single" w:sz="4" w:space="0" w:color="7F7F7F" w:themeColor="text1" w:themeTint="80"/>
              <w:bottom w:val="single" w:sz="4" w:space="0" w:color="7F7F7F" w:themeColor="text1" w:themeTint="80"/>
            </w:tcBorders>
          </w:tcPr>
          <w:p w14:paraId="54352B09"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1744" w:type="dxa"/>
            <w:tcBorders>
              <w:top w:val="single" w:sz="4" w:space="0" w:color="7F7F7F" w:themeColor="text1" w:themeTint="80"/>
              <w:bottom w:val="single" w:sz="4" w:space="0" w:color="7F7F7F" w:themeColor="text1" w:themeTint="80"/>
            </w:tcBorders>
          </w:tcPr>
          <w:p w14:paraId="16C0D987"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B2699B" w14:paraId="0818E99A"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0277240A"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1.</w:t>
            </w:r>
          </w:p>
        </w:tc>
        <w:tc>
          <w:tcPr>
            <w:tcW w:w="2466" w:type="dxa"/>
            <w:vMerge w:val="restart"/>
          </w:tcPr>
          <w:p w14:paraId="2FAE3A39" w14:textId="77777777" w:rsidR="00B2699B" w:rsidRDefault="00D44AF2">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Sodium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/L)</w:t>
            </w:r>
          </w:p>
        </w:tc>
        <w:tc>
          <w:tcPr>
            <w:tcW w:w="1871" w:type="dxa"/>
          </w:tcPr>
          <w:p w14:paraId="49FC6517"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1758" w:type="dxa"/>
          </w:tcPr>
          <w:p w14:paraId="72BEFFAA"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157.60</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1.55</w:t>
            </w:r>
          </w:p>
        </w:tc>
        <w:tc>
          <w:tcPr>
            <w:tcW w:w="1744" w:type="dxa"/>
          </w:tcPr>
          <w:p w14:paraId="24631492"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152.20</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1.68</w:t>
            </w:r>
          </w:p>
        </w:tc>
      </w:tr>
      <w:tr w:rsidR="00B2699B" w14:paraId="713D7038"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7F7F7F" w:themeColor="text1" w:themeTint="80"/>
              <w:bottom w:val="single" w:sz="4" w:space="0" w:color="7F7F7F" w:themeColor="text1" w:themeTint="80"/>
            </w:tcBorders>
          </w:tcPr>
          <w:p w14:paraId="3EC67424"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66" w:type="dxa"/>
            <w:vMerge/>
            <w:tcBorders>
              <w:top w:val="single" w:sz="4" w:space="0" w:color="7F7F7F" w:themeColor="text1" w:themeTint="80"/>
              <w:bottom w:val="single" w:sz="4" w:space="0" w:color="7F7F7F" w:themeColor="text1" w:themeTint="80"/>
            </w:tcBorders>
          </w:tcPr>
          <w:p w14:paraId="5E624F96"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Borders>
              <w:top w:val="single" w:sz="4" w:space="0" w:color="7F7F7F" w:themeColor="text1" w:themeTint="80"/>
              <w:bottom w:val="single" w:sz="4" w:space="0" w:color="7F7F7F" w:themeColor="text1" w:themeTint="80"/>
            </w:tcBorders>
          </w:tcPr>
          <w:p w14:paraId="7C940468"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1758" w:type="dxa"/>
            <w:tcBorders>
              <w:top w:val="single" w:sz="4" w:space="0" w:color="7F7F7F" w:themeColor="text1" w:themeTint="80"/>
              <w:bottom w:val="single" w:sz="4" w:space="0" w:color="7F7F7F" w:themeColor="text1" w:themeTint="80"/>
            </w:tcBorders>
          </w:tcPr>
          <w:p w14:paraId="5579FE98"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161.65</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1.78</w:t>
            </w:r>
            <w:r>
              <w:rPr>
                <w:rFonts w:ascii="Times New Roman" w:hAnsi="Times New Roman" w:cs="Times New Roman"/>
                <w:sz w:val="24"/>
                <w:szCs w:val="24"/>
                <w:vertAlign w:val="superscript"/>
              </w:rPr>
              <w:t xml:space="preserve"> </w:t>
            </w:r>
          </w:p>
        </w:tc>
        <w:tc>
          <w:tcPr>
            <w:tcW w:w="1744" w:type="dxa"/>
            <w:tcBorders>
              <w:top w:val="single" w:sz="4" w:space="0" w:color="7F7F7F" w:themeColor="text1" w:themeTint="80"/>
              <w:bottom w:val="single" w:sz="4" w:space="0" w:color="7F7F7F" w:themeColor="text1" w:themeTint="80"/>
            </w:tcBorders>
          </w:tcPr>
          <w:p w14:paraId="4428EDF4"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148.89</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1.34</w:t>
            </w:r>
          </w:p>
        </w:tc>
      </w:tr>
      <w:tr w:rsidR="00B2699B" w14:paraId="7F5E9ECC"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5D071897"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66" w:type="dxa"/>
            <w:vMerge/>
          </w:tcPr>
          <w:p w14:paraId="7447499F"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6DE040C2"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1758" w:type="dxa"/>
          </w:tcPr>
          <w:p w14:paraId="4F21572D"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147.49</w:t>
            </w:r>
            <w:r>
              <w:rPr>
                <w:rFonts w:ascii="Times New Roman" w:hAnsi="Times New Roman" w:cs="Times New Roman"/>
                <w:color w:val="000000"/>
                <w:sz w:val="24"/>
                <w:szCs w:val="24"/>
                <w:vertAlign w:val="superscript"/>
              </w:rPr>
              <w:t xml:space="preserve"> Ab</w:t>
            </w:r>
            <w:r>
              <w:rPr>
                <w:rFonts w:ascii="Times New Roman" w:hAnsi="Times New Roman" w:cs="Times New Roman"/>
                <w:color w:val="000000"/>
                <w:sz w:val="24"/>
                <w:szCs w:val="24"/>
              </w:rPr>
              <w:t xml:space="preserve"> ± 1.34</w:t>
            </w:r>
          </w:p>
        </w:tc>
        <w:tc>
          <w:tcPr>
            <w:tcW w:w="1744" w:type="dxa"/>
          </w:tcPr>
          <w:p w14:paraId="4D1A2733"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147.49</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 1.57</w:t>
            </w:r>
          </w:p>
        </w:tc>
      </w:tr>
      <w:tr w:rsidR="00B2699B" w14:paraId="2B034438"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7F7F7F" w:themeColor="text1" w:themeTint="80"/>
              <w:bottom w:val="single" w:sz="4" w:space="0" w:color="7F7F7F" w:themeColor="text1" w:themeTint="80"/>
            </w:tcBorders>
          </w:tcPr>
          <w:p w14:paraId="6BFEFF0E"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2.</w:t>
            </w:r>
          </w:p>
        </w:tc>
        <w:tc>
          <w:tcPr>
            <w:tcW w:w="2466" w:type="dxa"/>
            <w:vMerge w:val="restart"/>
            <w:tcBorders>
              <w:top w:val="single" w:sz="4" w:space="0" w:color="7F7F7F" w:themeColor="text1" w:themeTint="80"/>
              <w:bottom w:val="single" w:sz="4" w:space="0" w:color="7F7F7F" w:themeColor="text1" w:themeTint="80"/>
            </w:tcBorders>
          </w:tcPr>
          <w:p w14:paraId="308B9B2C" w14:textId="77777777" w:rsidR="00B2699B" w:rsidRDefault="00D44AF2">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Potassium(</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/L)</w:t>
            </w:r>
          </w:p>
        </w:tc>
        <w:tc>
          <w:tcPr>
            <w:tcW w:w="1871" w:type="dxa"/>
            <w:tcBorders>
              <w:top w:val="single" w:sz="4" w:space="0" w:color="7F7F7F" w:themeColor="text1" w:themeTint="80"/>
              <w:bottom w:val="single" w:sz="4" w:space="0" w:color="7F7F7F" w:themeColor="text1" w:themeTint="80"/>
            </w:tcBorders>
          </w:tcPr>
          <w:p w14:paraId="76CCADCA"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1758" w:type="dxa"/>
            <w:tcBorders>
              <w:top w:val="single" w:sz="4" w:space="0" w:color="7F7F7F" w:themeColor="text1" w:themeTint="80"/>
              <w:bottom w:val="single" w:sz="4" w:space="0" w:color="7F7F7F" w:themeColor="text1" w:themeTint="80"/>
            </w:tcBorders>
          </w:tcPr>
          <w:p w14:paraId="2534112D"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4.29± 0.23</w:t>
            </w:r>
          </w:p>
        </w:tc>
        <w:tc>
          <w:tcPr>
            <w:tcW w:w="1744" w:type="dxa"/>
            <w:tcBorders>
              <w:top w:val="single" w:sz="4" w:space="0" w:color="7F7F7F" w:themeColor="text1" w:themeTint="80"/>
              <w:bottom w:val="single" w:sz="4" w:space="0" w:color="7F7F7F" w:themeColor="text1" w:themeTint="80"/>
            </w:tcBorders>
          </w:tcPr>
          <w:p w14:paraId="5983A950"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4.41± 0.17</w:t>
            </w:r>
          </w:p>
        </w:tc>
      </w:tr>
      <w:tr w:rsidR="00B2699B" w14:paraId="10D1E2F4"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375CF03C"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66" w:type="dxa"/>
            <w:vMerge/>
          </w:tcPr>
          <w:p w14:paraId="03790A1D"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5585A59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1758" w:type="dxa"/>
          </w:tcPr>
          <w:p w14:paraId="032F8940"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4.25± 0.27</w:t>
            </w:r>
          </w:p>
        </w:tc>
        <w:tc>
          <w:tcPr>
            <w:tcW w:w="1744" w:type="dxa"/>
          </w:tcPr>
          <w:p w14:paraId="51B11079"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4.46± 0.14</w:t>
            </w:r>
          </w:p>
        </w:tc>
      </w:tr>
      <w:tr w:rsidR="00B2699B" w14:paraId="198FDB2D"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7F7F7F" w:themeColor="text1" w:themeTint="80"/>
              <w:bottom w:val="single" w:sz="4" w:space="0" w:color="7F7F7F" w:themeColor="text1" w:themeTint="80"/>
            </w:tcBorders>
          </w:tcPr>
          <w:p w14:paraId="5EFC71D2"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66" w:type="dxa"/>
            <w:vMerge/>
            <w:tcBorders>
              <w:top w:val="single" w:sz="4" w:space="0" w:color="7F7F7F" w:themeColor="text1" w:themeTint="80"/>
              <w:bottom w:val="single" w:sz="4" w:space="0" w:color="7F7F7F" w:themeColor="text1" w:themeTint="80"/>
            </w:tcBorders>
          </w:tcPr>
          <w:p w14:paraId="15A7748F"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Borders>
              <w:top w:val="single" w:sz="4" w:space="0" w:color="7F7F7F" w:themeColor="text1" w:themeTint="80"/>
              <w:bottom w:val="single" w:sz="4" w:space="0" w:color="7F7F7F" w:themeColor="text1" w:themeTint="80"/>
            </w:tcBorders>
          </w:tcPr>
          <w:p w14:paraId="542F61AC"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1758" w:type="dxa"/>
            <w:tcBorders>
              <w:top w:val="single" w:sz="4" w:space="0" w:color="7F7F7F" w:themeColor="text1" w:themeTint="80"/>
              <w:bottom w:val="single" w:sz="4" w:space="0" w:color="7F7F7F" w:themeColor="text1" w:themeTint="80"/>
            </w:tcBorders>
          </w:tcPr>
          <w:p w14:paraId="38C2E784"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4.59± 0.20</w:t>
            </w:r>
          </w:p>
        </w:tc>
        <w:tc>
          <w:tcPr>
            <w:tcW w:w="1744" w:type="dxa"/>
            <w:tcBorders>
              <w:top w:val="single" w:sz="4" w:space="0" w:color="7F7F7F" w:themeColor="text1" w:themeTint="80"/>
              <w:bottom w:val="single" w:sz="4" w:space="0" w:color="7F7F7F" w:themeColor="text1" w:themeTint="80"/>
            </w:tcBorders>
          </w:tcPr>
          <w:p w14:paraId="2838793D"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4.53± 0.20</w:t>
            </w:r>
          </w:p>
        </w:tc>
      </w:tr>
      <w:tr w:rsidR="00B2699B" w14:paraId="581AC5C7"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3ED801CC"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lastRenderedPageBreak/>
              <w:t>3.</w:t>
            </w:r>
          </w:p>
        </w:tc>
        <w:tc>
          <w:tcPr>
            <w:tcW w:w="2466" w:type="dxa"/>
            <w:vMerge w:val="restart"/>
          </w:tcPr>
          <w:p w14:paraId="7FC9CEA4" w14:textId="77777777" w:rsidR="00B2699B" w:rsidRDefault="00D44AF2">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Chloride(</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/L)</w:t>
            </w:r>
          </w:p>
        </w:tc>
        <w:tc>
          <w:tcPr>
            <w:tcW w:w="1871" w:type="dxa"/>
          </w:tcPr>
          <w:p w14:paraId="7C095A1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1758" w:type="dxa"/>
          </w:tcPr>
          <w:p w14:paraId="0DD32A83"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129.60</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4.6</w:t>
            </w:r>
          </w:p>
        </w:tc>
        <w:tc>
          <w:tcPr>
            <w:tcW w:w="1744" w:type="dxa"/>
          </w:tcPr>
          <w:p w14:paraId="79128F92"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111.54</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1.14</w:t>
            </w:r>
          </w:p>
        </w:tc>
      </w:tr>
      <w:tr w:rsidR="00B2699B" w14:paraId="0541CA4F"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7F7F7F" w:themeColor="text1" w:themeTint="80"/>
              <w:bottom w:val="single" w:sz="4" w:space="0" w:color="7F7F7F" w:themeColor="text1" w:themeTint="80"/>
            </w:tcBorders>
          </w:tcPr>
          <w:p w14:paraId="1622594F"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66" w:type="dxa"/>
            <w:vMerge/>
            <w:tcBorders>
              <w:top w:val="single" w:sz="4" w:space="0" w:color="7F7F7F" w:themeColor="text1" w:themeTint="80"/>
              <w:bottom w:val="single" w:sz="4" w:space="0" w:color="7F7F7F" w:themeColor="text1" w:themeTint="80"/>
            </w:tcBorders>
          </w:tcPr>
          <w:p w14:paraId="3EC8E266"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Borders>
              <w:top w:val="single" w:sz="4" w:space="0" w:color="7F7F7F" w:themeColor="text1" w:themeTint="80"/>
              <w:bottom w:val="single" w:sz="4" w:space="0" w:color="7F7F7F" w:themeColor="text1" w:themeTint="80"/>
            </w:tcBorders>
          </w:tcPr>
          <w:p w14:paraId="3BA22D76"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1758" w:type="dxa"/>
            <w:tcBorders>
              <w:top w:val="single" w:sz="4" w:space="0" w:color="7F7F7F" w:themeColor="text1" w:themeTint="80"/>
              <w:bottom w:val="single" w:sz="4" w:space="0" w:color="7F7F7F" w:themeColor="text1" w:themeTint="80"/>
            </w:tcBorders>
          </w:tcPr>
          <w:p w14:paraId="57B6C981"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132.77</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4.82</w:t>
            </w:r>
          </w:p>
        </w:tc>
        <w:tc>
          <w:tcPr>
            <w:tcW w:w="1744" w:type="dxa"/>
            <w:tcBorders>
              <w:top w:val="single" w:sz="4" w:space="0" w:color="7F7F7F" w:themeColor="text1" w:themeTint="80"/>
              <w:bottom w:val="single" w:sz="4" w:space="0" w:color="7F7F7F" w:themeColor="text1" w:themeTint="80"/>
            </w:tcBorders>
          </w:tcPr>
          <w:p w14:paraId="1A5D3833"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114.0</w:t>
            </w:r>
            <w:r>
              <w:rPr>
                <w:rFonts w:ascii="Times New Roman" w:hAnsi="Times New Roman" w:cs="Times New Roman"/>
                <w:sz w:val="24"/>
                <w:szCs w:val="24"/>
                <w:vertAlign w:val="superscript"/>
              </w:rPr>
              <w:t xml:space="preserve"> Ba</w:t>
            </w:r>
            <w:r>
              <w:rPr>
                <w:rFonts w:ascii="Times New Roman" w:hAnsi="Times New Roman" w:cs="Times New Roman"/>
                <w:sz w:val="24"/>
                <w:szCs w:val="24"/>
              </w:rPr>
              <w:t xml:space="preserve"> ± 3.72</w:t>
            </w:r>
          </w:p>
        </w:tc>
      </w:tr>
      <w:tr w:rsidR="00B2699B" w14:paraId="7A7CE872"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47FADAA4"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66" w:type="dxa"/>
            <w:vMerge/>
          </w:tcPr>
          <w:p w14:paraId="7DA2AA47" w14:textId="77777777" w:rsidR="00B2699B" w:rsidRDefault="00B2699B">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646B6ACA"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1758" w:type="dxa"/>
          </w:tcPr>
          <w:p w14:paraId="07ECB11C"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117.06</w:t>
            </w:r>
            <w:r>
              <w:rPr>
                <w:rFonts w:ascii="Times New Roman" w:hAnsi="Times New Roman" w:cs="Times New Roman"/>
                <w:color w:val="000000"/>
                <w:sz w:val="24"/>
                <w:szCs w:val="24"/>
                <w:vertAlign w:val="superscript"/>
              </w:rPr>
              <w:t xml:space="preserve"> Ab</w:t>
            </w:r>
            <w:r>
              <w:rPr>
                <w:rFonts w:ascii="Times New Roman" w:hAnsi="Times New Roman" w:cs="Times New Roman"/>
                <w:color w:val="000000"/>
                <w:sz w:val="24"/>
                <w:szCs w:val="24"/>
              </w:rPr>
              <w:t xml:space="preserve"> ± 1.92</w:t>
            </w:r>
          </w:p>
        </w:tc>
        <w:tc>
          <w:tcPr>
            <w:tcW w:w="1744" w:type="dxa"/>
          </w:tcPr>
          <w:p w14:paraId="1E533DF7"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116.63</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 1.69</w:t>
            </w:r>
          </w:p>
        </w:tc>
      </w:tr>
      <w:tr w:rsidR="00B2699B" w14:paraId="32A66E49"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7F7F7F" w:themeColor="text1" w:themeTint="80"/>
              <w:bottom w:val="single" w:sz="4" w:space="0" w:color="7F7F7F" w:themeColor="text1" w:themeTint="80"/>
            </w:tcBorders>
          </w:tcPr>
          <w:p w14:paraId="24EE54B4" w14:textId="77777777" w:rsidR="00B2699B" w:rsidRDefault="00D44AF2">
            <w:pPr>
              <w:spacing w:before="60" w:after="60" w:line="360" w:lineRule="auto"/>
              <w:ind w:right="-28"/>
              <w:jc w:val="center"/>
              <w:rPr>
                <w:rFonts w:ascii="Times New Roman" w:hAnsi="Times New Roman" w:cs="Times New Roman"/>
                <w:b w:val="0"/>
                <w:bCs w:val="0"/>
                <w:sz w:val="24"/>
                <w:szCs w:val="24"/>
              </w:rPr>
            </w:pPr>
            <w:r>
              <w:rPr>
                <w:rFonts w:ascii="Times New Roman" w:hAnsi="Times New Roman" w:cs="Times New Roman"/>
                <w:sz w:val="24"/>
                <w:szCs w:val="24"/>
              </w:rPr>
              <w:t>4.</w:t>
            </w:r>
          </w:p>
        </w:tc>
        <w:tc>
          <w:tcPr>
            <w:tcW w:w="2466" w:type="dxa"/>
            <w:vMerge w:val="restart"/>
            <w:tcBorders>
              <w:top w:val="single" w:sz="4" w:space="0" w:color="7F7F7F" w:themeColor="text1" w:themeTint="80"/>
              <w:bottom w:val="single" w:sz="4" w:space="0" w:color="7F7F7F" w:themeColor="text1" w:themeTint="80"/>
            </w:tcBorders>
          </w:tcPr>
          <w:p w14:paraId="66343775" w14:textId="77777777" w:rsidR="00B2699B" w:rsidRDefault="00D44AF2">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Calcium(mg/dL)</w:t>
            </w:r>
          </w:p>
        </w:tc>
        <w:tc>
          <w:tcPr>
            <w:tcW w:w="1871" w:type="dxa"/>
            <w:tcBorders>
              <w:top w:val="single" w:sz="4" w:space="0" w:color="7F7F7F" w:themeColor="text1" w:themeTint="80"/>
              <w:bottom w:val="single" w:sz="4" w:space="0" w:color="7F7F7F" w:themeColor="text1" w:themeTint="80"/>
            </w:tcBorders>
          </w:tcPr>
          <w:p w14:paraId="7C407AF0"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G1</w:t>
            </w:r>
          </w:p>
        </w:tc>
        <w:tc>
          <w:tcPr>
            <w:tcW w:w="1758" w:type="dxa"/>
            <w:tcBorders>
              <w:top w:val="single" w:sz="4" w:space="0" w:color="7F7F7F" w:themeColor="text1" w:themeTint="80"/>
              <w:bottom w:val="single" w:sz="4" w:space="0" w:color="7F7F7F" w:themeColor="text1" w:themeTint="80"/>
            </w:tcBorders>
          </w:tcPr>
          <w:p w14:paraId="50B9378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9.25</w:t>
            </w:r>
            <w:r>
              <w:rPr>
                <w:rFonts w:ascii="Times New Roman" w:hAnsi="Times New Roman" w:cs="Times New Roman"/>
                <w:sz w:val="24"/>
                <w:szCs w:val="24"/>
                <w:vertAlign w:val="superscript"/>
              </w:rPr>
              <w:t xml:space="preserve"> Bb</w:t>
            </w:r>
            <w:r>
              <w:rPr>
                <w:rFonts w:ascii="Times New Roman" w:hAnsi="Times New Roman" w:cs="Times New Roman"/>
                <w:sz w:val="24"/>
                <w:szCs w:val="24"/>
              </w:rPr>
              <w:t xml:space="preserve"> ± 0.18</w:t>
            </w:r>
          </w:p>
        </w:tc>
        <w:tc>
          <w:tcPr>
            <w:tcW w:w="1744" w:type="dxa"/>
            <w:tcBorders>
              <w:top w:val="single" w:sz="4" w:space="0" w:color="7F7F7F" w:themeColor="text1" w:themeTint="80"/>
              <w:bottom w:val="single" w:sz="4" w:space="0" w:color="7F7F7F" w:themeColor="text1" w:themeTint="80"/>
            </w:tcBorders>
          </w:tcPr>
          <w:p w14:paraId="6C9531DA"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10.03</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0.11</w:t>
            </w:r>
          </w:p>
        </w:tc>
      </w:tr>
      <w:tr w:rsidR="00B2699B" w14:paraId="4CF4555B"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35E1A430"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66" w:type="dxa"/>
            <w:vMerge/>
          </w:tcPr>
          <w:p w14:paraId="2C648BB9" w14:textId="77777777" w:rsidR="00B2699B" w:rsidRDefault="00B2699B">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2850FA38"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G2</w:t>
            </w:r>
          </w:p>
        </w:tc>
        <w:tc>
          <w:tcPr>
            <w:tcW w:w="1758" w:type="dxa"/>
          </w:tcPr>
          <w:p w14:paraId="459C1128"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9.29</w:t>
            </w:r>
            <w:r>
              <w:rPr>
                <w:rFonts w:ascii="Times New Roman" w:hAnsi="Times New Roman" w:cs="Times New Roman"/>
                <w:sz w:val="24"/>
                <w:szCs w:val="24"/>
                <w:vertAlign w:val="superscript"/>
              </w:rPr>
              <w:t xml:space="preserve"> Bb</w:t>
            </w:r>
            <w:r>
              <w:rPr>
                <w:rFonts w:ascii="Times New Roman" w:hAnsi="Times New Roman" w:cs="Times New Roman"/>
                <w:sz w:val="24"/>
                <w:szCs w:val="24"/>
              </w:rPr>
              <w:t xml:space="preserve"> ± 0.1</w:t>
            </w:r>
          </w:p>
        </w:tc>
        <w:tc>
          <w:tcPr>
            <w:tcW w:w="1744" w:type="dxa"/>
          </w:tcPr>
          <w:p w14:paraId="0F4B0B11"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10.23</w:t>
            </w:r>
            <w:r>
              <w:rPr>
                <w:rFonts w:ascii="Times New Roman" w:hAnsi="Times New Roman" w:cs="Times New Roman"/>
                <w:sz w:val="24"/>
                <w:szCs w:val="24"/>
                <w:vertAlign w:val="superscript"/>
              </w:rPr>
              <w:t xml:space="preserve"> Aa</w:t>
            </w:r>
            <w:r>
              <w:rPr>
                <w:rFonts w:ascii="Times New Roman" w:hAnsi="Times New Roman" w:cs="Times New Roman"/>
                <w:sz w:val="24"/>
                <w:szCs w:val="24"/>
              </w:rPr>
              <w:t xml:space="preserve"> ± 0.16</w:t>
            </w:r>
          </w:p>
        </w:tc>
      </w:tr>
      <w:tr w:rsidR="00B2699B" w14:paraId="70E7455A"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7F7F7F" w:themeColor="text1" w:themeTint="80"/>
              <w:bottom w:val="single" w:sz="4" w:space="0" w:color="7F7F7F" w:themeColor="text1" w:themeTint="80"/>
            </w:tcBorders>
          </w:tcPr>
          <w:p w14:paraId="547B5727" w14:textId="77777777" w:rsidR="00B2699B" w:rsidRDefault="00B2699B">
            <w:pPr>
              <w:spacing w:before="60" w:after="60" w:line="360" w:lineRule="auto"/>
              <w:ind w:right="-28"/>
              <w:jc w:val="center"/>
              <w:rPr>
                <w:rFonts w:ascii="Times New Roman" w:hAnsi="Times New Roman" w:cs="Times New Roman"/>
                <w:b w:val="0"/>
                <w:bCs w:val="0"/>
                <w:sz w:val="24"/>
                <w:szCs w:val="24"/>
              </w:rPr>
            </w:pPr>
          </w:p>
        </w:tc>
        <w:tc>
          <w:tcPr>
            <w:tcW w:w="2466" w:type="dxa"/>
            <w:vMerge/>
            <w:tcBorders>
              <w:top w:val="single" w:sz="4" w:space="0" w:color="7F7F7F" w:themeColor="text1" w:themeTint="80"/>
              <w:bottom w:val="single" w:sz="4" w:space="0" w:color="7F7F7F" w:themeColor="text1" w:themeTint="80"/>
            </w:tcBorders>
          </w:tcPr>
          <w:p w14:paraId="1ACB5DDE" w14:textId="77777777" w:rsidR="00B2699B" w:rsidRDefault="00B2699B">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Borders>
              <w:top w:val="single" w:sz="4" w:space="0" w:color="7F7F7F" w:themeColor="text1" w:themeTint="80"/>
              <w:bottom w:val="single" w:sz="4" w:space="0" w:color="7F7F7F" w:themeColor="text1" w:themeTint="80"/>
            </w:tcBorders>
          </w:tcPr>
          <w:p w14:paraId="06DCDA4E"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G3</w:t>
            </w:r>
          </w:p>
        </w:tc>
        <w:tc>
          <w:tcPr>
            <w:tcW w:w="1758" w:type="dxa"/>
            <w:tcBorders>
              <w:top w:val="single" w:sz="4" w:space="0" w:color="7F7F7F" w:themeColor="text1" w:themeTint="80"/>
              <w:bottom w:val="single" w:sz="4" w:space="0" w:color="7F7F7F" w:themeColor="text1" w:themeTint="80"/>
            </w:tcBorders>
          </w:tcPr>
          <w:p w14:paraId="61AF8ED7"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10.06</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 0.22</w:t>
            </w:r>
          </w:p>
        </w:tc>
        <w:tc>
          <w:tcPr>
            <w:tcW w:w="1744" w:type="dxa"/>
            <w:tcBorders>
              <w:top w:val="single" w:sz="4" w:space="0" w:color="7F7F7F" w:themeColor="text1" w:themeTint="80"/>
              <w:bottom w:val="single" w:sz="4" w:space="0" w:color="7F7F7F" w:themeColor="text1" w:themeTint="80"/>
            </w:tcBorders>
          </w:tcPr>
          <w:p w14:paraId="2707CA43" w14:textId="77777777" w:rsidR="00B2699B" w:rsidRDefault="00D44AF2">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10.07</w:t>
            </w:r>
            <w:r>
              <w:rPr>
                <w:rFonts w:ascii="Times New Roman" w:hAnsi="Times New Roman" w:cs="Times New Roman"/>
                <w:color w:val="000000"/>
                <w:sz w:val="24"/>
                <w:szCs w:val="24"/>
                <w:vertAlign w:val="superscript"/>
              </w:rPr>
              <w:t xml:space="preserve"> Aa</w:t>
            </w:r>
            <w:r>
              <w:rPr>
                <w:rFonts w:ascii="Times New Roman" w:hAnsi="Times New Roman" w:cs="Times New Roman"/>
                <w:color w:val="000000"/>
                <w:sz w:val="24"/>
                <w:szCs w:val="24"/>
              </w:rPr>
              <w:t xml:space="preserve"> ± 0.11</w:t>
            </w:r>
          </w:p>
        </w:tc>
      </w:tr>
    </w:tbl>
    <w:p w14:paraId="735C85CD" w14:textId="77777777" w:rsidR="00B2699B" w:rsidRDefault="00D44AF2">
      <w:pPr>
        <w:spacing w:after="120" w:line="360" w:lineRule="auto"/>
        <w:ind w:left="142" w:right="-28"/>
        <w:jc w:val="both"/>
        <w:rPr>
          <w:rFonts w:ascii="Times New Roman" w:hAnsi="Times New Roman" w:cs="Times New Roman"/>
          <w:sz w:val="20"/>
          <w:szCs w:val="24"/>
          <w:lang w:val="en-US"/>
        </w:rPr>
      </w:pPr>
      <w:r>
        <w:rPr>
          <w:rFonts w:ascii="Times New Roman" w:hAnsi="Times New Roman" w:cs="Times New Roman"/>
          <w:sz w:val="20"/>
          <w:szCs w:val="24"/>
          <w:lang w:val="en-US"/>
        </w:rPr>
        <w:t>Mean values with different superscript between groups (lowercase) and between intervals (uppercase) differ significantly (p&lt;0.05)</w:t>
      </w:r>
    </w:p>
    <w:p w14:paraId="3F861045"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Comparison of Pre- and Post-Treatment Systolic Arterial Pressure</w:t>
      </w:r>
    </w:p>
    <w:p w14:paraId="152AF837" w14:textId="77777777" w:rsidR="00B2699B" w:rsidRDefault="00D44AF2">
      <w:pPr>
        <w:spacing w:after="120" w:line="360" w:lineRule="auto"/>
        <w:ind w:right="-28" w:firstLine="1440"/>
        <w:jc w:val="both"/>
        <w:rPr>
          <w:rFonts w:ascii="Times New Roman" w:hAnsi="Times New Roman" w:cs="Times New Roman"/>
          <w:sz w:val="24"/>
          <w:szCs w:val="24"/>
        </w:rPr>
      </w:pPr>
      <w:r>
        <w:rPr>
          <w:rFonts w:ascii="Times New Roman" w:hAnsi="Times New Roman" w:cs="Times New Roman"/>
          <w:sz w:val="24"/>
          <w:szCs w:val="24"/>
        </w:rPr>
        <w:t>The therapeutic response of hypertensive dogs to two different antihypertensive treatment protocols was evaluated by monitoring SAP values at predefined intervals (day 0, 3, 7, 14 and 28). The mean SAP on day 0 was significantly higher in both treatment groups (G1 and G2) compared to the apparently healthy control group (G3). In group G1, a statistically significant reduction in SAP was observed from day 7 onwards, whereas the change noted on day 3 was not significant compared to day 0 and the reduction remained significant on day14 and day 28 (post-treatment). In contrast, group G2 exhibited a statistically significant reduction in SAP from day 3 onwards, with the decline continuing to be significant on day 14 and day 28 (post-treatment), indicating an earlier and sustained therapeutic response. Overall, maximum restoration of systolic arterial pressure was observed in dogs of group G2 (Table 07).</w:t>
      </w:r>
    </w:p>
    <w:p w14:paraId="2C8124F5" w14:textId="77777777" w:rsidR="00B2699B" w:rsidRDefault="00D44AF2">
      <w:pPr>
        <w:tabs>
          <w:tab w:val="left" w:pos="1276"/>
        </w:tabs>
        <w:spacing w:after="120" w:line="240" w:lineRule="auto"/>
        <w:ind w:left="1134" w:right="-28" w:hanging="1134"/>
        <w:jc w:val="both"/>
        <w:rPr>
          <w:rFonts w:ascii="Times New Roman" w:hAnsi="Times New Roman" w:cs="Times New Roman"/>
          <w:sz w:val="24"/>
          <w:szCs w:val="24"/>
        </w:rPr>
      </w:pPr>
      <w:r>
        <w:rPr>
          <w:rFonts w:ascii="Times New Roman" w:hAnsi="Times New Roman" w:cs="Times New Roman"/>
          <w:b/>
          <w:bCs/>
          <w:sz w:val="24"/>
          <w:szCs w:val="24"/>
        </w:rPr>
        <w:t>Table 07:</w:t>
      </w:r>
      <w:r>
        <w:rPr>
          <w:rFonts w:ascii="Times New Roman" w:hAnsi="Times New Roman" w:cs="Times New Roman"/>
          <w:b/>
          <w:bCs/>
          <w:sz w:val="24"/>
          <w:szCs w:val="24"/>
        </w:rPr>
        <w:tab/>
        <w:t xml:space="preserve">Mean systolic arterial pressure in dogs with hypertension in </w:t>
      </w:r>
      <w:r>
        <w:rPr>
          <w:rFonts w:ascii="Times New Roman" w:hAnsi="Times New Roman" w:cs="Times New Roman"/>
          <w:b/>
          <w:bCs/>
          <w:sz w:val="24"/>
          <w:szCs w:val="24"/>
          <w:lang w:val="en-US"/>
        </w:rPr>
        <w:t>different treatment groups at different intervals</w:t>
      </w:r>
    </w:p>
    <w:tbl>
      <w:tblPr>
        <w:tblStyle w:val="PlainTable21"/>
        <w:tblW w:w="4935" w:type="pct"/>
        <w:tblLook w:val="04A0" w:firstRow="1" w:lastRow="0" w:firstColumn="1" w:lastColumn="0" w:noHBand="0" w:noVBand="1"/>
      </w:tblPr>
      <w:tblGrid>
        <w:gridCol w:w="1242"/>
        <w:gridCol w:w="1605"/>
        <w:gridCol w:w="1455"/>
        <w:gridCol w:w="1449"/>
        <w:gridCol w:w="1531"/>
        <w:gridCol w:w="1627"/>
      </w:tblGrid>
      <w:tr w:rsidR="00B2699B" w14:paraId="68B645FC" w14:textId="77777777" w:rsidTr="00B2699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2" w:type="pct"/>
          </w:tcPr>
          <w:p w14:paraId="71738FB6" w14:textId="77777777" w:rsidR="00B2699B" w:rsidRDefault="00D44AF2">
            <w:pPr>
              <w:tabs>
                <w:tab w:val="left" w:pos="972"/>
              </w:tabs>
              <w:spacing w:before="120" w:after="120" w:line="240" w:lineRule="auto"/>
              <w:ind w:right="-29"/>
              <w:jc w:val="center"/>
              <w:rPr>
                <w:rFonts w:ascii="Times New Roman" w:hAnsi="Times New Roman" w:cs="Times New Roman"/>
                <w:b w:val="0"/>
                <w:bCs w:val="0"/>
                <w:sz w:val="20"/>
                <w:szCs w:val="20"/>
              </w:rPr>
            </w:pPr>
            <w:r>
              <w:rPr>
                <w:rFonts w:ascii="Times New Roman" w:hAnsi="Times New Roman" w:cs="Times New Roman"/>
                <w:sz w:val="20"/>
                <w:szCs w:val="20"/>
                <w:lang w:val="en-US"/>
              </w:rPr>
              <w:t>Groups</w:t>
            </w:r>
          </w:p>
        </w:tc>
        <w:tc>
          <w:tcPr>
            <w:tcW w:w="944" w:type="pct"/>
          </w:tcPr>
          <w:p w14:paraId="795D289B" w14:textId="77777777" w:rsidR="00B2699B" w:rsidRDefault="00D44AF2">
            <w:pPr>
              <w:tabs>
                <w:tab w:val="left" w:pos="972"/>
              </w:tabs>
              <w:spacing w:before="120" w:after="120" w:line="240" w:lineRule="auto"/>
              <w:ind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lang w:val="en-US"/>
              </w:rPr>
              <w:t>Day 0</w:t>
            </w:r>
          </w:p>
        </w:tc>
        <w:tc>
          <w:tcPr>
            <w:tcW w:w="860" w:type="pct"/>
          </w:tcPr>
          <w:p w14:paraId="05EBCD4E" w14:textId="77777777" w:rsidR="00B2699B" w:rsidRDefault="00D44AF2">
            <w:pPr>
              <w:tabs>
                <w:tab w:val="left" w:pos="972"/>
              </w:tabs>
              <w:spacing w:before="120" w:after="120" w:line="240" w:lineRule="auto"/>
              <w:ind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lang w:val="en-US"/>
              </w:rPr>
              <w:t>Day 3</w:t>
            </w:r>
          </w:p>
        </w:tc>
        <w:tc>
          <w:tcPr>
            <w:tcW w:w="856" w:type="pct"/>
          </w:tcPr>
          <w:p w14:paraId="422FDAB7" w14:textId="77777777" w:rsidR="00B2699B" w:rsidRDefault="00D44AF2">
            <w:pPr>
              <w:tabs>
                <w:tab w:val="left" w:pos="972"/>
              </w:tabs>
              <w:spacing w:before="120" w:after="120" w:line="240" w:lineRule="auto"/>
              <w:ind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lang w:val="en-US"/>
              </w:rPr>
              <w:t>Day 7</w:t>
            </w:r>
          </w:p>
        </w:tc>
        <w:tc>
          <w:tcPr>
            <w:tcW w:w="902" w:type="pct"/>
          </w:tcPr>
          <w:p w14:paraId="40E66CDB" w14:textId="77777777" w:rsidR="00B2699B" w:rsidRDefault="00D44AF2">
            <w:pPr>
              <w:tabs>
                <w:tab w:val="left" w:pos="972"/>
              </w:tabs>
              <w:spacing w:before="120" w:after="120" w:line="240" w:lineRule="auto"/>
              <w:ind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lang w:val="en-US"/>
              </w:rPr>
              <w:t>Day 14</w:t>
            </w:r>
          </w:p>
        </w:tc>
        <w:tc>
          <w:tcPr>
            <w:tcW w:w="956" w:type="pct"/>
          </w:tcPr>
          <w:p w14:paraId="62EAE73F" w14:textId="77777777" w:rsidR="00B2699B" w:rsidRDefault="00D44AF2">
            <w:pPr>
              <w:tabs>
                <w:tab w:val="left" w:pos="972"/>
              </w:tabs>
              <w:spacing w:before="120" w:after="120" w:line="240" w:lineRule="auto"/>
              <w:ind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lang w:val="en-US"/>
              </w:rPr>
              <w:t>Day 28</w:t>
            </w:r>
          </w:p>
        </w:tc>
      </w:tr>
      <w:tr w:rsidR="00B2699B" w14:paraId="72C08FF9"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482" w:type="pct"/>
            <w:tcBorders>
              <w:top w:val="single" w:sz="4" w:space="0" w:color="7F7F7F" w:themeColor="text1" w:themeTint="80"/>
              <w:bottom w:val="single" w:sz="4" w:space="0" w:color="7F7F7F" w:themeColor="text1" w:themeTint="80"/>
            </w:tcBorders>
          </w:tcPr>
          <w:p w14:paraId="33A7B62E" w14:textId="77777777" w:rsidR="00B2699B" w:rsidRDefault="00D44AF2">
            <w:pPr>
              <w:tabs>
                <w:tab w:val="left" w:pos="972"/>
              </w:tabs>
              <w:spacing w:before="120" w:after="120" w:line="240" w:lineRule="auto"/>
              <w:ind w:right="-29"/>
              <w:jc w:val="center"/>
              <w:rPr>
                <w:rFonts w:ascii="Times New Roman" w:hAnsi="Times New Roman" w:cs="Times New Roman"/>
                <w:sz w:val="18"/>
                <w:szCs w:val="18"/>
              </w:rPr>
            </w:pPr>
            <w:r>
              <w:rPr>
                <w:rFonts w:ascii="Times New Roman" w:hAnsi="Times New Roman" w:cs="Times New Roman"/>
                <w:sz w:val="18"/>
                <w:szCs w:val="18"/>
              </w:rPr>
              <w:t>Ramipril+ Amlodipine</w:t>
            </w:r>
          </w:p>
        </w:tc>
        <w:tc>
          <w:tcPr>
            <w:tcW w:w="944" w:type="pct"/>
            <w:tcBorders>
              <w:top w:val="single" w:sz="4" w:space="0" w:color="7F7F7F" w:themeColor="text1" w:themeTint="80"/>
              <w:bottom w:val="single" w:sz="4" w:space="0" w:color="7F7F7F" w:themeColor="text1" w:themeTint="80"/>
            </w:tcBorders>
          </w:tcPr>
          <w:p w14:paraId="4404D030"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195.33</w:t>
            </w:r>
            <w:r>
              <w:rPr>
                <w:rFonts w:ascii="Times New Roman" w:hAnsi="Times New Roman" w:cs="Times New Roman"/>
                <w:sz w:val="20"/>
                <w:szCs w:val="20"/>
                <w:vertAlign w:val="superscript"/>
              </w:rPr>
              <w:t>Aa</w:t>
            </w:r>
            <w:r>
              <w:rPr>
                <w:rFonts w:ascii="Times New Roman" w:hAnsi="Times New Roman" w:cs="Times New Roman"/>
                <w:sz w:val="20"/>
                <w:szCs w:val="20"/>
              </w:rPr>
              <w:t>±7.17</w:t>
            </w:r>
          </w:p>
        </w:tc>
        <w:tc>
          <w:tcPr>
            <w:tcW w:w="860" w:type="pct"/>
            <w:tcBorders>
              <w:top w:val="single" w:sz="4" w:space="0" w:color="7F7F7F" w:themeColor="text1" w:themeTint="80"/>
              <w:bottom w:val="single" w:sz="4" w:space="0" w:color="7F7F7F" w:themeColor="text1" w:themeTint="80"/>
            </w:tcBorders>
          </w:tcPr>
          <w:p w14:paraId="07B3943D"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184.17</w:t>
            </w:r>
            <w:r>
              <w:rPr>
                <w:rFonts w:ascii="Times New Roman" w:hAnsi="Times New Roman" w:cs="Times New Roman"/>
                <w:sz w:val="20"/>
                <w:szCs w:val="20"/>
                <w:vertAlign w:val="superscript"/>
              </w:rPr>
              <w:t>Aa</w:t>
            </w:r>
            <w:r>
              <w:rPr>
                <w:rFonts w:ascii="Times New Roman" w:hAnsi="Times New Roman" w:cs="Times New Roman"/>
                <w:sz w:val="20"/>
                <w:szCs w:val="20"/>
              </w:rPr>
              <w:t>±7.46</w:t>
            </w:r>
          </w:p>
        </w:tc>
        <w:tc>
          <w:tcPr>
            <w:tcW w:w="856" w:type="pct"/>
            <w:tcBorders>
              <w:top w:val="single" w:sz="4" w:space="0" w:color="7F7F7F" w:themeColor="text1" w:themeTint="80"/>
              <w:bottom w:val="single" w:sz="4" w:space="0" w:color="7F7F7F" w:themeColor="text1" w:themeTint="80"/>
            </w:tcBorders>
          </w:tcPr>
          <w:p w14:paraId="0F4A90A0"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171.33</w:t>
            </w:r>
            <w:r>
              <w:rPr>
                <w:rFonts w:ascii="Times New Roman" w:hAnsi="Times New Roman" w:cs="Times New Roman"/>
                <w:sz w:val="20"/>
                <w:szCs w:val="20"/>
                <w:vertAlign w:val="superscript"/>
              </w:rPr>
              <w:t>BCa</w:t>
            </w:r>
            <w:r>
              <w:rPr>
                <w:rFonts w:ascii="Times New Roman" w:hAnsi="Times New Roman" w:cs="Times New Roman"/>
                <w:sz w:val="20"/>
                <w:szCs w:val="20"/>
              </w:rPr>
              <w:t>± 4.77</w:t>
            </w:r>
          </w:p>
        </w:tc>
        <w:tc>
          <w:tcPr>
            <w:tcW w:w="902" w:type="pct"/>
            <w:tcBorders>
              <w:top w:val="single" w:sz="4" w:space="0" w:color="7F7F7F" w:themeColor="text1" w:themeTint="80"/>
              <w:bottom w:val="single" w:sz="4" w:space="0" w:color="7F7F7F" w:themeColor="text1" w:themeTint="80"/>
            </w:tcBorders>
          </w:tcPr>
          <w:p w14:paraId="3A9B00E6"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151.67</w:t>
            </w:r>
            <w:r>
              <w:rPr>
                <w:rFonts w:ascii="Times New Roman" w:hAnsi="Times New Roman" w:cs="Times New Roman"/>
                <w:sz w:val="20"/>
                <w:szCs w:val="20"/>
                <w:vertAlign w:val="superscript"/>
              </w:rPr>
              <w:t>CDa</w:t>
            </w:r>
            <w:r>
              <w:rPr>
                <w:rFonts w:ascii="Times New Roman" w:hAnsi="Times New Roman" w:cs="Times New Roman"/>
                <w:sz w:val="20"/>
                <w:szCs w:val="20"/>
              </w:rPr>
              <w:t>± 4.94</w:t>
            </w:r>
          </w:p>
        </w:tc>
        <w:tc>
          <w:tcPr>
            <w:tcW w:w="956" w:type="pct"/>
            <w:tcBorders>
              <w:top w:val="single" w:sz="4" w:space="0" w:color="7F7F7F" w:themeColor="text1" w:themeTint="80"/>
              <w:bottom w:val="single" w:sz="4" w:space="0" w:color="7F7F7F" w:themeColor="text1" w:themeTint="80"/>
            </w:tcBorders>
          </w:tcPr>
          <w:p w14:paraId="677E48ED"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133.67</w:t>
            </w:r>
            <w:r>
              <w:rPr>
                <w:rFonts w:ascii="Times New Roman" w:hAnsi="Times New Roman" w:cs="Times New Roman"/>
                <w:sz w:val="20"/>
                <w:szCs w:val="20"/>
                <w:vertAlign w:val="superscript"/>
              </w:rPr>
              <w:t>Da</w:t>
            </w:r>
            <w:r>
              <w:rPr>
                <w:rFonts w:ascii="Times New Roman" w:hAnsi="Times New Roman" w:cs="Times New Roman"/>
                <w:sz w:val="20"/>
                <w:szCs w:val="20"/>
              </w:rPr>
              <w:t>± 3.58</w:t>
            </w:r>
          </w:p>
        </w:tc>
      </w:tr>
      <w:tr w:rsidR="00B2699B" w14:paraId="5F44BDCA"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482" w:type="pct"/>
          </w:tcPr>
          <w:p w14:paraId="60604887" w14:textId="77777777" w:rsidR="00B2699B" w:rsidRDefault="00D44AF2">
            <w:pPr>
              <w:tabs>
                <w:tab w:val="left" w:pos="972"/>
              </w:tabs>
              <w:spacing w:before="120" w:after="120" w:line="240" w:lineRule="auto"/>
              <w:ind w:right="-29"/>
              <w:jc w:val="center"/>
              <w:rPr>
                <w:rFonts w:ascii="Times New Roman" w:hAnsi="Times New Roman" w:cs="Times New Roman"/>
                <w:sz w:val="18"/>
                <w:szCs w:val="18"/>
              </w:rPr>
            </w:pPr>
            <w:r>
              <w:rPr>
                <w:rFonts w:ascii="Times New Roman" w:hAnsi="Times New Roman" w:cs="Times New Roman"/>
                <w:sz w:val="18"/>
                <w:szCs w:val="18"/>
              </w:rPr>
              <w:t>Telmisartan+ Amlodipine</w:t>
            </w:r>
          </w:p>
        </w:tc>
        <w:tc>
          <w:tcPr>
            <w:tcW w:w="944" w:type="pct"/>
          </w:tcPr>
          <w:p w14:paraId="68CB53A8"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208.5</w:t>
            </w:r>
            <w:r>
              <w:rPr>
                <w:rFonts w:ascii="Times New Roman" w:hAnsi="Times New Roman" w:cs="Times New Roman"/>
                <w:sz w:val="20"/>
                <w:szCs w:val="20"/>
                <w:vertAlign w:val="superscript"/>
              </w:rPr>
              <w:t>Aa</w:t>
            </w:r>
            <w:r>
              <w:rPr>
                <w:rFonts w:ascii="Times New Roman" w:hAnsi="Times New Roman" w:cs="Times New Roman"/>
                <w:sz w:val="20"/>
                <w:szCs w:val="20"/>
              </w:rPr>
              <w:t>± 8.66</w:t>
            </w:r>
          </w:p>
        </w:tc>
        <w:tc>
          <w:tcPr>
            <w:tcW w:w="860" w:type="pct"/>
          </w:tcPr>
          <w:p w14:paraId="5B555475"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170.67</w:t>
            </w:r>
            <w:r>
              <w:rPr>
                <w:rFonts w:ascii="Times New Roman" w:hAnsi="Times New Roman" w:cs="Times New Roman"/>
                <w:sz w:val="20"/>
                <w:szCs w:val="20"/>
                <w:vertAlign w:val="superscript"/>
              </w:rPr>
              <w:t>Ba</w:t>
            </w:r>
            <w:r>
              <w:rPr>
                <w:rFonts w:ascii="Times New Roman" w:hAnsi="Times New Roman" w:cs="Times New Roman"/>
                <w:sz w:val="20"/>
                <w:szCs w:val="20"/>
              </w:rPr>
              <w:t>±1.52</w:t>
            </w:r>
          </w:p>
        </w:tc>
        <w:tc>
          <w:tcPr>
            <w:tcW w:w="856" w:type="pct"/>
          </w:tcPr>
          <w:p w14:paraId="7395F314"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158.67</w:t>
            </w:r>
            <w:r>
              <w:rPr>
                <w:rFonts w:ascii="Times New Roman" w:hAnsi="Times New Roman" w:cs="Times New Roman"/>
                <w:sz w:val="20"/>
                <w:szCs w:val="20"/>
                <w:vertAlign w:val="superscript"/>
              </w:rPr>
              <w:t>Bb</w:t>
            </w:r>
            <w:r>
              <w:rPr>
                <w:rFonts w:ascii="Times New Roman" w:hAnsi="Times New Roman" w:cs="Times New Roman"/>
                <w:sz w:val="20"/>
                <w:szCs w:val="20"/>
              </w:rPr>
              <w:t>± 2.11</w:t>
            </w:r>
          </w:p>
        </w:tc>
        <w:tc>
          <w:tcPr>
            <w:tcW w:w="902" w:type="pct"/>
          </w:tcPr>
          <w:p w14:paraId="5A9B39A7"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137.00</w:t>
            </w:r>
            <w:r>
              <w:rPr>
                <w:rFonts w:ascii="Times New Roman" w:hAnsi="Times New Roman" w:cs="Times New Roman"/>
                <w:sz w:val="20"/>
                <w:szCs w:val="20"/>
                <w:vertAlign w:val="superscript"/>
              </w:rPr>
              <w:t>Cb</w:t>
            </w:r>
            <w:r>
              <w:rPr>
                <w:rFonts w:ascii="Times New Roman" w:hAnsi="Times New Roman" w:cs="Times New Roman"/>
                <w:sz w:val="20"/>
                <w:szCs w:val="20"/>
              </w:rPr>
              <w:t>± 1.53</w:t>
            </w:r>
          </w:p>
        </w:tc>
        <w:tc>
          <w:tcPr>
            <w:tcW w:w="956" w:type="pct"/>
          </w:tcPr>
          <w:p w14:paraId="0FFFB162"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119.14</w:t>
            </w:r>
            <w:r>
              <w:rPr>
                <w:rFonts w:ascii="Times New Roman" w:hAnsi="Times New Roman" w:cs="Times New Roman"/>
                <w:sz w:val="20"/>
                <w:szCs w:val="20"/>
                <w:vertAlign w:val="superscript"/>
              </w:rPr>
              <w:t>Db</w:t>
            </w:r>
            <w:r>
              <w:rPr>
                <w:rFonts w:ascii="Times New Roman" w:hAnsi="Times New Roman" w:cs="Times New Roman"/>
                <w:sz w:val="20"/>
                <w:szCs w:val="20"/>
              </w:rPr>
              <w:t>± 1.42</w:t>
            </w:r>
          </w:p>
        </w:tc>
      </w:tr>
      <w:tr w:rsidR="00B2699B" w14:paraId="4669B82D" w14:textId="77777777" w:rsidTr="00B2699B">
        <w:trPr>
          <w:trHeight w:val="20"/>
        </w:trPr>
        <w:tc>
          <w:tcPr>
            <w:cnfStyle w:val="001000000000" w:firstRow="0" w:lastRow="0" w:firstColumn="1" w:lastColumn="0" w:oddVBand="0" w:evenVBand="0" w:oddHBand="0" w:evenHBand="0" w:firstRowFirstColumn="0" w:firstRowLastColumn="0" w:lastRowFirstColumn="0" w:lastRowLastColumn="0"/>
            <w:tcW w:w="482" w:type="pct"/>
            <w:tcBorders>
              <w:top w:val="single" w:sz="4" w:space="0" w:color="7F7F7F" w:themeColor="text1" w:themeTint="80"/>
              <w:bottom w:val="single" w:sz="4" w:space="0" w:color="7F7F7F" w:themeColor="text1" w:themeTint="80"/>
            </w:tcBorders>
          </w:tcPr>
          <w:p w14:paraId="6B31C945" w14:textId="77777777" w:rsidR="00B2699B" w:rsidRDefault="00D44AF2">
            <w:pPr>
              <w:tabs>
                <w:tab w:val="left" w:pos="972"/>
              </w:tabs>
              <w:spacing w:before="120" w:after="120" w:line="240" w:lineRule="auto"/>
              <w:ind w:right="-29"/>
              <w:jc w:val="center"/>
              <w:rPr>
                <w:rFonts w:ascii="Times New Roman" w:hAnsi="Times New Roman" w:cs="Times New Roman"/>
                <w:sz w:val="18"/>
                <w:szCs w:val="18"/>
              </w:rPr>
            </w:pPr>
            <w:r>
              <w:rPr>
                <w:rFonts w:ascii="Times New Roman" w:hAnsi="Times New Roman" w:cs="Times New Roman"/>
                <w:sz w:val="18"/>
                <w:szCs w:val="18"/>
                <w:lang w:val="en-US"/>
              </w:rPr>
              <w:t>Apparently healthy control</w:t>
            </w:r>
          </w:p>
        </w:tc>
        <w:tc>
          <w:tcPr>
            <w:tcW w:w="944" w:type="pct"/>
            <w:tcBorders>
              <w:top w:val="single" w:sz="4" w:space="0" w:color="7F7F7F" w:themeColor="text1" w:themeTint="80"/>
              <w:bottom w:val="single" w:sz="4" w:space="0" w:color="7F7F7F" w:themeColor="text1" w:themeTint="80"/>
            </w:tcBorders>
          </w:tcPr>
          <w:p w14:paraId="70034291"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US"/>
              </w:rPr>
              <w:t>139.17</w:t>
            </w:r>
            <w:r>
              <w:rPr>
                <w:rFonts w:ascii="Times New Roman" w:hAnsi="Times New Roman" w:cs="Times New Roman"/>
                <w:sz w:val="20"/>
                <w:szCs w:val="20"/>
                <w:vertAlign w:val="superscript"/>
                <w:lang w:val="en-US"/>
              </w:rPr>
              <w:t>Ab</w:t>
            </w:r>
            <w:r>
              <w:rPr>
                <w:rFonts w:ascii="Times New Roman" w:hAnsi="Times New Roman" w:cs="Times New Roman"/>
                <w:sz w:val="20"/>
                <w:szCs w:val="20"/>
              </w:rPr>
              <w:t>±</w:t>
            </w:r>
            <w:r>
              <w:rPr>
                <w:rFonts w:ascii="Times New Roman" w:hAnsi="Times New Roman" w:cs="Times New Roman"/>
                <w:sz w:val="20"/>
                <w:szCs w:val="20"/>
                <w:lang w:val="en-US"/>
              </w:rPr>
              <w:t>3.00</w:t>
            </w:r>
          </w:p>
        </w:tc>
        <w:tc>
          <w:tcPr>
            <w:tcW w:w="860" w:type="pct"/>
            <w:tcBorders>
              <w:top w:val="single" w:sz="4" w:space="0" w:color="7F7F7F" w:themeColor="text1" w:themeTint="80"/>
              <w:bottom w:val="single" w:sz="4" w:space="0" w:color="7F7F7F" w:themeColor="text1" w:themeTint="80"/>
            </w:tcBorders>
          </w:tcPr>
          <w:p w14:paraId="481DA119"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US"/>
              </w:rPr>
              <w:t>140.0</w:t>
            </w:r>
            <w:r>
              <w:rPr>
                <w:rFonts w:ascii="Times New Roman" w:hAnsi="Times New Roman" w:cs="Times New Roman"/>
                <w:sz w:val="20"/>
                <w:szCs w:val="20"/>
                <w:vertAlign w:val="superscript"/>
                <w:lang w:val="en-US"/>
              </w:rPr>
              <w:t>Ab</w:t>
            </w:r>
            <w:r>
              <w:rPr>
                <w:rFonts w:ascii="Times New Roman" w:hAnsi="Times New Roman" w:cs="Times New Roman"/>
                <w:sz w:val="20"/>
                <w:szCs w:val="20"/>
              </w:rPr>
              <w:t>±</w:t>
            </w:r>
            <w:r>
              <w:rPr>
                <w:rFonts w:ascii="Times New Roman" w:hAnsi="Times New Roman" w:cs="Times New Roman"/>
                <w:sz w:val="20"/>
                <w:szCs w:val="20"/>
                <w:lang w:val="en-US"/>
              </w:rPr>
              <w:t>3.42</w:t>
            </w:r>
          </w:p>
        </w:tc>
        <w:tc>
          <w:tcPr>
            <w:tcW w:w="856" w:type="pct"/>
            <w:tcBorders>
              <w:top w:val="single" w:sz="4" w:space="0" w:color="7F7F7F" w:themeColor="text1" w:themeTint="80"/>
              <w:bottom w:val="single" w:sz="4" w:space="0" w:color="7F7F7F" w:themeColor="text1" w:themeTint="80"/>
            </w:tcBorders>
          </w:tcPr>
          <w:p w14:paraId="33BA0FA1"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US"/>
              </w:rPr>
              <w:t>139.17</w:t>
            </w:r>
            <w:r>
              <w:rPr>
                <w:rFonts w:ascii="Times New Roman" w:hAnsi="Times New Roman" w:cs="Times New Roman"/>
                <w:sz w:val="20"/>
                <w:szCs w:val="20"/>
                <w:vertAlign w:val="superscript"/>
                <w:lang w:val="en-US"/>
              </w:rPr>
              <w:t>Ac</w:t>
            </w:r>
            <w:r>
              <w:rPr>
                <w:rFonts w:ascii="Times New Roman" w:hAnsi="Times New Roman" w:cs="Times New Roman"/>
                <w:sz w:val="20"/>
                <w:szCs w:val="20"/>
              </w:rPr>
              <w:t>±</w:t>
            </w:r>
            <w:r>
              <w:rPr>
                <w:rFonts w:ascii="Times New Roman" w:hAnsi="Times New Roman" w:cs="Times New Roman"/>
                <w:sz w:val="20"/>
                <w:szCs w:val="20"/>
                <w:lang w:val="en-US"/>
              </w:rPr>
              <w:t>1.90</w:t>
            </w:r>
          </w:p>
        </w:tc>
        <w:tc>
          <w:tcPr>
            <w:tcW w:w="902" w:type="pct"/>
            <w:tcBorders>
              <w:top w:val="single" w:sz="4" w:space="0" w:color="7F7F7F" w:themeColor="text1" w:themeTint="80"/>
              <w:bottom w:val="single" w:sz="4" w:space="0" w:color="7F7F7F" w:themeColor="text1" w:themeTint="80"/>
            </w:tcBorders>
          </w:tcPr>
          <w:p w14:paraId="03F65B46"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US"/>
              </w:rPr>
              <w:t>126.67</w:t>
            </w:r>
            <w:r>
              <w:rPr>
                <w:rFonts w:ascii="Times New Roman" w:hAnsi="Times New Roman" w:cs="Times New Roman"/>
                <w:sz w:val="20"/>
                <w:szCs w:val="20"/>
                <w:vertAlign w:val="superscript"/>
                <w:lang w:val="en-US"/>
              </w:rPr>
              <w:t>Aab</w:t>
            </w:r>
            <w:r>
              <w:rPr>
                <w:rFonts w:ascii="Times New Roman" w:hAnsi="Times New Roman" w:cs="Times New Roman"/>
                <w:sz w:val="20"/>
                <w:szCs w:val="20"/>
              </w:rPr>
              <w:t>±</w:t>
            </w:r>
            <w:r>
              <w:rPr>
                <w:rFonts w:ascii="Times New Roman" w:hAnsi="Times New Roman" w:cs="Times New Roman"/>
                <w:sz w:val="20"/>
                <w:szCs w:val="20"/>
                <w:lang w:val="en-US"/>
              </w:rPr>
              <w:t>2.40</w:t>
            </w:r>
          </w:p>
        </w:tc>
        <w:tc>
          <w:tcPr>
            <w:tcW w:w="956" w:type="pct"/>
            <w:tcBorders>
              <w:top w:val="single" w:sz="4" w:space="0" w:color="7F7F7F" w:themeColor="text1" w:themeTint="80"/>
              <w:bottom w:val="single" w:sz="4" w:space="0" w:color="7F7F7F" w:themeColor="text1" w:themeTint="80"/>
            </w:tcBorders>
          </w:tcPr>
          <w:p w14:paraId="1D18405C" w14:textId="77777777" w:rsidR="00B2699B" w:rsidRDefault="00D44AF2">
            <w:pPr>
              <w:tabs>
                <w:tab w:val="left" w:pos="972"/>
              </w:tabs>
              <w:spacing w:before="120" w:after="12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US"/>
              </w:rPr>
              <w:t>119.17</w:t>
            </w:r>
            <w:r>
              <w:rPr>
                <w:rFonts w:ascii="Times New Roman" w:hAnsi="Times New Roman" w:cs="Times New Roman"/>
                <w:sz w:val="20"/>
                <w:szCs w:val="20"/>
                <w:vertAlign w:val="superscript"/>
                <w:lang w:val="en-US"/>
              </w:rPr>
              <w:t>Aa</w:t>
            </w:r>
            <w:r>
              <w:rPr>
                <w:rFonts w:ascii="Times New Roman" w:hAnsi="Times New Roman" w:cs="Times New Roman"/>
                <w:sz w:val="20"/>
                <w:szCs w:val="20"/>
              </w:rPr>
              <w:t>±1.42</w:t>
            </w:r>
          </w:p>
        </w:tc>
      </w:tr>
    </w:tbl>
    <w:p w14:paraId="60CB7D5F" w14:textId="77777777" w:rsidR="00B2699B" w:rsidRDefault="00D44AF2">
      <w:pPr>
        <w:tabs>
          <w:tab w:val="left" w:pos="972"/>
        </w:tabs>
        <w:spacing w:after="120" w:line="240" w:lineRule="auto"/>
        <w:ind w:right="-28"/>
        <w:jc w:val="both"/>
        <w:rPr>
          <w:rFonts w:ascii="Times New Roman" w:hAnsi="Times New Roman" w:cs="Times New Roman"/>
          <w:bCs/>
          <w:sz w:val="20"/>
          <w:szCs w:val="24"/>
          <w:lang w:val="en-US"/>
        </w:rPr>
      </w:pPr>
      <w:r>
        <w:rPr>
          <w:rFonts w:ascii="Times New Roman" w:hAnsi="Times New Roman" w:cs="Times New Roman"/>
          <w:bCs/>
          <w:sz w:val="20"/>
          <w:szCs w:val="24"/>
          <w:lang w:val="en-US"/>
        </w:rPr>
        <w:t>Mean values with different superscript between groups (lowercase) and between intervals (uppercase) differ significantly (p&lt;0.05)</w:t>
      </w:r>
    </w:p>
    <w:p w14:paraId="79959C58" w14:textId="77777777" w:rsidR="00B2699B" w:rsidRDefault="00D44AF2">
      <w:pPr>
        <w:spacing w:after="120" w:line="360" w:lineRule="auto"/>
        <w:ind w:right="-28" w:firstLine="1440"/>
        <w:jc w:val="both"/>
        <w:rPr>
          <w:rFonts w:ascii="Times New Roman" w:hAnsi="Times New Roman" w:cs="Times New Roman"/>
          <w:sz w:val="24"/>
          <w:szCs w:val="24"/>
        </w:rPr>
      </w:pPr>
      <w:r>
        <w:rPr>
          <w:rFonts w:ascii="Times New Roman" w:hAnsi="Times New Roman" w:cs="Times New Roman"/>
          <w:sz w:val="24"/>
          <w:szCs w:val="24"/>
        </w:rPr>
        <w:t xml:space="preserve">The findings of our study are in alignment with Priyanka </w:t>
      </w:r>
      <w:r>
        <w:rPr>
          <w:rFonts w:ascii="Times New Roman" w:hAnsi="Times New Roman" w:cs="Times New Roman"/>
          <w:i/>
          <w:iCs/>
          <w:sz w:val="24"/>
          <w:szCs w:val="24"/>
        </w:rPr>
        <w:t>et al</w:t>
      </w:r>
      <w:r>
        <w:rPr>
          <w:rFonts w:ascii="Times New Roman" w:hAnsi="Times New Roman" w:cs="Times New Roman"/>
          <w:sz w:val="24"/>
          <w:szCs w:val="24"/>
        </w:rPr>
        <w:t xml:space="preserve">. (2010), Caro-Vadillo </w:t>
      </w:r>
      <w:r>
        <w:rPr>
          <w:rFonts w:ascii="Times New Roman" w:hAnsi="Times New Roman" w:cs="Times New Roman"/>
          <w:i/>
          <w:iCs/>
          <w:sz w:val="24"/>
          <w:szCs w:val="24"/>
        </w:rPr>
        <w:t>et al</w:t>
      </w:r>
      <w:r>
        <w:rPr>
          <w:rFonts w:ascii="Times New Roman" w:hAnsi="Times New Roman" w:cs="Times New Roman"/>
          <w:sz w:val="24"/>
          <w:szCs w:val="24"/>
        </w:rPr>
        <w:t xml:space="preserve">. (2018), Miyagawa </w:t>
      </w:r>
      <w:r>
        <w:rPr>
          <w:rFonts w:ascii="Times New Roman" w:hAnsi="Times New Roman" w:cs="Times New Roman"/>
          <w:i/>
          <w:iCs/>
          <w:sz w:val="24"/>
          <w:szCs w:val="24"/>
        </w:rPr>
        <w:t>et al</w:t>
      </w:r>
      <w:r>
        <w:rPr>
          <w:rFonts w:ascii="Times New Roman" w:hAnsi="Times New Roman" w:cs="Times New Roman"/>
          <w:sz w:val="24"/>
          <w:szCs w:val="24"/>
        </w:rPr>
        <w:t xml:space="preserve">. (2020), Fowler </w:t>
      </w:r>
      <w:r>
        <w:rPr>
          <w:rFonts w:ascii="Times New Roman" w:hAnsi="Times New Roman" w:cs="Times New Roman"/>
          <w:i/>
          <w:iCs/>
          <w:sz w:val="24"/>
          <w:szCs w:val="24"/>
        </w:rPr>
        <w:t>et al</w:t>
      </w:r>
      <w:r>
        <w:rPr>
          <w:rFonts w:ascii="Times New Roman" w:hAnsi="Times New Roman" w:cs="Times New Roman"/>
          <w:sz w:val="24"/>
          <w:szCs w:val="24"/>
        </w:rPr>
        <w:t xml:space="preserve">. (2021), Choi </w:t>
      </w:r>
      <w:r>
        <w:rPr>
          <w:rFonts w:ascii="Times New Roman" w:hAnsi="Times New Roman" w:cs="Times New Roman"/>
          <w:i/>
          <w:iCs/>
          <w:sz w:val="24"/>
          <w:szCs w:val="24"/>
        </w:rPr>
        <w:t>et al</w:t>
      </w:r>
      <w:r>
        <w:rPr>
          <w:rFonts w:ascii="Times New Roman" w:hAnsi="Times New Roman" w:cs="Times New Roman"/>
          <w:sz w:val="24"/>
          <w:szCs w:val="24"/>
        </w:rPr>
        <w:t>. (2022</w:t>
      </w:r>
      <w:r>
        <w:rPr>
          <w:rFonts w:ascii="Times New Roman" w:hAnsi="Times New Roman" w:cs="Times New Roman"/>
          <w:b/>
          <w:bCs/>
          <w:sz w:val="24"/>
          <w:szCs w:val="24"/>
        </w:rPr>
        <w:t xml:space="preserve">) </w:t>
      </w:r>
      <w:r>
        <w:rPr>
          <w:rFonts w:ascii="Times New Roman" w:hAnsi="Times New Roman" w:cs="Times New Roman"/>
          <w:sz w:val="24"/>
          <w:szCs w:val="24"/>
        </w:rPr>
        <w:t>and</w:t>
      </w:r>
      <w:r>
        <w:rPr>
          <w:rFonts w:ascii="Times New Roman" w:hAnsi="Times New Roman" w:cs="Times New Roman"/>
          <w:b/>
          <w:bCs/>
          <w:sz w:val="24"/>
          <w:szCs w:val="24"/>
        </w:rPr>
        <w:t xml:space="preserve"> </w:t>
      </w:r>
      <w:r>
        <w:rPr>
          <w:rFonts w:ascii="Times New Roman" w:hAnsi="Times New Roman" w:cs="Times New Roman"/>
          <w:sz w:val="24"/>
          <w:szCs w:val="24"/>
        </w:rPr>
        <w:lastRenderedPageBreak/>
        <w:t xml:space="preserve">Charitha </w:t>
      </w:r>
      <w:r>
        <w:rPr>
          <w:rFonts w:ascii="Times New Roman" w:hAnsi="Times New Roman" w:cs="Times New Roman"/>
          <w:i/>
          <w:iCs/>
          <w:sz w:val="24"/>
          <w:szCs w:val="24"/>
        </w:rPr>
        <w:t>et al</w:t>
      </w:r>
      <w:r>
        <w:rPr>
          <w:rFonts w:ascii="Times New Roman" w:hAnsi="Times New Roman" w:cs="Times New Roman"/>
          <w:sz w:val="24"/>
          <w:szCs w:val="24"/>
        </w:rPr>
        <w:t xml:space="preserve">. (2023). Telmisartan achieved more consistent reductions in both systolic and diastolic blood pressure compared with ramipril and subsequent findings by Bugbee </w:t>
      </w:r>
      <w:r>
        <w:rPr>
          <w:rFonts w:ascii="Times New Roman" w:hAnsi="Times New Roman" w:cs="Times New Roman"/>
          <w:i/>
          <w:iCs/>
          <w:sz w:val="24"/>
          <w:szCs w:val="24"/>
        </w:rPr>
        <w:t>et al</w:t>
      </w:r>
      <w:r>
        <w:rPr>
          <w:rFonts w:ascii="Times New Roman" w:hAnsi="Times New Roman" w:cs="Times New Roman"/>
          <w:sz w:val="24"/>
          <w:szCs w:val="24"/>
        </w:rPr>
        <w:t xml:space="preserve">. (2014) further confirmed its superior efficacy over ACE inhibitors in reducing proteinuria in dogs. Acierno </w:t>
      </w:r>
      <w:r>
        <w:rPr>
          <w:rFonts w:ascii="Times New Roman" w:hAnsi="Times New Roman" w:cs="Times New Roman"/>
          <w:i/>
          <w:iCs/>
          <w:sz w:val="24"/>
          <w:szCs w:val="24"/>
        </w:rPr>
        <w:t>et al</w:t>
      </w:r>
      <w:r>
        <w:rPr>
          <w:rFonts w:ascii="Times New Roman" w:hAnsi="Times New Roman" w:cs="Times New Roman"/>
          <w:sz w:val="24"/>
          <w:szCs w:val="24"/>
        </w:rPr>
        <w:t>. (2018) also recommended the combined administration of RAAS inhibitors and calcium channel blockers for the management of severely hypertensive dogs. The findings may be attributed as ACE inhibitors only incompletely suppress angiotensin II formation, giving rise to the phenomenon of aldosterone breakthrough, wherein angiotensin II continues to be generated via alternative pathways, thereby limiting effective BP control. In contrast, telmisartan acts through a different pharmacological pathway by selectively blocking the angiotensin II type-1 (AT1) receptor, thereby preventing angiotensin II mediated vasoconstriction. This results in vascular relaxation, reduced peripheral vascular resistance and a consequent lowering of systemic blood pressure. Additionally, telmisartan has been reported to provide prolonged 24-hour antihypertensive coverage and beneficial antiproteinuric effects, which are particularly advantageous in dogs with concurrent renal disease</w:t>
      </w:r>
    </w:p>
    <w:p w14:paraId="7DDC98AF" w14:textId="77777777" w:rsidR="009B0B04" w:rsidRDefault="00D44AF2">
      <w:pPr>
        <w:spacing w:after="120" w:line="360" w:lineRule="auto"/>
        <w:ind w:right="-28"/>
        <w:jc w:val="both"/>
        <w:rPr>
          <w:rFonts w:ascii="Times New Roman" w:hAnsi="Times New Roman" w:cs="Times New Roman"/>
          <w:b/>
          <w:bCs/>
          <w:sz w:val="24"/>
          <w:szCs w:val="24"/>
        </w:rPr>
      </w:pPr>
      <w:r>
        <w:rPr>
          <w:rFonts w:ascii="Times New Roman" w:hAnsi="Times New Roman" w:cs="Times New Roman"/>
          <w:noProof/>
        </w:rPr>
        <w:drawing>
          <wp:anchor distT="0" distB="0" distL="114300" distR="114300" simplePos="0" relativeHeight="251667456" behindDoc="0" locked="0" layoutInCell="1" allowOverlap="1" wp14:anchorId="12DA7F44" wp14:editId="635119C2">
            <wp:simplePos x="0" y="0"/>
            <wp:positionH relativeFrom="column">
              <wp:posOffset>908050</wp:posOffset>
            </wp:positionH>
            <wp:positionV relativeFrom="paragraph">
              <wp:posOffset>100330</wp:posOffset>
            </wp:positionV>
            <wp:extent cx="4331970" cy="2567940"/>
            <wp:effectExtent l="0" t="0" r="11430" b="3810"/>
            <wp:wrapNone/>
            <wp:docPr id="1458244836" name="Chart 14582448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B9BDF51" w14:textId="77777777" w:rsidR="00B2699B" w:rsidRDefault="00D44AF2">
      <w:pPr>
        <w:spacing w:after="120" w:line="360" w:lineRule="auto"/>
        <w:ind w:right="-28"/>
        <w:jc w:val="both"/>
        <w:rPr>
          <w:rFonts w:ascii="Times New Roman" w:hAnsi="Times New Roman" w:cs="Times New Roman"/>
          <w:b/>
          <w:bCs/>
          <w:sz w:val="24"/>
          <w:szCs w:val="24"/>
        </w:rPr>
      </w:pPr>
      <w:r>
        <w:rPr>
          <w:rFonts w:ascii="Times New Roman" w:hAnsi="Times New Roman" w:cs="Times New Roman"/>
          <w:noProof/>
        </w:rPr>
        <w:drawing>
          <wp:anchor distT="0" distB="0" distL="114300" distR="114300" simplePos="0" relativeHeight="251662336" behindDoc="0" locked="0" layoutInCell="1" allowOverlap="1" wp14:anchorId="655013CC" wp14:editId="4C145F3C">
            <wp:simplePos x="0" y="0"/>
            <wp:positionH relativeFrom="column">
              <wp:posOffset>908050</wp:posOffset>
            </wp:positionH>
            <wp:positionV relativeFrom="paragraph">
              <wp:posOffset>100330</wp:posOffset>
            </wp:positionV>
            <wp:extent cx="4331970" cy="2567940"/>
            <wp:effectExtent l="0" t="0" r="11430" b="3810"/>
            <wp:wrapNone/>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5D3104D" w14:textId="77777777" w:rsidR="00B2699B" w:rsidRDefault="00B2699B">
      <w:pPr>
        <w:spacing w:after="120" w:line="360" w:lineRule="auto"/>
        <w:ind w:right="-28"/>
        <w:jc w:val="both"/>
        <w:rPr>
          <w:rFonts w:ascii="Times New Roman" w:hAnsi="Times New Roman" w:cs="Times New Roman"/>
          <w:b/>
          <w:bCs/>
          <w:sz w:val="24"/>
          <w:szCs w:val="24"/>
        </w:rPr>
      </w:pPr>
    </w:p>
    <w:p w14:paraId="2D2526C7" w14:textId="77777777" w:rsidR="00B2699B" w:rsidRDefault="00B2699B">
      <w:pPr>
        <w:spacing w:after="120" w:line="360" w:lineRule="auto"/>
        <w:ind w:right="-28"/>
        <w:jc w:val="both"/>
        <w:rPr>
          <w:rFonts w:ascii="Times New Roman" w:hAnsi="Times New Roman" w:cs="Times New Roman"/>
          <w:b/>
          <w:bCs/>
          <w:sz w:val="24"/>
          <w:szCs w:val="24"/>
        </w:rPr>
      </w:pPr>
    </w:p>
    <w:p w14:paraId="054D5ABE" w14:textId="77777777" w:rsidR="00B2699B" w:rsidRDefault="00B2699B">
      <w:pPr>
        <w:spacing w:after="120" w:line="360" w:lineRule="auto"/>
        <w:ind w:right="-28"/>
        <w:jc w:val="both"/>
        <w:rPr>
          <w:rFonts w:ascii="Times New Roman" w:hAnsi="Times New Roman" w:cs="Times New Roman"/>
          <w:b/>
          <w:bCs/>
          <w:sz w:val="24"/>
          <w:szCs w:val="24"/>
        </w:rPr>
      </w:pPr>
    </w:p>
    <w:p w14:paraId="039ED237" w14:textId="77777777" w:rsidR="00B2699B" w:rsidRDefault="00B2699B">
      <w:pPr>
        <w:spacing w:after="120" w:line="360" w:lineRule="auto"/>
        <w:ind w:right="-28"/>
        <w:jc w:val="both"/>
        <w:rPr>
          <w:rFonts w:ascii="Times New Roman" w:hAnsi="Times New Roman" w:cs="Times New Roman"/>
          <w:b/>
          <w:bCs/>
          <w:sz w:val="24"/>
          <w:szCs w:val="24"/>
        </w:rPr>
      </w:pPr>
    </w:p>
    <w:p w14:paraId="7EF33B61" w14:textId="77777777" w:rsidR="00B2699B" w:rsidRDefault="00B2699B">
      <w:pPr>
        <w:spacing w:after="120" w:line="360" w:lineRule="auto"/>
        <w:ind w:right="-28"/>
        <w:jc w:val="both"/>
        <w:rPr>
          <w:rFonts w:ascii="Times New Roman" w:hAnsi="Times New Roman" w:cs="Times New Roman"/>
          <w:b/>
          <w:bCs/>
          <w:sz w:val="24"/>
          <w:szCs w:val="24"/>
        </w:rPr>
      </w:pPr>
    </w:p>
    <w:p w14:paraId="5439E94E" w14:textId="77777777" w:rsidR="00B2699B" w:rsidRDefault="00B2699B">
      <w:pPr>
        <w:spacing w:after="120" w:line="360" w:lineRule="auto"/>
        <w:ind w:right="-28"/>
        <w:jc w:val="both"/>
        <w:rPr>
          <w:rFonts w:ascii="Times New Roman" w:hAnsi="Times New Roman" w:cs="Times New Roman"/>
          <w:b/>
          <w:bCs/>
          <w:sz w:val="24"/>
          <w:szCs w:val="24"/>
        </w:rPr>
      </w:pPr>
    </w:p>
    <w:p w14:paraId="4CB832EC" w14:textId="77777777" w:rsidR="00B2699B" w:rsidRDefault="00B2699B">
      <w:pPr>
        <w:spacing w:after="120" w:line="360" w:lineRule="auto"/>
        <w:ind w:right="-28"/>
        <w:jc w:val="both"/>
        <w:rPr>
          <w:rFonts w:ascii="Times New Roman" w:hAnsi="Times New Roman" w:cs="Times New Roman"/>
          <w:b/>
          <w:bCs/>
          <w:sz w:val="24"/>
          <w:szCs w:val="24"/>
        </w:rPr>
      </w:pPr>
    </w:p>
    <w:p w14:paraId="51865C8D" w14:textId="77777777" w:rsidR="00B2699B" w:rsidRDefault="00D44AF2">
      <w:pPr>
        <w:spacing w:after="120" w:line="360" w:lineRule="auto"/>
        <w:ind w:left="1134" w:right="-28" w:hanging="1134"/>
        <w:jc w:val="both"/>
        <w:rPr>
          <w:rFonts w:ascii="Times New Roman" w:hAnsi="Times New Roman" w:cs="Times New Roman"/>
          <w:b/>
          <w:bCs/>
          <w:sz w:val="24"/>
          <w:szCs w:val="24"/>
        </w:rPr>
      </w:pPr>
      <w:r>
        <w:rPr>
          <w:rFonts w:ascii="Times New Roman" w:hAnsi="Times New Roman" w:cs="Times New Roman"/>
          <w:b/>
          <w:bCs/>
          <w:sz w:val="24"/>
          <w:szCs w:val="24"/>
        </w:rPr>
        <w:t>Figure 03: Mean systolic arterial pressure (mmHg) in dogs with systemic hypertension in different treatment groups at different intervals</w:t>
      </w:r>
    </w:p>
    <w:p w14:paraId="2A997EBE" w14:textId="77777777" w:rsidR="00B2699B" w:rsidRDefault="00D44AF2">
      <w:pPr>
        <w:spacing w:after="120" w:line="360" w:lineRule="auto"/>
        <w:ind w:right="-28"/>
        <w:jc w:val="both"/>
        <w:rPr>
          <w:rFonts w:ascii="Times New Roman" w:hAnsi="Times New Roman" w:cs="Times New Roman"/>
          <w:sz w:val="24"/>
          <w:szCs w:val="24"/>
        </w:rPr>
      </w:pPr>
      <w:r>
        <w:rPr>
          <w:rFonts w:ascii="Times New Roman" w:hAnsi="Times New Roman" w:cs="Times New Roman"/>
          <w:b/>
          <w:bCs/>
          <w:sz w:val="24"/>
          <w:szCs w:val="24"/>
        </w:rPr>
        <w:t>Evaluation of therapeutic response in hypertensive dogs</w:t>
      </w:r>
    </w:p>
    <w:p w14:paraId="5D9FF99E"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 the two treatment protocols, the telmisartan and amlodipine combination consistently produced a greater magnitude of SAP reduction across the study period and demonstrated a more rapid decline in systolic pressure during the initial weeks of therapy compared to the ramipril-based regimen. Overall, G2 exhibited a greater absolute and </w:t>
      </w:r>
      <w:r>
        <w:rPr>
          <w:rFonts w:ascii="Times New Roman" w:hAnsi="Times New Roman" w:cs="Times New Roman"/>
          <w:sz w:val="24"/>
          <w:szCs w:val="24"/>
        </w:rPr>
        <w:lastRenderedPageBreak/>
        <w:t>percentage reduction in systolic arterial pressure compared to G1, indicating a superior antihypertensive efficacy of the treatment protocol used in dogs of group G2 (Table 08).</w:t>
      </w:r>
    </w:p>
    <w:p w14:paraId="5D37FDE2" w14:textId="77777777" w:rsidR="00B2699B" w:rsidRDefault="00D44AF2">
      <w:pPr>
        <w:spacing w:after="120" w:line="360" w:lineRule="auto"/>
        <w:ind w:left="1134" w:right="-28" w:hanging="1134"/>
        <w:jc w:val="both"/>
        <w:rPr>
          <w:rFonts w:ascii="Times New Roman" w:hAnsi="Times New Roman" w:cs="Times New Roman"/>
          <w:b/>
          <w:bCs/>
          <w:sz w:val="24"/>
          <w:szCs w:val="24"/>
        </w:rPr>
      </w:pPr>
      <w:r>
        <w:rPr>
          <w:rFonts w:ascii="Times New Roman" w:hAnsi="Times New Roman" w:cs="Times New Roman"/>
          <w:b/>
          <w:bCs/>
          <w:sz w:val="24"/>
          <w:szCs w:val="24"/>
          <w:lang w:val="en-US"/>
        </w:rPr>
        <w:t>Table 08: Comparative effect of treatment on systolic arterial pressure (day 0 v/s day 28)</w:t>
      </w:r>
    </w:p>
    <w:tbl>
      <w:tblPr>
        <w:tblStyle w:val="PlainTable21"/>
        <w:tblW w:w="4859" w:type="pct"/>
        <w:tblLook w:val="04A0" w:firstRow="1" w:lastRow="0" w:firstColumn="1" w:lastColumn="0" w:noHBand="0" w:noVBand="1"/>
      </w:tblPr>
      <w:tblGrid>
        <w:gridCol w:w="1296"/>
        <w:gridCol w:w="1595"/>
        <w:gridCol w:w="1933"/>
        <w:gridCol w:w="2258"/>
        <w:gridCol w:w="1689"/>
      </w:tblGrid>
      <w:tr w:rsidR="00B2699B" w14:paraId="7EB89D78" w14:textId="77777777" w:rsidTr="00B2699B">
        <w:trPr>
          <w:cnfStyle w:val="100000000000" w:firstRow="1" w:lastRow="0" w:firstColumn="0" w:lastColumn="0" w:oddVBand="0" w:evenVBand="0" w:oddHBand="0"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739" w:type="pct"/>
          </w:tcPr>
          <w:p w14:paraId="4813BEFD" w14:textId="77777777" w:rsidR="00B2699B" w:rsidRDefault="00D44AF2">
            <w:pPr>
              <w:tabs>
                <w:tab w:val="left" w:pos="600"/>
              </w:tabs>
              <w:spacing w:before="120" w:after="120" w:line="360" w:lineRule="auto"/>
              <w:jc w:val="center"/>
              <w:rPr>
                <w:rFonts w:ascii="Times New Roman" w:hAnsi="Times New Roman" w:cs="Times New Roman"/>
                <w:b w:val="0"/>
                <w:bCs w:val="0"/>
                <w:sz w:val="24"/>
                <w:szCs w:val="24"/>
              </w:rPr>
            </w:pPr>
            <w:r>
              <w:rPr>
                <w:rFonts w:ascii="Times New Roman" w:hAnsi="Times New Roman" w:cs="Times New Roman"/>
                <w:sz w:val="24"/>
                <w:szCs w:val="24"/>
                <w:lang w:val="en-US"/>
              </w:rPr>
              <w:t>Groups</w:t>
            </w:r>
          </w:p>
        </w:tc>
        <w:tc>
          <w:tcPr>
            <w:tcW w:w="909" w:type="pct"/>
          </w:tcPr>
          <w:p w14:paraId="3892BB5D" w14:textId="77777777" w:rsidR="00B2699B" w:rsidRDefault="00D44AF2">
            <w:pPr>
              <w:tabs>
                <w:tab w:val="left" w:pos="972"/>
              </w:tabs>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lang w:val="en-US"/>
              </w:rPr>
              <w:t>Mean day 0</w:t>
            </w:r>
          </w:p>
        </w:tc>
        <w:tc>
          <w:tcPr>
            <w:tcW w:w="1102" w:type="pct"/>
          </w:tcPr>
          <w:p w14:paraId="702AB540" w14:textId="77777777" w:rsidR="00B2699B" w:rsidRDefault="00D44AF2">
            <w:pPr>
              <w:tabs>
                <w:tab w:val="left" w:pos="972"/>
              </w:tabs>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lang w:val="en-US"/>
              </w:rPr>
              <w:t>Mean day 28</w:t>
            </w:r>
          </w:p>
        </w:tc>
        <w:tc>
          <w:tcPr>
            <w:tcW w:w="1287" w:type="pct"/>
          </w:tcPr>
          <w:p w14:paraId="3178499E" w14:textId="77777777" w:rsidR="00B2699B" w:rsidRDefault="00D44AF2">
            <w:pPr>
              <w:tabs>
                <w:tab w:val="left" w:pos="972"/>
              </w:tabs>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lang w:val="en-US"/>
              </w:rPr>
              <w:t>Mean difference</w:t>
            </w:r>
          </w:p>
        </w:tc>
        <w:tc>
          <w:tcPr>
            <w:tcW w:w="963" w:type="pct"/>
          </w:tcPr>
          <w:p w14:paraId="6EAD057E" w14:textId="77777777" w:rsidR="00B2699B" w:rsidRDefault="00D44AF2">
            <w:pPr>
              <w:tabs>
                <w:tab w:val="left" w:pos="972"/>
              </w:tabs>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lang w:val="en-US"/>
              </w:rPr>
              <w:t>Per cent (%) change *</w:t>
            </w:r>
          </w:p>
        </w:tc>
      </w:tr>
      <w:tr w:rsidR="00B2699B" w14:paraId="3813E17B" w14:textId="77777777" w:rsidTr="00B2699B">
        <w:trPr>
          <w:trHeight w:val="15"/>
        </w:trPr>
        <w:tc>
          <w:tcPr>
            <w:cnfStyle w:val="001000000000" w:firstRow="0" w:lastRow="0" w:firstColumn="1" w:lastColumn="0" w:oddVBand="0" w:evenVBand="0" w:oddHBand="0" w:evenHBand="0" w:firstRowFirstColumn="0" w:firstRowLastColumn="0" w:lastRowFirstColumn="0" w:lastRowLastColumn="0"/>
            <w:tcW w:w="739" w:type="pct"/>
            <w:tcBorders>
              <w:top w:val="single" w:sz="4" w:space="0" w:color="7F7F7F" w:themeColor="text1" w:themeTint="80"/>
              <w:bottom w:val="single" w:sz="4" w:space="0" w:color="7F7F7F" w:themeColor="text1" w:themeTint="80"/>
            </w:tcBorders>
          </w:tcPr>
          <w:p w14:paraId="0B7DF79D" w14:textId="77777777" w:rsidR="00B2699B" w:rsidRDefault="00D44AF2">
            <w:pPr>
              <w:tabs>
                <w:tab w:val="left" w:pos="972"/>
              </w:tabs>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lang w:val="en-US"/>
              </w:rPr>
              <w:t>G1</w:t>
            </w:r>
          </w:p>
        </w:tc>
        <w:tc>
          <w:tcPr>
            <w:tcW w:w="909" w:type="pct"/>
            <w:tcBorders>
              <w:top w:val="single" w:sz="4" w:space="0" w:color="7F7F7F" w:themeColor="text1" w:themeTint="80"/>
              <w:bottom w:val="single" w:sz="4" w:space="0" w:color="7F7F7F" w:themeColor="text1" w:themeTint="80"/>
            </w:tcBorders>
          </w:tcPr>
          <w:p w14:paraId="7A90EE9D" w14:textId="77777777" w:rsidR="00B2699B" w:rsidRDefault="00D44AF2">
            <w:pPr>
              <w:tabs>
                <w:tab w:val="left" w:pos="972"/>
              </w:tabs>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195.33</w:t>
            </w:r>
          </w:p>
        </w:tc>
        <w:tc>
          <w:tcPr>
            <w:tcW w:w="1102" w:type="pct"/>
            <w:tcBorders>
              <w:top w:val="single" w:sz="4" w:space="0" w:color="7F7F7F" w:themeColor="text1" w:themeTint="80"/>
              <w:bottom w:val="single" w:sz="4" w:space="0" w:color="7F7F7F" w:themeColor="text1" w:themeTint="80"/>
            </w:tcBorders>
          </w:tcPr>
          <w:p w14:paraId="251F0029" w14:textId="77777777" w:rsidR="00B2699B" w:rsidRDefault="00D44AF2">
            <w:pPr>
              <w:tabs>
                <w:tab w:val="left" w:pos="972"/>
              </w:tabs>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133.67</w:t>
            </w:r>
          </w:p>
        </w:tc>
        <w:tc>
          <w:tcPr>
            <w:tcW w:w="1287" w:type="pct"/>
            <w:tcBorders>
              <w:top w:val="single" w:sz="4" w:space="0" w:color="7F7F7F" w:themeColor="text1" w:themeTint="80"/>
              <w:bottom w:val="single" w:sz="4" w:space="0" w:color="7F7F7F" w:themeColor="text1" w:themeTint="80"/>
            </w:tcBorders>
          </w:tcPr>
          <w:p w14:paraId="3155F9F0" w14:textId="77777777" w:rsidR="00B2699B" w:rsidRDefault="00D44AF2">
            <w:pPr>
              <w:tabs>
                <w:tab w:val="left" w:pos="972"/>
              </w:tabs>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en-US"/>
              </w:rPr>
              <w:t>61.66</w:t>
            </w:r>
          </w:p>
        </w:tc>
        <w:tc>
          <w:tcPr>
            <w:tcW w:w="963" w:type="pct"/>
            <w:tcBorders>
              <w:top w:val="single" w:sz="4" w:space="0" w:color="7F7F7F" w:themeColor="text1" w:themeTint="80"/>
              <w:bottom w:val="single" w:sz="4" w:space="0" w:color="7F7F7F" w:themeColor="text1" w:themeTint="80"/>
            </w:tcBorders>
          </w:tcPr>
          <w:p w14:paraId="4A624C3F" w14:textId="77777777" w:rsidR="00B2699B" w:rsidRDefault="00D44AF2">
            <w:pPr>
              <w:tabs>
                <w:tab w:val="left" w:pos="972"/>
              </w:tabs>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sz w:val="24"/>
                <w:szCs w:val="24"/>
                <w:lang w:val="en-US"/>
              </w:rPr>
              <w:t>31.56%</w:t>
            </w:r>
          </w:p>
        </w:tc>
      </w:tr>
      <w:tr w:rsidR="00B2699B" w14:paraId="4383358B" w14:textId="77777777" w:rsidTr="00B2699B">
        <w:trPr>
          <w:trHeight w:val="462"/>
        </w:trPr>
        <w:tc>
          <w:tcPr>
            <w:cnfStyle w:val="001000000000" w:firstRow="0" w:lastRow="0" w:firstColumn="1" w:lastColumn="0" w:oddVBand="0" w:evenVBand="0" w:oddHBand="0" w:evenHBand="0" w:firstRowFirstColumn="0" w:firstRowLastColumn="0" w:lastRowFirstColumn="0" w:lastRowLastColumn="0"/>
            <w:tcW w:w="739" w:type="pct"/>
          </w:tcPr>
          <w:p w14:paraId="6DBE084B" w14:textId="77777777" w:rsidR="00B2699B" w:rsidRDefault="00D44AF2">
            <w:pPr>
              <w:tabs>
                <w:tab w:val="left" w:pos="972"/>
              </w:tabs>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lang w:val="en-US"/>
              </w:rPr>
              <w:t>G2</w:t>
            </w:r>
          </w:p>
        </w:tc>
        <w:tc>
          <w:tcPr>
            <w:tcW w:w="909" w:type="pct"/>
          </w:tcPr>
          <w:p w14:paraId="2E511291" w14:textId="77777777" w:rsidR="00B2699B" w:rsidRDefault="00D44AF2">
            <w:pPr>
              <w:tabs>
                <w:tab w:val="left" w:pos="972"/>
              </w:tabs>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208.50</w:t>
            </w:r>
          </w:p>
        </w:tc>
        <w:tc>
          <w:tcPr>
            <w:tcW w:w="1102" w:type="pct"/>
          </w:tcPr>
          <w:p w14:paraId="77421F1C" w14:textId="77777777" w:rsidR="00B2699B" w:rsidRDefault="00D44AF2">
            <w:pPr>
              <w:tabs>
                <w:tab w:val="left" w:pos="972"/>
              </w:tabs>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119.17</w:t>
            </w:r>
          </w:p>
        </w:tc>
        <w:tc>
          <w:tcPr>
            <w:tcW w:w="1287" w:type="pct"/>
          </w:tcPr>
          <w:p w14:paraId="3EB07E97" w14:textId="77777777" w:rsidR="00B2699B" w:rsidRDefault="00D44AF2">
            <w:pPr>
              <w:tabs>
                <w:tab w:val="left" w:pos="972"/>
              </w:tabs>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en-US"/>
              </w:rPr>
              <w:t>89.33</w:t>
            </w:r>
          </w:p>
        </w:tc>
        <w:tc>
          <w:tcPr>
            <w:tcW w:w="963" w:type="pct"/>
          </w:tcPr>
          <w:p w14:paraId="13F545CB" w14:textId="77777777" w:rsidR="00B2699B" w:rsidRDefault="00D44AF2">
            <w:pPr>
              <w:tabs>
                <w:tab w:val="left" w:pos="972"/>
              </w:tabs>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sz w:val="24"/>
                <w:szCs w:val="24"/>
                <w:lang w:val="en-US"/>
              </w:rPr>
              <w:t>42.84%</w:t>
            </w:r>
          </w:p>
        </w:tc>
      </w:tr>
    </w:tbl>
    <w:p w14:paraId="1BA9E333" w14:textId="77777777" w:rsidR="00B2699B" w:rsidRDefault="00D44AF2">
      <w:pPr>
        <w:spacing w:after="120" w:line="360" w:lineRule="auto"/>
        <w:ind w:right="-28"/>
        <w:jc w:val="both"/>
        <w:rPr>
          <w:rFonts w:ascii="Times New Roman" w:hAnsi="Times New Roman" w:cs="Times New Roman"/>
          <w:sz w:val="20"/>
          <w:szCs w:val="48"/>
          <w:lang w:val="en-US"/>
        </w:rPr>
      </w:pPr>
      <w:r>
        <w:rPr>
          <w:rFonts w:ascii="Times New Roman" w:hAnsi="Times New Roman" w:cs="Times New Roman"/>
          <w:sz w:val="20"/>
          <w:szCs w:val="48"/>
          <w:lang w:val="en-US"/>
        </w:rPr>
        <w:t>* Per cent change (%) = [(Mean day 0 − Mean day 28) / Mean day 0] × 100</w:t>
      </w:r>
    </w:p>
    <w:p w14:paraId="5F7DDCDD"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findings are consistent with previous reports by Caro</w:t>
      </w:r>
      <w:r>
        <w:rPr>
          <w:rFonts w:ascii="Times New Roman" w:hAnsi="Times New Roman" w:cs="Times New Roman"/>
          <w:sz w:val="24"/>
          <w:szCs w:val="24"/>
        </w:rPr>
        <w:noBreakHyphen/>
        <w:t xml:space="preserve">Vadillo </w:t>
      </w:r>
      <w:r>
        <w:rPr>
          <w:rFonts w:ascii="Times New Roman" w:hAnsi="Times New Roman" w:cs="Times New Roman"/>
          <w:i/>
          <w:iCs/>
          <w:sz w:val="24"/>
          <w:szCs w:val="24"/>
        </w:rPr>
        <w:t>et al</w:t>
      </w:r>
      <w:r>
        <w:rPr>
          <w:rFonts w:ascii="Times New Roman" w:hAnsi="Times New Roman" w:cs="Times New Roman"/>
          <w:sz w:val="24"/>
          <w:szCs w:val="24"/>
        </w:rPr>
        <w:t xml:space="preserve">. (2018), Miyagawa </w:t>
      </w:r>
      <w:r>
        <w:rPr>
          <w:rFonts w:ascii="Times New Roman" w:hAnsi="Times New Roman" w:cs="Times New Roman"/>
          <w:i/>
          <w:iCs/>
          <w:sz w:val="24"/>
          <w:szCs w:val="24"/>
        </w:rPr>
        <w:t>et al</w:t>
      </w:r>
      <w:r>
        <w:rPr>
          <w:rFonts w:ascii="Times New Roman" w:hAnsi="Times New Roman" w:cs="Times New Roman"/>
          <w:sz w:val="24"/>
          <w:szCs w:val="24"/>
        </w:rPr>
        <w:t xml:space="preserve">. (2020), Fowler </w:t>
      </w:r>
      <w:r>
        <w:rPr>
          <w:rFonts w:ascii="Times New Roman" w:hAnsi="Times New Roman" w:cs="Times New Roman"/>
          <w:i/>
          <w:iCs/>
          <w:sz w:val="24"/>
          <w:szCs w:val="24"/>
        </w:rPr>
        <w:t>et al</w:t>
      </w:r>
      <w:r>
        <w:rPr>
          <w:rFonts w:ascii="Times New Roman" w:hAnsi="Times New Roman" w:cs="Times New Roman"/>
          <w:sz w:val="24"/>
          <w:szCs w:val="24"/>
        </w:rPr>
        <w:t xml:space="preserve">. (2021) and Choi </w:t>
      </w:r>
      <w:r>
        <w:rPr>
          <w:rFonts w:ascii="Times New Roman" w:hAnsi="Times New Roman" w:cs="Times New Roman"/>
          <w:i/>
          <w:iCs/>
          <w:sz w:val="24"/>
          <w:szCs w:val="24"/>
        </w:rPr>
        <w:t>et al</w:t>
      </w:r>
      <w:r>
        <w:rPr>
          <w:rFonts w:ascii="Times New Roman" w:hAnsi="Times New Roman" w:cs="Times New Roman"/>
          <w:sz w:val="24"/>
          <w:szCs w:val="24"/>
        </w:rPr>
        <w:t xml:space="preserve">. (2022), who documented faster and greater blood pressure reduction with telmisartan-based combinations compared with ACE inhibitor-based regimens. In partial agreement, Geigy </w:t>
      </w:r>
      <w:r>
        <w:rPr>
          <w:rFonts w:ascii="Times New Roman" w:hAnsi="Times New Roman" w:cs="Times New Roman"/>
          <w:i/>
          <w:iCs/>
          <w:sz w:val="24"/>
          <w:szCs w:val="24"/>
        </w:rPr>
        <w:t>et al</w:t>
      </w:r>
      <w:r>
        <w:rPr>
          <w:rFonts w:ascii="Times New Roman" w:hAnsi="Times New Roman" w:cs="Times New Roman"/>
          <w:sz w:val="24"/>
          <w:szCs w:val="24"/>
        </w:rPr>
        <w:t>. (2011) documented that amlodipine produces a rapid reduction in systolic blood pressure in acute hypertensive states such as acute kidney injury. The greater reduction associated with telmisartan may be attributed to more effective and sustained suppression of the renin angiotensin aldosterone system along with potent peripheral vasodilation. Although ACE inhibitors such as ramipril effectively reduce systemic and intraglomerular pressures and slow the progression of renal injury, their use may be limited in dehydrated or hypovolaemic animals due to the risk of a further decline in glomerular filtration rate. In contrast, telmisartan not only lowers systolic blood pressure but also exerts antiproteinuric effects and provides consistent 24-hour blood pressure control, thereby reducing cardiac afterload and limiting hypertension-induced cardiac remodelling</w:t>
      </w:r>
    </w:p>
    <w:p w14:paraId="7A8EF31B" w14:textId="77777777" w:rsidR="00B2699B" w:rsidRDefault="00D44AF2">
      <w:pPr>
        <w:spacing w:line="360" w:lineRule="auto"/>
        <w:jc w:val="both"/>
        <w:rPr>
          <w:rFonts w:ascii="Times New Roman" w:hAnsi="Times New Roman" w:cs="Times New Roman"/>
          <w:b/>
          <w:bCs/>
          <w:sz w:val="24"/>
          <w:szCs w:val="24"/>
          <w:highlight w:val="cyan"/>
        </w:rPr>
      </w:pPr>
      <w:r>
        <w:rPr>
          <w:rFonts w:ascii="Times New Roman" w:hAnsi="Times New Roman" w:cs="Times New Roman"/>
          <w:b/>
          <w:bCs/>
          <w:sz w:val="24"/>
          <w:szCs w:val="24"/>
          <w:highlight w:val="cyan"/>
        </w:rPr>
        <w:t>Limitations and Future Research</w:t>
      </w:r>
    </w:p>
    <w:p w14:paraId="5911576E" w14:textId="77777777" w:rsidR="00B2699B" w:rsidRDefault="00D44AF2">
      <w:pPr>
        <w:spacing w:line="360" w:lineRule="auto"/>
        <w:jc w:val="both"/>
        <w:rPr>
          <w:rFonts w:ascii="Times New Roman" w:hAnsi="Times New Roman" w:cs="Times New Roman"/>
          <w:sz w:val="24"/>
          <w:szCs w:val="24"/>
          <w:highlight w:val="cyan"/>
        </w:rPr>
      </w:pPr>
      <w:r>
        <w:rPr>
          <w:rFonts w:ascii="Times New Roman" w:hAnsi="Times New Roman" w:cs="Times New Roman"/>
          <w:sz w:val="24"/>
          <w:szCs w:val="24"/>
          <w:highlight w:val="cyan"/>
        </w:rPr>
        <w:t xml:space="preserve">This study has several limitations. First, the sample size was small (n=6 per treatment group), limiting statistical power and increasing susceptibility to baseline imbalances. Second, the follow-up period was short (28 days), which restricts inference about long-term blood pressure control, renal/cardiovascular protection, and adverse effects. Third, the study population likely included heterogeneous underlying causes of hypertension; without stratification by primary disease (e.g., chronic kidney disease, endocrinopathies), treatment responses may be confounded. Fourth, use of concomitant/supportive therapies and variable clinical management could have influenced biochemical and electrolyte outcomes. Finally, the absence of blinding </w:t>
      </w:r>
      <w:r>
        <w:rPr>
          <w:rFonts w:ascii="Times New Roman" w:hAnsi="Times New Roman" w:cs="Times New Roman"/>
          <w:sz w:val="24"/>
          <w:szCs w:val="24"/>
          <w:highlight w:val="cyan"/>
        </w:rPr>
        <w:lastRenderedPageBreak/>
        <w:t>and limited reporting on randomization procedures may introduce measurement and allocation bias, particularly for Doppler blood pressure assessments.</w:t>
      </w:r>
    </w:p>
    <w:p w14:paraId="09540449" w14:textId="77777777" w:rsidR="00B2699B" w:rsidRDefault="00B2699B">
      <w:pPr>
        <w:spacing w:line="360" w:lineRule="auto"/>
        <w:jc w:val="both"/>
        <w:rPr>
          <w:rFonts w:ascii="Times New Roman" w:hAnsi="Times New Roman" w:cs="Times New Roman"/>
          <w:sz w:val="24"/>
          <w:szCs w:val="24"/>
          <w:highlight w:val="cyan"/>
        </w:rPr>
      </w:pPr>
    </w:p>
    <w:p w14:paraId="77351884" w14:textId="77777777" w:rsidR="00B2699B" w:rsidRDefault="00D44AF2">
      <w:pPr>
        <w:spacing w:line="360" w:lineRule="auto"/>
        <w:jc w:val="both"/>
        <w:rPr>
          <w:rFonts w:ascii="Times New Roman" w:hAnsi="Times New Roman" w:cs="Times New Roman"/>
          <w:sz w:val="24"/>
          <w:szCs w:val="24"/>
        </w:rPr>
      </w:pPr>
      <w:r>
        <w:rPr>
          <w:rFonts w:ascii="Times New Roman" w:hAnsi="Times New Roman" w:cs="Times New Roman"/>
          <w:sz w:val="24"/>
          <w:szCs w:val="24"/>
          <w:highlight w:val="cyan"/>
        </w:rPr>
        <w:t>Future studies should include larger, stratified cohorts with standardized co-therapies, longer follow-up, and prespecified endpoints (including proteinuria/UPC, target-organ damage, and safety monitoring), ideally using randomized, blinded, repeated-measures analytical frameworks.</w:t>
      </w:r>
    </w:p>
    <w:p w14:paraId="4AFA8267"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07698C67" w14:textId="77777777" w:rsidR="00B2699B" w:rsidRDefault="00D44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study concludes that systemic hypertension in dogs can be effectively managed using combination antihypertensive therapy. Treatment with combination therapy of ramipril with amlodipine (G1) and telmisartan with amlodipine (G2) over a 28-day period resulted in significant improvement in clinical parameters, haematological indices and biochemical profiles compared with apparently healthy controls, indicating reversal of multisystem alterations associated with hypertension. Both treatment protocols produced a progressive and statistically significant reduction in systolic arterial pressure. However, the telmisartan and amlodipine combination achieved a faster onset of action and a greater magnitude of blood pressure control, as evidenced by a higher mean percentage reduction in systolic arterial pressure in G2 (42.84%) compared to G1 (31.56%). This greater percentage change reflects a superior recovery rate in Group G2, with a larger proportion of dogs attaining near-normotensive systolic pressure values by day 28 (post-treatment). Overall, the telmisartan and amlodipine combination provided superior, earlier and more sustained antihypertensive efficacy along with better clinicopathological recovery, supporting its advantage as a long-term therapeutic strategy for the management of systemic hypertension in dogs.</w:t>
      </w:r>
    </w:p>
    <w:p w14:paraId="2B389436" w14:textId="5BB4E59D" w:rsidR="00B46E9B" w:rsidRDefault="00B46E9B" w:rsidP="00B46E9B">
      <w:pPr>
        <w:spacing w:line="360" w:lineRule="auto"/>
        <w:rPr>
          <w:rFonts w:ascii="Times New Roman" w:hAnsi="Times New Roman" w:cs="Times New Roman"/>
          <w:b/>
          <w:bCs/>
          <w:sz w:val="24"/>
          <w:szCs w:val="24"/>
        </w:rPr>
      </w:pPr>
      <w:r w:rsidRPr="00B46E9B">
        <w:rPr>
          <w:rFonts w:ascii="Times New Roman" w:hAnsi="Times New Roman" w:cs="Times New Roman"/>
          <w:b/>
          <w:bCs/>
          <w:sz w:val="24"/>
          <w:szCs w:val="24"/>
        </w:rPr>
        <w:t>Consent</w:t>
      </w:r>
    </w:p>
    <w:p w14:paraId="4861BD2A" w14:textId="4A89D294" w:rsidR="00B46E9B" w:rsidRPr="00B46E9B" w:rsidRDefault="00B46E9B" w:rsidP="00B46E9B">
      <w:pPr>
        <w:spacing w:line="360" w:lineRule="auto"/>
        <w:ind w:firstLine="720"/>
        <w:jc w:val="both"/>
        <w:rPr>
          <w:rFonts w:ascii="Times New Roman" w:hAnsi="Times New Roman" w:cs="Times New Roman"/>
          <w:sz w:val="24"/>
          <w:szCs w:val="24"/>
        </w:rPr>
      </w:pPr>
      <w:r w:rsidRPr="00B46E9B">
        <w:rPr>
          <w:rFonts w:ascii="Times New Roman" w:hAnsi="Times New Roman" w:cs="Times New Roman"/>
          <w:sz w:val="24"/>
          <w:szCs w:val="24"/>
        </w:rPr>
        <w:t>Informed consent was obtained from all pet owners prior to inclusion of their animals in the study. Owners were informed about the nature of the clinical examination and diagnostic procedures, and consent was obtained for the use of clinical data for research and publication purposes.</w:t>
      </w:r>
    </w:p>
    <w:p w14:paraId="2ACF90C9" w14:textId="77777777" w:rsidR="00B46E9B" w:rsidRDefault="00B46E9B" w:rsidP="00B46E9B">
      <w:pPr>
        <w:spacing w:line="360" w:lineRule="auto"/>
        <w:jc w:val="both"/>
        <w:rPr>
          <w:rFonts w:ascii="Times New Roman" w:hAnsi="Times New Roman" w:cs="Times New Roman"/>
          <w:b/>
          <w:bCs/>
          <w:sz w:val="24"/>
          <w:szCs w:val="24"/>
        </w:rPr>
      </w:pPr>
      <w:r w:rsidRPr="00B46E9B">
        <w:rPr>
          <w:rFonts w:ascii="Times New Roman" w:hAnsi="Times New Roman" w:cs="Times New Roman"/>
          <w:b/>
          <w:bCs/>
          <w:sz w:val="24"/>
          <w:szCs w:val="24"/>
        </w:rPr>
        <w:t>ETHICAL APPROVAL</w:t>
      </w:r>
    </w:p>
    <w:p w14:paraId="172C4A4E" w14:textId="77F22C75" w:rsidR="00B46E9B" w:rsidRPr="00B46E9B" w:rsidRDefault="00B46E9B" w:rsidP="00B46E9B">
      <w:pPr>
        <w:spacing w:line="360" w:lineRule="auto"/>
        <w:ind w:firstLine="720"/>
        <w:jc w:val="both"/>
        <w:rPr>
          <w:rFonts w:ascii="Times New Roman" w:hAnsi="Times New Roman" w:cs="Times New Roman"/>
          <w:b/>
          <w:bCs/>
          <w:sz w:val="24"/>
          <w:szCs w:val="24"/>
        </w:rPr>
      </w:pPr>
      <w:r w:rsidRPr="00B46E9B">
        <w:rPr>
          <w:rFonts w:ascii="Times New Roman" w:hAnsi="Times New Roman" w:cs="Times New Roman"/>
          <w:sz w:val="24"/>
          <w:szCs w:val="24"/>
        </w:rPr>
        <w:lastRenderedPageBreak/>
        <w:t xml:space="preserve">The study was conducted after obtaining approval from the Institutional Animal Ethics Committee (IAEC), College of Veterinary Science and Animal Husbandry, </w:t>
      </w:r>
      <w:proofErr w:type="spellStart"/>
      <w:r w:rsidRPr="00B46E9B">
        <w:rPr>
          <w:rFonts w:ascii="Times New Roman" w:hAnsi="Times New Roman" w:cs="Times New Roman"/>
          <w:sz w:val="24"/>
          <w:szCs w:val="24"/>
        </w:rPr>
        <w:t>Nanaji</w:t>
      </w:r>
      <w:proofErr w:type="spellEnd"/>
      <w:r w:rsidRPr="00B46E9B">
        <w:rPr>
          <w:rFonts w:ascii="Times New Roman" w:hAnsi="Times New Roman" w:cs="Times New Roman"/>
          <w:sz w:val="24"/>
          <w:szCs w:val="24"/>
        </w:rPr>
        <w:t xml:space="preserve"> Deshmukh Veterinary Science University (NDVSU), Jabalpur, Madhya Pradesh.</w:t>
      </w:r>
    </w:p>
    <w:p w14:paraId="2CF6C4AA" w14:textId="3621E7CC" w:rsidR="00B46E9B" w:rsidRPr="00B46E9B" w:rsidRDefault="00B46E9B" w:rsidP="00B46E9B">
      <w:pPr>
        <w:spacing w:line="360" w:lineRule="auto"/>
        <w:ind w:firstLine="720"/>
        <w:jc w:val="both"/>
        <w:rPr>
          <w:rFonts w:ascii="Times New Roman" w:hAnsi="Times New Roman" w:cs="Times New Roman"/>
          <w:sz w:val="24"/>
          <w:szCs w:val="24"/>
        </w:rPr>
      </w:pPr>
      <w:r w:rsidRPr="00B46E9B">
        <w:rPr>
          <w:rFonts w:ascii="Times New Roman" w:hAnsi="Times New Roman" w:cs="Times New Roman"/>
          <w:sz w:val="24"/>
          <w:szCs w:val="24"/>
        </w:rPr>
        <w:t xml:space="preserve">Ethical approval was granted vide approval number </w:t>
      </w:r>
      <w:r w:rsidR="0098367C">
        <w:rPr>
          <w:rFonts w:ascii="Times New Roman" w:hAnsi="Times New Roman" w:cs="Times New Roman"/>
          <w:sz w:val="24"/>
          <w:szCs w:val="24"/>
        </w:rPr>
        <w:t>28</w:t>
      </w:r>
      <w:r w:rsidRPr="00B46E9B">
        <w:rPr>
          <w:rFonts w:ascii="Times New Roman" w:hAnsi="Times New Roman" w:cs="Times New Roman"/>
          <w:sz w:val="24"/>
          <w:szCs w:val="24"/>
        </w:rPr>
        <w:t>/AEC/</w:t>
      </w:r>
      <w:proofErr w:type="spellStart"/>
      <w:r w:rsidRPr="00B46E9B">
        <w:rPr>
          <w:rFonts w:ascii="Times New Roman" w:hAnsi="Times New Roman" w:cs="Times New Roman"/>
          <w:sz w:val="24"/>
          <w:szCs w:val="24"/>
        </w:rPr>
        <w:t>Vety</w:t>
      </w:r>
      <w:proofErr w:type="spellEnd"/>
      <w:r w:rsidRPr="00B46E9B">
        <w:rPr>
          <w:rFonts w:ascii="Times New Roman" w:hAnsi="Times New Roman" w:cs="Times New Roman"/>
          <w:sz w:val="24"/>
          <w:szCs w:val="24"/>
        </w:rPr>
        <w:t xml:space="preserve">/2025, dated </w:t>
      </w:r>
      <w:r w:rsidR="0098367C">
        <w:rPr>
          <w:rFonts w:ascii="Times New Roman" w:hAnsi="Times New Roman" w:cs="Times New Roman"/>
          <w:sz w:val="24"/>
          <w:szCs w:val="24"/>
        </w:rPr>
        <w:t>21</w:t>
      </w:r>
      <w:r w:rsidRPr="00B46E9B">
        <w:rPr>
          <w:rFonts w:ascii="Times New Roman" w:hAnsi="Times New Roman" w:cs="Times New Roman"/>
          <w:sz w:val="24"/>
          <w:szCs w:val="24"/>
        </w:rPr>
        <w:t>/07/2025.</w:t>
      </w:r>
    </w:p>
    <w:p w14:paraId="610F47AA" w14:textId="48BF691F" w:rsidR="00B46E9B" w:rsidRPr="00B46E9B" w:rsidRDefault="00B46E9B" w:rsidP="00B46E9B">
      <w:pPr>
        <w:spacing w:line="360" w:lineRule="auto"/>
        <w:ind w:firstLine="720"/>
        <w:jc w:val="both"/>
        <w:rPr>
          <w:rFonts w:ascii="Times New Roman" w:hAnsi="Times New Roman" w:cs="Times New Roman"/>
          <w:sz w:val="24"/>
          <w:szCs w:val="24"/>
        </w:rPr>
      </w:pPr>
      <w:r w:rsidRPr="00B46E9B">
        <w:rPr>
          <w:rFonts w:ascii="Times New Roman" w:hAnsi="Times New Roman" w:cs="Times New Roman"/>
          <w:sz w:val="24"/>
          <w:szCs w:val="24"/>
        </w:rPr>
        <w:t>All procedures were carried out in accordance with the guidelines of the Committee for the Purpose of Control and Supervision of Experiments on Animals (CPCSEA), Government of India.</w:t>
      </w:r>
    </w:p>
    <w:p w14:paraId="5360CC5B" w14:textId="77777777" w:rsidR="00B2699B" w:rsidRPr="00B46E9B" w:rsidRDefault="00D44AF2">
      <w:pPr>
        <w:pStyle w:val="NoSpacing"/>
        <w:rPr>
          <w:rFonts w:ascii="Times New Roman" w:hAnsi="Times New Roman" w:cs="Times New Roman"/>
          <w:highlight w:val="yellow"/>
        </w:rPr>
      </w:pPr>
      <w:bookmarkStart w:id="2" w:name="_Hlk219284361"/>
      <w:bookmarkStart w:id="3" w:name="_Hlk198031404"/>
      <w:bookmarkStart w:id="4" w:name="_Hlk219128673"/>
      <w:r w:rsidRPr="00B46E9B">
        <w:rPr>
          <w:rFonts w:ascii="Times New Roman" w:hAnsi="Times New Roman" w:cs="Times New Roman"/>
          <w:highlight w:val="yellow"/>
        </w:rPr>
        <w:t>Disclaimer (Artificial intelligence)</w:t>
      </w:r>
    </w:p>
    <w:p w14:paraId="438C94B4" w14:textId="77777777" w:rsidR="00B2699B" w:rsidRPr="00B46E9B" w:rsidRDefault="00B2699B">
      <w:pPr>
        <w:pStyle w:val="NoSpacing"/>
        <w:rPr>
          <w:rFonts w:ascii="Times New Roman" w:hAnsi="Times New Roman" w:cs="Times New Roman"/>
          <w:highlight w:val="yellow"/>
        </w:rPr>
      </w:pPr>
    </w:p>
    <w:p w14:paraId="03318879" w14:textId="77777777" w:rsidR="00B2699B" w:rsidRPr="00B46E9B" w:rsidRDefault="00D44AF2">
      <w:pPr>
        <w:pStyle w:val="NoSpacing"/>
        <w:rPr>
          <w:rFonts w:ascii="Times New Roman" w:hAnsi="Times New Roman" w:cs="Times New Roman"/>
          <w:highlight w:val="yellow"/>
        </w:rPr>
      </w:pPr>
      <w:r w:rsidRPr="00B46E9B">
        <w:rPr>
          <w:rFonts w:ascii="Times New Roman" w:hAnsi="Times New Roman" w:cs="Times New Roman"/>
          <w:highlight w:val="yellow"/>
        </w:rPr>
        <w:t>Author(s) hereby declare that NO generative AI technologies such as Large Language Models (ChatGPT, COPILOT, etc.) and text-to-image generators have been used during the writing or editing of this manuscript</w:t>
      </w:r>
      <w:bookmarkEnd w:id="2"/>
      <w:r w:rsidRPr="00B46E9B">
        <w:rPr>
          <w:rFonts w:ascii="Times New Roman" w:hAnsi="Times New Roman" w:cs="Times New Roman"/>
          <w:highlight w:val="yellow"/>
        </w:rPr>
        <w:t xml:space="preserve">. </w:t>
      </w:r>
    </w:p>
    <w:bookmarkEnd w:id="3"/>
    <w:p w14:paraId="1E4D3D96" w14:textId="77777777" w:rsidR="00B2699B" w:rsidRPr="00B46E9B" w:rsidRDefault="00B2699B">
      <w:pPr>
        <w:pStyle w:val="NoSpacing"/>
        <w:rPr>
          <w:rFonts w:ascii="Times New Roman" w:hAnsi="Times New Roman" w:cs="Times New Roman"/>
        </w:rPr>
      </w:pPr>
    </w:p>
    <w:bookmarkEnd w:id="4"/>
    <w:p w14:paraId="14405CBE" w14:textId="77777777" w:rsidR="00B2699B" w:rsidRDefault="00B2699B">
      <w:pPr>
        <w:spacing w:line="360" w:lineRule="auto"/>
        <w:ind w:firstLine="720"/>
        <w:jc w:val="both"/>
        <w:rPr>
          <w:rFonts w:ascii="Times New Roman" w:hAnsi="Times New Roman" w:cs="Times New Roman"/>
          <w:sz w:val="24"/>
          <w:szCs w:val="24"/>
        </w:rPr>
      </w:pPr>
    </w:p>
    <w:p w14:paraId="0432A6D1" w14:textId="77777777" w:rsidR="00B2699B" w:rsidRDefault="00D44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6363F79"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Parker, V.J. and Freeman, L.M. (2011). Association between body condition and survival in dogs with acquired chronic kidney disease. </w:t>
      </w:r>
      <w:r>
        <w:rPr>
          <w:rFonts w:ascii="Times New Roman" w:hAnsi="Times New Roman" w:cs="Times New Roman"/>
          <w:i/>
          <w:iCs/>
          <w:color w:val="000000"/>
          <w:szCs w:val="24"/>
        </w:rPr>
        <w:t>Journal of Veterinary Internal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25</w:t>
      </w:r>
      <w:r>
        <w:rPr>
          <w:rFonts w:ascii="Times New Roman" w:hAnsi="Times New Roman" w:cs="Times New Roman"/>
          <w:color w:val="000000"/>
          <w:szCs w:val="24"/>
        </w:rPr>
        <w:t>(1): 1306–1311.</w:t>
      </w:r>
    </w:p>
    <w:p w14:paraId="0A2DCA7E"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Skelding, A. and Valverde, A. (2020). Non-invasive blood pressure measurement in animals: part 1—Techniques for measurement and validation of non-invasive devices. </w:t>
      </w:r>
      <w:r>
        <w:rPr>
          <w:rFonts w:ascii="Times New Roman" w:hAnsi="Times New Roman" w:cs="Times New Roman"/>
          <w:i/>
          <w:iCs/>
          <w:color w:val="000000"/>
          <w:szCs w:val="24"/>
        </w:rPr>
        <w:t>The Canadian Veterinary Journal</w:t>
      </w:r>
      <w:r>
        <w:rPr>
          <w:rFonts w:ascii="Times New Roman" w:hAnsi="Times New Roman" w:cs="Times New Roman"/>
          <w:color w:val="000000"/>
          <w:szCs w:val="24"/>
        </w:rPr>
        <w:t xml:space="preserve">, </w:t>
      </w:r>
      <w:r>
        <w:rPr>
          <w:rFonts w:ascii="Times New Roman" w:hAnsi="Times New Roman" w:cs="Times New Roman"/>
          <w:b/>
          <w:bCs/>
          <w:color w:val="000000"/>
          <w:szCs w:val="24"/>
        </w:rPr>
        <w:t>61</w:t>
      </w:r>
      <w:r>
        <w:rPr>
          <w:rFonts w:ascii="Times New Roman" w:hAnsi="Times New Roman" w:cs="Times New Roman"/>
          <w:color w:val="000000"/>
          <w:szCs w:val="24"/>
        </w:rPr>
        <w:t>(4): 368–374.</w:t>
      </w:r>
    </w:p>
    <w:p w14:paraId="19BE0CD5"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Acierno, M.J., Brown, S., Coleman, A.E., Jepson, R.E., Papich, M., Stepien, R.L. and Syme, H.M. (2018). ACVIM consensus statement: guidelines for the identification, evaluation and management of systemic hypertension in dogs and cats. </w:t>
      </w:r>
      <w:r>
        <w:rPr>
          <w:rFonts w:ascii="Times New Roman" w:hAnsi="Times New Roman" w:cs="Times New Roman"/>
          <w:i/>
          <w:iCs/>
          <w:color w:val="000000"/>
          <w:szCs w:val="24"/>
        </w:rPr>
        <w:t>Journal of Veterinary Internal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32</w:t>
      </w:r>
      <w:r>
        <w:rPr>
          <w:rFonts w:ascii="Times New Roman" w:hAnsi="Times New Roman" w:cs="Times New Roman"/>
          <w:color w:val="000000"/>
          <w:szCs w:val="24"/>
        </w:rPr>
        <w:t>(6): 1803–1822.</w:t>
      </w:r>
    </w:p>
    <w:p w14:paraId="2AFEFEAD"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Sangwan, T. and Saini, N. (2023). Systemic hypertension in companion animals: a review. </w:t>
      </w:r>
      <w:r>
        <w:rPr>
          <w:rFonts w:ascii="Times New Roman" w:hAnsi="Times New Roman" w:cs="Times New Roman"/>
          <w:i/>
          <w:iCs/>
          <w:color w:val="000000"/>
          <w:szCs w:val="24"/>
        </w:rPr>
        <w:t>Indian Journal of Veterinary Sciences and Biotechnology</w:t>
      </w:r>
      <w:r>
        <w:rPr>
          <w:rFonts w:ascii="Times New Roman" w:hAnsi="Times New Roman" w:cs="Times New Roman"/>
          <w:color w:val="000000"/>
          <w:szCs w:val="24"/>
        </w:rPr>
        <w:t xml:space="preserve">, </w:t>
      </w:r>
      <w:r>
        <w:rPr>
          <w:rFonts w:ascii="Times New Roman" w:hAnsi="Times New Roman" w:cs="Times New Roman"/>
          <w:b/>
          <w:bCs/>
          <w:color w:val="000000"/>
          <w:szCs w:val="24"/>
        </w:rPr>
        <w:t>19</w:t>
      </w:r>
      <w:r>
        <w:rPr>
          <w:rFonts w:ascii="Times New Roman" w:hAnsi="Times New Roman" w:cs="Times New Roman"/>
          <w:color w:val="000000"/>
          <w:szCs w:val="24"/>
        </w:rPr>
        <w:t>(4): 1-6</w:t>
      </w:r>
    </w:p>
    <w:p w14:paraId="137D0EA3"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Brown, S., Atkins, C., Bagley, R., Carr, A., Cowgill, L., Davidson, M., Egner, B., Elliott, J., Henik, R., Labato, M., Littman, M., Polzin, D., Ross, L., Snyder, P. and Stepien, R. (2007). Guidelines for the identification, evaluation and management of systemic hypertension in dogs and cats. </w:t>
      </w:r>
      <w:r>
        <w:rPr>
          <w:rFonts w:ascii="Times New Roman" w:hAnsi="Times New Roman" w:cs="Times New Roman"/>
          <w:i/>
          <w:iCs/>
          <w:color w:val="000000"/>
          <w:szCs w:val="24"/>
        </w:rPr>
        <w:t>Journal of Veterinary Internal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21</w:t>
      </w:r>
      <w:r>
        <w:rPr>
          <w:rFonts w:ascii="Times New Roman" w:hAnsi="Times New Roman" w:cs="Times New Roman"/>
          <w:color w:val="000000"/>
          <w:szCs w:val="24"/>
        </w:rPr>
        <w:t>(3): 542–558.</w:t>
      </w:r>
    </w:p>
    <w:p w14:paraId="3FA74A3F" w14:textId="77777777" w:rsidR="00B2699B" w:rsidRDefault="00D44AF2">
      <w:pPr>
        <w:pStyle w:val="ListParagraph"/>
        <w:numPr>
          <w:ilvl w:val="0"/>
          <w:numId w:val="2"/>
        </w:numPr>
        <w:spacing w:after="100"/>
        <w:jc w:val="both"/>
        <w:rPr>
          <w:rFonts w:ascii="Times New Roman" w:hAnsi="Times New Roman" w:cs="Times New Roman"/>
          <w:color w:val="000000"/>
        </w:rPr>
      </w:pPr>
      <w:r>
        <w:rPr>
          <w:rFonts w:ascii="Times New Roman" w:hAnsi="Times New Roman" w:cs="Times New Roman"/>
          <w:color w:val="000000"/>
        </w:rPr>
        <w:t xml:space="preserve">LeBlanc, N.L., Stepien, R.L. and Bentley, E. (2011). Ocular lesions associated with systemic hypertension in dogs: 65 cases (2005–2007). </w:t>
      </w:r>
      <w:r>
        <w:rPr>
          <w:rFonts w:ascii="Times New Roman" w:hAnsi="Times New Roman" w:cs="Times New Roman"/>
          <w:i/>
          <w:iCs/>
          <w:color w:val="000000"/>
        </w:rPr>
        <w:t>Journal of the American Veterinary Medical Association</w:t>
      </w:r>
      <w:r>
        <w:rPr>
          <w:rFonts w:ascii="Times New Roman" w:hAnsi="Times New Roman" w:cs="Times New Roman"/>
          <w:color w:val="000000"/>
        </w:rPr>
        <w:t xml:space="preserve">, </w:t>
      </w:r>
      <w:r>
        <w:rPr>
          <w:rFonts w:ascii="Times New Roman" w:hAnsi="Times New Roman" w:cs="Times New Roman"/>
          <w:b/>
          <w:bCs/>
          <w:color w:val="000000"/>
        </w:rPr>
        <w:t>238</w:t>
      </w:r>
      <w:r>
        <w:rPr>
          <w:rFonts w:ascii="Times New Roman" w:hAnsi="Times New Roman" w:cs="Times New Roman"/>
          <w:color w:val="000000"/>
        </w:rPr>
        <w:t>(7): 915–921.</w:t>
      </w:r>
    </w:p>
    <w:p w14:paraId="0FD83439" w14:textId="77777777" w:rsidR="00B2699B" w:rsidRDefault="00D44AF2">
      <w:pPr>
        <w:pStyle w:val="ListParagraph"/>
        <w:numPr>
          <w:ilvl w:val="0"/>
          <w:numId w:val="2"/>
        </w:numPr>
        <w:spacing w:after="100"/>
        <w:jc w:val="both"/>
        <w:rPr>
          <w:rFonts w:ascii="Times New Roman" w:hAnsi="Times New Roman" w:cs="Times New Roman"/>
          <w:color w:val="000000"/>
        </w:rPr>
      </w:pPr>
      <w:r>
        <w:rPr>
          <w:rFonts w:ascii="Times New Roman" w:hAnsi="Times New Roman" w:cs="Times New Roman"/>
        </w:rPr>
        <w:t xml:space="preserve">Acierno, M.J. and Labato, M.A. (2004). Hypertension in dogs and cats. </w:t>
      </w:r>
      <w:r>
        <w:rPr>
          <w:rFonts w:ascii="Times New Roman" w:hAnsi="Times New Roman" w:cs="Times New Roman"/>
          <w:i/>
          <w:iCs/>
          <w:color w:val="000000"/>
        </w:rPr>
        <w:t>Compendium on Continuing Education for the Practicing Veterinarian – North American Edition</w:t>
      </w:r>
      <w:r>
        <w:rPr>
          <w:rFonts w:ascii="Times New Roman" w:hAnsi="Times New Roman" w:cs="Times New Roman"/>
          <w:color w:val="000000"/>
        </w:rPr>
        <w:t xml:space="preserve">, </w:t>
      </w:r>
      <w:r>
        <w:rPr>
          <w:rFonts w:ascii="Times New Roman" w:hAnsi="Times New Roman" w:cs="Times New Roman"/>
          <w:b/>
          <w:bCs/>
          <w:color w:val="000000"/>
        </w:rPr>
        <w:t>26</w:t>
      </w:r>
      <w:r>
        <w:rPr>
          <w:rFonts w:ascii="Times New Roman" w:hAnsi="Times New Roman" w:cs="Times New Roman"/>
          <w:color w:val="000000"/>
        </w:rPr>
        <w:t>(5): 336–345.</w:t>
      </w:r>
    </w:p>
    <w:p w14:paraId="7458204F"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Brown, S. (2013). Introduction from the international renal interest society. </w:t>
      </w:r>
      <w:r>
        <w:rPr>
          <w:rFonts w:ascii="Times New Roman" w:hAnsi="Times New Roman" w:cs="Times New Roman"/>
          <w:i/>
          <w:iCs/>
          <w:color w:val="000000"/>
          <w:szCs w:val="24"/>
        </w:rPr>
        <w:t>Journal of Veterinary Internal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27</w:t>
      </w:r>
      <w:r>
        <w:rPr>
          <w:rFonts w:ascii="Times New Roman" w:hAnsi="Times New Roman" w:cs="Times New Roman"/>
          <w:color w:val="000000"/>
          <w:szCs w:val="24"/>
        </w:rPr>
        <w:t xml:space="preserve">(1): S1–S1. </w:t>
      </w:r>
      <w:hyperlink r:id="rId14" w:history="1">
        <w:r w:rsidR="00B2699B">
          <w:rPr>
            <w:rStyle w:val="Hyperlink"/>
            <w:rFonts w:ascii="Times New Roman" w:hAnsi="Times New Roman" w:cs="Times New Roman"/>
            <w:szCs w:val="24"/>
          </w:rPr>
          <w:t>https://doi.org/10.1111/jvim.12229</w:t>
        </w:r>
      </w:hyperlink>
      <w:r>
        <w:rPr>
          <w:rFonts w:ascii="Times New Roman" w:hAnsi="Times New Roman" w:cs="Times New Roman"/>
          <w:color w:val="000000"/>
          <w:szCs w:val="24"/>
        </w:rPr>
        <w:t>.</w:t>
      </w:r>
    </w:p>
    <w:p w14:paraId="73DC59FA" w14:textId="77777777" w:rsidR="00B2699B" w:rsidRDefault="00D44AF2">
      <w:pPr>
        <w:pStyle w:val="ListParagraph"/>
        <w:numPr>
          <w:ilvl w:val="0"/>
          <w:numId w:val="2"/>
        </w:numPr>
        <w:spacing w:before="100" w:after="100" w:line="240" w:lineRule="auto"/>
        <w:jc w:val="both"/>
        <w:rPr>
          <w:rFonts w:ascii="Arial" w:hAnsi="Arial" w:cs="Arial"/>
          <w:color w:val="000000"/>
          <w:szCs w:val="24"/>
        </w:rPr>
      </w:pPr>
      <w:r>
        <w:rPr>
          <w:rFonts w:ascii="Times New Roman" w:hAnsi="Times New Roman" w:cs="Times New Roman"/>
          <w:color w:val="000000"/>
          <w:szCs w:val="24"/>
        </w:rPr>
        <w:t xml:space="preserve">Stepien, R.L. (2017). Blood pressure measurement and systemic hypertension. </w:t>
      </w:r>
      <w:r>
        <w:rPr>
          <w:rFonts w:ascii="Times New Roman" w:hAnsi="Times New Roman" w:cs="Times New Roman"/>
          <w:i/>
          <w:iCs/>
          <w:color w:val="000000"/>
          <w:szCs w:val="24"/>
        </w:rPr>
        <w:t>Veterinary Clinics of North America: Small Animal Practice</w:t>
      </w:r>
      <w:r>
        <w:rPr>
          <w:rFonts w:ascii="Times New Roman" w:hAnsi="Times New Roman" w:cs="Times New Roman"/>
          <w:color w:val="000000"/>
          <w:szCs w:val="24"/>
        </w:rPr>
        <w:t xml:space="preserve">, </w:t>
      </w:r>
      <w:r>
        <w:rPr>
          <w:rFonts w:ascii="Times New Roman" w:hAnsi="Times New Roman" w:cs="Times New Roman"/>
          <w:b/>
          <w:bCs/>
          <w:color w:val="000000"/>
          <w:szCs w:val="24"/>
        </w:rPr>
        <w:t>47</w:t>
      </w:r>
      <w:r>
        <w:rPr>
          <w:rFonts w:ascii="Times New Roman" w:hAnsi="Times New Roman" w:cs="Times New Roman"/>
          <w:color w:val="000000"/>
          <w:szCs w:val="24"/>
        </w:rPr>
        <w:t>(2): 327–336</w:t>
      </w:r>
      <w:r>
        <w:rPr>
          <w:rFonts w:ascii="Arial" w:hAnsi="Arial" w:cs="Arial"/>
          <w:color w:val="000000"/>
          <w:szCs w:val="24"/>
        </w:rPr>
        <w:t>.</w:t>
      </w:r>
    </w:p>
    <w:p w14:paraId="6774BF95"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Choi, H.I., Kim, J., Shin, I.S. and Kim, H.J. (2022). Comparative efficacy of antihypertensive drugs in dogs: A systematic review. </w:t>
      </w:r>
      <w:r>
        <w:rPr>
          <w:rFonts w:ascii="Times New Roman" w:hAnsi="Times New Roman" w:cs="Times New Roman"/>
          <w:i/>
          <w:iCs/>
          <w:color w:val="000000"/>
          <w:szCs w:val="24"/>
        </w:rPr>
        <w:t>Topics in Companion Animal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47</w:t>
      </w:r>
      <w:r>
        <w:rPr>
          <w:rFonts w:ascii="Times New Roman" w:hAnsi="Times New Roman" w:cs="Times New Roman"/>
          <w:color w:val="000000"/>
          <w:szCs w:val="24"/>
        </w:rPr>
        <w:t>(1):100674.</w:t>
      </w:r>
      <w:r>
        <w:rPr>
          <w:rFonts w:ascii="Times New Roman" w:hAnsi="Times New Roman" w:cs="Times New Roman"/>
          <w:color w:val="000000"/>
        </w:rPr>
        <w:t xml:space="preserve"> </w:t>
      </w:r>
      <w:hyperlink r:id="rId15" w:history="1">
        <w:r w:rsidR="00B2699B">
          <w:rPr>
            <w:rStyle w:val="Hyperlink"/>
            <w:rFonts w:ascii="Times New Roman" w:hAnsi="Times New Roman" w:cs="Times New Roman"/>
            <w:szCs w:val="24"/>
          </w:rPr>
          <w:t>https://doi.org/10.1016/j.tcam.2022.100674</w:t>
        </w:r>
      </w:hyperlink>
      <w:r>
        <w:rPr>
          <w:rFonts w:ascii="Times New Roman" w:hAnsi="Times New Roman" w:cs="Times New Roman"/>
          <w:color w:val="000000"/>
          <w:szCs w:val="24"/>
        </w:rPr>
        <w:t>.</w:t>
      </w:r>
    </w:p>
    <w:p w14:paraId="04E6A966"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lastRenderedPageBreak/>
        <w:t xml:space="preserve">Charitha, V., Kumar, K.S., Kumar, V.A. and Kumar, B.K. (2023). A clinical study on hypertension in client-owned dogs of Hyderabad, Telangana state. </w:t>
      </w:r>
      <w:r>
        <w:rPr>
          <w:rFonts w:ascii="Times New Roman" w:hAnsi="Times New Roman" w:cs="Times New Roman"/>
          <w:i/>
          <w:iCs/>
          <w:color w:val="000000"/>
          <w:szCs w:val="24"/>
        </w:rPr>
        <w:t>Haryana Veterinarians</w:t>
      </w:r>
      <w:r>
        <w:rPr>
          <w:rFonts w:ascii="Times New Roman" w:hAnsi="Times New Roman" w:cs="Times New Roman"/>
          <w:color w:val="000000"/>
          <w:szCs w:val="24"/>
        </w:rPr>
        <w:t xml:space="preserve">, </w:t>
      </w:r>
      <w:r>
        <w:rPr>
          <w:rFonts w:ascii="Times New Roman" w:hAnsi="Times New Roman" w:cs="Times New Roman"/>
          <w:b/>
          <w:bCs/>
          <w:color w:val="000000"/>
          <w:szCs w:val="24"/>
        </w:rPr>
        <w:t>62</w:t>
      </w:r>
      <w:r>
        <w:rPr>
          <w:rFonts w:ascii="Times New Roman" w:hAnsi="Times New Roman" w:cs="Times New Roman"/>
          <w:color w:val="000000"/>
          <w:szCs w:val="24"/>
        </w:rPr>
        <w:t>(2): 136–140.</w:t>
      </w:r>
    </w:p>
    <w:p w14:paraId="1FFD619C"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IBM SPSS Statistics for Windows, Version 30.0. IBM Corp., Armonk, New York, USA online </w:t>
      </w:r>
      <w:hyperlink r:id="rId16" w:history="1">
        <w:r w:rsidR="00B2699B">
          <w:rPr>
            <w:rStyle w:val="Hyperlink"/>
            <w:rFonts w:ascii="Times New Roman" w:hAnsi="Times New Roman" w:cs="Times New Roman"/>
            <w:szCs w:val="24"/>
          </w:rPr>
          <w:t>https://www.ibm.com/products/spss-statistics</w:t>
        </w:r>
      </w:hyperlink>
    </w:p>
    <w:p w14:paraId="56964FF3"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Beeston, D., Jepson, R. and </w:t>
      </w:r>
      <w:proofErr w:type="spellStart"/>
      <w:r>
        <w:rPr>
          <w:rFonts w:ascii="Times New Roman" w:hAnsi="Times New Roman" w:cs="Times New Roman"/>
          <w:color w:val="000000"/>
          <w:szCs w:val="24"/>
        </w:rPr>
        <w:t>Cortellini</w:t>
      </w:r>
      <w:proofErr w:type="spellEnd"/>
      <w:r>
        <w:rPr>
          <w:rFonts w:ascii="Times New Roman" w:hAnsi="Times New Roman" w:cs="Times New Roman"/>
          <w:color w:val="000000"/>
          <w:szCs w:val="24"/>
        </w:rPr>
        <w:t xml:space="preserve">, S. (2022). Evaluation of presentation, treatment and outcome in hypertensive emergency in dogs and cats: 15 cases (2003–2019). </w:t>
      </w:r>
      <w:r>
        <w:rPr>
          <w:rFonts w:ascii="Times New Roman" w:hAnsi="Times New Roman" w:cs="Times New Roman"/>
          <w:i/>
          <w:iCs/>
          <w:color w:val="000000"/>
          <w:szCs w:val="24"/>
        </w:rPr>
        <w:t>Journal of Small Animal Practice</w:t>
      </w:r>
      <w:r>
        <w:rPr>
          <w:rFonts w:ascii="Times New Roman" w:hAnsi="Times New Roman" w:cs="Times New Roman"/>
          <w:color w:val="000000"/>
          <w:szCs w:val="24"/>
        </w:rPr>
        <w:t xml:space="preserve">, </w:t>
      </w:r>
      <w:r>
        <w:rPr>
          <w:rFonts w:ascii="Times New Roman" w:hAnsi="Times New Roman" w:cs="Times New Roman"/>
          <w:b/>
          <w:bCs/>
          <w:color w:val="000000"/>
          <w:szCs w:val="24"/>
        </w:rPr>
        <w:t>63</w:t>
      </w:r>
      <w:r>
        <w:rPr>
          <w:rFonts w:ascii="Times New Roman" w:hAnsi="Times New Roman" w:cs="Times New Roman"/>
          <w:color w:val="000000"/>
          <w:szCs w:val="24"/>
        </w:rPr>
        <w:t xml:space="preserve"> (10): 784–791</w:t>
      </w:r>
    </w:p>
    <w:p w14:paraId="5F85F28B"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Surman, S., Couto, C.G., </w:t>
      </w:r>
      <w:proofErr w:type="spellStart"/>
      <w:r>
        <w:rPr>
          <w:rFonts w:ascii="Times New Roman" w:hAnsi="Times New Roman" w:cs="Times New Roman"/>
          <w:color w:val="000000"/>
          <w:szCs w:val="24"/>
        </w:rPr>
        <w:t>DiBartola</w:t>
      </w:r>
      <w:proofErr w:type="spellEnd"/>
      <w:r>
        <w:rPr>
          <w:rFonts w:ascii="Times New Roman" w:hAnsi="Times New Roman" w:cs="Times New Roman"/>
          <w:color w:val="000000"/>
          <w:szCs w:val="24"/>
        </w:rPr>
        <w:t xml:space="preserve">, S.P. and Chew, D.J. (2012). Arterial blood pressure, proteinuria and renal histopathology in clinically healthy retired racing greyhounds. </w:t>
      </w:r>
      <w:r>
        <w:rPr>
          <w:rFonts w:ascii="Times New Roman" w:hAnsi="Times New Roman" w:cs="Times New Roman"/>
          <w:i/>
          <w:iCs/>
          <w:color w:val="000000"/>
          <w:szCs w:val="24"/>
        </w:rPr>
        <w:t>Journal of Veterinary Internal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26</w:t>
      </w:r>
      <w:r>
        <w:rPr>
          <w:rFonts w:ascii="Times New Roman" w:hAnsi="Times New Roman" w:cs="Times New Roman"/>
          <w:color w:val="000000"/>
          <w:szCs w:val="24"/>
        </w:rPr>
        <w:t>(6): 1320–1329.</w:t>
      </w:r>
    </w:p>
    <w:p w14:paraId="30B6B376"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McGrotty, Y. (2008). Diagnosis and management of chronic kidney disease in dogs and cats. </w:t>
      </w:r>
      <w:r>
        <w:rPr>
          <w:rFonts w:ascii="Times New Roman" w:hAnsi="Times New Roman" w:cs="Times New Roman"/>
          <w:i/>
          <w:iCs/>
          <w:color w:val="000000"/>
          <w:szCs w:val="24"/>
        </w:rPr>
        <w:t>In Practice</w:t>
      </w:r>
      <w:r>
        <w:rPr>
          <w:rFonts w:ascii="Times New Roman" w:hAnsi="Times New Roman" w:cs="Times New Roman"/>
          <w:color w:val="000000"/>
          <w:szCs w:val="24"/>
        </w:rPr>
        <w:t xml:space="preserve">, </w:t>
      </w:r>
      <w:r>
        <w:rPr>
          <w:rFonts w:ascii="Times New Roman" w:hAnsi="Times New Roman" w:cs="Times New Roman"/>
          <w:b/>
          <w:bCs/>
          <w:color w:val="000000"/>
          <w:szCs w:val="24"/>
        </w:rPr>
        <w:t>30</w:t>
      </w:r>
      <w:r>
        <w:rPr>
          <w:rFonts w:ascii="Times New Roman" w:hAnsi="Times New Roman" w:cs="Times New Roman"/>
          <w:color w:val="000000"/>
          <w:szCs w:val="24"/>
        </w:rPr>
        <w:t>(9): 502–507.</w:t>
      </w:r>
    </w:p>
    <w:p w14:paraId="6C0F7E18"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Lee, J.S. and Hyun, C.B. (2009). Hypertensive cardiomyopathy in a Pomeranian dog complicated with chronic kidney disease. </w:t>
      </w:r>
      <w:r>
        <w:rPr>
          <w:rFonts w:ascii="Times New Roman" w:hAnsi="Times New Roman" w:cs="Times New Roman"/>
          <w:i/>
          <w:iCs/>
          <w:color w:val="000000"/>
          <w:szCs w:val="24"/>
        </w:rPr>
        <w:t>Journal of Veterinary Clinics</w:t>
      </w:r>
      <w:r>
        <w:rPr>
          <w:rFonts w:ascii="Times New Roman" w:hAnsi="Times New Roman" w:cs="Times New Roman"/>
          <w:color w:val="000000"/>
          <w:szCs w:val="24"/>
        </w:rPr>
        <w:t xml:space="preserve">, </w:t>
      </w:r>
      <w:r>
        <w:rPr>
          <w:rFonts w:ascii="Times New Roman" w:hAnsi="Times New Roman" w:cs="Times New Roman"/>
          <w:b/>
          <w:bCs/>
          <w:color w:val="000000"/>
          <w:szCs w:val="24"/>
        </w:rPr>
        <w:t>26</w:t>
      </w:r>
      <w:r>
        <w:rPr>
          <w:rFonts w:ascii="Times New Roman" w:hAnsi="Times New Roman" w:cs="Times New Roman"/>
          <w:color w:val="000000"/>
          <w:szCs w:val="24"/>
        </w:rPr>
        <w:t>(2): 170–175.</w:t>
      </w:r>
    </w:p>
    <w:p w14:paraId="296562D2"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Priyanka. (2010). Studies on systemic hypertension in dogs with special reference to haematological and biochemical alterations. </w:t>
      </w:r>
      <w:proofErr w:type="spellStart"/>
      <w:r>
        <w:rPr>
          <w:rFonts w:ascii="Times New Roman" w:hAnsi="Times New Roman" w:cs="Times New Roman"/>
          <w:color w:val="000000"/>
          <w:szCs w:val="24"/>
        </w:rPr>
        <w:t>M.V.Sc</w:t>
      </w:r>
      <w:proofErr w:type="spellEnd"/>
      <w:r>
        <w:rPr>
          <w:rFonts w:ascii="Times New Roman" w:hAnsi="Times New Roman" w:cs="Times New Roman"/>
          <w:color w:val="000000"/>
          <w:szCs w:val="24"/>
        </w:rPr>
        <w:t>. thesis (Veterinary Medicine), Guru Angad Dev Veterinary and Animal Sciences University, Ludhiana.</w:t>
      </w:r>
    </w:p>
    <w:p w14:paraId="318CCEC2"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Sangwan, R., Yadav, R., Singh, A., Kumar, N. and Sharma, V. (2024). Effect of breed, body size and sex on systolic blood pressure in dogs. </w:t>
      </w:r>
      <w:r>
        <w:rPr>
          <w:rFonts w:ascii="Times New Roman" w:hAnsi="Times New Roman" w:cs="Times New Roman"/>
          <w:i/>
          <w:iCs/>
          <w:color w:val="000000"/>
          <w:szCs w:val="24"/>
        </w:rPr>
        <w:t>Indian Journal of Veterinary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44</w:t>
      </w:r>
      <w:r>
        <w:rPr>
          <w:rFonts w:ascii="Times New Roman" w:hAnsi="Times New Roman" w:cs="Times New Roman"/>
          <w:color w:val="000000"/>
          <w:szCs w:val="24"/>
        </w:rPr>
        <w:t>(1): 15–20.</w:t>
      </w:r>
    </w:p>
    <w:p w14:paraId="01E4B25C"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Jose, P., Arenas-Bermejo, C., Clares-Moral, I., Cuesta-Alvaro, P. and Perez-Alenza, M.D. (2020). Prevalence and risk factors associated with systemic hypertension in dogs with spontaneous hyperadrenocorticism. </w:t>
      </w:r>
      <w:r>
        <w:rPr>
          <w:rFonts w:ascii="Times New Roman" w:hAnsi="Times New Roman" w:cs="Times New Roman"/>
          <w:i/>
          <w:iCs/>
          <w:color w:val="000000"/>
          <w:szCs w:val="24"/>
        </w:rPr>
        <w:t>Journal of Veterinary Internal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34</w:t>
      </w:r>
      <w:r>
        <w:rPr>
          <w:rFonts w:ascii="Times New Roman" w:hAnsi="Times New Roman" w:cs="Times New Roman"/>
          <w:color w:val="000000"/>
          <w:szCs w:val="24"/>
        </w:rPr>
        <w:t>(5): 1768–1778.</w:t>
      </w:r>
    </w:p>
    <w:p w14:paraId="3D9B2AA5"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Herring, I.P., Panciera, D.L. and Werre, S.R. (2014). Longitudinal prevalence of hypertension, proteinuria and retinopathy in dogs with spontaneous diabetes mellitus. </w:t>
      </w:r>
      <w:r>
        <w:rPr>
          <w:rFonts w:ascii="Times New Roman" w:hAnsi="Times New Roman" w:cs="Times New Roman"/>
          <w:i/>
          <w:iCs/>
          <w:color w:val="000000"/>
          <w:szCs w:val="24"/>
        </w:rPr>
        <w:t>Journal of Veterinary Internal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28</w:t>
      </w:r>
      <w:r>
        <w:rPr>
          <w:rFonts w:ascii="Times New Roman" w:hAnsi="Times New Roman" w:cs="Times New Roman"/>
          <w:color w:val="000000"/>
          <w:szCs w:val="24"/>
        </w:rPr>
        <w:t>(2): 488–495.</w:t>
      </w:r>
    </w:p>
    <w:p w14:paraId="04BFD0C4"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Cole, L.P., Jepson, R., Dawson, C. and Humm, K. (2020). Hypertension, retinopathy and acute kidney injury in dogs: a prospective study. </w:t>
      </w:r>
      <w:r>
        <w:rPr>
          <w:rFonts w:ascii="Times New Roman" w:hAnsi="Times New Roman" w:cs="Times New Roman"/>
          <w:i/>
          <w:iCs/>
          <w:color w:val="000000"/>
          <w:szCs w:val="24"/>
        </w:rPr>
        <w:t>Journal of Veterinary Internal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34</w:t>
      </w:r>
      <w:r>
        <w:rPr>
          <w:rFonts w:ascii="Times New Roman" w:hAnsi="Times New Roman" w:cs="Times New Roman"/>
          <w:color w:val="000000"/>
          <w:szCs w:val="24"/>
        </w:rPr>
        <w:t>(5): 1940–1947.</w:t>
      </w:r>
    </w:p>
    <w:p w14:paraId="4DB8AAFF"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Lecavalier, J., </w:t>
      </w:r>
      <w:proofErr w:type="spellStart"/>
      <w:r>
        <w:rPr>
          <w:rFonts w:ascii="Times New Roman" w:hAnsi="Times New Roman" w:cs="Times New Roman"/>
          <w:color w:val="000000"/>
          <w:szCs w:val="24"/>
        </w:rPr>
        <w:t>Fifle</w:t>
      </w:r>
      <w:proofErr w:type="spellEnd"/>
      <w:r>
        <w:rPr>
          <w:rFonts w:ascii="Times New Roman" w:hAnsi="Times New Roman" w:cs="Times New Roman"/>
          <w:color w:val="000000"/>
          <w:szCs w:val="24"/>
        </w:rPr>
        <w:t xml:space="preserve">, L. and </w:t>
      </w:r>
      <w:proofErr w:type="spellStart"/>
      <w:r>
        <w:rPr>
          <w:rFonts w:ascii="Times New Roman" w:hAnsi="Times New Roman" w:cs="Times New Roman"/>
          <w:color w:val="000000"/>
          <w:szCs w:val="24"/>
        </w:rPr>
        <w:t>Javard</w:t>
      </w:r>
      <w:proofErr w:type="spellEnd"/>
      <w:r>
        <w:rPr>
          <w:rFonts w:ascii="Times New Roman" w:hAnsi="Times New Roman" w:cs="Times New Roman"/>
          <w:color w:val="000000"/>
          <w:szCs w:val="24"/>
        </w:rPr>
        <w:t xml:space="preserve">, R. (2021). Treatment of proteinuria in dogs with telmisartan: a retrospective study. </w:t>
      </w:r>
      <w:r>
        <w:rPr>
          <w:rFonts w:ascii="Times New Roman" w:hAnsi="Times New Roman" w:cs="Times New Roman"/>
          <w:i/>
          <w:iCs/>
          <w:color w:val="000000"/>
          <w:szCs w:val="24"/>
        </w:rPr>
        <w:t>Journal of Veterinary Internal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35</w:t>
      </w:r>
      <w:r>
        <w:rPr>
          <w:rFonts w:ascii="Times New Roman" w:hAnsi="Times New Roman" w:cs="Times New Roman"/>
          <w:color w:val="000000"/>
          <w:szCs w:val="24"/>
        </w:rPr>
        <w:t>(4): 1810–1818.</w:t>
      </w:r>
    </w:p>
    <w:p w14:paraId="4084D087"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Devipriya, R. (2018). </w:t>
      </w:r>
      <w:proofErr w:type="spellStart"/>
      <w:r>
        <w:rPr>
          <w:rFonts w:ascii="Times New Roman" w:hAnsi="Times New Roman" w:cs="Times New Roman"/>
          <w:color w:val="000000"/>
          <w:szCs w:val="24"/>
        </w:rPr>
        <w:t>Haematobiochemical</w:t>
      </w:r>
      <w:proofErr w:type="spellEnd"/>
      <w:r>
        <w:rPr>
          <w:rFonts w:ascii="Times New Roman" w:hAnsi="Times New Roman" w:cs="Times New Roman"/>
          <w:color w:val="000000"/>
          <w:szCs w:val="24"/>
        </w:rPr>
        <w:t xml:space="preserve"> alterations in dogs with renal insufficiency and concurrent systemic hypertension. </w:t>
      </w:r>
      <w:proofErr w:type="spellStart"/>
      <w:r>
        <w:rPr>
          <w:rFonts w:ascii="Times New Roman" w:hAnsi="Times New Roman" w:cs="Times New Roman"/>
          <w:color w:val="000000"/>
          <w:szCs w:val="24"/>
        </w:rPr>
        <w:t>M.V.Sc</w:t>
      </w:r>
      <w:proofErr w:type="spellEnd"/>
      <w:r>
        <w:rPr>
          <w:rFonts w:ascii="Times New Roman" w:hAnsi="Times New Roman" w:cs="Times New Roman"/>
          <w:color w:val="000000"/>
          <w:szCs w:val="24"/>
        </w:rPr>
        <w:t>. thesis (Veterinary Medicine), Tamil Nadu Veterinary and Animal Sciences University, Chennai.</w:t>
      </w:r>
    </w:p>
    <w:p w14:paraId="4240A75B"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Ahmed, R., Nath, M.K., Barman, U., </w:t>
      </w:r>
      <w:proofErr w:type="spellStart"/>
      <w:r>
        <w:rPr>
          <w:rFonts w:ascii="Times New Roman" w:hAnsi="Times New Roman" w:cs="Times New Roman"/>
          <w:color w:val="000000"/>
          <w:szCs w:val="24"/>
        </w:rPr>
        <w:t>Lahkar</w:t>
      </w:r>
      <w:proofErr w:type="spellEnd"/>
      <w:r>
        <w:rPr>
          <w:rFonts w:ascii="Times New Roman" w:hAnsi="Times New Roman" w:cs="Times New Roman"/>
          <w:color w:val="000000"/>
          <w:szCs w:val="24"/>
        </w:rPr>
        <w:t xml:space="preserve">, D., Arif, S.A., Sharma, A., Deka, P., Hazarika, R. and Kalita, A. (2022). Therapeutic intervention of chronic kidney disease associated with multiple complications in a Labrador. </w:t>
      </w:r>
      <w:r>
        <w:rPr>
          <w:rFonts w:ascii="Times New Roman" w:hAnsi="Times New Roman" w:cs="Times New Roman"/>
          <w:i/>
          <w:iCs/>
          <w:color w:val="000000"/>
          <w:szCs w:val="24"/>
        </w:rPr>
        <w:t>International Journal of Bioresource Science</w:t>
      </w:r>
      <w:r>
        <w:rPr>
          <w:rFonts w:ascii="Times New Roman" w:hAnsi="Times New Roman" w:cs="Times New Roman"/>
          <w:color w:val="000000"/>
          <w:szCs w:val="24"/>
        </w:rPr>
        <w:t xml:space="preserve">, </w:t>
      </w:r>
      <w:r>
        <w:rPr>
          <w:rFonts w:ascii="Times New Roman" w:hAnsi="Times New Roman" w:cs="Times New Roman"/>
          <w:b/>
          <w:bCs/>
          <w:color w:val="000000"/>
          <w:szCs w:val="24"/>
        </w:rPr>
        <w:t>9</w:t>
      </w:r>
      <w:r>
        <w:rPr>
          <w:rFonts w:ascii="Times New Roman" w:hAnsi="Times New Roman" w:cs="Times New Roman"/>
          <w:color w:val="000000"/>
          <w:szCs w:val="24"/>
        </w:rPr>
        <w:t>(1): 65–68.</w:t>
      </w:r>
    </w:p>
    <w:p w14:paraId="45611F81"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rPr>
      </w:pPr>
      <w:r>
        <w:rPr>
          <w:rFonts w:ascii="Times New Roman" w:hAnsi="Times New Roman" w:cs="Times New Roman"/>
          <w:color w:val="000000"/>
          <w:szCs w:val="24"/>
        </w:rPr>
        <w:t xml:space="preserve">Leong, Z.P. (2025). A pilot study investigating renal biomarkers in dogs with pulmonary hypertension: A comparison between cystatin-C, symmetric dimethylarginine and creatinine. </w:t>
      </w:r>
      <w:r>
        <w:rPr>
          <w:rFonts w:ascii="Times New Roman" w:hAnsi="Times New Roman" w:cs="Times New Roman"/>
          <w:i/>
          <w:iCs/>
          <w:color w:val="000000"/>
          <w:szCs w:val="24"/>
        </w:rPr>
        <w:t>Journal of Veterinary Medical Science</w:t>
      </w:r>
      <w:r>
        <w:rPr>
          <w:rFonts w:ascii="Times New Roman" w:hAnsi="Times New Roman" w:cs="Times New Roman"/>
          <w:color w:val="000000"/>
          <w:szCs w:val="24"/>
        </w:rPr>
        <w:t xml:space="preserve">, </w:t>
      </w:r>
      <w:r>
        <w:rPr>
          <w:rFonts w:ascii="Times New Roman" w:hAnsi="Times New Roman" w:cs="Times New Roman"/>
          <w:b/>
          <w:bCs/>
          <w:color w:val="000000"/>
          <w:szCs w:val="24"/>
        </w:rPr>
        <w:t>87</w:t>
      </w:r>
      <w:r>
        <w:rPr>
          <w:rFonts w:ascii="Times New Roman" w:hAnsi="Times New Roman" w:cs="Times New Roman"/>
          <w:color w:val="000000"/>
          <w:szCs w:val="24"/>
        </w:rPr>
        <w:t>(1): 25–34.</w:t>
      </w:r>
      <w:r>
        <w:rPr>
          <w:rFonts w:ascii="Times New Roman" w:hAnsi="Times New Roman" w:cs="Times New Roman"/>
          <w:color w:val="000000"/>
        </w:rPr>
        <w:t xml:space="preserve"> </w:t>
      </w:r>
    </w:p>
    <w:p w14:paraId="3A0282B6"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Kour, H., Chhabra, S. and Randhawa, C.S. (2020). Systemic hypertension in diabetic dogs. </w:t>
      </w:r>
      <w:r>
        <w:rPr>
          <w:rFonts w:ascii="Times New Roman" w:hAnsi="Times New Roman" w:cs="Times New Roman"/>
          <w:i/>
          <w:iCs/>
          <w:color w:val="000000"/>
          <w:szCs w:val="24"/>
        </w:rPr>
        <w:t>The Pharma Innovation Journal</w:t>
      </w:r>
      <w:r>
        <w:rPr>
          <w:rFonts w:ascii="Times New Roman" w:hAnsi="Times New Roman" w:cs="Times New Roman"/>
          <w:color w:val="000000"/>
          <w:szCs w:val="24"/>
        </w:rPr>
        <w:t xml:space="preserve">, </w:t>
      </w:r>
      <w:r>
        <w:rPr>
          <w:rFonts w:ascii="Times New Roman" w:hAnsi="Times New Roman" w:cs="Times New Roman"/>
          <w:b/>
          <w:bCs/>
          <w:color w:val="000000"/>
          <w:szCs w:val="24"/>
        </w:rPr>
        <w:t>9</w:t>
      </w:r>
      <w:r>
        <w:rPr>
          <w:rFonts w:ascii="Times New Roman" w:hAnsi="Times New Roman" w:cs="Times New Roman"/>
          <w:color w:val="000000"/>
          <w:szCs w:val="24"/>
        </w:rPr>
        <w:t>(8): 38–41.</w:t>
      </w:r>
    </w:p>
    <w:p w14:paraId="0D5D5AB5"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Tyagi, R., Gupta, D.K., Pradhan, S., Tripathi, S., Shahi, A., Pathak, S.K. and Sachdev, H.K. (2025). Epidemiological assessment of systemic hypertension in dogs. </w:t>
      </w:r>
      <w:r>
        <w:rPr>
          <w:rFonts w:ascii="Times New Roman" w:hAnsi="Times New Roman" w:cs="Times New Roman"/>
          <w:i/>
          <w:iCs/>
          <w:color w:val="000000"/>
          <w:szCs w:val="24"/>
        </w:rPr>
        <w:t>Journal of Advances in Biology and Biotechnology</w:t>
      </w:r>
      <w:r>
        <w:rPr>
          <w:rFonts w:ascii="Times New Roman" w:hAnsi="Times New Roman" w:cs="Times New Roman"/>
          <w:color w:val="000000"/>
          <w:szCs w:val="24"/>
        </w:rPr>
        <w:t xml:space="preserve">, </w:t>
      </w:r>
      <w:r>
        <w:rPr>
          <w:rFonts w:ascii="Times New Roman" w:hAnsi="Times New Roman" w:cs="Times New Roman"/>
          <w:b/>
          <w:bCs/>
          <w:color w:val="000000"/>
          <w:szCs w:val="24"/>
        </w:rPr>
        <w:t>28</w:t>
      </w:r>
      <w:r>
        <w:rPr>
          <w:rFonts w:ascii="Times New Roman" w:hAnsi="Times New Roman" w:cs="Times New Roman"/>
          <w:color w:val="000000"/>
          <w:szCs w:val="24"/>
        </w:rPr>
        <w:t>(2): 339–347.</w:t>
      </w:r>
    </w:p>
    <w:p w14:paraId="516D9C62"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Usui, S., Yasuda, H. and </w:t>
      </w:r>
      <w:proofErr w:type="spellStart"/>
      <w:r>
        <w:rPr>
          <w:rFonts w:ascii="Times New Roman" w:hAnsi="Times New Roman" w:cs="Times New Roman"/>
          <w:color w:val="000000"/>
          <w:szCs w:val="24"/>
        </w:rPr>
        <w:t>Koketsu</w:t>
      </w:r>
      <w:proofErr w:type="spellEnd"/>
      <w:r>
        <w:rPr>
          <w:rFonts w:ascii="Times New Roman" w:hAnsi="Times New Roman" w:cs="Times New Roman"/>
          <w:color w:val="000000"/>
          <w:szCs w:val="24"/>
        </w:rPr>
        <w:t xml:space="preserve">, Y. (2015). Lipoprotein cholesterol and triglyceride concentrations associated with body condition score in dogs: effect of recommended fasting duration. </w:t>
      </w:r>
      <w:r>
        <w:rPr>
          <w:rFonts w:ascii="Times New Roman" w:hAnsi="Times New Roman" w:cs="Times New Roman"/>
          <w:i/>
          <w:iCs/>
          <w:color w:val="000000"/>
          <w:szCs w:val="24"/>
        </w:rPr>
        <w:t>Journal of Veterinary Medical Science</w:t>
      </w:r>
      <w:r>
        <w:rPr>
          <w:rFonts w:ascii="Times New Roman" w:hAnsi="Times New Roman" w:cs="Times New Roman"/>
          <w:color w:val="000000"/>
          <w:szCs w:val="24"/>
        </w:rPr>
        <w:t xml:space="preserve">, </w:t>
      </w:r>
      <w:r>
        <w:rPr>
          <w:rFonts w:ascii="Times New Roman" w:hAnsi="Times New Roman" w:cs="Times New Roman"/>
          <w:b/>
          <w:bCs/>
          <w:color w:val="000000"/>
          <w:szCs w:val="24"/>
        </w:rPr>
        <w:t>77</w:t>
      </w:r>
      <w:r>
        <w:rPr>
          <w:rFonts w:ascii="Times New Roman" w:hAnsi="Times New Roman" w:cs="Times New Roman"/>
          <w:color w:val="000000"/>
          <w:szCs w:val="24"/>
        </w:rPr>
        <w:t>(9): 1063–1069.</w:t>
      </w:r>
    </w:p>
    <w:p w14:paraId="75153224"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Bala, M., Turkar, S., Saini, N., Randhawa, C.S. and Kashyap, N. (2021). High definition </w:t>
      </w:r>
      <w:proofErr w:type="spellStart"/>
      <w:r>
        <w:rPr>
          <w:rFonts w:ascii="Times New Roman" w:hAnsi="Times New Roman" w:cs="Times New Roman"/>
          <w:color w:val="000000"/>
          <w:szCs w:val="24"/>
        </w:rPr>
        <w:t>oscillometric</w:t>
      </w:r>
      <w:proofErr w:type="spellEnd"/>
      <w:r>
        <w:rPr>
          <w:rFonts w:ascii="Times New Roman" w:hAnsi="Times New Roman" w:cs="Times New Roman"/>
          <w:color w:val="000000"/>
          <w:szCs w:val="24"/>
        </w:rPr>
        <w:t xml:space="preserve"> blood pressure measurement in apparently healthy dogs: a clinical study. </w:t>
      </w:r>
      <w:r>
        <w:rPr>
          <w:rFonts w:ascii="Times New Roman" w:hAnsi="Times New Roman" w:cs="Times New Roman"/>
          <w:i/>
          <w:iCs/>
          <w:color w:val="000000"/>
          <w:szCs w:val="24"/>
        </w:rPr>
        <w:t>Journal of Animal Research</w:t>
      </w:r>
      <w:r>
        <w:rPr>
          <w:rFonts w:ascii="Times New Roman" w:hAnsi="Times New Roman" w:cs="Times New Roman"/>
          <w:color w:val="000000"/>
          <w:szCs w:val="24"/>
        </w:rPr>
        <w:t xml:space="preserve">, </w:t>
      </w:r>
      <w:r>
        <w:rPr>
          <w:rFonts w:ascii="Times New Roman" w:hAnsi="Times New Roman" w:cs="Times New Roman"/>
          <w:b/>
          <w:bCs/>
          <w:color w:val="000000"/>
          <w:szCs w:val="24"/>
        </w:rPr>
        <w:t>11</w:t>
      </w:r>
      <w:r>
        <w:rPr>
          <w:rFonts w:ascii="Times New Roman" w:hAnsi="Times New Roman" w:cs="Times New Roman"/>
          <w:color w:val="000000"/>
          <w:szCs w:val="24"/>
        </w:rPr>
        <w:t xml:space="preserve"> (4): 637–641.</w:t>
      </w:r>
    </w:p>
    <w:p w14:paraId="4931876A" w14:textId="77777777" w:rsidR="00B2699B" w:rsidRDefault="00D44AF2">
      <w:pPr>
        <w:pStyle w:val="ListParagraph"/>
        <w:numPr>
          <w:ilvl w:val="0"/>
          <w:numId w:val="2"/>
        </w:numPr>
        <w:spacing w:before="80" w:after="80" w:line="240" w:lineRule="auto"/>
        <w:jc w:val="both"/>
        <w:rPr>
          <w:rFonts w:ascii="Times New Roman" w:hAnsi="Times New Roman" w:cs="Times New Roman"/>
          <w:color w:val="000000"/>
          <w:szCs w:val="24"/>
        </w:rPr>
      </w:pPr>
      <w:r>
        <w:rPr>
          <w:rFonts w:ascii="Times New Roman" w:hAnsi="Times New Roman" w:cs="Times New Roman"/>
          <w:color w:val="000000"/>
          <w:szCs w:val="24"/>
        </w:rPr>
        <w:lastRenderedPageBreak/>
        <w:t xml:space="preserve">Mori, N., Lee, P., Kondo, K., Kido, T., Saito, T. and Arai, T. (2011). Potential use of cholesterol lipoprotein profile to confirm obesity status in dogs. </w:t>
      </w:r>
      <w:r>
        <w:rPr>
          <w:rFonts w:ascii="Times New Roman" w:hAnsi="Times New Roman" w:cs="Times New Roman"/>
          <w:i/>
          <w:iCs/>
          <w:color w:val="000000"/>
          <w:szCs w:val="24"/>
        </w:rPr>
        <w:t>Veterinary Research Communications</w:t>
      </w:r>
      <w:r>
        <w:rPr>
          <w:rFonts w:ascii="Times New Roman" w:hAnsi="Times New Roman" w:cs="Times New Roman"/>
          <w:color w:val="000000"/>
          <w:szCs w:val="24"/>
        </w:rPr>
        <w:t xml:space="preserve">, </w:t>
      </w:r>
      <w:r>
        <w:rPr>
          <w:rFonts w:ascii="Times New Roman" w:hAnsi="Times New Roman" w:cs="Times New Roman"/>
          <w:b/>
          <w:bCs/>
          <w:color w:val="000000"/>
          <w:szCs w:val="24"/>
        </w:rPr>
        <w:t>35</w:t>
      </w:r>
      <w:r>
        <w:rPr>
          <w:rFonts w:ascii="Times New Roman" w:hAnsi="Times New Roman" w:cs="Times New Roman"/>
          <w:color w:val="000000"/>
          <w:szCs w:val="24"/>
        </w:rPr>
        <w:t>(1): 223–235.</w:t>
      </w:r>
    </w:p>
    <w:p w14:paraId="0C24BC90" w14:textId="77777777" w:rsidR="00B2699B" w:rsidRDefault="00D44AF2">
      <w:pPr>
        <w:pStyle w:val="ListParagraph"/>
        <w:numPr>
          <w:ilvl w:val="0"/>
          <w:numId w:val="2"/>
        </w:numPr>
        <w:spacing w:before="80" w:after="8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Nandini, M.K., Ansar, K.C., </w:t>
      </w:r>
      <w:proofErr w:type="spellStart"/>
      <w:r>
        <w:rPr>
          <w:rFonts w:ascii="Times New Roman" w:hAnsi="Times New Roman" w:cs="Times New Roman"/>
          <w:color w:val="000000"/>
          <w:szCs w:val="24"/>
        </w:rPr>
        <w:t>Yathiraj</w:t>
      </w:r>
      <w:proofErr w:type="spellEnd"/>
      <w:r>
        <w:rPr>
          <w:rFonts w:ascii="Times New Roman" w:hAnsi="Times New Roman" w:cs="Times New Roman"/>
          <w:color w:val="000000"/>
          <w:szCs w:val="24"/>
        </w:rPr>
        <w:t xml:space="preserve">, S., Upendra, H.A., Girish, K.V. and Rao, S. (2012). </w:t>
      </w:r>
      <w:proofErr w:type="spellStart"/>
      <w:r>
        <w:rPr>
          <w:rFonts w:ascii="Times New Roman" w:hAnsi="Times New Roman" w:cs="Times New Roman"/>
          <w:color w:val="000000"/>
          <w:szCs w:val="24"/>
        </w:rPr>
        <w:t>Hematological</w:t>
      </w:r>
      <w:proofErr w:type="spellEnd"/>
      <w:r>
        <w:rPr>
          <w:rFonts w:ascii="Times New Roman" w:hAnsi="Times New Roman" w:cs="Times New Roman"/>
          <w:color w:val="000000"/>
          <w:szCs w:val="24"/>
        </w:rPr>
        <w:t xml:space="preserve">, biochemical and lipid profile changes associated with obesity in dogs. </w:t>
      </w:r>
      <w:r>
        <w:rPr>
          <w:rFonts w:ascii="Times New Roman" w:hAnsi="Times New Roman" w:cs="Times New Roman"/>
          <w:i/>
          <w:iCs/>
          <w:color w:val="000000"/>
          <w:szCs w:val="24"/>
        </w:rPr>
        <w:t>Indian Veterinary Journal</w:t>
      </w:r>
      <w:r>
        <w:rPr>
          <w:rFonts w:ascii="Times New Roman" w:hAnsi="Times New Roman" w:cs="Times New Roman"/>
          <w:color w:val="000000"/>
          <w:szCs w:val="24"/>
        </w:rPr>
        <w:t xml:space="preserve">, </w:t>
      </w:r>
      <w:r>
        <w:rPr>
          <w:rFonts w:ascii="Times New Roman" w:hAnsi="Times New Roman" w:cs="Times New Roman"/>
          <w:b/>
          <w:bCs/>
          <w:color w:val="000000"/>
          <w:szCs w:val="24"/>
        </w:rPr>
        <w:t>89</w:t>
      </w:r>
      <w:r>
        <w:rPr>
          <w:rFonts w:ascii="Times New Roman" w:hAnsi="Times New Roman" w:cs="Times New Roman"/>
          <w:color w:val="000000"/>
          <w:szCs w:val="24"/>
        </w:rPr>
        <w:t>(9): 79–81.</w:t>
      </w:r>
    </w:p>
    <w:p w14:paraId="786285A0"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proofErr w:type="spellStart"/>
      <w:r>
        <w:rPr>
          <w:rFonts w:ascii="Times New Roman" w:hAnsi="Times New Roman" w:cs="Times New Roman"/>
          <w:color w:val="000000"/>
          <w:szCs w:val="24"/>
        </w:rPr>
        <w:t>Xenoulis</w:t>
      </w:r>
      <w:proofErr w:type="spellEnd"/>
      <w:r>
        <w:rPr>
          <w:rFonts w:ascii="Times New Roman" w:hAnsi="Times New Roman" w:cs="Times New Roman"/>
          <w:color w:val="000000"/>
          <w:szCs w:val="24"/>
        </w:rPr>
        <w:t xml:space="preserve">, P.G. and Steiner, J.M. (2010). Lipid metabolism and hyperlipidaemia in dogs. </w:t>
      </w:r>
      <w:r>
        <w:rPr>
          <w:rFonts w:ascii="Times New Roman" w:hAnsi="Times New Roman" w:cs="Times New Roman"/>
          <w:i/>
          <w:iCs/>
          <w:color w:val="000000"/>
          <w:szCs w:val="24"/>
        </w:rPr>
        <w:t>The Veterinary Journal</w:t>
      </w:r>
      <w:r>
        <w:rPr>
          <w:rFonts w:ascii="Times New Roman" w:hAnsi="Times New Roman" w:cs="Times New Roman"/>
          <w:color w:val="000000"/>
          <w:szCs w:val="24"/>
        </w:rPr>
        <w:t xml:space="preserve">, </w:t>
      </w:r>
      <w:r>
        <w:rPr>
          <w:rFonts w:ascii="Times New Roman" w:hAnsi="Times New Roman" w:cs="Times New Roman"/>
          <w:b/>
          <w:bCs/>
          <w:color w:val="000000"/>
          <w:szCs w:val="24"/>
        </w:rPr>
        <w:t>183</w:t>
      </w:r>
      <w:r>
        <w:rPr>
          <w:rFonts w:ascii="Times New Roman" w:hAnsi="Times New Roman" w:cs="Times New Roman"/>
          <w:color w:val="000000"/>
          <w:szCs w:val="24"/>
        </w:rPr>
        <w:t>(1): 12–21.</w:t>
      </w:r>
    </w:p>
    <w:p w14:paraId="76AD367F"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Caro-Vadillo, A., Daza-Gonzalez, M.A., Gonzalez-Alonso-Alegre, E., Rodríguez, A. and Gómez-García, J. (2018). Effect of a combination of telmisartan and amlodipine in hypertensive dogs. </w:t>
      </w:r>
      <w:r>
        <w:rPr>
          <w:rFonts w:ascii="Times New Roman" w:hAnsi="Times New Roman" w:cs="Times New Roman"/>
          <w:i/>
          <w:iCs/>
          <w:color w:val="000000"/>
          <w:szCs w:val="24"/>
        </w:rPr>
        <w:t>Veterinary Record Case Reports</w:t>
      </w:r>
      <w:r>
        <w:rPr>
          <w:rFonts w:ascii="Times New Roman" w:hAnsi="Times New Roman" w:cs="Times New Roman"/>
          <w:color w:val="000000"/>
          <w:szCs w:val="24"/>
        </w:rPr>
        <w:t xml:space="preserve">, </w:t>
      </w:r>
      <w:r>
        <w:rPr>
          <w:rFonts w:ascii="Times New Roman" w:hAnsi="Times New Roman" w:cs="Times New Roman"/>
          <w:b/>
          <w:bCs/>
          <w:color w:val="000000"/>
          <w:szCs w:val="24"/>
        </w:rPr>
        <w:t>6</w:t>
      </w:r>
      <w:r>
        <w:rPr>
          <w:rFonts w:ascii="Times New Roman" w:hAnsi="Times New Roman" w:cs="Times New Roman"/>
          <w:color w:val="000000"/>
          <w:szCs w:val="24"/>
        </w:rPr>
        <w:t>(2): e000471.</w:t>
      </w:r>
      <w:r>
        <w:rPr>
          <w:rFonts w:ascii="Times New Roman" w:hAnsi="Times New Roman" w:cs="Times New Roman"/>
          <w:color w:val="000000"/>
        </w:rPr>
        <w:t xml:space="preserve"> </w:t>
      </w:r>
      <w:hyperlink r:id="rId17" w:history="1">
        <w:r w:rsidR="00B2699B">
          <w:rPr>
            <w:rStyle w:val="Hyperlink"/>
            <w:rFonts w:ascii="Times New Roman" w:hAnsi="Times New Roman" w:cs="Times New Roman"/>
            <w:szCs w:val="24"/>
          </w:rPr>
          <w:t>https://doi.org/10.1136/vetreccr-2017-000471</w:t>
        </w:r>
      </w:hyperlink>
      <w:r>
        <w:rPr>
          <w:rFonts w:ascii="Times New Roman" w:hAnsi="Times New Roman" w:cs="Times New Roman"/>
          <w:color w:val="000000"/>
          <w:szCs w:val="24"/>
        </w:rPr>
        <w:t>.</w:t>
      </w:r>
    </w:p>
    <w:p w14:paraId="6E108B36"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Miyagawa, Y., Akabane, R., Sakatani, A., Ogawa, M., Nakagawa, M., Miyakawa, H. and Takemura, N. (2020). Effects of telmisartan on proteinuria and systolic blood pressure in dogs with chronic kidney disease. </w:t>
      </w:r>
      <w:r>
        <w:rPr>
          <w:rFonts w:ascii="Times New Roman" w:hAnsi="Times New Roman" w:cs="Times New Roman"/>
          <w:i/>
          <w:iCs/>
          <w:color w:val="000000"/>
          <w:szCs w:val="24"/>
        </w:rPr>
        <w:t>Research in Veterinary Science</w:t>
      </w:r>
      <w:r>
        <w:rPr>
          <w:rFonts w:ascii="Times New Roman" w:hAnsi="Times New Roman" w:cs="Times New Roman"/>
          <w:color w:val="000000"/>
          <w:szCs w:val="24"/>
        </w:rPr>
        <w:t xml:space="preserve">, </w:t>
      </w:r>
      <w:r>
        <w:rPr>
          <w:rFonts w:ascii="Times New Roman" w:hAnsi="Times New Roman" w:cs="Times New Roman"/>
          <w:b/>
          <w:bCs/>
          <w:color w:val="000000"/>
          <w:szCs w:val="24"/>
        </w:rPr>
        <w:t>133</w:t>
      </w:r>
      <w:r>
        <w:rPr>
          <w:rFonts w:ascii="Times New Roman" w:hAnsi="Times New Roman" w:cs="Times New Roman"/>
          <w:color w:val="000000"/>
          <w:szCs w:val="24"/>
        </w:rPr>
        <w:t>(1): 150–156.</w:t>
      </w:r>
    </w:p>
    <w:p w14:paraId="0BB9982C"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Fowler, B.L., Stefanovski, D., Hess, R.S. and McGonigle, K. (2021). Effect of telmisartan, angiotensin-converting enzyme inhibition or both on proteinuria and blood pressure in dogs. </w:t>
      </w:r>
      <w:r>
        <w:rPr>
          <w:rFonts w:ascii="Times New Roman" w:hAnsi="Times New Roman" w:cs="Times New Roman"/>
          <w:i/>
          <w:iCs/>
          <w:color w:val="000000"/>
          <w:szCs w:val="24"/>
        </w:rPr>
        <w:t>Journal of Veterinary Internal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35</w:t>
      </w:r>
      <w:r>
        <w:rPr>
          <w:rFonts w:ascii="Times New Roman" w:hAnsi="Times New Roman" w:cs="Times New Roman"/>
          <w:color w:val="000000"/>
          <w:szCs w:val="24"/>
        </w:rPr>
        <w:t>(3): 1231–1237.</w:t>
      </w:r>
    </w:p>
    <w:p w14:paraId="6A0F85B5"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Bugbee, A.C., Coleman, A.E., Wang, A. and Stepien, R.L. (2014). Effect of telmisartan on reducing proteinuria in dogs with renal disease. </w:t>
      </w:r>
      <w:r>
        <w:rPr>
          <w:rFonts w:ascii="Times New Roman" w:hAnsi="Times New Roman" w:cs="Times New Roman"/>
          <w:i/>
          <w:iCs/>
          <w:color w:val="000000"/>
          <w:szCs w:val="24"/>
        </w:rPr>
        <w:t>Journal of Veterinary Internal Medicine</w:t>
      </w:r>
      <w:r>
        <w:rPr>
          <w:rFonts w:ascii="Times New Roman" w:hAnsi="Times New Roman" w:cs="Times New Roman"/>
          <w:color w:val="000000"/>
          <w:szCs w:val="24"/>
        </w:rPr>
        <w:t xml:space="preserve">, </w:t>
      </w:r>
      <w:r>
        <w:rPr>
          <w:rFonts w:ascii="Times New Roman" w:hAnsi="Times New Roman" w:cs="Times New Roman"/>
          <w:b/>
          <w:bCs/>
          <w:color w:val="000000"/>
          <w:szCs w:val="24"/>
        </w:rPr>
        <w:t>28</w:t>
      </w:r>
      <w:r>
        <w:rPr>
          <w:rFonts w:ascii="Times New Roman" w:hAnsi="Times New Roman" w:cs="Times New Roman"/>
          <w:color w:val="000000"/>
          <w:szCs w:val="24"/>
        </w:rPr>
        <w:t>(2): 546–553.</w:t>
      </w:r>
    </w:p>
    <w:p w14:paraId="708953A8" w14:textId="77777777" w:rsidR="00B2699B" w:rsidRDefault="00D44AF2">
      <w:pPr>
        <w:pStyle w:val="ListParagraph"/>
        <w:numPr>
          <w:ilvl w:val="0"/>
          <w:numId w:val="2"/>
        </w:numPr>
        <w:spacing w:before="100" w:after="10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Geigy, C.A., </w:t>
      </w:r>
      <w:proofErr w:type="spellStart"/>
      <w:r>
        <w:rPr>
          <w:rFonts w:ascii="Times New Roman" w:hAnsi="Times New Roman" w:cs="Times New Roman"/>
          <w:color w:val="000000"/>
          <w:szCs w:val="24"/>
        </w:rPr>
        <w:t>Schweighauser</w:t>
      </w:r>
      <w:proofErr w:type="spellEnd"/>
      <w:r>
        <w:rPr>
          <w:rFonts w:ascii="Times New Roman" w:hAnsi="Times New Roman" w:cs="Times New Roman"/>
          <w:color w:val="000000"/>
          <w:szCs w:val="24"/>
        </w:rPr>
        <w:t xml:space="preserve">, M.D. and </w:t>
      </w:r>
      <w:proofErr w:type="spellStart"/>
      <w:r>
        <w:rPr>
          <w:rFonts w:ascii="Times New Roman" w:hAnsi="Times New Roman" w:cs="Times New Roman"/>
          <w:color w:val="000000"/>
          <w:szCs w:val="24"/>
        </w:rPr>
        <w:t>Francey</w:t>
      </w:r>
      <w:proofErr w:type="spellEnd"/>
      <w:r>
        <w:rPr>
          <w:rFonts w:ascii="Times New Roman" w:hAnsi="Times New Roman" w:cs="Times New Roman"/>
          <w:color w:val="000000"/>
          <w:szCs w:val="24"/>
        </w:rPr>
        <w:t xml:space="preserve">, T. (2011). Occurrence of systemic hypertension in dogs with acute kidney injury and treatment with amlodipine besylate. </w:t>
      </w:r>
      <w:r>
        <w:rPr>
          <w:rFonts w:ascii="Times New Roman" w:hAnsi="Times New Roman" w:cs="Times New Roman"/>
          <w:i/>
          <w:iCs/>
          <w:color w:val="000000"/>
          <w:szCs w:val="24"/>
        </w:rPr>
        <w:t>Journal of Small Animal Practice</w:t>
      </w:r>
      <w:r>
        <w:rPr>
          <w:rFonts w:ascii="Times New Roman" w:hAnsi="Times New Roman" w:cs="Times New Roman"/>
          <w:color w:val="000000"/>
          <w:szCs w:val="24"/>
        </w:rPr>
        <w:t xml:space="preserve">, </w:t>
      </w:r>
      <w:r>
        <w:rPr>
          <w:rFonts w:ascii="Times New Roman" w:hAnsi="Times New Roman" w:cs="Times New Roman"/>
          <w:b/>
          <w:bCs/>
          <w:color w:val="000000"/>
          <w:szCs w:val="24"/>
        </w:rPr>
        <w:t>52</w:t>
      </w:r>
      <w:r>
        <w:rPr>
          <w:rFonts w:ascii="Times New Roman" w:hAnsi="Times New Roman" w:cs="Times New Roman"/>
          <w:color w:val="000000"/>
          <w:szCs w:val="24"/>
        </w:rPr>
        <w:t>(7): 340–346.</w:t>
      </w:r>
    </w:p>
    <w:p w14:paraId="5F5B4B3E" w14:textId="77777777" w:rsidR="00B2699B" w:rsidRDefault="00B2699B">
      <w:pPr>
        <w:spacing w:line="360" w:lineRule="auto"/>
        <w:ind w:left="360"/>
        <w:rPr>
          <w:rFonts w:ascii="Times New Roman" w:hAnsi="Times New Roman" w:cs="Times New Roman"/>
          <w:b/>
          <w:bCs/>
          <w:sz w:val="24"/>
          <w:szCs w:val="24"/>
          <w:lang w:val="en-US"/>
        </w:rPr>
      </w:pPr>
    </w:p>
    <w:p w14:paraId="4C626310" w14:textId="77777777" w:rsidR="00B2699B" w:rsidRDefault="00B2699B">
      <w:pPr>
        <w:pStyle w:val="ListParagraph"/>
        <w:spacing w:before="100" w:after="100" w:line="240" w:lineRule="auto"/>
        <w:jc w:val="both"/>
        <w:rPr>
          <w:rFonts w:ascii="Arial" w:hAnsi="Arial" w:cs="Arial"/>
          <w:color w:val="000000"/>
          <w:szCs w:val="24"/>
        </w:rPr>
      </w:pPr>
    </w:p>
    <w:bookmarkEnd w:id="0"/>
    <w:p w14:paraId="757F38F9" w14:textId="77777777" w:rsidR="00B2699B" w:rsidRDefault="00B2699B">
      <w:pPr>
        <w:spacing w:line="360" w:lineRule="auto"/>
        <w:rPr>
          <w:rFonts w:ascii="Times New Roman" w:hAnsi="Times New Roman" w:cs="Times New Roman"/>
          <w:b/>
          <w:bCs/>
          <w:sz w:val="24"/>
          <w:szCs w:val="24"/>
          <w:lang w:val="en-US"/>
        </w:rPr>
      </w:pPr>
    </w:p>
    <w:sectPr w:rsidR="00B2699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0AE17" w14:textId="77777777" w:rsidR="00682806" w:rsidRDefault="00682806">
      <w:pPr>
        <w:spacing w:line="240" w:lineRule="auto"/>
      </w:pPr>
      <w:r>
        <w:separator/>
      </w:r>
    </w:p>
  </w:endnote>
  <w:endnote w:type="continuationSeparator" w:id="0">
    <w:p w14:paraId="208A6CDF" w14:textId="77777777" w:rsidR="00682806" w:rsidRDefault="00682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42F3" w14:textId="77777777" w:rsidR="00B2699B" w:rsidRDefault="00B26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12C0" w14:textId="77777777" w:rsidR="00B2699B" w:rsidRDefault="00B26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E3DE" w14:textId="77777777" w:rsidR="00B2699B" w:rsidRDefault="00B26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78AD7" w14:textId="77777777" w:rsidR="00682806" w:rsidRDefault="00682806">
      <w:pPr>
        <w:spacing w:after="0"/>
      </w:pPr>
      <w:r>
        <w:separator/>
      </w:r>
    </w:p>
  </w:footnote>
  <w:footnote w:type="continuationSeparator" w:id="0">
    <w:p w14:paraId="64CF4794" w14:textId="77777777" w:rsidR="00682806" w:rsidRDefault="006828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2FE82" w14:textId="77777777" w:rsidR="00B2699B" w:rsidRDefault="00682806">
    <w:pPr>
      <w:pStyle w:val="Header"/>
    </w:pPr>
    <w:r>
      <w:rPr>
        <w:noProof/>
      </w:rPr>
      <w:pict w14:anchorId="781DC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80891" o:spid="_x0000_s2049" type="#_x0000_t136" style="position:absolute;margin-left:0;margin-top:0;width:346.05pt;height:64.8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4A81" w14:textId="77777777" w:rsidR="00B2699B" w:rsidRDefault="00682806">
    <w:pPr>
      <w:pStyle w:val="Header"/>
    </w:pPr>
    <w:r>
      <w:rPr>
        <w:noProof/>
      </w:rPr>
      <w:pict w14:anchorId="2A0CB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80892" o:spid="_x0000_s2050" type="#_x0000_t136" style="position:absolute;margin-left:0;margin-top:0;width:346.05pt;height:64.8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2AA5B" w14:textId="77777777" w:rsidR="00B2699B" w:rsidRDefault="00682806">
    <w:pPr>
      <w:pStyle w:val="Header"/>
    </w:pPr>
    <w:r>
      <w:rPr>
        <w:noProof/>
      </w:rPr>
      <w:pict w14:anchorId="45228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80890" o:spid="_x0000_s2051" type="#_x0000_t136" style="position:absolute;margin-left:0;margin-top:0;width:346.05pt;height:64.8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36D4"/>
    <w:multiLevelType w:val="multilevel"/>
    <w:tmpl w:val="04653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31626F"/>
    <w:multiLevelType w:val="multilevel"/>
    <w:tmpl w:val="2231626F"/>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0MDA0sTAzMTIxsTRT0lEKTi0uzszPAykwqgUAPLI9ZywAAAA="/>
  </w:docVars>
  <w:rsids>
    <w:rsidRoot w:val="00460264"/>
    <w:rsid w:val="0000004B"/>
    <w:rsid w:val="000405B7"/>
    <w:rsid w:val="00043A1E"/>
    <w:rsid w:val="000464BF"/>
    <w:rsid w:val="000564E3"/>
    <w:rsid w:val="000B0458"/>
    <w:rsid w:val="000B3A8A"/>
    <w:rsid w:val="000B7DDC"/>
    <w:rsid w:val="000D3F96"/>
    <w:rsid w:val="001173DC"/>
    <w:rsid w:val="00127900"/>
    <w:rsid w:val="001509B9"/>
    <w:rsid w:val="00170490"/>
    <w:rsid w:val="00183142"/>
    <w:rsid w:val="001A0FF0"/>
    <w:rsid w:val="001A6C9B"/>
    <w:rsid w:val="001D20CE"/>
    <w:rsid w:val="001D7BB2"/>
    <w:rsid w:val="001F63D0"/>
    <w:rsid w:val="00212650"/>
    <w:rsid w:val="00226D47"/>
    <w:rsid w:val="00236773"/>
    <w:rsid w:val="00243A85"/>
    <w:rsid w:val="00252984"/>
    <w:rsid w:val="00263DFF"/>
    <w:rsid w:val="00266635"/>
    <w:rsid w:val="00271166"/>
    <w:rsid w:val="00276B2C"/>
    <w:rsid w:val="002900F5"/>
    <w:rsid w:val="002A479E"/>
    <w:rsid w:val="002C2E22"/>
    <w:rsid w:val="002D6CC6"/>
    <w:rsid w:val="003107BE"/>
    <w:rsid w:val="00321F47"/>
    <w:rsid w:val="00325CB1"/>
    <w:rsid w:val="0033237F"/>
    <w:rsid w:val="00335133"/>
    <w:rsid w:val="0034154C"/>
    <w:rsid w:val="00366C5D"/>
    <w:rsid w:val="0038786F"/>
    <w:rsid w:val="003C0797"/>
    <w:rsid w:val="004074A3"/>
    <w:rsid w:val="00411676"/>
    <w:rsid w:val="0042106E"/>
    <w:rsid w:val="00442E22"/>
    <w:rsid w:val="00446273"/>
    <w:rsid w:val="0045450E"/>
    <w:rsid w:val="00460264"/>
    <w:rsid w:val="004602E9"/>
    <w:rsid w:val="004628EF"/>
    <w:rsid w:val="00492C67"/>
    <w:rsid w:val="004A1F57"/>
    <w:rsid w:val="004B025C"/>
    <w:rsid w:val="004F04D4"/>
    <w:rsid w:val="004F61F6"/>
    <w:rsid w:val="004F7C96"/>
    <w:rsid w:val="00501EB5"/>
    <w:rsid w:val="00516411"/>
    <w:rsid w:val="00516565"/>
    <w:rsid w:val="005165A3"/>
    <w:rsid w:val="005303B9"/>
    <w:rsid w:val="00533382"/>
    <w:rsid w:val="00540869"/>
    <w:rsid w:val="005462B1"/>
    <w:rsid w:val="00552872"/>
    <w:rsid w:val="0058729E"/>
    <w:rsid w:val="005A09A4"/>
    <w:rsid w:val="005A6A86"/>
    <w:rsid w:val="005B1AF3"/>
    <w:rsid w:val="005B4115"/>
    <w:rsid w:val="005B6838"/>
    <w:rsid w:val="005D24A1"/>
    <w:rsid w:val="005D4262"/>
    <w:rsid w:val="005F05A4"/>
    <w:rsid w:val="005F0AD5"/>
    <w:rsid w:val="006162DB"/>
    <w:rsid w:val="00627118"/>
    <w:rsid w:val="0063105C"/>
    <w:rsid w:val="00647D32"/>
    <w:rsid w:val="00676EAD"/>
    <w:rsid w:val="00680066"/>
    <w:rsid w:val="006806EE"/>
    <w:rsid w:val="00682806"/>
    <w:rsid w:val="006A1EE1"/>
    <w:rsid w:val="006A222A"/>
    <w:rsid w:val="006C542A"/>
    <w:rsid w:val="006F46C6"/>
    <w:rsid w:val="007117E5"/>
    <w:rsid w:val="00711FD6"/>
    <w:rsid w:val="0071746C"/>
    <w:rsid w:val="00717B63"/>
    <w:rsid w:val="007235CE"/>
    <w:rsid w:val="00735B36"/>
    <w:rsid w:val="007370AA"/>
    <w:rsid w:val="007423C2"/>
    <w:rsid w:val="0076455D"/>
    <w:rsid w:val="00771FD9"/>
    <w:rsid w:val="007B1AF2"/>
    <w:rsid w:val="007C1448"/>
    <w:rsid w:val="007C1E42"/>
    <w:rsid w:val="008060A4"/>
    <w:rsid w:val="00844BF3"/>
    <w:rsid w:val="00887081"/>
    <w:rsid w:val="00896558"/>
    <w:rsid w:val="008B0968"/>
    <w:rsid w:val="008B203E"/>
    <w:rsid w:val="008D54DD"/>
    <w:rsid w:val="008D68AB"/>
    <w:rsid w:val="008E2568"/>
    <w:rsid w:val="008F7230"/>
    <w:rsid w:val="0092038C"/>
    <w:rsid w:val="00923E84"/>
    <w:rsid w:val="00926117"/>
    <w:rsid w:val="0092697D"/>
    <w:rsid w:val="00950B34"/>
    <w:rsid w:val="00957AA3"/>
    <w:rsid w:val="009707B2"/>
    <w:rsid w:val="00972456"/>
    <w:rsid w:val="00972FAF"/>
    <w:rsid w:val="00982BF9"/>
    <w:rsid w:val="0098367C"/>
    <w:rsid w:val="00991C93"/>
    <w:rsid w:val="00993C2D"/>
    <w:rsid w:val="009A2DF2"/>
    <w:rsid w:val="009A4BA4"/>
    <w:rsid w:val="009A7AC4"/>
    <w:rsid w:val="009B0B04"/>
    <w:rsid w:val="009B10C8"/>
    <w:rsid w:val="009C49AF"/>
    <w:rsid w:val="009C7F9E"/>
    <w:rsid w:val="00A00F66"/>
    <w:rsid w:val="00A43E2E"/>
    <w:rsid w:val="00A55C55"/>
    <w:rsid w:val="00A77623"/>
    <w:rsid w:val="00A81DF5"/>
    <w:rsid w:val="00A86425"/>
    <w:rsid w:val="00A91C6B"/>
    <w:rsid w:val="00A97D90"/>
    <w:rsid w:val="00AB758C"/>
    <w:rsid w:val="00AD5929"/>
    <w:rsid w:val="00B02B09"/>
    <w:rsid w:val="00B06339"/>
    <w:rsid w:val="00B24708"/>
    <w:rsid w:val="00B2699B"/>
    <w:rsid w:val="00B348A2"/>
    <w:rsid w:val="00B46E9B"/>
    <w:rsid w:val="00B47754"/>
    <w:rsid w:val="00B72557"/>
    <w:rsid w:val="00B96802"/>
    <w:rsid w:val="00BA157B"/>
    <w:rsid w:val="00BB411C"/>
    <w:rsid w:val="00BF5DCA"/>
    <w:rsid w:val="00C215B0"/>
    <w:rsid w:val="00C40D85"/>
    <w:rsid w:val="00C55045"/>
    <w:rsid w:val="00C74EEA"/>
    <w:rsid w:val="00C80305"/>
    <w:rsid w:val="00C964C2"/>
    <w:rsid w:val="00CB4F68"/>
    <w:rsid w:val="00CB7646"/>
    <w:rsid w:val="00CC3846"/>
    <w:rsid w:val="00D045DE"/>
    <w:rsid w:val="00D10C8C"/>
    <w:rsid w:val="00D14CCA"/>
    <w:rsid w:val="00D23181"/>
    <w:rsid w:val="00D25FD4"/>
    <w:rsid w:val="00D30E92"/>
    <w:rsid w:val="00D33530"/>
    <w:rsid w:val="00D44AF2"/>
    <w:rsid w:val="00D54202"/>
    <w:rsid w:val="00D81AB1"/>
    <w:rsid w:val="00D8722D"/>
    <w:rsid w:val="00DA4B79"/>
    <w:rsid w:val="00DD5DCF"/>
    <w:rsid w:val="00DF011B"/>
    <w:rsid w:val="00DF398B"/>
    <w:rsid w:val="00DF602D"/>
    <w:rsid w:val="00E008BE"/>
    <w:rsid w:val="00E20CB5"/>
    <w:rsid w:val="00E63EE9"/>
    <w:rsid w:val="00E8153C"/>
    <w:rsid w:val="00E81CBB"/>
    <w:rsid w:val="00E8269C"/>
    <w:rsid w:val="00E86E20"/>
    <w:rsid w:val="00E927DD"/>
    <w:rsid w:val="00E97139"/>
    <w:rsid w:val="00EE7F06"/>
    <w:rsid w:val="00F02B20"/>
    <w:rsid w:val="00F26A53"/>
    <w:rsid w:val="00F64EB5"/>
    <w:rsid w:val="00F74FB1"/>
    <w:rsid w:val="00F847B3"/>
    <w:rsid w:val="00F975D7"/>
    <w:rsid w:val="00FA1639"/>
    <w:rsid w:val="00FD1F25"/>
    <w:rsid w:val="00FD77CF"/>
    <w:rsid w:val="00FE2DE0"/>
    <w:rsid w:val="00FF39E3"/>
    <w:rsid w:val="070D72A1"/>
    <w:rsid w:val="19D82D48"/>
    <w:rsid w:val="4D3A77C4"/>
    <w:rsid w:val="598B14D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2D7B952"/>
  <w15:docId w15:val="{BD4432F8-A032-4992-9EB6-D1BB7138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doi.org/10.1136/vetreccr-2017-00047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bm.com/products/spss-statistic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j.tcam.2022.100674"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11/jvim.12229"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ownloads\final%20graph%20toda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ownloads\final%20graph%20tod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897980972717"/>
          <c:y val="4.3970374990254898E-2"/>
          <c:w val="0.83246763646069699"/>
          <c:h val="0.76143728073594796"/>
        </c:manualLayout>
      </c:layout>
      <c:barChart>
        <c:barDir val="col"/>
        <c:grouping val="clustered"/>
        <c:varyColors val="0"/>
        <c:ser>
          <c:idx val="0"/>
          <c:order val="0"/>
          <c:tx>
            <c:strRef>
              <c:f>'\Users\Bandana\AppData\Local\Packages\5319275A.WhatsAppDesktop_cv1g1gvanyjgm\LocalState\sessions\4DE96C9A248C9BB4496F4E228CB00F01260A0B15\transfers\2026-01\[graph abhi ka (1).xlsx]Sheet1'!$S$2</c:f>
              <c:strCache>
                <c:ptCount val="1"/>
                <c:pt idx="0">
                  <c:v>Group-1</c:v>
                </c:pt>
              </c:strCache>
            </c:strRef>
          </c:tx>
          <c:spPr>
            <a:solidFill>
              <a:schemeClr val="accent1"/>
            </a:solidFill>
            <a:ln>
              <a:solidFill>
                <a:schemeClr val="accent6">
                  <a:lumMod val="40000"/>
                  <a:lumOff val="60000"/>
                </a:schemeClr>
              </a:solidFill>
            </a:ln>
            <a:effectLst/>
          </c:spPr>
          <c:invertIfNegative val="0"/>
          <c:dPt>
            <c:idx val="0"/>
            <c:invertIfNegative val="0"/>
            <c:bubble3D val="0"/>
            <c:extLst>
              <c:ext xmlns:c16="http://schemas.microsoft.com/office/drawing/2014/chart" uri="{C3380CC4-5D6E-409C-BE32-E72D297353CC}">
                <c16:uniqueId val="{00000000-B057-4A8A-A761-AF086FE4ECBE}"/>
              </c:ext>
            </c:extLst>
          </c:dPt>
          <c:errBars>
            <c:errBarType val="both"/>
            <c:errValType val="cust"/>
            <c:noEndCap val="0"/>
            <c:plus>
              <c:numLit>
                <c:formatCode>General</c:formatCode>
                <c:ptCount val="5"/>
                <c:pt idx="0">
                  <c:v>7.17</c:v>
                </c:pt>
                <c:pt idx="1">
                  <c:v>7.46</c:v>
                </c:pt>
                <c:pt idx="2">
                  <c:v>4.7699999999999996</c:v>
                </c:pt>
                <c:pt idx="3">
                  <c:v>4.9400000000000004</c:v>
                </c:pt>
                <c:pt idx="4">
                  <c:v>3.58</c:v>
                </c:pt>
              </c:numLit>
            </c:plus>
            <c:minus>
              <c:numLit>
                <c:formatCode>General</c:formatCode>
                <c:ptCount val="5"/>
                <c:pt idx="0">
                  <c:v>7.17</c:v>
                </c:pt>
                <c:pt idx="1">
                  <c:v>7.46</c:v>
                </c:pt>
                <c:pt idx="2">
                  <c:v>4.7699999999999996</c:v>
                </c:pt>
                <c:pt idx="3">
                  <c:v>4.9400000000000004</c:v>
                </c:pt>
                <c:pt idx="4">
                  <c:v>3.58</c:v>
                </c:pt>
              </c:numLit>
            </c:minus>
            <c:spPr>
              <a:noFill/>
              <a:ln w="9525" cap="flat" cmpd="sng" algn="ctr">
                <a:solidFill>
                  <a:schemeClr val="tx1">
                    <a:lumMod val="65000"/>
                    <a:lumOff val="35000"/>
                  </a:schemeClr>
                </a:solidFill>
                <a:prstDash val="solid"/>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(1).xlsx]Sheet1'!$T$2:$X$2</c:f>
              <c:numCache>
                <c:formatCode>General</c:formatCode>
                <c:ptCount val="5"/>
                <c:pt idx="0">
                  <c:v>195.33</c:v>
                </c:pt>
                <c:pt idx="1">
                  <c:v>184.17</c:v>
                </c:pt>
                <c:pt idx="2">
                  <c:v>171.33</c:v>
                </c:pt>
                <c:pt idx="3">
                  <c:v>151.66999999999999</c:v>
                </c:pt>
                <c:pt idx="4">
                  <c:v>133.66999999999999</c:v>
                </c:pt>
              </c:numCache>
            </c:numRef>
          </c:val>
          <c:extLst>
            <c:ext xmlns:c16="http://schemas.microsoft.com/office/drawing/2014/chart" uri="{C3380CC4-5D6E-409C-BE32-E72D297353CC}">
              <c16:uniqueId val="{00000001-B057-4A8A-A761-AF086FE4ECBE}"/>
            </c:ext>
          </c:extLst>
        </c:ser>
        <c:ser>
          <c:idx val="1"/>
          <c:order val="1"/>
          <c:tx>
            <c:strRef>
              <c:f>'\Users\Bandana\AppData\Local\Packages\5319275A.WhatsAppDesktop_cv1g1gvanyjgm\LocalState\sessions\4DE96C9A248C9BB4496F4E228CB00F01260A0B15\transfers\2026-01\[graph abhi ka (1).xlsx]Sheet1'!$S$3</c:f>
              <c:strCache>
                <c:ptCount val="1"/>
                <c:pt idx="0">
                  <c:v>Group-2</c:v>
                </c:pt>
              </c:strCache>
            </c:strRef>
          </c:tx>
          <c:spPr>
            <a:solidFill>
              <a:schemeClr val="accent6"/>
            </a:solidFill>
            <a:ln>
              <a:solidFill>
                <a:srgbClr val="FFC000"/>
              </a:solidFill>
            </a:ln>
            <a:effectLst/>
          </c:spPr>
          <c:invertIfNegative val="0"/>
          <c:dPt>
            <c:idx val="0"/>
            <c:invertIfNegative val="0"/>
            <c:bubble3D val="0"/>
            <c:extLst>
              <c:ext xmlns:c16="http://schemas.microsoft.com/office/drawing/2014/chart" uri="{C3380CC4-5D6E-409C-BE32-E72D297353CC}">
                <c16:uniqueId val="{00000002-B057-4A8A-A761-AF086FE4ECBE}"/>
              </c:ext>
            </c:extLst>
          </c:dPt>
          <c:dPt>
            <c:idx val="1"/>
            <c:invertIfNegative val="0"/>
            <c:bubble3D val="0"/>
            <c:extLst>
              <c:ext xmlns:c16="http://schemas.microsoft.com/office/drawing/2014/chart" uri="{C3380CC4-5D6E-409C-BE32-E72D297353CC}">
                <c16:uniqueId val="{00000003-B057-4A8A-A761-AF086FE4ECBE}"/>
              </c:ext>
            </c:extLst>
          </c:dPt>
          <c:dPt>
            <c:idx val="2"/>
            <c:invertIfNegative val="0"/>
            <c:bubble3D val="0"/>
            <c:extLst>
              <c:ext xmlns:c16="http://schemas.microsoft.com/office/drawing/2014/chart" uri="{C3380CC4-5D6E-409C-BE32-E72D297353CC}">
                <c16:uniqueId val="{00000004-B057-4A8A-A761-AF086FE4ECBE}"/>
              </c:ext>
            </c:extLst>
          </c:dPt>
          <c:dPt>
            <c:idx val="3"/>
            <c:invertIfNegative val="0"/>
            <c:bubble3D val="0"/>
            <c:extLst>
              <c:ext xmlns:c16="http://schemas.microsoft.com/office/drawing/2014/chart" uri="{C3380CC4-5D6E-409C-BE32-E72D297353CC}">
                <c16:uniqueId val="{00000005-B057-4A8A-A761-AF086FE4ECBE}"/>
              </c:ext>
            </c:extLst>
          </c:dPt>
          <c:dPt>
            <c:idx val="4"/>
            <c:invertIfNegative val="0"/>
            <c:bubble3D val="0"/>
            <c:extLst>
              <c:ext xmlns:c16="http://schemas.microsoft.com/office/drawing/2014/chart" uri="{C3380CC4-5D6E-409C-BE32-E72D297353CC}">
                <c16:uniqueId val="{00000006-B057-4A8A-A761-AF086FE4ECBE}"/>
              </c:ext>
            </c:extLst>
          </c:dPt>
          <c:errBars>
            <c:errBarType val="both"/>
            <c:errValType val="cust"/>
            <c:noEndCap val="0"/>
            <c:plus>
              <c:numLit>
                <c:formatCode>General</c:formatCode>
                <c:ptCount val="5"/>
                <c:pt idx="0">
                  <c:v>8.66</c:v>
                </c:pt>
                <c:pt idx="1">
                  <c:v>1.52</c:v>
                </c:pt>
                <c:pt idx="2">
                  <c:v>2.11</c:v>
                </c:pt>
                <c:pt idx="3">
                  <c:v>1.53</c:v>
                </c:pt>
                <c:pt idx="4">
                  <c:v>1.42</c:v>
                </c:pt>
              </c:numLit>
            </c:plus>
            <c:minus>
              <c:numLit>
                <c:formatCode>General</c:formatCode>
                <c:ptCount val="5"/>
                <c:pt idx="0">
                  <c:v>8.66</c:v>
                </c:pt>
                <c:pt idx="1">
                  <c:v>1.52</c:v>
                </c:pt>
                <c:pt idx="2">
                  <c:v>2.11</c:v>
                </c:pt>
                <c:pt idx="3">
                  <c:v>1.53</c:v>
                </c:pt>
                <c:pt idx="4">
                  <c:v>1.42</c:v>
                </c:pt>
              </c:numLit>
            </c:minus>
            <c:spPr>
              <a:noFill/>
              <a:ln w="9525" cap="flat" cmpd="sng" algn="ctr">
                <a:solidFill>
                  <a:schemeClr val="tx1">
                    <a:lumMod val="65000"/>
                    <a:lumOff val="35000"/>
                  </a:schemeClr>
                </a:solidFill>
                <a:prstDash val="solid"/>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(1).xlsx]Sheet1'!$T$3:$X$3</c:f>
              <c:numCache>
                <c:formatCode>General</c:formatCode>
                <c:ptCount val="5"/>
                <c:pt idx="0">
                  <c:v>208.5</c:v>
                </c:pt>
                <c:pt idx="1">
                  <c:v>170.67</c:v>
                </c:pt>
                <c:pt idx="2">
                  <c:v>158.66999999999999</c:v>
                </c:pt>
                <c:pt idx="3">
                  <c:v>137</c:v>
                </c:pt>
                <c:pt idx="4">
                  <c:v>119.14</c:v>
                </c:pt>
              </c:numCache>
            </c:numRef>
          </c:val>
          <c:extLst>
            <c:ext xmlns:c16="http://schemas.microsoft.com/office/drawing/2014/chart" uri="{C3380CC4-5D6E-409C-BE32-E72D297353CC}">
              <c16:uniqueId val="{00000007-B057-4A8A-A761-AF086FE4ECBE}"/>
            </c:ext>
          </c:extLst>
        </c:ser>
        <c:ser>
          <c:idx val="2"/>
          <c:order val="2"/>
          <c:tx>
            <c:strRef>
              <c:f>'\Users\Bandana\AppData\Local\Packages\5319275A.WhatsAppDesktop_cv1g1gvanyjgm\LocalState\sessions\4DE96C9A248C9BB4496F4E228CB00F01260A0B15\transfers\2026-01\[graph abhi ka (1).xlsx]Sheet1'!$S$4</c:f>
              <c:strCache>
                <c:ptCount val="1"/>
                <c:pt idx="0">
                  <c:v>Group-3</c:v>
                </c:pt>
              </c:strCache>
            </c:strRef>
          </c:tx>
          <c:spPr>
            <a:solidFill>
              <a:srgbClr val="C00000"/>
            </a:solidFill>
            <a:ln>
              <a:solidFill>
                <a:schemeClr val="tx1">
                  <a:lumMod val="75000"/>
                  <a:lumOff val="25000"/>
                </a:schemeClr>
              </a:solidFill>
            </a:ln>
            <a:effectLst/>
          </c:spPr>
          <c:invertIfNegative val="0"/>
          <c:errBars>
            <c:errBarType val="both"/>
            <c:errValType val="cust"/>
            <c:noEndCap val="0"/>
            <c:plus>
              <c:numLit>
                <c:formatCode>General</c:formatCode>
                <c:ptCount val="5"/>
                <c:pt idx="0">
                  <c:v>3</c:v>
                </c:pt>
                <c:pt idx="1">
                  <c:v>3.42</c:v>
                </c:pt>
                <c:pt idx="2">
                  <c:v>1.9</c:v>
                </c:pt>
                <c:pt idx="3">
                  <c:v>2.4</c:v>
                </c:pt>
                <c:pt idx="4">
                  <c:v>1.42</c:v>
                </c:pt>
              </c:numLit>
            </c:plus>
            <c:minus>
              <c:numLit>
                <c:formatCode>General</c:formatCode>
                <c:ptCount val="5"/>
                <c:pt idx="0">
                  <c:v>3</c:v>
                </c:pt>
                <c:pt idx="1">
                  <c:v>3.42</c:v>
                </c:pt>
                <c:pt idx="2">
                  <c:v>1.9</c:v>
                </c:pt>
                <c:pt idx="3">
                  <c:v>2.4</c:v>
                </c:pt>
                <c:pt idx="4">
                  <c:v>1.42</c:v>
                </c:pt>
              </c:numLit>
            </c:minus>
            <c:spPr>
              <a:noFill/>
              <a:ln w="9525" cap="flat" cmpd="sng" algn="ctr">
                <a:solidFill>
                  <a:schemeClr val="tx1">
                    <a:lumMod val="65000"/>
                    <a:lumOff val="35000"/>
                  </a:schemeClr>
                </a:solidFill>
                <a:prstDash val="solid"/>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(1).xlsx]Sheet1'!$T$4:$X$4</c:f>
              <c:numCache>
                <c:formatCode>General</c:formatCode>
                <c:ptCount val="5"/>
                <c:pt idx="0">
                  <c:v>139.16999999999999</c:v>
                </c:pt>
                <c:pt idx="1">
                  <c:v>140</c:v>
                </c:pt>
                <c:pt idx="2">
                  <c:v>139.16999999999999</c:v>
                </c:pt>
                <c:pt idx="3">
                  <c:v>126.67</c:v>
                </c:pt>
                <c:pt idx="4">
                  <c:v>119.17</c:v>
                </c:pt>
              </c:numCache>
            </c:numRef>
          </c:val>
          <c:extLst>
            <c:ext xmlns:c16="http://schemas.microsoft.com/office/drawing/2014/chart" uri="{C3380CC4-5D6E-409C-BE32-E72D297353CC}">
              <c16:uniqueId val="{00000008-B057-4A8A-A761-AF086FE4ECBE}"/>
            </c:ext>
          </c:extLst>
        </c:ser>
        <c:dLbls>
          <c:showLegendKey val="0"/>
          <c:showVal val="0"/>
          <c:showCatName val="0"/>
          <c:showSerName val="0"/>
          <c:showPercent val="0"/>
          <c:showBubbleSize val="0"/>
        </c:dLbls>
        <c:gapWidth val="219"/>
        <c:overlap val="-27"/>
        <c:axId val="103164928"/>
        <c:axId val="103179008"/>
      </c:barChart>
      <c:catAx>
        <c:axId val="10316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3179008"/>
        <c:crosses val="autoZero"/>
        <c:auto val="1"/>
        <c:lblAlgn val="ctr"/>
        <c:lblOffset val="100"/>
        <c:noMultiLvlLbl val="0"/>
      </c:catAx>
      <c:valAx>
        <c:axId val="10317900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MeanSAP</a:t>
                </a:r>
              </a:p>
            </c:rich>
          </c:tx>
          <c:layout>
            <c:manualLayout>
              <c:xMode val="edge"/>
              <c:yMode val="edge"/>
              <c:x val="2.6634382566585998E-2"/>
              <c:y val="0.3209068371404070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3164928"/>
        <c:crosses val="autoZero"/>
        <c:crossBetween val="between"/>
      </c:valAx>
      <c:spPr>
        <a:noFill/>
        <a:ln>
          <a:noFill/>
        </a:ln>
        <a:effectLst>
          <a:outerShdw blurRad="152400" dist="317500" dir="5400000" sx="90000" sy="-19000" rotWithShape="0">
            <a:prstClr val="black">
              <a:alpha val="15000"/>
            </a:prstClr>
          </a:outerShdw>
        </a:effectLst>
      </c:spPr>
    </c:plotArea>
    <c:legend>
      <c:legendPos val="b"/>
      <c:overlay val="0"/>
      <c:spPr>
        <a:no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9de349b7-a15a-405c-8ae9-ed4b7550e114}"/>
      </c:ext>
    </c:extLst>
  </c:chart>
  <c:spPr>
    <a:solidFill>
      <a:schemeClr val="bg1"/>
    </a:solidFill>
    <a:ln w="9525" cap="flat" cmpd="sng" algn="ctr">
      <a:solidFill>
        <a:schemeClr val="tx1"/>
      </a:solidFill>
      <a:prstDash val="solid"/>
      <a:round/>
    </a:ln>
    <a:effectLst/>
  </c:spPr>
  <c:txPr>
    <a:bodyPr/>
    <a:lstStyle/>
    <a:p>
      <a:pPr>
        <a:defRPr lang="en-US">
          <a:solidFill>
            <a:schemeClr val="tx1"/>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897980972717"/>
          <c:y val="4.3970374990254898E-2"/>
          <c:w val="0.83246763646069699"/>
          <c:h val="0.76143728073594796"/>
        </c:manualLayout>
      </c:layout>
      <c:barChart>
        <c:barDir val="col"/>
        <c:grouping val="clustered"/>
        <c:varyColors val="0"/>
        <c:ser>
          <c:idx val="0"/>
          <c:order val="0"/>
          <c:tx>
            <c:strRef>
              <c:f>'\Users\Bandana\AppData\Local\Packages\5319275A.WhatsAppDesktop_cv1g1gvanyjgm\LocalState\sessions\4DE96C9A248C9BB4496F4E228CB00F01260A0B15\transfers\2026-01\[graph abhi ka (1).xlsx]Sheet1'!$S$2</c:f>
              <c:strCache>
                <c:ptCount val="1"/>
                <c:pt idx="0">
                  <c:v>Group-1</c:v>
                </c:pt>
              </c:strCache>
            </c:strRef>
          </c:tx>
          <c:spPr>
            <a:solidFill>
              <a:schemeClr val="accent1"/>
            </a:solidFill>
            <a:ln>
              <a:solidFill>
                <a:schemeClr val="accent6">
                  <a:lumMod val="40000"/>
                  <a:lumOff val="60000"/>
                </a:schemeClr>
              </a:solidFill>
            </a:ln>
            <a:effectLst/>
          </c:spPr>
          <c:invertIfNegative val="0"/>
          <c:dPt>
            <c:idx val="0"/>
            <c:invertIfNegative val="0"/>
            <c:bubble3D val="0"/>
            <c:extLst>
              <c:ext xmlns:c16="http://schemas.microsoft.com/office/drawing/2014/chart" uri="{C3380CC4-5D6E-409C-BE32-E72D297353CC}">
                <c16:uniqueId val="{00000000-EC4B-4271-BBC6-9EAD5F8E243D}"/>
              </c:ext>
            </c:extLst>
          </c:dPt>
          <c:errBars>
            <c:errBarType val="both"/>
            <c:errValType val="cust"/>
            <c:noEndCap val="0"/>
            <c:plus>
              <c:numLit>
                <c:formatCode>General</c:formatCode>
                <c:ptCount val="5"/>
                <c:pt idx="0">
                  <c:v>7.17</c:v>
                </c:pt>
                <c:pt idx="1">
                  <c:v>7.46</c:v>
                </c:pt>
                <c:pt idx="2">
                  <c:v>4.7699999999999996</c:v>
                </c:pt>
                <c:pt idx="3">
                  <c:v>4.9400000000000004</c:v>
                </c:pt>
                <c:pt idx="4">
                  <c:v>3.58</c:v>
                </c:pt>
              </c:numLit>
            </c:plus>
            <c:minus>
              <c:numLit>
                <c:formatCode>General</c:formatCode>
                <c:ptCount val="5"/>
                <c:pt idx="0">
                  <c:v>7.17</c:v>
                </c:pt>
                <c:pt idx="1">
                  <c:v>7.46</c:v>
                </c:pt>
                <c:pt idx="2">
                  <c:v>4.7699999999999996</c:v>
                </c:pt>
                <c:pt idx="3">
                  <c:v>4.9400000000000004</c:v>
                </c:pt>
                <c:pt idx="4">
                  <c:v>3.58</c:v>
                </c:pt>
              </c:numLit>
            </c:minus>
            <c:spPr>
              <a:noFill/>
              <a:ln w="9525" cap="flat" cmpd="sng" algn="ctr">
                <a:solidFill>
                  <a:schemeClr val="tx1">
                    <a:lumMod val="65000"/>
                    <a:lumOff val="35000"/>
                  </a:schemeClr>
                </a:solidFill>
                <a:prstDash val="solid"/>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(1).xlsx]Sheet1'!$T$2:$X$2</c:f>
              <c:numCache>
                <c:formatCode>General</c:formatCode>
                <c:ptCount val="5"/>
                <c:pt idx="0">
                  <c:v>195.33</c:v>
                </c:pt>
                <c:pt idx="1">
                  <c:v>184.17</c:v>
                </c:pt>
                <c:pt idx="2">
                  <c:v>171.33</c:v>
                </c:pt>
                <c:pt idx="3">
                  <c:v>151.66999999999999</c:v>
                </c:pt>
                <c:pt idx="4">
                  <c:v>133.66999999999999</c:v>
                </c:pt>
              </c:numCache>
            </c:numRef>
          </c:val>
          <c:extLst>
            <c:ext xmlns:c16="http://schemas.microsoft.com/office/drawing/2014/chart" uri="{C3380CC4-5D6E-409C-BE32-E72D297353CC}">
              <c16:uniqueId val="{00000001-EC4B-4271-BBC6-9EAD5F8E243D}"/>
            </c:ext>
          </c:extLst>
        </c:ser>
        <c:ser>
          <c:idx val="1"/>
          <c:order val="1"/>
          <c:tx>
            <c:strRef>
              <c:f>'\Users\Bandana\AppData\Local\Packages\5319275A.WhatsAppDesktop_cv1g1gvanyjgm\LocalState\sessions\4DE96C9A248C9BB4496F4E228CB00F01260A0B15\transfers\2026-01\[graph abhi ka (1).xlsx]Sheet1'!$S$3</c:f>
              <c:strCache>
                <c:ptCount val="1"/>
                <c:pt idx="0">
                  <c:v>Group-2</c:v>
                </c:pt>
              </c:strCache>
            </c:strRef>
          </c:tx>
          <c:spPr>
            <a:solidFill>
              <a:schemeClr val="accent6"/>
            </a:solidFill>
            <a:ln>
              <a:solidFill>
                <a:srgbClr val="FFC000"/>
              </a:solidFill>
            </a:ln>
            <a:effectLst/>
          </c:spPr>
          <c:invertIfNegative val="0"/>
          <c:dPt>
            <c:idx val="0"/>
            <c:invertIfNegative val="0"/>
            <c:bubble3D val="0"/>
            <c:extLst>
              <c:ext xmlns:c16="http://schemas.microsoft.com/office/drawing/2014/chart" uri="{C3380CC4-5D6E-409C-BE32-E72D297353CC}">
                <c16:uniqueId val="{00000002-EC4B-4271-BBC6-9EAD5F8E243D}"/>
              </c:ext>
            </c:extLst>
          </c:dPt>
          <c:dPt>
            <c:idx val="1"/>
            <c:invertIfNegative val="0"/>
            <c:bubble3D val="0"/>
            <c:extLst>
              <c:ext xmlns:c16="http://schemas.microsoft.com/office/drawing/2014/chart" uri="{C3380CC4-5D6E-409C-BE32-E72D297353CC}">
                <c16:uniqueId val="{00000003-EC4B-4271-BBC6-9EAD5F8E243D}"/>
              </c:ext>
            </c:extLst>
          </c:dPt>
          <c:dPt>
            <c:idx val="2"/>
            <c:invertIfNegative val="0"/>
            <c:bubble3D val="0"/>
            <c:extLst>
              <c:ext xmlns:c16="http://schemas.microsoft.com/office/drawing/2014/chart" uri="{C3380CC4-5D6E-409C-BE32-E72D297353CC}">
                <c16:uniqueId val="{00000004-EC4B-4271-BBC6-9EAD5F8E243D}"/>
              </c:ext>
            </c:extLst>
          </c:dPt>
          <c:dPt>
            <c:idx val="3"/>
            <c:invertIfNegative val="0"/>
            <c:bubble3D val="0"/>
            <c:extLst>
              <c:ext xmlns:c16="http://schemas.microsoft.com/office/drawing/2014/chart" uri="{C3380CC4-5D6E-409C-BE32-E72D297353CC}">
                <c16:uniqueId val="{00000005-EC4B-4271-BBC6-9EAD5F8E243D}"/>
              </c:ext>
            </c:extLst>
          </c:dPt>
          <c:dPt>
            <c:idx val="4"/>
            <c:invertIfNegative val="0"/>
            <c:bubble3D val="0"/>
            <c:extLst>
              <c:ext xmlns:c16="http://schemas.microsoft.com/office/drawing/2014/chart" uri="{C3380CC4-5D6E-409C-BE32-E72D297353CC}">
                <c16:uniqueId val="{00000006-EC4B-4271-BBC6-9EAD5F8E243D}"/>
              </c:ext>
            </c:extLst>
          </c:dPt>
          <c:errBars>
            <c:errBarType val="both"/>
            <c:errValType val="cust"/>
            <c:noEndCap val="0"/>
            <c:plus>
              <c:numLit>
                <c:formatCode>General</c:formatCode>
                <c:ptCount val="5"/>
                <c:pt idx="0">
                  <c:v>8.66</c:v>
                </c:pt>
                <c:pt idx="1">
                  <c:v>1.52</c:v>
                </c:pt>
                <c:pt idx="2">
                  <c:v>2.11</c:v>
                </c:pt>
                <c:pt idx="3">
                  <c:v>1.53</c:v>
                </c:pt>
                <c:pt idx="4">
                  <c:v>1.42</c:v>
                </c:pt>
              </c:numLit>
            </c:plus>
            <c:minus>
              <c:numLit>
                <c:formatCode>General</c:formatCode>
                <c:ptCount val="5"/>
                <c:pt idx="0">
                  <c:v>8.66</c:v>
                </c:pt>
                <c:pt idx="1">
                  <c:v>1.52</c:v>
                </c:pt>
                <c:pt idx="2">
                  <c:v>2.11</c:v>
                </c:pt>
                <c:pt idx="3">
                  <c:v>1.53</c:v>
                </c:pt>
                <c:pt idx="4">
                  <c:v>1.42</c:v>
                </c:pt>
              </c:numLit>
            </c:minus>
            <c:spPr>
              <a:noFill/>
              <a:ln w="9525" cap="flat" cmpd="sng" algn="ctr">
                <a:solidFill>
                  <a:schemeClr val="tx1">
                    <a:lumMod val="65000"/>
                    <a:lumOff val="35000"/>
                  </a:schemeClr>
                </a:solidFill>
                <a:prstDash val="solid"/>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(1).xlsx]Sheet1'!$T$3:$X$3</c:f>
              <c:numCache>
                <c:formatCode>General</c:formatCode>
                <c:ptCount val="5"/>
                <c:pt idx="0">
                  <c:v>208.5</c:v>
                </c:pt>
                <c:pt idx="1">
                  <c:v>170.67</c:v>
                </c:pt>
                <c:pt idx="2">
                  <c:v>158.66999999999999</c:v>
                </c:pt>
                <c:pt idx="3">
                  <c:v>137</c:v>
                </c:pt>
                <c:pt idx="4">
                  <c:v>119.14</c:v>
                </c:pt>
              </c:numCache>
            </c:numRef>
          </c:val>
          <c:extLst>
            <c:ext xmlns:c16="http://schemas.microsoft.com/office/drawing/2014/chart" uri="{C3380CC4-5D6E-409C-BE32-E72D297353CC}">
              <c16:uniqueId val="{00000007-EC4B-4271-BBC6-9EAD5F8E243D}"/>
            </c:ext>
          </c:extLst>
        </c:ser>
        <c:ser>
          <c:idx val="2"/>
          <c:order val="2"/>
          <c:tx>
            <c:strRef>
              <c:f>'\Users\Bandana\AppData\Local\Packages\5319275A.WhatsAppDesktop_cv1g1gvanyjgm\LocalState\sessions\4DE96C9A248C9BB4496F4E228CB00F01260A0B15\transfers\2026-01\[graph abhi ka (1).xlsx]Sheet1'!$S$4</c:f>
              <c:strCache>
                <c:ptCount val="1"/>
                <c:pt idx="0">
                  <c:v>Group-3</c:v>
                </c:pt>
              </c:strCache>
            </c:strRef>
          </c:tx>
          <c:spPr>
            <a:solidFill>
              <a:srgbClr val="C00000"/>
            </a:solidFill>
            <a:ln>
              <a:solidFill>
                <a:schemeClr val="tx1">
                  <a:lumMod val="75000"/>
                  <a:lumOff val="25000"/>
                </a:schemeClr>
              </a:solidFill>
            </a:ln>
            <a:effectLst/>
          </c:spPr>
          <c:invertIfNegative val="0"/>
          <c:errBars>
            <c:errBarType val="both"/>
            <c:errValType val="cust"/>
            <c:noEndCap val="0"/>
            <c:plus>
              <c:numLit>
                <c:formatCode>General</c:formatCode>
                <c:ptCount val="5"/>
                <c:pt idx="0">
                  <c:v>3</c:v>
                </c:pt>
                <c:pt idx="1">
                  <c:v>3.42</c:v>
                </c:pt>
                <c:pt idx="2">
                  <c:v>1.9</c:v>
                </c:pt>
                <c:pt idx="3">
                  <c:v>2.4</c:v>
                </c:pt>
                <c:pt idx="4">
                  <c:v>1.42</c:v>
                </c:pt>
              </c:numLit>
            </c:plus>
            <c:minus>
              <c:numLit>
                <c:formatCode>General</c:formatCode>
                <c:ptCount val="5"/>
                <c:pt idx="0">
                  <c:v>3</c:v>
                </c:pt>
                <c:pt idx="1">
                  <c:v>3.42</c:v>
                </c:pt>
                <c:pt idx="2">
                  <c:v>1.9</c:v>
                </c:pt>
                <c:pt idx="3">
                  <c:v>2.4</c:v>
                </c:pt>
                <c:pt idx="4">
                  <c:v>1.42</c:v>
                </c:pt>
              </c:numLit>
            </c:minus>
            <c:spPr>
              <a:noFill/>
              <a:ln w="9525" cap="flat" cmpd="sng" algn="ctr">
                <a:solidFill>
                  <a:schemeClr val="tx1">
                    <a:lumMod val="65000"/>
                    <a:lumOff val="35000"/>
                  </a:schemeClr>
                </a:solidFill>
                <a:prstDash val="solid"/>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(1).xlsx]Sheet1'!$T$4:$X$4</c:f>
              <c:numCache>
                <c:formatCode>General</c:formatCode>
                <c:ptCount val="5"/>
                <c:pt idx="0">
                  <c:v>139.16999999999999</c:v>
                </c:pt>
                <c:pt idx="1">
                  <c:v>140</c:v>
                </c:pt>
                <c:pt idx="2">
                  <c:v>139.16999999999999</c:v>
                </c:pt>
                <c:pt idx="3">
                  <c:v>126.67</c:v>
                </c:pt>
                <c:pt idx="4">
                  <c:v>119.17</c:v>
                </c:pt>
              </c:numCache>
            </c:numRef>
          </c:val>
          <c:extLst>
            <c:ext xmlns:c16="http://schemas.microsoft.com/office/drawing/2014/chart" uri="{C3380CC4-5D6E-409C-BE32-E72D297353CC}">
              <c16:uniqueId val="{00000008-EC4B-4271-BBC6-9EAD5F8E243D}"/>
            </c:ext>
          </c:extLst>
        </c:ser>
        <c:dLbls>
          <c:showLegendKey val="0"/>
          <c:showVal val="0"/>
          <c:showCatName val="0"/>
          <c:showSerName val="0"/>
          <c:showPercent val="0"/>
          <c:showBubbleSize val="0"/>
        </c:dLbls>
        <c:gapWidth val="219"/>
        <c:overlap val="-27"/>
        <c:axId val="103164928"/>
        <c:axId val="103179008"/>
      </c:barChart>
      <c:catAx>
        <c:axId val="10316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3179008"/>
        <c:crosses val="autoZero"/>
        <c:auto val="1"/>
        <c:lblAlgn val="ctr"/>
        <c:lblOffset val="100"/>
        <c:noMultiLvlLbl val="0"/>
      </c:catAx>
      <c:valAx>
        <c:axId val="10317900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MeanSAP</a:t>
                </a:r>
              </a:p>
            </c:rich>
          </c:tx>
          <c:layout>
            <c:manualLayout>
              <c:xMode val="edge"/>
              <c:yMode val="edge"/>
              <c:x val="2.6634382566585998E-2"/>
              <c:y val="0.3209068371404070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3164928"/>
        <c:crosses val="autoZero"/>
        <c:crossBetween val="between"/>
      </c:valAx>
      <c:spPr>
        <a:noFill/>
        <a:ln>
          <a:noFill/>
        </a:ln>
        <a:effectLst>
          <a:outerShdw blurRad="152400" dist="317500" dir="5400000" sx="90000" sy="-19000" rotWithShape="0">
            <a:prstClr val="black">
              <a:alpha val="15000"/>
            </a:prstClr>
          </a:outerShdw>
        </a:effectLst>
      </c:spPr>
    </c:plotArea>
    <c:legend>
      <c:legendPos val="b"/>
      <c:overlay val="0"/>
      <c:spPr>
        <a:no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9de349b7-a15a-405c-8ae9-ed4b7550e114}"/>
      </c:ext>
    </c:extLst>
  </c:chart>
  <c:spPr>
    <a:solidFill>
      <a:schemeClr val="bg1"/>
    </a:solidFill>
    <a:ln w="9525" cap="flat" cmpd="sng" algn="ctr">
      <a:solidFill>
        <a:schemeClr val="tx1"/>
      </a:solidFill>
      <a:prstDash val="solid"/>
      <a:round/>
    </a:ln>
    <a:effectLst/>
  </c:spPr>
  <c:txPr>
    <a:bodyPr/>
    <a:lstStyle/>
    <a:p>
      <a:pPr>
        <a:defRPr lang="en-US">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4"/>
    <customShpInfo spid="_x0000_s3073"/>
    <customShpInfo spid="_x0000_s307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F7B12-2353-4B04-BFD9-3AB789B3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6567</Words>
  <Characters>37438</Characters>
  <Application>Microsoft Office Word</Application>
  <DocSecurity>0</DocSecurity>
  <Lines>311</Lines>
  <Paragraphs>87</Paragraphs>
  <ScaleCrop>false</ScaleCrop>
  <Company/>
  <LinksUpToDate>false</LinksUpToDate>
  <CharactersWithSpaces>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v_g407941@outlook.com</dc:creator>
  <cp:lastModifiedBy>SDI 1089</cp:lastModifiedBy>
  <cp:revision>3</cp:revision>
  <dcterms:created xsi:type="dcterms:W3CDTF">2026-02-20T08:57:00Z</dcterms:created>
  <dcterms:modified xsi:type="dcterms:W3CDTF">2026-02-21T06:38:00Z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346FC065D9464C9F92D238B82FFE90BD_13</vt:lpwstr>
  </property>
  <property fmtid="{D5CDD505-2E9C-101B-9397-08002B2CF9AE}" pid="4" name="_DocHome">
    <vt:i4>1019545050</vt:i4>
  </property>
  <property fmtid="{D5CDD505-2E9C-101B-9397-08002B2CF9AE}" pid="5" name="GrammarlyDocumentId">
    <vt:lpwstr>a5c98c32-bf10-4a4e-9ceb-927ed71d1d42</vt:lpwstr>
  </property>
</Properties>
</file>