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206" w:rsidRDefault="009A5206">
      <w:pPr>
        <w:pStyle w:val="Default"/>
        <w:jc w:val="both"/>
        <w:rPr>
          <w:rFonts w:ascii="Times New Roman" w:hAnsi="Times New Roman" w:cs="Times New Roman"/>
        </w:rPr>
      </w:pPr>
    </w:p>
    <w:p w:rsidR="009A5206" w:rsidRDefault="000F42D9">
      <w:pPr>
        <w:pStyle w:val="Default"/>
        <w:jc w:val="both"/>
        <w:rPr>
          <w:rFonts w:ascii="Times New Roman" w:hAnsi="Times New Roman" w:cs="Times New Roman"/>
          <w:b/>
          <w:bCs/>
          <w:sz w:val="28"/>
          <w:szCs w:val="28"/>
        </w:rPr>
      </w:pPr>
      <w:r>
        <w:rPr>
          <w:rFonts w:ascii="Times New Roman" w:hAnsi="Times New Roman" w:cs="Times New Roman"/>
          <w:b/>
          <w:bCs/>
          <w:sz w:val="28"/>
          <w:szCs w:val="28"/>
        </w:rPr>
        <w:t>Performance of Eri Silkworm (</w:t>
      </w:r>
      <w:proofErr w:type="spellStart"/>
      <w:r>
        <w:rPr>
          <w:rFonts w:ascii="Times New Roman" w:hAnsi="Times New Roman" w:cs="Times New Roman"/>
          <w:b/>
          <w:bCs/>
          <w:i/>
          <w:iCs/>
          <w:sz w:val="28"/>
          <w:szCs w:val="28"/>
        </w:rPr>
        <w:t>Samia</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ricini</w:t>
      </w:r>
      <w:proofErr w:type="spellEnd"/>
      <w:r>
        <w:rPr>
          <w:rFonts w:ascii="Times New Roman" w:hAnsi="Times New Roman" w:cs="Times New Roman"/>
          <w:b/>
          <w:bCs/>
          <w:sz w:val="28"/>
          <w:szCs w:val="28"/>
        </w:rPr>
        <w:t>) on Primary and Secondary Host Plants in Assam: A Seasonal Analysis of Cocoon Parameters</w:t>
      </w:r>
    </w:p>
    <w:p w:rsidR="009A5206" w:rsidRDefault="009A5206">
      <w:pPr>
        <w:pStyle w:val="Default"/>
        <w:jc w:val="both"/>
        <w:rPr>
          <w:rFonts w:ascii="Times New Roman" w:hAnsi="Times New Roman" w:cs="Times New Roman"/>
          <w:b/>
          <w:bCs/>
          <w:sz w:val="28"/>
          <w:szCs w:val="28"/>
        </w:rPr>
      </w:pPr>
    </w:p>
    <w:p w:rsidR="009A5206" w:rsidRDefault="000F42D9">
      <w:pPr>
        <w:pStyle w:val="Default"/>
        <w:jc w:val="both"/>
        <w:rPr>
          <w:rFonts w:ascii="Times New Roman" w:hAnsi="Times New Roman" w:cs="Times New Roman"/>
        </w:rPr>
      </w:pPr>
      <w:r>
        <w:rPr>
          <w:rFonts w:ascii="Times New Roman" w:hAnsi="Times New Roman" w:cs="Times New Roman"/>
        </w:rPr>
        <w:t>Mala N</w:t>
      </w:r>
      <w:r>
        <w:rPr>
          <w:rFonts w:ascii="Times New Roman" w:hAnsi="Times New Roman" w:cs="Times New Roman"/>
          <w:vertAlign w:val="superscript"/>
        </w:rPr>
        <w:t>a*</w:t>
      </w:r>
      <w:r>
        <w:rPr>
          <w:rFonts w:ascii="Times New Roman" w:hAnsi="Times New Roman" w:cs="Times New Roman"/>
        </w:rPr>
        <w:t xml:space="preserve">, </w:t>
      </w:r>
      <w:proofErr w:type="spellStart"/>
      <w:r>
        <w:rPr>
          <w:rFonts w:ascii="Times New Roman" w:hAnsi="Times New Roman" w:cs="Times New Roman"/>
        </w:rPr>
        <w:t>Pratheesh</w:t>
      </w:r>
      <w:proofErr w:type="spellEnd"/>
      <w:r>
        <w:rPr>
          <w:rFonts w:ascii="Times New Roman" w:hAnsi="Times New Roman" w:cs="Times New Roman"/>
        </w:rPr>
        <w:t xml:space="preserve"> </w:t>
      </w:r>
      <w:proofErr w:type="spellStart"/>
      <w:r>
        <w:rPr>
          <w:rFonts w:ascii="Times New Roman" w:hAnsi="Times New Roman" w:cs="Times New Roman"/>
        </w:rPr>
        <w:t>Kumar</w:t>
      </w:r>
      <w:r>
        <w:rPr>
          <w:rFonts w:ascii="Times New Roman" w:hAnsi="Times New Roman" w:cs="Times New Roman"/>
          <w:vertAlign w:val="superscript"/>
        </w:rPr>
        <w:t>b</w:t>
      </w:r>
      <w:proofErr w:type="spellEnd"/>
      <w:r>
        <w:rPr>
          <w:rFonts w:ascii="Times New Roman" w:hAnsi="Times New Roman" w:cs="Times New Roman"/>
        </w:rPr>
        <w:t>, Lalitha N</w:t>
      </w:r>
      <w:r>
        <w:rPr>
          <w:rFonts w:ascii="Times New Roman" w:hAnsi="Times New Roman" w:cs="Times New Roman"/>
          <w:vertAlign w:val="superscript"/>
        </w:rPr>
        <w:t>c</w:t>
      </w:r>
      <w:r>
        <w:rPr>
          <w:rFonts w:ascii="Times New Roman" w:hAnsi="Times New Roman" w:cs="Times New Roman"/>
        </w:rPr>
        <w:t>, Sailaja B</w:t>
      </w:r>
      <w:r>
        <w:rPr>
          <w:rFonts w:ascii="Times New Roman" w:hAnsi="Times New Roman" w:cs="Times New Roman"/>
          <w:vertAlign w:val="superscript"/>
        </w:rPr>
        <w:t>a</w:t>
      </w:r>
      <w:r>
        <w:rPr>
          <w:rFonts w:ascii="Times New Roman" w:hAnsi="Times New Roman" w:cs="Times New Roman"/>
        </w:rPr>
        <w:t xml:space="preserve">, </w:t>
      </w:r>
      <w:proofErr w:type="spellStart"/>
      <w:r>
        <w:rPr>
          <w:rFonts w:ascii="Times New Roman" w:hAnsi="Times New Roman" w:cs="Times New Roman"/>
        </w:rPr>
        <w:t>Halagunda</w:t>
      </w:r>
      <w:proofErr w:type="spellEnd"/>
      <w:r>
        <w:rPr>
          <w:rFonts w:ascii="Times New Roman" w:hAnsi="Times New Roman" w:cs="Times New Roman"/>
        </w:rPr>
        <w:t xml:space="preserve"> </w:t>
      </w:r>
      <w:proofErr w:type="spellStart"/>
      <w:r>
        <w:rPr>
          <w:rFonts w:ascii="Times New Roman" w:hAnsi="Times New Roman" w:cs="Times New Roman"/>
        </w:rPr>
        <w:t>Gowda</w:t>
      </w:r>
      <w:r>
        <w:rPr>
          <w:rFonts w:ascii="Times New Roman" w:hAnsi="Times New Roman" w:cs="Times New Roman"/>
          <w:vertAlign w:val="superscript"/>
        </w:rPr>
        <w:t>d</w:t>
      </w:r>
      <w:proofErr w:type="spellEnd"/>
      <w:r>
        <w:rPr>
          <w:rFonts w:ascii="Times New Roman" w:hAnsi="Times New Roman" w:cs="Times New Roman"/>
        </w:rPr>
        <w:t xml:space="preserve">, Vinayak </w:t>
      </w:r>
      <w:proofErr w:type="spellStart"/>
      <w:r>
        <w:rPr>
          <w:rFonts w:ascii="Times New Roman" w:hAnsi="Times New Roman" w:cs="Times New Roman"/>
        </w:rPr>
        <w:t>Hosamani</w:t>
      </w:r>
      <w:r>
        <w:rPr>
          <w:rFonts w:ascii="Times New Roman" w:hAnsi="Times New Roman" w:cs="Times New Roman"/>
          <w:vertAlign w:val="superscript"/>
        </w:rPr>
        <w:t>a</w:t>
      </w:r>
      <w:proofErr w:type="spellEnd"/>
      <w:r>
        <w:rPr>
          <w:rFonts w:ascii="Times New Roman" w:hAnsi="Times New Roman" w:cs="Times New Roman"/>
        </w:rPr>
        <w:t xml:space="preserve">, </w:t>
      </w:r>
      <w:proofErr w:type="spellStart"/>
      <w:r>
        <w:rPr>
          <w:rFonts w:ascii="Times New Roman" w:hAnsi="Times New Roman" w:cs="Times New Roman"/>
        </w:rPr>
        <w:t>Manthira</w:t>
      </w:r>
      <w:proofErr w:type="spellEnd"/>
      <w:r>
        <w:rPr>
          <w:rFonts w:ascii="Times New Roman" w:hAnsi="Times New Roman" w:cs="Times New Roman"/>
        </w:rPr>
        <w:t xml:space="preserve"> </w:t>
      </w:r>
      <w:proofErr w:type="spellStart"/>
      <w:r>
        <w:rPr>
          <w:rFonts w:ascii="Times New Roman" w:hAnsi="Times New Roman" w:cs="Times New Roman"/>
        </w:rPr>
        <w:t>Moorthy</w:t>
      </w:r>
      <w:r>
        <w:rPr>
          <w:rFonts w:ascii="Times New Roman" w:hAnsi="Times New Roman" w:cs="Times New Roman"/>
          <w:vertAlign w:val="superscript"/>
        </w:rPr>
        <w:t>a</w:t>
      </w:r>
      <w:proofErr w:type="spellEnd"/>
    </w:p>
    <w:p w:rsidR="009A5206" w:rsidRDefault="000F42D9">
      <w:pPr>
        <w:pStyle w:val="Default"/>
        <w:jc w:val="both"/>
        <w:rPr>
          <w:rFonts w:ascii="Times New Roman" w:hAnsi="Times New Roman" w:cs="Times New Roman"/>
        </w:rPr>
      </w:pPr>
      <w:proofErr w:type="spellStart"/>
      <w:r>
        <w:rPr>
          <w:rFonts w:ascii="Times New Roman" w:hAnsi="Times New Roman" w:cs="Times New Roman"/>
          <w:vertAlign w:val="superscript"/>
        </w:rPr>
        <w:t>a</w:t>
      </w:r>
      <w:r>
        <w:rPr>
          <w:rFonts w:ascii="Times New Roman" w:hAnsi="Times New Roman" w:cs="Times New Roman"/>
        </w:rPr>
        <w:t>Institute</w:t>
      </w:r>
      <w:proofErr w:type="spellEnd"/>
      <w:r>
        <w:rPr>
          <w:rFonts w:ascii="Times New Roman" w:hAnsi="Times New Roman" w:cs="Times New Roman"/>
        </w:rPr>
        <w:t xml:space="preserve"> for </w:t>
      </w:r>
      <w:r>
        <w:rPr>
          <w:rFonts w:ascii="Times New Roman" w:hAnsi="Times New Roman" w:cs="Times New Roman"/>
        </w:rPr>
        <w:t xml:space="preserve">Silkworm Seed Technology Research, Central Silk Board, </w:t>
      </w:r>
      <w:proofErr w:type="spellStart"/>
      <w:r>
        <w:rPr>
          <w:rFonts w:ascii="Times New Roman" w:hAnsi="Times New Roman" w:cs="Times New Roman"/>
        </w:rPr>
        <w:t>Kodathi</w:t>
      </w:r>
      <w:proofErr w:type="spellEnd"/>
      <w:r>
        <w:rPr>
          <w:rFonts w:ascii="Times New Roman" w:hAnsi="Times New Roman" w:cs="Times New Roman"/>
        </w:rPr>
        <w:t>, Bengaluru-560035</w:t>
      </w:r>
    </w:p>
    <w:p w:rsidR="009A5206" w:rsidRDefault="000F42D9">
      <w:pPr>
        <w:pStyle w:val="Default"/>
        <w:jc w:val="both"/>
        <w:rPr>
          <w:rFonts w:ascii="Times New Roman" w:hAnsi="Times New Roman" w:cs="Times New Roman"/>
        </w:rPr>
      </w:pPr>
      <w:proofErr w:type="spellStart"/>
      <w:r>
        <w:rPr>
          <w:rFonts w:ascii="Times New Roman" w:hAnsi="Times New Roman" w:cs="Times New Roman"/>
          <w:vertAlign w:val="superscript"/>
        </w:rPr>
        <w:t>b</w:t>
      </w:r>
      <w:r>
        <w:rPr>
          <w:rFonts w:ascii="Times New Roman" w:hAnsi="Times New Roman" w:cs="Times New Roman"/>
        </w:rPr>
        <w:t>Eri</w:t>
      </w:r>
      <w:proofErr w:type="spellEnd"/>
      <w:r>
        <w:rPr>
          <w:rFonts w:ascii="Times New Roman" w:hAnsi="Times New Roman" w:cs="Times New Roman"/>
        </w:rPr>
        <w:t xml:space="preserve"> Silkworm Seed Production Centre, Hosur, </w:t>
      </w:r>
      <w:proofErr w:type="spellStart"/>
      <w:r>
        <w:rPr>
          <w:rFonts w:ascii="Times New Roman" w:hAnsi="Times New Roman" w:cs="Times New Roman"/>
        </w:rPr>
        <w:t>TamilNadu</w:t>
      </w:r>
      <w:proofErr w:type="spellEnd"/>
    </w:p>
    <w:p w:rsidR="009A5206" w:rsidRDefault="000F42D9">
      <w:pPr>
        <w:pStyle w:val="Default"/>
        <w:jc w:val="both"/>
        <w:rPr>
          <w:rFonts w:ascii="Times New Roman" w:hAnsi="Times New Roman" w:cs="Times New Roman"/>
        </w:rPr>
      </w:pPr>
      <w:proofErr w:type="spellStart"/>
      <w:r>
        <w:rPr>
          <w:rFonts w:ascii="Times New Roman" w:hAnsi="Times New Roman" w:cs="Times New Roman"/>
          <w:vertAlign w:val="superscript"/>
        </w:rPr>
        <w:t>c</w:t>
      </w:r>
      <w:r>
        <w:rPr>
          <w:rFonts w:ascii="Times New Roman" w:hAnsi="Times New Roman" w:cs="Times New Roman"/>
        </w:rPr>
        <w:t>Basic</w:t>
      </w:r>
      <w:proofErr w:type="spellEnd"/>
      <w:r>
        <w:rPr>
          <w:rFonts w:ascii="Times New Roman" w:hAnsi="Times New Roman" w:cs="Times New Roman"/>
        </w:rPr>
        <w:t xml:space="preserve"> Sees Farm, </w:t>
      </w:r>
      <w:proofErr w:type="spellStart"/>
      <w:r>
        <w:rPr>
          <w:rFonts w:ascii="Times New Roman" w:hAnsi="Times New Roman" w:cs="Times New Roman"/>
        </w:rPr>
        <w:t>Topatoli</w:t>
      </w:r>
      <w:proofErr w:type="spellEnd"/>
      <w:r>
        <w:rPr>
          <w:rFonts w:ascii="Times New Roman" w:hAnsi="Times New Roman" w:cs="Times New Roman"/>
        </w:rPr>
        <w:t>, Assam</w:t>
      </w:r>
    </w:p>
    <w:p w:rsidR="009A5206" w:rsidRDefault="000F42D9">
      <w:pPr>
        <w:pStyle w:val="Default"/>
        <w:jc w:val="both"/>
        <w:rPr>
          <w:rFonts w:ascii="Times New Roman" w:hAnsi="Times New Roman" w:cs="Times New Roman"/>
        </w:rPr>
      </w:pPr>
      <w:proofErr w:type="spellStart"/>
      <w:r>
        <w:rPr>
          <w:rFonts w:ascii="Times New Roman" w:hAnsi="Times New Roman" w:cs="Times New Roman"/>
          <w:vertAlign w:val="superscript"/>
        </w:rPr>
        <w:t>d</w:t>
      </w:r>
      <w:r>
        <w:rPr>
          <w:rFonts w:ascii="Times New Roman" w:hAnsi="Times New Roman" w:cs="Times New Roman"/>
        </w:rPr>
        <w:t>CO</w:t>
      </w:r>
      <w:proofErr w:type="spellEnd"/>
      <w:r>
        <w:rPr>
          <w:rFonts w:ascii="Times New Roman" w:hAnsi="Times New Roman" w:cs="Times New Roman"/>
        </w:rPr>
        <w:t>- Central Silk Board</w:t>
      </w:r>
    </w:p>
    <w:p w:rsidR="009A5206" w:rsidRDefault="009A5206">
      <w:pPr>
        <w:pStyle w:val="Default"/>
        <w:jc w:val="both"/>
        <w:rPr>
          <w:rFonts w:ascii="Times New Roman" w:hAnsi="Times New Roman" w:cs="Times New Roman"/>
        </w:rPr>
      </w:pPr>
    </w:p>
    <w:p w:rsidR="009A5206" w:rsidRDefault="000F42D9">
      <w:pPr>
        <w:pStyle w:val="Default"/>
        <w:jc w:val="both"/>
        <w:rPr>
          <w:rFonts w:ascii="Times New Roman" w:hAnsi="Times New Roman" w:cs="Times New Roman"/>
          <w:sz w:val="22"/>
          <w:szCs w:val="22"/>
        </w:rPr>
      </w:pPr>
      <w:r>
        <w:rPr>
          <w:rFonts w:ascii="Times New Roman" w:hAnsi="Times New Roman" w:cs="Times New Roman"/>
        </w:rPr>
        <w:t xml:space="preserve">Corresponding author: </w:t>
      </w:r>
      <w:hyperlink r:id="rId8" w:history="1">
        <w:r>
          <w:rPr>
            <w:rStyle w:val="Hyperlink"/>
            <w:rFonts w:ascii="Times New Roman" w:hAnsi="Times New Roman" w:cs="Times New Roman"/>
            <w:sz w:val="22"/>
            <w:szCs w:val="22"/>
          </w:rPr>
          <w:t>mal</w:t>
        </w:r>
        <w:r>
          <w:rPr>
            <w:rStyle w:val="Hyperlink"/>
            <w:rFonts w:ascii="Times New Roman" w:hAnsi="Times New Roman" w:cs="Times New Roman"/>
            <w:sz w:val="22"/>
            <w:szCs w:val="22"/>
          </w:rPr>
          <w:t>a.csb@nic.in</w:t>
        </w:r>
      </w:hyperlink>
    </w:p>
    <w:p w:rsidR="009A5206" w:rsidRDefault="009A5206">
      <w:pPr>
        <w:pStyle w:val="Default"/>
        <w:jc w:val="both"/>
        <w:rPr>
          <w:rFonts w:ascii="Times New Roman" w:hAnsi="Times New Roman" w:cs="Times New Roman"/>
          <w:sz w:val="22"/>
          <w:szCs w:val="22"/>
        </w:rPr>
      </w:pPr>
    </w:p>
    <w:p w:rsidR="009A5206" w:rsidRDefault="000F42D9">
      <w:pPr>
        <w:pStyle w:val="Default"/>
        <w:jc w:val="both"/>
        <w:rPr>
          <w:rFonts w:ascii="Times New Roman" w:hAnsi="Times New Roman" w:cs="Times New Roman"/>
          <w:b/>
          <w:bCs/>
        </w:rPr>
      </w:pPr>
      <w:r>
        <w:rPr>
          <w:rFonts w:ascii="Times New Roman" w:hAnsi="Times New Roman" w:cs="Times New Roman"/>
          <w:b/>
          <w:bCs/>
        </w:rPr>
        <w:t>Abstract</w:t>
      </w:r>
    </w:p>
    <w:p w:rsidR="009A5206" w:rsidRDefault="009A5206">
      <w:pPr>
        <w:pStyle w:val="Default"/>
        <w:jc w:val="both"/>
      </w:pPr>
    </w:p>
    <w:p w:rsidR="009A5206" w:rsidRDefault="000F42D9">
      <w:pPr>
        <w:pStyle w:val="Default"/>
        <w:ind w:firstLine="720"/>
        <w:jc w:val="both"/>
        <w:rPr>
          <w:rFonts w:ascii="Times New Roman" w:hAnsi="Times New Roman" w:cs="Times New Roman"/>
        </w:rPr>
      </w:pPr>
      <w:r>
        <w:rPr>
          <w:rFonts w:ascii="Times New Roman" w:hAnsi="Times New Roman" w:cs="Times New Roman"/>
        </w:rPr>
        <w:t xml:space="preserve">The present study evaluated the influence of different host plants on cocoon characteristics of </w:t>
      </w:r>
      <w:proofErr w:type="spellStart"/>
      <w:r>
        <w:rPr>
          <w:rFonts w:ascii="Times New Roman" w:hAnsi="Times New Roman" w:cs="Times New Roman"/>
        </w:rPr>
        <w:t>eri</w:t>
      </w:r>
      <w:proofErr w:type="spellEnd"/>
      <w:r>
        <w:rPr>
          <w:rFonts w:ascii="Times New Roman" w:hAnsi="Times New Roman" w:cs="Times New Roman"/>
        </w:rPr>
        <w:t xml:space="preserve"> silkworm (</w:t>
      </w:r>
      <w:proofErr w:type="spellStart"/>
      <w:r>
        <w:rPr>
          <w:rStyle w:val="Emphasis"/>
          <w:rFonts w:ascii="Times New Roman" w:hAnsi="Times New Roman" w:cs="Times New Roman"/>
        </w:rPr>
        <w:t>Samia</w:t>
      </w:r>
      <w:proofErr w:type="spellEnd"/>
      <w:r>
        <w:rPr>
          <w:rStyle w:val="Emphasis"/>
          <w:rFonts w:ascii="Times New Roman" w:hAnsi="Times New Roman" w:cs="Times New Roman"/>
        </w:rPr>
        <w:t xml:space="preserve"> </w:t>
      </w:r>
      <w:proofErr w:type="spellStart"/>
      <w:r>
        <w:rPr>
          <w:rStyle w:val="Emphasis"/>
          <w:rFonts w:ascii="Times New Roman" w:hAnsi="Times New Roman" w:cs="Times New Roman"/>
        </w:rPr>
        <w:t>ricini</w:t>
      </w:r>
      <w:proofErr w:type="spellEnd"/>
      <w:r>
        <w:rPr>
          <w:rFonts w:ascii="Times New Roman" w:hAnsi="Times New Roman" w:cs="Times New Roman"/>
        </w:rPr>
        <w:t xml:space="preserve">) reared under Assam conditions over two consecutive years and four rearing seasons. The performance of </w:t>
      </w:r>
      <w:r>
        <w:rPr>
          <w:rFonts w:ascii="Times New Roman" w:hAnsi="Times New Roman" w:cs="Times New Roman"/>
        </w:rPr>
        <w:t xml:space="preserve">primary and secondary host plants, namely castor, tapioca and </w:t>
      </w:r>
      <w:proofErr w:type="spellStart"/>
      <w:r>
        <w:rPr>
          <w:rFonts w:ascii="Times New Roman" w:hAnsi="Times New Roman" w:cs="Times New Roman"/>
        </w:rPr>
        <w:t>kesseru</w:t>
      </w:r>
      <w:proofErr w:type="spellEnd"/>
      <w:r>
        <w:rPr>
          <w:rFonts w:ascii="Times New Roman" w:hAnsi="Times New Roman" w:cs="Times New Roman"/>
        </w:rPr>
        <w:t xml:space="preserve">, was assessed based on cocoon weight, shell weight, pupal weight and shell ratio in male and female cocoons. The results revealed that castor-fed silkworms recorded significantly higher </w:t>
      </w:r>
      <w:r>
        <w:rPr>
          <w:rFonts w:ascii="Times New Roman" w:hAnsi="Times New Roman" w:cs="Times New Roman"/>
        </w:rPr>
        <w:t xml:space="preserve">mean values for cocoon weight, shell weight, pupal weight and shell ratio in both years, followed by tapioca, while the lowest values were consistently observed with </w:t>
      </w:r>
      <w:proofErr w:type="spellStart"/>
      <w:r>
        <w:rPr>
          <w:rFonts w:ascii="Times New Roman" w:hAnsi="Times New Roman" w:cs="Times New Roman"/>
        </w:rPr>
        <w:t>kesseru</w:t>
      </w:r>
      <w:proofErr w:type="spellEnd"/>
      <w:r>
        <w:rPr>
          <w:rFonts w:ascii="Times New Roman" w:hAnsi="Times New Roman" w:cs="Times New Roman"/>
        </w:rPr>
        <w:t>. Seasonal influence was evident, with all cocoon parameters attaining maximum valu</w:t>
      </w:r>
      <w:r>
        <w:rPr>
          <w:rFonts w:ascii="Times New Roman" w:hAnsi="Times New Roman" w:cs="Times New Roman"/>
        </w:rPr>
        <w:t xml:space="preserve">es during C2 (September–October), followed by C4 (March–April), indicating these as the most </w:t>
      </w:r>
      <w:proofErr w:type="spellStart"/>
      <w:r>
        <w:rPr>
          <w:rFonts w:ascii="Times New Roman" w:hAnsi="Times New Roman" w:cs="Times New Roman"/>
        </w:rPr>
        <w:t>favourable</w:t>
      </w:r>
      <w:proofErr w:type="spellEnd"/>
      <w:r>
        <w:rPr>
          <w:rFonts w:ascii="Times New Roman" w:hAnsi="Times New Roman" w:cs="Times New Roman"/>
        </w:rPr>
        <w:t xml:space="preserve"> seasons for </w:t>
      </w:r>
      <w:proofErr w:type="spellStart"/>
      <w:r>
        <w:rPr>
          <w:rFonts w:ascii="Times New Roman" w:hAnsi="Times New Roman" w:cs="Times New Roman"/>
        </w:rPr>
        <w:t>eri</w:t>
      </w:r>
      <w:proofErr w:type="spellEnd"/>
      <w:r>
        <w:rPr>
          <w:rFonts w:ascii="Times New Roman" w:hAnsi="Times New Roman" w:cs="Times New Roman"/>
        </w:rPr>
        <w:t xml:space="preserve"> silkworm rearing in Assam. The findings are in conformity with earlier reports highlighting castor as the most suitable host plant for </w:t>
      </w:r>
      <w:proofErr w:type="spellStart"/>
      <w:r>
        <w:rPr>
          <w:rFonts w:ascii="Times New Roman" w:hAnsi="Times New Roman" w:cs="Times New Roman"/>
        </w:rPr>
        <w:t>e</w:t>
      </w:r>
      <w:r>
        <w:rPr>
          <w:rFonts w:ascii="Times New Roman" w:hAnsi="Times New Roman" w:cs="Times New Roman"/>
        </w:rPr>
        <w:t>ri</w:t>
      </w:r>
      <w:proofErr w:type="spellEnd"/>
      <w:r>
        <w:rPr>
          <w:rFonts w:ascii="Times New Roman" w:hAnsi="Times New Roman" w:cs="Times New Roman"/>
        </w:rPr>
        <w:t xml:space="preserve"> silkworm owing to its superior leaf nutritive value and positive influence on larval growth and cocoon traits. Overall, the study underscores the significant role of host plant and season in determining cocoon quality and productivity of </w:t>
      </w:r>
      <w:proofErr w:type="spellStart"/>
      <w:r>
        <w:rPr>
          <w:rFonts w:ascii="Times New Roman" w:hAnsi="Times New Roman" w:cs="Times New Roman"/>
        </w:rPr>
        <w:t>eri</w:t>
      </w:r>
      <w:proofErr w:type="spellEnd"/>
      <w:r>
        <w:rPr>
          <w:rFonts w:ascii="Times New Roman" w:hAnsi="Times New Roman" w:cs="Times New Roman"/>
        </w:rPr>
        <w:t xml:space="preserve"> silkworm un</w:t>
      </w:r>
      <w:r>
        <w:rPr>
          <w:rFonts w:ascii="Times New Roman" w:hAnsi="Times New Roman" w:cs="Times New Roman"/>
        </w:rPr>
        <w:t xml:space="preserve">der Assam </w:t>
      </w:r>
      <w:proofErr w:type="spellStart"/>
      <w:r>
        <w:rPr>
          <w:rFonts w:ascii="Times New Roman" w:hAnsi="Times New Roman" w:cs="Times New Roman"/>
        </w:rPr>
        <w:t>agro</w:t>
      </w:r>
      <w:proofErr w:type="spellEnd"/>
      <w:r>
        <w:rPr>
          <w:rFonts w:ascii="Times New Roman" w:hAnsi="Times New Roman" w:cs="Times New Roman"/>
        </w:rPr>
        <w:t>-climatic conditions.</w:t>
      </w:r>
    </w:p>
    <w:p w:rsidR="009A5206" w:rsidRDefault="009A5206">
      <w:pPr>
        <w:pStyle w:val="Default"/>
        <w:ind w:firstLine="720"/>
        <w:jc w:val="both"/>
        <w:rPr>
          <w:rFonts w:ascii="Times New Roman" w:hAnsi="Times New Roman" w:cs="Times New Roman"/>
        </w:rPr>
      </w:pPr>
    </w:p>
    <w:p w:rsidR="009A5206" w:rsidRDefault="000F42D9">
      <w:pPr>
        <w:pStyle w:val="Default"/>
        <w:jc w:val="both"/>
        <w:rPr>
          <w:rFonts w:ascii="Times New Roman" w:hAnsi="Times New Roman" w:cs="Times New Roman"/>
        </w:rPr>
      </w:pPr>
      <w:r>
        <w:rPr>
          <w:rFonts w:ascii="Times New Roman" w:hAnsi="Times New Roman" w:cs="Times New Roman"/>
        </w:rPr>
        <w:t xml:space="preserve">Keywords: Eri silkworm, Castor, Tapioca, </w:t>
      </w:r>
      <w:proofErr w:type="spellStart"/>
      <w:r>
        <w:rPr>
          <w:rFonts w:ascii="Times New Roman" w:hAnsi="Times New Roman" w:cs="Times New Roman"/>
        </w:rPr>
        <w:t>Kesseru</w:t>
      </w:r>
      <w:proofErr w:type="spellEnd"/>
      <w:r>
        <w:rPr>
          <w:rFonts w:ascii="Times New Roman" w:hAnsi="Times New Roman" w:cs="Times New Roman"/>
        </w:rPr>
        <w:t>, cocoon yield, effective rearing rate, seasonal variation, host plant suitability, Assam.</w:t>
      </w:r>
    </w:p>
    <w:p w:rsidR="009A5206" w:rsidRDefault="009A5206">
      <w:pPr>
        <w:pStyle w:val="Default"/>
        <w:jc w:val="both"/>
        <w:rPr>
          <w:rFonts w:ascii="Times New Roman" w:hAnsi="Times New Roman" w:cs="Times New Roman"/>
        </w:rPr>
      </w:pPr>
    </w:p>
    <w:p w:rsidR="009A5206" w:rsidRDefault="000F42D9">
      <w:pPr>
        <w:pStyle w:val="Default"/>
        <w:jc w:val="both"/>
        <w:rPr>
          <w:rFonts w:ascii="Times New Roman" w:hAnsi="Times New Roman" w:cs="Times New Roman"/>
          <w:b/>
          <w:bCs/>
        </w:rPr>
      </w:pPr>
      <w:r>
        <w:rPr>
          <w:rFonts w:ascii="Times New Roman" w:hAnsi="Times New Roman" w:cs="Times New Roman"/>
          <w:b/>
          <w:bCs/>
        </w:rPr>
        <w:t>Introduction</w:t>
      </w:r>
    </w:p>
    <w:p w:rsidR="009A5206" w:rsidRDefault="009A5206">
      <w:pPr>
        <w:pStyle w:val="Default"/>
        <w:jc w:val="both"/>
        <w:rPr>
          <w:rFonts w:ascii="Times New Roman" w:hAnsi="Times New Roman" w:cs="Times New Roman"/>
          <w:b/>
          <w:bCs/>
        </w:rPr>
      </w:pPr>
    </w:p>
    <w:p w:rsidR="009A5206" w:rsidRDefault="000F42D9">
      <w:pPr>
        <w:pStyle w:val="Default"/>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eri</w:t>
      </w:r>
      <w:proofErr w:type="spellEnd"/>
      <w:r>
        <w:rPr>
          <w:rFonts w:ascii="Times New Roman" w:hAnsi="Times New Roman" w:cs="Times New Roman"/>
        </w:rPr>
        <w:t xml:space="preserve"> silkworm, scientifically known as </w:t>
      </w:r>
      <w:proofErr w:type="spellStart"/>
      <w:r>
        <w:rPr>
          <w:rFonts w:ascii="Times New Roman" w:hAnsi="Times New Roman" w:cs="Times New Roman"/>
          <w:i/>
          <w:iCs/>
        </w:rPr>
        <w:t>Samia</w:t>
      </w:r>
      <w:proofErr w:type="spellEnd"/>
      <w:r>
        <w:rPr>
          <w:rFonts w:ascii="Times New Roman" w:hAnsi="Times New Roman" w:cs="Times New Roman"/>
          <w:i/>
          <w:iCs/>
        </w:rPr>
        <w:t xml:space="preserve"> </w:t>
      </w:r>
      <w:proofErr w:type="spellStart"/>
      <w:r>
        <w:rPr>
          <w:rFonts w:ascii="Times New Roman" w:hAnsi="Times New Roman" w:cs="Times New Roman"/>
          <w:i/>
          <w:iCs/>
        </w:rPr>
        <w:t>ricini</w:t>
      </w:r>
      <w:proofErr w:type="spellEnd"/>
      <w:r>
        <w:rPr>
          <w:rFonts w:ascii="Times New Roman" w:hAnsi="Times New Roman" w:cs="Times New Roman"/>
        </w:rPr>
        <w:t>, is a spec</w:t>
      </w:r>
      <w:r>
        <w:rPr>
          <w:rFonts w:ascii="Times New Roman" w:hAnsi="Times New Roman" w:cs="Times New Roman"/>
        </w:rPr>
        <w:t xml:space="preserve">ies of silkworm belonging to the family </w:t>
      </w:r>
      <w:proofErr w:type="spellStart"/>
      <w:r>
        <w:rPr>
          <w:rFonts w:ascii="Times New Roman" w:hAnsi="Times New Roman" w:cs="Times New Roman"/>
        </w:rPr>
        <w:t>Saturniidae</w:t>
      </w:r>
      <w:proofErr w:type="spellEnd"/>
      <w:r>
        <w:rPr>
          <w:rFonts w:ascii="Times New Roman" w:hAnsi="Times New Roman" w:cs="Times New Roman"/>
        </w:rPr>
        <w:t xml:space="preserve">. The </w:t>
      </w:r>
      <w:proofErr w:type="spellStart"/>
      <w:r>
        <w:rPr>
          <w:rFonts w:ascii="Times New Roman" w:hAnsi="Times New Roman" w:cs="Times New Roman"/>
        </w:rPr>
        <w:t>eri</w:t>
      </w:r>
      <w:proofErr w:type="spellEnd"/>
      <w:r>
        <w:rPr>
          <w:rFonts w:ascii="Times New Roman" w:hAnsi="Times New Roman" w:cs="Times New Roman"/>
        </w:rPr>
        <w:t xml:space="preserve"> silkworm is native to India and Southeast Asia and is primarily cultivated for its silk, which is known for its durability, warmth and softness. This type of silk is often referred to as "Ahimsa </w:t>
      </w:r>
      <w:r>
        <w:rPr>
          <w:rFonts w:ascii="Times New Roman" w:hAnsi="Times New Roman" w:cs="Times New Roman"/>
        </w:rPr>
        <w:t xml:space="preserve">silk" or "peace silk" because it is produced without killing the silkworm larvae (non-lethal harvesting process) unlike in traditional silk production, where the larvae are typically boiled alive to harvest the silk. Eri silk is characterized by its matte </w:t>
      </w:r>
      <w:r>
        <w:rPr>
          <w:rFonts w:ascii="Times New Roman" w:hAnsi="Times New Roman" w:cs="Times New Roman"/>
        </w:rPr>
        <w:t xml:space="preserve">finish and coarse texture compared to other types of silk, making it ideal for the production of garments that are both breathable and suitable for cooler climates </w:t>
      </w:r>
      <w:r w:rsidRPr="000F42D9">
        <w:rPr>
          <w:rFonts w:ascii="Times New Roman" w:hAnsi="Times New Roman" w:cs="Times New Roman"/>
        </w:rPr>
        <w:t>(</w:t>
      </w:r>
      <w:proofErr w:type="spellStart"/>
      <w:r w:rsidRPr="000F42D9">
        <w:rPr>
          <w:rFonts w:ascii="Times New Roman" w:hAnsi="Times New Roman" w:cs="Times New Roman"/>
        </w:rPr>
        <w:t>Birari</w:t>
      </w:r>
      <w:proofErr w:type="spellEnd"/>
      <w:r w:rsidRPr="000F42D9">
        <w:rPr>
          <w:rFonts w:ascii="Times New Roman" w:hAnsi="Times New Roman" w:cs="Times New Roman"/>
        </w:rPr>
        <w:t xml:space="preserve"> et al., 2019)</w:t>
      </w:r>
      <w:r>
        <w:rPr>
          <w:rFonts w:ascii="Times New Roman" w:hAnsi="Times New Roman" w:cs="Times New Roman"/>
        </w:rPr>
        <w:t>. The fibers are also used in a range of textiles such as shawls, blankets and industrial mat</w:t>
      </w:r>
      <w:r>
        <w:rPr>
          <w:rFonts w:ascii="Times New Roman" w:hAnsi="Times New Roman" w:cs="Times New Roman"/>
        </w:rPr>
        <w:t>erials like paper and filters</w:t>
      </w:r>
      <w:r>
        <w:rPr>
          <w:color w:val="222222"/>
          <w:shd w:val="clear" w:color="auto" w:fill="FFFFFF"/>
        </w:rPr>
        <w:t xml:space="preserve"> (</w:t>
      </w:r>
      <w:proofErr w:type="spellStart"/>
      <w:r>
        <w:rPr>
          <w:rFonts w:ascii="Times New Roman" w:hAnsi="Times New Roman" w:cs="Times New Roman"/>
          <w:color w:val="222222"/>
          <w:shd w:val="clear" w:color="auto" w:fill="FFFFFF"/>
        </w:rPr>
        <w:t>Subramanianan</w:t>
      </w:r>
      <w:proofErr w:type="spellEnd"/>
      <w:r>
        <w:rPr>
          <w:rFonts w:ascii="Times New Roman" w:hAnsi="Times New Roman" w:cs="Times New Roman"/>
          <w:color w:val="222222"/>
          <w:shd w:val="clear" w:color="auto" w:fill="FFFFFF"/>
        </w:rPr>
        <w:t xml:space="preserve">, K. </w:t>
      </w:r>
      <w:r>
        <w:rPr>
          <w:rFonts w:ascii="Times New Roman" w:hAnsi="Times New Roman" w:cs="Times New Roman"/>
          <w:i/>
          <w:color w:val="222222"/>
          <w:shd w:val="clear" w:color="auto" w:fill="FFFFFF"/>
        </w:rPr>
        <w:t>et al</w:t>
      </w:r>
      <w:r>
        <w:rPr>
          <w:rFonts w:ascii="Times New Roman" w:hAnsi="Times New Roman" w:cs="Times New Roman"/>
          <w:color w:val="222222"/>
          <w:shd w:val="clear" w:color="auto" w:fill="FFFFFF"/>
        </w:rPr>
        <w:t>., 2013)</w:t>
      </w:r>
      <w:r>
        <w:rPr>
          <w:rFonts w:ascii="Times New Roman" w:hAnsi="Times New Roman" w:cs="Times New Roman"/>
        </w:rPr>
        <w:t>.</w:t>
      </w:r>
    </w:p>
    <w:p w:rsidR="009A5206" w:rsidRDefault="009A5206">
      <w:pPr>
        <w:pStyle w:val="Default"/>
        <w:jc w:val="both"/>
        <w:rPr>
          <w:rFonts w:ascii="Times New Roman" w:hAnsi="Times New Roman" w:cs="Times New Roman"/>
        </w:rPr>
      </w:pPr>
    </w:p>
    <w:p w:rsidR="009A5206" w:rsidRDefault="009A5206">
      <w:pPr>
        <w:pStyle w:val="Default"/>
        <w:jc w:val="both"/>
        <w:rPr>
          <w:rFonts w:ascii="Times New Roman" w:hAnsi="Times New Roman" w:cs="Times New Roman"/>
        </w:rPr>
      </w:pPr>
    </w:p>
    <w:p w:rsidR="009A5206" w:rsidRDefault="009A5206">
      <w:pPr>
        <w:pStyle w:val="Default"/>
        <w:jc w:val="both"/>
        <w:rPr>
          <w:rFonts w:ascii="Times New Roman" w:hAnsi="Times New Roman" w:cs="Times New Roman"/>
        </w:rPr>
      </w:pPr>
    </w:p>
    <w:p w:rsidR="009A5206" w:rsidRDefault="000F42D9">
      <w:pPr>
        <w:pStyle w:val="Default"/>
        <w:jc w:val="both"/>
        <w:rPr>
          <w:rFonts w:ascii="Times New Roman" w:hAnsi="Times New Roman" w:cs="Times New Roman"/>
          <w:b/>
          <w:bCs/>
        </w:rPr>
      </w:pPr>
      <w:r>
        <w:rPr>
          <w:rFonts w:ascii="Times New Roman" w:hAnsi="Times New Roman" w:cs="Times New Roman"/>
          <w:b/>
          <w:bCs/>
        </w:rPr>
        <w:lastRenderedPageBreak/>
        <w:t>Food plants of Eri silkworm</w:t>
      </w:r>
    </w:p>
    <w:p w:rsidR="009A5206" w:rsidRDefault="009A5206">
      <w:pPr>
        <w:pStyle w:val="Default"/>
        <w:jc w:val="both"/>
        <w:rPr>
          <w:rFonts w:ascii="Times New Roman" w:hAnsi="Times New Roman" w:cs="Times New Roman"/>
          <w:b/>
          <w:bCs/>
        </w:rPr>
      </w:pPr>
    </w:p>
    <w:p w:rsidR="009A5206" w:rsidRDefault="000F42D9">
      <w:pPr>
        <w:pStyle w:val="Default"/>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eri</w:t>
      </w:r>
      <w:proofErr w:type="spellEnd"/>
      <w:r>
        <w:rPr>
          <w:rFonts w:ascii="Times New Roman" w:hAnsi="Times New Roman" w:cs="Times New Roman"/>
        </w:rPr>
        <w:t xml:space="preserve"> silkworm primarily feeds on the leaves of the castor plant (</w:t>
      </w:r>
      <w:r>
        <w:rPr>
          <w:rFonts w:ascii="Times New Roman" w:hAnsi="Times New Roman" w:cs="Times New Roman"/>
          <w:i/>
          <w:iCs/>
        </w:rPr>
        <w:t xml:space="preserve">Ricinus </w:t>
      </w:r>
      <w:proofErr w:type="spellStart"/>
      <w:r>
        <w:rPr>
          <w:rFonts w:ascii="Times New Roman" w:hAnsi="Times New Roman" w:cs="Times New Roman"/>
          <w:i/>
          <w:iCs/>
        </w:rPr>
        <w:t>communis</w:t>
      </w:r>
      <w:proofErr w:type="spellEnd"/>
      <w:r>
        <w:rPr>
          <w:rFonts w:ascii="Times New Roman" w:hAnsi="Times New Roman" w:cs="Times New Roman"/>
        </w:rPr>
        <w:t>), which provides essential nutrients for its growth and silk production. Ca</w:t>
      </w:r>
      <w:r>
        <w:rPr>
          <w:rFonts w:ascii="Times New Roman" w:hAnsi="Times New Roman" w:cs="Times New Roman"/>
        </w:rPr>
        <w:t xml:space="preserve">stor is preferred due to its high protein content, rapid growth, and drought resistance, making it an ideal host plant in tropical and subtropical climates </w:t>
      </w:r>
      <w:r w:rsidRPr="000F42D9">
        <w:rPr>
          <w:rFonts w:ascii="Times New Roman" w:hAnsi="Times New Roman" w:cs="Times New Roman"/>
        </w:rPr>
        <w:t>(Subramanian et al., 2013)</w:t>
      </w:r>
      <w:r>
        <w:rPr>
          <w:rFonts w:ascii="Times New Roman" w:hAnsi="Times New Roman" w:cs="Times New Roman"/>
        </w:rPr>
        <w:t>. In addition to castor, tapioca (</w:t>
      </w:r>
      <w:r>
        <w:rPr>
          <w:rFonts w:ascii="Times New Roman" w:hAnsi="Times New Roman" w:cs="Times New Roman"/>
          <w:i/>
          <w:iCs/>
        </w:rPr>
        <w:t>Manihot esculenta</w:t>
      </w:r>
      <w:r>
        <w:rPr>
          <w:rFonts w:ascii="Times New Roman" w:hAnsi="Times New Roman" w:cs="Times New Roman"/>
        </w:rPr>
        <w:t>) is commonly used in some regions, offering a via</w:t>
      </w:r>
      <w:r>
        <w:rPr>
          <w:rFonts w:ascii="Times New Roman" w:hAnsi="Times New Roman" w:cs="Times New Roman"/>
        </w:rPr>
        <w:t xml:space="preserve">ble alternative, especially in areas where castor cultivation is limited </w:t>
      </w:r>
      <w:r w:rsidRPr="000F42D9">
        <w:rPr>
          <w:rFonts w:ascii="Times New Roman" w:hAnsi="Times New Roman" w:cs="Times New Roman"/>
        </w:rPr>
        <w:t>(Das et al., 2023)</w:t>
      </w:r>
      <w:r>
        <w:rPr>
          <w:rFonts w:ascii="Times New Roman" w:hAnsi="Times New Roman" w:cs="Times New Roman"/>
        </w:rPr>
        <w:t xml:space="preserve">. Another important plant, </w:t>
      </w:r>
      <w:proofErr w:type="spellStart"/>
      <w:r>
        <w:rPr>
          <w:rFonts w:ascii="Times New Roman" w:hAnsi="Times New Roman" w:cs="Times New Roman"/>
        </w:rPr>
        <w:t>Kessaru</w:t>
      </w:r>
      <w:proofErr w:type="spellEnd"/>
      <w:r>
        <w:rPr>
          <w:rFonts w:ascii="Times New Roman" w:hAnsi="Times New Roman" w:cs="Times New Roman"/>
        </w:rPr>
        <w:t xml:space="preserve"> (</w:t>
      </w:r>
      <w:proofErr w:type="spellStart"/>
      <w:r>
        <w:rPr>
          <w:rFonts w:ascii="Times New Roman" w:hAnsi="Times New Roman" w:cs="Times New Roman"/>
          <w:i/>
          <w:iCs/>
        </w:rPr>
        <w:t>Heteropanax</w:t>
      </w:r>
      <w:proofErr w:type="spellEnd"/>
      <w:r>
        <w:rPr>
          <w:rFonts w:ascii="Times New Roman" w:hAnsi="Times New Roman" w:cs="Times New Roman"/>
          <w:i/>
          <w:iCs/>
        </w:rPr>
        <w:t xml:space="preserve"> </w:t>
      </w:r>
      <w:proofErr w:type="spellStart"/>
      <w:r>
        <w:rPr>
          <w:rFonts w:ascii="Times New Roman" w:hAnsi="Times New Roman" w:cs="Times New Roman"/>
          <w:i/>
          <w:iCs/>
        </w:rPr>
        <w:t>fragrans</w:t>
      </w:r>
      <w:proofErr w:type="spellEnd"/>
      <w:r>
        <w:rPr>
          <w:rFonts w:ascii="Times New Roman" w:hAnsi="Times New Roman" w:cs="Times New Roman"/>
        </w:rPr>
        <w:t xml:space="preserve">), is used in certain parts of India, providing additional food sources for silkworm farming </w:t>
      </w:r>
      <w:r w:rsidRPr="000F42D9">
        <w:rPr>
          <w:rFonts w:ascii="Times New Roman" w:hAnsi="Times New Roman" w:cs="Times New Roman"/>
        </w:rPr>
        <w:t>(</w:t>
      </w:r>
      <w:proofErr w:type="spellStart"/>
      <w:r w:rsidRPr="000F42D9">
        <w:rPr>
          <w:rFonts w:ascii="Times New Roman" w:hAnsi="Times New Roman" w:cs="Times New Roman"/>
        </w:rPr>
        <w:t>Sarmah</w:t>
      </w:r>
      <w:proofErr w:type="spellEnd"/>
      <w:r w:rsidRPr="000F42D9">
        <w:rPr>
          <w:rFonts w:ascii="Times New Roman" w:hAnsi="Times New Roman" w:cs="Times New Roman"/>
        </w:rPr>
        <w:t xml:space="preserve"> et al., 2015)</w:t>
      </w:r>
      <w:bookmarkStart w:id="0" w:name="_GoBack"/>
      <w:bookmarkEnd w:id="0"/>
      <w:r>
        <w:rPr>
          <w:rFonts w:ascii="Times New Roman" w:hAnsi="Times New Roman" w:cs="Times New Roman"/>
        </w:rPr>
        <w:t>. These plants collectively contribu</w:t>
      </w:r>
      <w:r>
        <w:rPr>
          <w:rFonts w:ascii="Times New Roman" w:hAnsi="Times New Roman" w:cs="Times New Roman"/>
        </w:rPr>
        <w:t xml:space="preserve">te to the sustainable cultivation of </w:t>
      </w:r>
      <w:proofErr w:type="spellStart"/>
      <w:r>
        <w:rPr>
          <w:rFonts w:ascii="Times New Roman" w:hAnsi="Times New Roman" w:cs="Times New Roman"/>
        </w:rPr>
        <w:t>eri</w:t>
      </w:r>
      <w:proofErr w:type="spellEnd"/>
      <w:r>
        <w:rPr>
          <w:rFonts w:ascii="Times New Roman" w:hAnsi="Times New Roman" w:cs="Times New Roman"/>
        </w:rPr>
        <w:t xml:space="preserve"> silkworms, supporting both regional sericulture and silk </w:t>
      </w:r>
      <w:proofErr w:type="spellStart"/>
      <w:proofErr w:type="gramStart"/>
      <w:r>
        <w:rPr>
          <w:rFonts w:ascii="Times New Roman" w:hAnsi="Times New Roman" w:cs="Times New Roman"/>
        </w:rPr>
        <w:t>production.However</w:t>
      </w:r>
      <w:proofErr w:type="spellEnd"/>
      <w:proofErr w:type="gramEnd"/>
      <w:r>
        <w:rPr>
          <w:rFonts w:ascii="Times New Roman" w:hAnsi="Times New Roman" w:cs="Times New Roman"/>
        </w:rPr>
        <w:t xml:space="preserve">, secondary food sources such as </w:t>
      </w:r>
      <w:proofErr w:type="spellStart"/>
      <w:r>
        <w:rPr>
          <w:rFonts w:ascii="Times New Roman" w:hAnsi="Times New Roman" w:cs="Times New Roman"/>
        </w:rPr>
        <w:t>Morinda</w:t>
      </w:r>
      <w:proofErr w:type="spellEnd"/>
      <w:r>
        <w:rPr>
          <w:rFonts w:ascii="Times New Roman" w:hAnsi="Times New Roman" w:cs="Times New Roman"/>
        </w:rPr>
        <w:t xml:space="preserve"> (</w:t>
      </w:r>
      <w:proofErr w:type="spellStart"/>
      <w:r>
        <w:rPr>
          <w:rFonts w:ascii="Times New Roman" w:hAnsi="Times New Roman" w:cs="Times New Roman"/>
          <w:i/>
          <w:iCs/>
        </w:rPr>
        <w:t>Morinda</w:t>
      </w:r>
      <w:proofErr w:type="spellEnd"/>
      <w:r>
        <w:rPr>
          <w:rFonts w:ascii="Times New Roman" w:hAnsi="Times New Roman" w:cs="Times New Roman"/>
          <w:i/>
          <w:iCs/>
        </w:rPr>
        <w:t xml:space="preserve"> </w:t>
      </w:r>
      <w:proofErr w:type="spellStart"/>
      <w:r>
        <w:rPr>
          <w:rFonts w:ascii="Times New Roman" w:hAnsi="Times New Roman" w:cs="Times New Roman"/>
          <w:i/>
          <w:iCs/>
        </w:rPr>
        <w:t>citrifolia</w:t>
      </w:r>
      <w:proofErr w:type="spellEnd"/>
      <w:r>
        <w:rPr>
          <w:rFonts w:ascii="Times New Roman" w:hAnsi="Times New Roman" w:cs="Times New Roman"/>
        </w:rPr>
        <w:t>), mango (</w:t>
      </w:r>
      <w:proofErr w:type="spellStart"/>
      <w:r>
        <w:rPr>
          <w:rFonts w:ascii="Times New Roman" w:hAnsi="Times New Roman" w:cs="Times New Roman"/>
          <w:i/>
          <w:iCs/>
        </w:rPr>
        <w:t>Mangifera</w:t>
      </w:r>
      <w:proofErr w:type="spellEnd"/>
      <w:r>
        <w:rPr>
          <w:rFonts w:ascii="Times New Roman" w:hAnsi="Times New Roman" w:cs="Times New Roman"/>
          <w:i/>
          <w:iCs/>
        </w:rPr>
        <w:t xml:space="preserve"> </w:t>
      </w:r>
      <w:proofErr w:type="spellStart"/>
      <w:r>
        <w:rPr>
          <w:rFonts w:ascii="Times New Roman" w:hAnsi="Times New Roman" w:cs="Times New Roman"/>
          <w:i/>
          <w:iCs/>
        </w:rPr>
        <w:t>indica</w:t>
      </w:r>
      <w:proofErr w:type="spellEnd"/>
      <w:r>
        <w:rPr>
          <w:rFonts w:ascii="Times New Roman" w:hAnsi="Times New Roman" w:cs="Times New Roman"/>
        </w:rPr>
        <w:t>) and jatropha (</w:t>
      </w:r>
      <w:r>
        <w:rPr>
          <w:rFonts w:ascii="Times New Roman" w:hAnsi="Times New Roman" w:cs="Times New Roman"/>
          <w:i/>
          <w:iCs/>
        </w:rPr>
        <w:t xml:space="preserve">Jatropha </w:t>
      </w:r>
      <w:proofErr w:type="spellStart"/>
      <w:r>
        <w:rPr>
          <w:rFonts w:ascii="Times New Roman" w:hAnsi="Times New Roman" w:cs="Times New Roman"/>
          <w:i/>
          <w:iCs/>
        </w:rPr>
        <w:t>curcas</w:t>
      </w:r>
      <w:proofErr w:type="spellEnd"/>
      <w:r>
        <w:rPr>
          <w:rFonts w:ascii="Times New Roman" w:hAnsi="Times New Roman" w:cs="Times New Roman"/>
        </w:rPr>
        <w:t>) are also utilized, pa</w:t>
      </w:r>
      <w:r>
        <w:rPr>
          <w:rFonts w:ascii="Times New Roman" w:hAnsi="Times New Roman" w:cs="Times New Roman"/>
        </w:rPr>
        <w:t>rticularly in regions where castor may not be as abundant. These secondary plants offer varying degrees of nutritional support, although they do not contribute as significantly to the quality of silk as castor</w:t>
      </w:r>
      <w:r>
        <w:rPr>
          <w:color w:val="222222"/>
          <w:shd w:val="clear" w:color="auto" w:fill="FFFFFF"/>
        </w:rPr>
        <w:t xml:space="preserve"> </w:t>
      </w:r>
      <w:r>
        <w:rPr>
          <w:rFonts w:ascii="Times New Roman" w:hAnsi="Times New Roman" w:cs="Times New Roman"/>
          <w:color w:val="222222"/>
          <w:shd w:val="clear" w:color="auto" w:fill="FFFFFF"/>
        </w:rPr>
        <w:t xml:space="preserve">(Sarkar, B.N. and </w:t>
      </w:r>
      <w:proofErr w:type="spellStart"/>
      <w:r>
        <w:rPr>
          <w:rFonts w:ascii="Times New Roman" w:hAnsi="Times New Roman" w:cs="Times New Roman"/>
          <w:color w:val="222222"/>
          <w:shd w:val="clear" w:color="auto" w:fill="FFFFFF"/>
        </w:rPr>
        <w:t>Borpuzari</w:t>
      </w:r>
      <w:proofErr w:type="spellEnd"/>
      <w:r>
        <w:rPr>
          <w:rFonts w:ascii="Times New Roman" w:hAnsi="Times New Roman" w:cs="Times New Roman"/>
          <w:color w:val="222222"/>
          <w:shd w:val="clear" w:color="auto" w:fill="FFFFFF"/>
        </w:rPr>
        <w:t xml:space="preserve">, P., 2022; </w:t>
      </w:r>
      <w:r w:rsidRPr="000F42D9">
        <w:rPr>
          <w:rFonts w:ascii="Times New Roman" w:hAnsi="Times New Roman" w:cs="Times New Roman"/>
          <w:color w:val="222222"/>
          <w:shd w:val="clear" w:color="auto" w:fill="FFFFFF"/>
        </w:rPr>
        <w:t>W</w:t>
      </w:r>
      <w:proofErr w:type="spellStart"/>
      <w:r w:rsidRPr="000F42D9">
        <w:rPr>
          <w:rFonts w:ascii="Times New Roman" w:hAnsi="Times New Roman" w:cs="Times New Roman"/>
          <w:color w:val="222222"/>
          <w:shd w:val="clear" w:color="auto" w:fill="FFFFFF"/>
        </w:rPr>
        <w:t xml:space="preserve">ongsorn </w:t>
      </w:r>
      <w:proofErr w:type="spellEnd"/>
      <w:r w:rsidRPr="000F42D9">
        <w:rPr>
          <w:rFonts w:ascii="Times New Roman" w:hAnsi="Times New Roman" w:cs="Times New Roman"/>
          <w:color w:val="222222"/>
          <w:shd w:val="clear" w:color="auto" w:fill="FFFFFF"/>
        </w:rPr>
        <w:t>et al., 2024</w:t>
      </w:r>
      <w:r>
        <w:rPr>
          <w:rFonts w:ascii="Times New Roman" w:hAnsi="Times New Roman" w:cs="Times New Roman"/>
          <w:color w:val="222222"/>
          <w:shd w:val="clear" w:color="auto" w:fill="FFFFFF"/>
        </w:rPr>
        <w:t>)</w:t>
      </w:r>
      <w:r>
        <w:rPr>
          <w:rFonts w:ascii="Times New Roman" w:hAnsi="Times New Roman" w:cs="Times New Roman"/>
        </w:rPr>
        <w:t>. Recent</w:t>
      </w:r>
      <w:r>
        <w:rPr>
          <w:rFonts w:ascii="Times New Roman" w:hAnsi="Times New Roman" w:cs="Times New Roman"/>
        </w:rPr>
        <w:t xml:space="preserve"> research has focused on improving the sustainability of </w:t>
      </w:r>
      <w:proofErr w:type="spellStart"/>
      <w:r>
        <w:rPr>
          <w:rFonts w:ascii="Times New Roman" w:hAnsi="Times New Roman" w:cs="Times New Roman"/>
        </w:rPr>
        <w:t>eri</w:t>
      </w:r>
      <w:proofErr w:type="spellEnd"/>
      <w:r>
        <w:rPr>
          <w:rFonts w:ascii="Times New Roman" w:hAnsi="Times New Roman" w:cs="Times New Roman"/>
        </w:rPr>
        <w:t xml:space="preserve"> silkworm farming through the exploration of alternative host plants, genetic breeding for enhanced silk yield and disease resistance and techniques to expand the ecological benefits of </w:t>
      </w:r>
      <w:proofErr w:type="spellStart"/>
      <w:r>
        <w:rPr>
          <w:rFonts w:ascii="Times New Roman" w:hAnsi="Times New Roman" w:cs="Times New Roman"/>
        </w:rPr>
        <w:t>eri</w:t>
      </w:r>
      <w:proofErr w:type="spellEnd"/>
      <w:r>
        <w:rPr>
          <w:rFonts w:ascii="Times New Roman" w:hAnsi="Times New Roman" w:cs="Times New Roman"/>
        </w:rPr>
        <w:t xml:space="preserve"> silkwo</w:t>
      </w:r>
      <w:r>
        <w:rPr>
          <w:rFonts w:ascii="Times New Roman" w:hAnsi="Times New Roman" w:cs="Times New Roman"/>
        </w:rPr>
        <w:t xml:space="preserve">rm cultivation </w:t>
      </w:r>
      <w:r w:rsidRPr="000F42D9">
        <w:rPr>
          <w:rFonts w:ascii="Times New Roman" w:hAnsi="Times New Roman" w:cs="Times New Roman"/>
        </w:rPr>
        <w:t>(</w:t>
      </w:r>
      <w:proofErr w:type="spellStart"/>
      <w:r w:rsidRPr="000F42D9">
        <w:rPr>
          <w:rFonts w:ascii="Times New Roman" w:hAnsi="Times New Roman" w:cs="Times New Roman"/>
        </w:rPr>
        <w:t>Sarma</w:t>
      </w:r>
      <w:proofErr w:type="spellEnd"/>
      <w:r w:rsidRPr="000F42D9">
        <w:rPr>
          <w:rFonts w:ascii="Times New Roman" w:hAnsi="Times New Roman" w:cs="Times New Roman"/>
        </w:rPr>
        <w:t xml:space="preserve"> et al., 2025)</w:t>
      </w:r>
      <w:r>
        <w:rPr>
          <w:rFonts w:ascii="Times New Roman" w:hAnsi="Times New Roman" w:cs="Times New Roman"/>
        </w:rPr>
        <w:t xml:space="preserve">. These advancements have positioned </w:t>
      </w:r>
      <w:proofErr w:type="spellStart"/>
      <w:r>
        <w:rPr>
          <w:rFonts w:ascii="Times New Roman" w:hAnsi="Times New Roman" w:cs="Times New Roman"/>
        </w:rPr>
        <w:t>eri</w:t>
      </w:r>
      <w:proofErr w:type="spellEnd"/>
      <w:r>
        <w:rPr>
          <w:rFonts w:ascii="Times New Roman" w:hAnsi="Times New Roman" w:cs="Times New Roman"/>
        </w:rPr>
        <w:t xml:space="preserve"> silkworms as a more sustainable and environmentally friendly option in sericulture, making it a promising area for continued research and development in the textile and agricultural industries.</w:t>
      </w:r>
    </w:p>
    <w:p w:rsidR="009A5206" w:rsidRDefault="009A5206">
      <w:pPr>
        <w:pStyle w:val="Default"/>
        <w:jc w:val="both"/>
        <w:rPr>
          <w:rFonts w:ascii="Times New Roman" w:hAnsi="Times New Roman" w:cs="Times New Roman"/>
        </w:rPr>
      </w:pPr>
    </w:p>
    <w:p w:rsidR="009A5206" w:rsidRDefault="000F42D9">
      <w:pPr>
        <w:pStyle w:val="Default"/>
        <w:spacing w:line="360" w:lineRule="auto"/>
        <w:jc w:val="both"/>
        <w:rPr>
          <w:rFonts w:ascii="Times New Roman" w:hAnsi="Times New Roman" w:cs="Times New Roman"/>
          <w:b/>
          <w:bCs/>
        </w:rPr>
      </w:pPr>
      <w:r>
        <w:rPr>
          <w:rFonts w:ascii="Times New Roman" w:hAnsi="Times New Roman" w:cs="Times New Roman"/>
          <w:b/>
          <w:bCs/>
        </w:rPr>
        <w:t>Methodology</w:t>
      </w:r>
    </w:p>
    <w:p w:rsidR="009A5206" w:rsidRDefault="000F42D9">
      <w:pPr>
        <w:pStyle w:val="TableParagraph"/>
        <w:spacing w:line="360" w:lineRule="auto"/>
        <w:ind w:right="124" w:firstLine="502"/>
        <w:jc w:val="both"/>
        <w:rPr>
          <w:rFonts w:cs="Nirmala UI"/>
          <w:cs/>
          <w:lang w:bidi="hi-IN"/>
        </w:rPr>
      </w:pPr>
      <w:r>
        <w:t>The seed cocoons production was carried out through 18 ASRs, under</w:t>
      </w:r>
      <w:r>
        <w:rPr>
          <w:cs/>
          <w:lang w:bidi="hi-IN"/>
        </w:rPr>
        <w:t xml:space="preserve"> </w:t>
      </w:r>
      <w:r>
        <w:t xml:space="preserve">P2 BSF </w:t>
      </w:r>
      <w:r>
        <w:rPr>
          <w:cs/>
          <w:lang w:bidi="hi-IN"/>
        </w:rPr>
        <w:t>-</w:t>
      </w:r>
      <w:r>
        <w:rPr>
          <w:lang w:bidi="hi-IN"/>
        </w:rPr>
        <w:t xml:space="preserve"> </w:t>
      </w:r>
      <w:proofErr w:type="spellStart"/>
      <w:r>
        <w:t>Topatoli</w:t>
      </w:r>
      <w:proofErr w:type="spellEnd"/>
      <w:r>
        <w:t xml:space="preserve"> (Castor-6, Tapioca-6 &amp; Kesseru-6) cluster adopting standard protocols under the supervision during 2022-23 &amp; 2023-24. 30 </w:t>
      </w:r>
      <w:proofErr w:type="spellStart"/>
      <w:r>
        <w:t>dfls</w:t>
      </w:r>
      <w:proofErr w:type="spellEnd"/>
      <w:r>
        <w:t xml:space="preserve"> each to the selected ASRs and rea</w:t>
      </w:r>
      <w:r>
        <w:t xml:space="preserve">ring data was recorded at Assam areas for two years during different crops </w:t>
      </w:r>
      <w:r>
        <w:rPr>
          <w:i/>
        </w:rPr>
        <w:t>viz.</w:t>
      </w:r>
      <w:r>
        <w:t>,</w:t>
      </w:r>
      <w:r>
        <w:rPr>
          <w:szCs w:val="24"/>
          <w:lang w:val="en-US"/>
        </w:rPr>
        <w:t xml:space="preserve"> C1: June-Aug, C2: Sep-Oct, C3: Jan-Feb &amp; C4: March-April</w:t>
      </w:r>
      <w:r>
        <w:rPr>
          <w:lang w:bidi="hi-IN"/>
        </w:rPr>
        <w:t>.</w:t>
      </w:r>
      <w:r>
        <w:t xml:space="preserve"> On completion of rearing, the seed cocoons produced using different host plants at selected ASRs level was procured and assessed for cocoon and </w:t>
      </w:r>
      <w:proofErr w:type="spellStart"/>
      <w:r>
        <w:t>grainage</w:t>
      </w:r>
      <w:proofErr w:type="spellEnd"/>
      <w:r>
        <w:t xml:space="preserve"> parameters separately adopting the standard protocol at Assam area</w:t>
      </w:r>
      <w:r>
        <w:rPr>
          <w:cs/>
          <w:lang w:bidi="hi-IN"/>
        </w:rPr>
        <w:t>.</w:t>
      </w:r>
    </w:p>
    <w:p w:rsidR="009A5206" w:rsidRDefault="009A5206">
      <w:pPr>
        <w:pStyle w:val="TableParagraph"/>
        <w:spacing w:line="360" w:lineRule="auto"/>
        <w:ind w:right="124" w:firstLine="502"/>
        <w:jc w:val="both"/>
        <w:rPr>
          <w:rFonts w:cs="Nirmala UI"/>
        </w:rPr>
      </w:pPr>
    </w:p>
    <w:p w:rsidR="009A5206" w:rsidRDefault="000F42D9">
      <w:pPr>
        <w:pStyle w:val="Default"/>
        <w:jc w:val="both"/>
        <w:rPr>
          <w:rFonts w:ascii="Times New Roman" w:hAnsi="Times New Roman" w:cs="Times New Roman"/>
          <w:b/>
          <w:bCs/>
        </w:rPr>
      </w:pPr>
      <w:r>
        <w:rPr>
          <w:rFonts w:ascii="Times New Roman" w:hAnsi="Times New Roman" w:cs="Times New Roman"/>
          <w:b/>
          <w:bCs/>
        </w:rPr>
        <w:t>Results and Discussion</w:t>
      </w:r>
    </w:p>
    <w:p w:rsidR="009A5206" w:rsidRDefault="009A5206">
      <w:pPr>
        <w:pStyle w:val="Default"/>
        <w:jc w:val="both"/>
        <w:rPr>
          <w:rFonts w:ascii="Times New Roman" w:hAnsi="Times New Roman" w:cs="Times New Roman"/>
          <w:b/>
          <w:bCs/>
        </w:rPr>
      </w:pPr>
    </w:p>
    <w:p w:rsidR="009A5206" w:rsidRDefault="000F42D9">
      <w:pPr>
        <w:pStyle w:val="Default"/>
        <w:numPr>
          <w:ilvl w:val="0"/>
          <w:numId w:val="1"/>
        </w:numPr>
        <w:jc w:val="both"/>
        <w:rPr>
          <w:rFonts w:ascii="Times New Roman" w:hAnsi="Times New Roman" w:cs="Times New Roman"/>
          <w:b/>
          <w:bCs/>
        </w:rPr>
      </w:pPr>
      <w:r>
        <w:rPr>
          <w:rFonts w:ascii="Times New Roman" w:hAnsi="Times New Roman" w:cs="Times New Roman"/>
          <w:b/>
          <w:bCs/>
        </w:rPr>
        <w:t>Cocoon ch</w:t>
      </w:r>
      <w:r>
        <w:rPr>
          <w:rFonts w:ascii="Times New Roman" w:hAnsi="Times New Roman" w:cs="Times New Roman"/>
          <w:b/>
          <w:bCs/>
        </w:rPr>
        <w:t xml:space="preserve">aracteristics of </w:t>
      </w:r>
      <w:proofErr w:type="spellStart"/>
      <w:r>
        <w:rPr>
          <w:rFonts w:ascii="Times New Roman" w:hAnsi="Times New Roman" w:cs="Times New Roman"/>
          <w:b/>
          <w:bCs/>
        </w:rPr>
        <w:t>eri</w:t>
      </w:r>
      <w:proofErr w:type="spellEnd"/>
      <w:r>
        <w:rPr>
          <w:rFonts w:ascii="Times New Roman" w:hAnsi="Times New Roman" w:cs="Times New Roman"/>
          <w:b/>
          <w:bCs/>
        </w:rPr>
        <w:t xml:space="preserve"> silkworm reared on different host plants at Assam.</w:t>
      </w:r>
    </w:p>
    <w:p w:rsidR="009A5206" w:rsidRDefault="009A5206"/>
    <w:p w:rsidR="009A5206" w:rsidRDefault="000F42D9">
      <w:pPr>
        <w:spacing w:line="360" w:lineRule="auto"/>
        <w:ind w:firstLine="720"/>
        <w:jc w:val="both"/>
        <w:rPr>
          <w:lang w:val="en-US"/>
        </w:rPr>
      </w:pPr>
      <w:r>
        <w:rPr>
          <w:lang w:val="en-US"/>
        </w:rPr>
        <w:t xml:space="preserve">Significantly higher mean values for Cocoon weight [(Male:3.35 &amp; 3.33g) &amp; Female:3.46 &amp; 3.60g)], shell weight [(Male:0.50 &amp; 0.51g) &amp; Female:0.46 &amp; 0.44g)], pupal weight [(Male:2.85 &amp; </w:t>
      </w:r>
      <w:r>
        <w:rPr>
          <w:lang w:val="en-US"/>
        </w:rPr>
        <w:t>2.81g &amp; Female:3.00 &amp; 3.16g)] and shell ratio [(Male:14.88 &amp; 15.37%) &amp; Female:13.38 &amp; 12.17%)] recorded with castor followed by tapioca which documented cocoon weight of [(Male:3.20 &amp; 3.27g) &amp; Female:3.33 &amp; 3.54g)], shell weight [(Male:0.46 &amp; 0.49g) &amp; Fema</w:t>
      </w:r>
      <w:r>
        <w:rPr>
          <w:lang w:val="en-US"/>
        </w:rPr>
        <w:t xml:space="preserve">le:0.42 &amp; 0.40g)], pupal weight [(Male:2.73 &amp; 2.78g &amp; Female:2.91 &amp; 3.14g)] and shell ratio [(Male:14.47 &amp; 15.01%) &amp; Female:12.69 &amp; 11.38%)] </w:t>
      </w:r>
      <w:r>
        <w:rPr>
          <w:lang w:val="en-US"/>
        </w:rPr>
        <w:lastRenderedPageBreak/>
        <w:t xml:space="preserve">and least recorded with </w:t>
      </w:r>
      <w:proofErr w:type="spellStart"/>
      <w:r>
        <w:rPr>
          <w:lang w:val="en-US"/>
        </w:rPr>
        <w:t>kesseru</w:t>
      </w:r>
      <w:proofErr w:type="spellEnd"/>
      <w:r>
        <w:rPr>
          <w:lang w:val="en-US"/>
        </w:rPr>
        <w:t xml:space="preserve"> during I and II year respectively. </w:t>
      </w:r>
      <w:r>
        <w:rPr>
          <w:color w:val="000000"/>
          <w:lang w:val="en-US"/>
        </w:rPr>
        <w:t>All cocoon parameters were recorded maximum</w:t>
      </w:r>
      <w:r>
        <w:rPr>
          <w:lang w:val="en-US"/>
        </w:rPr>
        <w:t xml:space="preserve"> duri</w:t>
      </w:r>
      <w:r>
        <w:rPr>
          <w:lang w:val="en-US"/>
        </w:rPr>
        <w:t xml:space="preserve">ng C2- Sep-Oct followed by C4: March-April for all host plants indicating the </w:t>
      </w:r>
      <w:proofErr w:type="spellStart"/>
      <w:r>
        <w:rPr>
          <w:lang w:val="en-US"/>
        </w:rPr>
        <w:t>favourable</w:t>
      </w:r>
      <w:proofErr w:type="spellEnd"/>
      <w:r>
        <w:rPr>
          <w:lang w:val="en-US"/>
        </w:rPr>
        <w:t xml:space="preserve"> seasons for </w:t>
      </w:r>
      <w:proofErr w:type="spellStart"/>
      <w:r>
        <w:rPr>
          <w:lang w:val="en-US"/>
        </w:rPr>
        <w:t>eri</w:t>
      </w:r>
      <w:proofErr w:type="spellEnd"/>
      <w:r>
        <w:rPr>
          <w:lang w:val="en-US"/>
        </w:rPr>
        <w:t xml:space="preserve"> silkworm rearing (Table 1, 3, and 4). </w:t>
      </w:r>
    </w:p>
    <w:p w:rsidR="009A5206" w:rsidRDefault="000F42D9">
      <w:pPr>
        <w:spacing w:line="360" w:lineRule="auto"/>
        <w:jc w:val="both"/>
        <w:rPr>
          <w:color w:val="222222"/>
          <w:shd w:val="clear" w:color="auto" w:fill="FFFFFF"/>
        </w:rPr>
      </w:pPr>
      <w:r>
        <w:rPr>
          <w:color w:val="222222"/>
          <w:shd w:val="clear" w:color="auto" w:fill="FFFFFF"/>
        </w:rPr>
        <w:t>Cocoon weight (3.49 g), cocoon shell weight (0.42 g), shell ratio (11.90%), moth emergence (92.81%), fecundity (</w:t>
      </w:r>
      <w:r>
        <w:rPr>
          <w:color w:val="222222"/>
          <w:shd w:val="clear" w:color="auto" w:fill="FFFFFF"/>
        </w:rPr>
        <w:t>348.17 eggs/female), hatching percentage (99.59%), female and male longevity (9.02 and 7.01 days, respectively) (</w:t>
      </w:r>
      <w:proofErr w:type="spellStart"/>
      <w:r>
        <w:rPr>
          <w:color w:val="222222"/>
          <w:shd w:val="clear" w:color="auto" w:fill="FFFFFF"/>
        </w:rPr>
        <w:t>Birari</w:t>
      </w:r>
      <w:proofErr w:type="spellEnd"/>
      <w:r>
        <w:rPr>
          <w:color w:val="222222"/>
          <w:shd w:val="clear" w:color="auto" w:fill="FFFFFF"/>
        </w:rPr>
        <w:t xml:space="preserve">, V.V., </w:t>
      </w:r>
      <w:r>
        <w:rPr>
          <w:i/>
          <w:iCs/>
          <w:color w:val="222222"/>
          <w:shd w:val="clear" w:color="auto" w:fill="FFFFFF"/>
        </w:rPr>
        <w:t>et al</w:t>
      </w:r>
      <w:r>
        <w:rPr>
          <w:color w:val="222222"/>
          <w:shd w:val="clear" w:color="auto" w:fill="FFFFFF"/>
        </w:rPr>
        <w:t>. 2019). Castor was identified as the best host plant for </w:t>
      </w:r>
      <w:r>
        <w:rPr>
          <w:i/>
          <w:iCs/>
          <w:color w:val="222222"/>
          <w:shd w:val="clear" w:color="auto" w:fill="FFFFFF"/>
        </w:rPr>
        <w:t xml:space="preserve">S. </w:t>
      </w:r>
      <w:proofErr w:type="spellStart"/>
      <w:r>
        <w:rPr>
          <w:i/>
          <w:iCs/>
          <w:color w:val="222222"/>
          <w:shd w:val="clear" w:color="auto" w:fill="FFFFFF"/>
        </w:rPr>
        <w:t>cynthia</w:t>
      </w:r>
      <w:proofErr w:type="spellEnd"/>
      <w:r>
        <w:rPr>
          <w:i/>
          <w:iCs/>
          <w:color w:val="222222"/>
          <w:shd w:val="clear" w:color="auto" w:fill="FFFFFF"/>
        </w:rPr>
        <w:t xml:space="preserve"> </w:t>
      </w:r>
      <w:proofErr w:type="spellStart"/>
      <w:r>
        <w:rPr>
          <w:i/>
          <w:iCs/>
          <w:color w:val="222222"/>
          <w:shd w:val="clear" w:color="auto" w:fill="FFFFFF"/>
        </w:rPr>
        <w:t>ricini</w:t>
      </w:r>
      <w:proofErr w:type="spellEnd"/>
      <w:r>
        <w:rPr>
          <w:color w:val="222222"/>
          <w:shd w:val="clear" w:color="auto" w:fill="FFFFFF"/>
        </w:rPr>
        <w:t> based on leaf nutritive value, larval weight, co</w:t>
      </w:r>
      <w:r>
        <w:rPr>
          <w:color w:val="222222"/>
          <w:shd w:val="clear" w:color="auto" w:fill="FFFFFF"/>
        </w:rPr>
        <w:t xml:space="preserve">coon weight, shell weight and pupal weight. (Hazarika, U., </w:t>
      </w:r>
      <w:r>
        <w:rPr>
          <w:i/>
          <w:iCs/>
          <w:color w:val="222222"/>
          <w:shd w:val="clear" w:color="auto" w:fill="FFFFFF"/>
        </w:rPr>
        <w:t>et al</w:t>
      </w:r>
      <w:r>
        <w:rPr>
          <w:color w:val="222222"/>
          <w:shd w:val="clear" w:color="auto" w:fill="FFFFFF"/>
        </w:rPr>
        <w:t>. 2003)</w:t>
      </w:r>
    </w:p>
    <w:p w:rsidR="009A5206" w:rsidRDefault="009A5206">
      <w:pPr>
        <w:spacing w:line="360" w:lineRule="auto"/>
        <w:jc w:val="both"/>
        <w:rPr>
          <w:color w:val="222222"/>
          <w:shd w:val="clear" w:color="auto" w:fill="FFFFFF"/>
        </w:rPr>
      </w:pPr>
    </w:p>
    <w:p w:rsidR="009A5206" w:rsidRDefault="000F42D9">
      <w:pPr>
        <w:jc w:val="center"/>
        <w:rPr>
          <w:b/>
          <w:bCs/>
        </w:rPr>
      </w:pPr>
      <w:r>
        <w:rPr>
          <w:b/>
          <w:bCs/>
        </w:rPr>
        <w:t xml:space="preserve">Table 1: Male and Female cocoon </w:t>
      </w:r>
      <w:proofErr w:type="spellStart"/>
      <w:r>
        <w:rPr>
          <w:b/>
          <w:bCs/>
        </w:rPr>
        <w:t>wt</w:t>
      </w:r>
      <w:proofErr w:type="spellEnd"/>
      <w:r>
        <w:rPr>
          <w:b/>
          <w:bCs/>
        </w:rPr>
        <w:t xml:space="preserve"> (g)</w:t>
      </w:r>
      <w:r>
        <w:t xml:space="preserve"> </w:t>
      </w:r>
      <w:r>
        <w:rPr>
          <w:b/>
          <w:bCs/>
        </w:rPr>
        <w:t xml:space="preserve">of </w:t>
      </w:r>
      <w:proofErr w:type="spellStart"/>
      <w:r>
        <w:rPr>
          <w:b/>
          <w:bCs/>
        </w:rPr>
        <w:t>eri</w:t>
      </w:r>
      <w:proofErr w:type="spellEnd"/>
      <w:r>
        <w:rPr>
          <w:b/>
          <w:bCs/>
        </w:rPr>
        <w:t xml:space="preserve"> silkworm reared on primary and secondary host plants at Assam areas</w:t>
      </w:r>
    </w:p>
    <w:tbl>
      <w:tblPr>
        <w:tblpPr w:leftFromText="180" w:rightFromText="180" w:vertAnchor="text" w:horzAnchor="margin" w:tblpXSpec="center" w:tblpY="77"/>
        <w:tblW w:w="10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3"/>
        <w:gridCol w:w="1006"/>
        <w:gridCol w:w="1006"/>
        <w:gridCol w:w="1094"/>
        <w:gridCol w:w="1134"/>
        <w:gridCol w:w="1107"/>
        <w:gridCol w:w="994"/>
        <w:gridCol w:w="1160"/>
        <w:gridCol w:w="1179"/>
        <w:gridCol w:w="1089"/>
      </w:tblGrid>
      <w:tr w:rsidR="009A5206">
        <w:trPr>
          <w:trHeight w:val="286"/>
        </w:trPr>
        <w:tc>
          <w:tcPr>
            <w:tcW w:w="973" w:type="dxa"/>
            <w:vMerge w:val="restart"/>
            <w:shd w:val="clear" w:color="auto" w:fill="auto"/>
          </w:tcPr>
          <w:p w:rsidR="009A5206" w:rsidRDefault="000F42D9">
            <w:pPr>
              <w:jc w:val="center"/>
              <w:rPr>
                <w:b/>
                <w:bCs/>
              </w:rPr>
            </w:pPr>
            <w:r>
              <w:rPr>
                <w:b/>
                <w:bCs/>
              </w:rPr>
              <w:t>Crops</w:t>
            </w:r>
          </w:p>
          <w:p w:rsidR="009A5206" w:rsidRDefault="009A5206"/>
        </w:tc>
        <w:tc>
          <w:tcPr>
            <w:tcW w:w="1006" w:type="dxa"/>
            <w:vMerge w:val="restart"/>
          </w:tcPr>
          <w:p w:rsidR="009A5206" w:rsidRDefault="009A5206">
            <w:pPr>
              <w:jc w:val="center"/>
              <w:rPr>
                <w:b/>
                <w:bCs/>
              </w:rPr>
            </w:pPr>
          </w:p>
          <w:p w:rsidR="009A5206" w:rsidRDefault="009A5206">
            <w:pPr>
              <w:jc w:val="center"/>
              <w:rPr>
                <w:b/>
                <w:bCs/>
              </w:rPr>
            </w:pPr>
          </w:p>
        </w:tc>
        <w:tc>
          <w:tcPr>
            <w:tcW w:w="4341" w:type="dxa"/>
            <w:gridSpan w:val="4"/>
            <w:shd w:val="clear" w:color="auto" w:fill="auto"/>
          </w:tcPr>
          <w:p w:rsidR="009A5206" w:rsidRDefault="000F42D9">
            <w:pPr>
              <w:jc w:val="center"/>
              <w:rPr>
                <w:b/>
                <w:bCs/>
              </w:rPr>
            </w:pPr>
            <w:r>
              <w:rPr>
                <w:b/>
                <w:bCs/>
              </w:rPr>
              <w:t>I Year</w:t>
            </w:r>
          </w:p>
        </w:tc>
        <w:tc>
          <w:tcPr>
            <w:tcW w:w="4422" w:type="dxa"/>
            <w:gridSpan w:val="4"/>
            <w:shd w:val="clear" w:color="auto" w:fill="auto"/>
          </w:tcPr>
          <w:p w:rsidR="009A5206" w:rsidRDefault="000F42D9">
            <w:pPr>
              <w:jc w:val="center"/>
              <w:rPr>
                <w:b/>
                <w:bCs/>
              </w:rPr>
            </w:pPr>
            <w:r>
              <w:rPr>
                <w:b/>
                <w:bCs/>
              </w:rPr>
              <w:t>II Year</w:t>
            </w:r>
          </w:p>
        </w:tc>
      </w:tr>
      <w:tr w:rsidR="009A5206">
        <w:trPr>
          <w:trHeight w:val="246"/>
        </w:trPr>
        <w:tc>
          <w:tcPr>
            <w:tcW w:w="973" w:type="dxa"/>
            <w:vMerge/>
            <w:shd w:val="clear" w:color="auto" w:fill="auto"/>
          </w:tcPr>
          <w:p w:rsidR="009A5206" w:rsidRDefault="009A5206">
            <w:pPr>
              <w:jc w:val="center"/>
              <w:rPr>
                <w:b/>
                <w:bCs/>
              </w:rPr>
            </w:pPr>
          </w:p>
        </w:tc>
        <w:tc>
          <w:tcPr>
            <w:tcW w:w="1006" w:type="dxa"/>
            <w:vMerge/>
          </w:tcPr>
          <w:p w:rsidR="009A5206" w:rsidRDefault="009A5206">
            <w:pPr>
              <w:jc w:val="center"/>
              <w:rPr>
                <w:b/>
                <w:bCs/>
              </w:rPr>
            </w:pPr>
          </w:p>
        </w:tc>
        <w:tc>
          <w:tcPr>
            <w:tcW w:w="1006" w:type="dxa"/>
            <w:shd w:val="clear" w:color="auto" w:fill="auto"/>
          </w:tcPr>
          <w:p w:rsidR="009A5206" w:rsidRDefault="000F42D9">
            <w:pPr>
              <w:jc w:val="center"/>
              <w:rPr>
                <w:b/>
                <w:bCs/>
              </w:rPr>
            </w:pPr>
            <w:r>
              <w:rPr>
                <w:b/>
                <w:bCs/>
              </w:rPr>
              <w:t>Castor</w:t>
            </w:r>
          </w:p>
        </w:tc>
        <w:tc>
          <w:tcPr>
            <w:tcW w:w="1094" w:type="dxa"/>
            <w:shd w:val="clear" w:color="auto" w:fill="auto"/>
          </w:tcPr>
          <w:p w:rsidR="009A5206" w:rsidRDefault="000F42D9">
            <w:pPr>
              <w:jc w:val="center"/>
              <w:rPr>
                <w:b/>
                <w:bCs/>
              </w:rPr>
            </w:pPr>
            <w:proofErr w:type="spellStart"/>
            <w:r>
              <w:rPr>
                <w:b/>
                <w:bCs/>
              </w:rPr>
              <w:t>Kesseru</w:t>
            </w:r>
            <w:proofErr w:type="spellEnd"/>
          </w:p>
        </w:tc>
        <w:tc>
          <w:tcPr>
            <w:tcW w:w="1134" w:type="dxa"/>
            <w:shd w:val="clear" w:color="auto" w:fill="auto"/>
          </w:tcPr>
          <w:p w:rsidR="009A5206" w:rsidRDefault="000F42D9">
            <w:pPr>
              <w:jc w:val="center"/>
              <w:rPr>
                <w:b/>
                <w:bCs/>
              </w:rPr>
            </w:pPr>
            <w:r>
              <w:rPr>
                <w:b/>
                <w:bCs/>
              </w:rPr>
              <w:t>Tapioca</w:t>
            </w:r>
          </w:p>
        </w:tc>
        <w:tc>
          <w:tcPr>
            <w:tcW w:w="1107" w:type="dxa"/>
            <w:shd w:val="clear" w:color="auto" w:fill="auto"/>
          </w:tcPr>
          <w:p w:rsidR="009A5206" w:rsidRDefault="000F42D9">
            <w:pPr>
              <w:jc w:val="center"/>
              <w:rPr>
                <w:b/>
                <w:bCs/>
              </w:rPr>
            </w:pPr>
            <w:r>
              <w:rPr>
                <w:b/>
                <w:bCs/>
              </w:rPr>
              <w:t>Mean</w:t>
            </w:r>
          </w:p>
        </w:tc>
        <w:tc>
          <w:tcPr>
            <w:tcW w:w="994" w:type="dxa"/>
            <w:shd w:val="clear" w:color="auto" w:fill="auto"/>
          </w:tcPr>
          <w:p w:rsidR="009A5206" w:rsidRDefault="000F42D9">
            <w:pPr>
              <w:jc w:val="center"/>
              <w:rPr>
                <w:b/>
                <w:bCs/>
              </w:rPr>
            </w:pPr>
            <w:r>
              <w:rPr>
                <w:b/>
                <w:bCs/>
              </w:rPr>
              <w:t>Castor</w:t>
            </w:r>
          </w:p>
        </w:tc>
        <w:tc>
          <w:tcPr>
            <w:tcW w:w="1160" w:type="dxa"/>
            <w:shd w:val="clear" w:color="auto" w:fill="auto"/>
          </w:tcPr>
          <w:p w:rsidR="009A5206" w:rsidRDefault="000F42D9">
            <w:pPr>
              <w:jc w:val="center"/>
              <w:rPr>
                <w:b/>
                <w:bCs/>
              </w:rPr>
            </w:pPr>
            <w:proofErr w:type="spellStart"/>
            <w:r>
              <w:rPr>
                <w:b/>
                <w:bCs/>
              </w:rPr>
              <w:t>Kesseru</w:t>
            </w:r>
            <w:proofErr w:type="spellEnd"/>
          </w:p>
        </w:tc>
        <w:tc>
          <w:tcPr>
            <w:tcW w:w="1179" w:type="dxa"/>
            <w:shd w:val="clear" w:color="auto" w:fill="auto"/>
          </w:tcPr>
          <w:p w:rsidR="009A5206" w:rsidRDefault="000F42D9">
            <w:pPr>
              <w:jc w:val="center"/>
              <w:rPr>
                <w:b/>
                <w:bCs/>
              </w:rPr>
            </w:pPr>
            <w:r>
              <w:rPr>
                <w:b/>
                <w:bCs/>
              </w:rPr>
              <w:t>Tapioca</w:t>
            </w:r>
          </w:p>
        </w:tc>
        <w:tc>
          <w:tcPr>
            <w:tcW w:w="1089" w:type="dxa"/>
            <w:shd w:val="clear" w:color="auto" w:fill="auto"/>
          </w:tcPr>
          <w:p w:rsidR="009A5206" w:rsidRDefault="000F42D9">
            <w:pPr>
              <w:jc w:val="center"/>
              <w:rPr>
                <w:b/>
                <w:bCs/>
              </w:rPr>
            </w:pPr>
            <w:r>
              <w:rPr>
                <w:b/>
                <w:bCs/>
              </w:rPr>
              <w:t>Mean</w:t>
            </w:r>
          </w:p>
        </w:tc>
      </w:tr>
      <w:tr w:rsidR="009A5206">
        <w:tc>
          <w:tcPr>
            <w:tcW w:w="973" w:type="dxa"/>
            <w:vMerge w:val="restart"/>
            <w:shd w:val="clear" w:color="auto" w:fill="auto"/>
          </w:tcPr>
          <w:p w:rsidR="009A5206" w:rsidRDefault="000F42D9">
            <w:pPr>
              <w:jc w:val="center"/>
              <w:rPr>
                <w:b/>
                <w:bCs/>
              </w:rPr>
            </w:pPr>
            <w:r>
              <w:rPr>
                <w:b/>
                <w:bCs/>
              </w:rPr>
              <w:t>C</w:t>
            </w:r>
            <w:r>
              <w:rPr>
                <w:b/>
                <w:bCs/>
                <w:vertAlign w:val="subscript"/>
              </w:rPr>
              <w:t>1</w:t>
            </w:r>
          </w:p>
        </w:tc>
        <w:tc>
          <w:tcPr>
            <w:tcW w:w="1006" w:type="dxa"/>
          </w:tcPr>
          <w:p w:rsidR="009A5206" w:rsidRDefault="000F42D9">
            <w:pPr>
              <w:jc w:val="center"/>
            </w:pPr>
            <w:r>
              <w:t>Male</w:t>
            </w:r>
          </w:p>
        </w:tc>
        <w:tc>
          <w:tcPr>
            <w:tcW w:w="1006" w:type="dxa"/>
            <w:shd w:val="clear" w:color="auto" w:fill="auto"/>
            <w:vAlign w:val="center"/>
          </w:tcPr>
          <w:p w:rsidR="009A5206" w:rsidRDefault="000F42D9">
            <w:pPr>
              <w:jc w:val="center"/>
            </w:pPr>
            <w:r>
              <w:t>3.267</w:t>
            </w:r>
          </w:p>
          <w:p w:rsidR="009A5206" w:rsidRDefault="000F42D9">
            <w:pPr>
              <w:jc w:val="center"/>
            </w:pPr>
            <w:r>
              <w:t>±0.05</w:t>
            </w:r>
          </w:p>
        </w:tc>
        <w:tc>
          <w:tcPr>
            <w:tcW w:w="1094" w:type="dxa"/>
            <w:shd w:val="clear" w:color="auto" w:fill="auto"/>
            <w:vAlign w:val="center"/>
          </w:tcPr>
          <w:p w:rsidR="009A5206" w:rsidRDefault="000F42D9">
            <w:pPr>
              <w:jc w:val="center"/>
            </w:pPr>
            <w:r>
              <w:t>2.700</w:t>
            </w:r>
          </w:p>
          <w:p w:rsidR="009A5206" w:rsidRDefault="000F42D9">
            <w:pPr>
              <w:jc w:val="center"/>
            </w:pPr>
            <w:r>
              <w:t>±0.15</w:t>
            </w:r>
          </w:p>
        </w:tc>
        <w:tc>
          <w:tcPr>
            <w:tcW w:w="1134" w:type="dxa"/>
            <w:shd w:val="clear" w:color="auto" w:fill="auto"/>
            <w:vAlign w:val="center"/>
          </w:tcPr>
          <w:p w:rsidR="009A5206" w:rsidRDefault="000F42D9">
            <w:pPr>
              <w:jc w:val="center"/>
            </w:pPr>
            <w:r>
              <w:t>3.167</w:t>
            </w:r>
          </w:p>
          <w:p w:rsidR="009A5206" w:rsidRDefault="000F42D9">
            <w:pPr>
              <w:jc w:val="center"/>
            </w:pPr>
            <w:r>
              <w:t>±0.14</w:t>
            </w:r>
          </w:p>
        </w:tc>
        <w:tc>
          <w:tcPr>
            <w:tcW w:w="1107" w:type="dxa"/>
            <w:shd w:val="clear" w:color="auto" w:fill="auto"/>
            <w:vAlign w:val="center"/>
          </w:tcPr>
          <w:p w:rsidR="009A5206" w:rsidRDefault="000F42D9">
            <w:pPr>
              <w:jc w:val="center"/>
            </w:pPr>
            <w:r>
              <w:t>3.044</w:t>
            </w:r>
          </w:p>
        </w:tc>
        <w:tc>
          <w:tcPr>
            <w:tcW w:w="994" w:type="dxa"/>
            <w:shd w:val="clear" w:color="auto" w:fill="auto"/>
            <w:vAlign w:val="center"/>
          </w:tcPr>
          <w:p w:rsidR="009A5206" w:rsidRDefault="000F42D9">
            <w:pPr>
              <w:jc w:val="center"/>
            </w:pPr>
            <w:r>
              <w:t>3.050</w:t>
            </w:r>
          </w:p>
          <w:p w:rsidR="009A5206" w:rsidRDefault="000F42D9">
            <w:pPr>
              <w:jc w:val="center"/>
            </w:pPr>
            <w:r>
              <w:t>±0.05</w:t>
            </w:r>
          </w:p>
        </w:tc>
        <w:tc>
          <w:tcPr>
            <w:tcW w:w="1160" w:type="dxa"/>
            <w:shd w:val="clear" w:color="auto" w:fill="auto"/>
            <w:vAlign w:val="center"/>
          </w:tcPr>
          <w:p w:rsidR="009A5206" w:rsidRDefault="000F42D9">
            <w:pPr>
              <w:jc w:val="center"/>
            </w:pPr>
            <w:r>
              <w:t>2.783</w:t>
            </w:r>
          </w:p>
          <w:p w:rsidR="009A5206" w:rsidRDefault="000F42D9">
            <w:pPr>
              <w:jc w:val="center"/>
            </w:pPr>
            <w:r>
              <w:t>±0.05</w:t>
            </w:r>
          </w:p>
        </w:tc>
        <w:tc>
          <w:tcPr>
            <w:tcW w:w="1179" w:type="dxa"/>
            <w:shd w:val="clear" w:color="auto" w:fill="auto"/>
            <w:vAlign w:val="center"/>
          </w:tcPr>
          <w:p w:rsidR="009A5206" w:rsidRDefault="000F42D9">
            <w:pPr>
              <w:jc w:val="center"/>
            </w:pPr>
            <w:r>
              <w:t>3.033</w:t>
            </w:r>
          </w:p>
          <w:p w:rsidR="009A5206" w:rsidRDefault="000F42D9">
            <w:pPr>
              <w:jc w:val="center"/>
            </w:pPr>
            <w:r>
              <w:t>±0.08</w:t>
            </w:r>
          </w:p>
        </w:tc>
        <w:tc>
          <w:tcPr>
            <w:tcW w:w="1089" w:type="dxa"/>
            <w:shd w:val="clear" w:color="auto" w:fill="auto"/>
            <w:vAlign w:val="center"/>
          </w:tcPr>
          <w:p w:rsidR="009A5206" w:rsidRDefault="000F42D9">
            <w:pPr>
              <w:jc w:val="center"/>
            </w:pPr>
            <w:r>
              <w:t>2.956</w:t>
            </w:r>
          </w:p>
        </w:tc>
      </w:tr>
      <w:tr w:rsidR="009A5206">
        <w:tc>
          <w:tcPr>
            <w:tcW w:w="973" w:type="dxa"/>
            <w:vMerge/>
            <w:shd w:val="clear" w:color="auto" w:fill="auto"/>
          </w:tcPr>
          <w:p w:rsidR="009A5206" w:rsidRDefault="009A5206">
            <w:pPr>
              <w:jc w:val="center"/>
              <w:rPr>
                <w:b/>
                <w:bCs/>
              </w:rPr>
            </w:pPr>
          </w:p>
        </w:tc>
        <w:tc>
          <w:tcPr>
            <w:tcW w:w="1006" w:type="dxa"/>
          </w:tcPr>
          <w:p w:rsidR="009A5206" w:rsidRDefault="000F42D9">
            <w:pPr>
              <w:jc w:val="center"/>
            </w:pPr>
            <w:r>
              <w:t>Female</w:t>
            </w:r>
          </w:p>
        </w:tc>
        <w:tc>
          <w:tcPr>
            <w:tcW w:w="1006" w:type="dxa"/>
            <w:shd w:val="clear" w:color="auto" w:fill="auto"/>
            <w:vAlign w:val="center"/>
          </w:tcPr>
          <w:p w:rsidR="009A5206" w:rsidRDefault="000F42D9">
            <w:pPr>
              <w:jc w:val="center"/>
            </w:pPr>
            <w:r>
              <w:t>3.433</w:t>
            </w:r>
          </w:p>
          <w:p w:rsidR="009A5206" w:rsidRDefault="000F42D9">
            <w:pPr>
              <w:jc w:val="center"/>
            </w:pPr>
            <w:r>
              <w:t>±0.10</w:t>
            </w:r>
          </w:p>
        </w:tc>
        <w:tc>
          <w:tcPr>
            <w:tcW w:w="1094" w:type="dxa"/>
            <w:shd w:val="clear" w:color="auto" w:fill="auto"/>
            <w:vAlign w:val="center"/>
          </w:tcPr>
          <w:p w:rsidR="009A5206" w:rsidRDefault="000F42D9">
            <w:pPr>
              <w:jc w:val="center"/>
            </w:pPr>
            <w:r>
              <w:t>3.100</w:t>
            </w:r>
          </w:p>
          <w:p w:rsidR="009A5206" w:rsidRDefault="000F42D9">
            <w:pPr>
              <w:jc w:val="center"/>
            </w:pPr>
            <w:r>
              <w:t>±0.09</w:t>
            </w:r>
          </w:p>
        </w:tc>
        <w:tc>
          <w:tcPr>
            <w:tcW w:w="1134" w:type="dxa"/>
            <w:shd w:val="clear" w:color="auto" w:fill="auto"/>
            <w:vAlign w:val="center"/>
          </w:tcPr>
          <w:p w:rsidR="009A5206" w:rsidRDefault="000F42D9">
            <w:pPr>
              <w:jc w:val="center"/>
            </w:pPr>
            <w:r>
              <w:t>3.333</w:t>
            </w:r>
          </w:p>
          <w:p w:rsidR="009A5206" w:rsidRDefault="000F42D9">
            <w:pPr>
              <w:jc w:val="center"/>
            </w:pPr>
            <w:r>
              <w:t>±0.10</w:t>
            </w:r>
          </w:p>
        </w:tc>
        <w:tc>
          <w:tcPr>
            <w:tcW w:w="1107" w:type="dxa"/>
            <w:shd w:val="clear" w:color="auto" w:fill="auto"/>
            <w:vAlign w:val="center"/>
          </w:tcPr>
          <w:p w:rsidR="009A5206" w:rsidRDefault="000F42D9">
            <w:pPr>
              <w:jc w:val="center"/>
            </w:pPr>
            <w:r>
              <w:t>3.289</w:t>
            </w:r>
          </w:p>
        </w:tc>
        <w:tc>
          <w:tcPr>
            <w:tcW w:w="994" w:type="dxa"/>
            <w:shd w:val="clear" w:color="auto" w:fill="auto"/>
            <w:vAlign w:val="center"/>
          </w:tcPr>
          <w:p w:rsidR="009A5206" w:rsidRDefault="000F42D9">
            <w:pPr>
              <w:jc w:val="center"/>
            </w:pPr>
            <w:r>
              <w:t>3.250</w:t>
            </w:r>
          </w:p>
          <w:p w:rsidR="009A5206" w:rsidRDefault="000F42D9">
            <w:pPr>
              <w:jc w:val="center"/>
            </w:pPr>
            <w:r>
              <w:t>±0.05</w:t>
            </w:r>
          </w:p>
        </w:tc>
        <w:tc>
          <w:tcPr>
            <w:tcW w:w="1160" w:type="dxa"/>
            <w:shd w:val="clear" w:color="auto" w:fill="auto"/>
            <w:vAlign w:val="center"/>
          </w:tcPr>
          <w:p w:rsidR="009A5206" w:rsidRDefault="000F42D9">
            <w:pPr>
              <w:jc w:val="center"/>
            </w:pPr>
            <w:r>
              <w:t>3.000</w:t>
            </w:r>
          </w:p>
          <w:p w:rsidR="009A5206" w:rsidRDefault="000F42D9">
            <w:pPr>
              <w:jc w:val="center"/>
            </w:pPr>
            <w:r>
              <w:t>±0.05</w:t>
            </w:r>
          </w:p>
        </w:tc>
        <w:tc>
          <w:tcPr>
            <w:tcW w:w="1179" w:type="dxa"/>
            <w:shd w:val="clear" w:color="auto" w:fill="auto"/>
            <w:vAlign w:val="center"/>
          </w:tcPr>
          <w:p w:rsidR="009A5206" w:rsidRDefault="000F42D9">
            <w:pPr>
              <w:jc w:val="center"/>
            </w:pPr>
            <w:r>
              <w:t>3.183</w:t>
            </w:r>
          </w:p>
          <w:p w:rsidR="009A5206" w:rsidRDefault="000F42D9">
            <w:pPr>
              <w:jc w:val="center"/>
            </w:pPr>
            <w:r>
              <w:t>±0.08</w:t>
            </w:r>
          </w:p>
        </w:tc>
        <w:tc>
          <w:tcPr>
            <w:tcW w:w="1089" w:type="dxa"/>
            <w:shd w:val="clear" w:color="auto" w:fill="auto"/>
            <w:vAlign w:val="center"/>
          </w:tcPr>
          <w:p w:rsidR="009A5206" w:rsidRDefault="000F42D9">
            <w:pPr>
              <w:jc w:val="center"/>
            </w:pPr>
            <w:r>
              <w:t>3.144</w:t>
            </w:r>
          </w:p>
        </w:tc>
      </w:tr>
      <w:tr w:rsidR="009A5206">
        <w:tc>
          <w:tcPr>
            <w:tcW w:w="973" w:type="dxa"/>
            <w:vMerge w:val="restart"/>
            <w:shd w:val="clear" w:color="auto" w:fill="auto"/>
          </w:tcPr>
          <w:p w:rsidR="009A5206" w:rsidRDefault="000F42D9">
            <w:pPr>
              <w:jc w:val="center"/>
              <w:rPr>
                <w:b/>
                <w:bCs/>
              </w:rPr>
            </w:pPr>
            <w:r>
              <w:rPr>
                <w:b/>
                <w:bCs/>
              </w:rPr>
              <w:t>C</w:t>
            </w:r>
            <w:r>
              <w:rPr>
                <w:b/>
                <w:bCs/>
                <w:vertAlign w:val="subscript"/>
              </w:rPr>
              <w:t>2</w:t>
            </w:r>
          </w:p>
        </w:tc>
        <w:tc>
          <w:tcPr>
            <w:tcW w:w="1006" w:type="dxa"/>
          </w:tcPr>
          <w:p w:rsidR="009A5206" w:rsidRDefault="000F42D9">
            <w:pPr>
              <w:jc w:val="center"/>
            </w:pPr>
            <w:r>
              <w:t>Male</w:t>
            </w:r>
          </w:p>
        </w:tc>
        <w:tc>
          <w:tcPr>
            <w:tcW w:w="1006" w:type="dxa"/>
            <w:shd w:val="clear" w:color="auto" w:fill="auto"/>
            <w:vAlign w:val="center"/>
          </w:tcPr>
          <w:p w:rsidR="009A5206" w:rsidRDefault="000F42D9">
            <w:pPr>
              <w:jc w:val="center"/>
            </w:pPr>
            <w:r>
              <w:t>3.433</w:t>
            </w:r>
          </w:p>
          <w:p w:rsidR="009A5206" w:rsidRDefault="000F42D9">
            <w:pPr>
              <w:jc w:val="center"/>
            </w:pPr>
            <w:r>
              <w:t>±0.05</w:t>
            </w:r>
          </w:p>
        </w:tc>
        <w:tc>
          <w:tcPr>
            <w:tcW w:w="1094" w:type="dxa"/>
            <w:shd w:val="clear" w:color="auto" w:fill="auto"/>
            <w:vAlign w:val="center"/>
          </w:tcPr>
          <w:p w:rsidR="009A5206" w:rsidRDefault="000F42D9">
            <w:pPr>
              <w:jc w:val="center"/>
            </w:pPr>
            <w:r>
              <w:t>2.850</w:t>
            </w:r>
          </w:p>
          <w:p w:rsidR="009A5206" w:rsidRDefault="000F42D9">
            <w:pPr>
              <w:jc w:val="center"/>
            </w:pPr>
            <w:r>
              <w:t>±0.05</w:t>
            </w:r>
          </w:p>
        </w:tc>
        <w:tc>
          <w:tcPr>
            <w:tcW w:w="1134" w:type="dxa"/>
            <w:shd w:val="clear" w:color="auto" w:fill="auto"/>
            <w:vAlign w:val="center"/>
          </w:tcPr>
          <w:p w:rsidR="009A5206" w:rsidRDefault="000F42D9">
            <w:pPr>
              <w:jc w:val="center"/>
            </w:pPr>
            <w:r>
              <w:t>3.233</w:t>
            </w:r>
          </w:p>
          <w:p w:rsidR="009A5206" w:rsidRDefault="000F42D9">
            <w:pPr>
              <w:jc w:val="center"/>
            </w:pPr>
            <w:r>
              <w:t>±0.08</w:t>
            </w:r>
          </w:p>
        </w:tc>
        <w:tc>
          <w:tcPr>
            <w:tcW w:w="1107" w:type="dxa"/>
            <w:shd w:val="clear" w:color="auto" w:fill="auto"/>
            <w:vAlign w:val="center"/>
          </w:tcPr>
          <w:p w:rsidR="009A5206" w:rsidRDefault="000F42D9">
            <w:pPr>
              <w:jc w:val="center"/>
            </w:pPr>
            <w:r>
              <w:t>3.172</w:t>
            </w:r>
          </w:p>
        </w:tc>
        <w:tc>
          <w:tcPr>
            <w:tcW w:w="994" w:type="dxa"/>
            <w:shd w:val="clear" w:color="auto" w:fill="auto"/>
            <w:vAlign w:val="center"/>
          </w:tcPr>
          <w:p w:rsidR="009A5206" w:rsidRDefault="000F42D9">
            <w:pPr>
              <w:jc w:val="center"/>
            </w:pPr>
            <w:r>
              <w:t>3.500</w:t>
            </w:r>
          </w:p>
          <w:p w:rsidR="009A5206" w:rsidRDefault="000F42D9">
            <w:pPr>
              <w:jc w:val="center"/>
            </w:pPr>
            <w:r>
              <w:t>±0.08</w:t>
            </w:r>
          </w:p>
        </w:tc>
        <w:tc>
          <w:tcPr>
            <w:tcW w:w="1160" w:type="dxa"/>
            <w:shd w:val="clear" w:color="auto" w:fill="auto"/>
            <w:vAlign w:val="center"/>
          </w:tcPr>
          <w:p w:rsidR="009A5206" w:rsidRDefault="000F42D9">
            <w:pPr>
              <w:jc w:val="center"/>
            </w:pPr>
            <w:r>
              <w:t>3.017</w:t>
            </w:r>
          </w:p>
          <w:p w:rsidR="009A5206" w:rsidRDefault="000F42D9">
            <w:pPr>
              <w:jc w:val="center"/>
            </w:pPr>
            <w:r>
              <w:t>±0.08</w:t>
            </w:r>
          </w:p>
        </w:tc>
        <w:tc>
          <w:tcPr>
            <w:tcW w:w="1179" w:type="dxa"/>
            <w:shd w:val="clear" w:color="auto" w:fill="auto"/>
            <w:vAlign w:val="center"/>
          </w:tcPr>
          <w:p w:rsidR="009A5206" w:rsidRDefault="000F42D9">
            <w:pPr>
              <w:jc w:val="center"/>
            </w:pPr>
            <w:r>
              <w:t>3.383</w:t>
            </w:r>
          </w:p>
          <w:p w:rsidR="009A5206" w:rsidRDefault="000F42D9">
            <w:pPr>
              <w:jc w:val="center"/>
            </w:pPr>
            <w:r>
              <w:t>±0.08</w:t>
            </w:r>
          </w:p>
        </w:tc>
        <w:tc>
          <w:tcPr>
            <w:tcW w:w="1089" w:type="dxa"/>
            <w:shd w:val="clear" w:color="auto" w:fill="auto"/>
            <w:vAlign w:val="center"/>
          </w:tcPr>
          <w:p w:rsidR="009A5206" w:rsidRDefault="000F42D9">
            <w:pPr>
              <w:jc w:val="center"/>
            </w:pPr>
            <w:r>
              <w:t>3.300</w:t>
            </w:r>
          </w:p>
        </w:tc>
      </w:tr>
      <w:tr w:rsidR="009A5206">
        <w:tc>
          <w:tcPr>
            <w:tcW w:w="973" w:type="dxa"/>
            <w:vMerge/>
            <w:shd w:val="clear" w:color="auto" w:fill="auto"/>
          </w:tcPr>
          <w:p w:rsidR="009A5206" w:rsidRDefault="009A5206">
            <w:pPr>
              <w:jc w:val="center"/>
              <w:rPr>
                <w:b/>
                <w:bCs/>
              </w:rPr>
            </w:pPr>
          </w:p>
        </w:tc>
        <w:tc>
          <w:tcPr>
            <w:tcW w:w="1006" w:type="dxa"/>
          </w:tcPr>
          <w:p w:rsidR="009A5206" w:rsidRDefault="000F42D9">
            <w:pPr>
              <w:jc w:val="center"/>
            </w:pPr>
            <w:r>
              <w:t>Female</w:t>
            </w:r>
          </w:p>
        </w:tc>
        <w:tc>
          <w:tcPr>
            <w:tcW w:w="1006" w:type="dxa"/>
            <w:shd w:val="clear" w:color="auto" w:fill="auto"/>
            <w:vAlign w:val="center"/>
          </w:tcPr>
          <w:p w:rsidR="009A5206" w:rsidRDefault="000F42D9">
            <w:pPr>
              <w:jc w:val="center"/>
            </w:pPr>
            <w:r>
              <w:t>3.517</w:t>
            </w:r>
          </w:p>
          <w:p w:rsidR="009A5206" w:rsidRDefault="000F42D9">
            <w:pPr>
              <w:jc w:val="center"/>
            </w:pPr>
            <w:r>
              <w:t>±0.04</w:t>
            </w:r>
          </w:p>
        </w:tc>
        <w:tc>
          <w:tcPr>
            <w:tcW w:w="1094" w:type="dxa"/>
            <w:shd w:val="clear" w:color="auto" w:fill="auto"/>
            <w:vAlign w:val="center"/>
          </w:tcPr>
          <w:p w:rsidR="009A5206" w:rsidRDefault="000F42D9">
            <w:pPr>
              <w:jc w:val="center"/>
            </w:pPr>
            <w:r>
              <w:t>3.100</w:t>
            </w:r>
          </w:p>
          <w:p w:rsidR="009A5206" w:rsidRDefault="000F42D9">
            <w:pPr>
              <w:jc w:val="center"/>
            </w:pPr>
            <w:r>
              <w:t>±0.11</w:t>
            </w:r>
          </w:p>
        </w:tc>
        <w:tc>
          <w:tcPr>
            <w:tcW w:w="1134" w:type="dxa"/>
            <w:shd w:val="clear" w:color="auto" w:fill="auto"/>
            <w:vAlign w:val="center"/>
          </w:tcPr>
          <w:p w:rsidR="009A5206" w:rsidRDefault="000F42D9">
            <w:pPr>
              <w:jc w:val="center"/>
            </w:pPr>
            <w:r>
              <w:t>3.367</w:t>
            </w:r>
          </w:p>
          <w:p w:rsidR="009A5206" w:rsidRDefault="000F42D9">
            <w:pPr>
              <w:jc w:val="center"/>
            </w:pPr>
            <w:r>
              <w:t>±0.08</w:t>
            </w:r>
          </w:p>
        </w:tc>
        <w:tc>
          <w:tcPr>
            <w:tcW w:w="1107" w:type="dxa"/>
            <w:shd w:val="clear" w:color="auto" w:fill="auto"/>
            <w:vAlign w:val="center"/>
          </w:tcPr>
          <w:p w:rsidR="009A5206" w:rsidRDefault="000F42D9">
            <w:pPr>
              <w:jc w:val="center"/>
            </w:pPr>
            <w:r>
              <w:t>3.328</w:t>
            </w:r>
          </w:p>
        </w:tc>
        <w:tc>
          <w:tcPr>
            <w:tcW w:w="994" w:type="dxa"/>
            <w:shd w:val="clear" w:color="auto" w:fill="auto"/>
            <w:vAlign w:val="center"/>
          </w:tcPr>
          <w:p w:rsidR="009A5206" w:rsidRDefault="000F42D9">
            <w:pPr>
              <w:jc w:val="center"/>
            </w:pPr>
            <w:r>
              <w:t>3.800</w:t>
            </w:r>
          </w:p>
          <w:p w:rsidR="009A5206" w:rsidRDefault="000F42D9">
            <w:pPr>
              <w:jc w:val="center"/>
            </w:pPr>
            <w:r>
              <w:t>±0.05</w:t>
            </w:r>
          </w:p>
        </w:tc>
        <w:tc>
          <w:tcPr>
            <w:tcW w:w="1160" w:type="dxa"/>
            <w:shd w:val="clear" w:color="auto" w:fill="auto"/>
            <w:vAlign w:val="center"/>
          </w:tcPr>
          <w:p w:rsidR="009A5206" w:rsidRDefault="000F42D9">
            <w:pPr>
              <w:jc w:val="center"/>
            </w:pPr>
            <w:r>
              <w:t>3.317</w:t>
            </w:r>
          </w:p>
          <w:p w:rsidR="009A5206" w:rsidRDefault="000F42D9">
            <w:pPr>
              <w:jc w:val="center"/>
            </w:pPr>
            <w:r>
              <w:t>±0.00</w:t>
            </w:r>
          </w:p>
        </w:tc>
        <w:tc>
          <w:tcPr>
            <w:tcW w:w="1179" w:type="dxa"/>
            <w:shd w:val="clear" w:color="auto" w:fill="auto"/>
            <w:vAlign w:val="center"/>
          </w:tcPr>
          <w:p w:rsidR="009A5206" w:rsidRDefault="000F42D9">
            <w:pPr>
              <w:jc w:val="center"/>
            </w:pPr>
            <w:r>
              <w:t>3.683</w:t>
            </w:r>
          </w:p>
          <w:p w:rsidR="009A5206" w:rsidRDefault="000F42D9">
            <w:pPr>
              <w:jc w:val="center"/>
            </w:pPr>
            <w:r>
              <w:t>±0.08</w:t>
            </w:r>
          </w:p>
        </w:tc>
        <w:tc>
          <w:tcPr>
            <w:tcW w:w="1089" w:type="dxa"/>
            <w:shd w:val="clear" w:color="auto" w:fill="auto"/>
            <w:vAlign w:val="center"/>
          </w:tcPr>
          <w:p w:rsidR="009A5206" w:rsidRDefault="000F42D9">
            <w:pPr>
              <w:jc w:val="center"/>
            </w:pPr>
            <w:r>
              <w:t>3.600</w:t>
            </w:r>
          </w:p>
        </w:tc>
      </w:tr>
      <w:tr w:rsidR="009A5206">
        <w:tc>
          <w:tcPr>
            <w:tcW w:w="973" w:type="dxa"/>
            <w:vMerge w:val="restart"/>
            <w:shd w:val="clear" w:color="auto" w:fill="auto"/>
          </w:tcPr>
          <w:p w:rsidR="009A5206" w:rsidRDefault="000F42D9">
            <w:pPr>
              <w:jc w:val="center"/>
              <w:rPr>
                <w:b/>
                <w:bCs/>
              </w:rPr>
            </w:pPr>
            <w:r>
              <w:rPr>
                <w:b/>
                <w:bCs/>
              </w:rPr>
              <w:t>C</w:t>
            </w:r>
            <w:r>
              <w:rPr>
                <w:b/>
                <w:bCs/>
                <w:vertAlign w:val="subscript"/>
              </w:rPr>
              <w:t>3</w:t>
            </w:r>
          </w:p>
        </w:tc>
        <w:tc>
          <w:tcPr>
            <w:tcW w:w="1006" w:type="dxa"/>
          </w:tcPr>
          <w:p w:rsidR="009A5206" w:rsidRDefault="000F42D9">
            <w:pPr>
              <w:jc w:val="center"/>
            </w:pPr>
            <w:r>
              <w:t>Male</w:t>
            </w:r>
          </w:p>
        </w:tc>
        <w:tc>
          <w:tcPr>
            <w:tcW w:w="1006" w:type="dxa"/>
            <w:shd w:val="clear" w:color="auto" w:fill="auto"/>
            <w:vAlign w:val="center"/>
          </w:tcPr>
          <w:p w:rsidR="009A5206" w:rsidRDefault="000F42D9">
            <w:pPr>
              <w:jc w:val="center"/>
            </w:pPr>
            <w:r>
              <w:t>3.300</w:t>
            </w:r>
          </w:p>
          <w:p w:rsidR="009A5206" w:rsidRDefault="000F42D9">
            <w:pPr>
              <w:jc w:val="center"/>
            </w:pPr>
            <w:r>
              <w:t>±0.11</w:t>
            </w:r>
          </w:p>
        </w:tc>
        <w:tc>
          <w:tcPr>
            <w:tcW w:w="1094" w:type="dxa"/>
            <w:shd w:val="clear" w:color="auto" w:fill="auto"/>
            <w:vAlign w:val="center"/>
          </w:tcPr>
          <w:p w:rsidR="009A5206" w:rsidRDefault="000F42D9">
            <w:pPr>
              <w:jc w:val="center"/>
            </w:pPr>
            <w:r>
              <w:t>3.152</w:t>
            </w:r>
          </w:p>
          <w:p w:rsidR="009A5206" w:rsidRDefault="000F42D9">
            <w:pPr>
              <w:jc w:val="center"/>
            </w:pPr>
            <w:r>
              <w:t>±0.09</w:t>
            </w:r>
          </w:p>
        </w:tc>
        <w:tc>
          <w:tcPr>
            <w:tcW w:w="1134" w:type="dxa"/>
            <w:shd w:val="clear" w:color="auto" w:fill="auto"/>
            <w:vAlign w:val="center"/>
          </w:tcPr>
          <w:p w:rsidR="009A5206" w:rsidRDefault="000F42D9">
            <w:pPr>
              <w:jc w:val="center"/>
            </w:pPr>
            <w:r>
              <w:t>3.253</w:t>
            </w:r>
          </w:p>
          <w:p w:rsidR="009A5206" w:rsidRDefault="000F42D9">
            <w:pPr>
              <w:jc w:val="center"/>
            </w:pPr>
            <w:r>
              <w:t>±0.05</w:t>
            </w:r>
          </w:p>
        </w:tc>
        <w:tc>
          <w:tcPr>
            <w:tcW w:w="1107" w:type="dxa"/>
            <w:shd w:val="clear" w:color="auto" w:fill="auto"/>
            <w:vAlign w:val="center"/>
          </w:tcPr>
          <w:p w:rsidR="009A5206" w:rsidRDefault="000F42D9">
            <w:pPr>
              <w:jc w:val="center"/>
            </w:pPr>
            <w:r>
              <w:t>3.235</w:t>
            </w:r>
          </w:p>
        </w:tc>
        <w:tc>
          <w:tcPr>
            <w:tcW w:w="994" w:type="dxa"/>
            <w:shd w:val="clear" w:color="auto" w:fill="auto"/>
            <w:vAlign w:val="center"/>
          </w:tcPr>
          <w:p w:rsidR="009A5206" w:rsidRDefault="000F42D9">
            <w:pPr>
              <w:jc w:val="center"/>
            </w:pPr>
            <w:r>
              <w:t>3.317</w:t>
            </w:r>
          </w:p>
          <w:p w:rsidR="009A5206" w:rsidRDefault="000F42D9">
            <w:pPr>
              <w:jc w:val="center"/>
            </w:pPr>
            <w:r>
              <w:t>±0.06</w:t>
            </w:r>
          </w:p>
        </w:tc>
        <w:tc>
          <w:tcPr>
            <w:tcW w:w="1160" w:type="dxa"/>
            <w:shd w:val="clear" w:color="auto" w:fill="auto"/>
            <w:vAlign w:val="center"/>
          </w:tcPr>
          <w:p w:rsidR="009A5206" w:rsidRDefault="000F42D9">
            <w:pPr>
              <w:jc w:val="center"/>
            </w:pPr>
            <w:r>
              <w:t>3.250</w:t>
            </w:r>
          </w:p>
          <w:p w:rsidR="009A5206" w:rsidRDefault="000F42D9">
            <w:pPr>
              <w:jc w:val="center"/>
            </w:pPr>
            <w:r>
              <w:t>±0.10</w:t>
            </w:r>
          </w:p>
        </w:tc>
        <w:tc>
          <w:tcPr>
            <w:tcW w:w="1179" w:type="dxa"/>
            <w:shd w:val="clear" w:color="auto" w:fill="auto"/>
            <w:vAlign w:val="center"/>
          </w:tcPr>
          <w:p w:rsidR="009A5206" w:rsidRDefault="000F42D9">
            <w:pPr>
              <w:jc w:val="center"/>
            </w:pPr>
            <w:r>
              <w:t>3.383</w:t>
            </w:r>
          </w:p>
          <w:p w:rsidR="009A5206" w:rsidRDefault="000F42D9">
            <w:pPr>
              <w:jc w:val="center"/>
            </w:pPr>
            <w:r>
              <w:t>±0.12</w:t>
            </w:r>
          </w:p>
        </w:tc>
        <w:tc>
          <w:tcPr>
            <w:tcW w:w="1089" w:type="dxa"/>
            <w:shd w:val="clear" w:color="auto" w:fill="auto"/>
            <w:vAlign w:val="center"/>
          </w:tcPr>
          <w:p w:rsidR="009A5206" w:rsidRDefault="000F42D9">
            <w:pPr>
              <w:jc w:val="center"/>
            </w:pPr>
            <w:r>
              <w:t>3.317</w:t>
            </w:r>
          </w:p>
        </w:tc>
      </w:tr>
      <w:tr w:rsidR="009A5206">
        <w:tc>
          <w:tcPr>
            <w:tcW w:w="973" w:type="dxa"/>
            <w:vMerge/>
            <w:shd w:val="clear" w:color="auto" w:fill="auto"/>
          </w:tcPr>
          <w:p w:rsidR="009A5206" w:rsidRDefault="009A5206">
            <w:pPr>
              <w:jc w:val="center"/>
              <w:rPr>
                <w:b/>
                <w:bCs/>
              </w:rPr>
            </w:pPr>
          </w:p>
        </w:tc>
        <w:tc>
          <w:tcPr>
            <w:tcW w:w="1006" w:type="dxa"/>
          </w:tcPr>
          <w:p w:rsidR="009A5206" w:rsidRDefault="000F42D9">
            <w:pPr>
              <w:jc w:val="center"/>
            </w:pPr>
            <w:r>
              <w:t>Female</w:t>
            </w:r>
          </w:p>
        </w:tc>
        <w:tc>
          <w:tcPr>
            <w:tcW w:w="1006" w:type="dxa"/>
            <w:shd w:val="clear" w:color="auto" w:fill="auto"/>
            <w:vAlign w:val="center"/>
          </w:tcPr>
          <w:p w:rsidR="009A5206" w:rsidRDefault="000F42D9">
            <w:pPr>
              <w:jc w:val="center"/>
            </w:pPr>
            <w:r>
              <w:t>3.420</w:t>
            </w:r>
          </w:p>
          <w:p w:rsidR="009A5206" w:rsidRDefault="000F42D9">
            <w:pPr>
              <w:jc w:val="center"/>
            </w:pPr>
            <w:r>
              <w:t>±0.13</w:t>
            </w:r>
          </w:p>
        </w:tc>
        <w:tc>
          <w:tcPr>
            <w:tcW w:w="1094" w:type="dxa"/>
            <w:shd w:val="clear" w:color="auto" w:fill="auto"/>
            <w:vAlign w:val="center"/>
          </w:tcPr>
          <w:p w:rsidR="009A5206" w:rsidRDefault="000F42D9">
            <w:pPr>
              <w:jc w:val="center"/>
            </w:pPr>
            <w:r>
              <w:t>3.267</w:t>
            </w:r>
          </w:p>
          <w:p w:rsidR="009A5206" w:rsidRDefault="000F42D9">
            <w:pPr>
              <w:jc w:val="center"/>
            </w:pPr>
            <w:r>
              <w:t>±0.02</w:t>
            </w:r>
          </w:p>
        </w:tc>
        <w:tc>
          <w:tcPr>
            <w:tcW w:w="1134" w:type="dxa"/>
            <w:shd w:val="clear" w:color="auto" w:fill="auto"/>
            <w:vAlign w:val="center"/>
          </w:tcPr>
          <w:p w:rsidR="009A5206" w:rsidRDefault="000F42D9">
            <w:pPr>
              <w:jc w:val="center"/>
            </w:pPr>
            <w:r>
              <w:t>3.343</w:t>
            </w:r>
          </w:p>
          <w:p w:rsidR="009A5206" w:rsidRDefault="000F42D9">
            <w:pPr>
              <w:jc w:val="center"/>
            </w:pPr>
            <w:r>
              <w:t>±0.02</w:t>
            </w:r>
          </w:p>
        </w:tc>
        <w:tc>
          <w:tcPr>
            <w:tcW w:w="1107" w:type="dxa"/>
            <w:shd w:val="clear" w:color="auto" w:fill="auto"/>
            <w:vAlign w:val="center"/>
          </w:tcPr>
          <w:p w:rsidR="009A5206" w:rsidRDefault="000F42D9">
            <w:pPr>
              <w:jc w:val="center"/>
            </w:pPr>
            <w:r>
              <w:t>3.343</w:t>
            </w:r>
          </w:p>
        </w:tc>
        <w:tc>
          <w:tcPr>
            <w:tcW w:w="994" w:type="dxa"/>
            <w:shd w:val="clear" w:color="auto" w:fill="auto"/>
            <w:vAlign w:val="center"/>
          </w:tcPr>
          <w:p w:rsidR="009A5206" w:rsidRDefault="000F42D9">
            <w:pPr>
              <w:jc w:val="center"/>
            </w:pPr>
            <w:r>
              <w:t>3.617</w:t>
            </w:r>
          </w:p>
          <w:p w:rsidR="009A5206" w:rsidRDefault="000F42D9">
            <w:pPr>
              <w:jc w:val="center"/>
            </w:pPr>
            <w:r>
              <w:t>±0.06</w:t>
            </w:r>
          </w:p>
        </w:tc>
        <w:tc>
          <w:tcPr>
            <w:tcW w:w="1160" w:type="dxa"/>
            <w:shd w:val="clear" w:color="auto" w:fill="auto"/>
            <w:vAlign w:val="center"/>
          </w:tcPr>
          <w:p w:rsidR="009A5206" w:rsidRDefault="000F42D9">
            <w:pPr>
              <w:jc w:val="center"/>
            </w:pPr>
            <w:r>
              <w:t>3.550</w:t>
            </w:r>
          </w:p>
          <w:p w:rsidR="009A5206" w:rsidRDefault="000F42D9">
            <w:pPr>
              <w:jc w:val="center"/>
            </w:pPr>
            <w:r>
              <w:t>±0.10</w:t>
            </w:r>
          </w:p>
        </w:tc>
        <w:tc>
          <w:tcPr>
            <w:tcW w:w="1179" w:type="dxa"/>
            <w:shd w:val="clear" w:color="auto" w:fill="auto"/>
            <w:vAlign w:val="center"/>
          </w:tcPr>
          <w:p w:rsidR="009A5206" w:rsidRDefault="000F42D9">
            <w:pPr>
              <w:jc w:val="center"/>
            </w:pPr>
            <w:r>
              <w:t>3.683</w:t>
            </w:r>
          </w:p>
          <w:p w:rsidR="009A5206" w:rsidRDefault="000F42D9">
            <w:pPr>
              <w:jc w:val="center"/>
            </w:pPr>
            <w:r>
              <w:t>±0.12</w:t>
            </w:r>
          </w:p>
        </w:tc>
        <w:tc>
          <w:tcPr>
            <w:tcW w:w="1089" w:type="dxa"/>
            <w:shd w:val="clear" w:color="auto" w:fill="auto"/>
            <w:vAlign w:val="center"/>
          </w:tcPr>
          <w:p w:rsidR="009A5206" w:rsidRDefault="000F42D9">
            <w:pPr>
              <w:jc w:val="center"/>
            </w:pPr>
            <w:r>
              <w:t>3.617</w:t>
            </w:r>
          </w:p>
        </w:tc>
      </w:tr>
      <w:tr w:rsidR="009A5206">
        <w:tc>
          <w:tcPr>
            <w:tcW w:w="973" w:type="dxa"/>
            <w:vMerge w:val="restart"/>
            <w:shd w:val="clear" w:color="auto" w:fill="auto"/>
          </w:tcPr>
          <w:p w:rsidR="009A5206" w:rsidRDefault="000F42D9">
            <w:pPr>
              <w:jc w:val="center"/>
              <w:rPr>
                <w:b/>
                <w:bCs/>
              </w:rPr>
            </w:pPr>
            <w:r>
              <w:rPr>
                <w:b/>
                <w:bCs/>
              </w:rPr>
              <w:t>C</w:t>
            </w:r>
            <w:r>
              <w:rPr>
                <w:b/>
                <w:bCs/>
                <w:vertAlign w:val="subscript"/>
              </w:rPr>
              <w:t>4</w:t>
            </w:r>
          </w:p>
        </w:tc>
        <w:tc>
          <w:tcPr>
            <w:tcW w:w="1006" w:type="dxa"/>
          </w:tcPr>
          <w:p w:rsidR="009A5206" w:rsidRDefault="000F42D9">
            <w:pPr>
              <w:jc w:val="center"/>
            </w:pPr>
            <w:r>
              <w:t>Male</w:t>
            </w:r>
          </w:p>
        </w:tc>
        <w:tc>
          <w:tcPr>
            <w:tcW w:w="1006" w:type="dxa"/>
            <w:shd w:val="clear" w:color="auto" w:fill="auto"/>
            <w:vAlign w:val="center"/>
          </w:tcPr>
          <w:p w:rsidR="009A5206" w:rsidRDefault="000F42D9">
            <w:pPr>
              <w:jc w:val="center"/>
            </w:pPr>
            <w:r>
              <w:t>3.433</w:t>
            </w:r>
          </w:p>
          <w:p w:rsidR="009A5206" w:rsidRDefault="000F42D9">
            <w:pPr>
              <w:jc w:val="center"/>
            </w:pPr>
            <w:r>
              <w:t>±0.05</w:t>
            </w:r>
          </w:p>
        </w:tc>
        <w:tc>
          <w:tcPr>
            <w:tcW w:w="1094" w:type="dxa"/>
            <w:shd w:val="clear" w:color="auto" w:fill="auto"/>
            <w:vAlign w:val="center"/>
          </w:tcPr>
          <w:p w:rsidR="009A5206" w:rsidRDefault="000F42D9">
            <w:pPr>
              <w:jc w:val="center"/>
            </w:pPr>
            <w:r>
              <w:t>2.850</w:t>
            </w:r>
          </w:p>
          <w:p w:rsidR="009A5206" w:rsidRDefault="000F42D9">
            <w:pPr>
              <w:jc w:val="center"/>
            </w:pPr>
            <w:r>
              <w:t>±0.05</w:t>
            </w:r>
          </w:p>
        </w:tc>
        <w:tc>
          <w:tcPr>
            <w:tcW w:w="1134" w:type="dxa"/>
            <w:shd w:val="clear" w:color="auto" w:fill="auto"/>
            <w:vAlign w:val="center"/>
          </w:tcPr>
          <w:p w:rsidR="009A5206" w:rsidRDefault="000F42D9">
            <w:pPr>
              <w:jc w:val="center"/>
            </w:pPr>
            <w:r>
              <w:t>3.150</w:t>
            </w:r>
          </w:p>
          <w:p w:rsidR="009A5206" w:rsidRDefault="000F42D9">
            <w:pPr>
              <w:jc w:val="center"/>
            </w:pPr>
            <w:r>
              <w:t>±0.10</w:t>
            </w:r>
          </w:p>
        </w:tc>
        <w:tc>
          <w:tcPr>
            <w:tcW w:w="1107" w:type="dxa"/>
            <w:shd w:val="clear" w:color="auto" w:fill="auto"/>
            <w:vAlign w:val="center"/>
          </w:tcPr>
          <w:p w:rsidR="009A5206" w:rsidRDefault="000F42D9">
            <w:pPr>
              <w:jc w:val="center"/>
            </w:pPr>
            <w:r>
              <w:t>3.144</w:t>
            </w:r>
          </w:p>
        </w:tc>
        <w:tc>
          <w:tcPr>
            <w:tcW w:w="994" w:type="dxa"/>
            <w:shd w:val="clear" w:color="auto" w:fill="auto"/>
            <w:vAlign w:val="center"/>
          </w:tcPr>
          <w:p w:rsidR="009A5206" w:rsidRDefault="000F42D9">
            <w:pPr>
              <w:jc w:val="center"/>
            </w:pPr>
            <w:r>
              <w:t>3.467</w:t>
            </w:r>
          </w:p>
          <w:p w:rsidR="009A5206" w:rsidRDefault="000F42D9">
            <w:pPr>
              <w:jc w:val="center"/>
            </w:pPr>
            <w:r>
              <w:t>±0.12</w:t>
            </w:r>
          </w:p>
        </w:tc>
        <w:tc>
          <w:tcPr>
            <w:tcW w:w="1160" w:type="dxa"/>
            <w:shd w:val="clear" w:color="auto" w:fill="auto"/>
            <w:vAlign w:val="center"/>
          </w:tcPr>
          <w:p w:rsidR="009A5206" w:rsidRDefault="000F42D9">
            <w:pPr>
              <w:jc w:val="center"/>
            </w:pPr>
            <w:r>
              <w:t>2.850</w:t>
            </w:r>
          </w:p>
          <w:p w:rsidR="009A5206" w:rsidRDefault="000F42D9">
            <w:pPr>
              <w:jc w:val="center"/>
            </w:pPr>
            <w:r>
              <w:t>±0.18</w:t>
            </w:r>
          </w:p>
        </w:tc>
        <w:tc>
          <w:tcPr>
            <w:tcW w:w="1179" w:type="dxa"/>
            <w:shd w:val="clear" w:color="auto" w:fill="auto"/>
            <w:vAlign w:val="center"/>
          </w:tcPr>
          <w:p w:rsidR="009A5206" w:rsidRDefault="000F42D9">
            <w:pPr>
              <w:jc w:val="center"/>
            </w:pPr>
            <w:r>
              <w:t>3.317</w:t>
            </w:r>
          </w:p>
          <w:p w:rsidR="009A5206" w:rsidRDefault="000F42D9">
            <w:pPr>
              <w:jc w:val="center"/>
            </w:pPr>
            <w:r>
              <w:t>±0.12</w:t>
            </w:r>
          </w:p>
        </w:tc>
        <w:tc>
          <w:tcPr>
            <w:tcW w:w="1089" w:type="dxa"/>
            <w:shd w:val="clear" w:color="auto" w:fill="auto"/>
            <w:vAlign w:val="center"/>
          </w:tcPr>
          <w:p w:rsidR="009A5206" w:rsidRDefault="000F42D9">
            <w:pPr>
              <w:jc w:val="center"/>
            </w:pPr>
            <w:r>
              <w:t>3.211</w:t>
            </w:r>
          </w:p>
        </w:tc>
      </w:tr>
      <w:tr w:rsidR="009A5206">
        <w:tc>
          <w:tcPr>
            <w:tcW w:w="973" w:type="dxa"/>
            <w:vMerge/>
            <w:shd w:val="clear" w:color="auto" w:fill="auto"/>
          </w:tcPr>
          <w:p w:rsidR="009A5206" w:rsidRDefault="009A5206">
            <w:pPr>
              <w:jc w:val="center"/>
              <w:rPr>
                <w:b/>
                <w:bCs/>
              </w:rPr>
            </w:pPr>
          </w:p>
        </w:tc>
        <w:tc>
          <w:tcPr>
            <w:tcW w:w="1006" w:type="dxa"/>
          </w:tcPr>
          <w:p w:rsidR="009A5206" w:rsidRDefault="000F42D9">
            <w:pPr>
              <w:jc w:val="center"/>
            </w:pPr>
            <w:r>
              <w:t>Female</w:t>
            </w:r>
          </w:p>
        </w:tc>
        <w:tc>
          <w:tcPr>
            <w:tcW w:w="1006" w:type="dxa"/>
            <w:shd w:val="clear" w:color="auto" w:fill="auto"/>
            <w:vAlign w:val="center"/>
          </w:tcPr>
          <w:p w:rsidR="009A5206" w:rsidRDefault="000F42D9">
            <w:pPr>
              <w:jc w:val="center"/>
            </w:pPr>
            <w:r>
              <w:t>3.500</w:t>
            </w:r>
          </w:p>
          <w:p w:rsidR="009A5206" w:rsidRDefault="000F42D9">
            <w:pPr>
              <w:jc w:val="center"/>
            </w:pPr>
            <w:r>
              <w:t>±0.00</w:t>
            </w:r>
          </w:p>
        </w:tc>
        <w:tc>
          <w:tcPr>
            <w:tcW w:w="1094" w:type="dxa"/>
            <w:shd w:val="clear" w:color="auto" w:fill="auto"/>
            <w:vAlign w:val="center"/>
          </w:tcPr>
          <w:p w:rsidR="009A5206" w:rsidRDefault="000F42D9">
            <w:pPr>
              <w:jc w:val="center"/>
            </w:pPr>
            <w:r>
              <w:t>2.917</w:t>
            </w:r>
          </w:p>
          <w:p w:rsidR="009A5206" w:rsidRDefault="000F42D9">
            <w:pPr>
              <w:jc w:val="center"/>
            </w:pPr>
            <w:r>
              <w:t>±0.08</w:t>
            </w:r>
          </w:p>
        </w:tc>
        <w:tc>
          <w:tcPr>
            <w:tcW w:w="1134" w:type="dxa"/>
            <w:shd w:val="clear" w:color="auto" w:fill="auto"/>
            <w:vAlign w:val="center"/>
          </w:tcPr>
          <w:p w:rsidR="009A5206" w:rsidRDefault="000F42D9">
            <w:pPr>
              <w:jc w:val="center"/>
            </w:pPr>
            <w:r>
              <w:t>3.300</w:t>
            </w:r>
          </w:p>
          <w:p w:rsidR="009A5206" w:rsidRDefault="000F42D9">
            <w:pPr>
              <w:jc w:val="center"/>
            </w:pPr>
            <w:r>
              <w:t>±0.11</w:t>
            </w:r>
          </w:p>
        </w:tc>
        <w:tc>
          <w:tcPr>
            <w:tcW w:w="1107" w:type="dxa"/>
            <w:shd w:val="clear" w:color="auto" w:fill="auto"/>
            <w:vAlign w:val="center"/>
          </w:tcPr>
          <w:p w:rsidR="009A5206" w:rsidRDefault="000F42D9">
            <w:pPr>
              <w:jc w:val="center"/>
            </w:pPr>
            <w:r>
              <w:t>3.239</w:t>
            </w:r>
          </w:p>
        </w:tc>
        <w:tc>
          <w:tcPr>
            <w:tcW w:w="994" w:type="dxa"/>
            <w:shd w:val="clear" w:color="auto" w:fill="auto"/>
            <w:vAlign w:val="center"/>
          </w:tcPr>
          <w:p w:rsidR="009A5206" w:rsidRDefault="000F42D9">
            <w:pPr>
              <w:jc w:val="center"/>
            </w:pPr>
            <w:r>
              <w:t>3.767</w:t>
            </w:r>
          </w:p>
          <w:p w:rsidR="009A5206" w:rsidRDefault="000F42D9">
            <w:pPr>
              <w:jc w:val="center"/>
            </w:pPr>
            <w:r>
              <w:t>±0.12</w:t>
            </w:r>
          </w:p>
        </w:tc>
        <w:tc>
          <w:tcPr>
            <w:tcW w:w="1160" w:type="dxa"/>
            <w:shd w:val="clear" w:color="auto" w:fill="auto"/>
            <w:vAlign w:val="center"/>
          </w:tcPr>
          <w:p w:rsidR="009A5206" w:rsidRDefault="000F42D9">
            <w:pPr>
              <w:jc w:val="center"/>
            </w:pPr>
            <w:r>
              <w:t>3.150</w:t>
            </w:r>
          </w:p>
          <w:p w:rsidR="009A5206" w:rsidRDefault="000F42D9">
            <w:pPr>
              <w:jc w:val="center"/>
            </w:pPr>
            <w:r>
              <w:t>±0.18</w:t>
            </w:r>
          </w:p>
        </w:tc>
        <w:tc>
          <w:tcPr>
            <w:tcW w:w="1179" w:type="dxa"/>
            <w:shd w:val="clear" w:color="auto" w:fill="auto"/>
            <w:vAlign w:val="center"/>
          </w:tcPr>
          <w:p w:rsidR="009A5206" w:rsidRDefault="000F42D9">
            <w:pPr>
              <w:jc w:val="center"/>
            </w:pPr>
            <w:r>
              <w:t>3.617</w:t>
            </w:r>
          </w:p>
          <w:p w:rsidR="009A5206" w:rsidRDefault="000F42D9">
            <w:pPr>
              <w:jc w:val="center"/>
            </w:pPr>
            <w:r>
              <w:t>±0.12</w:t>
            </w:r>
          </w:p>
        </w:tc>
        <w:tc>
          <w:tcPr>
            <w:tcW w:w="1089" w:type="dxa"/>
            <w:shd w:val="clear" w:color="auto" w:fill="auto"/>
            <w:vAlign w:val="center"/>
          </w:tcPr>
          <w:p w:rsidR="009A5206" w:rsidRDefault="000F42D9">
            <w:pPr>
              <w:jc w:val="center"/>
            </w:pPr>
            <w:r>
              <w:t>3.511</w:t>
            </w:r>
          </w:p>
        </w:tc>
      </w:tr>
      <w:tr w:rsidR="009A5206">
        <w:tc>
          <w:tcPr>
            <w:tcW w:w="973" w:type="dxa"/>
            <w:vMerge w:val="restart"/>
            <w:shd w:val="clear" w:color="auto" w:fill="auto"/>
          </w:tcPr>
          <w:p w:rsidR="009A5206" w:rsidRDefault="000F42D9">
            <w:pPr>
              <w:jc w:val="center"/>
              <w:rPr>
                <w:b/>
                <w:bCs/>
              </w:rPr>
            </w:pPr>
            <w:r>
              <w:rPr>
                <w:b/>
                <w:bCs/>
              </w:rPr>
              <w:t>Mean</w:t>
            </w:r>
          </w:p>
        </w:tc>
        <w:tc>
          <w:tcPr>
            <w:tcW w:w="1006" w:type="dxa"/>
          </w:tcPr>
          <w:p w:rsidR="009A5206" w:rsidRDefault="000F42D9">
            <w:pPr>
              <w:jc w:val="center"/>
            </w:pPr>
            <w:r>
              <w:t>Male</w:t>
            </w:r>
          </w:p>
        </w:tc>
        <w:tc>
          <w:tcPr>
            <w:tcW w:w="1006" w:type="dxa"/>
            <w:shd w:val="clear" w:color="auto" w:fill="auto"/>
            <w:vAlign w:val="center"/>
          </w:tcPr>
          <w:p w:rsidR="009A5206" w:rsidRDefault="000F42D9">
            <w:pPr>
              <w:jc w:val="center"/>
            </w:pPr>
            <w:r>
              <w:t>3.358</w:t>
            </w:r>
          </w:p>
        </w:tc>
        <w:tc>
          <w:tcPr>
            <w:tcW w:w="1094" w:type="dxa"/>
            <w:shd w:val="clear" w:color="auto" w:fill="auto"/>
            <w:vAlign w:val="center"/>
          </w:tcPr>
          <w:p w:rsidR="009A5206" w:rsidRDefault="000F42D9">
            <w:pPr>
              <w:jc w:val="center"/>
            </w:pPr>
            <w:r>
              <w:t>2.888</w:t>
            </w:r>
          </w:p>
        </w:tc>
        <w:tc>
          <w:tcPr>
            <w:tcW w:w="1134" w:type="dxa"/>
            <w:shd w:val="clear" w:color="auto" w:fill="auto"/>
            <w:vAlign w:val="center"/>
          </w:tcPr>
          <w:p w:rsidR="009A5206" w:rsidRDefault="000F42D9">
            <w:pPr>
              <w:jc w:val="center"/>
            </w:pPr>
            <w:r>
              <w:t>3.201</w:t>
            </w:r>
          </w:p>
        </w:tc>
        <w:tc>
          <w:tcPr>
            <w:tcW w:w="1107" w:type="dxa"/>
            <w:shd w:val="clear" w:color="auto" w:fill="auto"/>
            <w:vAlign w:val="center"/>
          </w:tcPr>
          <w:p w:rsidR="009A5206" w:rsidRDefault="000F42D9">
            <w:pPr>
              <w:jc w:val="center"/>
            </w:pPr>
            <w:r>
              <w:t>3.149</w:t>
            </w:r>
          </w:p>
        </w:tc>
        <w:tc>
          <w:tcPr>
            <w:tcW w:w="994" w:type="dxa"/>
            <w:shd w:val="clear" w:color="auto" w:fill="auto"/>
            <w:vAlign w:val="center"/>
          </w:tcPr>
          <w:p w:rsidR="009A5206" w:rsidRDefault="000F42D9">
            <w:pPr>
              <w:jc w:val="center"/>
            </w:pPr>
            <w:r>
              <w:t>3.333</w:t>
            </w:r>
          </w:p>
        </w:tc>
        <w:tc>
          <w:tcPr>
            <w:tcW w:w="1160" w:type="dxa"/>
            <w:shd w:val="clear" w:color="auto" w:fill="auto"/>
            <w:vAlign w:val="center"/>
          </w:tcPr>
          <w:p w:rsidR="009A5206" w:rsidRDefault="000F42D9">
            <w:pPr>
              <w:jc w:val="center"/>
            </w:pPr>
            <w:r>
              <w:t>2.975</w:t>
            </w:r>
          </w:p>
        </w:tc>
        <w:tc>
          <w:tcPr>
            <w:tcW w:w="1179" w:type="dxa"/>
            <w:shd w:val="clear" w:color="auto" w:fill="auto"/>
            <w:vAlign w:val="center"/>
          </w:tcPr>
          <w:p w:rsidR="009A5206" w:rsidRDefault="000F42D9">
            <w:pPr>
              <w:jc w:val="center"/>
            </w:pPr>
            <w:r>
              <w:t>3.279</w:t>
            </w:r>
          </w:p>
        </w:tc>
        <w:tc>
          <w:tcPr>
            <w:tcW w:w="1089" w:type="dxa"/>
            <w:shd w:val="clear" w:color="auto" w:fill="auto"/>
            <w:vAlign w:val="center"/>
          </w:tcPr>
          <w:p w:rsidR="009A5206" w:rsidRDefault="000F42D9">
            <w:pPr>
              <w:jc w:val="center"/>
            </w:pPr>
            <w:r>
              <w:t>3.196</w:t>
            </w:r>
          </w:p>
        </w:tc>
      </w:tr>
      <w:tr w:rsidR="009A5206">
        <w:tc>
          <w:tcPr>
            <w:tcW w:w="973" w:type="dxa"/>
            <w:vMerge/>
            <w:shd w:val="clear" w:color="auto" w:fill="auto"/>
          </w:tcPr>
          <w:p w:rsidR="009A5206" w:rsidRDefault="009A5206">
            <w:pPr>
              <w:jc w:val="center"/>
              <w:rPr>
                <w:b/>
                <w:bCs/>
              </w:rPr>
            </w:pPr>
          </w:p>
        </w:tc>
        <w:tc>
          <w:tcPr>
            <w:tcW w:w="1006" w:type="dxa"/>
          </w:tcPr>
          <w:p w:rsidR="009A5206" w:rsidRDefault="000F42D9">
            <w:pPr>
              <w:jc w:val="center"/>
            </w:pPr>
            <w:r>
              <w:t>Female</w:t>
            </w:r>
          </w:p>
        </w:tc>
        <w:tc>
          <w:tcPr>
            <w:tcW w:w="1006" w:type="dxa"/>
            <w:shd w:val="clear" w:color="auto" w:fill="auto"/>
            <w:vAlign w:val="center"/>
          </w:tcPr>
          <w:p w:rsidR="009A5206" w:rsidRDefault="000F42D9">
            <w:pPr>
              <w:jc w:val="center"/>
            </w:pPr>
            <w:r>
              <w:t>3.468</w:t>
            </w:r>
          </w:p>
        </w:tc>
        <w:tc>
          <w:tcPr>
            <w:tcW w:w="1094" w:type="dxa"/>
            <w:shd w:val="clear" w:color="auto" w:fill="auto"/>
            <w:vAlign w:val="center"/>
          </w:tcPr>
          <w:p w:rsidR="009A5206" w:rsidRDefault="000F42D9">
            <w:pPr>
              <w:jc w:val="center"/>
            </w:pPr>
            <w:r>
              <w:t>3.096</w:t>
            </w:r>
          </w:p>
        </w:tc>
        <w:tc>
          <w:tcPr>
            <w:tcW w:w="1134" w:type="dxa"/>
            <w:shd w:val="clear" w:color="auto" w:fill="auto"/>
            <w:vAlign w:val="center"/>
          </w:tcPr>
          <w:p w:rsidR="009A5206" w:rsidRDefault="000F42D9">
            <w:pPr>
              <w:jc w:val="center"/>
            </w:pPr>
            <w:r>
              <w:t>3.336</w:t>
            </w:r>
          </w:p>
        </w:tc>
        <w:tc>
          <w:tcPr>
            <w:tcW w:w="1107" w:type="dxa"/>
            <w:shd w:val="clear" w:color="auto" w:fill="auto"/>
            <w:vAlign w:val="center"/>
          </w:tcPr>
          <w:p w:rsidR="009A5206" w:rsidRDefault="000F42D9">
            <w:pPr>
              <w:jc w:val="center"/>
            </w:pPr>
            <w:r>
              <w:t>3.300</w:t>
            </w:r>
          </w:p>
        </w:tc>
        <w:tc>
          <w:tcPr>
            <w:tcW w:w="994" w:type="dxa"/>
            <w:shd w:val="clear" w:color="auto" w:fill="auto"/>
            <w:vAlign w:val="center"/>
          </w:tcPr>
          <w:p w:rsidR="009A5206" w:rsidRDefault="000F42D9">
            <w:pPr>
              <w:jc w:val="center"/>
            </w:pPr>
            <w:r>
              <w:t>3.608</w:t>
            </w:r>
          </w:p>
        </w:tc>
        <w:tc>
          <w:tcPr>
            <w:tcW w:w="1160" w:type="dxa"/>
            <w:shd w:val="clear" w:color="auto" w:fill="auto"/>
            <w:vAlign w:val="center"/>
          </w:tcPr>
          <w:p w:rsidR="009A5206" w:rsidRDefault="000F42D9">
            <w:pPr>
              <w:jc w:val="center"/>
            </w:pPr>
            <w:r>
              <w:t>3.254</w:t>
            </w:r>
          </w:p>
        </w:tc>
        <w:tc>
          <w:tcPr>
            <w:tcW w:w="1179" w:type="dxa"/>
            <w:shd w:val="clear" w:color="auto" w:fill="auto"/>
            <w:vAlign w:val="center"/>
          </w:tcPr>
          <w:p w:rsidR="009A5206" w:rsidRDefault="000F42D9">
            <w:pPr>
              <w:jc w:val="center"/>
            </w:pPr>
            <w:r>
              <w:t>3.542</w:t>
            </w:r>
          </w:p>
        </w:tc>
        <w:tc>
          <w:tcPr>
            <w:tcW w:w="1089" w:type="dxa"/>
            <w:shd w:val="clear" w:color="auto" w:fill="auto"/>
            <w:vAlign w:val="center"/>
          </w:tcPr>
          <w:p w:rsidR="009A5206" w:rsidRDefault="000F42D9">
            <w:pPr>
              <w:jc w:val="center"/>
            </w:pPr>
            <w:r>
              <w:t>3.468</w:t>
            </w:r>
          </w:p>
        </w:tc>
      </w:tr>
    </w:tbl>
    <w:p w:rsidR="009A5206" w:rsidRDefault="009A5206">
      <w:pPr>
        <w:jc w:val="center"/>
        <w:rPr>
          <w:b/>
          <w:bCs/>
        </w:rPr>
      </w:pPr>
    </w:p>
    <w:p w:rsidR="009A5206" w:rsidRDefault="000F42D9">
      <w:pPr>
        <w:pStyle w:val="Default"/>
        <w:jc w:val="both"/>
        <w:rPr>
          <w:b/>
          <w:bCs/>
        </w:rPr>
      </w:pPr>
      <w:r>
        <w:rPr>
          <w:rFonts w:ascii="Times New Roman" w:hAnsi="Times New Roman" w:cs="Times New Roman"/>
        </w:rPr>
        <w:t xml:space="preserve">Each value represents Mean ± SD </w:t>
      </w:r>
      <w:proofErr w:type="spellStart"/>
      <w:r>
        <w:rPr>
          <w:rFonts w:ascii="Times New Roman" w:hAnsi="Times New Roman" w:cs="Times New Roman"/>
        </w:rPr>
        <w:t>i.e</w:t>
      </w:r>
      <w:proofErr w:type="spellEnd"/>
      <w:r>
        <w:rPr>
          <w:rFonts w:ascii="Times New Roman" w:hAnsi="Times New Roman" w:cs="Times New Roman"/>
        </w:rPr>
        <w:t xml:space="preserve"> pooled data of 6 ASRs, **Significant at 1% level, *Significant at 5% level, NS-Non-Significant</w:t>
      </w:r>
    </w:p>
    <w:p w:rsidR="009A5206" w:rsidRDefault="009A5206">
      <w:pPr>
        <w:jc w:val="center"/>
        <w:rPr>
          <w:b/>
          <w:bCs/>
        </w:rPr>
      </w:pPr>
    </w:p>
    <w:p w:rsidR="009A5206" w:rsidRDefault="000F42D9">
      <w:pPr>
        <w:rPr>
          <w:b/>
          <w:bCs/>
        </w:rPr>
      </w:pPr>
      <w:r>
        <w:rPr>
          <w:b/>
          <w:bCs/>
        </w:rPr>
        <w:t xml:space="preserve">Fig 1: Male and </w:t>
      </w:r>
      <w:r>
        <w:rPr>
          <w:b/>
          <w:bCs/>
        </w:rPr>
        <w:t xml:space="preserve">Female shell </w:t>
      </w:r>
      <w:proofErr w:type="spellStart"/>
      <w:r>
        <w:rPr>
          <w:b/>
          <w:bCs/>
        </w:rPr>
        <w:t>wt</w:t>
      </w:r>
      <w:proofErr w:type="spellEnd"/>
      <w:r>
        <w:rPr>
          <w:b/>
          <w:bCs/>
        </w:rPr>
        <w:t xml:space="preserve"> (g) of </w:t>
      </w:r>
      <w:proofErr w:type="spellStart"/>
      <w:r>
        <w:rPr>
          <w:b/>
          <w:bCs/>
        </w:rPr>
        <w:t>eri</w:t>
      </w:r>
      <w:proofErr w:type="spellEnd"/>
      <w:r>
        <w:rPr>
          <w:b/>
          <w:bCs/>
        </w:rPr>
        <w:t xml:space="preserve"> silkworm reared on primary and secondary host plants at Assam areas</w:t>
      </w:r>
    </w:p>
    <w:p w:rsidR="009A5206" w:rsidRDefault="000F42D9">
      <w:pPr>
        <w:rPr>
          <w:b/>
          <w:bCs/>
        </w:rPr>
      </w:pPr>
      <w:r>
        <w:rPr>
          <w:noProof/>
          <w:lang w:bidi="ar-SA"/>
        </w:rPr>
        <w:lastRenderedPageBreak/>
        <w:drawing>
          <wp:anchor distT="0" distB="0" distL="114300" distR="114300" simplePos="0" relativeHeight="251659264" behindDoc="0" locked="0" layoutInCell="1" allowOverlap="1">
            <wp:simplePos x="0" y="0"/>
            <wp:positionH relativeFrom="margin">
              <wp:posOffset>794385</wp:posOffset>
            </wp:positionH>
            <wp:positionV relativeFrom="margin">
              <wp:posOffset>-542925</wp:posOffset>
            </wp:positionV>
            <wp:extent cx="3780790" cy="243840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9A5206" w:rsidRDefault="009A5206">
      <w:pPr>
        <w:rPr>
          <w:b/>
          <w:bCs/>
        </w:rPr>
      </w:pPr>
    </w:p>
    <w:p w:rsidR="009A5206" w:rsidRDefault="009A5206">
      <w:pPr>
        <w:rPr>
          <w:b/>
          <w:bCs/>
        </w:rPr>
      </w:pPr>
    </w:p>
    <w:p w:rsidR="009A5206" w:rsidRDefault="009A5206">
      <w:pPr>
        <w:rPr>
          <w:b/>
          <w:bCs/>
        </w:rPr>
      </w:pPr>
    </w:p>
    <w:p w:rsidR="009A5206" w:rsidRDefault="009A5206">
      <w:pPr>
        <w:rPr>
          <w:b/>
          <w:bCs/>
        </w:rPr>
      </w:pPr>
    </w:p>
    <w:p w:rsidR="009A5206" w:rsidRDefault="009A5206">
      <w:pPr>
        <w:rPr>
          <w:b/>
          <w:bCs/>
        </w:rPr>
      </w:pPr>
    </w:p>
    <w:p w:rsidR="009A5206" w:rsidRDefault="009A5206">
      <w:pPr>
        <w:rPr>
          <w:b/>
          <w:bCs/>
        </w:rPr>
      </w:pPr>
    </w:p>
    <w:p w:rsidR="009A5206" w:rsidRDefault="009A5206">
      <w:pPr>
        <w:rPr>
          <w:b/>
          <w:bCs/>
        </w:rPr>
      </w:pPr>
    </w:p>
    <w:p w:rsidR="009A5206" w:rsidRDefault="009A5206">
      <w:pPr>
        <w:rPr>
          <w:b/>
          <w:bCs/>
        </w:rPr>
      </w:pPr>
    </w:p>
    <w:p w:rsidR="009A5206" w:rsidRDefault="009A5206">
      <w:pPr>
        <w:rPr>
          <w:b/>
          <w:bCs/>
        </w:rPr>
      </w:pPr>
    </w:p>
    <w:p w:rsidR="009A5206" w:rsidRDefault="009A5206">
      <w:pPr>
        <w:rPr>
          <w:b/>
          <w:bCs/>
        </w:rPr>
      </w:pPr>
    </w:p>
    <w:p w:rsidR="009A5206" w:rsidRDefault="009A5206">
      <w:pPr>
        <w:rPr>
          <w:b/>
          <w:bCs/>
        </w:rPr>
      </w:pPr>
    </w:p>
    <w:p w:rsidR="009A5206" w:rsidRDefault="000F42D9">
      <w:pPr>
        <w:rPr>
          <w:b/>
          <w:bCs/>
        </w:rPr>
      </w:pPr>
      <w:r>
        <w:rPr>
          <w:b/>
          <w:bCs/>
        </w:rPr>
        <w:t xml:space="preserve">Table 2: Male and Female pupal </w:t>
      </w:r>
      <w:proofErr w:type="spellStart"/>
      <w:r>
        <w:rPr>
          <w:b/>
          <w:bCs/>
        </w:rPr>
        <w:t>wt</w:t>
      </w:r>
      <w:proofErr w:type="spellEnd"/>
      <w:r>
        <w:rPr>
          <w:b/>
          <w:bCs/>
        </w:rPr>
        <w:t xml:space="preserve"> (g)</w:t>
      </w:r>
      <w:r>
        <w:t xml:space="preserve"> </w:t>
      </w:r>
      <w:r>
        <w:rPr>
          <w:b/>
          <w:bCs/>
        </w:rPr>
        <w:t xml:space="preserve">of </w:t>
      </w:r>
      <w:proofErr w:type="spellStart"/>
      <w:r>
        <w:rPr>
          <w:b/>
          <w:bCs/>
        </w:rPr>
        <w:t>eri</w:t>
      </w:r>
      <w:proofErr w:type="spellEnd"/>
      <w:r>
        <w:rPr>
          <w:b/>
          <w:bCs/>
        </w:rPr>
        <w:t xml:space="preserve"> silkworm reared on primary and secondary host plants at Assam areas</w:t>
      </w:r>
    </w:p>
    <w:tbl>
      <w:tblPr>
        <w:tblW w:w="10612"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006"/>
        <w:gridCol w:w="1006"/>
        <w:gridCol w:w="1094"/>
        <w:gridCol w:w="1134"/>
        <w:gridCol w:w="1107"/>
        <w:gridCol w:w="994"/>
        <w:gridCol w:w="1160"/>
        <w:gridCol w:w="1179"/>
        <w:gridCol w:w="1089"/>
      </w:tblGrid>
      <w:tr w:rsidR="009A5206">
        <w:trPr>
          <w:trHeight w:val="286"/>
        </w:trPr>
        <w:tc>
          <w:tcPr>
            <w:tcW w:w="843" w:type="dxa"/>
            <w:vMerge w:val="restart"/>
            <w:shd w:val="clear" w:color="auto" w:fill="auto"/>
          </w:tcPr>
          <w:p w:rsidR="009A5206" w:rsidRDefault="000F42D9">
            <w:pPr>
              <w:jc w:val="center"/>
              <w:rPr>
                <w:b/>
                <w:bCs/>
              </w:rPr>
            </w:pPr>
            <w:r>
              <w:rPr>
                <w:b/>
                <w:bCs/>
              </w:rPr>
              <w:t>Crops</w:t>
            </w:r>
          </w:p>
        </w:tc>
        <w:tc>
          <w:tcPr>
            <w:tcW w:w="1006" w:type="dxa"/>
            <w:vMerge w:val="restart"/>
          </w:tcPr>
          <w:p w:rsidR="009A5206" w:rsidRDefault="009A5206">
            <w:pPr>
              <w:jc w:val="center"/>
              <w:rPr>
                <w:b/>
                <w:bCs/>
              </w:rPr>
            </w:pPr>
          </w:p>
        </w:tc>
        <w:tc>
          <w:tcPr>
            <w:tcW w:w="4341" w:type="dxa"/>
            <w:gridSpan w:val="4"/>
            <w:shd w:val="clear" w:color="auto" w:fill="auto"/>
          </w:tcPr>
          <w:p w:rsidR="009A5206" w:rsidRDefault="000F42D9">
            <w:pPr>
              <w:jc w:val="center"/>
              <w:rPr>
                <w:b/>
                <w:bCs/>
              </w:rPr>
            </w:pPr>
            <w:r>
              <w:rPr>
                <w:b/>
                <w:bCs/>
              </w:rPr>
              <w:t>I Year</w:t>
            </w:r>
          </w:p>
        </w:tc>
        <w:tc>
          <w:tcPr>
            <w:tcW w:w="4422" w:type="dxa"/>
            <w:gridSpan w:val="4"/>
            <w:shd w:val="clear" w:color="auto" w:fill="auto"/>
          </w:tcPr>
          <w:p w:rsidR="009A5206" w:rsidRDefault="000F42D9">
            <w:pPr>
              <w:jc w:val="center"/>
              <w:rPr>
                <w:b/>
                <w:bCs/>
              </w:rPr>
            </w:pPr>
            <w:r>
              <w:rPr>
                <w:b/>
                <w:bCs/>
              </w:rPr>
              <w:t>II Year</w:t>
            </w:r>
          </w:p>
        </w:tc>
      </w:tr>
      <w:tr w:rsidR="009A5206">
        <w:trPr>
          <w:trHeight w:val="246"/>
        </w:trPr>
        <w:tc>
          <w:tcPr>
            <w:tcW w:w="843" w:type="dxa"/>
            <w:vMerge/>
            <w:shd w:val="clear" w:color="auto" w:fill="auto"/>
          </w:tcPr>
          <w:p w:rsidR="009A5206" w:rsidRDefault="009A5206">
            <w:pPr>
              <w:jc w:val="center"/>
              <w:rPr>
                <w:b/>
                <w:bCs/>
              </w:rPr>
            </w:pPr>
          </w:p>
        </w:tc>
        <w:tc>
          <w:tcPr>
            <w:tcW w:w="1006" w:type="dxa"/>
            <w:vMerge/>
          </w:tcPr>
          <w:p w:rsidR="009A5206" w:rsidRDefault="009A5206">
            <w:pPr>
              <w:jc w:val="center"/>
              <w:rPr>
                <w:b/>
                <w:bCs/>
              </w:rPr>
            </w:pPr>
          </w:p>
        </w:tc>
        <w:tc>
          <w:tcPr>
            <w:tcW w:w="1006" w:type="dxa"/>
            <w:shd w:val="clear" w:color="auto" w:fill="auto"/>
          </w:tcPr>
          <w:p w:rsidR="009A5206" w:rsidRDefault="000F42D9">
            <w:pPr>
              <w:jc w:val="center"/>
              <w:rPr>
                <w:b/>
                <w:bCs/>
              </w:rPr>
            </w:pPr>
            <w:r>
              <w:rPr>
                <w:b/>
                <w:bCs/>
              </w:rPr>
              <w:t>Castor</w:t>
            </w:r>
          </w:p>
        </w:tc>
        <w:tc>
          <w:tcPr>
            <w:tcW w:w="1094" w:type="dxa"/>
            <w:shd w:val="clear" w:color="auto" w:fill="auto"/>
          </w:tcPr>
          <w:p w:rsidR="009A5206" w:rsidRDefault="000F42D9">
            <w:pPr>
              <w:jc w:val="center"/>
              <w:rPr>
                <w:b/>
                <w:bCs/>
              </w:rPr>
            </w:pPr>
            <w:proofErr w:type="spellStart"/>
            <w:r>
              <w:rPr>
                <w:b/>
                <w:bCs/>
              </w:rPr>
              <w:t>Kesseru</w:t>
            </w:r>
            <w:proofErr w:type="spellEnd"/>
          </w:p>
        </w:tc>
        <w:tc>
          <w:tcPr>
            <w:tcW w:w="1134" w:type="dxa"/>
            <w:shd w:val="clear" w:color="auto" w:fill="auto"/>
          </w:tcPr>
          <w:p w:rsidR="009A5206" w:rsidRDefault="000F42D9">
            <w:pPr>
              <w:jc w:val="center"/>
              <w:rPr>
                <w:b/>
                <w:bCs/>
              </w:rPr>
            </w:pPr>
            <w:r>
              <w:rPr>
                <w:b/>
                <w:bCs/>
              </w:rPr>
              <w:t>Tapioca</w:t>
            </w:r>
          </w:p>
        </w:tc>
        <w:tc>
          <w:tcPr>
            <w:tcW w:w="1107" w:type="dxa"/>
            <w:shd w:val="clear" w:color="auto" w:fill="auto"/>
          </w:tcPr>
          <w:p w:rsidR="009A5206" w:rsidRDefault="000F42D9">
            <w:pPr>
              <w:jc w:val="center"/>
              <w:rPr>
                <w:b/>
                <w:bCs/>
              </w:rPr>
            </w:pPr>
            <w:r>
              <w:rPr>
                <w:b/>
                <w:bCs/>
              </w:rPr>
              <w:t>Mean</w:t>
            </w:r>
          </w:p>
        </w:tc>
        <w:tc>
          <w:tcPr>
            <w:tcW w:w="994" w:type="dxa"/>
            <w:shd w:val="clear" w:color="auto" w:fill="auto"/>
          </w:tcPr>
          <w:p w:rsidR="009A5206" w:rsidRDefault="000F42D9">
            <w:pPr>
              <w:jc w:val="center"/>
              <w:rPr>
                <w:b/>
                <w:bCs/>
              </w:rPr>
            </w:pPr>
            <w:r>
              <w:rPr>
                <w:b/>
                <w:bCs/>
              </w:rPr>
              <w:t>Castor</w:t>
            </w:r>
          </w:p>
        </w:tc>
        <w:tc>
          <w:tcPr>
            <w:tcW w:w="1160" w:type="dxa"/>
            <w:shd w:val="clear" w:color="auto" w:fill="auto"/>
          </w:tcPr>
          <w:p w:rsidR="009A5206" w:rsidRDefault="000F42D9">
            <w:pPr>
              <w:jc w:val="center"/>
              <w:rPr>
                <w:b/>
                <w:bCs/>
              </w:rPr>
            </w:pPr>
            <w:proofErr w:type="spellStart"/>
            <w:r>
              <w:rPr>
                <w:b/>
                <w:bCs/>
              </w:rPr>
              <w:t>Kesseru</w:t>
            </w:r>
            <w:proofErr w:type="spellEnd"/>
          </w:p>
        </w:tc>
        <w:tc>
          <w:tcPr>
            <w:tcW w:w="1179" w:type="dxa"/>
            <w:shd w:val="clear" w:color="auto" w:fill="auto"/>
          </w:tcPr>
          <w:p w:rsidR="009A5206" w:rsidRDefault="000F42D9">
            <w:pPr>
              <w:jc w:val="center"/>
              <w:rPr>
                <w:b/>
                <w:bCs/>
              </w:rPr>
            </w:pPr>
            <w:r>
              <w:rPr>
                <w:b/>
                <w:bCs/>
              </w:rPr>
              <w:t>Tapioca</w:t>
            </w:r>
          </w:p>
        </w:tc>
        <w:tc>
          <w:tcPr>
            <w:tcW w:w="1089" w:type="dxa"/>
            <w:shd w:val="clear" w:color="auto" w:fill="auto"/>
          </w:tcPr>
          <w:p w:rsidR="009A5206" w:rsidRDefault="000F42D9">
            <w:pPr>
              <w:jc w:val="center"/>
              <w:rPr>
                <w:b/>
                <w:bCs/>
              </w:rPr>
            </w:pPr>
            <w:r>
              <w:rPr>
                <w:b/>
                <w:bCs/>
              </w:rPr>
              <w:t>Mean</w:t>
            </w:r>
          </w:p>
        </w:tc>
      </w:tr>
      <w:tr w:rsidR="009A5206">
        <w:tc>
          <w:tcPr>
            <w:tcW w:w="843" w:type="dxa"/>
            <w:vMerge w:val="restart"/>
            <w:shd w:val="clear" w:color="auto" w:fill="auto"/>
          </w:tcPr>
          <w:p w:rsidR="009A5206" w:rsidRDefault="000F42D9">
            <w:pPr>
              <w:jc w:val="center"/>
              <w:rPr>
                <w:b/>
                <w:bCs/>
              </w:rPr>
            </w:pPr>
            <w:r>
              <w:rPr>
                <w:b/>
                <w:bCs/>
              </w:rPr>
              <w:t>C</w:t>
            </w:r>
            <w:r>
              <w:rPr>
                <w:b/>
                <w:bCs/>
                <w:vertAlign w:val="subscript"/>
              </w:rPr>
              <w:t>1</w:t>
            </w:r>
          </w:p>
        </w:tc>
        <w:tc>
          <w:tcPr>
            <w:tcW w:w="1006" w:type="dxa"/>
          </w:tcPr>
          <w:p w:rsidR="009A5206" w:rsidRDefault="000F42D9">
            <w:r>
              <w:t>Male</w:t>
            </w:r>
          </w:p>
        </w:tc>
        <w:tc>
          <w:tcPr>
            <w:tcW w:w="1006"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2.770</w:t>
            </w:r>
          </w:p>
          <w:p w:rsidR="009A5206" w:rsidRDefault="000F42D9">
            <w:pPr>
              <w:jc w:val="center"/>
            </w:pPr>
            <w:r>
              <w:t>±0.05</w:t>
            </w:r>
          </w:p>
        </w:tc>
        <w:tc>
          <w:tcPr>
            <w:tcW w:w="1094"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2.310</w:t>
            </w:r>
          </w:p>
          <w:p w:rsidR="009A5206" w:rsidRDefault="000F42D9">
            <w:pPr>
              <w:jc w:val="center"/>
            </w:pPr>
            <w:r>
              <w:t>±0.14</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2.700</w:t>
            </w:r>
          </w:p>
          <w:p w:rsidR="009A5206" w:rsidRDefault="000F42D9">
            <w:pPr>
              <w:jc w:val="center"/>
            </w:pPr>
            <w:r>
              <w:t>±0.12</w:t>
            </w:r>
          </w:p>
        </w:tc>
        <w:tc>
          <w:tcPr>
            <w:tcW w:w="1107"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2.593</w:t>
            </w:r>
          </w:p>
        </w:tc>
        <w:tc>
          <w:tcPr>
            <w:tcW w:w="994" w:type="dxa"/>
            <w:shd w:val="clear" w:color="auto" w:fill="auto"/>
            <w:vAlign w:val="center"/>
          </w:tcPr>
          <w:p w:rsidR="009A5206" w:rsidRDefault="000F42D9">
            <w:pPr>
              <w:jc w:val="center"/>
            </w:pPr>
            <w:r>
              <w:t>2.633</w:t>
            </w:r>
          </w:p>
          <w:p w:rsidR="009A5206" w:rsidRDefault="000F42D9">
            <w:pPr>
              <w:jc w:val="center"/>
            </w:pPr>
            <w:r>
              <w:t>±0.06</w:t>
            </w:r>
          </w:p>
        </w:tc>
        <w:tc>
          <w:tcPr>
            <w:tcW w:w="1160" w:type="dxa"/>
            <w:shd w:val="clear" w:color="auto" w:fill="auto"/>
            <w:vAlign w:val="center"/>
          </w:tcPr>
          <w:p w:rsidR="009A5206" w:rsidRDefault="000F42D9">
            <w:pPr>
              <w:jc w:val="center"/>
            </w:pPr>
            <w:r>
              <w:t>2.362</w:t>
            </w:r>
          </w:p>
          <w:p w:rsidR="009A5206" w:rsidRDefault="000F42D9">
            <w:pPr>
              <w:jc w:val="center"/>
            </w:pPr>
            <w:r>
              <w:t>±0.04</w:t>
            </w:r>
          </w:p>
        </w:tc>
        <w:tc>
          <w:tcPr>
            <w:tcW w:w="1179" w:type="dxa"/>
            <w:shd w:val="clear" w:color="auto" w:fill="auto"/>
            <w:vAlign w:val="center"/>
          </w:tcPr>
          <w:p w:rsidR="009A5206" w:rsidRDefault="000F42D9">
            <w:pPr>
              <w:jc w:val="center"/>
            </w:pPr>
            <w:r>
              <w:t>2.617</w:t>
            </w:r>
          </w:p>
          <w:p w:rsidR="009A5206" w:rsidRDefault="000F42D9">
            <w:pPr>
              <w:jc w:val="center"/>
            </w:pPr>
            <w:r>
              <w:t>±0.05</w:t>
            </w:r>
          </w:p>
        </w:tc>
        <w:tc>
          <w:tcPr>
            <w:tcW w:w="1089" w:type="dxa"/>
            <w:shd w:val="clear" w:color="auto" w:fill="auto"/>
            <w:vAlign w:val="center"/>
          </w:tcPr>
          <w:p w:rsidR="009A5206" w:rsidRDefault="000F42D9">
            <w:pPr>
              <w:jc w:val="center"/>
            </w:pPr>
            <w:r>
              <w:t>2.537</w:t>
            </w:r>
          </w:p>
        </w:tc>
      </w:tr>
      <w:tr w:rsidR="009A5206">
        <w:tc>
          <w:tcPr>
            <w:tcW w:w="843" w:type="dxa"/>
            <w:vMerge/>
            <w:shd w:val="clear" w:color="auto" w:fill="auto"/>
          </w:tcPr>
          <w:p w:rsidR="009A5206" w:rsidRDefault="009A5206">
            <w:pPr>
              <w:jc w:val="center"/>
              <w:rPr>
                <w:b/>
                <w:bCs/>
              </w:rPr>
            </w:pPr>
          </w:p>
        </w:tc>
        <w:tc>
          <w:tcPr>
            <w:tcW w:w="1006" w:type="dxa"/>
          </w:tcPr>
          <w:p w:rsidR="009A5206" w:rsidRDefault="000F42D9">
            <w:r>
              <w:t>Female</w:t>
            </w:r>
          </w:p>
        </w:tc>
        <w:tc>
          <w:tcPr>
            <w:tcW w:w="1006"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2.975</w:t>
            </w:r>
          </w:p>
          <w:p w:rsidR="009A5206" w:rsidRDefault="000F42D9">
            <w:pPr>
              <w:jc w:val="center"/>
            </w:pPr>
            <w:r>
              <w:t>±0.10</w:t>
            </w:r>
          </w:p>
        </w:tc>
        <w:tc>
          <w:tcPr>
            <w:tcW w:w="1094"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2.700</w:t>
            </w:r>
          </w:p>
          <w:p w:rsidR="009A5206" w:rsidRDefault="000F42D9">
            <w:pPr>
              <w:jc w:val="center"/>
            </w:pPr>
            <w:r>
              <w:t>±0.09</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2.933</w:t>
            </w:r>
          </w:p>
          <w:p w:rsidR="009A5206" w:rsidRDefault="000F42D9">
            <w:pPr>
              <w:jc w:val="center"/>
            </w:pPr>
            <w:r>
              <w:t>±0.10</w:t>
            </w:r>
          </w:p>
        </w:tc>
        <w:tc>
          <w:tcPr>
            <w:tcW w:w="1107"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2.869</w:t>
            </w:r>
          </w:p>
        </w:tc>
        <w:tc>
          <w:tcPr>
            <w:tcW w:w="994" w:type="dxa"/>
            <w:shd w:val="clear" w:color="auto" w:fill="auto"/>
            <w:vAlign w:val="center"/>
          </w:tcPr>
          <w:p w:rsidR="009A5206" w:rsidRDefault="000F42D9">
            <w:pPr>
              <w:jc w:val="center"/>
            </w:pPr>
            <w:r>
              <w:t>2.850</w:t>
            </w:r>
          </w:p>
          <w:p w:rsidR="009A5206" w:rsidRDefault="000F42D9">
            <w:pPr>
              <w:jc w:val="center"/>
            </w:pPr>
            <w:r>
              <w:t>±0.06</w:t>
            </w:r>
          </w:p>
        </w:tc>
        <w:tc>
          <w:tcPr>
            <w:tcW w:w="1160" w:type="dxa"/>
            <w:shd w:val="clear" w:color="auto" w:fill="auto"/>
            <w:vAlign w:val="center"/>
          </w:tcPr>
          <w:p w:rsidR="009A5206" w:rsidRDefault="000F42D9">
            <w:pPr>
              <w:jc w:val="center"/>
            </w:pPr>
            <w:r>
              <w:t>2.610</w:t>
            </w:r>
          </w:p>
          <w:p w:rsidR="009A5206" w:rsidRDefault="000F42D9">
            <w:pPr>
              <w:jc w:val="center"/>
            </w:pPr>
            <w:r>
              <w:t>±0.04</w:t>
            </w:r>
          </w:p>
        </w:tc>
        <w:tc>
          <w:tcPr>
            <w:tcW w:w="1179" w:type="dxa"/>
            <w:shd w:val="clear" w:color="auto" w:fill="auto"/>
            <w:vAlign w:val="center"/>
          </w:tcPr>
          <w:p w:rsidR="009A5206" w:rsidRDefault="000F42D9">
            <w:pPr>
              <w:jc w:val="center"/>
            </w:pPr>
            <w:r>
              <w:t>2.783</w:t>
            </w:r>
          </w:p>
          <w:p w:rsidR="009A5206" w:rsidRDefault="000F42D9">
            <w:pPr>
              <w:jc w:val="center"/>
            </w:pPr>
            <w:r>
              <w:t>±0.05</w:t>
            </w:r>
          </w:p>
        </w:tc>
        <w:tc>
          <w:tcPr>
            <w:tcW w:w="1089" w:type="dxa"/>
            <w:shd w:val="clear" w:color="auto" w:fill="auto"/>
            <w:vAlign w:val="center"/>
          </w:tcPr>
          <w:p w:rsidR="009A5206" w:rsidRDefault="000F42D9">
            <w:pPr>
              <w:jc w:val="center"/>
            </w:pPr>
            <w:r>
              <w:t>2.748</w:t>
            </w:r>
          </w:p>
        </w:tc>
      </w:tr>
      <w:tr w:rsidR="009A5206">
        <w:tc>
          <w:tcPr>
            <w:tcW w:w="843" w:type="dxa"/>
            <w:vMerge w:val="restart"/>
            <w:shd w:val="clear" w:color="auto" w:fill="auto"/>
          </w:tcPr>
          <w:p w:rsidR="009A5206" w:rsidRDefault="000F42D9">
            <w:pPr>
              <w:jc w:val="center"/>
              <w:rPr>
                <w:b/>
                <w:bCs/>
              </w:rPr>
            </w:pPr>
            <w:r>
              <w:rPr>
                <w:b/>
                <w:bCs/>
              </w:rPr>
              <w:t>C</w:t>
            </w:r>
            <w:r>
              <w:rPr>
                <w:b/>
                <w:bCs/>
                <w:vertAlign w:val="subscript"/>
              </w:rPr>
              <w:t>2</w:t>
            </w:r>
          </w:p>
        </w:tc>
        <w:tc>
          <w:tcPr>
            <w:tcW w:w="1006" w:type="dxa"/>
          </w:tcPr>
          <w:p w:rsidR="009A5206" w:rsidRDefault="000F42D9">
            <w:r>
              <w:t>Male</w:t>
            </w:r>
          </w:p>
        </w:tc>
        <w:tc>
          <w:tcPr>
            <w:tcW w:w="1006"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2.867</w:t>
            </w:r>
          </w:p>
          <w:p w:rsidR="009A5206" w:rsidRDefault="000F42D9">
            <w:pPr>
              <w:jc w:val="center"/>
            </w:pPr>
            <w:r>
              <w:t>±0.03</w:t>
            </w:r>
          </w:p>
        </w:tc>
        <w:tc>
          <w:tcPr>
            <w:tcW w:w="1094"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2.417</w:t>
            </w:r>
          </w:p>
          <w:p w:rsidR="009A5206" w:rsidRDefault="000F42D9">
            <w:pPr>
              <w:jc w:val="center"/>
            </w:pPr>
            <w:r>
              <w:t>±0.06</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2.733</w:t>
            </w:r>
          </w:p>
          <w:p w:rsidR="009A5206" w:rsidRDefault="000F42D9">
            <w:pPr>
              <w:jc w:val="center"/>
            </w:pPr>
            <w:r>
              <w:t>±0.08</w:t>
            </w:r>
          </w:p>
        </w:tc>
        <w:tc>
          <w:tcPr>
            <w:tcW w:w="1107"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2.672</w:t>
            </w:r>
          </w:p>
        </w:tc>
        <w:tc>
          <w:tcPr>
            <w:tcW w:w="994" w:type="dxa"/>
            <w:shd w:val="clear" w:color="auto" w:fill="auto"/>
            <w:vAlign w:val="center"/>
          </w:tcPr>
          <w:p w:rsidR="009A5206" w:rsidRDefault="000F42D9">
            <w:pPr>
              <w:jc w:val="center"/>
            </w:pPr>
            <w:r>
              <w:t>2.917</w:t>
            </w:r>
          </w:p>
          <w:p w:rsidR="009A5206" w:rsidRDefault="000F42D9">
            <w:pPr>
              <w:jc w:val="center"/>
            </w:pPr>
            <w:r>
              <w:t>±0.09</w:t>
            </w:r>
          </w:p>
        </w:tc>
        <w:tc>
          <w:tcPr>
            <w:tcW w:w="1160" w:type="dxa"/>
            <w:shd w:val="clear" w:color="auto" w:fill="auto"/>
            <w:vAlign w:val="center"/>
          </w:tcPr>
          <w:p w:rsidR="009A5206" w:rsidRDefault="000F42D9">
            <w:pPr>
              <w:jc w:val="center"/>
            </w:pPr>
            <w:r>
              <w:t>2.533</w:t>
            </w:r>
          </w:p>
          <w:p w:rsidR="009A5206" w:rsidRDefault="000F42D9">
            <w:pPr>
              <w:jc w:val="center"/>
            </w:pPr>
            <w:r>
              <w:t>±0.07</w:t>
            </w:r>
          </w:p>
        </w:tc>
        <w:tc>
          <w:tcPr>
            <w:tcW w:w="1179" w:type="dxa"/>
            <w:shd w:val="clear" w:color="auto" w:fill="auto"/>
            <w:vAlign w:val="center"/>
          </w:tcPr>
          <w:p w:rsidR="009A5206" w:rsidRDefault="000F42D9">
            <w:pPr>
              <w:jc w:val="center"/>
            </w:pPr>
            <w:r>
              <w:t>2.833</w:t>
            </w:r>
          </w:p>
          <w:p w:rsidR="009A5206" w:rsidRDefault="000F42D9">
            <w:pPr>
              <w:jc w:val="center"/>
            </w:pPr>
            <w:r>
              <w:t>±0.08</w:t>
            </w:r>
          </w:p>
        </w:tc>
        <w:tc>
          <w:tcPr>
            <w:tcW w:w="1089" w:type="dxa"/>
            <w:shd w:val="clear" w:color="auto" w:fill="auto"/>
            <w:vAlign w:val="center"/>
          </w:tcPr>
          <w:p w:rsidR="009A5206" w:rsidRDefault="000F42D9">
            <w:pPr>
              <w:jc w:val="center"/>
            </w:pPr>
            <w:r>
              <w:t>2.761</w:t>
            </w:r>
          </w:p>
        </w:tc>
      </w:tr>
      <w:tr w:rsidR="009A5206">
        <w:tc>
          <w:tcPr>
            <w:tcW w:w="843" w:type="dxa"/>
            <w:vMerge/>
            <w:shd w:val="clear" w:color="auto" w:fill="auto"/>
          </w:tcPr>
          <w:p w:rsidR="009A5206" w:rsidRDefault="009A5206">
            <w:pPr>
              <w:jc w:val="center"/>
              <w:rPr>
                <w:b/>
                <w:bCs/>
              </w:rPr>
            </w:pPr>
          </w:p>
        </w:tc>
        <w:tc>
          <w:tcPr>
            <w:tcW w:w="1006" w:type="dxa"/>
          </w:tcPr>
          <w:p w:rsidR="009A5206" w:rsidRDefault="000F42D9">
            <w:r>
              <w:t>Female</w:t>
            </w:r>
          </w:p>
        </w:tc>
        <w:tc>
          <w:tcPr>
            <w:tcW w:w="1006"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3.000</w:t>
            </w:r>
          </w:p>
          <w:p w:rsidR="009A5206" w:rsidRDefault="000F42D9">
            <w:pPr>
              <w:jc w:val="center"/>
            </w:pPr>
            <w:r>
              <w:t>±0.03</w:t>
            </w:r>
          </w:p>
        </w:tc>
        <w:tc>
          <w:tcPr>
            <w:tcW w:w="1094"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2.658</w:t>
            </w:r>
          </w:p>
          <w:p w:rsidR="009A5206" w:rsidRDefault="000F42D9">
            <w:pPr>
              <w:jc w:val="center"/>
            </w:pPr>
            <w:r>
              <w:t>±0.11</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2.892</w:t>
            </w:r>
          </w:p>
          <w:p w:rsidR="009A5206" w:rsidRDefault="000F42D9">
            <w:pPr>
              <w:jc w:val="center"/>
            </w:pPr>
            <w:r>
              <w:t>±0.07</w:t>
            </w:r>
          </w:p>
        </w:tc>
        <w:tc>
          <w:tcPr>
            <w:tcW w:w="1107"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2.850</w:t>
            </w:r>
          </w:p>
        </w:tc>
        <w:tc>
          <w:tcPr>
            <w:tcW w:w="994" w:type="dxa"/>
            <w:shd w:val="clear" w:color="auto" w:fill="auto"/>
            <w:vAlign w:val="center"/>
          </w:tcPr>
          <w:p w:rsidR="009A5206" w:rsidRDefault="000F42D9">
            <w:pPr>
              <w:jc w:val="center"/>
            </w:pPr>
            <w:r>
              <w:t>3.317</w:t>
            </w:r>
          </w:p>
          <w:p w:rsidR="009A5206" w:rsidRDefault="000F42D9">
            <w:pPr>
              <w:jc w:val="center"/>
            </w:pPr>
            <w:r>
              <w:t>±0.05</w:t>
            </w:r>
          </w:p>
        </w:tc>
        <w:tc>
          <w:tcPr>
            <w:tcW w:w="1160" w:type="dxa"/>
            <w:shd w:val="clear" w:color="auto" w:fill="auto"/>
            <w:vAlign w:val="center"/>
          </w:tcPr>
          <w:p w:rsidR="009A5206" w:rsidRDefault="000F42D9">
            <w:pPr>
              <w:jc w:val="center"/>
            </w:pPr>
            <w:r>
              <w:t>2.933</w:t>
            </w:r>
          </w:p>
          <w:p w:rsidR="009A5206" w:rsidRDefault="000F42D9">
            <w:pPr>
              <w:jc w:val="center"/>
            </w:pPr>
            <w:r>
              <w:t>±0.01</w:t>
            </w:r>
          </w:p>
        </w:tc>
        <w:tc>
          <w:tcPr>
            <w:tcW w:w="1179" w:type="dxa"/>
            <w:shd w:val="clear" w:color="auto" w:fill="auto"/>
            <w:vAlign w:val="center"/>
          </w:tcPr>
          <w:p w:rsidR="009A5206" w:rsidRDefault="000F42D9">
            <w:pPr>
              <w:jc w:val="center"/>
            </w:pPr>
            <w:r>
              <w:t>3.233</w:t>
            </w:r>
          </w:p>
          <w:p w:rsidR="009A5206" w:rsidRDefault="000F42D9">
            <w:pPr>
              <w:jc w:val="center"/>
            </w:pPr>
            <w:r>
              <w:t>±0.08</w:t>
            </w:r>
          </w:p>
        </w:tc>
        <w:tc>
          <w:tcPr>
            <w:tcW w:w="1089" w:type="dxa"/>
            <w:shd w:val="clear" w:color="auto" w:fill="auto"/>
            <w:vAlign w:val="center"/>
          </w:tcPr>
          <w:p w:rsidR="009A5206" w:rsidRDefault="000F42D9">
            <w:pPr>
              <w:jc w:val="center"/>
            </w:pPr>
            <w:r>
              <w:t>3.161</w:t>
            </w:r>
          </w:p>
        </w:tc>
      </w:tr>
      <w:tr w:rsidR="009A5206">
        <w:tc>
          <w:tcPr>
            <w:tcW w:w="843" w:type="dxa"/>
            <w:vMerge w:val="restart"/>
            <w:shd w:val="clear" w:color="auto" w:fill="auto"/>
          </w:tcPr>
          <w:p w:rsidR="009A5206" w:rsidRDefault="000F42D9">
            <w:pPr>
              <w:jc w:val="center"/>
              <w:rPr>
                <w:b/>
                <w:bCs/>
              </w:rPr>
            </w:pPr>
            <w:r>
              <w:rPr>
                <w:b/>
                <w:bCs/>
              </w:rPr>
              <w:t>C</w:t>
            </w:r>
            <w:r>
              <w:rPr>
                <w:b/>
                <w:bCs/>
                <w:vertAlign w:val="subscript"/>
              </w:rPr>
              <w:t>3</w:t>
            </w:r>
          </w:p>
        </w:tc>
        <w:tc>
          <w:tcPr>
            <w:tcW w:w="1006" w:type="dxa"/>
          </w:tcPr>
          <w:p w:rsidR="009A5206" w:rsidRDefault="000F42D9">
            <w:r>
              <w:t>Male</w:t>
            </w:r>
          </w:p>
        </w:tc>
        <w:tc>
          <w:tcPr>
            <w:tcW w:w="1006"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2.855</w:t>
            </w:r>
          </w:p>
          <w:p w:rsidR="009A5206" w:rsidRDefault="000F42D9">
            <w:pPr>
              <w:jc w:val="center"/>
            </w:pPr>
            <w:r>
              <w:t>±0.12</w:t>
            </w:r>
          </w:p>
        </w:tc>
        <w:tc>
          <w:tcPr>
            <w:tcW w:w="1094"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2.758</w:t>
            </w:r>
          </w:p>
          <w:p w:rsidR="009A5206" w:rsidRDefault="000F42D9">
            <w:pPr>
              <w:jc w:val="center"/>
            </w:pPr>
            <w:r>
              <w:t>±0.10</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2.835</w:t>
            </w:r>
          </w:p>
          <w:p w:rsidR="009A5206" w:rsidRDefault="000F42D9">
            <w:pPr>
              <w:jc w:val="center"/>
            </w:pPr>
            <w:r>
              <w:t>±0.04</w:t>
            </w:r>
          </w:p>
        </w:tc>
        <w:tc>
          <w:tcPr>
            <w:tcW w:w="1107"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2.816</w:t>
            </w:r>
          </w:p>
        </w:tc>
        <w:tc>
          <w:tcPr>
            <w:tcW w:w="994" w:type="dxa"/>
            <w:shd w:val="clear" w:color="auto" w:fill="auto"/>
            <w:vAlign w:val="center"/>
          </w:tcPr>
          <w:p w:rsidR="009A5206" w:rsidRDefault="000F42D9">
            <w:pPr>
              <w:jc w:val="center"/>
            </w:pPr>
            <w:r>
              <w:t>2.833</w:t>
            </w:r>
          </w:p>
          <w:p w:rsidR="009A5206" w:rsidRDefault="000F42D9">
            <w:pPr>
              <w:jc w:val="center"/>
            </w:pPr>
            <w:r>
              <w:t>±0.07</w:t>
            </w:r>
          </w:p>
        </w:tc>
        <w:tc>
          <w:tcPr>
            <w:tcW w:w="1160" w:type="dxa"/>
            <w:shd w:val="clear" w:color="auto" w:fill="auto"/>
            <w:vAlign w:val="center"/>
          </w:tcPr>
          <w:p w:rsidR="009A5206" w:rsidRDefault="000F42D9">
            <w:pPr>
              <w:jc w:val="center"/>
            </w:pPr>
            <w:r>
              <w:t>2.780</w:t>
            </w:r>
          </w:p>
          <w:p w:rsidR="009A5206" w:rsidRDefault="000F42D9">
            <w:pPr>
              <w:jc w:val="center"/>
            </w:pPr>
            <w:r>
              <w:t>±0.09</w:t>
            </w:r>
          </w:p>
        </w:tc>
        <w:tc>
          <w:tcPr>
            <w:tcW w:w="1179" w:type="dxa"/>
            <w:shd w:val="clear" w:color="auto" w:fill="auto"/>
            <w:vAlign w:val="center"/>
          </w:tcPr>
          <w:p w:rsidR="009A5206" w:rsidRDefault="000F42D9">
            <w:pPr>
              <w:jc w:val="center"/>
            </w:pPr>
            <w:r>
              <w:t>2.892</w:t>
            </w:r>
          </w:p>
          <w:p w:rsidR="009A5206" w:rsidRDefault="000F42D9">
            <w:pPr>
              <w:jc w:val="center"/>
            </w:pPr>
            <w:r>
              <w:t>±0.08</w:t>
            </w:r>
          </w:p>
        </w:tc>
        <w:tc>
          <w:tcPr>
            <w:tcW w:w="1089" w:type="dxa"/>
            <w:shd w:val="clear" w:color="auto" w:fill="auto"/>
            <w:vAlign w:val="center"/>
          </w:tcPr>
          <w:p w:rsidR="009A5206" w:rsidRDefault="000F42D9">
            <w:pPr>
              <w:jc w:val="center"/>
            </w:pPr>
            <w:r>
              <w:t>2.835</w:t>
            </w:r>
          </w:p>
        </w:tc>
      </w:tr>
      <w:tr w:rsidR="009A5206">
        <w:tc>
          <w:tcPr>
            <w:tcW w:w="843" w:type="dxa"/>
            <w:vMerge/>
            <w:shd w:val="clear" w:color="auto" w:fill="auto"/>
          </w:tcPr>
          <w:p w:rsidR="009A5206" w:rsidRDefault="009A5206">
            <w:pPr>
              <w:jc w:val="center"/>
              <w:rPr>
                <w:b/>
                <w:bCs/>
              </w:rPr>
            </w:pPr>
          </w:p>
        </w:tc>
        <w:tc>
          <w:tcPr>
            <w:tcW w:w="1006" w:type="dxa"/>
          </w:tcPr>
          <w:p w:rsidR="009A5206" w:rsidRDefault="000F42D9">
            <w:r>
              <w:t>Female</w:t>
            </w:r>
          </w:p>
        </w:tc>
        <w:tc>
          <w:tcPr>
            <w:tcW w:w="1006"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3.017</w:t>
            </w:r>
          </w:p>
          <w:p w:rsidR="009A5206" w:rsidRDefault="000F42D9">
            <w:pPr>
              <w:jc w:val="center"/>
            </w:pPr>
            <w:r>
              <w:t>±0.13</w:t>
            </w:r>
          </w:p>
        </w:tc>
        <w:tc>
          <w:tcPr>
            <w:tcW w:w="1094"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2.915</w:t>
            </w:r>
          </w:p>
          <w:p w:rsidR="009A5206" w:rsidRDefault="000F42D9">
            <w:pPr>
              <w:jc w:val="center"/>
            </w:pPr>
            <w:r>
              <w:t>±0.04</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2.948</w:t>
            </w:r>
          </w:p>
          <w:p w:rsidR="009A5206" w:rsidRDefault="000F42D9">
            <w:pPr>
              <w:jc w:val="center"/>
            </w:pPr>
            <w:r>
              <w:t>±0.02</w:t>
            </w:r>
          </w:p>
        </w:tc>
        <w:tc>
          <w:tcPr>
            <w:tcW w:w="1107"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2.960</w:t>
            </w:r>
          </w:p>
        </w:tc>
        <w:tc>
          <w:tcPr>
            <w:tcW w:w="994" w:type="dxa"/>
            <w:shd w:val="clear" w:color="auto" w:fill="auto"/>
            <w:vAlign w:val="center"/>
          </w:tcPr>
          <w:p w:rsidR="009A5206" w:rsidRDefault="000F42D9">
            <w:pPr>
              <w:jc w:val="center"/>
            </w:pPr>
            <w:r>
              <w:t>3.217</w:t>
            </w:r>
          </w:p>
          <w:p w:rsidR="009A5206" w:rsidRDefault="000F42D9">
            <w:pPr>
              <w:jc w:val="center"/>
            </w:pPr>
            <w:r>
              <w:t>±0.07</w:t>
            </w:r>
          </w:p>
        </w:tc>
        <w:tc>
          <w:tcPr>
            <w:tcW w:w="1160" w:type="dxa"/>
            <w:shd w:val="clear" w:color="auto" w:fill="auto"/>
            <w:vAlign w:val="center"/>
          </w:tcPr>
          <w:p w:rsidR="009A5206" w:rsidRDefault="000F42D9">
            <w:pPr>
              <w:jc w:val="center"/>
            </w:pPr>
            <w:r>
              <w:t>3.230</w:t>
            </w:r>
          </w:p>
          <w:p w:rsidR="009A5206" w:rsidRDefault="000F42D9">
            <w:pPr>
              <w:jc w:val="center"/>
            </w:pPr>
            <w:r>
              <w:t>±0.09</w:t>
            </w:r>
          </w:p>
        </w:tc>
        <w:tc>
          <w:tcPr>
            <w:tcW w:w="1179" w:type="dxa"/>
            <w:shd w:val="clear" w:color="auto" w:fill="auto"/>
            <w:vAlign w:val="center"/>
          </w:tcPr>
          <w:p w:rsidR="009A5206" w:rsidRDefault="000F42D9">
            <w:pPr>
              <w:jc w:val="center"/>
            </w:pPr>
            <w:r>
              <w:t>3.342</w:t>
            </w:r>
          </w:p>
          <w:p w:rsidR="009A5206" w:rsidRDefault="000F42D9">
            <w:pPr>
              <w:jc w:val="center"/>
            </w:pPr>
            <w:r>
              <w:t>±0.08</w:t>
            </w:r>
          </w:p>
        </w:tc>
        <w:tc>
          <w:tcPr>
            <w:tcW w:w="1089" w:type="dxa"/>
            <w:shd w:val="clear" w:color="auto" w:fill="auto"/>
            <w:vAlign w:val="center"/>
          </w:tcPr>
          <w:p w:rsidR="009A5206" w:rsidRDefault="000F42D9">
            <w:pPr>
              <w:jc w:val="center"/>
            </w:pPr>
            <w:r>
              <w:t>3.263</w:t>
            </w:r>
          </w:p>
        </w:tc>
      </w:tr>
      <w:tr w:rsidR="009A5206">
        <w:tc>
          <w:tcPr>
            <w:tcW w:w="843" w:type="dxa"/>
            <w:vMerge w:val="restart"/>
            <w:shd w:val="clear" w:color="auto" w:fill="auto"/>
          </w:tcPr>
          <w:p w:rsidR="009A5206" w:rsidRDefault="000F42D9">
            <w:pPr>
              <w:jc w:val="center"/>
              <w:rPr>
                <w:b/>
                <w:bCs/>
              </w:rPr>
            </w:pPr>
            <w:r>
              <w:rPr>
                <w:b/>
                <w:bCs/>
              </w:rPr>
              <w:t>C</w:t>
            </w:r>
            <w:r>
              <w:rPr>
                <w:b/>
                <w:bCs/>
                <w:vertAlign w:val="subscript"/>
              </w:rPr>
              <w:t>4</w:t>
            </w:r>
          </w:p>
        </w:tc>
        <w:tc>
          <w:tcPr>
            <w:tcW w:w="1006" w:type="dxa"/>
          </w:tcPr>
          <w:p w:rsidR="009A5206" w:rsidRDefault="000F42D9">
            <w:r>
              <w:t>Male</w:t>
            </w:r>
          </w:p>
        </w:tc>
        <w:tc>
          <w:tcPr>
            <w:tcW w:w="1006"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2.942</w:t>
            </w:r>
          </w:p>
          <w:p w:rsidR="009A5206" w:rsidRDefault="000F42D9">
            <w:pPr>
              <w:jc w:val="center"/>
            </w:pPr>
            <w:r>
              <w:t>±0.05</w:t>
            </w:r>
          </w:p>
        </w:tc>
        <w:tc>
          <w:tcPr>
            <w:tcW w:w="1094"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2.450</w:t>
            </w:r>
          </w:p>
          <w:p w:rsidR="009A5206" w:rsidRDefault="000F42D9">
            <w:pPr>
              <w:jc w:val="center"/>
            </w:pPr>
            <w:r>
              <w:t>±0.05</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2.683</w:t>
            </w:r>
          </w:p>
          <w:p w:rsidR="009A5206" w:rsidRDefault="000F42D9">
            <w:pPr>
              <w:jc w:val="center"/>
            </w:pPr>
            <w:r>
              <w:t>±0.11</w:t>
            </w:r>
          </w:p>
        </w:tc>
        <w:tc>
          <w:tcPr>
            <w:tcW w:w="1107"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2.692</w:t>
            </w:r>
          </w:p>
        </w:tc>
        <w:tc>
          <w:tcPr>
            <w:tcW w:w="994" w:type="dxa"/>
            <w:shd w:val="clear" w:color="auto" w:fill="auto"/>
            <w:vAlign w:val="center"/>
          </w:tcPr>
          <w:p w:rsidR="009A5206" w:rsidRDefault="000F42D9">
            <w:pPr>
              <w:jc w:val="center"/>
            </w:pPr>
            <w:r>
              <w:t>2.892</w:t>
            </w:r>
          </w:p>
          <w:p w:rsidR="009A5206" w:rsidRDefault="000F42D9">
            <w:pPr>
              <w:jc w:val="center"/>
            </w:pPr>
            <w:r>
              <w:t>±0.10</w:t>
            </w:r>
          </w:p>
        </w:tc>
        <w:tc>
          <w:tcPr>
            <w:tcW w:w="1160" w:type="dxa"/>
            <w:shd w:val="clear" w:color="auto" w:fill="auto"/>
            <w:vAlign w:val="center"/>
          </w:tcPr>
          <w:p w:rsidR="009A5206" w:rsidRDefault="000F42D9">
            <w:pPr>
              <w:jc w:val="center"/>
            </w:pPr>
            <w:r>
              <w:t>2.413</w:t>
            </w:r>
          </w:p>
          <w:p w:rsidR="009A5206" w:rsidRDefault="000F42D9">
            <w:pPr>
              <w:jc w:val="center"/>
            </w:pPr>
            <w:r>
              <w:t>±0.14</w:t>
            </w:r>
          </w:p>
        </w:tc>
        <w:tc>
          <w:tcPr>
            <w:tcW w:w="1179" w:type="dxa"/>
            <w:shd w:val="clear" w:color="auto" w:fill="auto"/>
            <w:vAlign w:val="center"/>
          </w:tcPr>
          <w:p w:rsidR="009A5206" w:rsidRDefault="000F42D9">
            <w:pPr>
              <w:jc w:val="center"/>
            </w:pPr>
            <w:r>
              <w:t>2.802</w:t>
            </w:r>
          </w:p>
          <w:p w:rsidR="009A5206" w:rsidRDefault="000F42D9">
            <w:pPr>
              <w:jc w:val="center"/>
            </w:pPr>
            <w:r>
              <w:t>±0.12</w:t>
            </w:r>
          </w:p>
        </w:tc>
        <w:tc>
          <w:tcPr>
            <w:tcW w:w="1089" w:type="dxa"/>
            <w:shd w:val="clear" w:color="auto" w:fill="auto"/>
            <w:vAlign w:val="center"/>
          </w:tcPr>
          <w:p w:rsidR="009A5206" w:rsidRDefault="000F42D9">
            <w:pPr>
              <w:jc w:val="center"/>
            </w:pPr>
            <w:r>
              <w:t>2.702</w:t>
            </w:r>
          </w:p>
        </w:tc>
      </w:tr>
      <w:tr w:rsidR="009A5206">
        <w:tc>
          <w:tcPr>
            <w:tcW w:w="843" w:type="dxa"/>
            <w:vMerge/>
            <w:shd w:val="clear" w:color="auto" w:fill="auto"/>
          </w:tcPr>
          <w:p w:rsidR="009A5206" w:rsidRDefault="009A5206">
            <w:pPr>
              <w:jc w:val="center"/>
              <w:rPr>
                <w:b/>
                <w:bCs/>
              </w:rPr>
            </w:pPr>
          </w:p>
        </w:tc>
        <w:tc>
          <w:tcPr>
            <w:tcW w:w="1006" w:type="dxa"/>
          </w:tcPr>
          <w:p w:rsidR="009A5206" w:rsidRDefault="000F42D9">
            <w:r>
              <w:t>Female</w:t>
            </w:r>
          </w:p>
        </w:tc>
        <w:tc>
          <w:tcPr>
            <w:tcW w:w="1006"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3.030</w:t>
            </w:r>
          </w:p>
          <w:p w:rsidR="009A5206" w:rsidRDefault="000F42D9">
            <w:pPr>
              <w:jc w:val="center"/>
            </w:pPr>
            <w:r>
              <w:t>±0.02</w:t>
            </w:r>
          </w:p>
        </w:tc>
        <w:tc>
          <w:tcPr>
            <w:tcW w:w="1094"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2.517</w:t>
            </w:r>
          </w:p>
          <w:p w:rsidR="009A5206" w:rsidRDefault="000F42D9">
            <w:pPr>
              <w:jc w:val="center"/>
            </w:pPr>
            <w:r>
              <w:t>±0.08</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2.875</w:t>
            </w:r>
          </w:p>
          <w:p w:rsidR="009A5206" w:rsidRDefault="000F42D9">
            <w:pPr>
              <w:jc w:val="center"/>
            </w:pPr>
            <w:r>
              <w:t>±0.08</w:t>
            </w:r>
          </w:p>
        </w:tc>
        <w:tc>
          <w:tcPr>
            <w:tcW w:w="1107"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2.807</w:t>
            </w:r>
          </w:p>
        </w:tc>
        <w:tc>
          <w:tcPr>
            <w:tcW w:w="994" w:type="dxa"/>
            <w:shd w:val="clear" w:color="auto" w:fill="auto"/>
            <w:vAlign w:val="center"/>
          </w:tcPr>
          <w:p w:rsidR="009A5206" w:rsidRDefault="000F42D9">
            <w:pPr>
              <w:jc w:val="center"/>
            </w:pPr>
            <w:r>
              <w:t>3.292</w:t>
            </w:r>
          </w:p>
          <w:p w:rsidR="009A5206" w:rsidRDefault="000F42D9">
            <w:pPr>
              <w:jc w:val="center"/>
            </w:pPr>
            <w:r>
              <w:t>±0.12</w:t>
            </w:r>
          </w:p>
        </w:tc>
        <w:tc>
          <w:tcPr>
            <w:tcW w:w="1160" w:type="dxa"/>
            <w:shd w:val="clear" w:color="auto" w:fill="auto"/>
            <w:vAlign w:val="center"/>
          </w:tcPr>
          <w:p w:rsidR="009A5206" w:rsidRDefault="000F42D9">
            <w:pPr>
              <w:jc w:val="center"/>
            </w:pPr>
            <w:r>
              <w:t>2.813</w:t>
            </w:r>
          </w:p>
          <w:p w:rsidR="009A5206" w:rsidRDefault="000F42D9">
            <w:pPr>
              <w:jc w:val="center"/>
            </w:pPr>
            <w:r>
              <w:t>±0.14</w:t>
            </w:r>
          </w:p>
        </w:tc>
        <w:tc>
          <w:tcPr>
            <w:tcW w:w="1179" w:type="dxa"/>
            <w:shd w:val="clear" w:color="auto" w:fill="auto"/>
            <w:vAlign w:val="center"/>
          </w:tcPr>
          <w:p w:rsidR="009A5206" w:rsidRDefault="000F42D9">
            <w:pPr>
              <w:jc w:val="center"/>
            </w:pPr>
            <w:r>
              <w:t>3.202</w:t>
            </w:r>
          </w:p>
          <w:p w:rsidR="009A5206" w:rsidRDefault="000F42D9">
            <w:pPr>
              <w:jc w:val="center"/>
            </w:pPr>
            <w:r>
              <w:t>±0.12</w:t>
            </w:r>
          </w:p>
        </w:tc>
        <w:tc>
          <w:tcPr>
            <w:tcW w:w="1089" w:type="dxa"/>
            <w:shd w:val="clear" w:color="auto" w:fill="auto"/>
            <w:vAlign w:val="center"/>
          </w:tcPr>
          <w:p w:rsidR="009A5206" w:rsidRDefault="000F42D9">
            <w:pPr>
              <w:jc w:val="center"/>
            </w:pPr>
            <w:r>
              <w:t>3.102</w:t>
            </w:r>
          </w:p>
        </w:tc>
      </w:tr>
      <w:tr w:rsidR="009A5206">
        <w:tc>
          <w:tcPr>
            <w:tcW w:w="843" w:type="dxa"/>
            <w:vMerge w:val="restart"/>
            <w:shd w:val="clear" w:color="auto" w:fill="auto"/>
          </w:tcPr>
          <w:p w:rsidR="009A5206" w:rsidRDefault="000F42D9">
            <w:pPr>
              <w:jc w:val="center"/>
              <w:rPr>
                <w:b/>
                <w:bCs/>
              </w:rPr>
            </w:pPr>
            <w:r>
              <w:rPr>
                <w:b/>
                <w:bCs/>
              </w:rPr>
              <w:t>Mean</w:t>
            </w:r>
          </w:p>
        </w:tc>
        <w:tc>
          <w:tcPr>
            <w:tcW w:w="1006" w:type="dxa"/>
          </w:tcPr>
          <w:p w:rsidR="009A5206" w:rsidRDefault="000F42D9">
            <w:r>
              <w:t>Male</w:t>
            </w:r>
          </w:p>
        </w:tc>
        <w:tc>
          <w:tcPr>
            <w:tcW w:w="1006"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2.858</w:t>
            </w:r>
          </w:p>
        </w:tc>
        <w:tc>
          <w:tcPr>
            <w:tcW w:w="1094"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2.484</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2.738</w:t>
            </w:r>
          </w:p>
        </w:tc>
        <w:tc>
          <w:tcPr>
            <w:tcW w:w="1107"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2.693</w:t>
            </w:r>
          </w:p>
        </w:tc>
        <w:tc>
          <w:tcPr>
            <w:tcW w:w="994" w:type="dxa"/>
            <w:shd w:val="clear" w:color="auto" w:fill="auto"/>
            <w:vAlign w:val="center"/>
          </w:tcPr>
          <w:p w:rsidR="009A5206" w:rsidRDefault="000F42D9">
            <w:pPr>
              <w:jc w:val="center"/>
            </w:pPr>
            <w:r>
              <w:t>2.819</w:t>
            </w:r>
          </w:p>
        </w:tc>
        <w:tc>
          <w:tcPr>
            <w:tcW w:w="1160" w:type="dxa"/>
            <w:shd w:val="clear" w:color="auto" w:fill="auto"/>
            <w:vAlign w:val="center"/>
          </w:tcPr>
          <w:p w:rsidR="009A5206" w:rsidRDefault="000F42D9">
            <w:pPr>
              <w:jc w:val="center"/>
            </w:pPr>
            <w:r>
              <w:t>2.522</w:t>
            </w:r>
          </w:p>
        </w:tc>
        <w:tc>
          <w:tcPr>
            <w:tcW w:w="1179" w:type="dxa"/>
            <w:shd w:val="clear" w:color="auto" w:fill="auto"/>
            <w:vAlign w:val="center"/>
          </w:tcPr>
          <w:p w:rsidR="009A5206" w:rsidRDefault="000F42D9">
            <w:pPr>
              <w:jc w:val="center"/>
            </w:pPr>
            <w:r>
              <w:t>2.786</w:t>
            </w:r>
          </w:p>
        </w:tc>
        <w:tc>
          <w:tcPr>
            <w:tcW w:w="1089" w:type="dxa"/>
            <w:shd w:val="clear" w:color="auto" w:fill="auto"/>
            <w:vAlign w:val="center"/>
          </w:tcPr>
          <w:p w:rsidR="009A5206" w:rsidRDefault="000F42D9">
            <w:pPr>
              <w:jc w:val="center"/>
            </w:pPr>
            <w:r>
              <w:t>2.709</w:t>
            </w:r>
          </w:p>
        </w:tc>
      </w:tr>
      <w:tr w:rsidR="009A5206">
        <w:tc>
          <w:tcPr>
            <w:tcW w:w="843" w:type="dxa"/>
            <w:vMerge/>
            <w:shd w:val="clear" w:color="auto" w:fill="auto"/>
          </w:tcPr>
          <w:p w:rsidR="009A5206" w:rsidRDefault="009A5206">
            <w:pPr>
              <w:jc w:val="center"/>
              <w:rPr>
                <w:b/>
                <w:bCs/>
              </w:rPr>
            </w:pPr>
          </w:p>
        </w:tc>
        <w:tc>
          <w:tcPr>
            <w:tcW w:w="1006" w:type="dxa"/>
          </w:tcPr>
          <w:p w:rsidR="009A5206" w:rsidRDefault="000F42D9">
            <w:r>
              <w:t>Female</w:t>
            </w:r>
          </w:p>
        </w:tc>
        <w:tc>
          <w:tcPr>
            <w:tcW w:w="1006"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3.005</w:t>
            </w:r>
          </w:p>
        </w:tc>
        <w:tc>
          <w:tcPr>
            <w:tcW w:w="1094"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2.697</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2.912</w:t>
            </w:r>
          </w:p>
        </w:tc>
        <w:tc>
          <w:tcPr>
            <w:tcW w:w="1107" w:type="dxa"/>
            <w:tcBorders>
              <w:top w:val="outset" w:sz="6" w:space="0" w:color="auto"/>
              <w:left w:val="outset" w:sz="6" w:space="0" w:color="auto"/>
              <w:bottom w:val="outset" w:sz="6" w:space="0" w:color="auto"/>
              <w:right w:val="outset" w:sz="6" w:space="0" w:color="auto"/>
            </w:tcBorders>
            <w:shd w:val="clear" w:color="auto" w:fill="auto"/>
            <w:vAlign w:val="center"/>
          </w:tcPr>
          <w:p w:rsidR="009A5206" w:rsidRDefault="000F42D9">
            <w:pPr>
              <w:jc w:val="center"/>
            </w:pPr>
            <w:r>
              <w:t>2.872</w:t>
            </w:r>
          </w:p>
        </w:tc>
        <w:tc>
          <w:tcPr>
            <w:tcW w:w="994" w:type="dxa"/>
            <w:shd w:val="clear" w:color="auto" w:fill="auto"/>
            <w:vAlign w:val="center"/>
          </w:tcPr>
          <w:p w:rsidR="009A5206" w:rsidRDefault="000F42D9">
            <w:pPr>
              <w:jc w:val="center"/>
            </w:pPr>
            <w:r>
              <w:t>3.169</w:t>
            </w:r>
          </w:p>
        </w:tc>
        <w:tc>
          <w:tcPr>
            <w:tcW w:w="1160" w:type="dxa"/>
            <w:shd w:val="clear" w:color="auto" w:fill="auto"/>
            <w:vAlign w:val="center"/>
          </w:tcPr>
          <w:p w:rsidR="009A5206" w:rsidRDefault="000F42D9">
            <w:pPr>
              <w:jc w:val="center"/>
            </w:pPr>
            <w:r>
              <w:t>2.897</w:t>
            </w:r>
          </w:p>
        </w:tc>
        <w:tc>
          <w:tcPr>
            <w:tcW w:w="1179" w:type="dxa"/>
            <w:shd w:val="clear" w:color="auto" w:fill="auto"/>
            <w:vAlign w:val="center"/>
          </w:tcPr>
          <w:p w:rsidR="009A5206" w:rsidRDefault="000F42D9">
            <w:pPr>
              <w:jc w:val="center"/>
            </w:pPr>
            <w:r>
              <w:t>3.140</w:t>
            </w:r>
          </w:p>
        </w:tc>
        <w:tc>
          <w:tcPr>
            <w:tcW w:w="1089" w:type="dxa"/>
            <w:shd w:val="clear" w:color="auto" w:fill="auto"/>
            <w:vAlign w:val="center"/>
          </w:tcPr>
          <w:p w:rsidR="009A5206" w:rsidRDefault="000F42D9">
            <w:pPr>
              <w:jc w:val="center"/>
            </w:pPr>
            <w:r>
              <w:t>3.068</w:t>
            </w:r>
          </w:p>
        </w:tc>
      </w:tr>
    </w:tbl>
    <w:p w:rsidR="009A5206" w:rsidRDefault="009A5206">
      <w:pPr>
        <w:rPr>
          <w:b/>
          <w:bCs/>
        </w:rPr>
      </w:pPr>
    </w:p>
    <w:p w:rsidR="009A5206" w:rsidRDefault="000F42D9">
      <w:pPr>
        <w:pStyle w:val="Default"/>
        <w:jc w:val="both"/>
        <w:rPr>
          <w:rFonts w:ascii="Times New Roman" w:hAnsi="Times New Roman" w:cs="Times New Roman"/>
        </w:rPr>
      </w:pPr>
      <w:r>
        <w:rPr>
          <w:rFonts w:ascii="Times New Roman" w:hAnsi="Times New Roman" w:cs="Times New Roman"/>
        </w:rPr>
        <w:t xml:space="preserve">Each value represents Mean ± SD </w:t>
      </w:r>
      <w:proofErr w:type="spellStart"/>
      <w:r>
        <w:rPr>
          <w:rFonts w:ascii="Times New Roman" w:hAnsi="Times New Roman" w:cs="Times New Roman"/>
        </w:rPr>
        <w:t>i.e</w:t>
      </w:r>
      <w:proofErr w:type="spellEnd"/>
      <w:r>
        <w:rPr>
          <w:rFonts w:ascii="Times New Roman" w:hAnsi="Times New Roman" w:cs="Times New Roman"/>
        </w:rPr>
        <w:t xml:space="preserve"> pooled data of 6 ASRs, **Significant at 1% level, *Significant at 5% level, NS-Non-Significant </w:t>
      </w:r>
    </w:p>
    <w:p w:rsidR="009A5206" w:rsidRDefault="009A5206"/>
    <w:p w:rsidR="009A5206" w:rsidRDefault="009A5206">
      <w:pPr>
        <w:pStyle w:val="ListParagraph"/>
        <w:ind w:left="0"/>
        <w:jc w:val="both"/>
        <w:rPr>
          <w:b/>
          <w:bCs/>
        </w:rPr>
      </w:pPr>
    </w:p>
    <w:p w:rsidR="009A5206" w:rsidRDefault="009A5206">
      <w:pPr>
        <w:pStyle w:val="ListParagraph"/>
        <w:ind w:left="0"/>
        <w:jc w:val="both"/>
        <w:rPr>
          <w:b/>
          <w:bCs/>
        </w:rPr>
      </w:pPr>
    </w:p>
    <w:p w:rsidR="009A5206" w:rsidRDefault="009A5206">
      <w:pPr>
        <w:pStyle w:val="ListParagraph"/>
        <w:ind w:left="0"/>
        <w:jc w:val="both"/>
        <w:rPr>
          <w:b/>
          <w:bCs/>
        </w:rPr>
      </w:pPr>
    </w:p>
    <w:p w:rsidR="009A5206" w:rsidRDefault="009A5206">
      <w:pPr>
        <w:pStyle w:val="ListParagraph"/>
        <w:ind w:left="0"/>
        <w:jc w:val="both"/>
        <w:rPr>
          <w:b/>
          <w:bCs/>
        </w:rPr>
      </w:pPr>
    </w:p>
    <w:p w:rsidR="009A5206" w:rsidRDefault="009A5206">
      <w:pPr>
        <w:pStyle w:val="ListParagraph"/>
        <w:ind w:left="0"/>
        <w:jc w:val="both"/>
        <w:rPr>
          <w:b/>
          <w:bCs/>
        </w:rPr>
      </w:pPr>
    </w:p>
    <w:p w:rsidR="009A5206" w:rsidRDefault="009A5206">
      <w:pPr>
        <w:pStyle w:val="ListParagraph"/>
        <w:ind w:left="0"/>
        <w:jc w:val="both"/>
        <w:rPr>
          <w:b/>
          <w:bCs/>
        </w:rPr>
      </w:pPr>
    </w:p>
    <w:p w:rsidR="009A5206" w:rsidRDefault="009A5206">
      <w:pPr>
        <w:pStyle w:val="ListParagraph"/>
        <w:ind w:left="0"/>
        <w:jc w:val="both"/>
        <w:rPr>
          <w:b/>
          <w:bCs/>
        </w:rPr>
      </w:pPr>
    </w:p>
    <w:p w:rsidR="009A5206" w:rsidRDefault="009A5206">
      <w:pPr>
        <w:pStyle w:val="ListParagraph"/>
        <w:ind w:left="0"/>
        <w:jc w:val="both"/>
        <w:rPr>
          <w:b/>
          <w:bCs/>
        </w:rPr>
      </w:pPr>
    </w:p>
    <w:p w:rsidR="009A5206" w:rsidRDefault="009A5206">
      <w:pPr>
        <w:pStyle w:val="ListParagraph"/>
        <w:ind w:left="0"/>
        <w:jc w:val="both"/>
        <w:rPr>
          <w:b/>
          <w:bCs/>
        </w:rPr>
      </w:pPr>
    </w:p>
    <w:p w:rsidR="009A5206" w:rsidRDefault="009A5206">
      <w:pPr>
        <w:pStyle w:val="ListParagraph"/>
        <w:ind w:left="0"/>
        <w:jc w:val="both"/>
        <w:rPr>
          <w:b/>
          <w:bCs/>
        </w:rPr>
      </w:pPr>
    </w:p>
    <w:p w:rsidR="009A5206" w:rsidRDefault="000F42D9">
      <w:pPr>
        <w:pStyle w:val="ListParagraph"/>
        <w:ind w:left="0"/>
        <w:jc w:val="center"/>
        <w:rPr>
          <w:b/>
          <w:bCs/>
        </w:rPr>
      </w:pPr>
      <w:r>
        <w:rPr>
          <w:noProof/>
        </w:rPr>
        <w:lastRenderedPageBreak/>
        <w:drawing>
          <wp:anchor distT="0" distB="0" distL="114300" distR="114300" simplePos="0" relativeHeight="251660288" behindDoc="0" locked="0" layoutInCell="1" allowOverlap="1">
            <wp:simplePos x="0" y="0"/>
            <wp:positionH relativeFrom="margin">
              <wp:posOffset>481965</wp:posOffset>
            </wp:positionH>
            <wp:positionV relativeFrom="margin">
              <wp:posOffset>638810</wp:posOffset>
            </wp:positionV>
            <wp:extent cx="4264660" cy="2737485"/>
            <wp:effectExtent l="4445" t="5080" r="13335" b="1587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b/>
          <w:bCs/>
        </w:rPr>
        <w:t>Fig 2: Male and Female shell ratio (%)</w:t>
      </w:r>
      <w:r>
        <w:t xml:space="preserve"> </w:t>
      </w:r>
      <w:r>
        <w:rPr>
          <w:b/>
          <w:bCs/>
        </w:rPr>
        <w:t xml:space="preserve">of </w:t>
      </w:r>
      <w:proofErr w:type="spellStart"/>
      <w:r>
        <w:rPr>
          <w:b/>
          <w:bCs/>
        </w:rPr>
        <w:t>eri</w:t>
      </w:r>
      <w:proofErr w:type="spellEnd"/>
      <w:r>
        <w:rPr>
          <w:b/>
          <w:bCs/>
        </w:rPr>
        <w:t xml:space="preserve"> silkworm reared on primary and secondary host plants at Assam </w:t>
      </w:r>
      <w:r>
        <w:rPr>
          <w:b/>
          <w:bCs/>
        </w:rPr>
        <w:t>areas</w:t>
      </w:r>
    </w:p>
    <w:p w:rsidR="009A5206" w:rsidRDefault="009A5206">
      <w:pPr>
        <w:pStyle w:val="Default"/>
        <w:jc w:val="both"/>
        <w:rPr>
          <w:rFonts w:ascii="Times New Roman" w:hAnsi="Times New Roman" w:cs="Times New Roman"/>
        </w:rPr>
      </w:pPr>
    </w:p>
    <w:p w:rsidR="009A5206" w:rsidRDefault="009A5206">
      <w:pPr>
        <w:spacing w:line="276" w:lineRule="auto"/>
        <w:jc w:val="both"/>
        <w:rPr>
          <w:b/>
          <w:bCs/>
        </w:rPr>
      </w:pPr>
    </w:p>
    <w:p w:rsidR="009A5206" w:rsidRDefault="009A5206">
      <w:pPr>
        <w:spacing w:line="276" w:lineRule="auto"/>
        <w:jc w:val="both"/>
        <w:rPr>
          <w:b/>
          <w:bCs/>
        </w:rPr>
      </w:pPr>
    </w:p>
    <w:p w:rsidR="009A5206" w:rsidRDefault="009A5206">
      <w:pPr>
        <w:spacing w:line="276" w:lineRule="auto"/>
        <w:jc w:val="both"/>
        <w:rPr>
          <w:b/>
          <w:bCs/>
        </w:rPr>
      </w:pPr>
    </w:p>
    <w:p w:rsidR="009A5206" w:rsidRDefault="009A5206">
      <w:pPr>
        <w:spacing w:line="276" w:lineRule="auto"/>
        <w:jc w:val="both"/>
        <w:rPr>
          <w:b/>
          <w:bCs/>
        </w:rPr>
      </w:pPr>
    </w:p>
    <w:p w:rsidR="009A5206" w:rsidRDefault="009A5206">
      <w:pPr>
        <w:spacing w:line="276" w:lineRule="auto"/>
        <w:jc w:val="both"/>
        <w:rPr>
          <w:b/>
          <w:bCs/>
        </w:rPr>
      </w:pPr>
    </w:p>
    <w:p w:rsidR="009A5206" w:rsidRDefault="009A5206">
      <w:pPr>
        <w:spacing w:line="276" w:lineRule="auto"/>
        <w:jc w:val="both"/>
        <w:rPr>
          <w:b/>
          <w:bCs/>
        </w:rPr>
      </w:pPr>
    </w:p>
    <w:p w:rsidR="009A5206" w:rsidRDefault="009A5206">
      <w:pPr>
        <w:spacing w:line="276" w:lineRule="auto"/>
        <w:jc w:val="both"/>
        <w:rPr>
          <w:b/>
          <w:bCs/>
        </w:rPr>
      </w:pPr>
    </w:p>
    <w:p w:rsidR="009A5206" w:rsidRDefault="009A5206">
      <w:pPr>
        <w:spacing w:line="276" w:lineRule="auto"/>
        <w:jc w:val="both"/>
        <w:rPr>
          <w:b/>
          <w:bCs/>
        </w:rPr>
      </w:pPr>
    </w:p>
    <w:p w:rsidR="009A5206" w:rsidRDefault="009A5206">
      <w:pPr>
        <w:spacing w:line="276" w:lineRule="auto"/>
        <w:jc w:val="both"/>
        <w:rPr>
          <w:b/>
          <w:bCs/>
        </w:rPr>
      </w:pPr>
    </w:p>
    <w:p w:rsidR="009A5206" w:rsidRDefault="009A5206">
      <w:pPr>
        <w:spacing w:line="276" w:lineRule="auto"/>
        <w:jc w:val="both"/>
        <w:rPr>
          <w:b/>
          <w:bCs/>
        </w:rPr>
      </w:pPr>
    </w:p>
    <w:p w:rsidR="009A5206" w:rsidRDefault="009A5206">
      <w:pPr>
        <w:spacing w:line="276" w:lineRule="auto"/>
        <w:jc w:val="both"/>
        <w:rPr>
          <w:b/>
          <w:bCs/>
        </w:rPr>
      </w:pPr>
    </w:p>
    <w:p w:rsidR="009A5206" w:rsidRDefault="009A5206">
      <w:pPr>
        <w:spacing w:line="276" w:lineRule="auto"/>
        <w:jc w:val="both"/>
        <w:rPr>
          <w:b/>
          <w:bCs/>
        </w:rPr>
      </w:pPr>
    </w:p>
    <w:p w:rsidR="009A5206" w:rsidRDefault="009A5206">
      <w:pPr>
        <w:spacing w:line="276" w:lineRule="auto"/>
        <w:jc w:val="both"/>
        <w:rPr>
          <w:b/>
          <w:bCs/>
        </w:rPr>
      </w:pPr>
    </w:p>
    <w:p w:rsidR="009A5206" w:rsidRDefault="009A5206">
      <w:pPr>
        <w:spacing w:line="276" w:lineRule="auto"/>
        <w:jc w:val="both"/>
        <w:rPr>
          <w:b/>
          <w:bCs/>
        </w:rPr>
      </w:pPr>
    </w:p>
    <w:p w:rsidR="009A5206" w:rsidRDefault="009A5206">
      <w:pPr>
        <w:spacing w:line="276" w:lineRule="auto"/>
        <w:jc w:val="both"/>
        <w:rPr>
          <w:b/>
          <w:bCs/>
        </w:rPr>
      </w:pPr>
    </w:p>
    <w:p w:rsidR="009A5206" w:rsidRDefault="000F42D9">
      <w:pPr>
        <w:spacing w:line="276" w:lineRule="auto"/>
        <w:jc w:val="both"/>
        <w:rPr>
          <w:b/>
          <w:bCs/>
        </w:rPr>
      </w:pPr>
      <w:r>
        <w:rPr>
          <w:b/>
          <w:bCs/>
        </w:rPr>
        <w:t>Conclusion</w:t>
      </w:r>
    </w:p>
    <w:p w:rsidR="009A5206" w:rsidRDefault="009A5206">
      <w:pPr>
        <w:spacing w:line="276" w:lineRule="auto"/>
        <w:ind w:firstLine="720"/>
        <w:jc w:val="both"/>
      </w:pPr>
    </w:p>
    <w:p w:rsidR="009A5206" w:rsidRDefault="000F42D9">
      <w:pPr>
        <w:spacing w:line="276" w:lineRule="auto"/>
        <w:ind w:firstLine="720"/>
        <w:jc w:val="both"/>
      </w:pPr>
      <w:r>
        <w:t xml:space="preserve">The study conclusively demonstrates that host plant type and rearing season exert a significant influence on cocoon characteristics of </w:t>
      </w:r>
      <w:proofErr w:type="spellStart"/>
      <w:r>
        <w:t>eri</w:t>
      </w:r>
      <w:proofErr w:type="spellEnd"/>
      <w:r>
        <w:t xml:space="preserve"> silkworm in Assam. Castor proved to be the most suitable host plant, registering </w:t>
      </w:r>
      <w:r>
        <w:t xml:space="preserve">superior cocoon weight, shell weight, pupal weight and shell ratio in both male and female cocoons across years and seasons. Tapioca emerged as a promising secondary host plant, recording values comparable to castor for most cocoon traits, whereas </w:t>
      </w:r>
      <w:proofErr w:type="spellStart"/>
      <w:r>
        <w:t>kesseru</w:t>
      </w:r>
      <w:proofErr w:type="spellEnd"/>
      <w:r>
        <w:t xml:space="preserve"> </w:t>
      </w:r>
      <w:r>
        <w:t>consistently exhibited inferior performance. Among the rearing seasons, C2 (September-October) followed by C4 (March-April) were identified as the most favourable periods for obtaining superior cocoon characteristics irrespective of host plant. The results</w:t>
      </w:r>
      <w:r>
        <w:t xml:space="preserve"> reaffirm the suitability of castor as the primary host plant for </w:t>
      </w:r>
      <w:proofErr w:type="spellStart"/>
      <w:r>
        <w:t>eri</w:t>
      </w:r>
      <w:proofErr w:type="spellEnd"/>
      <w:r>
        <w:t xml:space="preserve"> silkworm rearing in Assam and highlight the potential of tapioca as an effective alternative host, particularly for sustaining cocoon quality under varying seasonal conditions. These fin</w:t>
      </w:r>
      <w:r>
        <w:t xml:space="preserve">dings provide valuable insights for optimizing host plant selection and seasonal planning to enhance </w:t>
      </w:r>
      <w:proofErr w:type="spellStart"/>
      <w:r>
        <w:t>eri</w:t>
      </w:r>
      <w:proofErr w:type="spellEnd"/>
      <w:r>
        <w:t xml:space="preserve"> silkworm productivity in the region.</w:t>
      </w:r>
    </w:p>
    <w:p w:rsidR="009A5206" w:rsidRDefault="009A5206">
      <w:pPr>
        <w:spacing w:line="276" w:lineRule="auto"/>
        <w:ind w:firstLine="720"/>
        <w:jc w:val="both"/>
      </w:pPr>
    </w:p>
    <w:p w:rsidR="009A5206" w:rsidRDefault="000F42D9">
      <w:pPr>
        <w:spacing w:line="276" w:lineRule="auto"/>
        <w:jc w:val="both"/>
        <w:rPr>
          <w:b/>
          <w:bCs/>
        </w:rPr>
      </w:pPr>
      <w:r>
        <w:rPr>
          <w:b/>
          <w:bCs/>
        </w:rPr>
        <w:t>References</w:t>
      </w:r>
    </w:p>
    <w:p w:rsidR="009A5206" w:rsidRDefault="009A5206">
      <w:pPr>
        <w:spacing w:line="276" w:lineRule="auto"/>
        <w:jc w:val="both"/>
        <w:rPr>
          <w:rFonts w:ascii="Arial" w:hAnsi="Arial" w:cs="Arial"/>
          <w:color w:val="222222"/>
          <w:sz w:val="20"/>
          <w:szCs w:val="20"/>
          <w:shd w:val="clear" w:color="auto" w:fill="FFFFFF"/>
        </w:rPr>
      </w:pPr>
    </w:p>
    <w:p w:rsidR="009A5206" w:rsidRDefault="000F42D9">
      <w:pPr>
        <w:pStyle w:val="ListParagraph"/>
        <w:numPr>
          <w:ilvl w:val="0"/>
          <w:numId w:val="2"/>
        </w:numPr>
        <w:spacing w:line="276" w:lineRule="auto"/>
        <w:jc w:val="both"/>
        <w:rPr>
          <w:color w:val="222222"/>
          <w:shd w:val="clear" w:color="auto" w:fill="FFFFFF"/>
        </w:rPr>
      </w:pPr>
      <w:r>
        <w:rPr>
          <w:color w:val="222222"/>
          <w:shd w:val="clear" w:color="auto" w:fill="FFFFFF"/>
        </w:rPr>
        <w:t xml:space="preserve">BIRARI, V.V, SIDDHAPARA, M R AND DESAI A V., 2019, Rearing performance of </w:t>
      </w:r>
      <w:proofErr w:type="spellStart"/>
      <w:r>
        <w:rPr>
          <w:color w:val="222222"/>
          <w:shd w:val="clear" w:color="auto" w:fill="FFFFFF"/>
        </w:rPr>
        <w:t>eri</w:t>
      </w:r>
      <w:proofErr w:type="spellEnd"/>
      <w:r>
        <w:rPr>
          <w:color w:val="222222"/>
          <w:shd w:val="clear" w:color="auto" w:fill="FFFFFF"/>
        </w:rPr>
        <w:t xml:space="preserve"> silkworm, </w:t>
      </w:r>
      <w:proofErr w:type="spellStart"/>
      <w:r>
        <w:rPr>
          <w:i/>
          <w:iCs/>
          <w:color w:val="222222"/>
          <w:shd w:val="clear" w:color="auto" w:fill="FFFFFF"/>
        </w:rPr>
        <w:t>Samia</w:t>
      </w:r>
      <w:proofErr w:type="spellEnd"/>
      <w:r>
        <w:rPr>
          <w:i/>
          <w:iCs/>
          <w:color w:val="222222"/>
          <w:shd w:val="clear" w:color="auto" w:fill="FFFFFF"/>
        </w:rPr>
        <w:t xml:space="preserve"> </w:t>
      </w:r>
      <w:proofErr w:type="spellStart"/>
      <w:r>
        <w:rPr>
          <w:i/>
          <w:iCs/>
          <w:color w:val="222222"/>
          <w:shd w:val="clear" w:color="auto" w:fill="FFFFFF"/>
        </w:rPr>
        <w:t>ricini</w:t>
      </w:r>
      <w:proofErr w:type="spellEnd"/>
      <w:r>
        <w:rPr>
          <w:color w:val="222222"/>
          <w:shd w:val="clear" w:color="auto" w:fill="FFFFFF"/>
        </w:rPr>
        <w:t xml:space="preserve"> </w:t>
      </w:r>
      <w:r>
        <w:rPr>
          <w:color w:val="222222"/>
          <w:shd w:val="clear" w:color="auto" w:fill="FFFFFF"/>
        </w:rPr>
        <w:t>(</w:t>
      </w:r>
      <w:proofErr w:type="spellStart"/>
      <w:r>
        <w:rPr>
          <w:color w:val="222222"/>
          <w:shd w:val="clear" w:color="auto" w:fill="FFFFFF"/>
        </w:rPr>
        <w:t>Dovovan</w:t>
      </w:r>
      <w:proofErr w:type="spellEnd"/>
      <w:r>
        <w:rPr>
          <w:color w:val="222222"/>
          <w:shd w:val="clear" w:color="auto" w:fill="FFFFFF"/>
        </w:rPr>
        <w:t>) on different host plants.  J. of Farm Sci., 32, pp:443-446.</w:t>
      </w:r>
    </w:p>
    <w:p w:rsidR="009A5206" w:rsidRDefault="009A5206">
      <w:pPr>
        <w:spacing w:line="276" w:lineRule="auto"/>
        <w:jc w:val="both"/>
        <w:rPr>
          <w:color w:val="222222"/>
          <w:shd w:val="clear" w:color="auto" w:fill="FFFFFF"/>
        </w:rPr>
      </w:pPr>
    </w:p>
    <w:p w:rsidR="009A5206" w:rsidRDefault="000F42D9">
      <w:pPr>
        <w:pStyle w:val="ListParagraph"/>
        <w:numPr>
          <w:ilvl w:val="0"/>
          <w:numId w:val="2"/>
        </w:numPr>
        <w:spacing w:line="276" w:lineRule="auto"/>
        <w:jc w:val="both"/>
        <w:rPr>
          <w:shd w:val="clear" w:color="auto" w:fill="FFFFFF"/>
        </w:rPr>
      </w:pPr>
      <w:r>
        <w:rPr>
          <w:shd w:val="clear" w:color="auto" w:fill="FFFFFF"/>
        </w:rPr>
        <w:t xml:space="preserve">GOGOI, D, BORA, N, SINGHA, T A. AND MARAK, M., 2024, Impact of host plants on growth, development and economic characters of </w:t>
      </w:r>
      <w:proofErr w:type="spellStart"/>
      <w:r>
        <w:rPr>
          <w:shd w:val="clear" w:color="auto" w:fill="FFFFFF"/>
        </w:rPr>
        <w:t>eri</w:t>
      </w:r>
      <w:proofErr w:type="spellEnd"/>
      <w:r>
        <w:rPr>
          <w:shd w:val="clear" w:color="auto" w:fill="FFFFFF"/>
        </w:rPr>
        <w:t xml:space="preserve"> silkworm (</w:t>
      </w:r>
      <w:proofErr w:type="spellStart"/>
      <w:r>
        <w:rPr>
          <w:i/>
          <w:iCs/>
          <w:shd w:val="clear" w:color="auto" w:fill="FFFFFF"/>
        </w:rPr>
        <w:t>Samia</w:t>
      </w:r>
      <w:proofErr w:type="spellEnd"/>
      <w:r>
        <w:rPr>
          <w:i/>
          <w:iCs/>
          <w:shd w:val="clear" w:color="auto" w:fill="FFFFFF"/>
        </w:rPr>
        <w:t xml:space="preserve"> </w:t>
      </w:r>
      <w:proofErr w:type="spellStart"/>
      <w:r>
        <w:rPr>
          <w:i/>
          <w:iCs/>
          <w:shd w:val="clear" w:color="auto" w:fill="FFFFFF"/>
        </w:rPr>
        <w:t>ricini</w:t>
      </w:r>
      <w:proofErr w:type="spellEnd"/>
      <w:r>
        <w:rPr>
          <w:shd w:val="clear" w:color="auto" w:fill="FFFFFF"/>
        </w:rPr>
        <w:t xml:space="preserve"> </w:t>
      </w:r>
      <w:proofErr w:type="spellStart"/>
      <w:r>
        <w:rPr>
          <w:shd w:val="clear" w:color="auto" w:fill="FFFFFF"/>
        </w:rPr>
        <w:t>Boisd</w:t>
      </w:r>
      <w:proofErr w:type="spellEnd"/>
      <w:r>
        <w:rPr>
          <w:shd w:val="clear" w:color="auto" w:fill="FFFFFF"/>
        </w:rPr>
        <w:t>.). </w:t>
      </w:r>
      <w:r>
        <w:rPr>
          <w:color w:val="0A0A0A"/>
          <w:shd w:val="clear" w:color="auto" w:fill="FFFFFF"/>
        </w:rPr>
        <w:t>J. Adv. Biol. </w:t>
      </w:r>
      <w:proofErr w:type="spellStart"/>
      <w:r>
        <w:rPr>
          <w:color w:val="0A0A0A"/>
          <w:shd w:val="clear" w:color="auto" w:fill="FFFFFF"/>
        </w:rPr>
        <w:t>Biotechnol</w:t>
      </w:r>
      <w:proofErr w:type="spellEnd"/>
      <w:r>
        <w:rPr>
          <w:shd w:val="clear" w:color="auto" w:fill="FFFFFF"/>
        </w:rPr>
        <w:t>.,</w:t>
      </w:r>
      <w:r>
        <w:rPr>
          <w:b/>
          <w:bCs/>
          <w:shd w:val="clear" w:color="auto" w:fill="FFFFFF"/>
        </w:rPr>
        <w:t xml:space="preserve"> </w:t>
      </w:r>
      <w:proofErr w:type="gramStart"/>
      <w:r>
        <w:rPr>
          <w:shd w:val="clear" w:color="auto" w:fill="FFFFFF"/>
        </w:rPr>
        <w:t>27,  pp</w:t>
      </w:r>
      <w:proofErr w:type="gramEnd"/>
      <w:r>
        <w:rPr>
          <w:shd w:val="clear" w:color="auto" w:fill="FFFFFF"/>
        </w:rPr>
        <w:t>:1229-1235.</w:t>
      </w:r>
    </w:p>
    <w:p w:rsidR="009A5206" w:rsidRDefault="009A5206">
      <w:pPr>
        <w:spacing w:line="276" w:lineRule="auto"/>
        <w:jc w:val="both"/>
        <w:rPr>
          <w:shd w:val="clear" w:color="auto" w:fill="FFFFFF"/>
        </w:rPr>
      </w:pPr>
    </w:p>
    <w:p w:rsidR="009A5206" w:rsidRDefault="000F42D9">
      <w:pPr>
        <w:pStyle w:val="ListParagraph"/>
        <w:numPr>
          <w:ilvl w:val="0"/>
          <w:numId w:val="2"/>
        </w:numPr>
        <w:spacing w:line="276" w:lineRule="auto"/>
        <w:jc w:val="both"/>
        <w:rPr>
          <w:color w:val="222222"/>
          <w:shd w:val="clear" w:color="auto" w:fill="FFFFFF"/>
        </w:rPr>
      </w:pPr>
      <w:r>
        <w:rPr>
          <w:color w:val="222222"/>
          <w:shd w:val="clear" w:color="auto" w:fill="FFFFFF"/>
        </w:rPr>
        <w:lastRenderedPageBreak/>
        <w:t xml:space="preserve">HAZARIKA, U., BARAH, A., PHUKON, J.D. AND BENCHAMIN, K.V., 2003, Studies on the effect of different food plants and seasons on the larval development and cocoon characters of silkworm </w:t>
      </w:r>
      <w:proofErr w:type="spellStart"/>
      <w:r>
        <w:rPr>
          <w:i/>
          <w:iCs/>
          <w:color w:val="222222"/>
          <w:shd w:val="clear" w:color="auto" w:fill="FFFFFF"/>
        </w:rPr>
        <w:t>Samia</w:t>
      </w:r>
      <w:proofErr w:type="spellEnd"/>
      <w:r>
        <w:rPr>
          <w:i/>
          <w:iCs/>
          <w:color w:val="222222"/>
          <w:shd w:val="clear" w:color="auto" w:fill="FFFFFF"/>
        </w:rPr>
        <w:t xml:space="preserve"> </w:t>
      </w:r>
      <w:proofErr w:type="spellStart"/>
      <w:r>
        <w:rPr>
          <w:i/>
          <w:iCs/>
          <w:color w:val="222222"/>
          <w:shd w:val="clear" w:color="auto" w:fill="FFFFFF"/>
        </w:rPr>
        <w:t>cynthia</w:t>
      </w:r>
      <w:proofErr w:type="spellEnd"/>
      <w:r>
        <w:rPr>
          <w:i/>
          <w:iCs/>
          <w:color w:val="222222"/>
          <w:shd w:val="clear" w:color="auto" w:fill="FFFFFF"/>
        </w:rPr>
        <w:t xml:space="preserve"> </w:t>
      </w:r>
      <w:proofErr w:type="spellStart"/>
      <w:r>
        <w:rPr>
          <w:i/>
          <w:iCs/>
          <w:color w:val="222222"/>
          <w:shd w:val="clear" w:color="auto" w:fill="FFFFFF"/>
        </w:rPr>
        <w:t>ricini</w:t>
      </w:r>
      <w:proofErr w:type="spellEnd"/>
      <w:r>
        <w:rPr>
          <w:color w:val="222222"/>
          <w:shd w:val="clear" w:color="auto" w:fill="FFFFFF"/>
        </w:rPr>
        <w:t xml:space="preserve"> </w:t>
      </w:r>
      <w:proofErr w:type="spellStart"/>
      <w:r>
        <w:rPr>
          <w:color w:val="222222"/>
          <w:shd w:val="clear" w:color="auto" w:fill="FFFFFF"/>
        </w:rPr>
        <w:t>boisduval</w:t>
      </w:r>
      <w:proofErr w:type="spellEnd"/>
      <w:r>
        <w:rPr>
          <w:color w:val="222222"/>
          <w:shd w:val="clear" w:color="auto" w:fill="FFFFFF"/>
        </w:rPr>
        <w:t>, p: 77-85.</w:t>
      </w:r>
    </w:p>
    <w:p w:rsidR="009A5206" w:rsidRDefault="009A5206">
      <w:pPr>
        <w:spacing w:line="276" w:lineRule="auto"/>
        <w:jc w:val="both"/>
        <w:rPr>
          <w:color w:val="222222"/>
          <w:shd w:val="clear" w:color="auto" w:fill="FFFFFF"/>
        </w:rPr>
      </w:pPr>
    </w:p>
    <w:p w:rsidR="009A5206" w:rsidRDefault="000F42D9">
      <w:pPr>
        <w:pStyle w:val="ListParagraph"/>
        <w:numPr>
          <w:ilvl w:val="0"/>
          <w:numId w:val="2"/>
        </w:numPr>
        <w:spacing w:line="276" w:lineRule="auto"/>
        <w:jc w:val="both"/>
        <w:rPr>
          <w:color w:val="222222"/>
          <w:shd w:val="clear" w:color="auto" w:fill="FFFFFF"/>
        </w:rPr>
      </w:pPr>
      <w:r>
        <w:rPr>
          <w:color w:val="222222"/>
          <w:shd w:val="clear" w:color="auto" w:fill="FFFFFF"/>
        </w:rPr>
        <w:t xml:space="preserve">SARKAR, B.N. AND BORPUZARI, P., 2022, Sustainable </w:t>
      </w:r>
      <w:proofErr w:type="spellStart"/>
      <w:r>
        <w:rPr>
          <w:color w:val="222222"/>
          <w:shd w:val="clear" w:color="auto" w:fill="FFFFFF"/>
        </w:rPr>
        <w:t>eri</w:t>
      </w:r>
      <w:proofErr w:type="spellEnd"/>
      <w:r>
        <w:rPr>
          <w:color w:val="222222"/>
          <w:shd w:val="clear" w:color="auto" w:fill="FFFFFF"/>
        </w:rPr>
        <w:t xml:space="preserve"> culture and impact of different food plants and rearing technology on cocoon yield. </w:t>
      </w:r>
      <w:r>
        <w:rPr>
          <w:rStyle w:val="Strong"/>
          <w:b w:val="0"/>
          <w:bCs w:val="0"/>
          <w:i/>
          <w:iCs/>
          <w:color w:val="0A0A0A"/>
          <w:shd w:val="clear" w:color="auto" w:fill="FFFFFF"/>
        </w:rPr>
        <w:t>Plant Arch.,</w:t>
      </w:r>
      <w:r>
        <w:rPr>
          <w:i/>
          <w:iCs/>
          <w:color w:val="222222"/>
          <w:shd w:val="clear" w:color="auto" w:fill="FFFFFF"/>
        </w:rPr>
        <w:t xml:space="preserve"> (09725210)</w:t>
      </w:r>
      <w:r>
        <w:rPr>
          <w:color w:val="222222"/>
          <w:shd w:val="clear" w:color="auto" w:fill="FFFFFF"/>
        </w:rPr>
        <w:t>.</w:t>
      </w:r>
    </w:p>
    <w:p w:rsidR="009A5206" w:rsidRDefault="009A5206">
      <w:pPr>
        <w:spacing w:line="276" w:lineRule="auto"/>
        <w:jc w:val="both"/>
        <w:rPr>
          <w:color w:val="222222"/>
          <w:shd w:val="clear" w:color="auto" w:fill="FFFFFF"/>
        </w:rPr>
      </w:pPr>
    </w:p>
    <w:p w:rsidR="009A5206" w:rsidRDefault="000F42D9">
      <w:pPr>
        <w:pStyle w:val="ListParagraph"/>
        <w:numPr>
          <w:ilvl w:val="0"/>
          <w:numId w:val="2"/>
        </w:numPr>
        <w:spacing w:line="276" w:lineRule="auto"/>
        <w:jc w:val="both"/>
        <w:rPr>
          <w:color w:val="222222"/>
          <w:shd w:val="clear" w:color="auto" w:fill="FFFFFF"/>
        </w:rPr>
      </w:pPr>
      <w:r>
        <w:rPr>
          <w:color w:val="222222"/>
          <w:shd w:val="clear" w:color="auto" w:fill="FFFFFF"/>
        </w:rPr>
        <w:t xml:space="preserve">SUBRAMANIANAN, K., SAKTHIVEL, N. AND QADRI, S. M. H., 2013, Rearing technology of </w:t>
      </w:r>
      <w:proofErr w:type="spellStart"/>
      <w:r>
        <w:rPr>
          <w:color w:val="222222"/>
          <w:shd w:val="clear" w:color="auto" w:fill="FFFFFF"/>
        </w:rPr>
        <w:t>eri</w:t>
      </w:r>
      <w:proofErr w:type="spellEnd"/>
      <w:r>
        <w:rPr>
          <w:color w:val="222222"/>
          <w:shd w:val="clear" w:color="auto" w:fill="FFFFFF"/>
        </w:rPr>
        <w:t xml:space="preserve"> silkwo</w:t>
      </w:r>
      <w:r>
        <w:rPr>
          <w:color w:val="222222"/>
          <w:shd w:val="clear" w:color="auto" w:fill="FFFFFF"/>
        </w:rPr>
        <w:t>rm (</w:t>
      </w:r>
      <w:proofErr w:type="spellStart"/>
      <w:r>
        <w:rPr>
          <w:i/>
          <w:iCs/>
          <w:color w:val="222222"/>
          <w:shd w:val="clear" w:color="auto" w:fill="FFFFFF"/>
        </w:rPr>
        <w:t>Samia</w:t>
      </w:r>
      <w:proofErr w:type="spellEnd"/>
      <w:r>
        <w:rPr>
          <w:i/>
          <w:iCs/>
          <w:color w:val="222222"/>
          <w:shd w:val="clear" w:color="auto" w:fill="FFFFFF"/>
        </w:rPr>
        <w:t xml:space="preserve"> </w:t>
      </w:r>
      <w:proofErr w:type="spellStart"/>
      <w:r>
        <w:rPr>
          <w:i/>
          <w:iCs/>
          <w:color w:val="222222"/>
          <w:shd w:val="clear" w:color="auto" w:fill="FFFFFF"/>
        </w:rPr>
        <w:t>cynthia</w:t>
      </w:r>
      <w:proofErr w:type="spellEnd"/>
      <w:r>
        <w:rPr>
          <w:i/>
          <w:iCs/>
          <w:color w:val="222222"/>
          <w:shd w:val="clear" w:color="auto" w:fill="FFFFFF"/>
        </w:rPr>
        <w:t xml:space="preserve"> </w:t>
      </w:r>
      <w:proofErr w:type="spellStart"/>
      <w:r>
        <w:rPr>
          <w:i/>
          <w:iCs/>
          <w:color w:val="222222"/>
          <w:shd w:val="clear" w:color="auto" w:fill="FFFFFF"/>
        </w:rPr>
        <w:t>ricini</w:t>
      </w:r>
      <w:proofErr w:type="spellEnd"/>
      <w:r>
        <w:rPr>
          <w:color w:val="222222"/>
          <w:shd w:val="clear" w:color="auto" w:fill="FFFFFF"/>
        </w:rPr>
        <w:t>) under varied seasonal and host plant conditions in Tamil Nadu. </w:t>
      </w:r>
      <w:r>
        <w:rPr>
          <w:i/>
          <w:iCs/>
          <w:color w:val="001D35"/>
          <w:shd w:val="clear" w:color="auto" w:fill="FFFFFF"/>
        </w:rPr>
        <w:t xml:space="preserve">Int.  j. Life Sc. </w:t>
      </w:r>
      <w:proofErr w:type="spellStart"/>
      <w:r>
        <w:rPr>
          <w:i/>
          <w:iCs/>
          <w:color w:val="001D35"/>
          <w:shd w:val="clear" w:color="auto" w:fill="FFFFFF"/>
        </w:rPr>
        <w:t>bt</w:t>
      </w:r>
      <w:proofErr w:type="spellEnd"/>
      <w:r>
        <w:rPr>
          <w:i/>
          <w:iCs/>
          <w:color w:val="001D35"/>
          <w:shd w:val="clear" w:color="auto" w:fill="FFFFFF"/>
        </w:rPr>
        <w:t xml:space="preserve"> &amp; pharm. res.,</w:t>
      </w:r>
      <w:r>
        <w:rPr>
          <w:i/>
          <w:iCs/>
          <w:color w:val="222222"/>
          <w:shd w:val="clear" w:color="auto" w:fill="FFFFFF"/>
        </w:rPr>
        <w:t> </w:t>
      </w:r>
      <w:proofErr w:type="gramStart"/>
      <w:r>
        <w:rPr>
          <w:color w:val="222222"/>
          <w:shd w:val="clear" w:color="auto" w:fill="FFFFFF"/>
        </w:rPr>
        <w:t>2,  pp</w:t>
      </w:r>
      <w:proofErr w:type="gramEnd"/>
      <w:r>
        <w:rPr>
          <w:color w:val="222222"/>
          <w:shd w:val="clear" w:color="auto" w:fill="FFFFFF"/>
        </w:rPr>
        <w:t>:130-141.</w:t>
      </w:r>
    </w:p>
    <w:p w:rsidR="000F42D9" w:rsidRPr="000F42D9" w:rsidRDefault="000F42D9" w:rsidP="000F42D9">
      <w:pPr>
        <w:pStyle w:val="ListParagraph"/>
        <w:rPr>
          <w:color w:val="222222"/>
          <w:shd w:val="clear" w:color="auto" w:fill="FFFFFF"/>
        </w:rPr>
      </w:pPr>
    </w:p>
    <w:p w:rsidR="000F42D9" w:rsidRDefault="000F42D9">
      <w:pPr>
        <w:pStyle w:val="ListParagraph"/>
        <w:numPr>
          <w:ilvl w:val="0"/>
          <w:numId w:val="2"/>
        </w:numPr>
        <w:spacing w:line="276" w:lineRule="auto"/>
        <w:jc w:val="both"/>
        <w:rPr>
          <w:color w:val="222222"/>
          <w:shd w:val="clear" w:color="auto" w:fill="FFFFFF"/>
        </w:rPr>
      </w:pPr>
      <w:proofErr w:type="spellStart"/>
      <w:r w:rsidRPr="000F42D9">
        <w:rPr>
          <w:color w:val="222222"/>
          <w:shd w:val="clear" w:color="auto" w:fill="FFFFFF"/>
        </w:rPr>
        <w:t>Birari</w:t>
      </w:r>
      <w:proofErr w:type="spellEnd"/>
      <w:r w:rsidRPr="000F42D9">
        <w:rPr>
          <w:color w:val="222222"/>
          <w:shd w:val="clear" w:color="auto" w:fill="FFFFFF"/>
        </w:rPr>
        <w:t xml:space="preserve">, V. V., </w:t>
      </w:r>
      <w:proofErr w:type="spellStart"/>
      <w:r w:rsidRPr="000F42D9">
        <w:rPr>
          <w:color w:val="222222"/>
          <w:shd w:val="clear" w:color="auto" w:fill="FFFFFF"/>
        </w:rPr>
        <w:t>Siddhapara</w:t>
      </w:r>
      <w:proofErr w:type="spellEnd"/>
      <w:r w:rsidRPr="000F42D9">
        <w:rPr>
          <w:color w:val="222222"/>
          <w:shd w:val="clear" w:color="auto" w:fill="FFFFFF"/>
        </w:rPr>
        <w:t xml:space="preserve">, M. R., &amp; Desai, A. V. (2019). Rearing performance of </w:t>
      </w:r>
      <w:proofErr w:type="spellStart"/>
      <w:r w:rsidRPr="000F42D9">
        <w:rPr>
          <w:color w:val="222222"/>
          <w:shd w:val="clear" w:color="auto" w:fill="FFFFFF"/>
        </w:rPr>
        <w:t>eri</w:t>
      </w:r>
      <w:proofErr w:type="spellEnd"/>
      <w:r w:rsidRPr="000F42D9">
        <w:rPr>
          <w:color w:val="222222"/>
          <w:shd w:val="clear" w:color="auto" w:fill="FFFFFF"/>
        </w:rPr>
        <w:t xml:space="preserve"> silkworm, </w:t>
      </w:r>
      <w:proofErr w:type="spellStart"/>
      <w:r w:rsidRPr="000F42D9">
        <w:rPr>
          <w:color w:val="222222"/>
          <w:shd w:val="clear" w:color="auto" w:fill="FFFFFF"/>
        </w:rPr>
        <w:t>Samia</w:t>
      </w:r>
      <w:proofErr w:type="spellEnd"/>
      <w:r w:rsidRPr="000F42D9">
        <w:rPr>
          <w:color w:val="222222"/>
          <w:shd w:val="clear" w:color="auto" w:fill="FFFFFF"/>
        </w:rPr>
        <w:t xml:space="preserve"> </w:t>
      </w:r>
      <w:proofErr w:type="spellStart"/>
      <w:r w:rsidRPr="000F42D9">
        <w:rPr>
          <w:color w:val="222222"/>
          <w:shd w:val="clear" w:color="auto" w:fill="FFFFFF"/>
        </w:rPr>
        <w:t>ricini</w:t>
      </w:r>
      <w:proofErr w:type="spellEnd"/>
      <w:r w:rsidRPr="000F42D9">
        <w:rPr>
          <w:color w:val="222222"/>
          <w:shd w:val="clear" w:color="auto" w:fill="FFFFFF"/>
        </w:rPr>
        <w:t xml:space="preserve"> (</w:t>
      </w:r>
      <w:proofErr w:type="spellStart"/>
      <w:r w:rsidRPr="000F42D9">
        <w:rPr>
          <w:color w:val="222222"/>
          <w:shd w:val="clear" w:color="auto" w:fill="FFFFFF"/>
        </w:rPr>
        <w:t>Dovovan</w:t>
      </w:r>
      <w:proofErr w:type="spellEnd"/>
      <w:r w:rsidRPr="000F42D9">
        <w:rPr>
          <w:color w:val="222222"/>
          <w:shd w:val="clear" w:color="auto" w:fill="FFFFFF"/>
        </w:rPr>
        <w:t>) on different host plants. Journal of Farm Sciences, 32(4), 443-446.</w:t>
      </w:r>
    </w:p>
    <w:p w:rsidR="000F42D9" w:rsidRPr="000F42D9" w:rsidRDefault="000F42D9" w:rsidP="000F42D9">
      <w:pPr>
        <w:pStyle w:val="ListParagraph"/>
        <w:rPr>
          <w:color w:val="222222"/>
          <w:shd w:val="clear" w:color="auto" w:fill="FFFFFF"/>
        </w:rPr>
      </w:pPr>
    </w:p>
    <w:p w:rsidR="000F42D9" w:rsidRDefault="000F42D9">
      <w:pPr>
        <w:pStyle w:val="ListParagraph"/>
        <w:numPr>
          <w:ilvl w:val="0"/>
          <w:numId w:val="2"/>
        </w:numPr>
        <w:spacing w:line="276" w:lineRule="auto"/>
        <w:jc w:val="both"/>
        <w:rPr>
          <w:color w:val="222222"/>
          <w:shd w:val="clear" w:color="auto" w:fill="FFFFFF"/>
        </w:rPr>
      </w:pPr>
      <w:r w:rsidRPr="000F42D9">
        <w:rPr>
          <w:color w:val="222222"/>
          <w:shd w:val="clear" w:color="auto" w:fill="FFFFFF"/>
        </w:rPr>
        <w:t xml:space="preserve">Das, T., </w:t>
      </w:r>
      <w:proofErr w:type="spellStart"/>
      <w:r w:rsidRPr="000F42D9">
        <w:rPr>
          <w:color w:val="222222"/>
          <w:shd w:val="clear" w:color="auto" w:fill="FFFFFF"/>
        </w:rPr>
        <w:t>Kalita</w:t>
      </w:r>
      <w:proofErr w:type="spellEnd"/>
      <w:r w:rsidRPr="000F42D9">
        <w:rPr>
          <w:color w:val="222222"/>
          <w:shd w:val="clear" w:color="auto" w:fill="FFFFFF"/>
        </w:rPr>
        <w:t xml:space="preserve">, D., &amp; Das, M. (2023). Effect of castor, Ricinus </w:t>
      </w:r>
      <w:proofErr w:type="spellStart"/>
      <w:r w:rsidRPr="000F42D9">
        <w:rPr>
          <w:color w:val="222222"/>
          <w:shd w:val="clear" w:color="auto" w:fill="FFFFFF"/>
        </w:rPr>
        <w:t>communis</w:t>
      </w:r>
      <w:proofErr w:type="spellEnd"/>
      <w:r w:rsidRPr="000F42D9">
        <w:rPr>
          <w:color w:val="222222"/>
          <w:shd w:val="clear" w:color="auto" w:fill="FFFFFF"/>
        </w:rPr>
        <w:t xml:space="preserve"> L. and banyan, </w:t>
      </w:r>
      <w:proofErr w:type="spellStart"/>
      <w:r w:rsidRPr="000F42D9">
        <w:rPr>
          <w:color w:val="222222"/>
          <w:shd w:val="clear" w:color="auto" w:fill="FFFFFF"/>
        </w:rPr>
        <w:t>Ficus</w:t>
      </w:r>
      <w:proofErr w:type="spellEnd"/>
      <w:r w:rsidRPr="000F42D9">
        <w:rPr>
          <w:color w:val="222222"/>
          <w:shd w:val="clear" w:color="auto" w:fill="FFFFFF"/>
        </w:rPr>
        <w:t xml:space="preserve"> </w:t>
      </w:r>
      <w:proofErr w:type="spellStart"/>
      <w:r w:rsidRPr="000F42D9">
        <w:rPr>
          <w:color w:val="222222"/>
          <w:shd w:val="clear" w:color="auto" w:fill="FFFFFF"/>
        </w:rPr>
        <w:t>benghalensis</w:t>
      </w:r>
      <w:proofErr w:type="spellEnd"/>
      <w:r w:rsidRPr="000F42D9">
        <w:rPr>
          <w:color w:val="222222"/>
          <w:shd w:val="clear" w:color="auto" w:fill="FFFFFF"/>
        </w:rPr>
        <w:t xml:space="preserve"> L. plants on economic traits of </w:t>
      </w:r>
      <w:proofErr w:type="spellStart"/>
      <w:r w:rsidRPr="000F42D9">
        <w:rPr>
          <w:color w:val="222222"/>
          <w:shd w:val="clear" w:color="auto" w:fill="FFFFFF"/>
        </w:rPr>
        <w:t>eri</w:t>
      </w:r>
      <w:proofErr w:type="spellEnd"/>
      <w:r w:rsidRPr="000F42D9">
        <w:rPr>
          <w:color w:val="222222"/>
          <w:shd w:val="clear" w:color="auto" w:fill="FFFFFF"/>
        </w:rPr>
        <w:t xml:space="preserve"> silkworm, </w:t>
      </w:r>
      <w:proofErr w:type="spellStart"/>
      <w:r w:rsidRPr="000F42D9">
        <w:rPr>
          <w:color w:val="222222"/>
          <w:shd w:val="clear" w:color="auto" w:fill="FFFFFF"/>
        </w:rPr>
        <w:t>Samia</w:t>
      </w:r>
      <w:proofErr w:type="spellEnd"/>
      <w:r w:rsidRPr="000F42D9">
        <w:rPr>
          <w:color w:val="222222"/>
          <w:shd w:val="clear" w:color="auto" w:fill="FFFFFF"/>
        </w:rPr>
        <w:t xml:space="preserve"> </w:t>
      </w:r>
      <w:proofErr w:type="spellStart"/>
      <w:r w:rsidRPr="000F42D9">
        <w:rPr>
          <w:color w:val="222222"/>
          <w:shd w:val="clear" w:color="auto" w:fill="FFFFFF"/>
        </w:rPr>
        <w:t>ricini</w:t>
      </w:r>
      <w:proofErr w:type="spellEnd"/>
      <w:r w:rsidRPr="000F42D9">
        <w:rPr>
          <w:color w:val="222222"/>
          <w:shd w:val="clear" w:color="auto" w:fill="FFFFFF"/>
        </w:rPr>
        <w:t xml:space="preserve"> Donovan (Lepidoptera: </w:t>
      </w:r>
      <w:proofErr w:type="spellStart"/>
      <w:r w:rsidRPr="000F42D9">
        <w:rPr>
          <w:color w:val="222222"/>
          <w:shd w:val="clear" w:color="auto" w:fill="FFFFFF"/>
        </w:rPr>
        <w:t>Saturniidae</w:t>
      </w:r>
      <w:proofErr w:type="spellEnd"/>
      <w:r w:rsidRPr="000F42D9">
        <w:rPr>
          <w:color w:val="222222"/>
          <w:shd w:val="clear" w:color="auto" w:fill="FFFFFF"/>
        </w:rPr>
        <w:t>). International Journal of Tropical Insect Science, 43(1), 217-224.</w:t>
      </w:r>
    </w:p>
    <w:p w:rsidR="000F42D9" w:rsidRPr="000F42D9" w:rsidRDefault="000F42D9" w:rsidP="000F42D9">
      <w:pPr>
        <w:pStyle w:val="ListParagraph"/>
        <w:rPr>
          <w:color w:val="222222"/>
          <w:shd w:val="clear" w:color="auto" w:fill="FFFFFF"/>
        </w:rPr>
      </w:pPr>
    </w:p>
    <w:p w:rsidR="000F42D9" w:rsidRDefault="000F42D9">
      <w:pPr>
        <w:pStyle w:val="ListParagraph"/>
        <w:numPr>
          <w:ilvl w:val="0"/>
          <w:numId w:val="2"/>
        </w:numPr>
        <w:spacing w:line="276" w:lineRule="auto"/>
        <w:jc w:val="both"/>
        <w:rPr>
          <w:color w:val="222222"/>
          <w:shd w:val="clear" w:color="auto" w:fill="FFFFFF"/>
        </w:rPr>
      </w:pPr>
      <w:proofErr w:type="spellStart"/>
      <w:r w:rsidRPr="000F42D9">
        <w:rPr>
          <w:color w:val="222222"/>
          <w:shd w:val="clear" w:color="auto" w:fill="FFFFFF"/>
        </w:rPr>
        <w:t>Wongsorn</w:t>
      </w:r>
      <w:proofErr w:type="spellEnd"/>
      <w:r w:rsidRPr="000F42D9">
        <w:rPr>
          <w:color w:val="222222"/>
          <w:shd w:val="clear" w:color="auto" w:fill="FFFFFF"/>
        </w:rPr>
        <w:t xml:space="preserve">, D., </w:t>
      </w:r>
      <w:proofErr w:type="spellStart"/>
      <w:r w:rsidRPr="000F42D9">
        <w:rPr>
          <w:color w:val="222222"/>
          <w:shd w:val="clear" w:color="auto" w:fill="FFFFFF"/>
        </w:rPr>
        <w:t>Chueakhokkruad</w:t>
      </w:r>
      <w:proofErr w:type="spellEnd"/>
      <w:r w:rsidRPr="000F42D9">
        <w:rPr>
          <w:color w:val="222222"/>
          <w:shd w:val="clear" w:color="auto" w:fill="FFFFFF"/>
        </w:rPr>
        <w:t xml:space="preserve">, A., </w:t>
      </w:r>
      <w:proofErr w:type="spellStart"/>
      <w:r w:rsidRPr="000F42D9">
        <w:rPr>
          <w:color w:val="222222"/>
          <w:shd w:val="clear" w:color="auto" w:fill="FFFFFF"/>
        </w:rPr>
        <w:t>Pinwiset</w:t>
      </w:r>
      <w:proofErr w:type="spellEnd"/>
      <w:r w:rsidRPr="000F42D9">
        <w:rPr>
          <w:color w:val="222222"/>
          <w:shd w:val="clear" w:color="auto" w:fill="FFFFFF"/>
        </w:rPr>
        <w:t xml:space="preserve">, J., &amp; </w:t>
      </w:r>
      <w:proofErr w:type="spellStart"/>
      <w:r w:rsidRPr="000F42D9">
        <w:rPr>
          <w:color w:val="222222"/>
          <w:shd w:val="clear" w:color="auto" w:fill="FFFFFF"/>
        </w:rPr>
        <w:t>Saenmahayak</w:t>
      </w:r>
      <w:proofErr w:type="spellEnd"/>
      <w:r w:rsidRPr="000F42D9">
        <w:rPr>
          <w:color w:val="222222"/>
          <w:shd w:val="clear" w:color="auto" w:fill="FFFFFF"/>
        </w:rPr>
        <w:t xml:space="preserve">, B. (2024). Evaluation of host plants’ nutrition on life cycle, economic traits and nutrition value of </w:t>
      </w:r>
      <w:proofErr w:type="spellStart"/>
      <w:r w:rsidRPr="000F42D9">
        <w:rPr>
          <w:color w:val="222222"/>
          <w:shd w:val="clear" w:color="auto" w:fill="FFFFFF"/>
        </w:rPr>
        <w:t>eri</w:t>
      </w:r>
      <w:proofErr w:type="spellEnd"/>
      <w:r w:rsidRPr="000F42D9">
        <w:rPr>
          <w:color w:val="222222"/>
          <w:shd w:val="clear" w:color="auto" w:fill="FFFFFF"/>
        </w:rPr>
        <w:t xml:space="preserve"> silkworm (</w:t>
      </w:r>
      <w:proofErr w:type="spellStart"/>
      <w:r w:rsidRPr="000F42D9">
        <w:rPr>
          <w:color w:val="222222"/>
          <w:shd w:val="clear" w:color="auto" w:fill="FFFFFF"/>
        </w:rPr>
        <w:t>Samia</w:t>
      </w:r>
      <w:proofErr w:type="spellEnd"/>
      <w:r w:rsidRPr="000F42D9">
        <w:rPr>
          <w:color w:val="222222"/>
          <w:shd w:val="clear" w:color="auto" w:fill="FFFFFF"/>
        </w:rPr>
        <w:t xml:space="preserve"> </w:t>
      </w:r>
      <w:proofErr w:type="spellStart"/>
      <w:r w:rsidRPr="000F42D9">
        <w:rPr>
          <w:color w:val="222222"/>
          <w:shd w:val="clear" w:color="auto" w:fill="FFFFFF"/>
        </w:rPr>
        <w:t>ricini</w:t>
      </w:r>
      <w:proofErr w:type="spellEnd"/>
      <w:r w:rsidRPr="000F42D9">
        <w:rPr>
          <w:color w:val="222222"/>
          <w:shd w:val="clear" w:color="auto" w:fill="FFFFFF"/>
        </w:rPr>
        <w:t xml:space="preserve"> Donovan). International Journal of Agricultural Technology, 20(5), 2207-2220.</w:t>
      </w:r>
    </w:p>
    <w:p w:rsidR="000F42D9" w:rsidRPr="000F42D9" w:rsidRDefault="000F42D9" w:rsidP="000F42D9">
      <w:pPr>
        <w:pStyle w:val="ListParagraph"/>
        <w:rPr>
          <w:color w:val="222222"/>
          <w:shd w:val="clear" w:color="auto" w:fill="FFFFFF"/>
        </w:rPr>
      </w:pPr>
    </w:p>
    <w:p w:rsidR="000F42D9" w:rsidRDefault="000F42D9">
      <w:pPr>
        <w:pStyle w:val="ListParagraph"/>
        <w:numPr>
          <w:ilvl w:val="0"/>
          <w:numId w:val="2"/>
        </w:numPr>
        <w:spacing w:line="276" w:lineRule="auto"/>
        <w:jc w:val="both"/>
        <w:rPr>
          <w:color w:val="222222"/>
          <w:shd w:val="clear" w:color="auto" w:fill="FFFFFF"/>
        </w:rPr>
      </w:pPr>
      <w:proofErr w:type="spellStart"/>
      <w:r w:rsidRPr="000F42D9">
        <w:rPr>
          <w:color w:val="222222"/>
          <w:shd w:val="clear" w:color="auto" w:fill="FFFFFF"/>
        </w:rPr>
        <w:t>Sarma</w:t>
      </w:r>
      <w:proofErr w:type="spellEnd"/>
      <w:r w:rsidRPr="000F42D9">
        <w:rPr>
          <w:color w:val="222222"/>
          <w:shd w:val="clear" w:color="auto" w:fill="FFFFFF"/>
        </w:rPr>
        <w:t xml:space="preserve">, D., </w:t>
      </w:r>
      <w:proofErr w:type="spellStart"/>
      <w:r w:rsidRPr="000F42D9">
        <w:rPr>
          <w:color w:val="222222"/>
          <w:shd w:val="clear" w:color="auto" w:fill="FFFFFF"/>
        </w:rPr>
        <w:t>Khanikor</w:t>
      </w:r>
      <w:proofErr w:type="spellEnd"/>
      <w:r w:rsidRPr="000F42D9">
        <w:rPr>
          <w:color w:val="222222"/>
          <w:shd w:val="clear" w:color="auto" w:fill="FFFFFF"/>
        </w:rPr>
        <w:t xml:space="preserve">, B., Sultana, N., &amp; </w:t>
      </w:r>
      <w:proofErr w:type="spellStart"/>
      <w:r w:rsidRPr="000F42D9">
        <w:rPr>
          <w:color w:val="222222"/>
          <w:shd w:val="clear" w:color="auto" w:fill="FFFFFF"/>
        </w:rPr>
        <w:t>Saharia</w:t>
      </w:r>
      <w:proofErr w:type="spellEnd"/>
      <w:r w:rsidRPr="000F42D9">
        <w:rPr>
          <w:color w:val="222222"/>
          <w:shd w:val="clear" w:color="auto" w:fill="FFFFFF"/>
        </w:rPr>
        <w:t xml:space="preserve">, R. (2025). Study on the effect of alternate host plants on the growth and biochemical parameters of </w:t>
      </w:r>
      <w:proofErr w:type="spellStart"/>
      <w:r w:rsidRPr="000F42D9">
        <w:rPr>
          <w:color w:val="222222"/>
          <w:shd w:val="clear" w:color="auto" w:fill="FFFFFF"/>
        </w:rPr>
        <w:t>Samia</w:t>
      </w:r>
      <w:proofErr w:type="spellEnd"/>
      <w:r w:rsidRPr="000F42D9">
        <w:rPr>
          <w:color w:val="222222"/>
          <w:shd w:val="clear" w:color="auto" w:fill="FFFFFF"/>
        </w:rPr>
        <w:t xml:space="preserve"> </w:t>
      </w:r>
      <w:proofErr w:type="spellStart"/>
      <w:r w:rsidRPr="000F42D9">
        <w:rPr>
          <w:color w:val="222222"/>
          <w:shd w:val="clear" w:color="auto" w:fill="FFFFFF"/>
        </w:rPr>
        <w:t>cynthia</w:t>
      </w:r>
      <w:proofErr w:type="spellEnd"/>
      <w:r w:rsidRPr="000F42D9">
        <w:rPr>
          <w:color w:val="222222"/>
          <w:shd w:val="clear" w:color="auto" w:fill="FFFFFF"/>
        </w:rPr>
        <w:t xml:space="preserve"> </w:t>
      </w:r>
      <w:proofErr w:type="spellStart"/>
      <w:r w:rsidRPr="000F42D9">
        <w:rPr>
          <w:color w:val="222222"/>
          <w:shd w:val="clear" w:color="auto" w:fill="FFFFFF"/>
        </w:rPr>
        <w:t>ricini</w:t>
      </w:r>
      <w:proofErr w:type="spellEnd"/>
      <w:r w:rsidRPr="000F42D9">
        <w:rPr>
          <w:color w:val="222222"/>
          <w:shd w:val="clear" w:color="auto" w:fill="FFFFFF"/>
        </w:rPr>
        <w:t>. International Journal of Tropical Insect Science, 1-11.</w:t>
      </w:r>
    </w:p>
    <w:p w:rsidR="000F42D9" w:rsidRPr="000F42D9" w:rsidRDefault="000F42D9" w:rsidP="000F42D9">
      <w:pPr>
        <w:pStyle w:val="ListParagraph"/>
        <w:rPr>
          <w:color w:val="222222"/>
          <w:shd w:val="clear" w:color="auto" w:fill="FFFFFF"/>
        </w:rPr>
      </w:pPr>
    </w:p>
    <w:p w:rsidR="000F42D9" w:rsidRDefault="000F42D9">
      <w:pPr>
        <w:pStyle w:val="ListParagraph"/>
        <w:numPr>
          <w:ilvl w:val="0"/>
          <w:numId w:val="2"/>
        </w:numPr>
        <w:spacing w:line="276" w:lineRule="auto"/>
        <w:jc w:val="both"/>
        <w:rPr>
          <w:color w:val="222222"/>
          <w:shd w:val="clear" w:color="auto" w:fill="FFFFFF"/>
        </w:rPr>
      </w:pPr>
      <w:proofErr w:type="spellStart"/>
      <w:r w:rsidRPr="000F42D9">
        <w:rPr>
          <w:color w:val="222222"/>
          <w:shd w:val="clear" w:color="auto" w:fill="FFFFFF"/>
        </w:rPr>
        <w:t>Subramanianan</w:t>
      </w:r>
      <w:proofErr w:type="spellEnd"/>
      <w:r w:rsidRPr="000F42D9">
        <w:rPr>
          <w:color w:val="222222"/>
          <w:shd w:val="clear" w:color="auto" w:fill="FFFFFF"/>
        </w:rPr>
        <w:t xml:space="preserve">, K., Sakthivel, N., &amp; </w:t>
      </w:r>
      <w:proofErr w:type="spellStart"/>
      <w:r w:rsidRPr="000F42D9">
        <w:rPr>
          <w:color w:val="222222"/>
          <w:shd w:val="clear" w:color="auto" w:fill="FFFFFF"/>
        </w:rPr>
        <w:t>Qadri</w:t>
      </w:r>
      <w:proofErr w:type="spellEnd"/>
      <w:r w:rsidRPr="000F42D9">
        <w:rPr>
          <w:color w:val="222222"/>
          <w:shd w:val="clear" w:color="auto" w:fill="FFFFFF"/>
        </w:rPr>
        <w:t xml:space="preserve">, S. M. H. (2013). Rearing technology of </w:t>
      </w:r>
      <w:proofErr w:type="spellStart"/>
      <w:r w:rsidRPr="000F42D9">
        <w:rPr>
          <w:color w:val="222222"/>
          <w:shd w:val="clear" w:color="auto" w:fill="FFFFFF"/>
        </w:rPr>
        <w:t>eri</w:t>
      </w:r>
      <w:proofErr w:type="spellEnd"/>
      <w:r w:rsidRPr="000F42D9">
        <w:rPr>
          <w:color w:val="222222"/>
          <w:shd w:val="clear" w:color="auto" w:fill="FFFFFF"/>
        </w:rPr>
        <w:t xml:space="preserve"> silkworm (</w:t>
      </w:r>
      <w:proofErr w:type="spellStart"/>
      <w:r w:rsidRPr="000F42D9">
        <w:rPr>
          <w:color w:val="222222"/>
          <w:shd w:val="clear" w:color="auto" w:fill="FFFFFF"/>
        </w:rPr>
        <w:t>Samia</w:t>
      </w:r>
      <w:proofErr w:type="spellEnd"/>
      <w:r w:rsidRPr="000F42D9">
        <w:rPr>
          <w:color w:val="222222"/>
          <w:shd w:val="clear" w:color="auto" w:fill="FFFFFF"/>
        </w:rPr>
        <w:t xml:space="preserve"> </w:t>
      </w:r>
      <w:proofErr w:type="spellStart"/>
      <w:r w:rsidRPr="000F42D9">
        <w:rPr>
          <w:color w:val="222222"/>
          <w:shd w:val="clear" w:color="auto" w:fill="FFFFFF"/>
        </w:rPr>
        <w:t>cynthia</w:t>
      </w:r>
      <w:proofErr w:type="spellEnd"/>
      <w:r w:rsidRPr="000F42D9">
        <w:rPr>
          <w:color w:val="222222"/>
          <w:shd w:val="clear" w:color="auto" w:fill="FFFFFF"/>
        </w:rPr>
        <w:t xml:space="preserve"> </w:t>
      </w:r>
      <w:proofErr w:type="spellStart"/>
      <w:r w:rsidRPr="000F42D9">
        <w:rPr>
          <w:color w:val="222222"/>
          <w:shd w:val="clear" w:color="auto" w:fill="FFFFFF"/>
        </w:rPr>
        <w:t>ricini</w:t>
      </w:r>
      <w:proofErr w:type="spellEnd"/>
      <w:r w:rsidRPr="000F42D9">
        <w:rPr>
          <w:color w:val="222222"/>
          <w:shd w:val="clear" w:color="auto" w:fill="FFFFFF"/>
        </w:rPr>
        <w:t>) under varied seasonal and host plant conditions in Tamil Nadu. International Journal of Life Sciences Biotechnology and Pharma Research, 2(2), 130-141.</w:t>
      </w:r>
    </w:p>
    <w:p w:rsidR="000F42D9" w:rsidRPr="000F42D9" w:rsidRDefault="000F42D9" w:rsidP="000F42D9">
      <w:pPr>
        <w:pStyle w:val="ListParagraph"/>
        <w:rPr>
          <w:color w:val="222222"/>
          <w:shd w:val="clear" w:color="auto" w:fill="FFFFFF"/>
        </w:rPr>
      </w:pPr>
    </w:p>
    <w:p w:rsidR="000F42D9" w:rsidRDefault="000F42D9">
      <w:pPr>
        <w:pStyle w:val="ListParagraph"/>
        <w:numPr>
          <w:ilvl w:val="0"/>
          <w:numId w:val="2"/>
        </w:numPr>
        <w:spacing w:line="276" w:lineRule="auto"/>
        <w:jc w:val="both"/>
        <w:rPr>
          <w:color w:val="222222"/>
          <w:shd w:val="clear" w:color="auto" w:fill="FFFFFF"/>
        </w:rPr>
      </w:pPr>
      <w:proofErr w:type="spellStart"/>
      <w:r w:rsidRPr="000F42D9">
        <w:rPr>
          <w:color w:val="222222"/>
          <w:shd w:val="clear" w:color="auto" w:fill="FFFFFF"/>
        </w:rPr>
        <w:t>Sarmah</w:t>
      </w:r>
      <w:proofErr w:type="spellEnd"/>
      <w:r w:rsidRPr="000F42D9">
        <w:rPr>
          <w:color w:val="222222"/>
          <w:shd w:val="clear" w:color="auto" w:fill="FFFFFF"/>
        </w:rPr>
        <w:t xml:space="preserve">, M. C., Sarkar, B. N., Ahmed, S. A., &amp; </w:t>
      </w:r>
      <w:proofErr w:type="spellStart"/>
      <w:r w:rsidRPr="000F42D9">
        <w:rPr>
          <w:color w:val="222222"/>
          <w:shd w:val="clear" w:color="auto" w:fill="FFFFFF"/>
        </w:rPr>
        <w:t>Giridhar</w:t>
      </w:r>
      <w:proofErr w:type="spellEnd"/>
      <w:r w:rsidRPr="000F42D9">
        <w:rPr>
          <w:color w:val="222222"/>
          <w:shd w:val="clear" w:color="auto" w:fill="FFFFFF"/>
        </w:rPr>
        <w:t xml:space="preserve">, K. (2015). Performance of C2 breed of </w:t>
      </w:r>
      <w:proofErr w:type="spellStart"/>
      <w:r w:rsidRPr="000F42D9">
        <w:rPr>
          <w:color w:val="222222"/>
          <w:shd w:val="clear" w:color="auto" w:fill="FFFFFF"/>
        </w:rPr>
        <w:t>eri</w:t>
      </w:r>
      <w:proofErr w:type="spellEnd"/>
      <w:r w:rsidRPr="000F42D9">
        <w:rPr>
          <w:color w:val="222222"/>
          <w:shd w:val="clear" w:color="auto" w:fill="FFFFFF"/>
        </w:rPr>
        <w:t xml:space="preserve"> silkworm, </w:t>
      </w:r>
      <w:proofErr w:type="spellStart"/>
      <w:r w:rsidRPr="000F42D9">
        <w:rPr>
          <w:color w:val="222222"/>
          <w:shd w:val="clear" w:color="auto" w:fill="FFFFFF"/>
        </w:rPr>
        <w:t>Samia</w:t>
      </w:r>
      <w:proofErr w:type="spellEnd"/>
      <w:r w:rsidRPr="000F42D9">
        <w:rPr>
          <w:color w:val="222222"/>
          <w:shd w:val="clear" w:color="auto" w:fill="FFFFFF"/>
        </w:rPr>
        <w:t xml:space="preserve"> </w:t>
      </w:r>
      <w:proofErr w:type="spellStart"/>
      <w:r w:rsidRPr="000F42D9">
        <w:rPr>
          <w:color w:val="222222"/>
          <w:shd w:val="clear" w:color="auto" w:fill="FFFFFF"/>
        </w:rPr>
        <w:t>ricini</w:t>
      </w:r>
      <w:proofErr w:type="spellEnd"/>
      <w:r w:rsidRPr="000F42D9">
        <w:rPr>
          <w:color w:val="222222"/>
          <w:shd w:val="clear" w:color="auto" w:fill="FFFFFF"/>
        </w:rPr>
        <w:t xml:space="preserve"> (Donovan) in different food plants. Entomology and Applied Science Letters, 2(1-2015), 47-49.</w:t>
      </w:r>
    </w:p>
    <w:p w:rsidR="009A5206" w:rsidRDefault="009A5206">
      <w:pPr>
        <w:spacing w:line="276" w:lineRule="auto"/>
        <w:jc w:val="both"/>
        <w:rPr>
          <w:color w:val="222222"/>
          <w:shd w:val="clear" w:color="auto" w:fill="FFFFFF"/>
        </w:rPr>
      </w:pPr>
    </w:p>
    <w:sectPr w:rsidR="009A520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206" w:rsidRDefault="000F42D9">
      <w:r>
        <w:separator/>
      </w:r>
    </w:p>
  </w:endnote>
  <w:endnote w:type="continuationSeparator" w:id="0">
    <w:p w:rsidR="009A5206" w:rsidRDefault="000F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272405"/>
      <w:docPartObj>
        <w:docPartGallery w:val="AutoText"/>
      </w:docPartObj>
    </w:sdtPr>
    <w:sdtEndPr/>
    <w:sdtContent>
      <w:p w:rsidR="009A5206" w:rsidRDefault="000F42D9">
        <w:pPr>
          <w:pStyle w:val="Footer"/>
          <w:jc w:val="center"/>
        </w:pPr>
        <w:r>
          <w:fldChar w:fldCharType="begin"/>
        </w:r>
        <w:r>
          <w:instrText xml:space="preserve"> PAGE   \* MERGEFORMAT </w:instrText>
        </w:r>
        <w:r>
          <w:fldChar w:fldCharType="separate"/>
        </w:r>
        <w:r>
          <w:t>3</w:t>
        </w:r>
        <w:r>
          <w:fldChar w:fldCharType="end"/>
        </w:r>
      </w:p>
    </w:sdtContent>
  </w:sdt>
  <w:p w:rsidR="009A5206" w:rsidRDefault="009A5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206" w:rsidRDefault="000F42D9">
      <w:r>
        <w:separator/>
      </w:r>
    </w:p>
  </w:footnote>
  <w:footnote w:type="continuationSeparator" w:id="0">
    <w:p w:rsidR="009A5206" w:rsidRDefault="000F4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837C2"/>
    <w:multiLevelType w:val="multilevel"/>
    <w:tmpl w:val="2EE83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945F7F"/>
    <w:multiLevelType w:val="multilevel"/>
    <w:tmpl w:val="64945F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3E2B"/>
    <w:rsid w:val="000319B2"/>
    <w:rsid w:val="0005064C"/>
    <w:rsid w:val="00065D65"/>
    <w:rsid w:val="00071411"/>
    <w:rsid w:val="000A0553"/>
    <w:rsid w:val="000B16B0"/>
    <w:rsid w:val="000F42D9"/>
    <w:rsid w:val="001402BB"/>
    <w:rsid w:val="001719AD"/>
    <w:rsid w:val="0017645D"/>
    <w:rsid w:val="001D0B42"/>
    <w:rsid w:val="001D5AB9"/>
    <w:rsid w:val="001E293A"/>
    <w:rsid w:val="002047E0"/>
    <w:rsid w:val="00226093"/>
    <w:rsid w:val="0023671D"/>
    <w:rsid w:val="00243854"/>
    <w:rsid w:val="0026514D"/>
    <w:rsid w:val="00286C47"/>
    <w:rsid w:val="002C2E0D"/>
    <w:rsid w:val="0031758F"/>
    <w:rsid w:val="00392C2E"/>
    <w:rsid w:val="003B4AC0"/>
    <w:rsid w:val="00416093"/>
    <w:rsid w:val="004642E4"/>
    <w:rsid w:val="00494A5D"/>
    <w:rsid w:val="004972E3"/>
    <w:rsid w:val="004F2D57"/>
    <w:rsid w:val="00545578"/>
    <w:rsid w:val="00554B3D"/>
    <w:rsid w:val="00591623"/>
    <w:rsid w:val="005E6493"/>
    <w:rsid w:val="0064786D"/>
    <w:rsid w:val="006512EA"/>
    <w:rsid w:val="0066597D"/>
    <w:rsid w:val="006C2D3F"/>
    <w:rsid w:val="006C3E2B"/>
    <w:rsid w:val="0073643E"/>
    <w:rsid w:val="0074083D"/>
    <w:rsid w:val="0075623F"/>
    <w:rsid w:val="007C50C4"/>
    <w:rsid w:val="007F124A"/>
    <w:rsid w:val="00825A16"/>
    <w:rsid w:val="00852D11"/>
    <w:rsid w:val="0086317D"/>
    <w:rsid w:val="008C76C2"/>
    <w:rsid w:val="008D4425"/>
    <w:rsid w:val="008D793F"/>
    <w:rsid w:val="0090398D"/>
    <w:rsid w:val="00931D2F"/>
    <w:rsid w:val="00971965"/>
    <w:rsid w:val="00977A1F"/>
    <w:rsid w:val="009A4764"/>
    <w:rsid w:val="009A5206"/>
    <w:rsid w:val="009D5114"/>
    <w:rsid w:val="009D7873"/>
    <w:rsid w:val="00A10D93"/>
    <w:rsid w:val="00A27E3F"/>
    <w:rsid w:val="00AA147A"/>
    <w:rsid w:val="00AA1BB6"/>
    <w:rsid w:val="00AB1D93"/>
    <w:rsid w:val="00AF0A27"/>
    <w:rsid w:val="00B341AE"/>
    <w:rsid w:val="00B616C0"/>
    <w:rsid w:val="00B62982"/>
    <w:rsid w:val="00B64A1F"/>
    <w:rsid w:val="00B8457A"/>
    <w:rsid w:val="00B97F3C"/>
    <w:rsid w:val="00BD705B"/>
    <w:rsid w:val="00BE7C35"/>
    <w:rsid w:val="00BF0CAF"/>
    <w:rsid w:val="00C55FB7"/>
    <w:rsid w:val="00C97D16"/>
    <w:rsid w:val="00CA0E82"/>
    <w:rsid w:val="00CB5D44"/>
    <w:rsid w:val="00D02BF4"/>
    <w:rsid w:val="00D34FC8"/>
    <w:rsid w:val="00D43060"/>
    <w:rsid w:val="00D61247"/>
    <w:rsid w:val="00D6279D"/>
    <w:rsid w:val="00D677F4"/>
    <w:rsid w:val="00E81D7A"/>
    <w:rsid w:val="00E95DE6"/>
    <w:rsid w:val="00EA104B"/>
    <w:rsid w:val="00EC6411"/>
    <w:rsid w:val="00EC6DE1"/>
    <w:rsid w:val="00EF1CEE"/>
    <w:rsid w:val="00F73FED"/>
    <w:rsid w:val="00FB241D"/>
    <w:rsid w:val="00FB3E87"/>
    <w:rsid w:val="00FC1C46"/>
    <w:rsid w:val="00FD5982"/>
    <w:rsid w:val="00FF46F9"/>
    <w:rsid w:val="00FF6CF7"/>
    <w:rsid w:val="01DE4120"/>
    <w:rsid w:val="21F34BA1"/>
    <w:rsid w:val="2DE456FB"/>
    <w:rsid w:val="5BB24978"/>
    <w:rsid w:val="62D869EC"/>
    <w:rsid w:val="6E406FF2"/>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A1B74D"/>
  <w15:docId w15:val="{2268A98C-3386-4AA5-8C5B-F21BDAC1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Mangal"/>
      <w:sz w:val="16"/>
      <w:szCs w:val="1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pPr>
    <w:rPr>
      <w:rFonts w:cs="Mangal"/>
      <w:szCs w:val="21"/>
    </w:rPr>
  </w:style>
  <w:style w:type="paragraph" w:styleId="Header">
    <w:name w:val="header"/>
    <w:basedOn w:val="Normal"/>
    <w:link w:val="HeaderChar"/>
    <w:uiPriority w:val="99"/>
    <w:unhideWhenUsed/>
    <w:pPr>
      <w:tabs>
        <w:tab w:val="center" w:pos="4513"/>
        <w:tab w:val="right" w:pos="9026"/>
      </w:tabs>
    </w:pPr>
    <w:rPr>
      <w:rFonts w:cs="Mangal"/>
      <w:szCs w:val="21"/>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pPr>
    <w:rPr>
      <w:rFonts w:eastAsiaTheme="minorEastAsia"/>
    </w:rPr>
  </w:style>
  <w:style w:type="character" w:styleId="Strong">
    <w:name w:val="Strong"/>
    <w:basedOn w:val="DefaultParagraphFont"/>
    <w:uiPriority w:val="22"/>
    <w:qFormat/>
    <w:rPr>
      <w:b/>
      <w:bCs/>
    </w:rPr>
  </w:style>
  <w:style w:type="paragraph" w:customStyle="1" w:styleId="Default">
    <w:name w:val="Default"/>
    <w:qFormat/>
    <w:pPr>
      <w:autoSpaceDE w:val="0"/>
      <w:autoSpaceDN w:val="0"/>
      <w:adjustRightInd w:val="0"/>
    </w:pPr>
    <w:rPr>
      <w:rFonts w:ascii="Georgia" w:eastAsia="Calibri" w:hAnsi="Georgia" w:cs="Georgia"/>
      <w:color w:val="000000"/>
      <w:sz w:val="24"/>
      <w:szCs w:val="24"/>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pPr>
    <w:rPr>
      <w:szCs w:val="22"/>
      <w:lang w:bidi="en-US"/>
    </w:rPr>
  </w:style>
  <w:style w:type="character" w:customStyle="1" w:styleId="BalloonTextChar">
    <w:name w:val="Balloon Text Char"/>
    <w:basedOn w:val="DefaultParagraphFont"/>
    <w:link w:val="BalloonText"/>
    <w:uiPriority w:val="99"/>
    <w:semiHidden/>
    <w:qFormat/>
    <w:rPr>
      <w:rFonts w:ascii="Tahoma" w:eastAsia="Times New Roman" w:hAnsi="Tahoma" w:cs="Mangal"/>
      <w:sz w:val="16"/>
      <w:szCs w:val="14"/>
      <w:lang w:eastAsia="en-IN"/>
    </w:rPr>
  </w:style>
  <w:style w:type="character" w:customStyle="1" w:styleId="HeaderChar">
    <w:name w:val="Header Char"/>
    <w:basedOn w:val="DefaultParagraphFont"/>
    <w:link w:val="Header"/>
    <w:uiPriority w:val="99"/>
    <w:rPr>
      <w:rFonts w:ascii="Times New Roman" w:eastAsia="Times New Roman" w:hAnsi="Times New Roman" w:cs="Mangal"/>
      <w:sz w:val="24"/>
      <w:szCs w:val="21"/>
      <w:lang w:eastAsia="en-IN"/>
    </w:rPr>
  </w:style>
  <w:style w:type="character" w:customStyle="1" w:styleId="FooterChar">
    <w:name w:val="Footer Char"/>
    <w:basedOn w:val="DefaultParagraphFont"/>
    <w:link w:val="Footer"/>
    <w:uiPriority w:val="99"/>
    <w:rPr>
      <w:rFonts w:ascii="Times New Roman" w:eastAsia="Times New Roman" w:hAnsi="Times New Roman" w:cs="Mangal"/>
      <w:sz w:val="24"/>
      <w:szCs w:val="21"/>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la.csb@nic.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ridhar%20L\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ridhar%20L\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IN" sz="1600" b="1" i="0" u="none" strike="noStrike" baseline="0">
                <a:effectLst/>
                <a:latin typeface="Times New Roman" panose="02020603050405020304" charset="0"/>
                <a:cs typeface="Times New Roman" panose="02020603050405020304" charset="0"/>
              </a:rPr>
              <a:t>Male and Female shell wt (g) </a:t>
            </a:r>
            <a:endParaRPr lang="en-IN">
              <a:latin typeface="Times New Roman" panose="02020603050405020304" charset="0"/>
              <a:cs typeface="Times New Roman" panose="02020603050405020304" charset="0"/>
            </a:endParaRPr>
          </a:p>
        </c:rich>
      </c:tx>
      <c:layout>
        <c:manualLayout>
          <c:xMode val="edge"/>
          <c:yMode val="edge"/>
          <c:x val="0.111101780315754"/>
          <c:y val="7.8125E-3"/>
        </c:manualLayout>
      </c:layout>
      <c:overlay val="0"/>
      <c:spPr>
        <a:noFill/>
        <a:ln>
          <a:noFill/>
        </a:ln>
        <a:effectLst/>
      </c:spPr>
      <c:txPr>
        <a:bodyPr rot="0" spcFirstLastPara="1" vertOverflow="ellipsis" vert="horz" wrap="square" anchor="ctr" anchorCtr="1"/>
        <a:lstStyle/>
        <a:p>
          <a:pPr>
            <a:defRPr lang="en-US"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stacked"/>
        <c:varyColors val="0"/>
        <c:ser>
          <c:idx val="0"/>
          <c:order val="0"/>
          <c:tx>
            <c:strRef>
              <c:f>Sheet1!$J$60:$J$61</c:f>
              <c:strCache>
                <c:ptCount val="1"/>
                <c:pt idx="0">
                  <c:v>I Year Castor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multiLvlStrRef>
              <c:f>Sheet1!$H$62:$I$79</c:f>
              <c:multiLvlStrCache>
                <c:ptCount val="18"/>
                <c:lvl>
                  <c:pt idx="0">
                    <c:v>Male</c:v>
                  </c:pt>
                  <c:pt idx="2">
                    <c:v>Female</c:v>
                  </c:pt>
                  <c:pt idx="4">
                    <c:v>Male</c:v>
                  </c:pt>
                  <c:pt idx="6">
                    <c:v>Female</c:v>
                  </c:pt>
                  <c:pt idx="8">
                    <c:v>Male</c:v>
                  </c:pt>
                  <c:pt idx="10">
                    <c:v>Female</c:v>
                  </c:pt>
                  <c:pt idx="12">
                    <c:v>Male</c:v>
                  </c:pt>
                  <c:pt idx="14">
                    <c:v>Female</c:v>
                  </c:pt>
                  <c:pt idx="16">
                    <c:v>Male</c:v>
                  </c:pt>
                  <c:pt idx="17">
                    <c:v>Female</c:v>
                  </c:pt>
                </c:lvl>
                <c:lvl>
                  <c:pt idx="0">
                    <c:v>C1</c:v>
                  </c:pt>
                  <c:pt idx="4">
                    <c:v>C2</c:v>
                  </c:pt>
                  <c:pt idx="8">
                    <c:v>C3</c:v>
                  </c:pt>
                  <c:pt idx="12">
                    <c:v>C4</c:v>
                  </c:pt>
                  <c:pt idx="16">
                    <c:v>Mean</c:v>
                  </c:pt>
                </c:lvl>
              </c:multiLvlStrCache>
            </c:multiLvlStrRef>
          </c:cat>
          <c:val>
            <c:numRef>
              <c:f>Sheet1!$J$62:$J$79</c:f>
              <c:numCache>
                <c:formatCode>General</c:formatCode>
                <c:ptCount val="18"/>
                <c:pt idx="0">
                  <c:v>0.497</c:v>
                </c:pt>
                <c:pt idx="1">
                  <c:v>0</c:v>
                </c:pt>
                <c:pt idx="2">
                  <c:v>0.46700000000000003</c:v>
                </c:pt>
                <c:pt idx="3">
                  <c:v>0</c:v>
                </c:pt>
                <c:pt idx="4">
                  <c:v>0.56699999999999995</c:v>
                </c:pt>
                <c:pt idx="5">
                  <c:v>0</c:v>
                </c:pt>
                <c:pt idx="6">
                  <c:v>0.51700000000000002</c:v>
                </c:pt>
                <c:pt idx="7">
                  <c:v>0</c:v>
                </c:pt>
                <c:pt idx="8">
                  <c:v>0.44500000000000001</c:v>
                </c:pt>
                <c:pt idx="9">
                  <c:v>0</c:v>
                </c:pt>
                <c:pt idx="10">
                  <c:v>0.40799999999999997</c:v>
                </c:pt>
                <c:pt idx="11">
                  <c:v>0</c:v>
                </c:pt>
                <c:pt idx="12">
                  <c:v>0.49199999999999999</c:v>
                </c:pt>
                <c:pt idx="13">
                  <c:v>0</c:v>
                </c:pt>
                <c:pt idx="14">
                  <c:v>0.47</c:v>
                </c:pt>
                <c:pt idx="15">
                  <c:v>0</c:v>
                </c:pt>
                <c:pt idx="16">
                  <c:v>0.5</c:v>
                </c:pt>
                <c:pt idx="17">
                  <c:v>0.46500000000000002</c:v>
                </c:pt>
              </c:numCache>
            </c:numRef>
          </c:val>
          <c:extLst>
            <c:ext xmlns:c16="http://schemas.microsoft.com/office/drawing/2014/chart" uri="{C3380CC4-5D6E-409C-BE32-E72D297353CC}">
              <c16:uniqueId val="{00000000-F144-42AC-B2C1-9E553ADBB1D8}"/>
            </c:ext>
          </c:extLst>
        </c:ser>
        <c:ser>
          <c:idx val="1"/>
          <c:order val="1"/>
          <c:tx>
            <c:strRef>
              <c:f>Sheet1!$K$60:$K$61</c:f>
              <c:strCache>
                <c:ptCount val="1"/>
                <c:pt idx="0">
                  <c:v>I Year Kesseru</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multiLvlStrRef>
              <c:f>Sheet1!$H$62:$I$79</c:f>
              <c:multiLvlStrCache>
                <c:ptCount val="18"/>
                <c:lvl>
                  <c:pt idx="0">
                    <c:v>Male</c:v>
                  </c:pt>
                  <c:pt idx="2">
                    <c:v>Female</c:v>
                  </c:pt>
                  <c:pt idx="4">
                    <c:v>Male</c:v>
                  </c:pt>
                  <c:pt idx="6">
                    <c:v>Female</c:v>
                  </c:pt>
                  <c:pt idx="8">
                    <c:v>Male</c:v>
                  </c:pt>
                  <c:pt idx="10">
                    <c:v>Female</c:v>
                  </c:pt>
                  <c:pt idx="12">
                    <c:v>Male</c:v>
                  </c:pt>
                  <c:pt idx="14">
                    <c:v>Female</c:v>
                  </c:pt>
                  <c:pt idx="16">
                    <c:v>Male</c:v>
                  </c:pt>
                  <c:pt idx="17">
                    <c:v>Female</c:v>
                  </c:pt>
                </c:lvl>
                <c:lvl>
                  <c:pt idx="0">
                    <c:v>C1</c:v>
                  </c:pt>
                  <c:pt idx="4">
                    <c:v>C2</c:v>
                  </c:pt>
                  <c:pt idx="8">
                    <c:v>C3</c:v>
                  </c:pt>
                  <c:pt idx="12">
                    <c:v>C4</c:v>
                  </c:pt>
                  <c:pt idx="16">
                    <c:v>Mean</c:v>
                  </c:pt>
                </c:lvl>
              </c:multiLvlStrCache>
            </c:multiLvlStrRef>
          </c:cat>
          <c:val>
            <c:numRef>
              <c:f>Sheet1!$K$62:$K$79</c:f>
              <c:numCache>
                <c:formatCode>General</c:formatCode>
                <c:ptCount val="18"/>
                <c:pt idx="0">
                  <c:v>0.39</c:v>
                </c:pt>
                <c:pt idx="1">
                  <c:v>0</c:v>
                </c:pt>
                <c:pt idx="2">
                  <c:v>0.4</c:v>
                </c:pt>
                <c:pt idx="3">
                  <c:v>0</c:v>
                </c:pt>
                <c:pt idx="4">
                  <c:v>0.433</c:v>
                </c:pt>
                <c:pt idx="5">
                  <c:v>0</c:v>
                </c:pt>
                <c:pt idx="6">
                  <c:v>0.442</c:v>
                </c:pt>
                <c:pt idx="7">
                  <c:v>0</c:v>
                </c:pt>
                <c:pt idx="8">
                  <c:v>0.39300000000000002</c:v>
                </c:pt>
                <c:pt idx="9">
                  <c:v>0</c:v>
                </c:pt>
                <c:pt idx="10">
                  <c:v>0.35199999999999998</c:v>
                </c:pt>
                <c:pt idx="11">
                  <c:v>0</c:v>
                </c:pt>
                <c:pt idx="12">
                  <c:v>0.4</c:v>
                </c:pt>
                <c:pt idx="13">
                  <c:v>0</c:v>
                </c:pt>
                <c:pt idx="14">
                  <c:v>0.4</c:v>
                </c:pt>
                <c:pt idx="15">
                  <c:v>0</c:v>
                </c:pt>
                <c:pt idx="16">
                  <c:v>0.40400000000000003</c:v>
                </c:pt>
                <c:pt idx="17">
                  <c:v>0.39800000000000002</c:v>
                </c:pt>
              </c:numCache>
            </c:numRef>
          </c:val>
          <c:extLst>
            <c:ext xmlns:c16="http://schemas.microsoft.com/office/drawing/2014/chart" uri="{C3380CC4-5D6E-409C-BE32-E72D297353CC}">
              <c16:uniqueId val="{00000001-F144-42AC-B2C1-9E553ADBB1D8}"/>
            </c:ext>
          </c:extLst>
        </c:ser>
        <c:ser>
          <c:idx val="2"/>
          <c:order val="2"/>
          <c:tx>
            <c:strRef>
              <c:f>Sheet1!$L$60:$L$61</c:f>
              <c:strCache>
                <c:ptCount val="1"/>
                <c:pt idx="0">
                  <c:v>I Year Tapioca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multiLvlStrRef>
              <c:f>Sheet1!$H$62:$I$79</c:f>
              <c:multiLvlStrCache>
                <c:ptCount val="18"/>
                <c:lvl>
                  <c:pt idx="0">
                    <c:v>Male</c:v>
                  </c:pt>
                  <c:pt idx="2">
                    <c:v>Female</c:v>
                  </c:pt>
                  <c:pt idx="4">
                    <c:v>Male</c:v>
                  </c:pt>
                  <c:pt idx="6">
                    <c:v>Female</c:v>
                  </c:pt>
                  <c:pt idx="8">
                    <c:v>Male</c:v>
                  </c:pt>
                  <c:pt idx="10">
                    <c:v>Female</c:v>
                  </c:pt>
                  <c:pt idx="12">
                    <c:v>Male</c:v>
                  </c:pt>
                  <c:pt idx="14">
                    <c:v>Female</c:v>
                  </c:pt>
                  <c:pt idx="16">
                    <c:v>Male</c:v>
                  </c:pt>
                  <c:pt idx="17">
                    <c:v>Female</c:v>
                  </c:pt>
                </c:lvl>
                <c:lvl>
                  <c:pt idx="0">
                    <c:v>C1</c:v>
                  </c:pt>
                  <c:pt idx="4">
                    <c:v>C2</c:v>
                  </c:pt>
                  <c:pt idx="8">
                    <c:v>C3</c:v>
                  </c:pt>
                  <c:pt idx="12">
                    <c:v>C4</c:v>
                  </c:pt>
                  <c:pt idx="16">
                    <c:v>Mean</c:v>
                  </c:pt>
                </c:lvl>
              </c:multiLvlStrCache>
            </c:multiLvlStrRef>
          </c:cat>
          <c:val>
            <c:numRef>
              <c:f>Sheet1!$L$62:$L$79</c:f>
              <c:numCache>
                <c:formatCode>General</c:formatCode>
                <c:ptCount val="18"/>
                <c:pt idx="0">
                  <c:v>0.46700000000000003</c:v>
                </c:pt>
                <c:pt idx="1">
                  <c:v>0</c:v>
                </c:pt>
                <c:pt idx="2">
                  <c:v>0.4</c:v>
                </c:pt>
                <c:pt idx="3">
                  <c:v>0</c:v>
                </c:pt>
                <c:pt idx="4">
                  <c:v>0.5</c:v>
                </c:pt>
                <c:pt idx="5">
                  <c:v>0</c:v>
                </c:pt>
                <c:pt idx="6">
                  <c:v>0.47499999999999998</c:v>
                </c:pt>
                <c:pt idx="7">
                  <c:v>0</c:v>
                </c:pt>
                <c:pt idx="8">
                  <c:v>0.41799999999999998</c:v>
                </c:pt>
                <c:pt idx="9">
                  <c:v>0</c:v>
                </c:pt>
                <c:pt idx="10">
                  <c:v>0.39500000000000002</c:v>
                </c:pt>
                <c:pt idx="11">
                  <c:v>0</c:v>
                </c:pt>
                <c:pt idx="12">
                  <c:v>0.46700000000000003</c:v>
                </c:pt>
                <c:pt idx="13">
                  <c:v>0</c:v>
                </c:pt>
                <c:pt idx="14">
                  <c:v>0.42499999999999999</c:v>
                </c:pt>
                <c:pt idx="15">
                  <c:v>0</c:v>
                </c:pt>
                <c:pt idx="16">
                  <c:v>0.46300000000000002</c:v>
                </c:pt>
                <c:pt idx="17">
                  <c:v>0.42399999999999999</c:v>
                </c:pt>
              </c:numCache>
            </c:numRef>
          </c:val>
          <c:extLst>
            <c:ext xmlns:c16="http://schemas.microsoft.com/office/drawing/2014/chart" uri="{C3380CC4-5D6E-409C-BE32-E72D297353CC}">
              <c16:uniqueId val="{00000002-F144-42AC-B2C1-9E553ADBB1D8}"/>
            </c:ext>
          </c:extLst>
        </c:ser>
        <c:ser>
          <c:idx val="3"/>
          <c:order val="3"/>
          <c:tx>
            <c:strRef>
              <c:f>Sheet1!$M$60:$M$61</c:f>
              <c:strCache>
                <c:ptCount val="1"/>
                <c:pt idx="0">
                  <c:v>I Year Mean</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multiLvlStrRef>
              <c:f>Sheet1!$H$62:$I$79</c:f>
              <c:multiLvlStrCache>
                <c:ptCount val="18"/>
                <c:lvl>
                  <c:pt idx="0">
                    <c:v>Male</c:v>
                  </c:pt>
                  <c:pt idx="2">
                    <c:v>Female</c:v>
                  </c:pt>
                  <c:pt idx="4">
                    <c:v>Male</c:v>
                  </c:pt>
                  <c:pt idx="6">
                    <c:v>Female</c:v>
                  </c:pt>
                  <c:pt idx="8">
                    <c:v>Male</c:v>
                  </c:pt>
                  <c:pt idx="10">
                    <c:v>Female</c:v>
                  </c:pt>
                  <c:pt idx="12">
                    <c:v>Male</c:v>
                  </c:pt>
                  <c:pt idx="14">
                    <c:v>Female</c:v>
                  </c:pt>
                  <c:pt idx="16">
                    <c:v>Male</c:v>
                  </c:pt>
                  <c:pt idx="17">
                    <c:v>Female</c:v>
                  </c:pt>
                </c:lvl>
                <c:lvl>
                  <c:pt idx="0">
                    <c:v>C1</c:v>
                  </c:pt>
                  <c:pt idx="4">
                    <c:v>C2</c:v>
                  </c:pt>
                  <c:pt idx="8">
                    <c:v>C3</c:v>
                  </c:pt>
                  <c:pt idx="12">
                    <c:v>C4</c:v>
                  </c:pt>
                  <c:pt idx="16">
                    <c:v>Mean</c:v>
                  </c:pt>
                </c:lvl>
              </c:multiLvlStrCache>
            </c:multiLvlStrRef>
          </c:cat>
          <c:val>
            <c:numRef>
              <c:f>Sheet1!$M$62:$M$79</c:f>
              <c:numCache>
                <c:formatCode>General</c:formatCode>
                <c:ptCount val="18"/>
                <c:pt idx="0">
                  <c:v>0.45100000000000001</c:v>
                </c:pt>
                <c:pt idx="2">
                  <c:v>0.42199999999999999</c:v>
                </c:pt>
                <c:pt idx="4">
                  <c:v>0.5</c:v>
                </c:pt>
                <c:pt idx="6">
                  <c:v>0.47799999999999998</c:v>
                </c:pt>
                <c:pt idx="8">
                  <c:v>0.41899999999999998</c:v>
                </c:pt>
                <c:pt idx="10">
                  <c:v>0.38500000000000001</c:v>
                </c:pt>
                <c:pt idx="12">
                  <c:v>0.45300000000000001</c:v>
                </c:pt>
                <c:pt idx="14">
                  <c:v>0.432</c:v>
                </c:pt>
                <c:pt idx="16">
                  <c:v>0.45600000000000002</c:v>
                </c:pt>
                <c:pt idx="17">
                  <c:v>0.42899999999999999</c:v>
                </c:pt>
              </c:numCache>
            </c:numRef>
          </c:val>
          <c:extLst>
            <c:ext xmlns:c16="http://schemas.microsoft.com/office/drawing/2014/chart" uri="{C3380CC4-5D6E-409C-BE32-E72D297353CC}">
              <c16:uniqueId val="{00000003-F144-42AC-B2C1-9E553ADBB1D8}"/>
            </c:ext>
          </c:extLst>
        </c:ser>
        <c:ser>
          <c:idx val="4"/>
          <c:order val="4"/>
          <c:tx>
            <c:strRef>
              <c:f>Sheet1!$N$60:$N$61</c:f>
              <c:strCache>
                <c:ptCount val="1"/>
                <c:pt idx="0">
                  <c:v>II Year Castor</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multiLvlStrRef>
              <c:f>Sheet1!$H$62:$I$79</c:f>
              <c:multiLvlStrCache>
                <c:ptCount val="18"/>
                <c:lvl>
                  <c:pt idx="0">
                    <c:v>Male</c:v>
                  </c:pt>
                  <c:pt idx="2">
                    <c:v>Female</c:v>
                  </c:pt>
                  <c:pt idx="4">
                    <c:v>Male</c:v>
                  </c:pt>
                  <c:pt idx="6">
                    <c:v>Female</c:v>
                  </c:pt>
                  <c:pt idx="8">
                    <c:v>Male</c:v>
                  </c:pt>
                  <c:pt idx="10">
                    <c:v>Female</c:v>
                  </c:pt>
                  <c:pt idx="12">
                    <c:v>Male</c:v>
                  </c:pt>
                  <c:pt idx="14">
                    <c:v>Female</c:v>
                  </c:pt>
                  <c:pt idx="16">
                    <c:v>Male</c:v>
                  </c:pt>
                  <c:pt idx="17">
                    <c:v>Female</c:v>
                  </c:pt>
                </c:lvl>
                <c:lvl>
                  <c:pt idx="0">
                    <c:v>C1</c:v>
                  </c:pt>
                  <c:pt idx="4">
                    <c:v>C2</c:v>
                  </c:pt>
                  <c:pt idx="8">
                    <c:v>C3</c:v>
                  </c:pt>
                  <c:pt idx="12">
                    <c:v>C4</c:v>
                  </c:pt>
                  <c:pt idx="16">
                    <c:v>Mean</c:v>
                  </c:pt>
                </c:lvl>
              </c:multiLvlStrCache>
            </c:multiLvlStrRef>
          </c:cat>
          <c:val>
            <c:numRef>
              <c:f>Sheet1!$N$62:$N$79</c:f>
              <c:numCache>
                <c:formatCode>General</c:formatCode>
                <c:ptCount val="18"/>
                <c:pt idx="0">
                  <c:v>0.41699999999999998</c:v>
                </c:pt>
                <c:pt idx="1">
                  <c:v>0</c:v>
                </c:pt>
                <c:pt idx="2">
                  <c:v>0.4</c:v>
                </c:pt>
                <c:pt idx="3">
                  <c:v>0</c:v>
                </c:pt>
                <c:pt idx="4">
                  <c:v>0.58299999999999996</c:v>
                </c:pt>
                <c:pt idx="5">
                  <c:v>0</c:v>
                </c:pt>
                <c:pt idx="6">
                  <c:v>0.48299999999999998</c:v>
                </c:pt>
                <c:pt idx="7">
                  <c:v>0</c:v>
                </c:pt>
                <c:pt idx="8">
                  <c:v>0.48299999999999998</c:v>
                </c:pt>
                <c:pt idx="9">
                  <c:v>0</c:v>
                </c:pt>
                <c:pt idx="10">
                  <c:v>0.4</c:v>
                </c:pt>
                <c:pt idx="11">
                  <c:v>0</c:v>
                </c:pt>
                <c:pt idx="12">
                  <c:v>0.57499999999999996</c:v>
                </c:pt>
                <c:pt idx="13">
                  <c:v>0</c:v>
                </c:pt>
                <c:pt idx="14">
                  <c:v>0.47499999999999998</c:v>
                </c:pt>
                <c:pt idx="15">
                  <c:v>0</c:v>
                </c:pt>
                <c:pt idx="16">
                  <c:v>0.51500000000000001</c:v>
                </c:pt>
                <c:pt idx="17">
                  <c:v>0.44</c:v>
                </c:pt>
              </c:numCache>
            </c:numRef>
          </c:val>
          <c:extLst>
            <c:ext xmlns:c16="http://schemas.microsoft.com/office/drawing/2014/chart" uri="{C3380CC4-5D6E-409C-BE32-E72D297353CC}">
              <c16:uniqueId val="{00000004-F144-42AC-B2C1-9E553ADBB1D8}"/>
            </c:ext>
          </c:extLst>
        </c:ser>
        <c:ser>
          <c:idx val="5"/>
          <c:order val="5"/>
          <c:tx>
            <c:strRef>
              <c:f>Sheet1!$O$60:$O$61</c:f>
              <c:strCache>
                <c:ptCount val="1"/>
                <c:pt idx="0">
                  <c:v>II Year Kesseru</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multiLvlStrRef>
              <c:f>Sheet1!$H$62:$I$79</c:f>
              <c:multiLvlStrCache>
                <c:ptCount val="18"/>
                <c:lvl>
                  <c:pt idx="0">
                    <c:v>Male</c:v>
                  </c:pt>
                  <c:pt idx="2">
                    <c:v>Female</c:v>
                  </c:pt>
                  <c:pt idx="4">
                    <c:v>Male</c:v>
                  </c:pt>
                  <c:pt idx="6">
                    <c:v>Female</c:v>
                  </c:pt>
                  <c:pt idx="8">
                    <c:v>Male</c:v>
                  </c:pt>
                  <c:pt idx="10">
                    <c:v>Female</c:v>
                  </c:pt>
                  <c:pt idx="12">
                    <c:v>Male</c:v>
                  </c:pt>
                  <c:pt idx="14">
                    <c:v>Female</c:v>
                  </c:pt>
                  <c:pt idx="16">
                    <c:v>Male</c:v>
                  </c:pt>
                  <c:pt idx="17">
                    <c:v>Female</c:v>
                  </c:pt>
                </c:lvl>
                <c:lvl>
                  <c:pt idx="0">
                    <c:v>C1</c:v>
                  </c:pt>
                  <c:pt idx="4">
                    <c:v>C2</c:v>
                  </c:pt>
                  <c:pt idx="8">
                    <c:v>C3</c:v>
                  </c:pt>
                  <c:pt idx="12">
                    <c:v>C4</c:v>
                  </c:pt>
                  <c:pt idx="16">
                    <c:v>Mean</c:v>
                  </c:pt>
                </c:lvl>
              </c:multiLvlStrCache>
            </c:multiLvlStrRef>
          </c:cat>
          <c:val>
            <c:numRef>
              <c:f>Sheet1!$O$62:$O$79</c:f>
              <c:numCache>
                <c:formatCode>General</c:formatCode>
                <c:ptCount val="18"/>
                <c:pt idx="0">
                  <c:v>0.42199999999999999</c:v>
                </c:pt>
                <c:pt idx="1">
                  <c:v>0</c:v>
                </c:pt>
                <c:pt idx="2">
                  <c:v>0.39</c:v>
                </c:pt>
                <c:pt idx="3">
                  <c:v>0</c:v>
                </c:pt>
                <c:pt idx="4">
                  <c:v>0.48299999999999998</c:v>
                </c:pt>
                <c:pt idx="5">
                  <c:v>0</c:v>
                </c:pt>
                <c:pt idx="6">
                  <c:v>0.38300000000000001</c:v>
                </c:pt>
                <c:pt idx="7">
                  <c:v>0</c:v>
                </c:pt>
                <c:pt idx="8">
                  <c:v>0.47</c:v>
                </c:pt>
                <c:pt idx="9">
                  <c:v>0</c:v>
                </c:pt>
                <c:pt idx="10">
                  <c:v>0.32</c:v>
                </c:pt>
                <c:pt idx="11">
                  <c:v>0</c:v>
                </c:pt>
                <c:pt idx="12">
                  <c:v>0.437</c:v>
                </c:pt>
                <c:pt idx="13">
                  <c:v>0</c:v>
                </c:pt>
                <c:pt idx="14">
                  <c:v>0.33700000000000002</c:v>
                </c:pt>
                <c:pt idx="15">
                  <c:v>0</c:v>
                </c:pt>
                <c:pt idx="16">
                  <c:v>0.45300000000000001</c:v>
                </c:pt>
                <c:pt idx="17">
                  <c:v>0.35699999999999998</c:v>
                </c:pt>
              </c:numCache>
            </c:numRef>
          </c:val>
          <c:extLst>
            <c:ext xmlns:c16="http://schemas.microsoft.com/office/drawing/2014/chart" uri="{C3380CC4-5D6E-409C-BE32-E72D297353CC}">
              <c16:uniqueId val="{00000005-F144-42AC-B2C1-9E553ADBB1D8}"/>
            </c:ext>
          </c:extLst>
        </c:ser>
        <c:ser>
          <c:idx val="6"/>
          <c:order val="6"/>
          <c:tx>
            <c:strRef>
              <c:f>Sheet1!$P$60:$P$61</c:f>
              <c:strCache>
                <c:ptCount val="1"/>
                <c:pt idx="0">
                  <c:v>II Year Tapioca</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multiLvlStrRef>
              <c:f>Sheet1!$H$62:$I$79</c:f>
              <c:multiLvlStrCache>
                <c:ptCount val="18"/>
                <c:lvl>
                  <c:pt idx="0">
                    <c:v>Male</c:v>
                  </c:pt>
                  <c:pt idx="2">
                    <c:v>Female</c:v>
                  </c:pt>
                  <c:pt idx="4">
                    <c:v>Male</c:v>
                  </c:pt>
                  <c:pt idx="6">
                    <c:v>Female</c:v>
                  </c:pt>
                  <c:pt idx="8">
                    <c:v>Male</c:v>
                  </c:pt>
                  <c:pt idx="10">
                    <c:v>Female</c:v>
                  </c:pt>
                  <c:pt idx="12">
                    <c:v>Male</c:v>
                  </c:pt>
                  <c:pt idx="14">
                    <c:v>Female</c:v>
                  </c:pt>
                  <c:pt idx="16">
                    <c:v>Male</c:v>
                  </c:pt>
                  <c:pt idx="17">
                    <c:v>Female</c:v>
                  </c:pt>
                </c:lvl>
                <c:lvl>
                  <c:pt idx="0">
                    <c:v>C1</c:v>
                  </c:pt>
                  <c:pt idx="4">
                    <c:v>C2</c:v>
                  </c:pt>
                  <c:pt idx="8">
                    <c:v>C3</c:v>
                  </c:pt>
                  <c:pt idx="12">
                    <c:v>C4</c:v>
                  </c:pt>
                  <c:pt idx="16">
                    <c:v>Mean</c:v>
                  </c:pt>
                </c:lvl>
              </c:multiLvlStrCache>
            </c:multiLvlStrRef>
          </c:cat>
          <c:val>
            <c:numRef>
              <c:f>Sheet1!$P$62:$P$79</c:f>
              <c:numCache>
                <c:formatCode>General</c:formatCode>
                <c:ptCount val="18"/>
                <c:pt idx="0">
                  <c:v>0.41699999999999998</c:v>
                </c:pt>
                <c:pt idx="1">
                  <c:v>0</c:v>
                </c:pt>
                <c:pt idx="2">
                  <c:v>0.4</c:v>
                </c:pt>
                <c:pt idx="3">
                  <c:v>0</c:v>
                </c:pt>
                <c:pt idx="4">
                  <c:v>0.55000000000000004</c:v>
                </c:pt>
                <c:pt idx="5">
                  <c:v>0</c:v>
                </c:pt>
                <c:pt idx="6">
                  <c:v>0.45</c:v>
                </c:pt>
                <c:pt idx="7">
                  <c:v>0</c:v>
                </c:pt>
                <c:pt idx="8">
                  <c:v>0.49199999999999999</c:v>
                </c:pt>
                <c:pt idx="9">
                  <c:v>0</c:v>
                </c:pt>
                <c:pt idx="10">
                  <c:v>0.34200000000000003</c:v>
                </c:pt>
                <c:pt idx="11">
                  <c:v>0</c:v>
                </c:pt>
                <c:pt idx="12">
                  <c:v>0.51500000000000001</c:v>
                </c:pt>
                <c:pt idx="13">
                  <c:v>0</c:v>
                </c:pt>
                <c:pt idx="14">
                  <c:v>0.41499999999999998</c:v>
                </c:pt>
                <c:pt idx="15">
                  <c:v>0</c:v>
                </c:pt>
                <c:pt idx="16">
                  <c:v>0.49299999999999999</c:v>
                </c:pt>
                <c:pt idx="17">
                  <c:v>0.40200000000000002</c:v>
                </c:pt>
              </c:numCache>
            </c:numRef>
          </c:val>
          <c:extLst>
            <c:ext xmlns:c16="http://schemas.microsoft.com/office/drawing/2014/chart" uri="{C3380CC4-5D6E-409C-BE32-E72D297353CC}">
              <c16:uniqueId val="{00000006-F144-42AC-B2C1-9E553ADBB1D8}"/>
            </c:ext>
          </c:extLst>
        </c:ser>
        <c:ser>
          <c:idx val="7"/>
          <c:order val="7"/>
          <c:tx>
            <c:strRef>
              <c:f>Sheet1!$Q$60:$Q$61</c:f>
              <c:strCache>
                <c:ptCount val="1"/>
                <c:pt idx="0">
                  <c:v>II Year Mean</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multiLvlStrRef>
              <c:f>Sheet1!$H$62:$I$79</c:f>
              <c:multiLvlStrCache>
                <c:ptCount val="18"/>
                <c:lvl>
                  <c:pt idx="0">
                    <c:v>Male</c:v>
                  </c:pt>
                  <c:pt idx="2">
                    <c:v>Female</c:v>
                  </c:pt>
                  <c:pt idx="4">
                    <c:v>Male</c:v>
                  </c:pt>
                  <c:pt idx="6">
                    <c:v>Female</c:v>
                  </c:pt>
                  <c:pt idx="8">
                    <c:v>Male</c:v>
                  </c:pt>
                  <c:pt idx="10">
                    <c:v>Female</c:v>
                  </c:pt>
                  <c:pt idx="12">
                    <c:v>Male</c:v>
                  </c:pt>
                  <c:pt idx="14">
                    <c:v>Female</c:v>
                  </c:pt>
                  <c:pt idx="16">
                    <c:v>Male</c:v>
                  </c:pt>
                  <c:pt idx="17">
                    <c:v>Female</c:v>
                  </c:pt>
                </c:lvl>
                <c:lvl>
                  <c:pt idx="0">
                    <c:v>C1</c:v>
                  </c:pt>
                  <c:pt idx="4">
                    <c:v>C2</c:v>
                  </c:pt>
                  <c:pt idx="8">
                    <c:v>C3</c:v>
                  </c:pt>
                  <c:pt idx="12">
                    <c:v>C4</c:v>
                  </c:pt>
                  <c:pt idx="16">
                    <c:v>Mean</c:v>
                  </c:pt>
                </c:lvl>
              </c:multiLvlStrCache>
            </c:multiLvlStrRef>
          </c:cat>
          <c:val>
            <c:numRef>
              <c:f>Sheet1!$Q$62:$Q$79</c:f>
              <c:numCache>
                <c:formatCode>General</c:formatCode>
                <c:ptCount val="18"/>
                <c:pt idx="0">
                  <c:v>0.41799999999999998</c:v>
                </c:pt>
                <c:pt idx="2">
                  <c:v>0.39700000000000002</c:v>
                </c:pt>
                <c:pt idx="4">
                  <c:v>0.53900000000000003</c:v>
                </c:pt>
                <c:pt idx="6">
                  <c:v>0.439</c:v>
                </c:pt>
                <c:pt idx="8">
                  <c:v>0.48199999999999998</c:v>
                </c:pt>
                <c:pt idx="10">
                  <c:v>0.35399999999999998</c:v>
                </c:pt>
                <c:pt idx="12">
                  <c:v>0.50900000000000001</c:v>
                </c:pt>
                <c:pt idx="14">
                  <c:v>0.40899999999999997</c:v>
                </c:pt>
                <c:pt idx="16">
                  <c:v>0.48699999999999999</c:v>
                </c:pt>
                <c:pt idx="17">
                  <c:v>0.4</c:v>
                </c:pt>
              </c:numCache>
            </c:numRef>
          </c:val>
          <c:extLst>
            <c:ext xmlns:c16="http://schemas.microsoft.com/office/drawing/2014/chart" uri="{C3380CC4-5D6E-409C-BE32-E72D297353CC}">
              <c16:uniqueId val="{00000007-F144-42AC-B2C1-9E553ADBB1D8}"/>
            </c:ext>
          </c:extLst>
        </c:ser>
        <c:dLbls>
          <c:showLegendKey val="0"/>
          <c:showVal val="0"/>
          <c:showCatName val="0"/>
          <c:showSerName val="0"/>
          <c:showPercent val="0"/>
          <c:showBubbleSize val="0"/>
        </c:dLbls>
        <c:gapWidth val="150"/>
        <c:overlap val="100"/>
        <c:axId val="226006448"/>
        <c:axId val="226007280"/>
      </c:barChart>
      <c:catAx>
        <c:axId val="2260064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226007280"/>
        <c:crosses val="autoZero"/>
        <c:auto val="1"/>
        <c:lblAlgn val="ctr"/>
        <c:lblOffset val="100"/>
        <c:noMultiLvlLbl val="0"/>
      </c:catAx>
      <c:valAx>
        <c:axId val="226007280"/>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226006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b56a4d1b-870d-4ccd-b006-d98e57785a9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none" baseline="0">
                <a:solidFill>
                  <a:schemeClr val="lt1">
                    <a:lumMod val="85000"/>
                  </a:schemeClr>
                </a:solidFill>
                <a:latin typeface="+mn-lt"/>
                <a:ea typeface="+mn-ea"/>
                <a:cs typeface="+mn-cs"/>
              </a:defRPr>
            </a:pPr>
            <a:r>
              <a:rPr lang="en-IN" sz="1400" b="1" i="0" u="none" strike="noStrike" cap="none" baseline="0">
                <a:effectLst/>
                <a:latin typeface="Times New Roman" panose="02020603050405020304" charset="0"/>
                <a:cs typeface="Times New Roman" panose="02020603050405020304" charset="0"/>
              </a:rPr>
              <a:t>Male and Female shell ratio (%) </a:t>
            </a:r>
            <a:endParaRPr lang="en-IN">
              <a:latin typeface="Times New Roman" panose="02020603050405020304" charset="0"/>
              <a:cs typeface="Times New Roman" panose="02020603050405020304" charset="0"/>
            </a:endParaRPr>
          </a:p>
        </c:rich>
      </c:tx>
      <c:layout>
        <c:manualLayout>
          <c:xMode val="edge"/>
          <c:yMode val="edge"/>
          <c:x val="0.20265038713520001"/>
          <c:y val="2.57480862908838E-2"/>
        </c:manualLayout>
      </c:layout>
      <c:overlay val="0"/>
      <c:spPr>
        <a:noFill/>
        <a:ln>
          <a:noFill/>
        </a:ln>
        <a:effectLst/>
      </c:spPr>
      <c:txPr>
        <a:bodyPr rot="0" spcFirstLastPara="1" vertOverflow="ellipsis" vert="horz" wrap="square" anchor="ctr" anchorCtr="1"/>
        <a:lstStyle/>
        <a:p>
          <a:pPr>
            <a:defRPr lang="en-US" sz="1400" b="1" i="0" u="none" strike="noStrike" kern="1200" cap="none" baseline="0">
              <a:solidFill>
                <a:schemeClr val="lt1">
                  <a:lumMod val="8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Sheet1!$I$88:$I$89</c:f>
              <c:strCache>
                <c:ptCount val="1"/>
                <c:pt idx="0">
                  <c:v>I Year Castor</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cat>
            <c:multiLvlStrRef>
              <c:f>Sheet1!$G$90:$H$107</c:f>
              <c:multiLvlStrCache>
                <c:ptCount val="18"/>
                <c:lvl>
                  <c:pt idx="0">
                    <c:v>Male</c:v>
                  </c:pt>
                  <c:pt idx="2">
                    <c:v>Female</c:v>
                  </c:pt>
                  <c:pt idx="4">
                    <c:v>Male</c:v>
                  </c:pt>
                  <c:pt idx="6">
                    <c:v>Female</c:v>
                  </c:pt>
                  <c:pt idx="8">
                    <c:v>Male</c:v>
                  </c:pt>
                  <c:pt idx="10">
                    <c:v>Female</c:v>
                  </c:pt>
                  <c:pt idx="12">
                    <c:v>Male</c:v>
                  </c:pt>
                  <c:pt idx="14">
                    <c:v>Female</c:v>
                  </c:pt>
                  <c:pt idx="16">
                    <c:v>Male</c:v>
                  </c:pt>
                  <c:pt idx="17">
                    <c:v>Female</c:v>
                  </c:pt>
                </c:lvl>
                <c:lvl>
                  <c:pt idx="0">
                    <c:v>C1</c:v>
                  </c:pt>
                  <c:pt idx="4">
                    <c:v>C2</c:v>
                  </c:pt>
                  <c:pt idx="8">
                    <c:v>C3</c:v>
                  </c:pt>
                  <c:pt idx="12">
                    <c:v>C4</c:v>
                  </c:pt>
                  <c:pt idx="16">
                    <c:v>Mean</c:v>
                  </c:pt>
                </c:lvl>
              </c:multiLvlStrCache>
            </c:multiLvlStrRef>
          </c:cat>
          <c:val>
            <c:numRef>
              <c:f>Sheet1!$I$90:$I$107</c:f>
              <c:numCache>
                <c:formatCode>General</c:formatCode>
                <c:ptCount val="18"/>
                <c:pt idx="0">
                  <c:v>15.205</c:v>
                </c:pt>
                <c:pt idx="1">
                  <c:v>0</c:v>
                </c:pt>
                <c:pt idx="2">
                  <c:v>13.61</c:v>
                </c:pt>
                <c:pt idx="3">
                  <c:v>0</c:v>
                </c:pt>
                <c:pt idx="4">
                  <c:v>16.5</c:v>
                </c:pt>
                <c:pt idx="5">
                  <c:v>0</c:v>
                </c:pt>
                <c:pt idx="6">
                  <c:v>14.692</c:v>
                </c:pt>
                <c:pt idx="7">
                  <c:v>0</c:v>
                </c:pt>
                <c:pt idx="8">
                  <c:v>13.497</c:v>
                </c:pt>
                <c:pt idx="9">
                  <c:v>0</c:v>
                </c:pt>
                <c:pt idx="10">
                  <c:v>11.808</c:v>
                </c:pt>
                <c:pt idx="11">
                  <c:v>0</c:v>
                </c:pt>
                <c:pt idx="12">
                  <c:v>14.324999999999999</c:v>
                </c:pt>
                <c:pt idx="13">
                  <c:v>0</c:v>
                </c:pt>
                <c:pt idx="14">
                  <c:v>0</c:v>
                </c:pt>
                <c:pt idx="16">
                  <c:v>14.882</c:v>
                </c:pt>
                <c:pt idx="17">
                  <c:v>13.385</c:v>
                </c:pt>
              </c:numCache>
            </c:numRef>
          </c:val>
          <c:extLst>
            <c:ext xmlns:c16="http://schemas.microsoft.com/office/drawing/2014/chart" uri="{C3380CC4-5D6E-409C-BE32-E72D297353CC}">
              <c16:uniqueId val="{00000000-7774-490C-A02C-1012EACA51E8}"/>
            </c:ext>
          </c:extLst>
        </c:ser>
        <c:ser>
          <c:idx val="1"/>
          <c:order val="1"/>
          <c:tx>
            <c:strRef>
              <c:f>Sheet1!$J$88:$J$89</c:f>
              <c:strCache>
                <c:ptCount val="1"/>
                <c:pt idx="0">
                  <c:v>I Year Kesseru</c:v>
                </c:pt>
              </c:strCache>
            </c:strRef>
          </c:tx>
          <c:spPr>
            <a:noFill/>
            <a:ln w="9525" cap="flat" cmpd="sng" algn="ctr">
              <a:solidFill>
                <a:schemeClr val="accent2"/>
              </a:solidFill>
              <a:miter lim="800000"/>
            </a:ln>
            <a:effectLst>
              <a:glow rad="63500">
                <a:schemeClr val="accent2">
                  <a:satMod val="175000"/>
                  <a:alpha val="25000"/>
                </a:schemeClr>
              </a:glow>
            </a:effectLst>
          </c:spPr>
          <c:invertIfNegative val="0"/>
          <c:cat>
            <c:multiLvlStrRef>
              <c:f>Sheet1!$G$90:$H$107</c:f>
              <c:multiLvlStrCache>
                <c:ptCount val="18"/>
                <c:lvl>
                  <c:pt idx="0">
                    <c:v>Male</c:v>
                  </c:pt>
                  <c:pt idx="2">
                    <c:v>Female</c:v>
                  </c:pt>
                  <c:pt idx="4">
                    <c:v>Male</c:v>
                  </c:pt>
                  <c:pt idx="6">
                    <c:v>Female</c:v>
                  </c:pt>
                  <c:pt idx="8">
                    <c:v>Male</c:v>
                  </c:pt>
                  <c:pt idx="10">
                    <c:v>Female</c:v>
                  </c:pt>
                  <c:pt idx="12">
                    <c:v>Male</c:v>
                  </c:pt>
                  <c:pt idx="14">
                    <c:v>Female</c:v>
                  </c:pt>
                  <c:pt idx="16">
                    <c:v>Male</c:v>
                  </c:pt>
                  <c:pt idx="17">
                    <c:v>Female</c:v>
                  </c:pt>
                </c:lvl>
                <c:lvl>
                  <c:pt idx="0">
                    <c:v>C1</c:v>
                  </c:pt>
                  <c:pt idx="4">
                    <c:v>C2</c:v>
                  </c:pt>
                  <c:pt idx="8">
                    <c:v>C3</c:v>
                  </c:pt>
                  <c:pt idx="12">
                    <c:v>C4</c:v>
                  </c:pt>
                  <c:pt idx="16">
                    <c:v>Mean</c:v>
                  </c:pt>
                </c:lvl>
              </c:multiLvlStrCache>
            </c:multiLvlStrRef>
          </c:cat>
          <c:val>
            <c:numRef>
              <c:f>Sheet1!$J$90:$J$107</c:f>
              <c:numCache>
                <c:formatCode>General</c:formatCode>
                <c:ptCount val="18"/>
                <c:pt idx="0">
                  <c:v>14.46</c:v>
                </c:pt>
                <c:pt idx="1">
                  <c:v>0</c:v>
                </c:pt>
                <c:pt idx="2">
                  <c:v>12.91</c:v>
                </c:pt>
                <c:pt idx="3">
                  <c:v>0</c:v>
                </c:pt>
                <c:pt idx="4">
                  <c:v>15.21</c:v>
                </c:pt>
                <c:pt idx="5">
                  <c:v>0</c:v>
                </c:pt>
                <c:pt idx="6">
                  <c:v>14.253</c:v>
                </c:pt>
                <c:pt idx="7">
                  <c:v>0</c:v>
                </c:pt>
                <c:pt idx="8">
                  <c:v>12.496</c:v>
                </c:pt>
                <c:pt idx="9">
                  <c:v>0</c:v>
                </c:pt>
                <c:pt idx="10">
                  <c:v>10.768000000000001</c:v>
                </c:pt>
                <c:pt idx="11">
                  <c:v>0</c:v>
                </c:pt>
                <c:pt idx="12">
                  <c:v>14.04</c:v>
                </c:pt>
                <c:pt idx="13">
                  <c:v>0</c:v>
                </c:pt>
                <c:pt idx="14">
                  <c:v>13.72</c:v>
                </c:pt>
                <c:pt idx="15">
                  <c:v>0</c:v>
                </c:pt>
                <c:pt idx="16">
                  <c:v>14.051</c:v>
                </c:pt>
                <c:pt idx="17">
                  <c:v>12.913</c:v>
                </c:pt>
              </c:numCache>
            </c:numRef>
          </c:val>
          <c:extLst>
            <c:ext xmlns:c16="http://schemas.microsoft.com/office/drawing/2014/chart" uri="{C3380CC4-5D6E-409C-BE32-E72D297353CC}">
              <c16:uniqueId val="{00000001-7774-490C-A02C-1012EACA51E8}"/>
            </c:ext>
          </c:extLst>
        </c:ser>
        <c:ser>
          <c:idx val="2"/>
          <c:order val="2"/>
          <c:tx>
            <c:strRef>
              <c:f>Sheet1!$K$88:$K$89</c:f>
              <c:strCache>
                <c:ptCount val="1"/>
                <c:pt idx="0">
                  <c:v>I Year Tapioca</c:v>
                </c:pt>
              </c:strCache>
            </c:strRef>
          </c:tx>
          <c:spPr>
            <a:noFill/>
            <a:ln w="9525" cap="flat" cmpd="sng" algn="ctr">
              <a:solidFill>
                <a:schemeClr val="accent3"/>
              </a:solidFill>
              <a:miter lim="800000"/>
            </a:ln>
            <a:effectLst>
              <a:glow rad="63500">
                <a:schemeClr val="accent3">
                  <a:satMod val="175000"/>
                  <a:alpha val="25000"/>
                </a:schemeClr>
              </a:glow>
            </a:effectLst>
          </c:spPr>
          <c:invertIfNegative val="0"/>
          <c:cat>
            <c:multiLvlStrRef>
              <c:f>Sheet1!$G$90:$H$107</c:f>
              <c:multiLvlStrCache>
                <c:ptCount val="18"/>
                <c:lvl>
                  <c:pt idx="0">
                    <c:v>Male</c:v>
                  </c:pt>
                  <c:pt idx="2">
                    <c:v>Female</c:v>
                  </c:pt>
                  <c:pt idx="4">
                    <c:v>Male</c:v>
                  </c:pt>
                  <c:pt idx="6">
                    <c:v>Female</c:v>
                  </c:pt>
                  <c:pt idx="8">
                    <c:v>Male</c:v>
                  </c:pt>
                  <c:pt idx="10">
                    <c:v>Female</c:v>
                  </c:pt>
                  <c:pt idx="12">
                    <c:v>Male</c:v>
                  </c:pt>
                  <c:pt idx="14">
                    <c:v>Female</c:v>
                  </c:pt>
                  <c:pt idx="16">
                    <c:v>Male</c:v>
                  </c:pt>
                  <c:pt idx="17">
                    <c:v>Female</c:v>
                  </c:pt>
                </c:lvl>
                <c:lvl>
                  <c:pt idx="0">
                    <c:v>C1</c:v>
                  </c:pt>
                  <c:pt idx="4">
                    <c:v>C2</c:v>
                  </c:pt>
                  <c:pt idx="8">
                    <c:v>C3</c:v>
                  </c:pt>
                  <c:pt idx="12">
                    <c:v>C4</c:v>
                  </c:pt>
                  <c:pt idx="16">
                    <c:v>Mean</c:v>
                  </c:pt>
                </c:lvl>
              </c:multiLvlStrCache>
            </c:multiLvlStrRef>
          </c:cat>
          <c:val>
            <c:numRef>
              <c:f>Sheet1!$K$90:$K$107</c:f>
              <c:numCache>
                <c:formatCode>General</c:formatCode>
                <c:ptCount val="18"/>
                <c:pt idx="0">
                  <c:v>14.737</c:v>
                </c:pt>
                <c:pt idx="1">
                  <c:v>0</c:v>
                </c:pt>
                <c:pt idx="2">
                  <c:v>12.007</c:v>
                </c:pt>
                <c:pt idx="3">
                  <c:v>0</c:v>
                </c:pt>
                <c:pt idx="4">
                  <c:v>15.473000000000001</c:v>
                </c:pt>
                <c:pt idx="5">
                  <c:v>0</c:v>
                </c:pt>
                <c:pt idx="6">
                  <c:v>14.113</c:v>
                </c:pt>
                <c:pt idx="7">
                  <c:v>0</c:v>
                </c:pt>
                <c:pt idx="8">
                  <c:v>12.858000000000001</c:v>
                </c:pt>
                <c:pt idx="9">
                  <c:v>0</c:v>
                </c:pt>
                <c:pt idx="10">
                  <c:v>11.815</c:v>
                </c:pt>
                <c:pt idx="11">
                  <c:v>0</c:v>
                </c:pt>
                <c:pt idx="12">
                  <c:v>14.83</c:v>
                </c:pt>
                <c:pt idx="13">
                  <c:v>0</c:v>
                </c:pt>
                <c:pt idx="14">
                  <c:v>12.86</c:v>
                </c:pt>
                <c:pt idx="15">
                  <c:v>0</c:v>
                </c:pt>
                <c:pt idx="16">
                  <c:v>14.474</c:v>
                </c:pt>
                <c:pt idx="17">
                  <c:v>12.699</c:v>
                </c:pt>
              </c:numCache>
            </c:numRef>
          </c:val>
          <c:extLst>
            <c:ext xmlns:c16="http://schemas.microsoft.com/office/drawing/2014/chart" uri="{C3380CC4-5D6E-409C-BE32-E72D297353CC}">
              <c16:uniqueId val="{00000002-7774-490C-A02C-1012EACA51E8}"/>
            </c:ext>
          </c:extLst>
        </c:ser>
        <c:ser>
          <c:idx val="3"/>
          <c:order val="3"/>
          <c:tx>
            <c:strRef>
              <c:f>Sheet1!$L$88:$L$89</c:f>
              <c:strCache>
                <c:ptCount val="1"/>
                <c:pt idx="0">
                  <c:v>I Year Mean</c:v>
                </c:pt>
              </c:strCache>
            </c:strRef>
          </c:tx>
          <c:spPr>
            <a:noFill/>
            <a:ln w="9525" cap="flat" cmpd="sng" algn="ctr">
              <a:solidFill>
                <a:schemeClr val="accent4"/>
              </a:solidFill>
              <a:miter lim="800000"/>
            </a:ln>
            <a:effectLst>
              <a:glow rad="63500">
                <a:schemeClr val="accent4">
                  <a:satMod val="175000"/>
                  <a:alpha val="25000"/>
                </a:schemeClr>
              </a:glow>
            </a:effectLst>
          </c:spPr>
          <c:invertIfNegative val="0"/>
          <c:cat>
            <c:multiLvlStrRef>
              <c:f>Sheet1!$G$90:$H$107</c:f>
              <c:multiLvlStrCache>
                <c:ptCount val="18"/>
                <c:lvl>
                  <c:pt idx="0">
                    <c:v>Male</c:v>
                  </c:pt>
                  <c:pt idx="2">
                    <c:v>Female</c:v>
                  </c:pt>
                  <c:pt idx="4">
                    <c:v>Male</c:v>
                  </c:pt>
                  <c:pt idx="6">
                    <c:v>Female</c:v>
                  </c:pt>
                  <c:pt idx="8">
                    <c:v>Male</c:v>
                  </c:pt>
                  <c:pt idx="10">
                    <c:v>Female</c:v>
                  </c:pt>
                  <c:pt idx="12">
                    <c:v>Male</c:v>
                  </c:pt>
                  <c:pt idx="14">
                    <c:v>Female</c:v>
                  </c:pt>
                  <c:pt idx="16">
                    <c:v>Male</c:v>
                  </c:pt>
                  <c:pt idx="17">
                    <c:v>Female</c:v>
                  </c:pt>
                </c:lvl>
                <c:lvl>
                  <c:pt idx="0">
                    <c:v>C1</c:v>
                  </c:pt>
                  <c:pt idx="4">
                    <c:v>C2</c:v>
                  </c:pt>
                  <c:pt idx="8">
                    <c:v>C3</c:v>
                  </c:pt>
                  <c:pt idx="12">
                    <c:v>C4</c:v>
                  </c:pt>
                  <c:pt idx="16">
                    <c:v>Mean</c:v>
                  </c:pt>
                </c:lvl>
              </c:multiLvlStrCache>
            </c:multiLvlStrRef>
          </c:cat>
          <c:val>
            <c:numRef>
              <c:f>Sheet1!$L$90:$L$107</c:f>
              <c:numCache>
                <c:formatCode>General</c:formatCode>
                <c:ptCount val="18"/>
                <c:pt idx="0">
                  <c:v>14.801</c:v>
                </c:pt>
                <c:pt idx="2">
                  <c:v>12.842000000000001</c:v>
                </c:pt>
                <c:pt idx="4">
                  <c:v>15.728</c:v>
                </c:pt>
                <c:pt idx="6">
                  <c:v>14.353</c:v>
                </c:pt>
                <c:pt idx="8">
                  <c:v>12.95</c:v>
                </c:pt>
                <c:pt idx="10">
                  <c:v>11.464</c:v>
                </c:pt>
                <c:pt idx="12">
                  <c:v>14.398</c:v>
                </c:pt>
                <c:pt idx="14">
                  <c:v>13.337</c:v>
                </c:pt>
                <c:pt idx="16">
                  <c:v>14.468999999999999</c:v>
                </c:pt>
                <c:pt idx="17">
                  <c:v>12.999000000000001</c:v>
                </c:pt>
              </c:numCache>
            </c:numRef>
          </c:val>
          <c:extLst>
            <c:ext xmlns:c16="http://schemas.microsoft.com/office/drawing/2014/chart" uri="{C3380CC4-5D6E-409C-BE32-E72D297353CC}">
              <c16:uniqueId val="{00000003-7774-490C-A02C-1012EACA51E8}"/>
            </c:ext>
          </c:extLst>
        </c:ser>
        <c:ser>
          <c:idx val="4"/>
          <c:order val="4"/>
          <c:tx>
            <c:strRef>
              <c:f>Sheet1!$M$88:$M$89</c:f>
              <c:strCache>
                <c:ptCount val="1"/>
                <c:pt idx="0">
                  <c:v>II Year Castor</c:v>
                </c:pt>
              </c:strCache>
            </c:strRef>
          </c:tx>
          <c:spPr>
            <a:noFill/>
            <a:ln w="9525" cap="flat" cmpd="sng" algn="ctr">
              <a:solidFill>
                <a:schemeClr val="accent5"/>
              </a:solidFill>
              <a:miter lim="800000"/>
            </a:ln>
            <a:effectLst>
              <a:glow rad="63500">
                <a:schemeClr val="accent5">
                  <a:satMod val="175000"/>
                  <a:alpha val="25000"/>
                </a:schemeClr>
              </a:glow>
            </a:effectLst>
          </c:spPr>
          <c:invertIfNegative val="0"/>
          <c:cat>
            <c:multiLvlStrRef>
              <c:f>Sheet1!$G$90:$H$107</c:f>
              <c:multiLvlStrCache>
                <c:ptCount val="18"/>
                <c:lvl>
                  <c:pt idx="0">
                    <c:v>Male</c:v>
                  </c:pt>
                  <c:pt idx="2">
                    <c:v>Female</c:v>
                  </c:pt>
                  <c:pt idx="4">
                    <c:v>Male</c:v>
                  </c:pt>
                  <c:pt idx="6">
                    <c:v>Female</c:v>
                  </c:pt>
                  <c:pt idx="8">
                    <c:v>Male</c:v>
                  </c:pt>
                  <c:pt idx="10">
                    <c:v>Female</c:v>
                  </c:pt>
                  <c:pt idx="12">
                    <c:v>Male</c:v>
                  </c:pt>
                  <c:pt idx="14">
                    <c:v>Female</c:v>
                  </c:pt>
                  <c:pt idx="16">
                    <c:v>Male</c:v>
                  </c:pt>
                  <c:pt idx="17">
                    <c:v>Female</c:v>
                  </c:pt>
                </c:lvl>
                <c:lvl>
                  <c:pt idx="0">
                    <c:v>C1</c:v>
                  </c:pt>
                  <c:pt idx="4">
                    <c:v>C2</c:v>
                  </c:pt>
                  <c:pt idx="8">
                    <c:v>C3</c:v>
                  </c:pt>
                  <c:pt idx="12">
                    <c:v>C4</c:v>
                  </c:pt>
                  <c:pt idx="16">
                    <c:v>Mean</c:v>
                  </c:pt>
                </c:lvl>
              </c:multiLvlStrCache>
            </c:multiLvlStrRef>
          </c:cat>
          <c:val>
            <c:numRef>
              <c:f>Sheet1!$M$90:$M$107</c:f>
              <c:numCache>
                <c:formatCode>General</c:formatCode>
                <c:ptCount val="18"/>
                <c:pt idx="0">
                  <c:v>13.667999999999999</c:v>
                </c:pt>
                <c:pt idx="1">
                  <c:v>0</c:v>
                </c:pt>
                <c:pt idx="2">
                  <c:v>12.31</c:v>
                </c:pt>
                <c:pt idx="3">
                  <c:v>0</c:v>
                </c:pt>
                <c:pt idx="4">
                  <c:v>16.670000000000002</c:v>
                </c:pt>
                <c:pt idx="5">
                  <c:v>0</c:v>
                </c:pt>
                <c:pt idx="6">
                  <c:v>12.722</c:v>
                </c:pt>
                <c:pt idx="7">
                  <c:v>0</c:v>
                </c:pt>
                <c:pt idx="8">
                  <c:v>14.57</c:v>
                </c:pt>
                <c:pt idx="9">
                  <c:v>0</c:v>
                </c:pt>
                <c:pt idx="10">
                  <c:v>11.07</c:v>
                </c:pt>
                <c:pt idx="11">
                  <c:v>0</c:v>
                </c:pt>
                <c:pt idx="12">
                  <c:v>16.588000000000001</c:v>
                </c:pt>
                <c:pt idx="13">
                  <c:v>0</c:v>
                </c:pt>
                <c:pt idx="14">
                  <c:v>12.612</c:v>
                </c:pt>
                <c:pt idx="15">
                  <c:v>0</c:v>
                </c:pt>
                <c:pt idx="16">
                  <c:v>15.374000000000001</c:v>
                </c:pt>
                <c:pt idx="17">
                  <c:v>12.178000000000001</c:v>
                </c:pt>
              </c:numCache>
            </c:numRef>
          </c:val>
          <c:extLst>
            <c:ext xmlns:c16="http://schemas.microsoft.com/office/drawing/2014/chart" uri="{C3380CC4-5D6E-409C-BE32-E72D297353CC}">
              <c16:uniqueId val="{00000004-7774-490C-A02C-1012EACA51E8}"/>
            </c:ext>
          </c:extLst>
        </c:ser>
        <c:ser>
          <c:idx val="5"/>
          <c:order val="5"/>
          <c:tx>
            <c:strRef>
              <c:f>Sheet1!$N$88:$N$89</c:f>
              <c:strCache>
                <c:ptCount val="1"/>
                <c:pt idx="0">
                  <c:v>II Year Kesseru</c:v>
                </c:pt>
              </c:strCache>
            </c:strRef>
          </c:tx>
          <c:spPr>
            <a:noFill/>
            <a:ln w="9525" cap="flat" cmpd="sng" algn="ctr">
              <a:solidFill>
                <a:schemeClr val="accent6"/>
              </a:solidFill>
              <a:miter lim="800000"/>
            </a:ln>
            <a:effectLst>
              <a:glow rad="63500">
                <a:schemeClr val="accent6">
                  <a:satMod val="175000"/>
                  <a:alpha val="25000"/>
                </a:schemeClr>
              </a:glow>
            </a:effectLst>
          </c:spPr>
          <c:invertIfNegative val="0"/>
          <c:cat>
            <c:multiLvlStrRef>
              <c:f>Sheet1!$G$90:$H$107</c:f>
              <c:multiLvlStrCache>
                <c:ptCount val="18"/>
                <c:lvl>
                  <c:pt idx="0">
                    <c:v>Male</c:v>
                  </c:pt>
                  <c:pt idx="2">
                    <c:v>Female</c:v>
                  </c:pt>
                  <c:pt idx="4">
                    <c:v>Male</c:v>
                  </c:pt>
                  <c:pt idx="6">
                    <c:v>Female</c:v>
                  </c:pt>
                  <c:pt idx="8">
                    <c:v>Male</c:v>
                  </c:pt>
                  <c:pt idx="10">
                    <c:v>Female</c:v>
                  </c:pt>
                  <c:pt idx="12">
                    <c:v>Male</c:v>
                  </c:pt>
                  <c:pt idx="14">
                    <c:v>Female</c:v>
                  </c:pt>
                  <c:pt idx="16">
                    <c:v>Male</c:v>
                  </c:pt>
                  <c:pt idx="17">
                    <c:v>Female</c:v>
                  </c:pt>
                </c:lvl>
                <c:lvl>
                  <c:pt idx="0">
                    <c:v>C1</c:v>
                  </c:pt>
                  <c:pt idx="4">
                    <c:v>C2</c:v>
                  </c:pt>
                  <c:pt idx="8">
                    <c:v>C3</c:v>
                  </c:pt>
                  <c:pt idx="12">
                    <c:v>C4</c:v>
                  </c:pt>
                  <c:pt idx="16">
                    <c:v>Mean</c:v>
                  </c:pt>
                </c:lvl>
              </c:multiLvlStrCache>
            </c:multiLvlStrRef>
          </c:cat>
          <c:val>
            <c:numRef>
              <c:f>Sheet1!$N$90:$N$107</c:f>
              <c:numCache>
                <c:formatCode>General</c:formatCode>
                <c:ptCount val="18"/>
                <c:pt idx="0">
                  <c:v>15.151999999999999</c:v>
                </c:pt>
                <c:pt idx="1">
                  <c:v>0</c:v>
                </c:pt>
                <c:pt idx="2">
                  <c:v>13</c:v>
                </c:pt>
                <c:pt idx="3">
                  <c:v>0</c:v>
                </c:pt>
                <c:pt idx="4">
                  <c:v>16.027000000000001</c:v>
                </c:pt>
                <c:pt idx="5">
                  <c:v>0</c:v>
                </c:pt>
                <c:pt idx="6">
                  <c:v>11.557</c:v>
                </c:pt>
                <c:pt idx="7">
                  <c:v>0</c:v>
                </c:pt>
                <c:pt idx="8">
                  <c:v>14.445</c:v>
                </c:pt>
                <c:pt idx="9">
                  <c:v>0</c:v>
                </c:pt>
                <c:pt idx="10">
                  <c:v>8.9870000000000001</c:v>
                </c:pt>
                <c:pt idx="11">
                  <c:v>0</c:v>
                </c:pt>
                <c:pt idx="12">
                  <c:v>15.317</c:v>
                </c:pt>
                <c:pt idx="13">
                  <c:v>0</c:v>
                </c:pt>
                <c:pt idx="14">
                  <c:v>10.682</c:v>
                </c:pt>
                <c:pt idx="15">
                  <c:v>0</c:v>
                </c:pt>
                <c:pt idx="16">
                  <c:v>15.234999999999999</c:v>
                </c:pt>
                <c:pt idx="17">
                  <c:v>11.055999999999999</c:v>
                </c:pt>
              </c:numCache>
            </c:numRef>
          </c:val>
          <c:extLst>
            <c:ext xmlns:c16="http://schemas.microsoft.com/office/drawing/2014/chart" uri="{C3380CC4-5D6E-409C-BE32-E72D297353CC}">
              <c16:uniqueId val="{00000005-7774-490C-A02C-1012EACA51E8}"/>
            </c:ext>
          </c:extLst>
        </c:ser>
        <c:ser>
          <c:idx val="6"/>
          <c:order val="6"/>
          <c:tx>
            <c:strRef>
              <c:f>Sheet1!$O$88:$O$89</c:f>
              <c:strCache>
                <c:ptCount val="1"/>
                <c:pt idx="0">
                  <c:v>II Year Tapioca</c:v>
                </c:pt>
              </c:strCache>
            </c:strRef>
          </c:tx>
          <c:spPr>
            <a:noFill/>
            <a:ln w="9525" cap="flat" cmpd="sng" algn="ctr">
              <a:solidFill>
                <a:schemeClr val="accent1">
                  <a:lumMod val="60000"/>
                </a:schemeClr>
              </a:solidFill>
              <a:miter lim="800000"/>
            </a:ln>
            <a:effectLst>
              <a:glow rad="63500">
                <a:schemeClr val="accent1">
                  <a:lumMod val="60000"/>
                  <a:satMod val="175000"/>
                  <a:alpha val="25000"/>
                </a:schemeClr>
              </a:glow>
            </a:effectLst>
          </c:spPr>
          <c:invertIfNegative val="0"/>
          <c:cat>
            <c:multiLvlStrRef>
              <c:f>Sheet1!$G$90:$H$107</c:f>
              <c:multiLvlStrCache>
                <c:ptCount val="18"/>
                <c:lvl>
                  <c:pt idx="0">
                    <c:v>Male</c:v>
                  </c:pt>
                  <c:pt idx="2">
                    <c:v>Female</c:v>
                  </c:pt>
                  <c:pt idx="4">
                    <c:v>Male</c:v>
                  </c:pt>
                  <c:pt idx="6">
                    <c:v>Female</c:v>
                  </c:pt>
                  <c:pt idx="8">
                    <c:v>Male</c:v>
                  </c:pt>
                  <c:pt idx="10">
                    <c:v>Female</c:v>
                  </c:pt>
                  <c:pt idx="12">
                    <c:v>Male</c:v>
                  </c:pt>
                  <c:pt idx="14">
                    <c:v>Female</c:v>
                  </c:pt>
                  <c:pt idx="16">
                    <c:v>Male</c:v>
                  </c:pt>
                  <c:pt idx="17">
                    <c:v>Female</c:v>
                  </c:pt>
                </c:lvl>
                <c:lvl>
                  <c:pt idx="0">
                    <c:v>C1</c:v>
                  </c:pt>
                  <c:pt idx="4">
                    <c:v>C2</c:v>
                  </c:pt>
                  <c:pt idx="8">
                    <c:v>C3</c:v>
                  </c:pt>
                  <c:pt idx="12">
                    <c:v>C4</c:v>
                  </c:pt>
                  <c:pt idx="16">
                    <c:v>Mean</c:v>
                  </c:pt>
                </c:lvl>
              </c:multiLvlStrCache>
            </c:multiLvlStrRef>
          </c:cat>
          <c:val>
            <c:numRef>
              <c:f>Sheet1!$O$90:$O$107</c:f>
              <c:numCache>
                <c:formatCode>General</c:formatCode>
                <c:ptCount val="18"/>
                <c:pt idx="0">
                  <c:v>13.74</c:v>
                </c:pt>
                <c:pt idx="1">
                  <c:v>0</c:v>
                </c:pt>
                <c:pt idx="2">
                  <c:v>12.57</c:v>
                </c:pt>
                <c:pt idx="3">
                  <c:v>0</c:v>
                </c:pt>
                <c:pt idx="4">
                  <c:v>16.236999999999998</c:v>
                </c:pt>
                <c:pt idx="5">
                  <c:v>0</c:v>
                </c:pt>
                <c:pt idx="6">
                  <c:v>12.196999999999999</c:v>
                </c:pt>
                <c:pt idx="7">
                  <c:v>0</c:v>
                </c:pt>
                <c:pt idx="8">
                  <c:v>14.552</c:v>
                </c:pt>
                <c:pt idx="9">
                  <c:v>0</c:v>
                </c:pt>
                <c:pt idx="10">
                  <c:v>9.2850000000000001</c:v>
                </c:pt>
                <c:pt idx="11">
                  <c:v>0</c:v>
                </c:pt>
                <c:pt idx="12">
                  <c:v>15.522</c:v>
                </c:pt>
                <c:pt idx="13">
                  <c:v>0</c:v>
                </c:pt>
                <c:pt idx="14">
                  <c:v>11.467000000000001</c:v>
                </c:pt>
                <c:pt idx="15">
                  <c:v>0</c:v>
                </c:pt>
                <c:pt idx="16">
                  <c:v>15.012</c:v>
                </c:pt>
                <c:pt idx="17">
                  <c:v>11.38</c:v>
                </c:pt>
              </c:numCache>
            </c:numRef>
          </c:val>
          <c:extLst>
            <c:ext xmlns:c16="http://schemas.microsoft.com/office/drawing/2014/chart" uri="{C3380CC4-5D6E-409C-BE32-E72D297353CC}">
              <c16:uniqueId val="{00000006-7774-490C-A02C-1012EACA51E8}"/>
            </c:ext>
          </c:extLst>
        </c:ser>
        <c:ser>
          <c:idx val="7"/>
          <c:order val="7"/>
          <c:tx>
            <c:strRef>
              <c:f>Sheet1!$P$88:$P$89</c:f>
              <c:strCache>
                <c:ptCount val="1"/>
                <c:pt idx="0">
                  <c:v>II Year Mean</c:v>
                </c:pt>
              </c:strCache>
            </c:strRef>
          </c:tx>
          <c:spPr>
            <a:noFill/>
            <a:ln w="9525" cap="flat" cmpd="sng" algn="ctr">
              <a:solidFill>
                <a:schemeClr val="accent2">
                  <a:lumMod val="60000"/>
                </a:schemeClr>
              </a:solidFill>
              <a:miter lim="800000"/>
            </a:ln>
            <a:effectLst>
              <a:glow rad="63500">
                <a:schemeClr val="accent2">
                  <a:lumMod val="60000"/>
                  <a:satMod val="175000"/>
                  <a:alpha val="25000"/>
                </a:schemeClr>
              </a:glow>
            </a:effectLst>
          </c:spPr>
          <c:invertIfNegative val="0"/>
          <c:cat>
            <c:multiLvlStrRef>
              <c:f>Sheet1!$G$90:$H$107</c:f>
              <c:multiLvlStrCache>
                <c:ptCount val="18"/>
                <c:lvl>
                  <c:pt idx="0">
                    <c:v>Male</c:v>
                  </c:pt>
                  <c:pt idx="2">
                    <c:v>Female</c:v>
                  </c:pt>
                  <c:pt idx="4">
                    <c:v>Male</c:v>
                  </c:pt>
                  <c:pt idx="6">
                    <c:v>Female</c:v>
                  </c:pt>
                  <c:pt idx="8">
                    <c:v>Male</c:v>
                  </c:pt>
                  <c:pt idx="10">
                    <c:v>Female</c:v>
                  </c:pt>
                  <c:pt idx="12">
                    <c:v>Male</c:v>
                  </c:pt>
                  <c:pt idx="14">
                    <c:v>Female</c:v>
                  </c:pt>
                  <c:pt idx="16">
                    <c:v>Male</c:v>
                  </c:pt>
                  <c:pt idx="17">
                    <c:v>Female</c:v>
                  </c:pt>
                </c:lvl>
                <c:lvl>
                  <c:pt idx="0">
                    <c:v>C1</c:v>
                  </c:pt>
                  <c:pt idx="4">
                    <c:v>C2</c:v>
                  </c:pt>
                  <c:pt idx="8">
                    <c:v>C3</c:v>
                  </c:pt>
                  <c:pt idx="12">
                    <c:v>C4</c:v>
                  </c:pt>
                  <c:pt idx="16">
                    <c:v>Mean</c:v>
                  </c:pt>
                </c:lvl>
              </c:multiLvlStrCache>
            </c:multiLvlStrRef>
          </c:cat>
          <c:val>
            <c:numRef>
              <c:f>Sheet1!$P$90:$P$107</c:f>
              <c:numCache>
                <c:formatCode>General</c:formatCode>
                <c:ptCount val="18"/>
                <c:pt idx="0">
                  <c:v>14.186999999999999</c:v>
                </c:pt>
                <c:pt idx="2">
                  <c:v>12.627000000000001</c:v>
                </c:pt>
                <c:pt idx="4">
                  <c:v>16.311</c:v>
                </c:pt>
                <c:pt idx="6">
                  <c:v>12.157999999999999</c:v>
                </c:pt>
                <c:pt idx="8">
                  <c:v>14.522</c:v>
                </c:pt>
                <c:pt idx="10">
                  <c:v>9.7810000000000006</c:v>
                </c:pt>
                <c:pt idx="12">
                  <c:v>15.808999999999999</c:v>
                </c:pt>
                <c:pt idx="14">
                  <c:v>11.587</c:v>
                </c:pt>
                <c:pt idx="16">
                  <c:v>15.207000000000001</c:v>
                </c:pt>
                <c:pt idx="17">
                  <c:v>11.538</c:v>
                </c:pt>
              </c:numCache>
            </c:numRef>
          </c:val>
          <c:extLst>
            <c:ext xmlns:c16="http://schemas.microsoft.com/office/drawing/2014/chart" uri="{C3380CC4-5D6E-409C-BE32-E72D297353CC}">
              <c16:uniqueId val="{00000007-7774-490C-A02C-1012EACA51E8}"/>
            </c:ext>
          </c:extLst>
        </c:ser>
        <c:dLbls>
          <c:showLegendKey val="0"/>
          <c:showVal val="0"/>
          <c:showCatName val="0"/>
          <c:showSerName val="0"/>
          <c:showPercent val="0"/>
          <c:showBubbleSize val="0"/>
        </c:dLbls>
        <c:gapWidth val="315"/>
        <c:overlap val="-40"/>
        <c:axId val="313343424"/>
        <c:axId val="313332608"/>
      </c:barChart>
      <c:catAx>
        <c:axId val="313343424"/>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crossAx val="313332608"/>
        <c:crosses val="autoZero"/>
        <c:auto val="1"/>
        <c:lblAlgn val="ctr"/>
        <c:lblOffset val="100"/>
        <c:noMultiLvlLbl val="0"/>
      </c:catAx>
      <c:valAx>
        <c:axId val="313332608"/>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crossAx val="3133434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4aa12e24-70aa-4ad9-bd1f-f0a2ea6d295f}"/>
      </c:ext>
    </c:extLst>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9FD84-FA13-49F5-B7AB-59969DDAD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1937</Words>
  <Characters>11045</Characters>
  <Application>Microsoft Office Word</Application>
  <DocSecurity>0</DocSecurity>
  <Lines>92</Lines>
  <Paragraphs>25</Paragraphs>
  <ScaleCrop>false</ScaleCrop>
  <Company>Hewlett-Packard Company</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SDI PC New 16</cp:lastModifiedBy>
  <cp:revision>71</cp:revision>
  <dcterms:created xsi:type="dcterms:W3CDTF">2025-11-24T07:45:00Z</dcterms:created>
  <dcterms:modified xsi:type="dcterms:W3CDTF">2026-01-28T08:07:00Z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516B901ED227400293BB9973C7A414E0_12</vt:lpwstr>
  </property>
</Properties>
</file>