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280" w:lineRule="auto"/>
        <w:rPr>
          <w:rFonts w:ascii="Arial" w:cs="Arial" w:eastAsia="Arial" w:hAnsi="Arial"/>
          <w:b w:val="1"/>
          <w:bCs w:val="1"/>
          <w:i w:val="1"/>
          <w:iCs w:val="1"/>
          <w:sz w:val="32"/>
          <w:szCs w:val="32"/>
          <w:u w:val="single"/>
        </w:rPr>
      </w:pPr>
      <w:r w:rsidDel="00000000" w:rsidR="00000000" w:rsidRPr="00000000">
        <w:rPr>
          <w:rFonts w:ascii="Arial" w:cs="Arial" w:eastAsia="Arial" w:hAnsi="Arial"/>
          <w:b w:val="1"/>
          <w:bCs w:val="1"/>
          <w:i w:val="1"/>
          <w:iCs w:val="1"/>
          <w:sz w:val="32"/>
          <w:szCs w:val="32"/>
          <w:u w:val="single"/>
          <w:rtl w:val="0"/>
        </w:rPr>
        <w:t xml:space="preserve">Review Article</w:t>
      </w:r>
    </w:p>
    <w:p w:rsidR="00000000" w:rsidDel="00000000" w:rsidP="00000000" w:rsidRDefault="00000000" w:rsidRPr="00000000" w14:paraId="00000004">
      <w:pPr>
        <w:spacing w:after="280" w:lineRule="auto"/>
        <w:rPr>
          <w:rFonts w:ascii="Arial" w:cs="Arial" w:eastAsia="Arial" w:hAnsi="Arial"/>
          <w:sz w:val="22"/>
          <w:szCs w:val="22"/>
        </w:rPr>
      </w:pPr>
      <w:r w:rsidDel="00000000" w:rsidR="00000000" w:rsidRPr="00000000">
        <w:rPr>
          <w:rFonts w:ascii="Arial" w:cs="Arial" w:eastAsia="Arial" w:hAnsi="Arial"/>
          <w:b w:val="1"/>
          <w:bCs w:val="1"/>
          <w:sz w:val="32"/>
          <w:szCs w:val="32"/>
          <w:rtl w:val="0"/>
        </w:rPr>
        <w:t xml:space="preserve">From Rivers to Humans: Evolving Policies and Health Risks of Microplastics Pollution in Freshwater Fish</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Arial" w:cs="Arial" w:eastAsia="Arial" w:hAnsi="Arial"/>
          <w:i w:val="1"/>
          <w:iCs w:val="1"/>
          <w:color w:val="000000"/>
          <w:sz w:val="16"/>
          <w:szCs w:val="1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color w:val="000000"/>
          <w:sz w:val="16"/>
          <w:szCs w:val="16"/>
        </w:rPr>
        <mc:AlternateContent>
          <mc:Choice Requires="wps">
            <w:drawing>
              <wp:inline distB="0" distT="0" distL="114300" distR="114300">
                <wp:extent cx="0" cy="19050"/>
                <wp:effectExtent b="0" l="0" r="0" t="0"/>
                <wp:docPr id="12" name=""/>
                <a:graphic>
                  <a:graphicData uri="http://schemas.microsoft.com/office/word/2010/wordprocessingShape">
                    <wps:wsp>
                      <wps:cNvSpPr/>
                      <wps:cNvPr id="3" name="Shape 3"/>
                      <wps:spPr>
                        <a:xfrm>
                          <a:off x="2694240" y="3780000"/>
                          <a:ext cx="5303520" cy="0"/>
                        </a:xfrm>
                        <a:custGeom>
                          <a:rect b="b" l="l" r="r" t="t"/>
                          <a:pathLst>
                            <a:path extrusionOk="0" h="1" w="5303520">
                              <a:moveTo>
                                <a:pt x="0" y="0"/>
                              </a:moveTo>
                              <a:lnTo>
                                <a:pt x="530352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0" cy="19050"/>
                <wp:effectExtent b="0" l="0" r="0" t="0"/>
                <wp:docPr id="1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ABSTRACT </w:t>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8">
            <w:pPr>
              <w:jc w:val="both"/>
              <w:rPr>
                <w:rFonts w:ascii="Arial" w:cs="Arial" w:eastAsia="Arial" w:hAnsi="Arial"/>
                <w:color w:val="000000"/>
              </w:rPr>
            </w:pPr>
            <w:r w:rsidDel="00000000" w:rsidR="00000000" w:rsidRPr="00000000">
              <w:rPr>
                <w:rFonts w:ascii="Arial" w:cs="Arial" w:eastAsia="Arial" w:hAnsi="Arial"/>
                <w:rtl w:val="0"/>
              </w:rPr>
              <w:t xml:space="preserve">Microplastics (MPs; &lt;5 mm) and nanoplastics (NPs; &lt;1 µm) have emerged as widespread contaminants in freshwater ecosystems, originating from agricultural activities, urban runoff, wastewater discharge, and atmospheric deposition. Rivers play a dual role by transporting these particles across landscapes while also acting as zones of accumulation. Freshwater fish, which form an important component of human diets, are continuously exposed to microplastics through feeding interactions and gill uptake. Most studies report higher concentrations in the gastrointestinal tract, while evidence of their presence in edible muscle tissue remains variable and influenced by analytical methods. This review brings together global and India-specific research published between 2017 and 2025, examining occurrence patterns, toxicological effects in fish, human exposure pathways, analytical challenges, and current policy responses. Recent biomonitoring studies reporting microplastics in human blood, placenta, and arterial tissues highlight the potential for internal exposure and underscore growing public health concerns. Advances in analytical tools such as µ-FTIR, Raman spectroscopy, and thermal analysis have improved detection, although differences in methodology continue to limit comparability across studies. Policy measures in regions such as the European Union and India represent important steps forward, but gaps remain in addressing secondary microplastic sources. Future efforts should focus on standardized monitoring, improved analytical consistency, and stronger integration of scientific evidence into regulatory frameworks to reduce exposure risks and protect both ecosystem and human health.</w:t>
            </w: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A">
      <w:pPr>
        <w:spacing w:after="160" w:lineRule="auto"/>
        <w:jc w:val="both"/>
        <w:rPr>
          <w:rFonts w:ascii="Arial" w:cs="Arial" w:eastAsia="Arial" w:hAnsi="Arial"/>
          <w:i w:val="1"/>
          <w:iCs w:val="1"/>
        </w:rPr>
      </w:pPr>
      <w:r w:rsidDel="00000000" w:rsidR="00000000" w:rsidRPr="00000000">
        <w:rPr>
          <w:rFonts w:ascii="Arial" w:cs="Arial" w:eastAsia="Arial" w:hAnsi="Arial"/>
          <w:b w:val="1"/>
          <w:bCs w:val="1"/>
          <w:i w:val="1"/>
          <w:iCs w:val="1"/>
          <w:rtl w:val="0"/>
        </w:rPr>
        <w:t xml:space="preserve">Keywords : </w:t>
      </w:r>
      <w:r w:rsidDel="00000000" w:rsidR="00000000" w:rsidRPr="00000000">
        <w:rPr>
          <w:rFonts w:ascii="Arial" w:cs="Arial" w:eastAsia="Arial" w:hAnsi="Arial"/>
          <w:i w:val="1"/>
          <w:iCs w:val="1"/>
          <w:rtl w:val="0"/>
        </w:rPr>
        <w:t xml:space="preserve">Microplastics pollution, Health Risk, Freshwater fish, Policy gaps.</w:t>
      </w:r>
    </w:p>
    <w:p w:rsidR="00000000" w:rsidDel="00000000" w:rsidP="00000000" w:rsidRDefault="00000000" w:rsidRPr="00000000" w14:paraId="0000000B">
      <w:pPr>
        <w:spacing w:after="280" w:before="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Introduction</w:t>
      </w:r>
    </w:p>
    <w:p w:rsidR="00000000" w:rsidDel="00000000" w:rsidP="00000000" w:rsidRDefault="00000000" w:rsidRPr="00000000" w14:paraId="0000000C">
      <w:pPr>
        <w:spacing w:after="280" w:lineRule="auto"/>
        <w:jc w:val="both"/>
        <w:rPr>
          <w:rFonts w:ascii="Arial" w:cs="Arial" w:eastAsia="Arial" w:hAnsi="Arial"/>
        </w:rPr>
      </w:pPr>
      <w:r w:rsidDel="00000000" w:rsidR="00000000" w:rsidRPr="00000000">
        <w:rPr>
          <w:rFonts w:ascii="Arial" w:cs="Arial" w:eastAsia="Arial" w:hAnsi="Arial"/>
          <w:rtl w:val="0"/>
        </w:rPr>
        <w:t xml:space="preserve">Since the mid-20th century, global plastic production has increased exponentially, rising from a few million tonnes annually to over 400 million metric tonnes per year. A substantial proportion of this plastic ultimately fragments into microplastics and nanoplastics that persist for decades within aquatic ecosystems (Geyer, Jambeck, &amp; Law, 2017). Rivers play a dual ecological role in this context. They act as major transport pathways delivering land-based plastic waste to oceans while simultaneously functioning as depositional environments where microplastics accumulate in sediments, benthic organisms, and fish.</w:t>
        <w:br w:type="textWrapping"/>
        <w:t xml:space="preserve">Riverine hydrodynamics, sediment characteristics, and anthropogenic pressures strongly influence the distribution and retention of microplastics. Seasonal variability, particularly during flood events, can remobilize previously deposited particles, increasing their bioavailability to aquatic organisms. As a result, rivers represent both short-term transport systems and long-term contamination reservoirs within the plastic pollution continuum.</w:t>
      </w:r>
    </w:p>
    <w:p w:rsidR="00000000" w:rsidDel="00000000" w:rsidP="00000000" w:rsidRDefault="00000000" w:rsidRPr="00000000" w14:paraId="0000000D">
      <w:pPr>
        <w:spacing w:after="280" w:lineRule="auto"/>
        <w:jc w:val="both"/>
        <w:rPr>
          <w:rFonts w:ascii="Arial" w:cs="Arial" w:eastAsia="Arial" w:hAnsi="Arial"/>
        </w:rPr>
      </w:pPr>
      <w:r w:rsidDel="00000000" w:rsidR="00000000" w:rsidRPr="00000000">
        <w:rPr>
          <w:rFonts w:ascii="Arial" w:cs="Arial" w:eastAsia="Arial" w:hAnsi="Arial"/>
          <w:rtl w:val="0"/>
        </w:rPr>
        <w:t xml:space="preserve">Compared with marine systems, freshwater ecosystems have a more immediate and intimate connection with human populations through drinking water abstraction, inland fisheries, aquaculture, irrigation, and recreational use. Consequently, microplastic contamination in rivers presents direct implications for food safety, public health, and ecosystem services (Neelavannan &amp; Sen, 2023). Freshwater fish serve as ecological sentinels, reflecting the cumulative impacts of plastic pollution within river basins. Microplastics enter fish through multiple exposure routes, including direct ingestion due to mistaken identity with prey, trophic transfer from contaminated invertebrates, gill uptake during respiration, and incidental contact with sediments. Feeding behavior and habitat preference significantly influence exposure patterns, with benthic and omnivorous species often exhibiting higher ingestion rates due to greater sediment interaction. Because freshwater fisheries supply essential protein and micronutrients to millions of people, contamination at this level may have implications that extend beyond ecological concern to human dietary exposure.</w:t>
      </w:r>
    </w:p>
    <w:p w:rsidR="00000000" w:rsidDel="00000000" w:rsidP="00000000" w:rsidRDefault="00000000" w:rsidRPr="00000000" w14:paraId="0000000E">
      <w:pPr>
        <w:spacing w:after="280" w:lineRule="auto"/>
        <w:jc w:val="both"/>
        <w:rPr>
          <w:rFonts w:ascii="Arial" w:cs="Arial" w:eastAsia="Arial" w:hAnsi="Arial"/>
        </w:rPr>
      </w:pPr>
      <w:r w:rsidDel="00000000" w:rsidR="00000000" w:rsidRPr="00000000">
        <w:rPr>
          <w:rFonts w:ascii="Arial" w:cs="Arial" w:eastAsia="Arial" w:hAnsi="Arial"/>
          <w:rtl w:val="0"/>
        </w:rPr>
        <w:t xml:space="preserve">While the majority of field-based studies report microplastics primarily in gastrointestinal tracts and gills, laboratory experiments demonstrate that smaller particles, particularly nanoplastics, may translocate across epithelial barriers into internal organs such as the liver, brain, and muscle tissue (Lin et al., 2023). This has raised concerns regarding the potential transfer of microplastics from aquatic food webs to humans. In parallel, landmark human biomonitoring studies have documented microplastics in blood, placenta, and arterial plaques, suggesting that plastic particles are capable of crossing biological barriers and entering systemic circulation (Leslie et al., 2022; Ragusa et al., 2021; Marfella et al., 2024).</w:t>
        <w:br w:type="textWrapping"/>
        <w:t xml:space="preserve">These findings highlight the possibility of chronic internal exposure and raise important questions regarding bioaccumulation, inflammatory responses, and long-term health implications. Although causal relationships with specific diseases remain under investigation, the detection of microplastics in sensitive human tissues underscores the urgency of precautionary evaluation.</w:t>
      </w:r>
    </w:p>
    <w:p w:rsidR="00000000" w:rsidDel="00000000" w:rsidP="00000000" w:rsidRDefault="00000000" w:rsidRPr="00000000" w14:paraId="0000000F">
      <w:pPr>
        <w:spacing w:after="280" w:lineRule="auto"/>
        <w:jc w:val="both"/>
        <w:rPr>
          <w:rFonts w:ascii="Arial" w:cs="Arial" w:eastAsia="Arial" w:hAnsi="Arial"/>
        </w:rPr>
      </w:pPr>
      <w:r w:rsidDel="00000000" w:rsidR="00000000" w:rsidRPr="00000000">
        <w:rPr>
          <w:rFonts w:ascii="Arial" w:cs="Arial" w:eastAsia="Arial" w:hAnsi="Arial"/>
          <w:rtl w:val="0"/>
        </w:rPr>
        <w:t xml:space="preserve">Despite increasing evidence of exposure, substantial uncertainty remains regarding dose-response relationships, chronic health outcomes, and population-level risks. International bodies such as the World Health Organization (WHO) and the European Food Safety Authority (EFSA) have highlighted critical knowledge gaps related to analytical standardization, exposure assessment, and toxicological relevance, emphasizing the need for precautionary approaches and harmonized monitoring frameworks (WHO, 2019; EFSA, 2016). This review builds upon existing literature by integrating ecological, toxicological, and policy perspectives, with a special focus on freshwater fish as a key interface between environmental contamination and human health. </w:t>
      </w:r>
    </w:p>
    <w:p w:rsidR="00000000" w:rsidDel="00000000" w:rsidP="00000000" w:rsidRDefault="00000000" w:rsidRPr="00000000" w14:paraId="00000010">
      <w:pPr>
        <w:spacing w:after="280" w:lineRule="auto"/>
        <w:jc w:val="both"/>
        <w:rPr>
          <w:rFonts w:ascii="Arial" w:cs="Arial" w:eastAsia="Arial" w:hAnsi="Arial"/>
        </w:rPr>
      </w:pPr>
      <w:r w:rsidDel="00000000" w:rsidR="00000000" w:rsidRPr="00000000">
        <w:rPr>
          <w:rFonts w:ascii="Arial" w:cs="Arial" w:eastAsia="Arial" w:hAnsi="Arial"/>
          <w:rtl w:val="0"/>
        </w:rPr>
        <w:t xml:space="preserve">By synthesizing current evidence across environmental, biological, and regulatory dimensions, this review seeks to contribute to a more comprehensive understanding of microplastic risks from rivers to humans.</w:t>
      </w:r>
    </w:p>
    <w:p w:rsidR="00000000" w:rsidDel="00000000" w:rsidP="00000000" w:rsidRDefault="00000000" w:rsidRPr="00000000" w14:paraId="00000011">
      <w:pPr>
        <w:spacing w:after="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Sources and Pathways of Microplastics to Freshwater Systems</w:t>
      </w:r>
    </w:p>
    <w:p w:rsidR="00000000" w:rsidDel="00000000" w:rsidP="00000000" w:rsidRDefault="00000000" w:rsidRPr="00000000" w14:paraId="00000012">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Microplastics enter freshwater environments through a combination of direct sources and complex anthropogenic pathways that operate across urban, industrial, and agricultural landscapes.</w:t>
      </w:r>
    </w:p>
    <w:p w:rsidR="00000000" w:rsidDel="00000000" w:rsidP="00000000" w:rsidRDefault="00000000" w:rsidRPr="00000000" w14:paraId="00000013">
      <w:pPr>
        <w:spacing w:after="280" w:before="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rtl w:val="0"/>
        </w:rPr>
        <w:t xml:space="preserve">2.1 </w:t>
      </w:r>
      <w:r w:rsidDel="00000000" w:rsidR="00000000" w:rsidRPr="00000000">
        <w:rPr>
          <w:rFonts w:ascii="Arial" w:cs="Arial" w:eastAsia="Arial" w:hAnsi="Arial"/>
          <w:b w:val="1"/>
          <w:bCs w:val="1"/>
          <w:sz w:val="22"/>
          <w:szCs w:val="22"/>
          <w:rtl w:val="0"/>
        </w:rPr>
        <w:t xml:space="preserve">Sources of Microplastics:</w:t>
      </w:r>
    </w:p>
    <w:p w:rsidR="00000000" w:rsidDel="00000000" w:rsidP="00000000" w:rsidRDefault="00000000" w:rsidRPr="00000000" w14:paraId="00000014">
      <w:pPr>
        <w:spacing w:after="280" w:before="280" w:lineRule="auto"/>
        <w:ind w:left="270" w:firstLine="0"/>
        <w:jc w:val="both"/>
        <w:rPr>
          <w:rFonts w:ascii="Arial" w:cs="Arial" w:eastAsia="Arial" w:hAnsi="Arial"/>
        </w:rPr>
      </w:pPr>
      <w:r w:rsidDel="00000000" w:rsidR="00000000" w:rsidRPr="00000000">
        <w:rPr>
          <w:rFonts w:ascii="Arial" w:cs="Arial" w:eastAsia="Arial" w:hAnsi="Arial"/>
          <w:b w:val="1"/>
          <w:bCs w:val="1"/>
          <w:rtl w:val="0"/>
        </w:rPr>
        <w:t xml:space="preserve">2.1.1</w:t>
      </w:r>
      <w:r w:rsidDel="00000000" w:rsidR="00000000" w:rsidRPr="00000000">
        <w:rPr>
          <w:rFonts w:ascii="Arial" w:cs="Arial" w:eastAsia="Arial" w:hAnsi="Arial"/>
          <w:b w:val="1"/>
          <w:bCs w:val="1"/>
          <w:i w:val="1"/>
          <w:iCs w:val="1"/>
          <w:rtl w:val="0"/>
        </w:rPr>
        <w:t xml:space="preserve">.</w:t>
      </w:r>
      <w:r w:rsidDel="00000000" w:rsidR="00000000" w:rsidRPr="00000000">
        <w:rPr>
          <w:rFonts w:ascii="Arial" w:cs="Arial" w:eastAsia="Arial" w:hAnsi="Arial"/>
          <w:b w:val="1"/>
          <w:bCs w:val="1"/>
          <w:rtl w:val="0"/>
        </w:rPr>
        <w:t xml:space="preserve"> Primary sources:</w:t>
      </w:r>
      <w:r w:rsidDel="00000000" w:rsidR="00000000" w:rsidRPr="00000000">
        <w:rPr>
          <w:rFonts w:ascii="Arial" w:cs="Arial" w:eastAsia="Arial" w:hAnsi="Arial"/>
          <w:rtl w:val="0"/>
        </w:rPr>
        <w:t xml:space="preserve"> Primary microplastics are intentionally manufactured at microscopic sizes for use in products such as cosmetics, personal care items, industrial abrasives, and biomedical applications. Although bans on cosmetic microbeads have been implemented in several countries, legacy products and industrial uses continue to contribute to environmental loading. These particles enter freshwater systems mainly through wastewater discharge and improper disposal, making them a persistent source despite regulatory controls.</w:t>
      </w:r>
    </w:p>
    <w:p w:rsidR="00000000" w:rsidDel="00000000" w:rsidP="00000000" w:rsidRDefault="00000000" w:rsidRPr="00000000" w14:paraId="00000015">
      <w:pPr>
        <w:spacing w:after="280" w:before="280" w:lineRule="auto"/>
        <w:ind w:left="270" w:firstLine="0"/>
        <w:jc w:val="both"/>
        <w:rPr>
          <w:rFonts w:ascii="Arial" w:cs="Arial" w:eastAsia="Arial" w:hAnsi="Arial"/>
        </w:rPr>
      </w:pPr>
      <w:r w:rsidDel="00000000" w:rsidR="00000000" w:rsidRPr="00000000">
        <w:rPr>
          <w:rFonts w:ascii="Arial" w:cs="Arial" w:eastAsia="Arial" w:hAnsi="Arial"/>
          <w:b w:val="1"/>
          <w:bCs w:val="1"/>
          <w:rtl w:val="0"/>
        </w:rPr>
        <w:t xml:space="preserve">2.1.2</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b w:val="1"/>
          <w:bCs w:val="1"/>
          <w:rtl w:val="0"/>
        </w:rPr>
        <w:t xml:space="preserve">Secondary sources</w:t>
      </w:r>
      <w:r w:rsidDel="00000000" w:rsidR="00000000" w:rsidRPr="00000000">
        <w:rPr>
          <w:rFonts w:ascii="Arial" w:cs="Arial" w:eastAsia="Arial" w:hAnsi="Arial"/>
          <w:rtl w:val="0"/>
        </w:rPr>
        <w:t xml:space="preserve">: Secondary microplastics originate from the fragmentation and weathering of larger plastic items such as packaging materials, fishing gear, textiles, and agricultural films. Ultraviolet radiation, mechanical abrasion, and microbial activity accelerate fragmentation, generating diverse particle sizes and shapes.</w:t>
        <w:br w:type="textWrapping"/>
        <w:t xml:space="preserve">Secondary microplastics dominate environmental concentrations due to continuous degradation of plastic debris in both terrestrial and aquatic environments.</w:t>
      </w:r>
    </w:p>
    <w:p w:rsidR="00000000" w:rsidDel="00000000" w:rsidP="00000000" w:rsidRDefault="00000000" w:rsidRPr="00000000" w14:paraId="00000016">
      <w:pPr>
        <w:spacing w:after="280" w:before="280" w:lineRule="auto"/>
        <w:ind w:lef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PATHWAYS:</w:t>
      </w:r>
    </w:p>
    <w:p w:rsidR="00000000" w:rsidDel="00000000" w:rsidP="00000000" w:rsidRDefault="00000000" w:rsidRPr="00000000" w14:paraId="00000017">
      <w:pPr>
        <w:spacing w:before="280" w:lineRule="auto"/>
        <w:jc w:val="both"/>
        <w:rPr>
          <w:rFonts w:ascii="Arial" w:cs="Arial" w:eastAsia="Arial" w:hAnsi="Arial"/>
        </w:rPr>
      </w:pPr>
      <w:r w:rsidDel="00000000" w:rsidR="00000000" w:rsidRPr="00000000">
        <w:rPr>
          <w:rFonts w:ascii="Arial" w:cs="Arial" w:eastAsia="Arial" w:hAnsi="Arial"/>
          <w:b w:val="1"/>
          <w:bCs w:val="1"/>
          <w:rtl w:val="0"/>
        </w:rPr>
        <w:t xml:space="preserve">Wastewater effluents</w:t>
      </w:r>
      <w:r w:rsidDel="00000000" w:rsidR="00000000" w:rsidRPr="00000000">
        <w:rPr>
          <w:rFonts w:ascii="Arial" w:cs="Arial" w:eastAsia="Arial" w:hAnsi="Arial"/>
          <w:rtl w:val="0"/>
        </w:rPr>
        <w:t xml:space="preserve">: Waste water treatment plants are major sources of microplastics, especially microfibers, with removal efficiency varying by treatment technology (Liu et al., 2021). Even high-efficiency treatment systems allow residual microplastics to pass into receiving rivers due to large wastewater volumes.</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b w:val="1"/>
          <w:bCs w:val="1"/>
          <w:rtl w:val="0"/>
        </w:rPr>
        <w:t xml:space="preserve">Stormwater and runoff</w:t>
      </w:r>
      <w:r w:rsidDel="00000000" w:rsidR="00000000" w:rsidRPr="00000000">
        <w:rPr>
          <w:rFonts w:ascii="Arial" w:cs="Arial" w:eastAsia="Arial" w:hAnsi="Arial"/>
          <w:rtl w:val="0"/>
        </w:rPr>
        <w:t xml:space="preserve">: Rain-induced runoff transfers packaging debris, tire wear, and urban litter into waterways (Kole et al., 2017). This pathway becomes particularly significant during high-intensity rainfall and flood events.</w:t>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b w:val="1"/>
          <w:bCs w:val="1"/>
          <w:rtl w:val="0"/>
        </w:rPr>
        <w:t xml:space="preserve">Agricultural sources</w:t>
      </w:r>
      <w:r w:rsidDel="00000000" w:rsidR="00000000" w:rsidRPr="00000000">
        <w:rPr>
          <w:rFonts w:ascii="Arial" w:cs="Arial" w:eastAsia="Arial" w:hAnsi="Arial"/>
          <w:rtl w:val="0"/>
        </w:rPr>
        <w:t xml:space="preserve">: Plastic mulching, sludge application, and fertilizer packaging contribute to MPs entering rivers via runoff and drainage (Corradini et al., 2019).</w:t>
        <w:br w:type="textWrapping"/>
        <w:t xml:space="preserve">Intensive farming near riverbanks increases the likelihood of direct microplastic transfer to freshwater systems.</w:t>
      </w:r>
    </w:p>
    <w:p w:rsidR="00000000" w:rsidDel="00000000" w:rsidP="00000000" w:rsidRDefault="00000000" w:rsidRPr="00000000" w14:paraId="0000001A">
      <w:pPr>
        <w:spacing w:after="280" w:lineRule="auto"/>
        <w:jc w:val="both"/>
        <w:rPr>
          <w:rFonts w:ascii="Arial" w:cs="Arial" w:eastAsia="Arial" w:hAnsi="Arial"/>
        </w:rPr>
      </w:pPr>
      <w:r w:rsidDel="00000000" w:rsidR="00000000" w:rsidRPr="00000000">
        <w:rPr>
          <w:rFonts w:ascii="Arial" w:cs="Arial" w:eastAsia="Arial" w:hAnsi="Arial"/>
          <w:b w:val="1"/>
          <w:bCs w:val="1"/>
          <w:rtl w:val="0"/>
        </w:rPr>
        <w:t xml:space="preserve">Atmospheric deposition</w:t>
      </w:r>
      <w:r w:rsidDel="00000000" w:rsidR="00000000" w:rsidRPr="00000000">
        <w:rPr>
          <w:rFonts w:ascii="Arial" w:cs="Arial" w:eastAsia="Arial" w:hAnsi="Arial"/>
          <w:rtl w:val="0"/>
        </w:rPr>
        <w:t xml:space="preserve">: Airborne fibers and fragments settle in water bodies, even in remote areas (Dris et al., 2018). This pathway enables microplastics to bypass conventional waste management routes entirely. These routes converge in riverine fish habitats. Dominant polymer types (PE, PP, PET, PS) mirror global plastic usage patterns (Jiang et al., 2020). As a result, freshwater fish experience continuous and multi-pathway exposure to environmentally prevalent plastic polymers.</w:t>
      </w:r>
    </w:p>
    <w:p w:rsidR="00000000" w:rsidDel="00000000" w:rsidP="00000000" w:rsidRDefault="00000000" w:rsidRPr="00000000" w14:paraId="0000001B">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These routes converge in riverine fish habitats. Dominant polymer types (PE, PP, PET, PS) mirror global plastic usage patterns (Jiang et al., 2020).</w:t>
      </w:r>
    </w:p>
    <w:p w:rsidR="00000000" w:rsidDel="00000000" w:rsidP="00000000" w:rsidRDefault="00000000" w:rsidRPr="00000000" w14:paraId="0000001C">
      <w:pPr>
        <w:spacing w:after="280" w:before="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India-specific observations</w:t>
      </w:r>
    </w:p>
    <w:p w:rsidR="00000000" w:rsidDel="00000000" w:rsidP="00000000" w:rsidRDefault="00000000" w:rsidRPr="00000000" w14:paraId="0000001D">
      <w:pPr>
        <w:spacing w:after="280" w:lineRule="auto"/>
        <w:jc w:val="both"/>
        <w:rPr>
          <w:rFonts w:ascii="Arial" w:cs="Arial" w:eastAsia="Arial" w:hAnsi="Arial"/>
        </w:rPr>
      </w:pPr>
      <w:r w:rsidDel="00000000" w:rsidR="00000000" w:rsidRPr="00000000">
        <w:rPr>
          <w:rFonts w:ascii="Arial" w:cs="Arial" w:eastAsia="Arial" w:hAnsi="Arial"/>
          <w:rtl w:val="0"/>
        </w:rPr>
        <w:t xml:space="preserve">In India, riverine microplastic contamination reflects rapid urbanization, population density, and inadequate waste management infrastructure. Studies along the Ganga and Yamuna rivers consistently report elevated microplastic concentrations near urban centers, industrial zones, and wastewater discharge points (Kutralam-Muniasamy et al., 2020; Pandey et al., 2023). The Narmada River has also emerged as a significant hotspot, with contamination linked to urban runoff, tourism, and fishing activities (Kumar et al., 2023). Seasonal monsoon flooding intensifies microplastic transport, redistributing particles from catchment soils into river channels and floodplains (Pawak et al., 2024).</w:t>
      </w:r>
    </w:p>
    <w:p w:rsidR="00000000" w:rsidDel="00000000" w:rsidP="00000000" w:rsidRDefault="00000000" w:rsidRPr="00000000" w14:paraId="0000001E">
      <w:pPr>
        <w:spacing w:after="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2.2. Occurrence of Microplastics in Freshwater Fish</w:t>
      </w:r>
    </w:p>
    <w:p w:rsidR="00000000" w:rsidDel="00000000" w:rsidP="00000000" w:rsidRDefault="00000000" w:rsidRPr="00000000" w14:paraId="0000001F">
      <w:pPr>
        <w:spacing w:after="280" w:before="280" w:lineRule="auto"/>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2.2.1 </w:t>
      </w:r>
      <w:r w:rsidDel="00000000" w:rsidR="00000000" w:rsidRPr="00000000">
        <w:rPr>
          <w:rFonts w:ascii="Arial" w:cs="Arial" w:eastAsia="Arial" w:hAnsi="Arial"/>
          <w:b w:val="1"/>
          <w:bCs w:val="1"/>
          <w:u w:val="single"/>
          <w:rtl w:val="0"/>
        </w:rPr>
        <w:t xml:space="preserve">Global patterns</w:t>
      </w:r>
    </w:p>
    <w:p w:rsidR="00000000" w:rsidDel="00000000" w:rsidP="00000000" w:rsidRDefault="00000000" w:rsidRPr="00000000" w14:paraId="00000020">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Globally, freshwater fish across trophic levels and habitats ingest microplastics, with fibers and fragments dominating reported particle types. Polyethylene (PE), polypropylene (PP), polyethylene terephthalate (PET), and nylon are frequently identified, reflecting their widespread use in packaging, textiles, and fishing gear. Advances in analytical techniques since 2020, particularly μ-FTIR and Raman spectroscopy, have improved polymer identification accuracy and comparability across studies (Lin et al., 2023).</w:t>
        <w:br w:type="textWrapping"/>
        <w:t xml:space="preserve">Studies from Europe, Asia, and North America indicate that omnivorous and benthic-feeding species often show higher ingestion rates due to their feeding behavior and sediment interaction. Urban and industrial river stretches consistently report elevated microplastic burdens compared to less disturbed catchments.</w:t>
      </w:r>
    </w:p>
    <w:p w:rsidR="00000000" w:rsidDel="00000000" w:rsidP="00000000" w:rsidRDefault="00000000" w:rsidRPr="00000000" w14:paraId="00000021">
      <w:pPr>
        <w:spacing w:after="280" w:before="280" w:lineRule="auto"/>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2.2.2 </w:t>
      </w:r>
      <w:r w:rsidDel="00000000" w:rsidR="00000000" w:rsidRPr="00000000">
        <w:rPr>
          <w:rFonts w:ascii="Arial" w:cs="Arial" w:eastAsia="Arial" w:hAnsi="Arial"/>
          <w:b w:val="1"/>
          <w:bCs w:val="1"/>
          <w:u w:val="single"/>
          <w:rtl w:val="0"/>
        </w:rPr>
        <w:t xml:space="preserve">India’s freshwater species</w:t>
      </w:r>
    </w:p>
    <w:p w:rsidR="00000000" w:rsidDel="00000000" w:rsidP="00000000" w:rsidRDefault="00000000" w:rsidRPr="00000000" w14:paraId="00000022">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Indian freshwater species such as </w:t>
      </w:r>
      <w:r w:rsidDel="00000000" w:rsidR="00000000" w:rsidRPr="00000000">
        <w:rPr>
          <w:rFonts w:ascii="Arial" w:cs="Arial" w:eastAsia="Arial" w:hAnsi="Arial"/>
          <w:i w:val="1"/>
          <w:iCs w:val="1"/>
          <w:rtl w:val="0"/>
        </w:rPr>
        <w:t xml:space="preserve">Catla catla</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Labeo rohita</w:t>
      </w:r>
      <w:r w:rsidDel="00000000" w:rsidR="00000000" w:rsidRPr="00000000">
        <w:rPr>
          <w:rFonts w:ascii="Arial" w:cs="Arial" w:eastAsia="Arial" w:hAnsi="Arial"/>
          <w:rtl w:val="0"/>
        </w:rPr>
        <w:t xml:space="preserve">, and </w:t>
      </w:r>
      <w:r w:rsidDel="00000000" w:rsidR="00000000" w:rsidRPr="00000000">
        <w:rPr>
          <w:rFonts w:ascii="Arial" w:cs="Arial" w:eastAsia="Arial" w:hAnsi="Arial"/>
          <w:i w:val="1"/>
          <w:iCs w:val="1"/>
          <w:rtl w:val="0"/>
        </w:rPr>
        <w:t xml:space="preserve">Clarias batrachus</w:t>
      </w:r>
      <w:r w:rsidDel="00000000" w:rsidR="00000000" w:rsidRPr="00000000">
        <w:rPr>
          <w:rFonts w:ascii="Arial" w:cs="Arial" w:eastAsia="Arial" w:hAnsi="Arial"/>
          <w:rtl w:val="0"/>
        </w:rPr>
        <w:t xml:space="preserve"> exhibit measurable microplastic burdens, with reported concentrations ranging from 0.5 to 3.2 particles per gram of tissue (Pandey et al., 2023). The Ganga River basin demonstrates widespread ingestion across trophic guilds, while studies in the Yamuna report polymer dominance by PP and PE (Kutralam-Muniasamy et al., 2020; Sharma &amp; Chatterjee, 2017). Seasonal variability is evident, with higher ingestion rates during monsoon periods due to increased particle availability and resuspension (Gao et al., 2021).</w:t>
        <w:br w:type="textWrapping"/>
        <w:t xml:space="preserve">Higher concentrations are often observed near densely populated urban centers and industrial discharge zones, indicating strong anthropogenic influence. Variability among species reflects differences in habitat preference, feeding strategy, and exposure duration.</w:t>
      </w:r>
    </w:p>
    <w:p w:rsidR="00000000" w:rsidDel="00000000" w:rsidP="00000000" w:rsidRDefault="00000000" w:rsidRPr="00000000" w14:paraId="00000023">
      <w:pPr>
        <w:spacing w:after="280" w:before="280" w:lineRule="auto"/>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2.2.3 </w:t>
      </w:r>
      <w:r w:rsidDel="00000000" w:rsidR="00000000" w:rsidRPr="00000000">
        <w:rPr>
          <w:rFonts w:ascii="Arial" w:cs="Arial" w:eastAsia="Arial" w:hAnsi="Arial"/>
          <w:b w:val="1"/>
          <w:bCs w:val="1"/>
          <w:u w:val="single"/>
          <w:rtl w:val="0"/>
        </w:rPr>
        <w:t xml:space="preserve">Tissue distribution</w:t>
      </w:r>
    </w:p>
    <w:p w:rsidR="00000000" w:rsidDel="00000000" w:rsidP="00000000" w:rsidRDefault="00000000" w:rsidRPr="00000000" w14:paraId="00000024">
      <w:pPr>
        <w:spacing w:after="280" w:lineRule="auto"/>
        <w:jc w:val="both"/>
        <w:rPr>
          <w:rFonts w:ascii="Arial" w:cs="Arial" w:eastAsia="Arial" w:hAnsi="Arial"/>
        </w:rPr>
      </w:pPr>
      <w:r w:rsidDel="00000000" w:rsidR="00000000" w:rsidRPr="00000000">
        <w:rPr>
          <w:rFonts w:ascii="Arial" w:cs="Arial" w:eastAsia="Arial" w:hAnsi="Arial"/>
          <w:rtl w:val="0"/>
        </w:rPr>
        <w:t xml:space="preserve">Field studies consistently report the presence of microplastics in the gastrointestinal tract and gills of freshwater fish, reflecting direct exposure under natural environmental conditions. Detection in edible muscle tissue remains inconsistent, often limited to fibers and smaller particles.In contrast, laboratory studies conducted under controlled settings have shown that smaller particles, particularly nanoplastics, can cross biological barriers and reach internal organs such as the liver, brain, and muscle tissue. However, the ecological relevance of these findings depends on environmental particle size distributions and exposure concentrations (Lin et al., 2023; Traylor et al., 2024).</w:t>
        <w:br w:type="textWrapping"/>
        <w:t xml:space="preserve">Differences in detection also arise from methodological variability, including digestion protocols and contamination control measures. Consequently, standardized analytical approaches are essential for reliable comparison of tissue-level contamination across studies.</w:t>
      </w:r>
    </w:p>
    <w:p w:rsidR="00000000" w:rsidDel="00000000" w:rsidP="00000000" w:rsidRDefault="00000000" w:rsidRPr="00000000" w14:paraId="00000025">
      <w:pPr>
        <w:spacing w:after="280" w:lineRule="auto"/>
        <w:jc w:val="both"/>
        <w:rPr>
          <w:rFonts w:ascii="Arial" w:cs="Arial" w:eastAsia="Arial" w:hAnsi="Arial"/>
          <w:b w:val="1"/>
          <w:bCs w:val="1"/>
          <w:sz w:val="24"/>
          <w:szCs w:val="24"/>
        </w:rPr>
      </w:pPr>
      <w:r w:rsidDel="00000000" w:rsidR="00000000" w:rsidRPr="00000000">
        <w:rPr>
          <w:rFonts w:ascii="Arial" w:cs="Arial" w:eastAsia="Arial" w:hAnsi="Arial"/>
          <w:b w:val="1"/>
          <w:bCs w:val="1"/>
          <w:rtl w:val="0"/>
        </w:rPr>
        <w:t xml:space="preserve">2.3</w:t>
      </w:r>
      <w:r w:rsidDel="00000000" w:rsidR="00000000" w:rsidRPr="00000000">
        <w:rPr>
          <w:rFonts w:ascii="Arial" w:cs="Arial" w:eastAsia="Arial" w:hAnsi="Arial"/>
          <w:b w:val="1"/>
          <w:bCs w:val="1"/>
          <w:sz w:val="22"/>
          <w:szCs w:val="22"/>
          <w:rtl w:val="0"/>
        </w:rPr>
        <w:t xml:space="preserve">. Toxicological Mechanisms and Effects in Fis</w:t>
      </w:r>
      <w:r w:rsidDel="00000000" w:rsidR="00000000" w:rsidRPr="00000000">
        <w:rPr>
          <w:rFonts w:ascii="Arial" w:cs="Arial" w:eastAsia="Arial" w:hAnsi="Arial"/>
          <w:b w:val="1"/>
          <w:bCs w:val="1"/>
          <w:sz w:val="24"/>
          <w:szCs w:val="24"/>
          <w:rtl w:val="0"/>
        </w:rPr>
        <w:t xml:space="preserve">h</w:t>
      </w:r>
    </w:p>
    <w:p w:rsidR="00000000" w:rsidDel="00000000" w:rsidP="00000000" w:rsidRDefault="00000000" w:rsidRPr="00000000" w14:paraId="00000026">
      <w:pPr>
        <w:spacing w:after="280" w:before="28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2.3.1 </w:t>
      </w:r>
      <w:r w:rsidDel="00000000" w:rsidR="00000000" w:rsidRPr="00000000">
        <w:rPr>
          <w:rFonts w:ascii="Arial" w:cs="Arial" w:eastAsia="Arial" w:hAnsi="Arial"/>
          <w:b w:val="1"/>
          <w:bCs w:val="1"/>
          <w:u w:val="single"/>
          <w:rtl w:val="0"/>
        </w:rPr>
        <w:t xml:space="preserve">MP exposure harms fish through</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280" w:lineRule="auto"/>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Mechanical damage</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Physical abrasion of gut epithelium and gill tissues, leading to inflammation and impaired nutrient absorption. Such damage can compromise barrier integrity, increasing susceptibility to pathogens and secondary infections.</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Oxidative stress and inflammation</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Elevated reactive oxygen species (ROS), altered antioxidant enzyme activity, lipid peroxidation, and histopathological lesions in liver and gills (Schell et al., 2022). Prolonged oxidative imbalance may impair organ function and reduce overall fitness and survival. </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Endocrine and metabolic disruption</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Leaching of plastic additives and sorbed pollutants interferes with hormonal regulation and energy metabolism (Miserli et al., 2023).These disruptions can affect growth, reproduction, and stress-response pathways in exposed fish.</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Vectoring of co-pollutants</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Microplastics adsorb persistent organic pollutants (POPs) and metals, potentially enhancing bioavailability and toxicity (Pan et al., 2022).</w:t>
        <w:br w:type="textWrapping"/>
        <w:t xml:space="preserve">This carrier effect may amplify toxic responses compared to exposure to contaminants alone.</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Histopathological damage</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Documented liver inflammation, intestinal lesions, and gill structural abnormalities in exposed freshwater species (Qiang &amp; Cheng, 2019).</w:t>
        <w:br w:type="textWrapping"/>
        <w:t xml:space="preserve">Such tissue-level damage reflects chronic exposure and cumulative physiological stress.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80" w:lineRule="auto"/>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Behavioural alterations</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Zebrafish studies reveal impaired locomotion, altered predator-prey interactions, and reduced learning ability following microplastic exposure (Mattsson et al., 2017). Behavioural changes can indirectly affect survival, foraging efficiency, and reproductive success.</w:t>
      </w:r>
    </w:p>
    <w:p w:rsidR="00000000" w:rsidDel="00000000" w:rsidP="00000000" w:rsidRDefault="00000000" w:rsidRPr="00000000" w14:paraId="0000002D">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Effect intensity depends on particle size, shape, polymer chemistry, and environmental context; lab-focused mixtures may not fully reflect complex, real-world exposures (Pan et al., 2022; Schell et al., 2022). Most toxicological evidence is derived from laboratory-based exposure studies, which allow controlled evaluation of physiological and cellular responses. However, field-based observations reflect more realistic exposure scenarios, where concentrations are often lower and influenced by environmental variability. Therefore, combining laboratory and field evidence provides a more balanced and accurate understanding of the potential risks associated with microplastic exposure.</w:t>
      </w:r>
    </w:p>
    <w:p w:rsidR="00000000" w:rsidDel="00000000" w:rsidP="00000000" w:rsidRDefault="00000000" w:rsidRPr="00000000" w14:paraId="0000002E">
      <w:pPr>
        <w:spacing w:after="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2.4 Human Exposure Routes &amp; Biomonitoring</w:t>
      </w:r>
    </w:p>
    <w:p w:rsidR="00000000" w:rsidDel="00000000" w:rsidP="00000000" w:rsidRDefault="00000000" w:rsidRPr="00000000" w14:paraId="0000002F">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In India, the Ganga and Yamuna rivers exhibit high MP levels, especially near cities and utility discharges (Kutralam-Muniasamy et al., 2020; Pandey et al., 2023). The Narmada River also shows significant MP contamination linked to urban runoff and fishing gear (Kumar et al., 2023).These river systems support large populations and inland fisheries, increasing the likelihood of chronic human exposure through food and water pathways.</w:t>
      </w:r>
    </w:p>
    <w:p w:rsidR="00000000" w:rsidDel="00000000" w:rsidP="00000000" w:rsidRDefault="00000000" w:rsidRPr="00000000" w14:paraId="00000030">
      <w:pPr>
        <w:spacing w:after="280" w:before="280" w:lineRule="auto"/>
        <w:jc w:val="both"/>
        <w:rPr>
          <w:rFonts w:ascii="Arial" w:cs="Arial" w:eastAsia="Arial" w:hAnsi="Arial"/>
          <w:b w:val="1"/>
          <w:bCs w:val="1"/>
          <w:u w:val="single"/>
        </w:rPr>
      </w:pPr>
      <w:r w:rsidDel="00000000" w:rsidR="00000000" w:rsidRPr="00000000">
        <w:rPr>
          <w:rFonts w:ascii="Arial" w:cs="Arial" w:eastAsia="Arial" w:hAnsi="Arial"/>
          <w:b w:val="1"/>
          <w:bCs w:val="1"/>
          <w:smallCaps w:val="1"/>
          <w:sz w:val="18"/>
          <w:szCs w:val="18"/>
          <w:rtl w:val="0"/>
        </w:rPr>
        <w:t xml:space="preserve">2.4.1 </w:t>
      </w:r>
      <w:r w:rsidDel="00000000" w:rsidR="00000000" w:rsidRPr="00000000">
        <w:rPr>
          <w:rFonts w:ascii="Arial" w:cs="Arial" w:eastAsia="Arial" w:hAnsi="Arial"/>
          <w:b w:val="1"/>
          <w:bCs w:val="1"/>
          <w:u w:val="single"/>
          <w:rtl w:val="0"/>
        </w:rPr>
        <w:t xml:space="preserve">Pathways</w:t>
      </w:r>
    </w:p>
    <w:p w:rsidR="00000000" w:rsidDel="00000000" w:rsidP="00000000" w:rsidRDefault="00000000" w:rsidRPr="00000000" w14:paraId="00000031">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Humans are exposed to microplastics through multiple routes, including consumption of fish and seafood, drinking water, inhalation of airborne particles, and contact with food packaging materials. Consumption of whole fish, including gastrointestinal contents, results in higher exposure compared with fillet-only consumption (WHO, 2019). Relative contribution of each pathway varies with dietary habits, water treatment efficiency, and environmental contamination levels, making exposure assessment context-specific.</w:t>
      </w:r>
    </w:p>
    <w:p w:rsidR="00000000" w:rsidDel="00000000" w:rsidP="00000000" w:rsidRDefault="00000000" w:rsidRPr="00000000" w14:paraId="00000032">
      <w:pPr>
        <w:spacing w:after="280" w:before="280" w:lineRule="auto"/>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2.4.2</w:t>
      </w:r>
      <w:r w:rsidDel="00000000" w:rsidR="00000000" w:rsidRPr="00000000">
        <w:rPr>
          <w:rFonts w:ascii="Arial" w:cs="Arial" w:eastAsia="Arial" w:hAnsi="Arial"/>
          <w:b w:val="1"/>
          <w:bCs w:val="1"/>
          <w:u w:val="single"/>
          <w:rtl w:val="0"/>
        </w:rPr>
        <w:t xml:space="preserve"> Biomonitoring evidence</w:t>
      </w:r>
    </w:p>
    <w:p w:rsidR="00000000" w:rsidDel="00000000" w:rsidP="00000000" w:rsidRDefault="00000000" w:rsidRPr="00000000" w14:paraId="00000033">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Recent studies provide compelling evidence of internal human exposure: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280" w:lineRule="auto"/>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Blood:</w:t>
      </w:r>
      <w:r w:rsidDel="00000000" w:rsidR="00000000" w:rsidRPr="00000000">
        <w:rPr>
          <w:rFonts w:ascii="Arial" w:cs="Arial" w:eastAsia="Arial" w:hAnsi="Arial"/>
          <w:color w:val="000000"/>
          <w:rtl w:val="0"/>
        </w:rPr>
        <w:t xml:space="preserve"> Detection of polymeric particles confirms systemic circulation (Leslie et al., 2022). This indicates that microplastics can cross epithelial barriers and persist within the human body.</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Placenta</w:t>
      </w:r>
      <w:r w:rsidDel="00000000" w:rsidR="00000000" w:rsidRPr="00000000">
        <w:rPr>
          <w:rFonts w:ascii="Arial" w:cs="Arial" w:eastAsia="Arial" w:hAnsi="Arial"/>
          <w:b w:val="1"/>
          <w:bCs w:val="1"/>
          <w:color w:val="000000"/>
          <w:rtl w:val="0"/>
        </w:rPr>
        <w:t xml:space="preserve">:</w:t>
      </w:r>
      <w:r w:rsidDel="00000000" w:rsidR="00000000" w:rsidRPr="00000000">
        <w:rPr>
          <w:rFonts w:ascii="Arial" w:cs="Arial" w:eastAsia="Arial" w:hAnsi="Arial"/>
          <w:color w:val="000000"/>
          <w:rtl w:val="0"/>
        </w:rPr>
        <w:t xml:space="preserve"> Presence of microplastics suggests transplacental transfer (Ragusa et al., 2021). This raises concerns regarding fetal exposure during critical developmental stages.</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80" w:lineRule="auto"/>
        <w:jc w:val="both"/>
        <w:rPr>
          <w:rFonts w:ascii="Arial" w:cs="Arial" w:eastAsia="Arial" w:hAnsi="Arial"/>
          <w:color w:val="000000"/>
        </w:rPr>
      </w:pPr>
      <w:r w:rsidDel="00000000" w:rsidR="00000000" w:rsidRPr="00000000">
        <w:rPr>
          <w:rFonts w:ascii="Arial" w:cs="Arial" w:eastAsia="Arial" w:hAnsi="Arial"/>
          <w:b w:val="1"/>
          <w:bCs w:val="1"/>
          <w:i w:val="1"/>
          <w:iCs w:val="1"/>
          <w:color w:val="000000"/>
          <w:rtl w:val="0"/>
        </w:rPr>
        <w:t xml:space="preserve">Arterial plaques</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rtl w:val="0"/>
        </w:rPr>
        <w:t xml:space="preserve">Microplastics and nanoplastics have recently been detected in human arterial plaques, indicating their ability to enter and accumulate within vascular tissues (Marfella et al., 2024). This finding suggests that plastic particles may persist in the circulatory system and could contribute to inflammatory processes, although their exact role in cardiovascular disease requires further investigation. </w:t>
      </w:r>
      <w:r w:rsidDel="00000000" w:rsidR="00000000" w:rsidRPr="00000000">
        <w:rPr>
          <w:rtl w:val="0"/>
        </w:rPr>
      </w:r>
    </w:p>
    <w:p w:rsidR="00000000" w:rsidDel="00000000" w:rsidP="00000000" w:rsidRDefault="00000000" w:rsidRPr="00000000" w14:paraId="00000037">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These findings underscore internal exposure and potential systemic risks.</w:t>
        <w:br w:type="textWrapping"/>
        <w:t xml:space="preserve">However, long-term health implications remain uncertain, emphasizing the need for large-scale epidemiological and mechanistic studies.</w:t>
      </w:r>
    </w:p>
    <w:p w:rsidR="00000000" w:rsidDel="00000000" w:rsidP="00000000" w:rsidRDefault="00000000" w:rsidRPr="00000000" w14:paraId="00000038">
      <w:pPr>
        <w:spacing w:after="280" w:before="280" w:lineRule="auto"/>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2.4.3 </w:t>
      </w:r>
      <w:r w:rsidDel="00000000" w:rsidR="00000000" w:rsidRPr="00000000">
        <w:rPr>
          <w:rFonts w:ascii="Arial" w:cs="Arial" w:eastAsia="Arial" w:hAnsi="Arial"/>
          <w:b w:val="1"/>
          <w:bCs w:val="1"/>
          <w:u w:val="single"/>
          <w:rtl w:val="0"/>
        </w:rPr>
        <w:t xml:space="preserve">Regulatory stance</w:t>
      </w:r>
    </w:p>
    <w:p w:rsidR="00000000" w:rsidDel="00000000" w:rsidP="00000000" w:rsidRDefault="00000000" w:rsidRPr="00000000" w14:paraId="00000039">
      <w:pPr>
        <w:jc w:val="both"/>
        <w:rPr>
          <w:rFonts w:ascii="Arial" w:cs="Arial" w:eastAsia="Arial" w:hAnsi="Arial"/>
        </w:rPr>
      </w:pPr>
      <w:r w:rsidDel="00000000" w:rsidR="00000000" w:rsidRPr="00000000">
        <w:rPr>
          <w:rFonts w:ascii="Arial" w:cs="Arial" w:eastAsia="Arial" w:hAnsi="Arial"/>
          <w:rtl w:val="0"/>
        </w:rPr>
        <w:t xml:space="preserve">EFSA and WHO emphasize that current evidence is insufficient for quantitative risk assessment due to methodological variability and limited dose-response data, advocating precautionary risk management (WHO, 2019; EFSA, 2016).</w:t>
      </w:r>
    </w:p>
    <w:p w:rsidR="00000000" w:rsidDel="00000000" w:rsidP="00000000" w:rsidRDefault="00000000" w:rsidRPr="00000000" w14:paraId="0000003A">
      <w:pPr>
        <w:jc w:val="both"/>
        <w:rPr>
          <w:rFonts w:ascii="Arial" w:cs="Arial" w:eastAsia="Arial" w:hAnsi="Arial"/>
        </w:rPr>
      </w:pPr>
      <w:r w:rsidDel="00000000" w:rsidR="00000000" w:rsidRPr="00000000">
        <w:rPr>
          <w:rtl w:val="0"/>
        </w:rPr>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2.5 Analytical Methods &amp; Measurement Challenges</w:t>
      </w:r>
      <w:r w:rsidDel="00000000" w:rsidR="00000000" w:rsidRPr="00000000">
        <w:rPr>
          <w:rtl w:val="0"/>
        </w:rPr>
      </w:r>
    </w:p>
    <w:p w:rsidR="00000000" w:rsidDel="00000000" w:rsidP="00000000" w:rsidRDefault="00000000" w:rsidRPr="00000000" w14:paraId="0000003C">
      <w:pPr>
        <w:spacing w:after="280" w:before="280" w:lineRule="auto"/>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2.5.1 </w:t>
      </w:r>
      <w:r w:rsidDel="00000000" w:rsidR="00000000" w:rsidRPr="00000000">
        <w:rPr>
          <w:rFonts w:ascii="Arial" w:cs="Arial" w:eastAsia="Arial" w:hAnsi="Arial"/>
          <w:b w:val="1"/>
          <w:bCs w:val="1"/>
          <w:u w:val="single"/>
          <w:rtl w:val="0"/>
        </w:rPr>
        <w:t xml:space="preserve">Key methodological issues:</w:t>
      </w:r>
    </w:p>
    <w:p w:rsidR="00000000" w:rsidDel="00000000" w:rsidP="00000000" w:rsidRDefault="00000000" w:rsidRPr="00000000" w14:paraId="0000003D">
      <w:pPr>
        <w:jc w:val="both"/>
        <w:rPr>
          <w:rFonts w:ascii="Arial" w:cs="Arial" w:eastAsia="Arial" w:hAnsi="Arial"/>
        </w:rPr>
      </w:pPr>
      <w:r w:rsidDel="00000000" w:rsidR="00000000" w:rsidRPr="00000000">
        <w:rPr>
          <w:rFonts w:ascii="Arial" w:cs="Arial" w:eastAsia="Arial" w:hAnsi="Arial"/>
          <w:b w:val="1"/>
          <w:bCs w:val="1"/>
          <w:i w:val="1"/>
          <w:iCs w:val="1"/>
          <w:rtl w:val="0"/>
        </w:rPr>
        <w:t xml:space="preserve">Contamination controls</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Needed in field/lab (filtered air, procedural blanks, lab clothing) to reduce fiber contamination. Strict contamination control is essential, as airborne fibers and laboratory materials can easily bias results, particularly when analyzing low-abundance samples.</w:t>
      </w:r>
    </w:p>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b w:val="1"/>
          <w:bCs w:val="1"/>
          <w:i w:val="1"/>
          <w:iCs w:val="1"/>
          <w:rtl w:val="0"/>
        </w:rPr>
        <w:t xml:space="preserve">Particle ID: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μ-FTIR and Raman are recommended for particles &gt;20 µm; Py-GC/MS and TED-GC/MS offer mass-based polymer quantification; Nile Red staining is a useful screen but requires spectral confirmation (JRC, 2021).</w:t>
        <w:br w:type="textWrapping"/>
        <w:t xml:space="preserve">Combining visual screening with spectroscopic or thermal confirmation improves accuracy and reduces false positives.</w:t>
      </w:r>
    </w:p>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b w:val="1"/>
          <w:bCs w:val="1"/>
          <w:i w:val="1"/>
          <w:iCs w:val="1"/>
          <w:rtl w:val="0"/>
        </w:rPr>
        <w:t xml:space="preserve">Reporting standards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rtl w:val="0"/>
        </w:rPr>
        <w:t xml:space="preserve">Count/mass metrics, detailed size distributions (&lt;100 µm), polymer classes, and shapes (fibers/fragments) are essential for comparability.</w:t>
        <w:br w:type="textWrapping"/>
        <w:t xml:space="preserve">Lack of standardized reporting formats currently limits cross-study comparison and meta-analysis.</w:t>
      </w:r>
    </w:p>
    <w:p w:rsidR="00000000" w:rsidDel="00000000" w:rsidP="00000000" w:rsidRDefault="00000000" w:rsidRPr="00000000" w14:paraId="00000040">
      <w:pPr>
        <w:jc w:val="both"/>
        <w:rPr>
          <w:rFonts w:ascii="Arial" w:cs="Arial" w:eastAsia="Arial" w:hAnsi="Arial"/>
        </w:rPr>
      </w:pPr>
      <w:r w:rsidDel="00000000" w:rsidR="00000000" w:rsidRPr="00000000">
        <w:rPr>
          <w:rFonts w:ascii="Arial" w:cs="Arial" w:eastAsia="Arial" w:hAnsi="Arial"/>
          <w:b w:val="1"/>
          <w:bCs w:val="1"/>
          <w:i w:val="1"/>
          <w:iCs w:val="1"/>
          <w:rtl w:val="0"/>
        </w:rPr>
        <w:t xml:space="preserve">Thermal Analysis</w:t>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rtl w:val="0"/>
        </w:rPr>
        <w:t xml:space="preserve">Pyrolysis-GC/MS and Thermogravimetric Analysis (TGA)-provide polymer specific chemical fingerprints and quantify MPs, but require sample destruction.</w:t>
        <w:br w:type="textWrapping"/>
        <w:t xml:space="preserve">These methods are particularly useful for complex matrices where spectroscopic identification is challenging.</w:t>
      </w:r>
    </w:p>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JRC guidance and reference material development are helping standardize practices (JRC, 2021; JRC reference announcements, 2025).</w:t>
        <w:br w:type="textWrapping"/>
        <w:t xml:space="preserve">Such harmonization efforts are critical for generating reliable datasets to support risk assessment and policy decisions.</w:t>
      </w:r>
    </w:p>
    <w:p w:rsidR="00000000" w:rsidDel="00000000" w:rsidP="00000000" w:rsidRDefault="00000000" w:rsidRPr="00000000" w14:paraId="00000042">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Policy &amp; Governance Landscape</w:t>
      </w:r>
    </w:p>
    <w:p w:rsidR="00000000" w:rsidDel="00000000" w:rsidP="00000000" w:rsidRDefault="00000000" w:rsidRPr="00000000" w14:paraId="00000044">
      <w:pP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  Global treaty process</w:t>
      </w:r>
    </w:p>
    <w:p w:rsidR="00000000" w:rsidDel="00000000" w:rsidP="00000000" w:rsidRDefault="00000000" w:rsidRPr="00000000" w14:paraId="00000046">
      <w:pPr>
        <w:jc w:val="both"/>
        <w:rPr>
          <w:rFonts w:ascii="Arial" w:cs="Arial" w:eastAsia="Arial" w:hAnsi="Arial"/>
        </w:rPr>
      </w:pPr>
      <w:r w:rsidDel="00000000" w:rsidR="00000000" w:rsidRPr="00000000">
        <w:rPr>
          <w:rFonts w:ascii="Arial" w:cs="Arial" w:eastAsia="Arial" w:hAnsi="Arial"/>
          <w:rtl w:val="0"/>
        </w:rPr>
        <w:t xml:space="preserve">The UNEA-led Intergovernmental Negotiating Committee (INC) aims to finalize a legally binding global plastics treaty addressing the full lifecycle of plastics, with potential inclusion of microplastic-specific controls (UNEP, 2025).</w:t>
      </w:r>
    </w:p>
    <w:p w:rsidR="00000000" w:rsidDel="00000000" w:rsidP="00000000" w:rsidRDefault="00000000" w:rsidRPr="00000000" w14:paraId="00000047">
      <w:pPr>
        <w:spacing w:before="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3.2 European Union</w:t>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The 2023 REACH restriction on intentionally added microplastics represents a landmark regulatory intervention, complemented by harmonized monitoring guidance (European Union, 2023; JRC, 2021).</w:t>
      </w:r>
    </w:p>
    <w:p w:rsidR="00000000" w:rsidDel="00000000" w:rsidP="00000000" w:rsidRDefault="00000000" w:rsidRPr="00000000" w14:paraId="00000049">
      <w:pPr>
        <w:jc w:val="both"/>
        <w:rPr>
          <w:rFonts w:ascii="Arial" w:cs="Arial" w:eastAsia="Arial" w:hAnsi="Arial"/>
        </w:rPr>
      </w:pPr>
      <w:r w:rsidDel="00000000" w:rsidR="00000000" w:rsidRPr="00000000">
        <w:rPr>
          <w:rtl w:val="0"/>
        </w:rPr>
      </w:r>
    </w:p>
    <w:p w:rsidR="00000000" w:rsidDel="00000000" w:rsidP="00000000" w:rsidRDefault="00000000" w:rsidRPr="00000000" w14:paraId="0000004A">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3.3 India</w:t>
      </w:r>
    </w:p>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India’s Plastic Waste Management Rules (2016) and 2022 EPR and SUP bans indirectly address secondary MP generation, though gaps persist in managing tire wear and microfibers. Basin-level monitoring tied to regulation remains nascent (MoEFCC, 2022; Pandey et al., 2023).Initiatives like the Swachh Bharat Mission and Extended Producer Responsibility(EPR) guidelines reflect a push towards sustainable waste management (KAZA et al.,2018).</w:t>
      </w:r>
    </w:p>
    <w:p w:rsidR="00000000" w:rsidDel="00000000" w:rsidP="00000000" w:rsidRDefault="00000000" w:rsidRPr="00000000" w14:paraId="0000004C">
      <w:pPr>
        <w:spacing w:before="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3.4 United States</w:t>
      </w:r>
    </w:p>
    <w:p w:rsidR="00000000" w:rsidDel="00000000" w:rsidP="00000000" w:rsidRDefault="00000000" w:rsidRPr="00000000" w14:paraId="0000004D">
      <w:pPr>
        <w:spacing w:after="280" w:lineRule="auto"/>
        <w:jc w:val="both"/>
        <w:rPr>
          <w:rFonts w:ascii="Arial" w:cs="Arial" w:eastAsia="Arial" w:hAnsi="Arial"/>
        </w:rPr>
      </w:pPr>
      <w:r w:rsidDel="00000000" w:rsidR="00000000" w:rsidRPr="00000000">
        <w:rPr>
          <w:rFonts w:ascii="Arial" w:cs="Arial" w:eastAsia="Arial" w:hAnsi="Arial"/>
          <w:rtl w:val="0"/>
        </w:rPr>
        <w:t xml:space="preserve">The Microbead-Free Waters Act (2015) banned cosmetic microbeads. Broader interventions focus on textile filters and WWTP upgrades, though federal regulation on MPs is limited (Udovicki et al., 2022).  </w:t>
      </w:r>
    </w:p>
    <w:p w:rsidR="00000000" w:rsidDel="00000000" w:rsidP="00000000" w:rsidRDefault="00000000" w:rsidRPr="00000000" w14:paraId="0000004E">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3.5 Policy gaps</w:t>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Secondary MPs textile fibers, tire wear remain underregulated globally. Needed actions include upstream product design, WWTP/laundry filters, operation-clean-sweep, and monitoring/EPR performance linkages (Pan et al., 2022; Udovicki et al., 2022).</w:t>
      </w:r>
    </w:p>
    <w:p w:rsidR="00000000" w:rsidDel="00000000" w:rsidP="00000000" w:rsidRDefault="00000000" w:rsidRPr="00000000" w14:paraId="00000050">
      <w:pPr>
        <w:spacing w:before="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3.6 Risk Mitigation Strategies</w:t>
      </w:r>
    </w:p>
    <w:p w:rsidR="00000000" w:rsidDel="00000000" w:rsidP="00000000" w:rsidRDefault="00000000" w:rsidRPr="00000000" w14:paraId="00000051">
      <w:pPr>
        <w:spacing w:before="280" w:lineRule="auto"/>
        <w:jc w:val="both"/>
        <w:rPr>
          <w:rFonts w:ascii="Arial" w:cs="Arial" w:eastAsia="Arial" w:hAnsi="Arial"/>
        </w:rPr>
      </w:pPr>
      <w:r w:rsidDel="00000000" w:rsidR="00000000" w:rsidRPr="00000000">
        <w:rPr>
          <w:rFonts w:ascii="Arial" w:cs="Arial" w:eastAsia="Arial" w:hAnsi="Arial"/>
          <w:b w:val="1"/>
          <w:bCs w:val="1"/>
          <w:rtl w:val="0"/>
        </w:rPr>
        <w:t xml:space="preserve">Infrastructure upgrades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Tertiary and advanced filtration in WWTPs reduce MP discharge; sediment traps in flood-prone areas help capture runoff-bound particles (Liu et al., 2021).</w:t>
        <w:br w:type="textWrapping"/>
        <w:t xml:space="preserve">Advanced treatment processes such as membrane filtration and sand filtration improve removal efficiency, particularly for fibers and fragments. Strengthening stormwater management and routine monitoring at WWTP outlets can further limit riverine MP inputs, especially during monsoon events.</w:t>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b w:val="1"/>
          <w:bCs w:val="1"/>
          <w:rtl w:val="0"/>
        </w:rPr>
        <w:t xml:space="preserve">Product innovation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Banning intentionally added MPs and promoting low-shedding textiles and circular packaging (JRC, 2025).</w:t>
        <w:br w:type="textWrapping"/>
        <w:t xml:space="preserve">Upstream product redesign reduces MP generation at source, particularly from cosmetics, textiles, and packaging. Encouraging eco-design, durable materials, and circular economy practices can significantly lower long-term MP release into freshwater systems.</w:t>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b w:val="1"/>
          <w:bCs w:val="1"/>
          <w:rtl w:val="0"/>
        </w:rPr>
        <w:t xml:space="preserve">Consumer behavior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rtl w:val="0"/>
        </w:rPr>
        <w:t xml:space="preserve"> Prefer fillets; use laundry filters; reduce single-use plastics; use filtered drinking water precautionary, especially amid uncertainty (WHO, 2019).</w:t>
        <w:br w:type="textWrapping"/>
        <w:t xml:space="preserve">Simple behavioral changes can reduce direct exposure and environmental loading. Public awareness on safer fish consumption practices and microfiber reduction during washing plays a complementary role in mitigation.</w:t>
      </w:r>
    </w:p>
    <w:p w:rsidR="00000000" w:rsidDel="00000000" w:rsidP="00000000" w:rsidRDefault="00000000" w:rsidRPr="00000000" w14:paraId="00000054">
      <w:pPr>
        <w:spacing w:after="280" w:lineRule="auto"/>
        <w:jc w:val="both"/>
        <w:rPr>
          <w:rFonts w:ascii="Arial" w:cs="Arial" w:eastAsia="Arial" w:hAnsi="Arial"/>
        </w:rPr>
      </w:pPr>
      <w:r w:rsidDel="00000000" w:rsidR="00000000" w:rsidRPr="00000000">
        <w:rPr>
          <w:rFonts w:ascii="Arial" w:cs="Arial" w:eastAsia="Arial" w:hAnsi="Arial"/>
          <w:b w:val="1"/>
          <w:bCs w:val="1"/>
          <w:rtl w:val="0"/>
        </w:rPr>
        <w:t xml:space="preserve">Fisheries best practices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Evisceration procedures, reducing gear loss, and implementing take-back schemes reduce fish contamination (Akar et al., 2022).</w:t>
        <w:br w:type="textWrapping"/>
        <w:t xml:space="preserve">Improved handling and processing practices minimize contamination of edible tissues, while responsible gear management reduces secondary MP generation in aquatic environments.</w:t>
      </w:r>
    </w:p>
    <w:p w:rsidR="00000000" w:rsidDel="00000000" w:rsidP="00000000" w:rsidRDefault="00000000" w:rsidRPr="00000000" w14:paraId="00000055">
      <w:pPr>
        <w:spacing w:after="28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Research Gaps &amp; Future Priorities</w:t>
      </w:r>
    </w:p>
    <w:p w:rsidR="00000000" w:rsidDel="00000000" w:rsidP="00000000" w:rsidRDefault="00000000" w:rsidRPr="00000000" w14:paraId="00000056">
      <w:pPr>
        <w:spacing w:after="280" w:lineRule="auto"/>
        <w:jc w:val="both"/>
        <w:rPr>
          <w:rFonts w:ascii="Arial" w:cs="Arial" w:eastAsia="Arial" w:hAnsi="Arial"/>
          <w:b w:val="1"/>
          <w:bCs w:val="1"/>
          <w:sz w:val="22"/>
          <w:szCs w:val="22"/>
        </w:rPr>
      </w:pPr>
      <w:r w:rsidDel="00000000" w:rsidR="00000000" w:rsidRPr="00000000">
        <w:rPr>
          <w:rFonts w:ascii="Arial" w:cs="Arial" w:eastAsia="Arial" w:hAnsi="Arial"/>
          <w:rtl w:val="0"/>
        </w:rPr>
        <w:t xml:space="preserve">Key priorities include standardized edible tissue analysis, chronic low-dose nanoplastic toxicology, large-scale human biomonitoring, source attribution using polymer fingerprinting, and basin-scale monitoring frameworks for Indian rivers.</w:t>
      </w:r>
      <w:r w:rsidDel="00000000" w:rsidR="00000000" w:rsidRPr="00000000">
        <w:rPr>
          <w:rtl w:val="0"/>
        </w:rPr>
      </w:r>
    </w:p>
    <w:p w:rsidR="00000000" w:rsidDel="00000000" w:rsidP="00000000" w:rsidRDefault="00000000" w:rsidRPr="00000000" w14:paraId="00000057">
      <w:pPr>
        <w:numPr>
          <w:ilvl w:val="0"/>
          <w:numId w:val="2"/>
        </w:numPr>
        <w:spacing w:before="28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Standardized edible tissue analysis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rtl w:val="0"/>
        </w:rPr>
        <w:t xml:space="preserve"> Robust, contamination-controlled quantification of MPs/NPs in fish muscle using polymer specific ID (JRC, 2021).</w:t>
      </w:r>
      <w:r w:rsidDel="00000000" w:rsidR="00000000" w:rsidRPr="00000000">
        <w:rPr>
          <w:rtl w:val="0"/>
        </w:rPr>
      </w:r>
    </w:p>
    <w:p w:rsidR="00000000" w:rsidDel="00000000" w:rsidP="00000000" w:rsidRDefault="00000000" w:rsidRPr="00000000" w14:paraId="00000058">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Chronic, low-dose NP toxicology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Real-world exposure models incorporating polymer mixture effects (Pan et al., 2022).</w:t>
      </w:r>
      <w:r w:rsidDel="00000000" w:rsidR="00000000" w:rsidRPr="00000000">
        <w:rPr>
          <w:rtl w:val="0"/>
        </w:rPr>
      </w:r>
    </w:p>
    <w:p w:rsidR="00000000" w:rsidDel="00000000" w:rsidP="00000000" w:rsidRDefault="00000000" w:rsidRPr="00000000" w14:paraId="00000059">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Large-scale biomonitoring</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rtl w:val="0"/>
        </w:rPr>
        <w:t xml:space="preserve">Epidemiological linkage of MPs in human samples with health outcomes (Leslie et al., 2022; Marfella et al., 2024).</w:t>
      </w:r>
      <w:r w:rsidDel="00000000" w:rsidR="00000000" w:rsidRPr="00000000">
        <w:rPr>
          <w:rtl w:val="0"/>
        </w:rPr>
      </w:r>
    </w:p>
    <w:p w:rsidR="00000000" w:rsidDel="00000000" w:rsidP="00000000" w:rsidRDefault="00000000" w:rsidRPr="00000000" w14:paraId="0000005A">
      <w:pPr>
        <w:numPr>
          <w:ilvl w:val="0"/>
          <w:numId w:val="2"/>
        </w:numPr>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Source attribution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Polymer/additive fingerprinting to trace MPs to textiles, tires, packaging; assessing policy efficacy (Kole et al., 2017; Pan et al., 2022).</w:t>
      </w:r>
      <w:r w:rsidDel="00000000" w:rsidR="00000000" w:rsidRPr="00000000">
        <w:rPr>
          <w:rtl w:val="0"/>
        </w:rPr>
      </w:r>
    </w:p>
    <w:p w:rsidR="00000000" w:rsidDel="00000000" w:rsidP="00000000" w:rsidRDefault="00000000" w:rsidRPr="00000000" w14:paraId="0000005B">
      <w:pPr>
        <w:numPr>
          <w:ilvl w:val="0"/>
          <w:numId w:val="2"/>
        </w:numPr>
        <w:spacing w:after="28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Regional monitoring frameworks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rtl w:val="0"/>
        </w:rPr>
        <w:t xml:space="preserve">Coordinate MP assessments in basins like Ganga, Narmada, and Godavari to track policy impacts (Pawak et al., 2024; Pandey et al., 2023).</w:t>
      </w:r>
      <w:r w:rsidDel="00000000" w:rsidR="00000000" w:rsidRPr="00000000">
        <w:rPr>
          <w:rtl w:val="0"/>
        </w:rPr>
      </w:r>
    </w:p>
    <w:p w:rsidR="00000000" w:rsidDel="00000000" w:rsidP="00000000" w:rsidRDefault="00000000" w:rsidRPr="00000000" w14:paraId="0000005C">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 Conclusion</w:t>
      </w:r>
    </w:p>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Microplastics in freshwater systems constitute a pressing, multi-source environmental health concern. Fish in rivers globally and especially in India are routinely exposed to MPs. Ingestion is well-documented while presence in edible tissue remains uncertain due to methodological differences. Human biomonitoring shows that plastic particles can cross biological barriers and accumulate in tissues; however, health effects remain to be fully delineated. Policies are advancing, moving forward, bridging existing policy gaps and aligning global, regional and national frameworks will be crucial for achieving long-term sustainability. We see bans on intentionally added MPs (EU), EPR initiatives (India), and microbead bans (US) but regulatory gaps on secondary plastics remain. The way forward lies in combining upstream source control, harmonized measurement, improved infrastructure, consumer awareness, and robust research to protect freshwater ecosystems and human health from MP pollution.</w:t>
      </w:r>
    </w:p>
    <w:p w:rsidR="00000000" w:rsidDel="00000000" w:rsidP="00000000" w:rsidRDefault="00000000" w:rsidRPr="00000000" w14:paraId="0000005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bookmarkStart w:colFirst="0" w:colLast="0" w:name="_heading=h.w7vr3ybgiq42" w:id="0"/>
      <w:bookmarkEnd w:id="0"/>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Disclaimer (Artificial intelligence)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Fonts w:ascii="Arial" w:cs="Arial" w:eastAsia="Arial" w:hAnsi="Arial"/>
          <w:b w:val="0"/>
          <w:bCs w:val="0"/>
          <w:i w:val="0"/>
          <w:iCs w:val="0"/>
          <w:smallCaps w:val="0"/>
          <w:strike w:val="0"/>
          <w:color w:val="000000"/>
          <w:sz w:val="22"/>
          <w:szCs w:val="22"/>
          <w:highlight w:val="yellow"/>
          <w:u w:val="none"/>
          <w:vertAlign w:val="baseline"/>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63">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bCs w:val="1"/>
          <w:smallCaps w:val="1"/>
          <w:color w:val="000000"/>
          <w:sz w:val="22"/>
          <w:szCs w:val="22"/>
          <w:rtl w:val="0"/>
        </w:rPr>
        <w:t xml:space="preserve">Reference</w:t>
      </w:r>
      <w:r w:rsidDel="00000000" w:rsidR="00000000" w:rsidRPr="00000000">
        <w:rPr>
          <w:rtl w:val="0"/>
        </w:rPr>
      </w:r>
    </w:p>
    <w:p w:rsidR="00000000" w:rsidDel="00000000" w:rsidP="00000000" w:rsidRDefault="00000000" w:rsidRPr="00000000" w14:paraId="00000065">
      <w:pPr>
        <w:numPr>
          <w:ilvl w:val="0"/>
          <w:numId w:val="1"/>
        </w:numPr>
        <w:spacing w:before="24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Akar, S., Gray, E. and Staff Lawyer, W. C. E. L. (2024). Researching fishing gear pollution types, sources, and supply chains in BC coast fisheries to support policy reform proposals.</w:t>
      </w:r>
    </w:p>
    <w:p w:rsidR="00000000" w:rsidDel="00000000" w:rsidP="00000000" w:rsidRDefault="00000000" w:rsidRPr="00000000" w14:paraId="00000066">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Amparán, M. A. A., Palacios, A., Flores, G. M. and Olivera, P. M. C. (2025). Review and future outlook for the removal of microplastics by physical, biological and chemical methods in water bodies and wastewaters. </w:t>
      </w:r>
      <w:r w:rsidDel="00000000" w:rsidR="00000000" w:rsidRPr="00000000">
        <w:rPr>
          <w:rFonts w:ascii="Arial" w:cs="Arial" w:eastAsia="Arial" w:hAnsi="Arial"/>
          <w:i w:val="1"/>
          <w:iCs w:val="1"/>
          <w:rtl w:val="0"/>
        </w:rPr>
        <w:t xml:space="preserve">Environmental Monitoring and Assessment</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197</w:t>
      </w:r>
      <w:r w:rsidDel="00000000" w:rsidR="00000000" w:rsidRPr="00000000">
        <w:rPr>
          <w:rFonts w:ascii="Arial" w:cs="Arial" w:eastAsia="Arial" w:hAnsi="Arial"/>
          <w:rtl w:val="0"/>
        </w:rPr>
        <w:t xml:space="preserve">(4): 429.</w:t>
      </w:r>
    </w:p>
    <w:p w:rsidR="00000000" w:rsidDel="00000000" w:rsidP="00000000" w:rsidRDefault="00000000" w:rsidRPr="00000000" w14:paraId="00000067">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Corradini, E., Meza, P., Eguiluz, R., Casado, F., Huerta-Lwanga, E. and Geissen, V. (2019). Evidence of microplastic accumulation in agricultural soils from sewage sludge disposal. </w:t>
      </w:r>
      <w:r w:rsidDel="00000000" w:rsidR="00000000" w:rsidRPr="00000000">
        <w:rPr>
          <w:rFonts w:ascii="Arial" w:cs="Arial" w:eastAsia="Arial" w:hAnsi="Arial"/>
          <w:i w:val="1"/>
          <w:iCs w:val="1"/>
          <w:rtl w:val="0"/>
        </w:rPr>
        <w:t xml:space="preserve">Science of the Total Environment, 671</w:t>
      </w:r>
      <w:r w:rsidDel="00000000" w:rsidR="00000000" w:rsidRPr="00000000">
        <w:rPr>
          <w:rFonts w:ascii="Arial" w:cs="Arial" w:eastAsia="Arial" w:hAnsi="Arial"/>
          <w:rtl w:val="0"/>
        </w:rPr>
        <w:t xml:space="preserve">: 411-420.</w:t>
      </w:r>
    </w:p>
    <w:p w:rsidR="00000000" w:rsidDel="00000000" w:rsidP="00000000" w:rsidRDefault="00000000" w:rsidRPr="00000000" w14:paraId="00000068">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Dris, R., Gasperi, J., Rocher, V., Saad, M., Mirande, C. and Tassin, B. (2018). A first overview of textile fibers, including microplastics, in indoor and outdoor environments. </w:t>
      </w:r>
      <w:r w:rsidDel="00000000" w:rsidR="00000000" w:rsidRPr="00000000">
        <w:rPr>
          <w:rFonts w:ascii="Arial" w:cs="Arial" w:eastAsia="Arial" w:hAnsi="Arial"/>
          <w:i w:val="1"/>
          <w:iCs w:val="1"/>
          <w:rtl w:val="0"/>
        </w:rPr>
        <w:t xml:space="preserve">Environmental Pollution, 221</w:t>
      </w:r>
      <w:r w:rsidDel="00000000" w:rsidR="00000000" w:rsidRPr="00000000">
        <w:rPr>
          <w:rFonts w:ascii="Arial" w:cs="Arial" w:eastAsia="Arial" w:hAnsi="Arial"/>
          <w:rtl w:val="0"/>
        </w:rPr>
        <w:t xml:space="preserve">: 453-458.</w:t>
      </w:r>
    </w:p>
    <w:p w:rsidR="00000000" w:rsidDel="00000000" w:rsidP="00000000" w:rsidRDefault="00000000" w:rsidRPr="00000000" w14:paraId="00000069">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EFSA. (2016). </w:t>
      </w:r>
      <w:r w:rsidDel="00000000" w:rsidR="00000000" w:rsidRPr="00000000">
        <w:rPr>
          <w:rFonts w:ascii="Arial" w:cs="Arial" w:eastAsia="Arial" w:hAnsi="Arial"/>
          <w:i w:val="1"/>
          <w:iCs w:val="1"/>
          <w:rtl w:val="0"/>
        </w:rPr>
        <w:t xml:space="preserve">Microplastics and nanoplastics in food - Scientific opinion.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EFSA Journal, 14</w:t>
      </w:r>
      <w:r w:rsidDel="00000000" w:rsidR="00000000" w:rsidRPr="00000000">
        <w:rPr>
          <w:rFonts w:ascii="Arial" w:cs="Arial" w:eastAsia="Arial" w:hAnsi="Arial"/>
          <w:rtl w:val="0"/>
        </w:rPr>
        <w:t xml:space="preserve">(6): e04501.</w:t>
      </w:r>
    </w:p>
    <w:p w:rsidR="00000000" w:rsidDel="00000000" w:rsidP="00000000" w:rsidRDefault="00000000" w:rsidRPr="00000000" w14:paraId="0000006A">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European Union. (2023). </w:t>
      </w:r>
      <w:r w:rsidDel="00000000" w:rsidR="00000000" w:rsidRPr="00000000">
        <w:rPr>
          <w:rFonts w:ascii="Arial" w:cs="Arial" w:eastAsia="Arial" w:hAnsi="Arial"/>
          <w:i w:val="1"/>
          <w:iCs w:val="1"/>
          <w:rtl w:val="0"/>
        </w:rPr>
        <w:t xml:space="preserve">Commission regulation (EU) 2023/2055 restricting intentionally added microplastics (REACH).</w:t>
      </w:r>
      <w:r w:rsidDel="00000000" w:rsidR="00000000" w:rsidRPr="00000000">
        <w:rPr>
          <w:rFonts w:ascii="Arial" w:cs="Arial" w:eastAsia="Arial" w:hAnsi="Arial"/>
          <w:rtl w:val="0"/>
        </w:rPr>
        <w:t xml:space="preserve"> Official Journal of the European Union.</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Gao, F., Li, J., Sun, C., Zhang, L., Jiang, F. and Cao, W. (2021). Seasonal variation and ecological risk of microplastics in freshwater fish from riverine systems. </w:t>
      </w:r>
      <w:r w:rsidDel="00000000" w:rsidR="00000000" w:rsidRPr="00000000">
        <w:rPr>
          <w:rFonts w:ascii="Arial" w:cs="Arial" w:eastAsia="Arial" w:hAnsi="Arial"/>
          <w:i w:val="1"/>
          <w:iCs w:val="1"/>
          <w:color w:val="000000"/>
          <w:rtl w:val="0"/>
        </w:rPr>
        <w:t xml:space="preserve">Environmental Pollution</w:t>
      </w:r>
      <w:r w:rsidDel="00000000" w:rsidR="00000000" w:rsidRPr="00000000">
        <w:rPr>
          <w:rFonts w:ascii="Arial" w:cs="Arial" w:eastAsia="Arial" w:hAnsi="Arial"/>
          <w:color w:val="000000"/>
          <w:rtl w:val="0"/>
        </w:rPr>
        <w:t xml:space="preserve">, 273: 116-124.</w:t>
      </w:r>
    </w:p>
    <w:p w:rsidR="00000000" w:rsidDel="00000000" w:rsidP="00000000" w:rsidRDefault="00000000" w:rsidRPr="00000000" w14:paraId="0000006C">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Geyer, R., Jambeck, J. R. and Law, K. L. (2017). Production, use, and fate of all plastics ever made. </w:t>
      </w:r>
      <w:r w:rsidDel="00000000" w:rsidR="00000000" w:rsidRPr="00000000">
        <w:rPr>
          <w:rFonts w:ascii="Arial" w:cs="Arial" w:eastAsia="Arial" w:hAnsi="Arial"/>
          <w:i w:val="1"/>
          <w:iCs w:val="1"/>
          <w:rtl w:val="0"/>
        </w:rPr>
        <w:t xml:space="preserve">Science Advances, 3</w:t>
      </w:r>
      <w:r w:rsidDel="00000000" w:rsidR="00000000" w:rsidRPr="00000000">
        <w:rPr>
          <w:rFonts w:ascii="Arial" w:cs="Arial" w:eastAsia="Arial" w:hAnsi="Arial"/>
          <w:rtl w:val="0"/>
        </w:rPr>
        <w:t xml:space="preserve">(7): e1700782.</w:t>
      </w:r>
    </w:p>
    <w:p w:rsidR="00000000" w:rsidDel="00000000" w:rsidP="00000000" w:rsidRDefault="00000000" w:rsidRPr="00000000" w14:paraId="0000006D">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Jiang, J., Liao, W., Xiao, C. and Zheng, X. (2020). Microplastic pollution in water and sediment in a typical catchment of the Three Gorges Reservoir area. </w:t>
      </w:r>
      <w:r w:rsidDel="00000000" w:rsidR="00000000" w:rsidRPr="00000000">
        <w:rPr>
          <w:rFonts w:ascii="Arial" w:cs="Arial" w:eastAsia="Arial" w:hAnsi="Arial"/>
          <w:i w:val="1"/>
          <w:iCs w:val="1"/>
          <w:rtl w:val="0"/>
        </w:rPr>
        <w:t xml:space="preserve">Environmental Pollution, 267</w:t>
      </w:r>
      <w:r w:rsidDel="00000000" w:rsidR="00000000" w:rsidRPr="00000000">
        <w:rPr>
          <w:rFonts w:ascii="Arial" w:cs="Arial" w:eastAsia="Arial" w:hAnsi="Arial"/>
          <w:rtl w:val="0"/>
        </w:rPr>
        <w:t xml:space="preserve">: 115750.</w:t>
      </w:r>
    </w:p>
    <w:p w:rsidR="00000000" w:rsidDel="00000000" w:rsidP="00000000" w:rsidRDefault="00000000" w:rsidRPr="00000000" w14:paraId="0000006E">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JRC (Joint Research Centre). (2021). </w:t>
      </w:r>
      <w:r w:rsidDel="00000000" w:rsidR="00000000" w:rsidRPr="00000000">
        <w:rPr>
          <w:rFonts w:ascii="Arial" w:cs="Arial" w:eastAsia="Arial" w:hAnsi="Arial"/>
          <w:i w:val="1"/>
          <w:iCs w:val="1"/>
          <w:rtl w:val="0"/>
        </w:rPr>
        <w:t xml:space="preserve">Guidance on measuring microplastics in environmental matrices.</w:t>
      </w:r>
      <w:r w:rsidDel="00000000" w:rsidR="00000000" w:rsidRPr="00000000">
        <w:rPr>
          <w:rFonts w:ascii="Arial" w:cs="Arial" w:eastAsia="Arial" w:hAnsi="Arial"/>
          <w:rtl w:val="0"/>
        </w:rPr>
        <w:t xml:space="preserve"> European Commission.</w:t>
      </w:r>
    </w:p>
    <w:p w:rsidR="00000000" w:rsidDel="00000000" w:rsidP="00000000" w:rsidRDefault="00000000" w:rsidRPr="00000000" w14:paraId="0000006F">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JRC. (2025). Announcement of reference materials and improvements to MP monitoring. European Commission Joint Research Centre.</w:t>
      </w:r>
    </w:p>
    <w:p w:rsidR="00000000" w:rsidDel="00000000" w:rsidP="00000000" w:rsidRDefault="00000000" w:rsidRPr="00000000" w14:paraId="00000070">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Kole, P. J., Löhr, A. J., Van Belleghem, F. G. and Ragas, A. M. (2017). Tire wear: A stealthy source of microplastics in the environment. </w:t>
      </w:r>
      <w:r w:rsidDel="00000000" w:rsidR="00000000" w:rsidRPr="00000000">
        <w:rPr>
          <w:rFonts w:ascii="Arial" w:cs="Arial" w:eastAsia="Arial" w:hAnsi="Arial"/>
          <w:i w:val="1"/>
          <w:iCs w:val="1"/>
          <w:rtl w:val="0"/>
        </w:rPr>
        <w:t xml:space="preserve">International Journal of Environmental Research and Public Health, 14</w:t>
      </w:r>
      <w:r w:rsidDel="00000000" w:rsidR="00000000" w:rsidRPr="00000000">
        <w:rPr>
          <w:rFonts w:ascii="Arial" w:cs="Arial" w:eastAsia="Arial" w:hAnsi="Arial"/>
          <w:rtl w:val="0"/>
        </w:rPr>
        <w:t xml:space="preserve">(10): 1265.</w:t>
      </w:r>
    </w:p>
    <w:p w:rsidR="00000000" w:rsidDel="00000000" w:rsidP="00000000" w:rsidRDefault="00000000" w:rsidRPr="00000000" w14:paraId="00000071">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Kumar, V., Singh, R. and Sharma, P. (2023). Microplastic contamination in Narmada River sediments and fish: A risk assessment. </w:t>
      </w:r>
      <w:r w:rsidDel="00000000" w:rsidR="00000000" w:rsidRPr="00000000">
        <w:rPr>
          <w:rFonts w:ascii="Arial" w:cs="Arial" w:eastAsia="Arial" w:hAnsi="Arial"/>
          <w:i w:val="1"/>
          <w:iCs w:val="1"/>
          <w:rtl w:val="0"/>
        </w:rPr>
        <w:t xml:space="preserve">Environmental Pollution, 312</w:t>
      </w:r>
      <w:r w:rsidDel="00000000" w:rsidR="00000000" w:rsidRPr="00000000">
        <w:rPr>
          <w:rFonts w:ascii="Arial" w:cs="Arial" w:eastAsia="Arial" w:hAnsi="Arial"/>
          <w:rtl w:val="0"/>
        </w:rPr>
        <w:t xml:space="preserve">: 120174.</w:t>
      </w:r>
    </w:p>
    <w:p w:rsidR="00000000" w:rsidDel="00000000" w:rsidP="00000000" w:rsidRDefault="00000000" w:rsidRPr="00000000" w14:paraId="00000072">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Kutralam-Muniasamy, G., Pérez-Guevara, F. and Mohan, D. (2020). Emerging investigator series: Microplastics in Chennai River (India): Partitioning in compartments and associated contamination risk. </w:t>
      </w:r>
      <w:r w:rsidDel="00000000" w:rsidR="00000000" w:rsidRPr="00000000">
        <w:rPr>
          <w:rFonts w:ascii="Arial" w:cs="Arial" w:eastAsia="Arial" w:hAnsi="Arial"/>
          <w:i w:val="1"/>
          <w:iCs w:val="1"/>
          <w:rtl w:val="0"/>
        </w:rPr>
        <w:t xml:space="preserve">Environmental Science: Nano, 7</w:t>
      </w:r>
      <w:r w:rsidDel="00000000" w:rsidR="00000000" w:rsidRPr="00000000">
        <w:rPr>
          <w:rFonts w:ascii="Arial" w:cs="Arial" w:eastAsia="Arial" w:hAnsi="Arial"/>
          <w:rtl w:val="0"/>
        </w:rPr>
        <w:t xml:space="preserve">(1): 264-277.</w:t>
      </w:r>
    </w:p>
    <w:p w:rsidR="00000000" w:rsidDel="00000000" w:rsidP="00000000" w:rsidRDefault="00000000" w:rsidRPr="00000000" w14:paraId="00000073">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Leslie, H. A., de Sousa Jorge, M., et al. (2022). Discovery and quantification of plastic particle pollution in human blood. </w:t>
      </w:r>
      <w:r w:rsidDel="00000000" w:rsidR="00000000" w:rsidRPr="00000000">
        <w:rPr>
          <w:rFonts w:ascii="Arial" w:cs="Arial" w:eastAsia="Arial" w:hAnsi="Arial"/>
          <w:i w:val="1"/>
          <w:iCs w:val="1"/>
          <w:rtl w:val="0"/>
        </w:rPr>
        <w:t xml:space="preserve">Environment International, 163</w:t>
      </w:r>
      <w:r w:rsidDel="00000000" w:rsidR="00000000" w:rsidRPr="00000000">
        <w:rPr>
          <w:rFonts w:ascii="Arial" w:cs="Arial" w:eastAsia="Arial" w:hAnsi="Arial"/>
          <w:rtl w:val="0"/>
        </w:rPr>
        <w:t xml:space="preserve">: 107199.</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Li, Y., Liu, K., Zhang, H. and Shi, H. (2025). Advances in microplastic detection, quantification and standardization in environmental matrices. </w:t>
      </w:r>
      <w:r w:rsidDel="00000000" w:rsidR="00000000" w:rsidRPr="00000000">
        <w:rPr>
          <w:rFonts w:ascii="Arial" w:cs="Arial" w:eastAsia="Arial" w:hAnsi="Arial"/>
          <w:i w:val="1"/>
          <w:iCs w:val="1"/>
          <w:color w:val="000000"/>
          <w:rtl w:val="0"/>
        </w:rPr>
        <w:t xml:space="preserve">TrAC Trends in Analytical Chemistry</w:t>
      </w:r>
      <w:r w:rsidDel="00000000" w:rsidR="00000000" w:rsidRPr="00000000">
        <w:rPr>
          <w:rFonts w:ascii="Arial" w:cs="Arial" w:eastAsia="Arial" w:hAnsi="Arial"/>
          <w:color w:val="000000"/>
          <w:rtl w:val="0"/>
        </w:rPr>
        <w:t xml:space="preserve">, 175: 117-135.</w:t>
      </w:r>
    </w:p>
    <w:p w:rsidR="00000000" w:rsidDel="00000000" w:rsidP="00000000" w:rsidRDefault="00000000" w:rsidRPr="00000000" w14:paraId="00000075">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Lin, X., et al. (2023). Microplastic contamination in fish: Critical review and meta-analysis of 104 studies. </w:t>
      </w:r>
      <w:r w:rsidDel="00000000" w:rsidR="00000000" w:rsidRPr="00000000">
        <w:rPr>
          <w:rFonts w:ascii="Arial" w:cs="Arial" w:eastAsia="Arial" w:hAnsi="Arial"/>
          <w:i w:val="1"/>
          <w:iCs w:val="1"/>
          <w:rtl w:val="0"/>
        </w:rPr>
        <w:t xml:space="preserve">Food Control, 144</w:t>
      </w:r>
      <w:r w:rsidDel="00000000" w:rsidR="00000000" w:rsidRPr="00000000">
        <w:rPr>
          <w:rFonts w:ascii="Arial" w:cs="Arial" w:eastAsia="Arial" w:hAnsi="Arial"/>
          <w:rtl w:val="0"/>
        </w:rPr>
        <w:t xml:space="preserve">, 109345.</w:t>
      </w:r>
    </w:p>
    <w:p w:rsidR="00000000" w:rsidDel="00000000" w:rsidP="00000000" w:rsidRDefault="00000000" w:rsidRPr="00000000" w14:paraId="00000076">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Liu, W., Zhang, J., et al. (2021). A review of the removal of microplastics in global wastewater treatment plants. </w:t>
      </w:r>
      <w:r w:rsidDel="00000000" w:rsidR="00000000" w:rsidRPr="00000000">
        <w:rPr>
          <w:rFonts w:ascii="Arial" w:cs="Arial" w:eastAsia="Arial" w:hAnsi="Arial"/>
          <w:i w:val="1"/>
          <w:iCs w:val="1"/>
          <w:rtl w:val="0"/>
        </w:rPr>
        <w:t xml:space="preserve">Water Research, 180</w:t>
      </w:r>
      <w:r w:rsidDel="00000000" w:rsidR="00000000" w:rsidRPr="00000000">
        <w:rPr>
          <w:rFonts w:ascii="Arial" w:cs="Arial" w:eastAsia="Arial" w:hAnsi="Arial"/>
          <w:rtl w:val="0"/>
        </w:rPr>
        <w:t xml:space="preserve">: 115911.</w:t>
      </w:r>
    </w:p>
    <w:p w:rsidR="00000000" w:rsidDel="00000000" w:rsidP="00000000" w:rsidRDefault="00000000" w:rsidRPr="00000000" w14:paraId="00000077">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Marfella, R., Prattichizzo, F., Sardu, C., Fulgenzi, G., Graciotti, L., Spadoni, T. and Paolisso, G. (2024). Microplastics and nanoplastics in atheromas and cardiovascular events. </w:t>
      </w:r>
      <w:r w:rsidDel="00000000" w:rsidR="00000000" w:rsidRPr="00000000">
        <w:rPr>
          <w:rFonts w:ascii="Arial" w:cs="Arial" w:eastAsia="Arial" w:hAnsi="Arial"/>
          <w:i w:val="1"/>
          <w:iCs w:val="1"/>
          <w:rtl w:val="0"/>
        </w:rPr>
        <w:t xml:space="preserve">New England Journal of Medicine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390</w:t>
      </w:r>
      <w:r w:rsidDel="00000000" w:rsidR="00000000" w:rsidRPr="00000000">
        <w:rPr>
          <w:rFonts w:ascii="Arial" w:cs="Arial" w:eastAsia="Arial" w:hAnsi="Arial"/>
          <w:rtl w:val="0"/>
        </w:rPr>
        <w:t xml:space="preserve">(10), 900-910.</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Mattsson, K., Johnson, E. V., Malmendal, A., Linse, S., Hansson, L. A. and Cedervall, T. (2017). Brain damage and behavioural disorders in fish induced by plastic nanoparticles delivered through the food chain. </w:t>
      </w:r>
      <w:r w:rsidDel="00000000" w:rsidR="00000000" w:rsidRPr="00000000">
        <w:rPr>
          <w:rFonts w:ascii="Arial" w:cs="Arial" w:eastAsia="Arial" w:hAnsi="Arial"/>
          <w:i w:val="1"/>
          <w:iCs w:val="1"/>
          <w:color w:val="000000"/>
          <w:rtl w:val="0"/>
        </w:rPr>
        <w:t xml:space="preserve">Scientific Reports</w:t>
      </w:r>
      <w:r w:rsidDel="00000000" w:rsidR="00000000" w:rsidRPr="00000000">
        <w:rPr>
          <w:rFonts w:ascii="Arial" w:cs="Arial" w:eastAsia="Arial" w:hAnsi="Arial"/>
          <w:color w:val="000000"/>
          <w:rtl w:val="0"/>
        </w:rPr>
        <w:t xml:space="preserve">, 7: 11452.</w:t>
      </w:r>
    </w:p>
    <w:p w:rsidR="00000000" w:rsidDel="00000000" w:rsidP="00000000" w:rsidRDefault="00000000" w:rsidRPr="00000000" w14:paraId="00000079">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color w:val="222222"/>
          <w:highlight w:val="white"/>
          <w:rtl w:val="0"/>
        </w:rPr>
        <w:t xml:space="preserve">Miserli, K., Lykos, C., Kalampounias, A. G., &amp; Konstantinou, I. (2023). Screening of Microplastics in Aquaculture Systems (Fish, Mussel, and Water Samples) by FTIR, Scanning Electron Microscopy-Energy Dispersive Spectroscopy and Micro-Raman Spectroscopies. </w:t>
      </w:r>
      <w:r w:rsidDel="00000000" w:rsidR="00000000" w:rsidRPr="00000000">
        <w:rPr>
          <w:rFonts w:ascii="Arial" w:cs="Arial" w:eastAsia="Arial" w:hAnsi="Arial"/>
          <w:i w:val="1"/>
          <w:iCs w:val="1"/>
          <w:color w:val="222222"/>
          <w:highlight w:val="white"/>
          <w:rtl w:val="0"/>
        </w:rPr>
        <w:t xml:space="preserve">Applied Sciences</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iCs w:val="1"/>
          <w:color w:val="222222"/>
          <w:highlight w:val="white"/>
          <w:rtl w:val="0"/>
        </w:rPr>
        <w:t xml:space="preserve">13</w:t>
      </w:r>
      <w:r w:rsidDel="00000000" w:rsidR="00000000" w:rsidRPr="00000000">
        <w:rPr>
          <w:rFonts w:ascii="Arial" w:cs="Arial" w:eastAsia="Arial" w:hAnsi="Arial"/>
          <w:color w:val="222222"/>
          <w:highlight w:val="white"/>
          <w:rtl w:val="0"/>
        </w:rPr>
        <w:t xml:space="preserve">(17), 9705.</w:t>
      </w:r>
      <w:hyperlink r:id="rId14">
        <w:r w:rsidDel="00000000" w:rsidR="00000000" w:rsidRPr="00000000">
          <w:rPr>
            <w:rFonts w:ascii="Arial" w:cs="Arial" w:eastAsia="Arial" w:hAnsi="Arial"/>
            <w:color w:val="222222"/>
            <w:highlight w:val="white"/>
            <w:rtl w:val="0"/>
          </w:rPr>
          <w:t xml:space="preserve"> </w:t>
        </w:r>
      </w:hyperlink>
      <w:hyperlink r:id="rId15">
        <w:r w:rsidDel="00000000" w:rsidR="00000000" w:rsidRPr="00000000">
          <w:rPr>
            <w:rFonts w:ascii="Arial" w:cs="Arial" w:eastAsia="Arial" w:hAnsi="Arial"/>
            <w:color w:val="1155cc"/>
            <w:highlight w:val="white"/>
            <w:u w:val="single"/>
            <w:rtl w:val="0"/>
          </w:rPr>
          <w:t xml:space="preserve">https://doi.org/10.3390/app13179705</w:t>
        </w:r>
      </w:hyperlink>
      <w:r w:rsidDel="00000000" w:rsidR="00000000" w:rsidRPr="00000000">
        <w:rPr>
          <w:rtl w:val="0"/>
        </w:rPr>
      </w:r>
    </w:p>
    <w:p w:rsidR="00000000" w:rsidDel="00000000" w:rsidP="00000000" w:rsidRDefault="00000000" w:rsidRPr="00000000" w14:paraId="0000007A">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MoEFCC. (2022). Guidelines on single-use plastic bans and extended producer responsibility in India. Ministry of Environment, Forest and Climate Change, Government of India.</w:t>
      </w:r>
    </w:p>
    <w:p w:rsidR="00000000" w:rsidDel="00000000" w:rsidP="00000000" w:rsidRDefault="00000000" w:rsidRPr="00000000" w14:paraId="0000007B">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Neelavannan, K. and Sen, I. S. (2023). Microplastics in freshwater ecosystems of India: Current trends and future perspectives. </w:t>
      </w:r>
      <w:r w:rsidDel="00000000" w:rsidR="00000000" w:rsidRPr="00000000">
        <w:rPr>
          <w:rFonts w:ascii="Arial" w:cs="Arial" w:eastAsia="Arial" w:hAnsi="Arial"/>
          <w:i w:val="1"/>
          <w:iCs w:val="1"/>
          <w:rtl w:val="0"/>
        </w:rPr>
        <w:t xml:space="preserve">ACS Omega, 8</w:t>
      </w:r>
      <w:r w:rsidDel="00000000" w:rsidR="00000000" w:rsidRPr="00000000">
        <w:rPr>
          <w:rFonts w:ascii="Arial" w:cs="Arial" w:eastAsia="Arial" w:hAnsi="Arial"/>
          <w:rtl w:val="0"/>
        </w:rPr>
        <w:t xml:space="preserve">(38): 34235-34248.</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OECD. (2024). </w:t>
      </w:r>
      <w:r w:rsidDel="00000000" w:rsidR="00000000" w:rsidRPr="00000000">
        <w:rPr>
          <w:rFonts w:ascii="Arial" w:cs="Arial" w:eastAsia="Arial" w:hAnsi="Arial"/>
          <w:i w:val="1"/>
          <w:iCs w:val="1"/>
          <w:color w:val="000000"/>
          <w:rtl w:val="0"/>
        </w:rPr>
        <w:t xml:space="preserve">Policy scenarios for eliminating plastic pollution by 2040</w:t>
      </w:r>
      <w:r w:rsidDel="00000000" w:rsidR="00000000" w:rsidRPr="00000000">
        <w:rPr>
          <w:rFonts w:ascii="Arial" w:cs="Arial" w:eastAsia="Arial" w:hAnsi="Arial"/>
          <w:color w:val="000000"/>
          <w:rtl w:val="0"/>
        </w:rPr>
        <w:t xml:space="preserve">. Organisation for Economic Co-operation and Development, Paris.</w:t>
      </w:r>
    </w:p>
    <w:p w:rsidR="00000000" w:rsidDel="00000000" w:rsidP="00000000" w:rsidRDefault="00000000" w:rsidRPr="00000000" w14:paraId="0000007D">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Pan, Y., Peng, H., Wang, Z. and Li, J. (2022). Removing microplastics from aquatic environments: Technologies &amp; prospects. </w:t>
      </w:r>
      <w:r w:rsidDel="00000000" w:rsidR="00000000" w:rsidRPr="00000000">
        <w:rPr>
          <w:rFonts w:ascii="Arial" w:cs="Arial" w:eastAsia="Arial" w:hAnsi="Arial"/>
          <w:i w:val="1"/>
          <w:iCs w:val="1"/>
          <w:rtl w:val="0"/>
        </w:rPr>
        <w:t xml:space="preserve">Science of the Total Environment, 805</w:t>
      </w:r>
      <w:r w:rsidDel="00000000" w:rsidR="00000000" w:rsidRPr="00000000">
        <w:rPr>
          <w:rFonts w:ascii="Arial" w:cs="Arial" w:eastAsia="Arial" w:hAnsi="Arial"/>
          <w:rtl w:val="0"/>
        </w:rPr>
        <w:t xml:space="preserve">: 150-165.</w:t>
      </w:r>
    </w:p>
    <w:p w:rsidR="00000000" w:rsidDel="00000000" w:rsidP="00000000" w:rsidRDefault="00000000" w:rsidRPr="00000000" w14:paraId="0000007E">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Pandey, N., Verma, R., Patnaik, S. and Anbumani, S. (2023). Abundance, characteristics, and risk assessment of microplastics in indigenous freshwater fishes of India. </w:t>
      </w:r>
      <w:r w:rsidDel="00000000" w:rsidR="00000000" w:rsidRPr="00000000">
        <w:rPr>
          <w:rFonts w:ascii="Arial" w:cs="Arial" w:eastAsia="Arial" w:hAnsi="Arial"/>
          <w:i w:val="1"/>
          <w:iCs w:val="1"/>
          <w:rtl w:val="0"/>
        </w:rPr>
        <w:t xml:space="preserve">Environmental research</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218</w:t>
      </w:r>
      <w:r w:rsidDel="00000000" w:rsidR="00000000" w:rsidRPr="00000000">
        <w:rPr>
          <w:rFonts w:ascii="Arial" w:cs="Arial" w:eastAsia="Arial" w:hAnsi="Arial"/>
          <w:rtl w:val="0"/>
        </w:rPr>
        <w:t xml:space="preserve">: 115011.</w:t>
      </w:r>
    </w:p>
    <w:p w:rsidR="00000000" w:rsidDel="00000000" w:rsidP="00000000" w:rsidRDefault="00000000" w:rsidRPr="00000000" w14:paraId="0000007F">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color w:val="222222"/>
          <w:highlight w:val="white"/>
          <w:rtl w:val="0"/>
        </w:rPr>
        <w:t xml:space="preserve">Pawak, V. S., Bhatt, V. K., Sabapathy, M. and Loganathan, V. A. (2024). Multifaceted analysis of microplastic pollution dynamics in the Yamuna river: Assessing anthropogenic impacts and ecological consequences. </w:t>
      </w:r>
      <w:r w:rsidDel="00000000" w:rsidR="00000000" w:rsidRPr="00000000">
        <w:rPr>
          <w:rFonts w:ascii="Arial" w:cs="Arial" w:eastAsia="Arial" w:hAnsi="Arial"/>
          <w:i w:val="1"/>
          <w:iCs w:val="1"/>
          <w:color w:val="222222"/>
          <w:highlight w:val="white"/>
          <w:rtl w:val="0"/>
        </w:rPr>
        <w:t xml:space="preserve">Journal of Hazardous Materials</w:t>
      </w:r>
      <w:r w:rsidDel="00000000" w:rsidR="00000000" w:rsidRPr="00000000">
        <w:rPr>
          <w:rFonts w:ascii="Arial" w:cs="Arial" w:eastAsia="Arial" w:hAnsi="Arial"/>
          <w:color w:val="222222"/>
          <w:highlight w:val="white"/>
          <w:rtl w:val="0"/>
        </w:rPr>
        <w:t xml:space="preserve">, </w:t>
      </w:r>
      <w:r w:rsidDel="00000000" w:rsidR="00000000" w:rsidRPr="00000000">
        <w:rPr>
          <w:rFonts w:ascii="Arial" w:cs="Arial" w:eastAsia="Arial" w:hAnsi="Arial"/>
          <w:i w:val="1"/>
          <w:iCs w:val="1"/>
          <w:color w:val="222222"/>
          <w:highlight w:val="white"/>
          <w:rtl w:val="0"/>
        </w:rPr>
        <w:t xml:space="preserve">480</w:t>
      </w:r>
      <w:r w:rsidDel="00000000" w:rsidR="00000000" w:rsidRPr="00000000">
        <w:rPr>
          <w:rFonts w:ascii="Arial" w:cs="Arial" w:eastAsia="Arial" w:hAnsi="Arial"/>
          <w:color w:val="222222"/>
          <w:highlight w:val="white"/>
          <w:rtl w:val="0"/>
        </w:rPr>
        <w:t xml:space="preserve">: 135976.</w:t>
      </w: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Qiang, L. and Cheng, J. (2019). Exposure to microplastics leads to histopathological damage and oxidative stress in freshwater fish. </w:t>
      </w:r>
      <w:r w:rsidDel="00000000" w:rsidR="00000000" w:rsidRPr="00000000">
        <w:rPr>
          <w:rFonts w:ascii="Arial" w:cs="Arial" w:eastAsia="Arial" w:hAnsi="Arial"/>
          <w:i w:val="1"/>
          <w:iCs w:val="1"/>
          <w:color w:val="000000"/>
          <w:rtl w:val="0"/>
        </w:rPr>
        <w:t xml:space="preserve">Ecotoxicology and Environmental Safety</w:t>
      </w:r>
      <w:r w:rsidDel="00000000" w:rsidR="00000000" w:rsidRPr="00000000">
        <w:rPr>
          <w:rFonts w:ascii="Arial" w:cs="Arial" w:eastAsia="Arial" w:hAnsi="Arial"/>
          <w:color w:val="000000"/>
          <w:rtl w:val="0"/>
        </w:rPr>
        <w:t xml:space="preserve">, 180: 533-543.</w:t>
      </w:r>
    </w:p>
    <w:p w:rsidR="00000000" w:rsidDel="00000000" w:rsidP="00000000" w:rsidRDefault="00000000" w:rsidRPr="00000000" w14:paraId="00000081">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Ragusa, HA., Svelato, A., Santacroce, C., Catalano, P., Notarstefano, V., Carnevali, O. and Giorgini, E. (2021). Plasticenta: First evidence of microplastics in human placenta. </w:t>
      </w:r>
      <w:r w:rsidDel="00000000" w:rsidR="00000000" w:rsidRPr="00000000">
        <w:rPr>
          <w:rFonts w:ascii="Arial" w:cs="Arial" w:eastAsia="Arial" w:hAnsi="Arial"/>
          <w:i w:val="1"/>
          <w:iCs w:val="1"/>
          <w:rtl w:val="0"/>
        </w:rPr>
        <w:t xml:space="preserve">Environment international</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146</w:t>
      </w:r>
      <w:r w:rsidDel="00000000" w:rsidR="00000000" w:rsidRPr="00000000">
        <w:rPr>
          <w:rFonts w:ascii="Arial" w:cs="Arial" w:eastAsia="Arial" w:hAnsi="Arial"/>
          <w:rtl w:val="0"/>
        </w:rPr>
        <w:t xml:space="preserve">, 106274.</w:t>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SAPEA. (2023). </w:t>
      </w:r>
      <w:r w:rsidDel="00000000" w:rsidR="00000000" w:rsidRPr="00000000">
        <w:rPr>
          <w:rFonts w:ascii="Arial" w:cs="Arial" w:eastAsia="Arial" w:hAnsi="Arial"/>
          <w:i w:val="1"/>
          <w:iCs w:val="1"/>
          <w:color w:val="000000"/>
          <w:rtl w:val="0"/>
        </w:rPr>
        <w:t xml:space="preserve">Microplastics in nature and society: Evidence review</w:t>
      </w:r>
      <w:r w:rsidDel="00000000" w:rsidR="00000000" w:rsidRPr="00000000">
        <w:rPr>
          <w:rFonts w:ascii="Arial" w:cs="Arial" w:eastAsia="Arial" w:hAnsi="Arial"/>
          <w:color w:val="000000"/>
          <w:rtl w:val="0"/>
        </w:rPr>
        <w:t xml:space="preserve">. Science Advice for Policy by European Academies. Berlin: SAPEA.</w:t>
      </w:r>
    </w:p>
    <w:p w:rsidR="00000000" w:rsidDel="00000000" w:rsidP="00000000" w:rsidRDefault="00000000" w:rsidRPr="00000000" w14:paraId="00000083">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Schell, T., Martinez</w:t>
      </w:r>
      <w:r w:rsidDel="00000000" w:rsidR="00000000" w:rsidRPr="00000000">
        <w:rPr>
          <w:rFonts w:ascii="Cambria Math" w:cs="Cambria Math" w:eastAsia="Cambria Math" w:hAnsi="Cambria Math"/>
          <w:rtl w:val="0"/>
        </w:rPr>
        <w:t xml:space="preserve">‐</w:t>
      </w:r>
      <w:r w:rsidDel="00000000" w:rsidR="00000000" w:rsidRPr="00000000">
        <w:rPr>
          <w:rFonts w:ascii="Arial" w:cs="Arial" w:eastAsia="Arial" w:hAnsi="Arial"/>
          <w:rtl w:val="0"/>
        </w:rPr>
        <w:t xml:space="preserve">Perez, S., Dafouz, R., Hurley, R., Vighi, M. and Rico, A. (2022). Effects of polyester fibers and car tire particles on freshwater invertebrates. </w:t>
      </w:r>
      <w:r w:rsidDel="00000000" w:rsidR="00000000" w:rsidRPr="00000000">
        <w:rPr>
          <w:rFonts w:ascii="Arial" w:cs="Arial" w:eastAsia="Arial" w:hAnsi="Arial"/>
          <w:i w:val="1"/>
          <w:iCs w:val="1"/>
          <w:rtl w:val="0"/>
        </w:rPr>
        <w:t xml:space="preserve">Environmental Toxicology and Chemistry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41</w:t>
      </w:r>
      <w:r w:rsidDel="00000000" w:rsidR="00000000" w:rsidRPr="00000000">
        <w:rPr>
          <w:rFonts w:ascii="Arial" w:cs="Arial" w:eastAsia="Arial" w:hAnsi="Arial"/>
          <w:rtl w:val="0"/>
        </w:rPr>
        <w:t xml:space="preserve">(6), 1555-1567.</w:t>
      </w:r>
    </w:p>
    <w:p w:rsidR="00000000" w:rsidDel="00000000" w:rsidP="00000000" w:rsidRDefault="00000000" w:rsidRPr="00000000" w14:paraId="00000084">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Sharma, S. and Chatterjee, S. (2017). Microplastic pollution, a threat to marine ecosystem and human health: A short review. </w:t>
      </w:r>
      <w:r w:rsidDel="00000000" w:rsidR="00000000" w:rsidRPr="00000000">
        <w:rPr>
          <w:rFonts w:ascii="Arial" w:cs="Arial" w:eastAsia="Arial" w:hAnsi="Arial"/>
          <w:i w:val="1"/>
          <w:iCs w:val="1"/>
          <w:rtl w:val="0"/>
        </w:rPr>
        <w:t xml:space="preserve">Environmental Science and Pollution Research, 24</w:t>
      </w:r>
      <w:r w:rsidDel="00000000" w:rsidR="00000000" w:rsidRPr="00000000">
        <w:rPr>
          <w:rFonts w:ascii="Arial" w:cs="Arial" w:eastAsia="Arial" w:hAnsi="Arial"/>
          <w:rtl w:val="0"/>
        </w:rPr>
        <w:t xml:space="preserve">(9): 8288-8299.</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Sun, X., Chen, B., Li, Q., Liu, N., Xia, B., Zhu, L. and Qu, K. (2022). Toxicokinetics and tissue distribution of nanoplastics in aquatic organisms: A review. </w:t>
      </w:r>
      <w:r w:rsidDel="00000000" w:rsidR="00000000" w:rsidRPr="00000000">
        <w:rPr>
          <w:rFonts w:ascii="Arial" w:cs="Arial" w:eastAsia="Arial" w:hAnsi="Arial"/>
          <w:i w:val="1"/>
          <w:iCs w:val="1"/>
          <w:color w:val="000000"/>
          <w:rtl w:val="0"/>
        </w:rPr>
        <w:t xml:space="preserve">Journal of Hazardous Materials</w:t>
      </w:r>
      <w:r w:rsidDel="00000000" w:rsidR="00000000" w:rsidRPr="00000000">
        <w:rPr>
          <w:rFonts w:ascii="Arial" w:cs="Arial" w:eastAsia="Arial" w:hAnsi="Arial"/>
          <w:color w:val="000000"/>
          <w:rtl w:val="0"/>
        </w:rPr>
        <w:t xml:space="preserve">, 424: 127-145.</w:t>
      </w:r>
    </w:p>
    <w:p w:rsidR="00000000" w:rsidDel="00000000" w:rsidP="00000000" w:rsidRDefault="00000000" w:rsidRPr="00000000" w14:paraId="00000086">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Traylor, S. D., Granek, E. F., Duncan, M. and Brander, S. M. (2024). From the ocean to our kitchen table: anthropogenic particles in the edible tissue of US West Coast seafood species. </w:t>
      </w:r>
      <w:r w:rsidDel="00000000" w:rsidR="00000000" w:rsidRPr="00000000">
        <w:rPr>
          <w:rFonts w:ascii="Arial" w:cs="Arial" w:eastAsia="Arial" w:hAnsi="Arial"/>
          <w:i w:val="1"/>
          <w:iCs w:val="1"/>
          <w:rtl w:val="0"/>
        </w:rPr>
        <w:t xml:space="preserve">Frontiers in Toxicology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6</w:t>
      </w:r>
      <w:r w:rsidDel="00000000" w:rsidR="00000000" w:rsidRPr="00000000">
        <w:rPr>
          <w:rFonts w:ascii="Arial" w:cs="Arial" w:eastAsia="Arial" w:hAnsi="Arial"/>
          <w:rtl w:val="0"/>
        </w:rPr>
        <w:t xml:space="preserve">: 1469995.</w:t>
      </w:r>
    </w:p>
    <w:p w:rsidR="00000000" w:rsidDel="00000000" w:rsidP="00000000" w:rsidRDefault="00000000" w:rsidRPr="00000000" w14:paraId="00000087">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Udovicki, B., Andjelkovic, M., Cirkovic-Velickovic, T. and Rajkovic, A. (2022). Microplastics in food: scoping review on health effects, occurrence, and human exposure. </w:t>
      </w:r>
      <w:r w:rsidDel="00000000" w:rsidR="00000000" w:rsidRPr="00000000">
        <w:rPr>
          <w:rFonts w:ascii="Arial" w:cs="Arial" w:eastAsia="Arial" w:hAnsi="Arial"/>
          <w:i w:val="1"/>
          <w:iCs w:val="1"/>
          <w:rtl w:val="0"/>
        </w:rPr>
        <w:t xml:space="preserve">International Journal of Food Contamination</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9</w:t>
      </w:r>
      <w:r w:rsidDel="00000000" w:rsidR="00000000" w:rsidRPr="00000000">
        <w:rPr>
          <w:rFonts w:ascii="Arial" w:cs="Arial" w:eastAsia="Arial" w:hAnsi="Arial"/>
          <w:rtl w:val="0"/>
        </w:rPr>
        <w:t xml:space="preserve">(1): 7.</w:t>
      </w:r>
    </w:p>
    <w:p w:rsidR="00000000" w:rsidDel="00000000" w:rsidP="00000000" w:rsidRDefault="00000000" w:rsidRPr="00000000" w14:paraId="00000088">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UNEP. (2025). Report on global negotiations for a legally binding plastics treaty. United Nations Environment Programme.</w:t>
      </w:r>
    </w:p>
    <w:p w:rsidR="00000000" w:rsidDel="00000000" w:rsidP="00000000" w:rsidRDefault="00000000" w:rsidRPr="00000000" w14:paraId="00000089">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Vitali, C., Peters, R. J., Janssen, H. G., &amp; Nielen, M. W. (2023). Microplastics and nanoplastics in food, water, and beverages; part I. Occurrence. </w:t>
      </w:r>
      <w:r w:rsidDel="00000000" w:rsidR="00000000" w:rsidRPr="00000000">
        <w:rPr>
          <w:rFonts w:ascii="Arial" w:cs="Arial" w:eastAsia="Arial" w:hAnsi="Arial"/>
          <w:i w:val="1"/>
          <w:iCs w:val="1"/>
          <w:rtl w:val="0"/>
        </w:rPr>
        <w:t xml:space="preserve">TrAC Trends in Analytical Chemistry</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159</w:t>
      </w:r>
      <w:r w:rsidDel="00000000" w:rsidR="00000000" w:rsidRPr="00000000">
        <w:rPr>
          <w:rFonts w:ascii="Arial" w:cs="Arial" w:eastAsia="Arial" w:hAnsi="Arial"/>
          <w:rtl w:val="0"/>
        </w:rPr>
        <w:t xml:space="preserve">, 116670.</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Wang, C., Zhao, J., Xing, B. and Li, Y. (2023). Microplastics and endocrine disruption in aquatic organisms: Mechanisms and implications. </w:t>
      </w:r>
      <w:r w:rsidDel="00000000" w:rsidR="00000000" w:rsidRPr="00000000">
        <w:rPr>
          <w:rFonts w:ascii="Arial" w:cs="Arial" w:eastAsia="Arial" w:hAnsi="Arial"/>
          <w:i w:val="1"/>
          <w:iCs w:val="1"/>
          <w:color w:val="000000"/>
          <w:rtl w:val="0"/>
        </w:rPr>
        <w:t xml:space="preserve">Science of the Total Environment</w:t>
      </w:r>
      <w:r w:rsidDel="00000000" w:rsidR="00000000" w:rsidRPr="00000000">
        <w:rPr>
          <w:rFonts w:ascii="Arial" w:cs="Arial" w:eastAsia="Arial" w:hAnsi="Arial"/>
          <w:color w:val="000000"/>
          <w:rtl w:val="0"/>
        </w:rPr>
        <w:t xml:space="preserve">, 857: 159-178.</w:t>
      </w:r>
    </w:p>
    <w:p w:rsidR="00000000" w:rsidDel="00000000" w:rsidP="00000000" w:rsidRDefault="00000000" w:rsidRPr="00000000" w14:paraId="0000008B">
      <w:pPr>
        <w:numPr>
          <w:ilvl w:val="0"/>
          <w:numId w:val="1"/>
        </w:numPr>
        <w:spacing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WHO. (2019). </w:t>
      </w:r>
      <w:r w:rsidDel="00000000" w:rsidR="00000000" w:rsidRPr="00000000">
        <w:rPr>
          <w:rFonts w:ascii="Arial" w:cs="Arial" w:eastAsia="Arial" w:hAnsi="Arial"/>
          <w:i w:val="1"/>
          <w:iCs w:val="1"/>
          <w:rtl w:val="0"/>
        </w:rPr>
        <w:t xml:space="preserve">Microplastics in drinking-water: Technical report and information note.</w:t>
      </w:r>
      <w:r w:rsidDel="00000000" w:rsidR="00000000" w:rsidRPr="00000000">
        <w:rPr>
          <w:rFonts w:ascii="Arial" w:cs="Arial" w:eastAsia="Arial" w:hAnsi="Arial"/>
          <w:rtl w:val="0"/>
        </w:rPr>
        <w:t xml:space="preserve"> Geneva: World Health Organization.</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sectPr>
          <w:headerReference r:id="rId16" w:type="default"/>
          <w:headerReference r:id="rId17" w:type="first"/>
          <w:headerReference r:id="rId18" w:type="even"/>
          <w:footerReference r:id="rId19" w:type="default"/>
          <w:type w:val="continuous"/>
          <w:pgSz w:h="15840" w:w="12240" w:orient="portrait"/>
          <w:pgMar w:bottom="2016" w:top="1440" w:left="2016" w:right="2016" w:header="720" w:footer="1123"/>
        </w:sectPr>
      </w:pPr>
      <w:r w:rsidDel="00000000" w:rsidR="00000000" w:rsidRPr="00000000">
        <w:rPr>
          <w:rFonts w:ascii="Arial" w:cs="Arial" w:eastAsia="Arial" w:hAnsi="Arial"/>
          <w:color w:val="000000"/>
          <w:rtl w:val="0"/>
        </w:rPr>
        <w:t xml:space="preserve">Zhang, Q., Xu, E. G., Li, J., Chen, Q., Ma, L. and Zeng, E. Y. (2024). Human exposure to microplastics through freshwater systems: Occurrence, pathways and risk implications. </w:t>
      </w:r>
      <w:r w:rsidDel="00000000" w:rsidR="00000000" w:rsidRPr="00000000">
        <w:rPr>
          <w:rFonts w:ascii="Arial" w:cs="Arial" w:eastAsia="Arial" w:hAnsi="Arial"/>
          <w:i w:val="1"/>
          <w:iCs w:val="1"/>
          <w:color w:val="000000"/>
          <w:rtl w:val="0"/>
        </w:rPr>
        <w:t xml:space="preserve">Water Research</w:t>
      </w:r>
      <w:r w:rsidDel="00000000" w:rsidR="00000000" w:rsidRPr="00000000">
        <w:rPr>
          <w:rFonts w:ascii="Arial" w:cs="Arial" w:eastAsia="Arial" w:hAnsi="Arial"/>
          <w:color w:val="000000"/>
          <w:rtl w:val="0"/>
        </w:rPr>
        <w:t xml:space="preserve">, 245: 120-138.</w:t>
      </w:r>
    </w:p>
    <w:p w:rsidR="00000000" w:rsidDel="00000000" w:rsidP="00000000" w:rsidRDefault="00000000" w:rsidRPr="00000000" w14:paraId="0000008D">
      <w:pPr>
        <w:keepNext w:val="1"/>
        <w:pBdr>
          <w:top w:space="0" w:sz="0" w:val="nil"/>
          <w:left w:space="0" w:sz="0" w:val="nil"/>
          <w:bottom w:space="0" w:sz="0" w:val="nil"/>
          <w:right w:space="0" w:sz="0" w:val="nil"/>
          <w:between w:space="0" w:sz="0" w:val="nil"/>
        </w:pBdr>
        <w:jc w:val="both"/>
        <w:rPr>
          <w:rFonts w:ascii="Arial" w:cs="Arial" w:eastAsia="Arial" w:hAnsi="Arial"/>
          <w:smallCaps w:val="1"/>
          <w:color w:val="000000"/>
          <w:sz w:val="22"/>
          <w:szCs w:val="22"/>
        </w:rPr>
      </w:pPr>
      <w:r w:rsidDel="00000000" w:rsidR="00000000" w:rsidRPr="00000000">
        <w:rPr>
          <w:rtl w:val="0"/>
        </w:rPr>
      </w:r>
    </w:p>
    <w:p w:rsidR="00000000" w:rsidDel="00000000" w:rsidP="00000000" w:rsidRDefault="00000000" w:rsidRPr="00000000" w14:paraId="0000008E">
      <w:pPr>
        <w:keepNext w:val="1"/>
        <w:pBdr>
          <w:top w:space="0" w:sz="0" w:val="nil"/>
          <w:left w:space="0" w:sz="0" w:val="nil"/>
          <w:bottom w:space="0" w:sz="0" w:val="nil"/>
          <w:right w:space="0" w:sz="0" w:val="nil"/>
          <w:between w:space="0" w:sz="0" w:val="nil"/>
        </w:pBdr>
        <w:jc w:val="both"/>
        <w:rPr>
          <w:rFonts w:ascii="Arial" w:cs="Arial" w:eastAsia="Arial" w:hAnsi="Arial"/>
          <w:smallCaps w:val="1"/>
          <w:color w:val="000000"/>
          <w:sz w:val="22"/>
          <w:szCs w:val="22"/>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320"/>
        <w:tab w:val="right" w:leader="none" w:pos="8640"/>
      </w:tabs>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____________________________________________________________________________________________</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i w:val="1"/>
        <w:iCs w:val="1"/>
        <w:color w:val="000000"/>
        <w:sz w:val="16"/>
        <w:szCs w:val="16"/>
      </w:rPr>
    </w:pPr>
    <w:r w:rsidDel="00000000" w:rsidR="00000000" w:rsidRPr="00000000">
      <w:rPr>
        <w:rFonts w:ascii="Arial" w:cs="Arial" w:eastAsia="Arial" w:hAnsi="Arial"/>
        <w:i w:val="1"/>
        <w:iCs w:val="1"/>
        <w:color w:val="000000"/>
        <w:sz w:val="16"/>
        <w:szCs w:val="16"/>
        <w:rtl w:val="0"/>
      </w:rPr>
      <w:t xml:space="preserve">*Corresponding author: Email: XYZ@ABC.COM</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3" name=""/>
              <a:graphic>
                <a:graphicData uri="http://schemas.microsoft.com/office/word/2010/wordprocessingShape">
                  <wps:wsp>
                    <wps:cNvSpPr/>
                    <wps:cNvPr id="4" name="Shape 4"/>
                    <wps:spPr>
                      <a:xfrm rot="-2700000">
                        <a:off x="2044635" y="3407573"/>
                        <a:ext cx="6602730" cy="7448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380106" cy="7380106"/>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1" style="position:absolute;width:519.9pt;height:58.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091">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092">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093">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094">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095">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4" name=""/>
              <a:graphic>
                <a:graphicData uri="http://schemas.microsoft.com/office/word/2010/wordprocessingShape">
                  <wps:wsp>
                    <wps:cNvSpPr/>
                    <wps:cNvPr id="5" name="Shape 5"/>
                    <wps:spPr>
                      <a:xfrm rot="-2700000">
                        <a:off x="2044635" y="3407573"/>
                        <a:ext cx="6602730" cy="7448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380106" cy="7380106"/>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5" name=""/>
              <a:graphic>
                <a:graphicData uri="http://schemas.microsoft.com/office/word/2010/wordprocessingShape">
                  <wps:wsp>
                    <wps:cNvSpPr/>
                    <wps:cNvPr id="6" name="Shape 6"/>
                    <wps:spPr>
                      <a:xfrm rot="-2700000">
                        <a:off x="2044635" y="3407573"/>
                        <a:ext cx="6602730" cy="7448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7380106" cy="7380106"/>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6" name=""/>
              <a:graphic>
                <a:graphicData uri="http://schemas.microsoft.com/office/word/2010/wordprocessingShape">
                  <wps:wsp>
                    <wps:cNvSpPr/>
                    <wps:cNvPr id="7" name="Shape 7"/>
                    <wps:spPr>
                      <a:xfrm rot="-2700000">
                        <a:off x="2044635" y="3407573"/>
                        <a:ext cx="6602730" cy="7448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380106" cy="7380106"/>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1" name=""/>
              <a:graphic>
                <a:graphicData uri="http://schemas.microsoft.com/office/word/2010/wordprocessingShape">
                  <wps:wsp>
                    <wps:cNvSpPr/>
                    <wps:cNvPr id="2" name="Shape 2"/>
                    <wps:spPr>
                      <a:xfrm rot="-2700000">
                        <a:off x="2044635" y="3407573"/>
                        <a:ext cx="6602730" cy="74485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Helvetica Neue" w:cs="Helvetica Neue" w:eastAsia="Helvetica Neue" w:hAnsi="Helvetica Neue"/>
                              <w:b w:val="0"/>
                              <w:i w:val="0"/>
                              <w:smallCaps w:val="0"/>
                              <w:strike w:val="0"/>
                              <w:color w:val="c0c0c0"/>
                              <w:sz w:val="144"/>
                              <w:vertAlign w:val="baseline"/>
                            </w:rPr>
                            <w:t xml:space="preserve">UNDER PEER REVIEW</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380106" cy="7380106"/>
              <wp:effectExtent b="0" l="0" r="0" t="0"/>
              <wp:wrapNone/>
              <wp:docPr id="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380106" cy="738010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sz w:val="20"/>
        <w:szCs w:val="20"/>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360" w:lineRule="auto"/>
      <w:jc w:val="right"/>
    </w:pPr>
    <w:rPr>
      <w:b w:val="1"/>
      <w:bCs w:val="1"/>
      <w:sz w:val="36"/>
      <w:szCs w:val="3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8"/>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
    <w:name w:val="Unresolved Mention"/>
    <w:basedOn w:val="DefaultParagraphFont"/>
    <w:uiPriority w:val="99"/>
    <w:semiHidden w:val="1"/>
    <w:unhideWhenUsed w:val="1"/>
    <w:rsid w:val="00287E6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1B7745"/>
    <w:pPr>
      <w:ind w:left="720"/>
      <w:contextualSpacing w:val="1"/>
    </w:pPr>
    <w:rPr>
      <w:rFonts w:cs="Mangal"/>
      <w:szCs w:val="18"/>
    </w:rPr>
  </w:style>
  <w:style w:type="paragraph" w:styleId="NormalWeb">
    <w:name w:val="Normal (Web)"/>
    <w:basedOn w:val="Normal"/>
    <w:uiPriority w:val="99"/>
    <w:semiHidden w:val="1"/>
    <w:unhideWhenUsed w:val="1"/>
    <w:rsid w:val="001B7745"/>
    <w:rPr>
      <w:rFonts w:ascii="Times New Roman" w:cs="Mangal" w:hAnsi="Times New Roman"/>
      <w:sz w:val="24"/>
      <w:szCs w:val="21"/>
    </w:rPr>
  </w:style>
  <w:style w:type="table" w:styleId="a0" w:customStyle="1">
    <w:basedOn w:val="TableNormal"/>
    <w:tblPr>
      <w:tblStyleRowBandSize w:val="1"/>
      <w:tblStyleColBandSize w:val="1"/>
      <w:tblCellMar>
        <w:left w:w="115.0" w:type="dxa"/>
        <w:right w:w="115.0" w:type="dxa"/>
      </w:tblCellMar>
    </w:tblPr>
  </w:style>
  <w:style w:type="paragraph" w:styleId="NoSpacing">
    <w:name w:val="No Spacing"/>
    <w:uiPriority w:val="1"/>
    <w:qFormat w:val="1"/>
    <w:rsid w:val="00B05A10"/>
    <w:rPr>
      <w:rFonts w:asciiTheme="minorHAnsi" w:cstheme="minorBidi" w:eastAsiaTheme="minorHAnsi" w:hAnsiTheme="minorHAnsi"/>
      <w:sz w:val="22"/>
      <w:szCs w:val="22"/>
      <w:lang w:eastAsia="en-US" w:val="en-GB"/>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image" Target="media/image3.png"/><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doi.org/10.3390/app13179705" TargetMode="External"/><Relationship Id="rId14" Type="http://schemas.openxmlformats.org/officeDocument/2006/relationships/hyperlink" Target="https://doi.org/10.3390/app13179705" TargetMode="External"/><Relationship Id="rId17" Type="http://schemas.openxmlformats.org/officeDocument/2006/relationships/header" Target="header5.xml"/><Relationship Id="rId16" Type="http://schemas.openxmlformats.org/officeDocument/2006/relationships/header" Target="header4.xm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eader" Target="header6.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RGrLgMoNxfCSvgiFIxbRjd4lQ==">CgMxLjAyDmgudzd2cjN5YmdpcTQyOAByITFQNUxGdnB1MmhLOHNTNElTa2pYQm1XZk8wWm5hbzBVWA==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coreProperties>
</file>