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B886E" w14:textId="77777777" w:rsidR="008B097D" w:rsidRDefault="00221405">
      <w:pPr>
        <w:pStyle w:val="NoSpacing"/>
        <w:spacing w:line="360" w:lineRule="auto"/>
        <w:ind w:left="0" w:firstLine="0"/>
        <w:jc w:val="both"/>
        <w:rPr>
          <w:color w:val="auto"/>
          <w:szCs w:val="24"/>
          <w:lang w:val="en-US"/>
        </w:rPr>
      </w:pPr>
      <w:r>
        <w:rPr>
          <w:b/>
          <w:color w:val="auto"/>
          <w:szCs w:val="24"/>
          <w:lang w:val="en-US"/>
        </w:rPr>
        <w:t xml:space="preserve">MYCORRHIZAL SYMBIOSIS AND SOIL FERTILITY BY </w:t>
      </w:r>
      <w:r>
        <w:rPr>
          <w:b/>
          <w:i/>
          <w:color w:val="auto"/>
          <w:szCs w:val="24"/>
          <w:lang w:val="en-US"/>
        </w:rPr>
        <w:t>LEPTADENIA HASTATA</w:t>
      </w:r>
      <w:r>
        <w:rPr>
          <w:b/>
          <w:color w:val="auto"/>
          <w:szCs w:val="24"/>
          <w:lang w:val="en-US"/>
        </w:rPr>
        <w:t xml:space="preserve"> FROM THE RECOVERED SATARA SITE IN THE COMMUNE OF SIMIRI</w:t>
      </w:r>
      <w:r>
        <w:rPr>
          <w:color w:val="auto"/>
          <w:szCs w:val="24"/>
          <w:lang w:val="en-US"/>
        </w:rPr>
        <w:t xml:space="preserve">. </w:t>
      </w:r>
    </w:p>
    <w:p w14:paraId="4ABDDD58" w14:textId="77777777" w:rsidR="00262E50" w:rsidRDefault="00262E50" w:rsidP="00262E50">
      <w:pPr>
        <w:pStyle w:val="ListParagraph"/>
        <w:spacing w:after="0" w:line="360" w:lineRule="auto"/>
        <w:ind w:firstLine="0"/>
        <w:rPr>
          <w:color w:val="auto"/>
          <w:szCs w:val="24"/>
        </w:rPr>
      </w:pPr>
    </w:p>
    <w:p w14:paraId="70E15CB2" w14:textId="77777777" w:rsidR="00E56FAB" w:rsidRDefault="00E56FAB" w:rsidP="00262E50">
      <w:pPr>
        <w:pStyle w:val="ListParagraph"/>
        <w:spacing w:after="0" w:line="360" w:lineRule="auto"/>
        <w:ind w:firstLine="0"/>
        <w:rPr>
          <w:color w:val="auto"/>
          <w:szCs w:val="24"/>
        </w:rPr>
      </w:pPr>
    </w:p>
    <w:p w14:paraId="10AE0FCE" w14:textId="77777777" w:rsidR="00262E50" w:rsidRDefault="00262E50" w:rsidP="00262E50">
      <w:pPr>
        <w:pStyle w:val="ListParagraph"/>
        <w:spacing w:after="0" w:line="360" w:lineRule="auto"/>
        <w:ind w:firstLine="0"/>
        <w:rPr>
          <w:color w:val="auto"/>
          <w:szCs w:val="24"/>
        </w:rPr>
      </w:pPr>
    </w:p>
    <w:p w14:paraId="00A0FE1F" w14:textId="4A32F7D7" w:rsidR="008B097D" w:rsidRDefault="00221405">
      <w:pPr>
        <w:pStyle w:val="Heading2"/>
        <w:spacing w:line="36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 xml:space="preserve">ABSTRACT </w:t>
      </w:r>
    </w:p>
    <w:p w14:paraId="3B41AC26" w14:textId="77777777" w:rsidR="008B097D" w:rsidRDefault="006A034F">
      <w:pPr>
        <w:pStyle w:val="NoSpacing"/>
        <w:spacing w:line="360" w:lineRule="auto"/>
        <w:jc w:val="both"/>
        <w:rPr>
          <w:color w:val="auto"/>
          <w:szCs w:val="24"/>
          <w:lang w:val="en-US"/>
        </w:rPr>
      </w:pPr>
      <w:r w:rsidRPr="00315FC8">
        <w:rPr>
          <w:color w:val="auto"/>
          <w:szCs w:val="24"/>
          <w:lang w:val="en-US"/>
        </w:rPr>
        <w:t>Soil resources are rapidly degrading in Sahel u</w:t>
      </w:r>
      <w:r w:rsidR="00221405" w:rsidRPr="00315FC8">
        <w:rPr>
          <w:color w:val="auto"/>
          <w:szCs w:val="24"/>
          <w:lang w:val="en-US"/>
        </w:rPr>
        <w:t>nder climatic hazards</w:t>
      </w:r>
      <w:r w:rsidRPr="00315FC8">
        <w:rPr>
          <w:color w:val="auto"/>
          <w:szCs w:val="24"/>
          <w:lang w:val="en-US"/>
        </w:rPr>
        <w:t xml:space="preserve"> and demographic pressure</w:t>
      </w:r>
      <w:r w:rsidR="00221405" w:rsidRPr="00315FC8">
        <w:rPr>
          <w:color w:val="auto"/>
          <w:szCs w:val="24"/>
          <w:lang w:val="en-US"/>
        </w:rPr>
        <w:t>.</w:t>
      </w:r>
      <w:r w:rsidR="00221405">
        <w:rPr>
          <w:color w:val="auto"/>
          <w:szCs w:val="24"/>
          <w:lang w:val="en-US"/>
        </w:rPr>
        <w:t xml:space="preserve"> Appropriate cropping strategies could mitigate and reverse the accelerated trend of soil degradation. The use of species able to rapidly associat</w:t>
      </w:r>
      <w:r>
        <w:rPr>
          <w:color w:val="auto"/>
          <w:szCs w:val="24"/>
          <w:lang w:val="en-US"/>
        </w:rPr>
        <w:t>e</w:t>
      </w:r>
      <w:r w:rsidR="00221405">
        <w:rPr>
          <w:color w:val="auto"/>
          <w:szCs w:val="24"/>
          <w:lang w:val="en-US"/>
        </w:rPr>
        <w:t xml:space="preserve"> with arbuscular mycorrhizal fungi (AMF) can restore the balance of terrestrial ecosystems. Arbuscular mycorrhizal fungi have the capacity to promote plant development in degraded environments by allowing the restoration and maintenance of soil fertility. The objective of the present study was to determine the mycorrhizal status of </w:t>
      </w:r>
      <w:proofErr w:type="spellStart"/>
      <w:r w:rsidR="00221405">
        <w:rPr>
          <w:i/>
          <w:color w:val="auto"/>
          <w:szCs w:val="24"/>
          <w:lang w:val="en-US"/>
        </w:rPr>
        <w:t>Leptadenia</w:t>
      </w:r>
      <w:proofErr w:type="spellEnd"/>
      <w:r>
        <w:rPr>
          <w:i/>
          <w:color w:val="auto"/>
          <w:szCs w:val="24"/>
          <w:lang w:val="en-US"/>
        </w:rPr>
        <w:t xml:space="preserve"> hastate </w:t>
      </w:r>
      <w:r w:rsidR="00221405">
        <w:rPr>
          <w:color w:val="auto"/>
          <w:szCs w:val="24"/>
          <w:lang w:val="en-US"/>
        </w:rPr>
        <w:t xml:space="preserve">and to show the importance of the mycorrhizal symbiosis in the restoration of the fertility of the degraded soils of </w:t>
      </w:r>
      <w:proofErr w:type="spellStart"/>
      <w:r w:rsidR="00221405">
        <w:rPr>
          <w:color w:val="auto"/>
          <w:szCs w:val="24"/>
          <w:lang w:val="en-US"/>
        </w:rPr>
        <w:t>Satara</w:t>
      </w:r>
      <w:proofErr w:type="spellEnd"/>
      <w:r w:rsidR="00221405">
        <w:rPr>
          <w:color w:val="auto"/>
          <w:szCs w:val="24"/>
          <w:lang w:val="en-US"/>
        </w:rPr>
        <w:t xml:space="preserve"> site in </w:t>
      </w:r>
      <w:proofErr w:type="spellStart"/>
      <w:r w:rsidR="00221405">
        <w:rPr>
          <w:color w:val="auto"/>
          <w:szCs w:val="24"/>
          <w:lang w:val="en-US"/>
        </w:rPr>
        <w:t>Simiri</w:t>
      </w:r>
      <w:proofErr w:type="spellEnd"/>
      <w:r w:rsidR="00221405">
        <w:rPr>
          <w:color w:val="auto"/>
          <w:szCs w:val="24"/>
          <w:lang w:val="en-US"/>
        </w:rPr>
        <w:t xml:space="preserve">. Physicochemical parameters and mycorrhizal potential were determined. Ten soil and root samples were taken from a depth of 20 cm under the feet of </w:t>
      </w:r>
      <w:proofErr w:type="spellStart"/>
      <w:r w:rsidR="00221405">
        <w:rPr>
          <w:i/>
          <w:color w:val="auto"/>
          <w:szCs w:val="24"/>
          <w:lang w:val="en-US"/>
        </w:rPr>
        <w:t>Leptadenia</w:t>
      </w:r>
      <w:proofErr w:type="spellEnd"/>
      <w:r>
        <w:rPr>
          <w:i/>
          <w:color w:val="auto"/>
          <w:szCs w:val="24"/>
          <w:lang w:val="en-US"/>
        </w:rPr>
        <w:t xml:space="preserve"> </w:t>
      </w:r>
      <w:proofErr w:type="spellStart"/>
      <w:r w:rsidR="00221405">
        <w:rPr>
          <w:i/>
          <w:color w:val="auto"/>
          <w:szCs w:val="24"/>
          <w:lang w:val="en-US"/>
        </w:rPr>
        <w:t>hastata</w:t>
      </w:r>
      <w:proofErr w:type="spellEnd"/>
      <w:r w:rsidR="00221405">
        <w:rPr>
          <w:color w:val="auto"/>
          <w:szCs w:val="24"/>
          <w:lang w:val="en-US"/>
        </w:rPr>
        <w:t xml:space="preserve"> and another ten soil samples were taken from outside the </w:t>
      </w:r>
      <w:r w:rsidR="00221405" w:rsidRPr="00315FC8">
        <w:rPr>
          <w:color w:val="auto"/>
          <w:szCs w:val="24"/>
          <w:lang w:val="en-US"/>
        </w:rPr>
        <w:t>feet</w:t>
      </w:r>
      <w:r w:rsidR="00C66684" w:rsidRPr="00C66684">
        <w:t xml:space="preserve"> </w:t>
      </w:r>
      <w:r w:rsidR="00C66684">
        <w:t>in the non-</w:t>
      </w:r>
      <w:proofErr w:type="spellStart"/>
      <w:r w:rsidR="00C66684">
        <w:t>forested</w:t>
      </w:r>
      <w:proofErr w:type="spellEnd"/>
      <w:r w:rsidR="00C66684">
        <w:t xml:space="preserve"> (</w:t>
      </w:r>
      <w:proofErr w:type="spellStart"/>
      <w:r w:rsidR="00C66684">
        <w:t>denuded</w:t>
      </w:r>
      <w:proofErr w:type="spellEnd"/>
      <w:r w:rsidR="00C66684">
        <w:t>) part</w:t>
      </w:r>
      <w:r w:rsidR="00221405">
        <w:rPr>
          <w:color w:val="auto"/>
          <w:szCs w:val="24"/>
          <w:lang w:val="en-US"/>
        </w:rPr>
        <w:t xml:space="preserve">. The results show that the soils in this area are </w:t>
      </w:r>
      <w:proofErr w:type="spellStart"/>
      <w:r w:rsidR="00221405">
        <w:rPr>
          <w:color w:val="auto"/>
          <w:szCs w:val="24"/>
          <w:lang w:val="en-US"/>
        </w:rPr>
        <w:t>characterised</w:t>
      </w:r>
      <w:proofErr w:type="spellEnd"/>
      <w:r w:rsidR="00221405">
        <w:rPr>
          <w:color w:val="auto"/>
          <w:szCs w:val="24"/>
          <w:lang w:val="en-US"/>
        </w:rPr>
        <w:t xml:space="preserve"> by a sandy-loamy texture and an acidic </w:t>
      </w:r>
      <w:proofErr w:type="spellStart"/>
      <w:r w:rsidR="00221405">
        <w:rPr>
          <w:color w:val="auto"/>
          <w:szCs w:val="24"/>
          <w:lang w:val="en-US"/>
        </w:rPr>
        <w:t>pH.</w:t>
      </w:r>
      <w:proofErr w:type="spellEnd"/>
      <w:r w:rsidR="00221405">
        <w:rPr>
          <w:color w:val="auto"/>
          <w:szCs w:val="24"/>
          <w:lang w:val="en-US"/>
        </w:rPr>
        <w:t xml:space="preserve"> However, organic matter, total phosphorus, assimilable phosphorus, carbon, nitrogen, </w:t>
      </w:r>
      <w:proofErr w:type="spellStart"/>
      <w:r w:rsidR="00221405">
        <w:rPr>
          <w:color w:val="auto"/>
          <w:szCs w:val="24"/>
          <w:lang w:val="en-US"/>
        </w:rPr>
        <w:t>sulphur</w:t>
      </w:r>
      <w:proofErr w:type="spellEnd"/>
      <w:r w:rsidR="00221405">
        <w:rPr>
          <w:color w:val="auto"/>
          <w:szCs w:val="24"/>
          <w:lang w:val="en-US"/>
        </w:rPr>
        <w:t xml:space="preserve"> and C/N ratio were higher in the </w:t>
      </w:r>
      <w:proofErr w:type="spellStart"/>
      <w:r w:rsidR="00221405">
        <w:rPr>
          <w:color w:val="auto"/>
          <w:szCs w:val="24"/>
          <w:lang w:val="en-US"/>
        </w:rPr>
        <w:t>Leptadenia</w:t>
      </w:r>
      <w:proofErr w:type="spellEnd"/>
      <w:r w:rsidR="00221405">
        <w:rPr>
          <w:color w:val="auto"/>
          <w:szCs w:val="24"/>
          <w:lang w:val="en-US"/>
        </w:rPr>
        <w:t xml:space="preserve"> soil</w:t>
      </w:r>
      <w:r w:rsidR="00A44956">
        <w:rPr>
          <w:color w:val="auto"/>
          <w:szCs w:val="24"/>
          <w:lang w:val="en-US"/>
        </w:rPr>
        <w:t xml:space="preserve"> c</w:t>
      </w:r>
      <w:proofErr w:type="spellStart"/>
      <w:r w:rsidR="00A44956">
        <w:t>ompared</w:t>
      </w:r>
      <w:proofErr w:type="spellEnd"/>
      <w:r w:rsidR="00A44956">
        <w:t xml:space="preserve"> to </w:t>
      </w:r>
      <w:proofErr w:type="spellStart"/>
      <w:r w:rsidR="00A44956">
        <w:t>denuded</w:t>
      </w:r>
      <w:proofErr w:type="spellEnd"/>
      <w:r w:rsidR="00A44956">
        <w:t xml:space="preserve"> </w:t>
      </w:r>
      <w:proofErr w:type="spellStart"/>
      <w:r w:rsidR="00A44956">
        <w:t>soil</w:t>
      </w:r>
      <w:proofErr w:type="spellEnd"/>
      <w:r w:rsidR="00A44956">
        <w:t>,</w:t>
      </w:r>
      <w:r w:rsidR="00221405">
        <w:rPr>
          <w:color w:val="auto"/>
          <w:szCs w:val="24"/>
          <w:lang w:val="en-US"/>
        </w:rPr>
        <w:t xml:space="preserve"> </w:t>
      </w:r>
      <w:proofErr w:type="gramStart"/>
      <w:r w:rsidR="00221405">
        <w:rPr>
          <w:color w:val="auto"/>
          <w:szCs w:val="24"/>
          <w:lang w:val="en-US"/>
        </w:rPr>
        <w:t>The</w:t>
      </w:r>
      <w:proofErr w:type="gramEnd"/>
      <w:r w:rsidR="00221405">
        <w:rPr>
          <w:color w:val="auto"/>
          <w:szCs w:val="24"/>
          <w:lang w:val="en-US"/>
        </w:rPr>
        <w:t xml:space="preserve"> spore density per 100g soil in </w:t>
      </w:r>
      <w:proofErr w:type="spellStart"/>
      <w:r w:rsidR="00221405">
        <w:rPr>
          <w:color w:val="auto"/>
          <w:szCs w:val="24"/>
          <w:lang w:val="en-US"/>
        </w:rPr>
        <w:t>Leptadenia</w:t>
      </w:r>
      <w:proofErr w:type="spellEnd"/>
      <w:r w:rsidR="00221405">
        <w:rPr>
          <w:color w:val="auto"/>
          <w:szCs w:val="24"/>
          <w:lang w:val="en-US"/>
        </w:rPr>
        <w:t xml:space="preserve"> soils (905 spores/100g of soil) is very high compared to that of bare soil (403 spores/100g of soil). </w:t>
      </w:r>
      <w:r w:rsidRPr="00315FC8">
        <w:rPr>
          <w:color w:val="auto"/>
          <w:szCs w:val="24"/>
          <w:lang w:val="en-US"/>
        </w:rPr>
        <w:t>S</w:t>
      </w:r>
      <w:r w:rsidR="00221405" w:rsidRPr="00315FC8">
        <w:rPr>
          <w:color w:val="auto"/>
          <w:szCs w:val="24"/>
          <w:lang w:val="en-US"/>
        </w:rPr>
        <w:t>pore</w:t>
      </w:r>
      <w:r w:rsidRPr="00315FC8">
        <w:rPr>
          <w:color w:val="auto"/>
          <w:szCs w:val="24"/>
          <w:lang w:val="en-US"/>
        </w:rPr>
        <w:t>s</w:t>
      </w:r>
      <w:r w:rsidR="00221405" w:rsidRPr="00315FC8">
        <w:rPr>
          <w:color w:val="auto"/>
          <w:szCs w:val="24"/>
          <w:lang w:val="en-US"/>
        </w:rPr>
        <w:t xml:space="preserve"> of </w:t>
      </w:r>
      <w:r w:rsidRPr="00315FC8">
        <w:rPr>
          <w:color w:val="auto"/>
          <w:szCs w:val="24"/>
          <w:lang w:val="en-US"/>
        </w:rPr>
        <w:t xml:space="preserve">Two </w:t>
      </w:r>
      <w:r w:rsidR="00221405" w:rsidRPr="00315FC8">
        <w:rPr>
          <w:color w:val="auto"/>
          <w:szCs w:val="24"/>
          <w:lang w:val="en-US"/>
        </w:rPr>
        <w:t xml:space="preserve">arbuscular mycorrhizal fungi </w:t>
      </w:r>
      <w:r w:rsidRPr="00315FC8">
        <w:rPr>
          <w:color w:val="auto"/>
          <w:szCs w:val="24"/>
          <w:lang w:val="en-US"/>
        </w:rPr>
        <w:t>genera</w:t>
      </w:r>
      <w:r w:rsidRPr="006A034F">
        <w:rPr>
          <w:color w:val="FF0000"/>
          <w:szCs w:val="24"/>
          <w:lang w:val="en-US"/>
        </w:rPr>
        <w:t xml:space="preserve"> </w:t>
      </w:r>
      <w:r w:rsidR="00221405">
        <w:rPr>
          <w:color w:val="auto"/>
          <w:szCs w:val="24"/>
          <w:lang w:val="en-US"/>
        </w:rPr>
        <w:t xml:space="preserve">were found at the site: Glomus and </w:t>
      </w:r>
      <w:proofErr w:type="spellStart"/>
      <w:r w:rsidR="00221405">
        <w:rPr>
          <w:color w:val="auto"/>
          <w:szCs w:val="24"/>
          <w:lang w:val="en-US"/>
        </w:rPr>
        <w:t>Gigaspora</w:t>
      </w:r>
      <w:proofErr w:type="spellEnd"/>
      <w:r w:rsidR="00221405">
        <w:rPr>
          <w:color w:val="auto"/>
          <w:szCs w:val="24"/>
          <w:lang w:val="en-US"/>
        </w:rPr>
        <w:t xml:space="preserve"> with a predominance of the glomus genus. Under </w:t>
      </w:r>
      <w:proofErr w:type="spellStart"/>
      <w:r w:rsidR="00221405">
        <w:rPr>
          <w:i/>
          <w:color w:val="auto"/>
          <w:szCs w:val="24"/>
          <w:lang w:val="en-US"/>
        </w:rPr>
        <w:t>Leptadeniahastata</w:t>
      </w:r>
      <w:proofErr w:type="spellEnd"/>
      <w:r w:rsidR="00221405">
        <w:rPr>
          <w:color w:val="auto"/>
          <w:szCs w:val="24"/>
          <w:lang w:val="en-US"/>
        </w:rPr>
        <w:t xml:space="preserve">, the genus Glomus is estimated at (72.07%) and </w:t>
      </w:r>
      <w:proofErr w:type="spellStart"/>
      <w:r w:rsidR="00221405">
        <w:rPr>
          <w:color w:val="auto"/>
          <w:szCs w:val="24"/>
          <w:lang w:val="en-US"/>
        </w:rPr>
        <w:t>Gigaspora</w:t>
      </w:r>
      <w:proofErr w:type="spellEnd"/>
      <w:r w:rsidR="00221405">
        <w:rPr>
          <w:color w:val="auto"/>
          <w:szCs w:val="24"/>
          <w:lang w:val="en-US"/>
        </w:rPr>
        <w:t xml:space="preserve"> at (27.93%). The mycorrhization frequency (F%) reached 100 in all roots of </w:t>
      </w:r>
      <w:proofErr w:type="spellStart"/>
      <w:r w:rsidR="00221405">
        <w:rPr>
          <w:i/>
          <w:color w:val="auto"/>
          <w:szCs w:val="24"/>
          <w:lang w:val="en-US"/>
        </w:rPr>
        <w:t>Leptadeniahastata</w:t>
      </w:r>
      <w:proofErr w:type="spellEnd"/>
      <w:r w:rsidR="00221405">
        <w:rPr>
          <w:color w:val="auto"/>
          <w:szCs w:val="24"/>
          <w:lang w:val="en-US"/>
        </w:rPr>
        <w:t xml:space="preserve">. The mycorrhization intensity (M %) was 50.20 for all roots. </w:t>
      </w:r>
      <w:proofErr w:type="spellStart"/>
      <w:r w:rsidR="005D6F8D">
        <w:t>Furthermore</w:t>
      </w:r>
      <w:proofErr w:type="spellEnd"/>
      <w:r w:rsidR="005D6F8D">
        <w:t xml:space="preserve">, the arbuscule content </w:t>
      </w:r>
      <w:proofErr w:type="spellStart"/>
      <w:r w:rsidR="005D6F8D">
        <w:t>assessed</w:t>
      </w:r>
      <w:proofErr w:type="spellEnd"/>
      <w:r w:rsidR="005D6F8D">
        <w:t xml:space="preserve"> by </w:t>
      </w:r>
      <w:proofErr w:type="spellStart"/>
      <w:r w:rsidR="005D6F8D">
        <w:t>parameters</w:t>
      </w:r>
      <w:proofErr w:type="spellEnd"/>
      <w:r w:rsidR="005D6F8D">
        <w:t xml:space="preserve"> (a) and (A) varies </w:t>
      </w:r>
      <w:proofErr w:type="spellStart"/>
      <w:r w:rsidR="005D6F8D">
        <w:t>among</w:t>
      </w:r>
      <w:proofErr w:type="spellEnd"/>
      <w:r w:rsidR="005D6F8D">
        <w:t xml:space="preserve"> </w:t>
      </w:r>
      <w:proofErr w:type="spellStart"/>
      <w:r w:rsidR="005D6F8D">
        <w:t>roots</w:t>
      </w:r>
      <w:proofErr w:type="spellEnd"/>
      <w:r w:rsidR="00221405">
        <w:rPr>
          <w:color w:val="auto"/>
          <w:szCs w:val="24"/>
          <w:lang w:val="en-US"/>
        </w:rPr>
        <w:t xml:space="preserve">. The highest value of (A %) recorded is 29.9% and the lowest value is 5.42%. As for (a %), the highest value is estimated at 62.97% and the lowest at 12.02%. </w:t>
      </w:r>
    </w:p>
    <w:p w14:paraId="6176132F" w14:textId="77777777" w:rsidR="008B097D" w:rsidRDefault="00221405">
      <w:pPr>
        <w:pStyle w:val="NoSpacing"/>
        <w:spacing w:line="360" w:lineRule="auto"/>
        <w:jc w:val="both"/>
        <w:rPr>
          <w:color w:val="auto"/>
          <w:szCs w:val="24"/>
          <w:lang w:val="en-US"/>
        </w:rPr>
      </w:pPr>
      <w:r>
        <w:rPr>
          <w:b/>
          <w:color w:val="auto"/>
          <w:szCs w:val="24"/>
          <w:lang w:val="en-US"/>
        </w:rPr>
        <w:t>Key words:</w:t>
      </w:r>
      <w:r>
        <w:rPr>
          <w:color w:val="auto"/>
          <w:szCs w:val="24"/>
          <w:lang w:val="en-US"/>
        </w:rPr>
        <w:t xml:space="preserve"> Degraded soils, restoration, </w:t>
      </w:r>
      <w:proofErr w:type="spellStart"/>
      <w:r>
        <w:rPr>
          <w:i/>
          <w:color w:val="auto"/>
          <w:szCs w:val="24"/>
          <w:lang w:val="en-US"/>
        </w:rPr>
        <w:t>Leptadeniahastata</w:t>
      </w:r>
      <w:proofErr w:type="spellEnd"/>
      <w:r>
        <w:rPr>
          <w:color w:val="auto"/>
          <w:szCs w:val="24"/>
          <w:lang w:val="en-US"/>
        </w:rPr>
        <w:t xml:space="preserve">, </w:t>
      </w:r>
      <w:proofErr w:type="spellStart"/>
      <w:r>
        <w:rPr>
          <w:color w:val="auto"/>
          <w:szCs w:val="24"/>
          <w:lang w:val="en-US"/>
        </w:rPr>
        <w:t>physico</w:t>
      </w:r>
      <w:proofErr w:type="spellEnd"/>
      <w:r>
        <w:rPr>
          <w:color w:val="auto"/>
          <w:szCs w:val="24"/>
          <w:lang w:val="en-US"/>
        </w:rPr>
        <w:t xml:space="preserve">-chemical parameters, mycorrhizae, </w:t>
      </w:r>
      <w:proofErr w:type="spellStart"/>
      <w:r>
        <w:rPr>
          <w:color w:val="auto"/>
          <w:szCs w:val="24"/>
          <w:lang w:val="en-US"/>
        </w:rPr>
        <w:t>Satara</w:t>
      </w:r>
      <w:proofErr w:type="spellEnd"/>
      <w:r>
        <w:rPr>
          <w:color w:val="auto"/>
          <w:szCs w:val="24"/>
          <w:lang w:val="en-US"/>
        </w:rPr>
        <w:t xml:space="preserve"> site.</w:t>
      </w:r>
    </w:p>
    <w:p w14:paraId="09CACE2A" w14:textId="77777777" w:rsidR="008B097D" w:rsidRDefault="008B097D">
      <w:pPr>
        <w:spacing w:after="223" w:line="360" w:lineRule="auto"/>
        <w:ind w:left="0" w:firstLine="0"/>
        <w:jc w:val="both"/>
        <w:rPr>
          <w:color w:val="auto"/>
          <w:szCs w:val="24"/>
          <w:lang w:val="en-US"/>
        </w:rPr>
      </w:pPr>
    </w:p>
    <w:p w14:paraId="4453DDCD" w14:textId="77777777" w:rsidR="008B097D" w:rsidRDefault="008B097D">
      <w:pPr>
        <w:pStyle w:val="ListParagraph"/>
        <w:spacing w:after="223" w:line="360" w:lineRule="auto"/>
        <w:ind w:left="0" w:firstLine="0"/>
        <w:jc w:val="both"/>
        <w:rPr>
          <w:color w:val="auto"/>
          <w:szCs w:val="24"/>
          <w:lang w:val="en-US"/>
        </w:rPr>
      </w:pPr>
    </w:p>
    <w:p w14:paraId="6070D252" w14:textId="77777777" w:rsidR="008B097D" w:rsidRDefault="008B097D">
      <w:pPr>
        <w:pStyle w:val="ListParagraph"/>
        <w:spacing w:after="223" w:line="360" w:lineRule="auto"/>
        <w:ind w:left="0" w:firstLine="0"/>
        <w:jc w:val="both"/>
        <w:rPr>
          <w:color w:val="auto"/>
          <w:szCs w:val="24"/>
          <w:lang w:val="en-US"/>
        </w:rPr>
      </w:pPr>
    </w:p>
    <w:p w14:paraId="63416D40" w14:textId="77777777" w:rsidR="008B097D" w:rsidRDefault="00221405">
      <w:pPr>
        <w:pStyle w:val="ListParagraph"/>
        <w:numPr>
          <w:ilvl w:val="0"/>
          <w:numId w:val="2"/>
        </w:numPr>
        <w:spacing w:after="223" w:line="360" w:lineRule="auto"/>
        <w:jc w:val="both"/>
        <w:rPr>
          <w:b/>
          <w:bCs/>
          <w:color w:val="auto"/>
          <w:szCs w:val="24"/>
          <w:lang w:val="en-US"/>
        </w:rPr>
      </w:pPr>
      <w:r>
        <w:rPr>
          <w:b/>
          <w:bCs/>
          <w:color w:val="auto"/>
          <w:szCs w:val="24"/>
          <w:lang w:val="en-US"/>
        </w:rPr>
        <w:t>INTRODUCTION</w:t>
      </w:r>
    </w:p>
    <w:p w14:paraId="60092BCE" w14:textId="77777777" w:rsidR="008B097D" w:rsidRDefault="00221405">
      <w:pPr>
        <w:spacing w:after="0" w:line="360" w:lineRule="auto"/>
        <w:ind w:left="0" w:firstLine="0"/>
        <w:jc w:val="both"/>
        <w:rPr>
          <w:color w:val="auto"/>
          <w:szCs w:val="24"/>
          <w:lang w:val="en-US"/>
        </w:rPr>
      </w:pPr>
      <w:r>
        <w:rPr>
          <w:color w:val="auto"/>
          <w:szCs w:val="24"/>
          <w:lang w:val="en-US"/>
        </w:rPr>
        <w:t>Soil constitutes the foundation for most terrestrial biological activities (</w:t>
      </w:r>
      <w:proofErr w:type="spellStart"/>
      <w:r>
        <w:rPr>
          <w:color w:val="auto"/>
          <w:szCs w:val="24"/>
          <w:lang w:val="en-US"/>
        </w:rPr>
        <w:t>Azontonde</w:t>
      </w:r>
      <w:proofErr w:type="spellEnd"/>
      <w:r>
        <w:rPr>
          <w:color w:val="auto"/>
          <w:szCs w:val="24"/>
          <w:lang w:val="en-US"/>
        </w:rPr>
        <w:t>, 1993). Niger is one of the Sahelian countries where soil resources are continually degrading under the combined effects of demographic pressure and climatic deterioration (</w:t>
      </w:r>
      <w:proofErr w:type="spellStart"/>
      <w:r>
        <w:rPr>
          <w:color w:val="auto"/>
          <w:szCs w:val="24"/>
          <w:lang w:val="en-US"/>
        </w:rPr>
        <w:t>Bielders</w:t>
      </w:r>
      <w:proofErr w:type="spellEnd"/>
      <w:r>
        <w:rPr>
          <w:color w:val="auto"/>
          <w:szCs w:val="24"/>
          <w:lang w:val="en-US"/>
        </w:rPr>
        <w:t xml:space="preserve"> et al., 2001; </w:t>
      </w:r>
      <w:proofErr w:type="spellStart"/>
      <w:r>
        <w:rPr>
          <w:color w:val="auto"/>
          <w:szCs w:val="24"/>
          <w:lang w:val="en-US"/>
        </w:rPr>
        <w:t>Tidjani</w:t>
      </w:r>
      <w:proofErr w:type="spellEnd"/>
      <w:r>
        <w:rPr>
          <w:color w:val="auto"/>
          <w:szCs w:val="24"/>
          <w:lang w:val="en-US"/>
        </w:rPr>
        <w:t xml:space="preserve"> et al., 2009). A large portion of the productive system is dominated by degraded lands or by surfaces covered with glacis and lateritic crusts (</w:t>
      </w:r>
      <w:proofErr w:type="spellStart"/>
      <w:r>
        <w:rPr>
          <w:color w:val="auto"/>
          <w:szCs w:val="24"/>
          <w:lang w:val="en-US"/>
        </w:rPr>
        <w:t>Ichaou</w:t>
      </w:r>
      <w:proofErr w:type="spellEnd"/>
      <w:r>
        <w:rPr>
          <w:color w:val="auto"/>
          <w:szCs w:val="24"/>
          <w:lang w:val="en-US"/>
        </w:rPr>
        <w:t>, 2005). In response to this situation, environmental preservation, the sustainable management of natural resources, and the restoration of degraded lands have been identified as national priorities to support development in Niger (FAO, 2003).</w:t>
      </w:r>
    </w:p>
    <w:p w14:paraId="5AE26BD4" w14:textId="77777777" w:rsidR="008B097D" w:rsidRDefault="00221405">
      <w:pPr>
        <w:spacing w:after="0" w:line="360" w:lineRule="auto"/>
        <w:ind w:left="0" w:firstLine="0"/>
        <w:jc w:val="both"/>
        <w:rPr>
          <w:color w:val="auto"/>
          <w:szCs w:val="24"/>
          <w:lang w:val="en-US"/>
        </w:rPr>
      </w:pPr>
      <w:r>
        <w:rPr>
          <w:color w:val="auto"/>
          <w:szCs w:val="24"/>
          <w:lang w:val="en-US"/>
        </w:rPr>
        <w:t xml:space="preserve">Various </w:t>
      </w:r>
      <w:r w:rsidRPr="005D6F8D">
        <w:rPr>
          <w:color w:val="auto"/>
          <w:szCs w:val="24"/>
          <w:lang w:val="en-US"/>
        </w:rPr>
        <w:t xml:space="preserve">initiatives </w:t>
      </w:r>
      <w:r w:rsidR="006A034F" w:rsidRPr="005D6F8D">
        <w:rPr>
          <w:color w:val="auto"/>
          <w:szCs w:val="24"/>
          <w:lang w:val="en-US"/>
        </w:rPr>
        <w:t xml:space="preserve">at </w:t>
      </w:r>
      <w:r w:rsidRPr="005D6F8D">
        <w:rPr>
          <w:color w:val="auto"/>
          <w:szCs w:val="24"/>
          <w:lang w:val="en-US"/>
        </w:rPr>
        <w:t xml:space="preserve">local, national, and even regional </w:t>
      </w:r>
      <w:r w:rsidR="006A034F" w:rsidRPr="005D6F8D">
        <w:rPr>
          <w:color w:val="auto"/>
          <w:szCs w:val="24"/>
          <w:lang w:val="en-US"/>
        </w:rPr>
        <w:t>levels</w:t>
      </w:r>
      <w:r w:rsidR="006A034F">
        <w:rPr>
          <w:color w:val="auto"/>
          <w:szCs w:val="24"/>
          <w:lang w:val="en-US"/>
        </w:rPr>
        <w:t xml:space="preserve"> </w:t>
      </w:r>
      <w:r>
        <w:rPr>
          <w:color w:val="auto"/>
          <w:szCs w:val="24"/>
          <w:lang w:val="en-US"/>
        </w:rPr>
        <w:t xml:space="preserve">have been implemented to reduce and reverse the progressive trend of soil degradation. These include techniques for soil and water conservation (SWC) and for soil defense and restoration (SDR). Among these are demi-lunes (half-moons), stone bunds, micro-dams, grass strips, filter dikes, mulching, </w:t>
      </w:r>
      <w:proofErr w:type="spellStart"/>
      <w:r>
        <w:rPr>
          <w:color w:val="auto"/>
          <w:szCs w:val="24"/>
          <w:lang w:val="en-US"/>
        </w:rPr>
        <w:t>zaï</w:t>
      </w:r>
      <w:proofErr w:type="spellEnd"/>
      <w:r>
        <w:rPr>
          <w:color w:val="auto"/>
          <w:szCs w:val="24"/>
          <w:lang w:val="en-US"/>
        </w:rPr>
        <w:t xml:space="preserve"> pits, and the application of organic or mineral fertilizers (</w:t>
      </w:r>
      <w:proofErr w:type="spellStart"/>
      <w:r>
        <w:rPr>
          <w:color w:val="auto"/>
          <w:szCs w:val="24"/>
          <w:lang w:val="en-US"/>
        </w:rPr>
        <w:t>NouhouKoutcha</w:t>
      </w:r>
      <w:proofErr w:type="spellEnd"/>
      <w:r>
        <w:rPr>
          <w:color w:val="auto"/>
          <w:szCs w:val="24"/>
          <w:lang w:val="en-US"/>
        </w:rPr>
        <w:t xml:space="preserve">, 2016; </w:t>
      </w:r>
      <w:proofErr w:type="spellStart"/>
      <w:r>
        <w:rPr>
          <w:color w:val="auto"/>
          <w:szCs w:val="24"/>
          <w:lang w:val="en-US"/>
        </w:rPr>
        <w:t>Oumarou</w:t>
      </w:r>
      <w:proofErr w:type="spellEnd"/>
      <w:r>
        <w:rPr>
          <w:color w:val="auto"/>
          <w:szCs w:val="24"/>
          <w:lang w:val="en-US"/>
        </w:rPr>
        <w:t xml:space="preserve">, 2007; </w:t>
      </w:r>
      <w:proofErr w:type="spellStart"/>
      <w:r>
        <w:rPr>
          <w:color w:val="auto"/>
          <w:szCs w:val="24"/>
          <w:lang w:val="en-US"/>
        </w:rPr>
        <w:t>Traoré</w:t>
      </w:r>
      <w:proofErr w:type="spellEnd"/>
      <w:r>
        <w:rPr>
          <w:color w:val="auto"/>
          <w:szCs w:val="24"/>
          <w:lang w:val="en-US"/>
        </w:rPr>
        <w:t xml:space="preserve"> et al., 2003). Such techniques contribute to the restoration of soil fertility (</w:t>
      </w:r>
      <w:proofErr w:type="spellStart"/>
      <w:r>
        <w:rPr>
          <w:color w:val="auto"/>
          <w:szCs w:val="24"/>
          <w:lang w:val="en-US"/>
        </w:rPr>
        <w:t>Larwanou</w:t>
      </w:r>
      <w:r>
        <w:rPr>
          <w:i/>
          <w:color w:val="auto"/>
          <w:szCs w:val="24"/>
          <w:lang w:val="en-US"/>
        </w:rPr>
        <w:t>et</w:t>
      </w:r>
      <w:proofErr w:type="spellEnd"/>
      <w:r>
        <w:rPr>
          <w:i/>
          <w:color w:val="auto"/>
          <w:szCs w:val="24"/>
          <w:lang w:val="en-US"/>
        </w:rPr>
        <w:t xml:space="preserve"> al.</w:t>
      </w:r>
      <w:r>
        <w:rPr>
          <w:color w:val="auto"/>
          <w:szCs w:val="24"/>
          <w:lang w:val="en-US"/>
        </w:rPr>
        <w:t>, 2006); however, their implementation inevitably depends on the users’ socio-economic conditions.</w:t>
      </w:r>
    </w:p>
    <w:p w14:paraId="3B4F96BB" w14:textId="77777777" w:rsidR="008B097D" w:rsidRDefault="00221405">
      <w:pPr>
        <w:spacing w:after="0" w:line="360" w:lineRule="auto"/>
        <w:ind w:left="0" w:firstLine="0"/>
        <w:jc w:val="both"/>
        <w:rPr>
          <w:color w:val="auto"/>
          <w:szCs w:val="24"/>
          <w:lang w:val="en-US"/>
        </w:rPr>
      </w:pPr>
      <w:r>
        <w:rPr>
          <w:color w:val="auto"/>
          <w:szCs w:val="24"/>
          <w:lang w:val="en-US"/>
        </w:rPr>
        <w:t>Due to the challenges encountered in disseminating certain techniques, scientific research has been mobilized to develop and promote more practical, ecological, and sustainable biological fertilization methods. Consequently, approaches that integrate biodiversity management have been developed. Restoration techniques must therefore incorporate the management of the soil’s biological potential, which plays a particularly crucial role in maintaining and enhancing soil fertility (Cardoso and Kuyper, 2006).</w:t>
      </w:r>
    </w:p>
    <w:p w14:paraId="7756614B" w14:textId="77777777" w:rsidR="008B097D" w:rsidRDefault="00221405">
      <w:pPr>
        <w:spacing w:after="0" w:line="360" w:lineRule="auto"/>
        <w:ind w:left="0" w:firstLine="0"/>
        <w:jc w:val="both"/>
        <w:rPr>
          <w:color w:val="auto"/>
          <w:szCs w:val="24"/>
          <w:lang w:val="en-US"/>
        </w:rPr>
      </w:pPr>
      <w:r>
        <w:rPr>
          <w:color w:val="auto"/>
          <w:szCs w:val="24"/>
          <w:lang w:val="en-US"/>
        </w:rPr>
        <w:t>Among the key soil microorganisms are the mycorrhizal fungi, which are present in the majority of terrestrial ecosystems and associated with over 90% of terrestrial plant species (Van der Heijden et al., 1998). These symbiotic microorganisms are considered a "keystone" microbial group that facilitates plant development in degraded environments by restoring soil fertility. Among them, the arbuscular mycorrhizal fungi (AMF), formerly known as vesicular-arbuscular fungi, are the most significant (Lagrange, 2009; Hubert and Schaub, 2011; Sadhana, 2014).</w:t>
      </w:r>
    </w:p>
    <w:p w14:paraId="47DF6086" w14:textId="77777777" w:rsidR="008B097D" w:rsidRDefault="00221405">
      <w:pPr>
        <w:spacing w:after="0" w:line="360" w:lineRule="auto"/>
        <w:ind w:left="0" w:firstLine="0"/>
        <w:jc w:val="both"/>
        <w:rPr>
          <w:color w:val="auto"/>
          <w:szCs w:val="24"/>
          <w:lang w:val="en-US"/>
        </w:rPr>
      </w:pPr>
      <w:r>
        <w:rPr>
          <w:color w:val="auto"/>
          <w:szCs w:val="24"/>
          <w:lang w:val="en-US"/>
        </w:rPr>
        <w:lastRenderedPageBreak/>
        <w:t>The secretion of glomalin by the mycelial networks of these fungi has been observed in soils. Glomalin, a glycoprotein, plays a fundamental role in maintaining soil structural stability (</w:t>
      </w:r>
      <w:proofErr w:type="spellStart"/>
      <w:r>
        <w:rPr>
          <w:color w:val="auto"/>
          <w:szCs w:val="24"/>
          <w:lang w:val="en-US"/>
        </w:rPr>
        <w:t>Waligora</w:t>
      </w:r>
      <w:proofErr w:type="spellEnd"/>
      <w:r>
        <w:rPr>
          <w:color w:val="auto"/>
          <w:szCs w:val="24"/>
          <w:lang w:val="en-US"/>
        </w:rPr>
        <w:t xml:space="preserve"> and </w:t>
      </w:r>
      <w:proofErr w:type="spellStart"/>
      <w:r>
        <w:rPr>
          <w:color w:val="auto"/>
          <w:szCs w:val="24"/>
          <w:lang w:val="en-US"/>
        </w:rPr>
        <w:t>Vian</w:t>
      </w:r>
      <w:proofErr w:type="spellEnd"/>
      <w:r>
        <w:rPr>
          <w:color w:val="auto"/>
          <w:szCs w:val="24"/>
          <w:lang w:val="en-US"/>
        </w:rPr>
        <w:t>, 2010; Huber and Schaub, 2011). It directly contributes to the renewal of soil organic matter stocks. Furthermore, dead mycelium adds to the organic matter pool, enhances soil aggregation, and improves porosity and aeration (</w:t>
      </w:r>
      <w:proofErr w:type="spellStart"/>
      <w:r>
        <w:rPr>
          <w:color w:val="auto"/>
          <w:szCs w:val="24"/>
          <w:lang w:val="en-US"/>
        </w:rPr>
        <w:t>Waligora</w:t>
      </w:r>
      <w:proofErr w:type="spellEnd"/>
      <w:r>
        <w:rPr>
          <w:color w:val="auto"/>
          <w:szCs w:val="24"/>
          <w:lang w:val="en-US"/>
        </w:rPr>
        <w:t xml:space="preserve"> and </w:t>
      </w:r>
      <w:proofErr w:type="spellStart"/>
      <w:r>
        <w:rPr>
          <w:color w:val="auto"/>
          <w:szCs w:val="24"/>
          <w:lang w:val="en-US"/>
        </w:rPr>
        <w:t>Vian</w:t>
      </w:r>
      <w:proofErr w:type="spellEnd"/>
      <w:r>
        <w:rPr>
          <w:color w:val="auto"/>
          <w:szCs w:val="24"/>
          <w:lang w:val="en-US"/>
        </w:rPr>
        <w:t>, 2010).</w:t>
      </w:r>
    </w:p>
    <w:p w14:paraId="5F86CC45" w14:textId="77777777" w:rsidR="008B097D" w:rsidRDefault="00221405">
      <w:pPr>
        <w:spacing w:after="0" w:line="360" w:lineRule="auto"/>
        <w:ind w:left="0" w:firstLine="0"/>
        <w:jc w:val="both"/>
        <w:rPr>
          <w:color w:val="auto"/>
          <w:szCs w:val="24"/>
          <w:lang w:val="en-US"/>
        </w:rPr>
      </w:pPr>
      <w:r>
        <w:rPr>
          <w:color w:val="auto"/>
          <w:szCs w:val="24"/>
          <w:lang w:val="en-US"/>
        </w:rPr>
        <w:t xml:space="preserve">Nevertheless, the use of highly mycotrophic plant species proves essential for restoring the fertility of degraded lands. The fungus sporulates in the soil or within plant roots, conferring upon the host plant resistance to both biotic and abiotic stresses (Fortin </w:t>
      </w:r>
      <w:r>
        <w:rPr>
          <w:i/>
          <w:color w:val="auto"/>
          <w:szCs w:val="24"/>
          <w:lang w:val="en-US"/>
        </w:rPr>
        <w:t>et al</w:t>
      </w:r>
      <w:r>
        <w:rPr>
          <w:color w:val="auto"/>
          <w:szCs w:val="24"/>
          <w:lang w:val="en-US"/>
        </w:rPr>
        <w:t xml:space="preserve">., 2015). </w:t>
      </w:r>
      <w:proofErr w:type="spellStart"/>
      <w:r>
        <w:rPr>
          <w:i/>
          <w:iCs/>
          <w:color w:val="auto"/>
          <w:szCs w:val="24"/>
          <w:lang w:val="en-US"/>
        </w:rPr>
        <w:t>Leptadeniahastata</w:t>
      </w:r>
      <w:proofErr w:type="spellEnd"/>
      <w:r>
        <w:rPr>
          <w:color w:val="auto"/>
          <w:szCs w:val="24"/>
          <w:lang w:val="en-US"/>
        </w:rPr>
        <w:t>, an economically valuable plant, exhibits resistance to such stresses. It is characteristic of dry savanna vegetation, undemanding in terms of soil quality, capable of growing in a wide range of substrates, and remarkably drought-tolerant (Kawa, 2000). It continues to thrive under conditions in which other plants perish, tolerating pest attacks and poor soil conditions (Jansen, 2004).</w:t>
      </w:r>
    </w:p>
    <w:p w14:paraId="515759DE" w14:textId="77777777" w:rsidR="008B097D" w:rsidRDefault="00221405">
      <w:pPr>
        <w:spacing w:after="0" w:line="360" w:lineRule="auto"/>
        <w:ind w:left="0" w:firstLine="0"/>
        <w:jc w:val="both"/>
        <w:rPr>
          <w:color w:val="auto"/>
          <w:szCs w:val="24"/>
          <w:lang w:val="en-US"/>
        </w:rPr>
      </w:pPr>
      <w:r>
        <w:rPr>
          <w:color w:val="auto"/>
          <w:szCs w:val="24"/>
          <w:lang w:val="en-US"/>
        </w:rPr>
        <w:t>Given these remarkable traits, this perennial species could be highly mycotrophic and may play a significant role in the restoration of degraded lands. However, scientific information regarding its mycorrhizal symbiosis remains unavailable. Hence, the present study aims to (</w:t>
      </w:r>
      <w:proofErr w:type="spellStart"/>
      <w:r>
        <w:rPr>
          <w:color w:val="auto"/>
          <w:szCs w:val="24"/>
          <w:lang w:val="en-US"/>
        </w:rPr>
        <w:t>i</w:t>
      </w:r>
      <w:proofErr w:type="spellEnd"/>
      <w:r>
        <w:rPr>
          <w:color w:val="auto"/>
          <w:szCs w:val="24"/>
          <w:lang w:val="en-US"/>
        </w:rPr>
        <w:t xml:space="preserve">) determine the mycorrhizal status of </w:t>
      </w:r>
      <w:proofErr w:type="spellStart"/>
      <w:r>
        <w:rPr>
          <w:i/>
          <w:iCs/>
          <w:color w:val="auto"/>
          <w:szCs w:val="24"/>
          <w:lang w:val="en-US"/>
        </w:rPr>
        <w:t>Leptadeniahastata</w:t>
      </w:r>
      <w:proofErr w:type="spellEnd"/>
      <w:r>
        <w:rPr>
          <w:color w:val="auto"/>
          <w:szCs w:val="24"/>
          <w:lang w:val="en-US"/>
        </w:rPr>
        <w:t xml:space="preserve"> and (ii) assess its potential contribution to the restoration of degraded soil fertility.</w:t>
      </w:r>
    </w:p>
    <w:p w14:paraId="1F1F7B95" w14:textId="77777777" w:rsidR="008B097D" w:rsidRDefault="00221405">
      <w:pPr>
        <w:spacing w:after="0" w:line="360" w:lineRule="auto"/>
        <w:ind w:left="0" w:firstLine="0"/>
        <w:jc w:val="both"/>
        <w:rPr>
          <w:b/>
          <w:bCs/>
          <w:color w:val="auto"/>
          <w:szCs w:val="24"/>
          <w:lang w:val="en-US"/>
        </w:rPr>
      </w:pPr>
      <w:r>
        <w:rPr>
          <w:b/>
          <w:bCs/>
          <w:color w:val="auto"/>
          <w:szCs w:val="24"/>
          <w:lang w:val="en-US"/>
        </w:rPr>
        <w:t>2. MATERIALS &amp; METHODS</w:t>
      </w:r>
    </w:p>
    <w:p w14:paraId="15D4C61E" w14:textId="77777777" w:rsidR="008B097D" w:rsidRDefault="00221405">
      <w:pPr>
        <w:spacing w:after="223" w:line="360" w:lineRule="auto"/>
        <w:ind w:left="0" w:firstLine="0"/>
        <w:jc w:val="both"/>
        <w:rPr>
          <w:b/>
          <w:bCs/>
          <w:color w:val="auto"/>
          <w:szCs w:val="24"/>
          <w:lang w:val="en-US"/>
        </w:rPr>
      </w:pPr>
      <w:r>
        <w:rPr>
          <w:b/>
          <w:bCs/>
          <w:color w:val="auto"/>
          <w:szCs w:val="24"/>
          <w:lang w:val="en-US"/>
        </w:rPr>
        <w:t>2.1. Description of the Study Site</w:t>
      </w:r>
    </w:p>
    <w:p w14:paraId="1EC12F36" w14:textId="77777777" w:rsidR="008B097D" w:rsidRDefault="00221405">
      <w:pPr>
        <w:spacing w:after="223" w:line="360" w:lineRule="auto"/>
        <w:ind w:left="0" w:firstLine="0"/>
        <w:jc w:val="both"/>
        <w:rPr>
          <w:b/>
          <w:bCs/>
          <w:color w:val="auto"/>
          <w:szCs w:val="24"/>
          <w:lang w:val="en-US"/>
        </w:rPr>
      </w:pPr>
      <w:r>
        <w:rPr>
          <w:color w:val="auto"/>
          <w:szCs w:val="24"/>
          <w:lang w:val="en-US"/>
        </w:rPr>
        <w:t xml:space="preserve">The study was conducted on the </w:t>
      </w:r>
      <w:proofErr w:type="spellStart"/>
      <w:r>
        <w:rPr>
          <w:color w:val="auto"/>
          <w:szCs w:val="24"/>
          <w:lang w:val="en-US"/>
        </w:rPr>
        <w:t>Satara</w:t>
      </w:r>
      <w:proofErr w:type="spellEnd"/>
      <w:r>
        <w:rPr>
          <w:color w:val="auto"/>
          <w:szCs w:val="24"/>
          <w:lang w:val="en-US"/>
        </w:rPr>
        <w:t xml:space="preserve"> site, located within the rural commune of </w:t>
      </w:r>
      <w:proofErr w:type="spellStart"/>
      <w:r>
        <w:rPr>
          <w:color w:val="auto"/>
          <w:szCs w:val="24"/>
          <w:lang w:val="en-US"/>
        </w:rPr>
        <w:t>Simiri</w:t>
      </w:r>
      <w:proofErr w:type="spellEnd"/>
      <w:r>
        <w:rPr>
          <w:color w:val="auto"/>
          <w:szCs w:val="24"/>
          <w:lang w:val="en-US"/>
        </w:rPr>
        <w:t xml:space="preserve"> (Figure 1), approximately 78 km north of Niamey, the capital city, and 16 km south of </w:t>
      </w:r>
      <w:proofErr w:type="spellStart"/>
      <w:r>
        <w:rPr>
          <w:color w:val="auto"/>
          <w:szCs w:val="24"/>
          <w:lang w:val="en-US"/>
        </w:rPr>
        <w:t>Ouallam</w:t>
      </w:r>
      <w:proofErr w:type="spellEnd"/>
      <w:r>
        <w:rPr>
          <w:color w:val="auto"/>
          <w:szCs w:val="24"/>
          <w:lang w:val="en-US"/>
        </w:rPr>
        <w:t xml:space="preserve">, one of the departments of the </w:t>
      </w:r>
      <w:proofErr w:type="spellStart"/>
      <w:r>
        <w:rPr>
          <w:color w:val="auto"/>
          <w:szCs w:val="24"/>
          <w:lang w:val="en-US"/>
        </w:rPr>
        <w:t>Tillabéry</w:t>
      </w:r>
      <w:proofErr w:type="spellEnd"/>
      <w:r>
        <w:rPr>
          <w:color w:val="auto"/>
          <w:szCs w:val="24"/>
          <w:lang w:val="en-US"/>
        </w:rPr>
        <w:t xml:space="preserve"> Region. The commune lies along National Road No. 24, between latitudes 14°3′ and 15°50′ N and longitudes 1°52′ and 2°34′ E. It covers an area of 2,233 km², stretching 50 km from south to north and 85 km from west to east (PDC </w:t>
      </w:r>
      <w:proofErr w:type="spellStart"/>
      <w:r>
        <w:rPr>
          <w:color w:val="auto"/>
          <w:szCs w:val="24"/>
          <w:lang w:val="en-US"/>
        </w:rPr>
        <w:t>Simiri</w:t>
      </w:r>
      <w:proofErr w:type="spellEnd"/>
      <w:r>
        <w:rPr>
          <w:color w:val="auto"/>
          <w:szCs w:val="24"/>
          <w:lang w:val="en-US"/>
        </w:rPr>
        <w:t>, 2016).</w:t>
      </w:r>
    </w:p>
    <w:p w14:paraId="743CFAF0" w14:textId="77777777" w:rsidR="008B097D" w:rsidRDefault="00221405">
      <w:pPr>
        <w:spacing w:after="223" w:line="360" w:lineRule="auto"/>
        <w:ind w:left="0" w:firstLine="0"/>
        <w:jc w:val="both"/>
        <w:rPr>
          <w:b/>
          <w:bCs/>
          <w:color w:val="auto"/>
          <w:szCs w:val="24"/>
          <w:lang w:val="en-US"/>
        </w:rPr>
      </w:pPr>
      <w:r>
        <w:rPr>
          <w:color w:val="auto"/>
          <w:szCs w:val="24"/>
          <w:lang w:val="en-US"/>
        </w:rPr>
        <w:t xml:space="preserve">According to Boubacar and </w:t>
      </w:r>
      <w:r>
        <w:rPr>
          <w:i/>
          <w:color w:val="auto"/>
          <w:szCs w:val="24"/>
          <w:lang w:val="en-US"/>
        </w:rPr>
        <w:t>al.</w:t>
      </w:r>
      <w:r>
        <w:rPr>
          <w:color w:val="auto"/>
          <w:szCs w:val="24"/>
          <w:lang w:val="en-US"/>
        </w:rPr>
        <w:t xml:space="preserve"> (2013), “the natural vegetation of the commune of </w:t>
      </w:r>
      <w:proofErr w:type="spellStart"/>
      <w:r>
        <w:rPr>
          <w:color w:val="auto"/>
          <w:szCs w:val="24"/>
          <w:lang w:val="en-US"/>
        </w:rPr>
        <w:t>Simiri</w:t>
      </w:r>
      <w:proofErr w:type="spellEnd"/>
      <w:r>
        <w:rPr>
          <w:color w:val="auto"/>
          <w:szCs w:val="24"/>
          <w:lang w:val="en-US"/>
        </w:rPr>
        <w:t xml:space="preserve"> consists of shrub steppes on glacis and shrub-to-tree formations in the lowlands, whereas the plateaus exhibit a contracted formation subject to severe degradation.” </w:t>
      </w:r>
      <w:proofErr w:type="spellStart"/>
      <w:r>
        <w:rPr>
          <w:color w:val="auto"/>
          <w:szCs w:val="24"/>
          <w:lang w:val="en-US"/>
        </w:rPr>
        <w:t>Satara</w:t>
      </w:r>
      <w:proofErr w:type="spellEnd"/>
      <w:r>
        <w:rPr>
          <w:color w:val="auto"/>
          <w:szCs w:val="24"/>
          <w:lang w:val="en-US"/>
        </w:rPr>
        <w:t xml:space="preserve">, located on these plateaus, is a degraded site that has been partially rehabilitated through the efforts of the World Food </w:t>
      </w:r>
      <w:proofErr w:type="spellStart"/>
      <w:r>
        <w:rPr>
          <w:color w:val="auto"/>
          <w:szCs w:val="24"/>
          <w:lang w:val="en-US"/>
        </w:rPr>
        <w:t>Programme</w:t>
      </w:r>
      <w:proofErr w:type="spellEnd"/>
      <w:r>
        <w:rPr>
          <w:color w:val="auto"/>
          <w:szCs w:val="24"/>
          <w:lang w:val="en-US"/>
        </w:rPr>
        <w:t xml:space="preserve"> (WFP). This site was selected for the present study because it was partially reforested </w:t>
      </w:r>
      <w:r>
        <w:rPr>
          <w:color w:val="auto"/>
          <w:szCs w:val="24"/>
          <w:lang w:val="en-US"/>
        </w:rPr>
        <w:lastRenderedPageBreak/>
        <w:t xml:space="preserve">with </w:t>
      </w:r>
      <w:proofErr w:type="spellStart"/>
      <w:r>
        <w:rPr>
          <w:i/>
          <w:iCs/>
          <w:color w:val="auto"/>
          <w:szCs w:val="24"/>
          <w:lang w:val="en-US"/>
        </w:rPr>
        <w:t>Leptadeniahastata</w:t>
      </w:r>
      <w:proofErr w:type="spellEnd"/>
      <w:r>
        <w:rPr>
          <w:color w:val="auto"/>
          <w:szCs w:val="24"/>
          <w:lang w:val="en-US"/>
        </w:rPr>
        <w:t xml:space="preserve"> in August 2019. A total of 1000 </w:t>
      </w:r>
      <w:proofErr w:type="spellStart"/>
      <w:r>
        <w:rPr>
          <w:i/>
          <w:iCs/>
          <w:color w:val="auto"/>
          <w:szCs w:val="24"/>
          <w:lang w:val="en-US"/>
        </w:rPr>
        <w:t>Leptadeniahastata</w:t>
      </w:r>
      <w:proofErr w:type="spellEnd"/>
      <w:r>
        <w:rPr>
          <w:color w:val="auto"/>
          <w:szCs w:val="24"/>
          <w:lang w:val="en-US"/>
        </w:rPr>
        <w:t xml:space="preserve"> seedlings were produced in a nursery for this reforestation effort (Photo 1).</w:t>
      </w:r>
    </w:p>
    <w:p w14:paraId="6273BE99" w14:textId="77777777" w:rsidR="008B097D" w:rsidRDefault="00221405">
      <w:pPr>
        <w:spacing w:after="0" w:line="360" w:lineRule="auto"/>
        <w:ind w:left="0" w:firstLine="0"/>
        <w:jc w:val="both"/>
        <w:rPr>
          <w:color w:val="auto"/>
          <w:szCs w:val="24"/>
          <w:lang w:val="en-US"/>
        </w:rPr>
      </w:pPr>
      <w:r>
        <w:rPr>
          <w:color w:val="auto"/>
          <w:szCs w:val="24"/>
          <w:lang w:val="en-US"/>
        </w:rPr>
        <w:t xml:space="preserve">The topography of the rural commune of </w:t>
      </w:r>
      <w:proofErr w:type="spellStart"/>
      <w:r>
        <w:rPr>
          <w:color w:val="auto"/>
          <w:szCs w:val="24"/>
          <w:lang w:val="en-US"/>
        </w:rPr>
        <w:t>Simiri</w:t>
      </w:r>
      <w:proofErr w:type="spellEnd"/>
      <w:r>
        <w:rPr>
          <w:color w:val="auto"/>
          <w:szCs w:val="24"/>
          <w:lang w:val="en-US"/>
        </w:rPr>
        <w:t xml:space="preserve"> is characterized by plateaus, slopes, dunes, glacis, and lowlands (PDC </w:t>
      </w:r>
      <w:proofErr w:type="spellStart"/>
      <w:r>
        <w:rPr>
          <w:color w:val="auto"/>
          <w:szCs w:val="24"/>
          <w:lang w:val="en-US"/>
        </w:rPr>
        <w:t>Simiri</w:t>
      </w:r>
      <w:proofErr w:type="spellEnd"/>
      <w:r>
        <w:rPr>
          <w:color w:val="auto"/>
          <w:szCs w:val="24"/>
          <w:lang w:val="en-US"/>
        </w:rPr>
        <w:t>, 2016). The dominant soils are sandy ferruginous tropical soils and lateritic plateaus (Boubacar et al., 2013). The population, estimated at 103,057 inhabitants (46 inhabitants/km²), is composed of approximately 99% Zarma (INS, 2012). The local economy relies primarily on agriculture, which is practiced on the glacis and in the lowlands (Boubacar et al., 2013), though it faces numerous constraints, notably declining soil fertility. The commune has an arid tropical climate, with an average annual rainfall of approximately 330.8 mm (Ali et al., 2015).</w:t>
      </w:r>
    </w:p>
    <w:p w14:paraId="73528BAF" w14:textId="4B8B9B57" w:rsidR="00494E53" w:rsidRDefault="00494E53">
      <w:pPr>
        <w:spacing w:after="0" w:line="360" w:lineRule="auto"/>
        <w:ind w:left="0" w:firstLine="0"/>
        <w:jc w:val="both"/>
        <w:rPr>
          <w:color w:val="auto"/>
          <w:szCs w:val="24"/>
          <w:lang w:val="en-US"/>
        </w:rPr>
      </w:pPr>
      <w:r w:rsidRPr="00494E53">
        <w:rPr>
          <w:noProof/>
          <w:color w:val="auto"/>
          <w:szCs w:val="24"/>
        </w:rPr>
        <w:drawing>
          <wp:inline distT="0" distB="0" distL="0" distR="0" wp14:anchorId="3F52C5F1" wp14:editId="71081C94">
            <wp:extent cx="6791325" cy="4885909"/>
            <wp:effectExtent l="0" t="0" r="0" b="0"/>
            <wp:docPr id="7" name="Image 7" descr="C:\Users\Halima\Desktop\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lima\Desktop\FIG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5004" cy="4895750"/>
                    </a:xfrm>
                    <a:prstGeom prst="rect">
                      <a:avLst/>
                    </a:prstGeom>
                    <a:noFill/>
                    <a:ln>
                      <a:noFill/>
                    </a:ln>
                  </pic:spPr>
                </pic:pic>
              </a:graphicData>
            </a:graphic>
          </wp:inline>
        </w:drawing>
      </w:r>
    </w:p>
    <w:p w14:paraId="5DD3200C" w14:textId="77777777" w:rsidR="000019FF" w:rsidRDefault="000019FF">
      <w:pPr>
        <w:spacing w:after="0" w:line="360" w:lineRule="auto"/>
        <w:ind w:left="0" w:firstLine="0"/>
        <w:jc w:val="both"/>
        <w:rPr>
          <w:color w:val="auto"/>
          <w:szCs w:val="24"/>
          <w:lang w:val="en-US"/>
        </w:rPr>
      </w:pPr>
    </w:p>
    <w:p w14:paraId="1E362069" w14:textId="77777777" w:rsidR="008B097D" w:rsidRDefault="00221405">
      <w:pPr>
        <w:spacing w:after="223" w:line="360" w:lineRule="auto"/>
        <w:ind w:left="0" w:firstLine="0"/>
        <w:jc w:val="both"/>
        <w:rPr>
          <w:color w:val="auto"/>
          <w:szCs w:val="24"/>
          <w:lang w:val="en-US"/>
        </w:rPr>
      </w:pPr>
      <w:r>
        <w:rPr>
          <w:b/>
          <w:noProof/>
          <w:color w:val="auto"/>
          <w:szCs w:val="24"/>
        </w:rPr>
        <w:lastRenderedPageBreak/>
        <w:drawing>
          <wp:inline distT="0" distB="0" distL="114300" distR="114300" wp14:anchorId="2E18CA0B" wp14:editId="080BC66A">
            <wp:extent cx="2942590" cy="2009140"/>
            <wp:effectExtent l="0" t="0" r="0" b="0"/>
            <wp:docPr id="9244569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56916" name="Image 2"/>
                    <pic:cNvPicPr>
                      <a:picLocks noChangeAspect="1" noChangeArrowheads="1"/>
                    </pic:cNvPicPr>
                  </pic:nvPicPr>
                  <pic:blipFill>
                    <a:blip r:embed="rId10"/>
                    <a:srcRect/>
                    <a:stretch>
                      <a:fillRect/>
                    </a:stretch>
                  </pic:blipFill>
                  <pic:spPr>
                    <a:xfrm>
                      <a:off x="0" y="0"/>
                      <a:ext cx="2942821" cy="2009661"/>
                    </a:xfrm>
                    <a:prstGeom prst="rect">
                      <a:avLst/>
                    </a:prstGeom>
                    <a:noFill/>
                    <a:ln>
                      <a:noFill/>
                    </a:ln>
                  </pic:spPr>
                </pic:pic>
              </a:graphicData>
            </a:graphic>
          </wp:inline>
        </w:drawing>
      </w:r>
      <w:r>
        <w:rPr>
          <w:b/>
          <w:noProof/>
          <w:color w:val="auto"/>
          <w:szCs w:val="24"/>
        </w:rPr>
        <w:drawing>
          <wp:inline distT="0" distB="0" distL="114300" distR="114300" wp14:anchorId="46C78FBF" wp14:editId="70E277E9">
            <wp:extent cx="2661920" cy="2014220"/>
            <wp:effectExtent l="0" t="0" r="0" b="0"/>
            <wp:docPr id="4717639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63993" name="Image 3"/>
                    <pic:cNvPicPr>
                      <a:picLocks noChangeAspect="1" noChangeArrowheads="1"/>
                    </pic:cNvPicPr>
                  </pic:nvPicPr>
                  <pic:blipFill>
                    <a:blip r:embed="rId11"/>
                    <a:srcRect l="2005" t="34656" r="-2005" b="467"/>
                    <a:stretch>
                      <a:fillRect/>
                    </a:stretch>
                  </pic:blipFill>
                  <pic:spPr>
                    <a:xfrm>
                      <a:off x="0" y="0"/>
                      <a:ext cx="2661920" cy="2014220"/>
                    </a:xfrm>
                    <a:prstGeom prst="rect">
                      <a:avLst/>
                    </a:prstGeom>
                    <a:noFill/>
                    <a:ln>
                      <a:noFill/>
                    </a:ln>
                  </pic:spPr>
                </pic:pic>
              </a:graphicData>
            </a:graphic>
          </wp:inline>
        </w:drawing>
      </w:r>
    </w:p>
    <w:p w14:paraId="1D860B6D" w14:textId="6BE9F4DB" w:rsidR="008B097D" w:rsidRDefault="00221405">
      <w:pPr>
        <w:spacing w:after="223" w:line="360" w:lineRule="auto"/>
        <w:ind w:left="0" w:firstLine="0"/>
        <w:jc w:val="both"/>
        <w:rPr>
          <w:color w:val="auto"/>
          <w:szCs w:val="24"/>
          <w:lang w:val="en-US"/>
        </w:rPr>
      </w:pPr>
      <w:r w:rsidRPr="00494E53">
        <w:rPr>
          <w:color w:val="auto"/>
          <w:szCs w:val="24"/>
          <w:lang w:val="en-US"/>
        </w:rPr>
        <w:t xml:space="preserve">Figure </w:t>
      </w:r>
      <w:r w:rsidR="00432785" w:rsidRPr="00494E53">
        <w:rPr>
          <w:color w:val="auto"/>
          <w:szCs w:val="24"/>
          <w:lang w:val="en-US"/>
        </w:rPr>
        <w:t>2:</w:t>
      </w:r>
      <w:r w:rsidR="00494E53">
        <w:rPr>
          <w:color w:val="auto"/>
          <w:szCs w:val="24"/>
          <w:lang w:val="en-US"/>
        </w:rPr>
        <w:t xml:space="preserve"> </w:t>
      </w:r>
      <w:proofErr w:type="spellStart"/>
      <w:r>
        <w:rPr>
          <w:i/>
          <w:iCs/>
          <w:color w:val="auto"/>
          <w:szCs w:val="24"/>
          <w:lang w:val="en-US"/>
        </w:rPr>
        <w:t>Leptadenia</w:t>
      </w:r>
      <w:proofErr w:type="spellEnd"/>
      <w:r w:rsidR="00494E53">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plants on the </w:t>
      </w:r>
      <w:proofErr w:type="spellStart"/>
      <w:r>
        <w:rPr>
          <w:color w:val="auto"/>
          <w:szCs w:val="24"/>
          <w:lang w:val="en-US"/>
        </w:rPr>
        <w:t>Satara</w:t>
      </w:r>
      <w:proofErr w:type="spellEnd"/>
      <w:r>
        <w:rPr>
          <w:color w:val="auto"/>
          <w:szCs w:val="24"/>
          <w:lang w:val="en-US"/>
        </w:rPr>
        <w:t xml:space="preserve"> site, three years after transplantation.</w:t>
      </w:r>
    </w:p>
    <w:p w14:paraId="3A711FAD" w14:textId="77777777" w:rsidR="008B097D" w:rsidRDefault="00221405">
      <w:pPr>
        <w:spacing w:after="223" w:line="360" w:lineRule="auto"/>
        <w:ind w:left="0" w:firstLine="0"/>
        <w:jc w:val="both"/>
        <w:rPr>
          <w:b/>
          <w:bCs/>
          <w:color w:val="auto"/>
          <w:szCs w:val="24"/>
          <w:lang w:val="en-US"/>
        </w:rPr>
      </w:pPr>
      <w:r>
        <w:rPr>
          <w:b/>
          <w:bCs/>
          <w:color w:val="auto"/>
          <w:szCs w:val="24"/>
          <w:lang w:val="en-US"/>
        </w:rPr>
        <w:t>2.2. Soil and Root Sampling</w:t>
      </w:r>
    </w:p>
    <w:p w14:paraId="20D909D7" w14:textId="77777777" w:rsidR="008B097D" w:rsidRDefault="00221405">
      <w:pPr>
        <w:spacing w:after="0" w:line="360" w:lineRule="auto"/>
        <w:ind w:left="0" w:firstLine="0"/>
        <w:jc w:val="both"/>
        <w:rPr>
          <w:color w:val="auto"/>
          <w:szCs w:val="24"/>
          <w:lang w:val="en-US"/>
        </w:rPr>
      </w:pPr>
      <w:r>
        <w:rPr>
          <w:color w:val="auto"/>
          <w:szCs w:val="24"/>
          <w:lang w:val="en-US"/>
        </w:rPr>
        <w:t xml:space="preserve">Twenty (20) soil samples were collected from a depth of 20 cm at two distinct locations within the same site: ten samples from beneath </w:t>
      </w:r>
      <w:proofErr w:type="spellStart"/>
      <w:r>
        <w:rPr>
          <w:i/>
          <w:iCs/>
          <w:color w:val="auto"/>
          <w:szCs w:val="24"/>
          <w:lang w:val="en-US"/>
        </w:rPr>
        <w:t>Leptadeniahastata</w:t>
      </w:r>
      <w:proofErr w:type="spellEnd"/>
      <w:r>
        <w:rPr>
          <w:color w:val="auto"/>
          <w:szCs w:val="24"/>
          <w:lang w:val="en-US"/>
        </w:rPr>
        <w:t xml:space="preserve"> plants (hereafter referred to as “soils under </w:t>
      </w:r>
      <w:proofErr w:type="spellStart"/>
      <w:r>
        <w:rPr>
          <w:i/>
          <w:iCs/>
          <w:color w:val="auto"/>
          <w:szCs w:val="24"/>
          <w:lang w:val="en-US"/>
        </w:rPr>
        <w:t>Leptadenia</w:t>
      </w:r>
      <w:proofErr w:type="spellEnd"/>
      <w:r>
        <w:rPr>
          <w:color w:val="auto"/>
          <w:szCs w:val="24"/>
          <w:lang w:val="en-US"/>
        </w:rPr>
        <w:t xml:space="preserve">”) and ten samples from unvegetated areas (hereafter referred to as “bare soils”). Sampling points were spaced 15 to 20 meters apart. Approximately 500 g of soil was collected from each of the ten </w:t>
      </w:r>
      <w:proofErr w:type="spellStart"/>
      <w:r>
        <w:rPr>
          <w:color w:val="auto"/>
          <w:szCs w:val="24"/>
          <w:lang w:val="en-US"/>
        </w:rPr>
        <w:t>rhizospheric</w:t>
      </w:r>
      <w:proofErr w:type="spellEnd"/>
      <w:r>
        <w:rPr>
          <w:color w:val="auto"/>
          <w:szCs w:val="24"/>
          <w:lang w:val="en-US"/>
        </w:rPr>
        <w:t xml:space="preserve"> soil samples. These subsamples were then mixed and homogenized to obtain one composite sample. The same procedure was applied to the ten bare soil samples.</w:t>
      </w:r>
    </w:p>
    <w:p w14:paraId="415B365A" w14:textId="77777777" w:rsidR="008B097D" w:rsidRDefault="00221405">
      <w:pPr>
        <w:spacing w:after="0" w:line="360" w:lineRule="auto"/>
        <w:ind w:left="0" w:firstLine="0"/>
        <w:jc w:val="both"/>
        <w:rPr>
          <w:color w:val="auto"/>
          <w:szCs w:val="24"/>
          <w:lang w:val="en-US"/>
        </w:rPr>
      </w:pPr>
      <w:r>
        <w:rPr>
          <w:color w:val="auto"/>
          <w:szCs w:val="24"/>
          <w:lang w:val="en-US"/>
        </w:rPr>
        <w:t xml:space="preserve">The collected soil samples were air-dried under shelter, then stored in sterilized plastic bags. Root samples were also collected from the same locations as the </w:t>
      </w:r>
      <w:proofErr w:type="spellStart"/>
      <w:r>
        <w:rPr>
          <w:i/>
          <w:iCs/>
          <w:color w:val="auto"/>
          <w:szCs w:val="24"/>
          <w:lang w:val="en-US"/>
        </w:rPr>
        <w:t>Leptadenia</w:t>
      </w:r>
      <w:proofErr w:type="spellEnd"/>
      <w:r>
        <w:rPr>
          <w:color w:val="auto"/>
          <w:szCs w:val="24"/>
          <w:lang w:val="en-US"/>
        </w:rPr>
        <w:t xml:space="preserve"> soils, focusing exclusively on fine roots, as these are more suitable for microscopic observation. The collected roots were stored in numbered containers filled with GEW solution (Glycerol-Ethanol-Water). All soil and root samples were subsequently transported to the laboratory for analysis.</w:t>
      </w:r>
    </w:p>
    <w:p w14:paraId="6340EBD7" w14:textId="77777777" w:rsidR="008B097D" w:rsidRDefault="008B097D">
      <w:pPr>
        <w:spacing w:after="0" w:line="360" w:lineRule="auto"/>
        <w:ind w:left="0" w:firstLine="0"/>
        <w:jc w:val="both"/>
        <w:rPr>
          <w:color w:val="auto"/>
          <w:szCs w:val="24"/>
          <w:lang w:val="en-US"/>
        </w:rPr>
      </w:pPr>
    </w:p>
    <w:p w14:paraId="4CA48C71" w14:textId="77777777" w:rsidR="008B097D" w:rsidRDefault="00221405">
      <w:pPr>
        <w:spacing w:after="0" w:line="360" w:lineRule="auto"/>
        <w:ind w:left="0" w:firstLine="0"/>
        <w:jc w:val="both"/>
        <w:rPr>
          <w:b/>
          <w:bCs/>
          <w:color w:val="auto"/>
          <w:szCs w:val="24"/>
          <w:lang w:val="en-US"/>
        </w:rPr>
      </w:pPr>
      <w:r>
        <w:rPr>
          <w:b/>
          <w:bCs/>
          <w:color w:val="auto"/>
          <w:szCs w:val="24"/>
          <w:lang w:val="en-US"/>
        </w:rPr>
        <w:t xml:space="preserve">2.3. </w:t>
      </w:r>
      <w:proofErr w:type="spellStart"/>
      <w:r>
        <w:rPr>
          <w:b/>
          <w:bCs/>
          <w:color w:val="auto"/>
          <w:szCs w:val="24"/>
          <w:lang w:val="en-US"/>
        </w:rPr>
        <w:t>Physico</w:t>
      </w:r>
      <w:proofErr w:type="spellEnd"/>
      <w:r>
        <w:rPr>
          <w:b/>
          <w:bCs/>
          <w:color w:val="auto"/>
          <w:szCs w:val="24"/>
          <w:lang w:val="en-US"/>
        </w:rPr>
        <w:t>-Chemical Characterization of Soils</w:t>
      </w:r>
    </w:p>
    <w:p w14:paraId="5FACB61F" w14:textId="77777777" w:rsidR="008B097D" w:rsidRDefault="00221405">
      <w:pPr>
        <w:spacing w:after="0" w:line="360" w:lineRule="auto"/>
        <w:ind w:left="0" w:firstLine="0"/>
        <w:jc w:val="both"/>
        <w:rPr>
          <w:color w:val="auto"/>
          <w:szCs w:val="24"/>
          <w:lang w:val="en-US"/>
        </w:rPr>
      </w:pPr>
      <w:r>
        <w:rPr>
          <w:color w:val="auto"/>
          <w:szCs w:val="24"/>
          <w:lang w:val="en-US"/>
        </w:rPr>
        <w:t xml:space="preserve">Composite soil samples were analyzed at the Soil Science Laboratory of the Faculty of Agronomy, Abdou </w:t>
      </w:r>
      <w:proofErr w:type="spellStart"/>
      <w:r>
        <w:rPr>
          <w:color w:val="auto"/>
          <w:szCs w:val="24"/>
          <w:lang w:val="en-US"/>
        </w:rPr>
        <w:t>Moumouni</w:t>
      </w:r>
      <w:proofErr w:type="spellEnd"/>
      <w:r>
        <w:rPr>
          <w:color w:val="auto"/>
          <w:szCs w:val="24"/>
          <w:lang w:val="en-US"/>
        </w:rPr>
        <w:t xml:space="preserve"> University of Niamey, following standard analytical methods (Mathieu and </w:t>
      </w:r>
      <w:proofErr w:type="spellStart"/>
      <w:r>
        <w:rPr>
          <w:color w:val="auto"/>
          <w:szCs w:val="24"/>
          <w:lang w:val="en-US"/>
        </w:rPr>
        <w:t>Pieltain</w:t>
      </w:r>
      <w:proofErr w:type="spellEnd"/>
      <w:r>
        <w:rPr>
          <w:color w:val="auto"/>
          <w:szCs w:val="24"/>
          <w:lang w:val="en-US"/>
        </w:rPr>
        <w:t xml:space="preserve">, 2003). The </w:t>
      </w:r>
      <w:proofErr w:type="spellStart"/>
      <w:r>
        <w:rPr>
          <w:color w:val="auto"/>
          <w:szCs w:val="24"/>
          <w:lang w:val="en-US"/>
        </w:rPr>
        <w:t>physico</w:t>
      </w:r>
      <w:proofErr w:type="spellEnd"/>
      <w:r>
        <w:rPr>
          <w:color w:val="auto"/>
          <w:szCs w:val="24"/>
          <w:lang w:val="en-US"/>
        </w:rPr>
        <w:t xml:space="preserve">-chemical parameters determined, along with the corresponding analytical techniques, were as follows: Particle size distribution (five fractions) determined by the international pipette method of Robinson; Soil pH, measured electrometrically using a pH meter with a soil-to-water ratio of 1:2.5; Electrical conductivity, determined using a </w:t>
      </w:r>
      <w:r>
        <w:rPr>
          <w:color w:val="auto"/>
          <w:szCs w:val="24"/>
          <w:lang w:val="en-US"/>
        </w:rPr>
        <w:lastRenderedPageBreak/>
        <w:t xml:space="preserve">conductivity meter on a 1:5 soil-to-water extract; Exchangeable bases (Ca²⁺, Mg²⁺, K⁺, and Na⁺) and cation exchange capacity (CEC), extracted using ammonium acetate; Organic carbon, determined by the Walkley-Black method (1934); Total nitrogen, measured according to the </w:t>
      </w:r>
      <w:proofErr w:type="spellStart"/>
      <w:r>
        <w:rPr>
          <w:color w:val="auto"/>
          <w:szCs w:val="24"/>
          <w:lang w:val="en-US"/>
        </w:rPr>
        <w:t>Kjeldahl</w:t>
      </w:r>
      <w:proofErr w:type="spellEnd"/>
      <w:r>
        <w:rPr>
          <w:color w:val="auto"/>
          <w:szCs w:val="24"/>
          <w:lang w:val="en-US"/>
        </w:rPr>
        <w:t xml:space="preserve"> method; Total and available phosphorus, determined using the Bray 1 method (Bray and Kurtz, 1945).</w:t>
      </w:r>
    </w:p>
    <w:p w14:paraId="7FD3B2C0" w14:textId="77777777" w:rsidR="008B097D" w:rsidRDefault="008B097D">
      <w:pPr>
        <w:spacing w:after="0" w:line="360" w:lineRule="auto"/>
        <w:ind w:left="0" w:firstLine="0"/>
        <w:jc w:val="both"/>
        <w:rPr>
          <w:color w:val="auto"/>
          <w:szCs w:val="24"/>
          <w:lang w:val="en-US"/>
        </w:rPr>
      </w:pPr>
    </w:p>
    <w:p w14:paraId="777D7ABD"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2.4. Characterization of the </w:t>
      </w:r>
      <w:proofErr w:type="spellStart"/>
      <w:r>
        <w:rPr>
          <w:b/>
          <w:bCs/>
          <w:color w:val="auto"/>
          <w:szCs w:val="24"/>
          <w:lang w:val="en-US"/>
        </w:rPr>
        <w:t>Mycorrhizogenic</w:t>
      </w:r>
      <w:proofErr w:type="spellEnd"/>
      <w:r>
        <w:rPr>
          <w:b/>
          <w:bCs/>
          <w:color w:val="auto"/>
          <w:szCs w:val="24"/>
          <w:lang w:val="en-US"/>
        </w:rPr>
        <w:t xml:space="preserve"> Potential of Soils and Roots</w:t>
      </w:r>
    </w:p>
    <w:p w14:paraId="23DAA2C4" w14:textId="77777777" w:rsidR="008B097D" w:rsidRDefault="00221405">
      <w:pPr>
        <w:spacing w:after="223" w:line="360" w:lineRule="auto"/>
        <w:ind w:left="0" w:firstLine="0"/>
        <w:jc w:val="both"/>
        <w:rPr>
          <w:b/>
          <w:bCs/>
          <w:color w:val="auto"/>
          <w:szCs w:val="24"/>
          <w:lang w:val="en-US"/>
        </w:rPr>
      </w:pPr>
      <w:r>
        <w:rPr>
          <w:b/>
          <w:bCs/>
          <w:color w:val="auto"/>
          <w:szCs w:val="24"/>
          <w:lang w:val="en-US"/>
        </w:rPr>
        <w:t>2.4.1. Extraction, Enumeration, and Identification of Arbuscular Mycorrhizal Fungal Spores</w:t>
      </w:r>
    </w:p>
    <w:p w14:paraId="15A307A8" w14:textId="77777777" w:rsidR="008B097D" w:rsidRDefault="00221405">
      <w:pPr>
        <w:spacing w:after="0" w:line="360" w:lineRule="auto"/>
        <w:ind w:left="0" w:firstLine="0"/>
        <w:jc w:val="both"/>
        <w:rPr>
          <w:color w:val="auto"/>
          <w:szCs w:val="24"/>
          <w:lang w:val="en-US"/>
        </w:rPr>
      </w:pPr>
      <w:r>
        <w:rPr>
          <w:color w:val="auto"/>
          <w:szCs w:val="24"/>
          <w:lang w:val="en-US"/>
        </w:rPr>
        <w:t xml:space="preserve">The collected soil samples were analyzed at the Mycology Laboratory of the Higher Teachers’ Training College, Abdou </w:t>
      </w:r>
      <w:proofErr w:type="spellStart"/>
      <w:r>
        <w:rPr>
          <w:color w:val="auto"/>
          <w:szCs w:val="24"/>
          <w:lang w:val="en-US"/>
        </w:rPr>
        <w:t>Moumouni</w:t>
      </w:r>
      <w:proofErr w:type="spellEnd"/>
      <w:r>
        <w:rPr>
          <w:color w:val="auto"/>
          <w:szCs w:val="24"/>
          <w:lang w:val="en-US"/>
        </w:rPr>
        <w:t xml:space="preserve"> University of Niamey. Spore extraction was performed following the method of Walker (1982), which comprises three main steps:</w:t>
      </w:r>
    </w:p>
    <w:p w14:paraId="2A697254" w14:textId="77777777" w:rsidR="008B097D" w:rsidRDefault="00221405">
      <w:pPr>
        <w:spacing w:after="0" w:line="360" w:lineRule="auto"/>
        <w:ind w:left="0" w:firstLine="0"/>
        <w:jc w:val="both"/>
        <w:rPr>
          <w:color w:val="auto"/>
          <w:szCs w:val="24"/>
          <w:lang w:val="en-US"/>
        </w:rPr>
      </w:pPr>
      <w:r>
        <w:rPr>
          <w:color w:val="auto"/>
          <w:szCs w:val="24"/>
          <w:lang w:val="en-US"/>
        </w:rPr>
        <w:t>1. Suspension preparation: A quantity of 100 g of soil was poured into a bucket filled to three-quarters with water and stirred for 10-15 seconds.</w:t>
      </w:r>
    </w:p>
    <w:p w14:paraId="2A53C022" w14:textId="77777777" w:rsidR="008B097D" w:rsidRDefault="00221405">
      <w:pPr>
        <w:spacing w:after="0" w:line="360" w:lineRule="auto"/>
        <w:ind w:left="0" w:firstLine="0"/>
        <w:jc w:val="both"/>
        <w:rPr>
          <w:color w:val="auto"/>
          <w:szCs w:val="24"/>
          <w:lang w:val="en-US"/>
        </w:rPr>
      </w:pPr>
      <w:r>
        <w:rPr>
          <w:color w:val="auto"/>
          <w:szCs w:val="24"/>
          <w:lang w:val="en-US"/>
        </w:rPr>
        <w:t>2. Sieving: The resulting suspension was passed successively through a series of five superimposed sieves with mesh sizes of 63 µm, 160 µm, 250 µm, 315 µm, and 630 µm, arranged from bottom to top.</w:t>
      </w:r>
    </w:p>
    <w:p w14:paraId="69FE93FE" w14:textId="77777777" w:rsidR="008B097D" w:rsidRDefault="00221405">
      <w:pPr>
        <w:spacing w:after="0" w:line="360" w:lineRule="auto"/>
        <w:ind w:left="0" w:firstLine="0"/>
        <w:jc w:val="both"/>
        <w:rPr>
          <w:color w:val="auto"/>
          <w:szCs w:val="24"/>
          <w:lang w:val="en-US"/>
        </w:rPr>
      </w:pPr>
      <w:r>
        <w:rPr>
          <w:color w:val="auto"/>
          <w:szCs w:val="24"/>
          <w:lang w:val="en-US"/>
        </w:rPr>
        <w:t>3. Spore collection: The residues retained on each sieve were transferred into Petri dishes, mixed, and gently stirred.</w:t>
      </w:r>
    </w:p>
    <w:p w14:paraId="66806797" w14:textId="77777777" w:rsidR="008B097D" w:rsidRDefault="00221405">
      <w:pPr>
        <w:spacing w:after="0" w:line="360" w:lineRule="auto"/>
        <w:ind w:left="0" w:firstLine="0"/>
        <w:jc w:val="both"/>
        <w:rPr>
          <w:color w:val="auto"/>
          <w:szCs w:val="24"/>
          <w:lang w:val="en-US"/>
        </w:rPr>
      </w:pPr>
      <w:r>
        <w:rPr>
          <w:color w:val="auto"/>
          <w:szCs w:val="24"/>
          <w:lang w:val="en-US"/>
        </w:rPr>
        <w:t>The estimation of spore abundance was carried out under a stereomicroscope through direct counting. First, the number of viable spores contained in 1 ml of the supernatant was counted, and the total number was then extrapolated to the entire sample volume (10 ml).</w:t>
      </w:r>
    </w:p>
    <w:p w14:paraId="6712F068" w14:textId="77777777" w:rsidR="008B097D" w:rsidRDefault="00221405">
      <w:pPr>
        <w:spacing w:after="0" w:line="360" w:lineRule="auto"/>
        <w:ind w:left="0" w:firstLine="0"/>
        <w:jc w:val="both"/>
        <w:rPr>
          <w:color w:val="auto"/>
          <w:szCs w:val="24"/>
          <w:lang w:val="en-US"/>
        </w:rPr>
      </w:pPr>
      <w:r>
        <w:rPr>
          <w:color w:val="auto"/>
          <w:szCs w:val="24"/>
          <w:lang w:val="en-US"/>
        </w:rPr>
        <w:t>The identification of spore genera was performed based on the morphological criteria proposed by Schenck and Smith (1982). Spores representing each morphotype were mounted between microscope slides and cover slips in a drop of a biochemical reagent, polyvinyl alcohol–lactic acid-glycerol (PVLG). Gentle pressure was applied on the cover slip to slightly crush the spores and rupture their wall, thereby enhancing visibility of internal structures. Identification was primarily based on spore size, pigmentation, surface ornamentation, wall structure, and suspensor hypha characteristics.</w:t>
      </w:r>
    </w:p>
    <w:p w14:paraId="5C9DBCD7" w14:textId="77777777" w:rsidR="008B097D" w:rsidRDefault="008B097D">
      <w:pPr>
        <w:spacing w:after="0" w:line="360" w:lineRule="auto"/>
        <w:ind w:left="0" w:firstLine="0"/>
        <w:jc w:val="both"/>
        <w:rPr>
          <w:color w:val="auto"/>
          <w:szCs w:val="24"/>
          <w:lang w:val="en-US"/>
        </w:rPr>
      </w:pPr>
    </w:p>
    <w:p w14:paraId="2A627600" w14:textId="77777777" w:rsidR="008B097D" w:rsidRDefault="008B097D">
      <w:pPr>
        <w:spacing w:after="0" w:line="360" w:lineRule="auto"/>
        <w:ind w:left="0" w:firstLine="0"/>
        <w:jc w:val="both"/>
        <w:rPr>
          <w:b/>
          <w:bCs/>
          <w:color w:val="auto"/>
          <w:szCs w:val="24"/>
          <w:lang w:val="en-US"/>
        </w:rPr>
      </w:pPr>
    </w:p>
    <w:p w14:paraId="1E559513" w14:textId="77777777" w:rsidR="008B097D" w:rsidRDefault="008B097D">
      <w:pPr>
        <w:spacing w:after="0" w:line="360" w:lineRule="auto"/>
        <w:ind w:left="0" w:firstLine="0"/>
        <w:jc w:val="both"/>
        <w:rPr>
          <w:b/>
          <w:bCs/>
          <w:color w:val="auto"/>
          <w:szCs w:val="24"/>
          <w:lang w:val="en-US"/>
        </w:rPr>
      </w:pPr>
    </w:p>
    <w:p w14:paraId="5444C0C9" w14:textId="77777777" w:rsidR="008B097D" w:rsidRDefault="00221405">
      <w:pPr>
        <w:spacing w:after="0" w:line="360" w:lineRule="auto"/>
        <w:ind w:left="0" w:firstLine="0"/>
        <w:jc w:val="both"/>
        <w:rPr>
          <w:b/>
          <w:bCs/>
          <w:color w:val="auto"/>
          <w:szCs w:val="24"/>
          <w:lang w:val="en-US"/>
        </w:rPr>
      </w:pPr>
      <w:r>
        <w:rPr>
          <w:b/>
          <w:bCs/>
          <w:color w:val="auto"/>
          <w:szCs w:val="24"/>
          <w:lang w:val="en-US"/>
        </w:rPr>
        <w:t>2.4.2. Detection and Evaluation of Root Association with Arbuscular Mycorrhizal Fungi</w:t>
      </w:r>
    </w:p>
    <w:p w14:paraId="6CA4B26A" w14:textId="77777777" w:rsidR="008B097D" w:rsidRDefault="00221405">
      <w:pPr>
        <w:spacing w:after="0" w:line="360" w:lineRule="auto"/>
        <w:ind w:left="0" w:firstLine="0"/>
        <w:jc w:val="both"/>
        <w:rPr>
          <w:b/>
          <w:bCs/>
          <w:color w:val="auto"/>
          <w:szCs w:val="24"/>
          <w:lang w:val="en-US"/>
        </w:rPr>
      </w:pPr>
      <w:r>
        <w:rPr>
          <w:b/>
          <w:bCs/>
          <w:color w:val="auto"/>
          <w:szCs w:val="24"/>
          <w:lang w:val="en-US"/>
        </w:rPr>
        <w:t>2.4.2.1. Detection of Root Infection</w:t>
      </w:r>
    </w:p>
    <w:p w14:paraId="055D6CB8" w14:textId="77777777" w:rsidR="008B097D" w:rsidRDefault="00221405">
      <w:pPr>
        <w:spacing w:after="0" w:line="360" w:lineRule="auto"/>
        <w:ind w:left="0" w:firstLine="0"/>
        <w:jc w:val="both"/>
        <w:rPr>
          <w:color w:val="auto"/>
          <w:szCs w:val="24"/>
          <w:lang w:val="en-US"/>
        </w:rPr>
      </w:pPr>
      <w:r>
        <w:rPr>
          <w:color w:val="auto"/>
          <w:szCs w:val="24"/>
          <w:lang w:val="en-US"/>
        </w:rPr>
        <w:t xml:space="preserve">The detection of endomycorrhizal infection was performed through root staining, following the method of Phillips and Hayman (1970). For each </w:t>
      </w:r>
      <w:proofErr w:type="spellStart"/>
      <w:r>
        <w:rPr>
          <w:i/>
          <w:iCs/>
          <w:color w:val="auto"/>
          <w:szCs w:val="24"/>
          <w:lang w:val="en-US"/>
        </w:rPr>
        <w:t>Leptadeniahastata</w:t>
      </w:r>
      <w:proofErr w:type="spellEnd"/>
      <w:r>
        <w:rPr>
          <w:color w:val="auto"/>
          <w:szCs w:val="24"/>
          <w:lang w:val="en-US"/>
        </w:rPr>
        <w:t xml:space="preserve"> plant, thirty (30) root fragments approximately 1 cm in length were first washed with water and then soaked for 24 hours in a 10% potassium hydroxide (KOH) solution. The roots were subsequently bleached by adding a few drops of hydrogen peroxide (H₂O₂, 100 V) for 5 minutes, rinsed with distilled water, and acidified with 1% hydrochloric acid (HCl) for several minutes. After a final rinse with distilled water, the roots were stained with trypan blue for at least 24 hours at ambient temperature.</w:t>
      </w:r>
    </w:p>
    <w:p w14:paraId="6C208B02" w14:textId="77777777" w:rsidR="008B097D" w:rsidRDefault="00221405">
      <w:pPr>
        <w:spacing w:after="0" w:line="360" w:lineRule="auto"/>
        <w:ind w:left="0" w:firstLine="0"/>
        <w:jc w:val="both"/>
        <w:rPr>
          <w:color w:val="auto"/>
          <w:szCs w:val="24"/>
          <w:lang w:val="en-US"/>
        </w:rPr>
      </w:pPr>
      <w:r>
        <w:rPr>
          <w:color w:val="auto"/>
          <w:szCs w:val="24"/>
          <w:lang w:val="en-US"/>
        </w:rPr>
        <w:t xml:space="preserve">The assessment of mycorrhizal colonization intensity was conducted according to the scoring system developed by </w:t>
      </w:r>
      <w:proofErr w:type="spellStart"/>
      <w:r>
        <w:rPr>
          <w:color w:val="auto"/>
          <w:szCs w:val="24"/>
          <w:lang w:val="en-US"/>
        </w:rPr>
        <w:t>Trouvelot</w:t>
      </w:r>
      <w:proofErr w:type="spellEnd"/>
      <w:r>
        <w:rPr>
          <w:color w:val="auto"/>
          <w:szCs w:val="24"/>
          <w:lang w:val="en-US"/>
        </w:rPr>
        <w:t xml:space="preserve"> et al. (1986) (Figure 5.2). This system is based on a global evaluation of 10 root fragments. Each fragment was assigned a class score ranging from 0 to 5, corresponding to the estimated proportion of the root cortex colonized by the mycorrhizal symbiont. The presence of </w:t>
      </w:r>
      <w:proofErr w:type="spellStart"/>
      <w:r>
        <w:rPr>
          <w:color w:val="auto"/>
          <w:szCs w:val="24"/>
          <w:lang w:val="en-US"/>
        </w:rPr>
        <w:t>arbuscules</w:t>
      </w:r>
      <w:proofErr w:type="spellEnd"/>
      <w:r>
        <w:rPr>
          <w:color w:val="auto"/>
          <w:szCs w:val="24"/>
          <w:lang w:val="en-US"/>
        </w:rPr>
        <w:t xml:space="preserve"> and vesicles was simultaneously recorded.</w:t>
      </w:r>
    </w:p>
    <w:p w14:paraId="3781C676" w14:textId="77777777" w:rsidR="008B097D" w:rsidRDefault="00221405">
      <w:pPr>
        <w:spacing w:after="223" w:line="360" w:lineRule="auto"/>
        <w:ind w:left="0" w:firstLine="0"/>
        <w:jc w:val="both"/>
        <w:rPr>
          <w:color w:val="auto"/>
          <w:szCs w:val="24"/>
          <w:lang w:val="en-US"/>
        </w:rPr>
      </w:pPr>
      <w:r>
        <w:rPr>
          <w:b/>
          <w:bCs/>
          <w:noProof/>
          <w:color w:val="auto"/>
          <w:szCs w:val="24"/>
        </w:rPr>
        <w:drawing>
          <wp:inline distT="0" distB="0" distL="114300" distR="114300" wp14:anchorId="3B1F2A91" wp14:editId="35B0DF82">
            <wp:extent cx="5676900" cy="2352675"/>
            <wp:effectExtent l="0" t="0" r="0" b="0"/>
            <wp:docPr id="77349388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93883" name="Image 21"/>
                    <pic:cNvPicPr>
                      <a:picLocks noChangeAspect="1" noChangeArrowheads="1"/>
                    </pic:cNvPicPr>
                  </pic:nvPicPr>
                  <pic:blipFill>
                    <a:blip r:embed="rId12"/>
                    <a:srcRect/>
                    <a:stretch>
                      <a:fillRect/>
                    </a:stretch>
                  </pic:blipFill>
                  <pic:spPr>
                    <a:xfrm>
                      <a:off x="0" y="0"/>
                      <a:ext cx="5676900" cy="2352675"/>
                    </a:xfrm>
                    <a:prstGeom prst="rect">
                      <a:avLst/>
                    </a:prstGeom>
                    <a:noFill/>
                    <a:ln>
                      <a:noFill/>
                    </a:ln>
                  </pic:spPr>
                </pic:pic>
              </a:graphicData>
            </a:graphic>
          </wp:inline>
        </w:drawing>
      </w:r>
    </w:p>
    <w:p w14:paraId="08A764BA" w14:textId="77777777" w:rsidR="008B097D" w:rsidRDefault="00221405">
      <w:pPr>
        <w:spacing w:after="223" w:line="360" w:lineRule="auto"/>
        <w:ind w:left="0" w:firstLine="0"/>
        <w:jc w:val="both"/>
        <w:rPr>
          <w:color w:val="auto"/>
          <w:szCs w:val="24"/>
          <w:lang w:val="en-US"/>
        </w:rPr>
      </w:pPr>
      <w:r>
        <w:rPr>
          <w:color w:val="auto"/>
          <w:szCs w:val="24"/>
          <w:lang w:val="en-US"/>
        </w:rPr>
        <w:t>Figure 3: Scoring system for evaluating the degree of mycorrhizal colonization (</w:t>
      </w:r>
      <w:proofErr w:type="spellStart"/>
      <w:r>
        <w:rPr>
          <w:color w:val="auto"/>
          <w:szCs w:val="24"/>
          <w:lang w:val="en-US"/>
        </w:rPr>
        <w:t>Trouvelot</w:t>
      </w:r>
      <w:proofErr w:type="spellEnd"/>
      <w:r>
        <w:rPr>
          <w:color w:val="auto"/>
          <w:szCs w:val="24"/>
          <w:lang w:val="en-US"/>
        </w:rPr>
        <w:t xml:space="preserve"> et al., 1986).</w:t>
      </w:r>
    </w:p>
    <w:p w14:paraId="18CFEE77" w14:textId="77777777" w:rsidR="008B097D" w:rsidRDefault="00221405">
      <w:pPr>
        <w:spacing w:after="0" w:line="360" w:lineRule="auto"/>
        <w:ind w:left="0" w:firstLine="0"/>
        <w:jc w:val="both"/>
        <w:rPr>
          <w:b/>
          <w:bCs/>
          <w:color w:val="auto"/>
          <w:szCs w:val="24"/>
          <w:lang w:val="en-US"/>
        </w:rPr>
      </w:pPr>
      <w:r>
        <w:rPr>
          <w:b/>
          <w:bCs/>
          <w:color w:val="auto"/>
          <w:szCs w:val="24"/>
          <w:lang w:val="en-US"/>
        </w:rPr>
        <w:t>2.4.</w:t>
      </w:r>
      <w:r>
        <w:rPr>
          <w:b/>
          <w:bCs/>
          <w:color w:val="auto"/>
          <w:szCs w:val="24"/>
        </w:rPr>
        <w:t>2</w:t>
      </w:r>
      <w:r>
        <w:rPr>
          <w:b/>
          <w:bCs/>
          <w:color w:val="auto"/>
          <w:szCs w:val="24"/>
          <w:lang w:val="en-US"/>
        </w:rPr>
        <w:t>.2. Evaluation of the Percentage of Natural Endomycorrhizal (AMF) Infection</w:t>
      </w:r>
    </w:p>
    <w:p w14:paraId="7BFC1C3A" w14:textId="77777777" w:rsidR="008B097D" w:rsidRDefault="008B097D">
      <w:pPr>
        <w:spacing w:after="0" w:line="360" w:lineRule="auto"/>
        <w:ind w:left="0" w:firstLine="0"/>
        <w:jc w:val="both"/>
        <w:rPr>
          <w:color w:val="auto"/>
          <w:szCs w:val="24"/>
          <w:lang w:val="en-US"/>
        </w:rPr>
      </w:pPr>
    </w:p>
    <w:p w14:paraId="11D3C479" w14:textId="77777777" w:rsidR="008B097D" w:rsidRDefault="00221405">
      <w:pPr>
        <w:spacing w:after="0" w:line="360" w:lineRule="auto"/>
        <w:ind w:left="0" w:firstLine="0"/>
        <w:jc w:val="both"/>
        <w:rPr>
          <w:color w:val="auto"/>
          <w:szCs w:val="24"/>
          <w:lang w:val="en-US"/>
        </w:rPr>
      </w:pPr>
      <w:r>
        <w:rPr>
          <w:color w:val="auto"/>
          <w:szCs w:val="24"/>
          <w:lang w:val="en-US"/>
        </w:rPr>
        <w:lastRenderedPageBreak/>
        <w:t>To assess the mycorrhizal colonization parameters of the ten (10) root samples, thirty (30) root fragments of approximately one (1) cm in length from each stained root sample were selected, cut, and mounted between microscope slides and cover slips, at a rate of ten fragments per slide. Observations were made under a light microscope at magnifications of 100× and 400×. Each fragment was carefully examined along its entire length to detect the following mycorrhizal parameters:</w:t>
      </w:r>
    </w:p>
    <w:p w14:paraId="042522EA" w14:textId="77777777" w:rsidR="008B097D" w:rsidRDefault="00221405">
      <w:pPr>
        <w:spacing w:after="0" w:line="360" w:lineRule="auto"/>
        <w:ind w:left="0" w:firstLine="0"/>
        <w:jc w:val="both"/>
        <w:rPr>
          <w:color w:val="auto"/>
          <w:szCs w:val="24"/>
          <w:lang w:val="en-US"/>
        </w:rPr>
      </w:pPr>
      <w:r>
        <w:rPr>
          <w:color w:val="auto"/>
          <w:szCs w:val="24"/>
          <w:lang w:val="en-US"/>
        </w:rPr>
        <w:t>Frequency of mycorrhization (</w:t>
      </w:r>
      <w:r w:rsidR="00A5787B">
        <w:rPr>
          <w:color w:val="auto"/>
          <w:szCs w:val="24"/>
          <w:lang w:val="en-US"/>
        </w:rPr>
        <w:t xml:space="preserve">F%): </w:t>
      </w:r>
      <w:r w:rsidR="00A5787B" w:rsidRPr="00A5787B">
        <w:rPr>
          <w:color w:val="FF0000"/>
          <w:szCs w:val="24"/>
          <w:lang w:val="en-US"/>
        </w:rPr>
        <w:t>D</w:t>
      </w:r>
      <w:r>
        <w:rPr>
          <w:color w:val="auto"/>
          <w:szCs w:val="24"/>
          <w:lang w:val="en-US"/>
        </w:rPr>
        <w:t>efined as the proportion of mycorrhizal root fragments relative to the total number of fragments observed;</w:t>
      </w:r>
    </w:p>
    <w:p w14:paraId="1FB90D07" w14:textId="77777777" w:rsidR="008B097D" w:rsidRDefault="00221405">
      <w:pPr>
        <w:spacing w:after="0" w:line="360" w:lineRule="auto"/>
        <w:ind w:left="0" w:firstLine="0"/>
        <w:jc w:val="both"/>
        <w:rPr>
          <w:color w:val="auto"/>
          <w:szCs w:val="24"/>
          <w:lang w:val="en-US"/>
        </w:rPr>
      </w:pPr>
      <w:r>
        <w:rPr>
          <w:color w:val="auto"/>
          <w:szCs w:val="24"/>
          <w:lang w:val="en-US"/>
        </w:rPr>
        <w:t>Int</w:t>
      </w:r>
      <w:r w:rsidR="00A5787B">
        <w:rPr>
          <w:color w:val="auto"/>
          <w:szCs w:val="24"/>
          <w:lang w:val="en-US"/>
        </w:rPr>
        <w:t xml:space="preserve">ensity of mycorrhization (M%): </w:t>
      </w:r>
      <w:r w:rsidR="00A5787B" w:rsidRPr="00A5787B">
        <w:rPr>
          <w:color w:val="FF0000"/>
          <w:szCs w:val="24"/>
          <w:lang w:val="en-US"/>
        </w:rPr>
        <w:t>R</w:t>
      </w:r>
      <w:r>
        <w:rPr>
          <w:color w:val="auto"/>
          <w:szCs w:val="24"/>
          <w:lang w:val="en-US"/>
        </w:rPr>
        <w:t>epresenting the extent of root fragments colonized by arbuscular mycorrhizal fungi (AMF);</w:t>
      </w:r>
    </w:p>
    <w:p w14:paraId="19358ADB" w14:textId="77777777" w:rsidR="008B097D" w:rsidRDefault="00221405">
      <w:pPr>
        <w:spacing w:after="0" w:line="360" w:lineRule="auto"/>
        <w:ind w:left="0" w:firstLine="0"/>
        <w:jc w:val="both"/>
        <w:rPr>
          <w:color w:val="auto"/>
          <w:szCs w:val="24"/>
          <w:lang w:val="en-US"/>
        </w:rPr>
      </w:pPr>
      <w:r>
        <w:rPr>
          <w:color w:val="auto"/>
          <w:szCs w:val="24"/>
          <w:lang w:val="en-US"/>
        </w:rPr>
        <w:t>Arbuscular content</w:t>
      </w:r>
      <w:r w:rsidR="00A5787B">
        <w:rPr>
          <w:color w:val="auto"/>
          <w:szCs w:val="24"/>
          <w:lang w:val="en-US"/>
        </w:rPr>
        <w:t xml:space="preserve"> (A%): </w:t>
      </w:r>
      <w:r w:rsidR="00A5787B" w:rsidRPr="00A5787B">
        <w:rPr>
          <w:color w:val="FF0000"/>
          <w:szCs w:val="24"/>
          <w:lang w:val="en-US"/>
        </w:rPr>
        <w:t>I</w:t>
      </w:r>
      <w:r>
        <w:rPr>
          <w:color w:val="auto"/>
          <w:szCs w:val="24"/>
          <w:lang w:val="en-US"/>
        </w:rPr>
        <w:t xml:space="preserve">ndicating the proportion of root fragments colonized by </w:t>
      </w:r>
      <w:proofErr w:type="spellStart"/>
      <w:r>
        <w:rPr>
          <w:color w:val="auto"/>
          <w:szCs w:val="24"/>
          <w:lang w:val="en-US"/>
        </w:rPr>
        <w:t>arbuscules</w:t>
      </w:r>
      <w:proofErr w:type="spellEnd"/>
      <w:r>
        <w:rPr>
          <w:color w:val="auto"/>
          <w:szCs w:val="24"/>
          <w:lang w:val="en-US"/>
        </w:rPr>
        <w:t>;</w:t>
      </w:r>
    </w:p>
    <w:p w14:paraId="361CA7B6" w14:textId="77777777" w:rsidR="008B097D" w:rsidRDefault="00221405">
      <w:pPr>
        <w:spacing w:after="0" w:line="360" w:lineRule="auto"/>
        <w:ind w:left="0" w:firstLine="0"/>
        <w:jc w:val="both"/>
        <w:rPr>
          <w:color w:val="auto"/>
          <w:szCs w:val="24"/>
          <w:lang w:val="en-US"/>
        </w:rPr>
      </w:pPr>
      <w:r>
        <w:rPr>
          <w:color w:val="auto"/>
          <w:szCs w:val="24"/>
          <w:lang w:val="en-US"/>
        </w:rPr>
        <w:t>Relat</w:t>
      </w:r>
      <w:r w:rsidR="00A5787B">
        <w:rPr>
          <w:color w:val="auto"/>
          <w:szCs w:val="24"/>
          <w:lang w:val="en-US"/>
        </w:rPr>
        <w:t xml:space="preserve">ive arbuscular infection (a%): </w:t>
      </w:r>
      <w:r w:rsidR="00A5787B" w:rsidRPr="00A5787B">
        <w:rPr>
          <w:color w:val="FF0000"/>
          <w:szCs w:val="24"/>
          <w:lang w:val="en-US"/>
        </w:rPr>
        <w:t>R</w:t>
      </w:r>
      <w:r>
        <w:rPr>
          <w:color w:val="auto"/>
          <w:szCs w:val="24"/>
          <w:lang w:val="en-US"/>
        </w:rPr>
        <w:t>epresenting the degree of infection within the endomycorrhizal portion of the fine roots.</w:t>
      </w:r>
    </w:p>
    <w:p w14:paraId="045AB4C8" w14:textId="77777777" w:rsidR="008B097D" w:rsidRDefault="00221405">
      <w:pPr>
        <w:spacing w:after="223" w:line="360" w:lineRule="auto"/>
        <w:ind w:left="0" w:firstLine="0"/>
        <w:jc w:val="both"/>
        <w:rPr>
          <w:b/>
          <w:bCs/>
          <w:color w:val="auto"/>
          <w:szCs w:val="24"/>
          <w:lang w:val="en-US"/>
        </w:rPr>
      </w:pPr>
      <w:r>
        <w:rPr>
          <w:b/>
          <w:bCs/>
          <w:color w:val="auto"/>
          <w:szCs w:val="24"/>
          <w:lang w:val="en-US"/>
        </w:rPr>
        <w:t>2.5. Data Analysis</w:t>
      </w:r>
    </w:p>
    <w:p w14:paraId="26D610F5" w14:textId="77777777" w:rsidR="008B097D" w:rsidRDefault="00221405">
      <w:pPr>
        <w:spacing w:after="223" w:line="360" w:lineRule="auto"/>
        <w:ind w:left="0" w:firstLine="0"/>
        <w:jc w:val="both"/>
        <w:rPr>
          <w:color w:val="auto"/>
          <w:szCs w:val="24"/>
          <w:lang w:val="en-US"/>
        </w:rPr>
      </w:pPr>
      <w:r>
        <w:rPr>
          <w:color w:val="auto"/>
          <w:szCs w:val="24"/>
          <w:lang w:val="en-US"/>
        </w:rPr>
        <w:t xml:space="preserve">Analysis of variance (ANOVA) was employed to evaluate the chemical parameters of the two soil types. The statistical analyses were performed using the R software, version 3.2.4. Principal Component Analysis (PCA) was conducted to determine the correlations between spore genera and soil chemical parameters. The </w:t>
      </w:r>
      <w:proofErr w:type="spellStart"/>
      <w:r>
        <w:rPr>
          <w:color w:val="auto"/>
          <w:szCs w:val="24"/>
          <w:lang w:val="en-US"/>
        </w:rPr>
        <w:t>Mycocalc</w:t>
      </w:r>
      <w:proofErr w:type="spellEnd"/>
      <w:r>
        <w:rPr>
          <w:color w:val="auto"/>
          <w:szCs w:val="24"/>
          <w:lang w:val="en-US"/>
        </w:rPr>
        <w:t xml:space="preserve"> software was used to calculate the mycorrhizal parameters (F%, M%, and A%).</w:t>
      </w:r>
    </w:p>
    <w:p w14:paraId="7D555899" w14:textId="77777777" w:rsidR="008B097D" w:rsidRDefault="00221405">
      <w:pPr>
        <w:spacing w:after="223" w:line="360" w:lineRule="auto"/>
        <w:ind w:left="0" w:firstLine="0"/>
        <w:jc w:val="both"/>
        <w:rPr>
          <w:b/>
          <w:bCs/>
          <w:color w:val="auto"/>
          <w:szCs w:val="24"/>
          <w:lang w:val="en-US"/>
        </w:rPr>
      </w:pPr>
      <w:r>
        <w:rPr>
          <w:b/>
          <w:bCs/>
          <w:color w:val="auto"/>
          <w:szCs w:val="24"/>
          <w:lang w:val="en-US"/>
        </w:rPr>
        <w:t>3. RESULTS</w:t>
      </w:r>
    </w:p>
    <w:p w14:paraId="4E34DE5E"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3.1. </w:t>
      </w:r>
      <w:proofErr w:type="spellStart"/>
      <w:r>
        <w:rPr>
          <w:b/>
          <w:bCs/>
          <w:color w:val="auto"/>
          <w:szCs w:val="24"/>
          <w:lang w:val="en-US"/>
        </w:rPr>
        <w:t>Physico</w:t>
      </w:r>
      <w:proofErr w:type="spellEnd"/>
      <w:r>
        <w:rPr>
          <w:b/>
          <w:bCs/>
          <w:color w:val="auto"/>
          <w:szCs w:val="24"/>
          <w:lang w:val="en-US"/>
        </w:rPr>
        <w:t xml:space="preserve">-Chemical Parameters of Soils from the </w:t>
      </w:r>
      <w:proofErr w:type="spellStart"/>
      <w:r>
        <w:rPr>
          <w:b/>
          <w:bCs/>
          <w:color w:val="auto"/>
          <w:szCs w:val="24"/>
          <w:lang w:val="en-US"/>
        </w:rPr>
        <w:t>Satara</w:t>
      </w:r>
      <w:proofErr w:type="spellEnd"/>
      <w:r>
        <w:rPr>
          <w:b/>
          <w:bCs/>
          <w:color w:val="auto"/>
          <w:szCs w:val="24"/>
          <w:lang w:val="en-US"/>
        </w:rPr>
        <w:t xml:space="preserve"> Site</w:t>
      </w:r>
    </w:p>
    <w:p w14:paraId="5D438E7E"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3.1.1. Physical Characteristics of the Soils from the </w:t>
      </w:r>
      <w:proofErr w:type="spellStart"/>
      <w:r>
        <w:rPr>
          <w:b/>
          <w:bCs/>
          <w:color w:val="auto"/>
          <w:szCs w:val="24"/>
          <w:lang w:val="en-US"/>
        </w:rPr>
        <w:t>Satara</w:t>
      </w:r>
      <w:proofErr w:type="spellEnd"/>
      <w:r>
        <w:rPr>
          <w:b/>
          <w:bCs/>
          <w:color w:val="auto"/>
          <w:szCs w:val="24"/>
          <w:lang w:val="en-US"/>
        </w:rPr>
        <w:t xml:space="preserve"> Site</w:t>
      </w:r>
    </w:p>
    <w:p w14:paraId="03BE6985"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physical analyses of the </w:t>
      </w:r>
      <w:proofErr w:type="spellStart"/>
      <w:r>
        <w:rPr>
          <w:color w:val="auto"/>
          <w:szCs w:val="24"/>
          <w:lang w:val="en-US"/>
        </w:rPr>
        <w:t>Satara</w:t>
      </w:r>
      <w:proofErr w:type="spellEnd"/>
      <w:r>
        <w:rPr>
          <w:color w:val="auto"/>
          <w:szCs w:val="24"/>
          <w:lang w:val="en-US"/>
        </w:rPr>
        <w:t xml:space="preserve"> site are presented in Table 1. They reveal a predominance of medium and fine sand fractions in both environments studied, with respective proportions of 23.83% and 29.97% in the bare soil, and 22.75% and 33.19% in the soil under </w:t>
      </w:r>
      <w:proofErr w:type="spellStart"/>
      <w:r>
        <w:rPr>
          <w:i/>
          <w:iCs/>
          <w:color w:val="auto"/>
          <w:szCs w:val="24"/>
          <w:lang w:val="en-US"/>
        </w:rPr>
        <w:t>Leptadeniahastata</w:t>
      </w:r>
      <w:proofErr w:type="spellEnd"/>
      <w:r>
        <w:rPr>
          <w:color w:val="auto"/>
          <w:szCs w:val="24"/>
          <w:lang w:val="en-US"/>
        </w:rPr>
        <w:t xml:space="preserve">. These are followed by fine and coarse silt fractions, accounting for 12.64% and 17.75% in the bare soil, and 8.09% and 19.60% in the </w:t>
      </w:r>
      <w:proofErr w:type="spellStart"/>
      <w:r>
        <w:rPr>
          <w:i/>
          <w:iCs/>
          <w:color w:val="auto"/>
          <w:szCs w:val="24"/>
          <w:lang w:val="en-US"/>
        </w:rPr>
        <w:t>Leptadenia</w:t>
      </w:r>
      <w:proofErr w:type="spellEnd"/>
      <w:r>
        <w:rPr>
          <w:color w:val="auto"/>
          <w:szCs w:val="24"/>
          <w:lang w:val="en-US"/>
        </w:rPr>
        <w:t xml:space="preserve"> soil.</w:t>
      </w:r>
    </w:p>
    <w:p w14:paraId="3AE2BC74"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Clay and coarse sand fractions are less represented, ranging respectively from 8.18% to 7.63% and from 9.60% to 6.76% in the bare and </w:t>
      </w:r>
      <w:proofErr w:type="spellStart"/>
      <w:r>
        <w:rPr>
          <w:i/>
          <w:iCs/>
          <w:color w:val="auto"/>
          <w:szCs w:val="24"/>
          <w:lang w:val="en-US"/>
        </w:rPr>
        <w:t>Leptadenia</w:t>
      </w:r>
      <w:proofErr w:type="spellEnd"/>
      <w:r>
        <w:rPr>
          <w:color w:val="auto"/>
          <w:szCs w:val="24"/>
          <w:lang w:val="en-US"/>
        </w:rPr>
        <w:t xml:space="preserve"> soils. According to the international textural classification, the soils of </w:t>
      </w:r>
      <w:proofErr w:type="spellStart"/>
      <w:r>
        <w:rPr>
          <w:color w:val="auto"/>
          <w:szCs w:val="24"/>
          <w:lang w:val="en-US"/>
        </w:rPr>
        <w:t>Satara</w:t>
      </w:r>
      <w:proofErr w:type="spellEnd"/>
      <w:r>
        <w:rPr>
          <w:color w:val="auto"/>
          <w:szCs w:val="24"/>
          <w:lang w:val="en-US"/>
        </w:rPr>
        <w:t xml:space="preserve"> exhibit a sandy-loam texture.</w:t>
      </w:r>
    </w:p>
    <w:p w14:paraId="27647D44"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1: Physical parameters </w:t>
      </w:r>
      <w:bookmarkStart w:id="0" w:name="_Hlk214349269"/>
      <w:r>
        <w:rPr>
          <w:color w:val="auto"/>
          <w:szCs w:val="24"/>
          <w:lang w:val="en-US"/>
        </w:rPr>
        <w:t xml:space="preserve">of </w:t>
      </w:r>
      <w:proofErr w:type="spellStart"/>
      <w:r>
        <w:rPr>
          <w:i/>
          <w:iCs/>
          <w:color w:val="auto"/>
          <w:szCs w:val="24"/>
          <w:lang w:val="en-US"/>
        </w:rPr>
        <w:t>Leptadeniahastata</w:t>
      </w:r>
      <w:proofErr w:type="spellEnd"/>
      <w:r>
        <w:rPr>
          <w:color w:val="auto"/>
          <w:szCs w:val="24"/>
          <w:lang w:val="en-US"/>
        </w:rPr>
        <w:t xml:space="preserve"> soils from the </w:t>
      </w:r>
      <w:proofErr w:type="spellStart"/>
      <w:r>
        <w:rPr>
          <w:color w:val="auto"/>
          <w:szCs w:val="24"/>
          <w:lang w:val="en-US"/>
        </w:rPr>
        <w:t>Satara</w:t>
      </w:r>
      <w:proofErr w:type="spellEnd"/>
      <w:r>
        <w:rPr>
          <w:color w:val="auto"/>
          <w:szCs w:val="24"/>
          <w:lang w:val="en-US"/>
        </w:rPr>
        <w:t xml:space="preserve"> site.</w:t>
      </w:r>
      <w:bookmarkEnd w:id="0"/>
    </w:p>
    <w:tbl>
      <w:tblPr>
        <w:tblW w:w="9882" w:type="dxa"/>
        <w:tblInd w:w="-72" w:type="dxa"/>
        <w:tblCellMar>
          <w:left w:w="70" w:type="dxa"/>
          <w:right w:w="70" w:type="dxa"/>
        </w:tblCellMar>
        <w:tblLook w:val="04A0" w:firstRow="1" w:lastRow="0" w:firstColumn="1" w:lastColumn="0" w:noHBand="0" w:noVBand="1"/>
      </w:tblPr>
      <w:tblGrid>
        <w:gridCol w:w="1607"/>
        <w:gridCol w:w="660"/>
        <w:gridCol w:w="1276"/>
        <w:gridCol w:w="1135"/>
        <w:gridCol w:w="1135"/>
        <w:gridCol w:w="1277"/>
        <w:gridCol w:w="956"/>
        <w:gridCol w:w="1043"/>
        <w:gridCol w:w="1193"/>
      </w:tblGrid>
      <w:tr w:rsidR="008B097D" w14:paraId="25A02E82" w14:textId="77777777">
        <w:trPr>
          <w:trHeight w:val="288"/>
        </w:trPr>
        <w:tc>
          <w:tcPr>
            <w:tcW w:w="1207" w:type="dxa"/>
            <w:vMerge w:val="restart"/>
            <w:tcBorders>
              <w:top w:val="single" w:sz="8" w:space="0" w:color="auto"/>
            </w:tcBorders>
            <w:noWrap/>
            <w:vAlign w:val="bottom"/>
          </w:tcPr>
          <w:p w14:paraId="55266C59" w14:textId="77777777" w:rsidR="008B097D" w:rsidRDefault="00221405">
            <w:pPr>
              <w:pStyle w:val="NoSpacing"/>
              <w:spacing w:line="360" w:lineRule="auto"/>
              <w:jc w:val="both"/>
              <w:rPr>
                <w:bCs/>
                <w:color w:val="auto"/>
                <w:szCs w:val="24"/>
                <w:lang w:val="en-US"/>
              </w:rPr>
            </w:pPr>
            <w:r>
              <w:rPr>
                <w:bCs/>
                <w:color w:val="auto"/>
                <w:szCs w:val="24"/>
                <w:lang w:val="en-US"/>
              </w:rPr>
              <w:t> </w:t>
            </w:r>
          </w:p>
        </w:tc>
        <w:tc>
          <w:tcPr>
            <w:tcW w:w="8675" w:type="dxa"/>
            <w:gridSpan w:val="8"/>
            <w:tcBorders>
              <w:top w:val="single" w:sz="8" w:space="0" w:color="auto"/>
              <w:bottom w:val="single" w:sz="8" w:space="0" w:color="auto"/>
            </w:tcBorders>
            <w:noWrap/>
            <w:vAlign w:val="bottom"/>
          </w:tcPr>
          <w:p w14:paraId="3E177995" w14:textId="77777777" w:rsidR="008B097D" w:rsidRDefault="00CA1226">
            <w:pPr>
              <w:pStyle w:val="NoSpacing"/>
              <w:spacing w:line="360" w:lineRule="auto"/>
              <w:jc w:val="both"/>
              <w:rPr>
                <w:bCs/>
                <w:color w:val="auto"/>
                <w:szCs w:val="24"/>
              </w:rPr>
            </w:pPr>
            <w:proofErr w:type="spellStart"/>
            <w:r w:rsidRPr="00CA1226">
              <w:rPr>
                <w:bCs/>
                <w:color w:val="auto"/>
                <w:szCs w:val="24"/>
              </w:rPr>
              <w:t>Particle</w:t>
            </w:r>
            <w:proofErr w:type="spellEnd"/>
            <w:r w:rsidRPr="00CA1226">
              <w:rPr>
                <w:bCs/>
                <w:color w:val="auto"/>
                <w:szCs w:val="24"/>
              </w:rPr>
              <w:t xml:space="preserve"> size distribution</w:t>
            </w:r>
            <w:r>
              <w:rPr>
                <w:bCs/>
                <w:color w:val="auto"/>
                <w:szCs w:val="24"/>
              </w:rPr>
              <w:t xml:space="preserve">   %</w:t>
            </w:r>
          </w:p>
        </w:tc>
      </w:tr>
      <w:tr w:rsidR="008B097D" w14:paraId="6CA69580" w14:textId="77777777">
        <w:trPr>
          <w:trHeight w:val="316"/>
        </w:trPr>
        <w:tc>
          <w:tcPr>
            <w:tcW w:w="1207" w:type="dxa"/>
            <w:vMerge/>
            <w:tcBorders>
              <w:bottom w:val="single" w:sz="8" w:space="0" w:color="auto"/>
            </w:tcBorders>
            <w:noWrap/>
            <w:vAlign w:val="bottom"/>
          </w:tcPr>
          <w:p w14:paraId="0D2501DA" w14:textId="77777777" w:rsidR="008B097D" w:rsidRDefault="008B097D">
            <w:pPr>
              <w:pStyle w:val="NoSpacing"/>
              <w:spacing w:line="360" w:lineRule="auto"/>
              <w:jc w:val="both"/>
              <w:rPr>
                <w:bCs/>
                <w:color w:val="auto"/>
                <w:szCs w:val="24"/>
              </w:rPr>
            </w:pPr>
          </w:p>
        </w:tc>
        <w:tc>
          <w:tcPr>
            <w:tcW w:w="660" w:type="dxa"/>
            <w:tcBorders>
              <w:top w:val="single" w:sz="8" w:space="0" w:color="auto"/>
              <w:bottom w:val="single" w:sz="8" w:space="0" w:color="auto"/>
            </w:tcBorders>
            <w:noWrap/>
            <w:vAlign w:val="bottom"/>
          </w:tcPr>
          <w:p w14:paraId="5FC4CCC1" w14:textId="77777777" w:rsidR="008B097D" w:rsidRDefault="00221405">
            <w:pPr>
              <w:pStyle w:val="NoSpacing"/>
              <w:spacing w:line="360" w:lineRule="auto"/>
              <w:jc w:val="both"/>
              <w:rPr>
                <w:bCs/>
                <w:color w:val="auto"/>
                <w:szCs w:val="24"/>
              </w:rPr>
            </w:pPr>
            <w:r>
              <w:rPr>
                <w:bCs/>
                <w:color w:val="auto"/>
                <w:szCs w:val="24"/>
              </w:rPr>
              <w:t xml:space="preserve">   C</w:t>
            </w:r>
          </w:p>
        </w:tc>
        <w:tc>
          <w:tcPr>
            <w:tcW w:w="1276" w:type="dxa"/>
            <w:tcBorders>
              <w:top w:val="single" w:sz="8" w:space="0" w:color="auto"/>
              <w:bottom w:val="single" w:sz="8" w:space="0" w:color="auto"/>
            </w:tcBorders>
            <w:noWrap/>
            <w:vAlign w:val="bottom"/>
          </w:tcPr>
          <w:p w14:paraId="1BEFE9AC" w14:textId="77777777" w:rsidR="008B097D" w:rsidRDefault="00221405">
            <w:pPr>
              <w:pStyle w:val="NoSpacing"/>
              <w:spacing w:line="360" w:lineRule="auto"/>
              <w:jc w:val="both"/>
              <w:rPr>
                <w:bCs/>
                <w:color w:val="auto"/>
                <w:szCs w:val="24"/>
              </w:rPr>
            </w:pPr>
            <w:r>
              <w:rPr>
                <w:bCs/>
                <w:color w:val="auto"/>
                <w:szCs w:val="24"/>
              </w:rPr>
              <w:t xml:space="preserve">  FS</w:t>
            </w:r>
          </w:p>
        </w:tc>
        <w:tc>
          <w:tcPr>
            <w:tcW w:w="1135" w:type="dxa"/>
            <w:tcBorders>
              <w:top w:val="single" w:sz="8" w:space="0" w:color="auto"/>
              <w:bottom w:val="single" w:sz="8" w:space="0" w:color="auto"/>
            </w:tcBorders>
            <w:noWrap/>
            <w:vAlign w:val="bottom"/>
          </w:tcPr>
          <w:p w14:paraId="5DE431FE" w14:textId="77777777" w:rsidR="008B097D" w:rsidRDefault="00221405">
            <w:pPr>
              <w:pStyle w:val="NoSpacing"/>
              <w:spacing w:line="360" w:lineRule="auto"/>
              <w:jc w:val="both"/>
              <w:rPr>
                <w:bCs/>
                <w:color w:val="auto"/>
                <w:szCs w:val="24"/>
              </w:rPr>
            </w:pPr>
            <w:proofErr w:type="spellStart"/>
            <w:r>
              <w:rPr>
                <w:bCs/>
                <w:color w:val="auto"/>
                <w:szCs w:val="24"/>
              </w:rPr>
              <w:t>CSt</w:t>
            </w:r>
            <w:proofErr w:type="spellEnd"/>
          </w:p>
        </w:tc>
        <w:tc>
          <w:tcPr>
            <w:tcW w:w="1135" w:type="dxa"/>
            <w:tcBorders>
              <w:top w:val="single" w:sz="8" w:space="0" w:color="auto"/>
              <w:bottom w:val="single" w:sz="8" w:space="0" w:color="auto"/>
            </w:tcBorders>
            <w:noWrap/>
            <w:vAlign w:val="bottom"/>
          </w:tcPr>
          <w:p w14:paraId="165EB431" w14:textId="77777777" w:rsidR="008B097D" w:rsidRDefault="00221405">
            <w:pPr>
              <w:pStyle w:val="NoSpacing"/>
              <w:spacing w:line="360" w:lineRule="auto"/>
              <w:jc w:val="both"/>
              <w:rPr>
                <w:bCs/>
                <w:color w:val="auto"/>
                <w:szCs w:val="24"/>
              </w:rPr>
            </w:pPr>
            <w:r>
              <w:rPr>
                <w:bCs/>
                <w:color w:val="auto"/>
                <w:szCs w:val="24"/>
              </w:rPr>
              <w:t xml:space="preserve">   FS</w:t>
            </w:r>
          </w:p>
        </w:tc>
        <w:tc>
          <w:tcPr>
            <w:tcW w:w="1277" w:type="dxa"/>
            <w:tcBorders>
              <w:top w:val="single" w:sz="8" w:space="0" w:color="auto"/>
              <w:bottom w:val="single" w:sz="8" w:space="0" w:color="auto"/>
            </w:tcBorders>
            <w:noWrap/>
            <w:vAlign w:val="bottom"/>
          </w:tcPr>
          <w:p w14:paraId="4A338A40" w14:textId="77777777" w:rsidR="008B097D" w:rsidRDefault="00221405">
            <w:pPr>
              <w:pStyle w:val="NoSpacing"/>
              <w:spacing w:line="360" w:lineRule="auto"/>
              <w:jc w:val="both"/>
              <w:rPr>
                <w:bCs/>
                <w:color w:val="auto"/>
                <w:szCs w:val="24"/>
              </w:rPr>
            </w:pPr>
            <w:r>
              <w:rPr>
                <w:bCs/>
                <w:color w:val="auto"/>
                <w:szCs w:val="24"/>
              </w:rPr>
              <w:t xml:space="preserve">    MS</w:t>
            </w:r>
          </w:p>
        </w:tc>
        <w:tc>
          <w:tcPr>
            <w:tcW w:w="956" w:type="dxa"/>
            <w:tcBorders>
              <w:top w:val="single" w:sz="8" w:space="0" w:color="auto"/>
              <w:bottom w:val="single" w:sz="8" w:space="0" w:color="auto"/>
            </w:tcBorders>
            <w:noWrap/>
            <w:vAlign w:val="bottom"/>
          </w:tcPr>
          <w:p w14:paraId="364B99E9" w14:textId="77777777" w:rsidR="008B097D" w:rsidRDefault="00221405">
            <w:pPr>
              <w:pStyle w:val="NoSpacing"/>
              <w:spacing w:line="360" w:lineRule="auto"/>
              <w:jc w:val="both"/>
              <w:rPr>
                <w:bCs/>
                <w:color w:val="auto"/>
                <w:szCs w:val="24"/>
              </w:rPr>
            </w:pPr>
            <w:r>
              <w:rPr>
                <w:bCs/>
                <w:color w:val="auto"/>
                <w:szCs w:val="24"/>
              </w:rPr>
              <w:t xml:space="preserve">   CS</w:t>
            </w:r>
          </w:p>
        </w:tc>
        <w:tc>
          <w:tcPr>
            <w:tcW w:w="1043" w:type="dxa"/>
            <w:tcBorders>
              <w:top w:val="single" w:sz="8" w:space="0" w:color="auto"/>
              <w:bottom w:val="single" w:sz="8" w:space="0" w:color="auto"/>
            </w:tcBorders>
          </w:tcPr>
          <w:p w14:paraId="0D5C3F43" w14:textId="77777777" w:rsidR="008B097D" w:rsidRDefault="00221405">
            <w:pPr>
              <w:pStyle w:val="NoSpacing"/>
              <w:spacing w:line="360" w:lineRule="auto"/>
              <w:jc w:val="both"/>
              <w:rPr>
                <w:bCs/>
                <w:color w:val="auto"/>
                <w:szCs w:val="24"/>
              </w:rPr>
            </w:pPr>
            <w:proofErr w:type="spellStart"/>
            <w:r>
              <w:rPr>
                <w:bCs/>
                <w:color w:val="auto"/>
                <w:szCs w:val="24"/>
              </w:rPr>
              <w:t>TSt</w:t>
            </w:r>
            <w:proofErr w:type="spellEnd"/>
          </w:p>
        </w:tc>
        <w:tc>
          <w:tcPr>
            <w:tcW w:w="1193" w:type="dxa"/>
            <w:tcBorders>
              <w:top w:val="single" w:sz="8" w:space="0" w:color="auto"/>
              <w:bottom w:val="single" w:sz="8" w:space="0" w:color="auto"/>
            </w:tcBorders>
          </w:tcPr>
          <w:p w14:paraId="26F3A8FC" w14:textId="77777777" w:rsidR="008B097D" w:rsidRDefault="00221405">
            <w:pPr>
              <w:pStyle w:val="NoSpacing"/>
              <w:spacing w:line="360" w:lineRule="auto"/>
              <w:jc w:val="both"/>
              <w:rPr>
                <w:bCs/>
                <w:color w:val="auto"/>
                <w:szCs w:val="24"/>
              </w:rPr>
            </w:pPr>
            <w:r>
              <w:rPr>
                <w:bCs/>
                <w:color w:val="auto"/>
                <w:szCs w:val="24"/>
              </w:rPr>
              <w:t xml:space="preserve">      TS</w:t>
            </w:r>
          </w:p>
        </w:tc>
      </w:tr>
      <w:tr w:rsidR="008B097D" w14:paraId="51427FF0" w14:textId="77777777">
        <w:trPr>
          <w:trHeight w:val="354"/>
        </w:trPr>
        <w:tc>
          <w:tcPr>
            <w:tcW w:w="1207" w:type="dxa"/>
            <w:noWrap/>
            <w:vAlign w:val="bottom"/>
          </w:tcPr>
          <w:p w14:paraId="4DC2340E" w14:textId="77777777" w:rsidR="008B097D" w:rsidRDefault="00221405">
            <w:pPr>
              <w:pStyle w:val="NoSpacing"/>
              <w:spacing w:line="360" w:lineRule="auto"/>
              <w:jc w:val="both"/>
              <w:rPr>
                <w:color w:val="auto"/>
                <w:szCs w:val="24"/>
              </w:rPr>
            </w:pPr>
            <w:r>
              <w:rPr>
                <w:bCs/>
                <w:color w:val="auto"/>
                <w:szCs w:val="24"/>
              </w:rPr>
              <w:t>Référence</w:t>
            </w:r>
          </w:p>
        </w:tc>
        <w:tc>
          <w:tcPr>
            <w:tcW w:w="660" w:type="dxa"/>
            <w:noWrap/>
            <w:vAlign w:val="bottom"/>
          </w:tcPr>
          <w:p w14:paraId="2E53CDEF" w14:textId="77777777" w:rsidR="008B097D" w:rsidRDefault="00221405">
            <w:pPr>
              <w:pStyle w:val="NoSpacing"/>
              <w:spacing w:line="360" w:lineRule="auto"/>
              <w:jc w:val="both"/>
              <w:rPr>
                <w:bCs/>
                <w:color w:val="auto"/>
                <w:szCs w:val="24"/>
              </w:rPr>
            </w:pPr>
            <w:r>
              <w:rPr>
                <w:bCs/>
                <w:color w:val="auto"/>
                <w:szCs w:val="24"/>
              </w:rPr>
              <w:t>&lt; 2µ</w:t>
            </w:r>
          </w:p>
        </w:tc>
        <w:tc>
          <w:tcPr>
            <w:tcW w:w="1276" w:type="dxa"/>
            <w:noWrap/>
            <w:vAlign w:val="bottom"/>
          </w:tcPr>
          <w:p w14:paraId="60102349" w14:textId="77777777" w:rsidR="008B097D" w:rsidRDefault="00221405">
            <w:pPr>
              <w:pStyle w:val="NoSpacing"/>
              <w:spacing w:line="360" w:lineRule="auto"/>
              <w:jc w:val="both"/>
              <w:rPr>
                <w:bCs/>
                <w:color w:val="auto"/>
                <w:szCs w:val="24"/>
              </w:rPr>
            </w:pPr>
            <w:r>
              <w:rPr>
                <w:bCs/>
                <w:color w:val="auto"/>
                <w:szCs w:val="24"/>
              </w:rPr>
              <w:t>2 µ à 20µ</w:t>
            </w:r>
          </w:p>
        </w:tc>
        <w:tc>
          <w:tcPr>
            <w:tcW w:w="1135" w:type="dxa"/>
            <w:noWrap/>
            <w:vAlign w:val="bottom"/>
          </w:tcPr>
          <w:p w14:paraId="6626A313" w14:textId="77777777" w:rsidR="008B097D" w:rsidRDefault="00221405">
            <w:pPr>
              <w:pStyle w:val="NoSpacing"/>
              <w:spacing w:line="360" w:lineRule="auto"/>
              <w:jc w:val="both"/>
              <w:rPr>
                <w:bCs/>
                <w:color w:val="auto"/>
                <w:szCs w:val="24"/>
              </w:rPr>
            </w:pPr>
            <w:r>
              <w:rPr>
                <w:bCs/>
                <w:color w:val="auto"/>
                <w:szCs w:val="24"/>
              </w:rPr>
              <w:t>20 à 50µ</w:t>
            </w:r>
          </w:p>
        </w:tc>
        <w:tc>
          <w:tcPr>
            <w:tcW w:w="1135" w:type="dxa"/>
            <w:noWrap/>
            <w:vAlign w:val="bottom"/>
          </w:tcPr>
          <w:p w14:paraId="734AFDE5" w14:textId="77777777" w:rsidR="008B097D" w:rsidRDefault="00221405">
            <w:pPr>
              <w:pStyle w:val="NoSpacing"/>
              <w:spacing w:line="360" w:lineRule="auto"/>
              <w:jc w:val="both"/>
              <w:rPr>
                <w:bCs/>
                <w:color w:val="auto"/>
                <w:szCs w:val="24"/>
              </w:rPr>
            </w:pPr>
            <w:r>
              <w:rPr>
                <w:bCs/>
                <w:color w:val="auto"/>
                <w:szCs w:val="24"/>
              </w:rPr>
              <w:t>50 à 200µ</w:t>
            </w:r>
          </w:p>
        </w:tc>
        <w:tc>
          <w:tcPr>
            <w:tcW w:w="1277" w:type="dxa"/>
            <w:noWrap/>
            <w:vAlign w:val="bottom"/>
          </w:tcPr>
          <w:p w14:paraId="1EFB2CE9" w14:textId="77777777" w:rsidR="008B097D" w:rsidRDefault="00221405">
            <w:pPr>
              <w:pStyle w:val="NoSpacing"/>
              <w:spacing w:line="360" w:lineRule="auto"/>
              <w:jc w:val="both"/>
              <w:rPr>
                <w:bCs/>
                <w:color w:val="auto"/>
                <w:szCs w:val="24"/>
              </w:rPr>
            </w:pPr>
            <w:r>
              <w:rPr>
                <w:bCs/>
                <w:color w:val="auto"/>
                <w:szCs w:val="24"/>
              </w:rPr>
              <w:t>200 à 500µ</w:t>
            </w:r>
          </w:p>
        </w:tc>
        <w:tc>
          <w:tcPr>
            <w:tcW w:w="956" w:type="dxa"/>
            <w:noWrap/>
            <w:vAlign w:val="bottom"/>
          </w:tcPr>
          <w:p w14:paraId="24F69DB8" w14:textId="77777777" w:rsidR="008B097D" w:rsidRDefault="00221405">
            <w:pPr>
              <w:pStyle w:val="NoSpacing"/>
              <w:spacing w:line="360" w:lineRule="auto"/>
              <w:jc w:val="both"/>
              <w:rPr>
                <w:bCs/>
                <w:color w:val="auto"/>
                <w:szCs w:val="24"/>
              </w:rPr>
            </w:pPr>
            <w:r>
              <w:rPr>
                <w:bCs/>
                <w:color w:val="auto"/>
                <w:szCs w:val="24"/>
              </w:rPr>
              <w:t>&gt; 500µ</w:t>
            </w:r>
          </w:p>
        </w:tc>
        <w:tc>
          <w:tcPr>
            <w:tcW w:w="1043" w:type="dxa"/>
          </w:tcPr>
          <w:p w14:paraId="240D62BA" w14:textId="77777777" w:rsidR="008B097D" w:rsidRDefault="00221405">
            <w:pPr>
              <w:pStyle w:val="NoSpacing"/>
              <w:spacing w:line="360" w:lineRule="auto"/>
              <w:jc w:val="both"/>
              <w:rPr>
                <w:bCs/>
                <w:color w:val="auto"/>
                <w:szCs w:val="24"/>
              </w:rPr>
            </w:pPr>
            <w:r>
              <w:rPr>
                <w:bCs/>
                <w:color w:val="auto"/>
                <w:szCs w:val="24"/>
              </w:rPr>
              <w:t>2µ à50µ</w:t>
            </w:r>
          </w:p>
        </w:tc>
        <w:tc>
          <w:tcPr>
            <w:tcW w:w="1193" w:type="dxa"/>
          </w:tcPr>
          <w:p w14:paraId="30914CF7" w14:textId="77777777" w:rsidR="008B097D" w:rsidRDefault="00221405">
            <w:pPr>
              <w:pStyle w:val="NoSpacing"/>
              <w:spacing w:line="360" w:lineRule="auto"/>
              <w:jc w:val="both"/>
              <w:rPr>
                <w:bCs/>
                <w:color w:val="auto"/>
                <w:szCs w:val="24"/>
              </w:rPr>
            </w:pPr>
            <w:r>
              <w:rPr>
                <w:bCs/>
                <w:color w:val="auto"/>
                <w:szCs w:val="24"/>
              </w:rPr>
              <w:t xml:space="preserve"> 5à &gt;500µ</w:t>
            </w:r>
          </w:p>
        </w:tc>
      </w:tr>
      <w:tr w:rsidR="008B097D" w14:paraId="329D5A1C" w14:textId="77777777">
        <w:trPr>
          <w:trHeight w:val="316"/>
        </w:trPr>
        <w:tc>
          <w:tcPr>
            <w:tcW w:w="1207" w:type="dxa"/>
            <w:noWrap/>
            <w:vAlign w:val="center"/>
          </w:tcPr>
          <w:p w14:paraId="7F32FCB7" w14:textId="77777777" w:rsidR="008B097D" w:rsidRDefault="00221405">
            <w:pPr>
              <w:pStyle w:val="NoSpacing"/>
              <w:spacing w:line="360" w:lineRule="auto"/>
              <w:jc w:val="both"/>
              <w:rPr>
                <w:bCs/>
                <w:color w:val="auto"/>
                <w:szCs w:val="24"/>
              </w:rPr>
            </w:pPr>
            <w:proofErr w:type="spellStart"/>
            <w:r>
              <w:rPr>
                <w:bCs/>
                <w:color w:val="auto"/>
                <w:szCs w:val="24"/>
              </w:rPr>
              <w:t>Baresoil</w:t>
            </w:r>
            <w:proofErr w:type="spellEnd"/>
          </w:p>
        </w:tc>
        <w:tc>
          <w:tcPr>
            <w:tcW w:w="660" w:type="dxa"/>
            <w:noWrap/>
            <w:vAlign w:val="center"/>
          </w:tcPr>
          <w:p w14:paraId="6215F336" w14:textId="77777777" w:rsidR="008B097D" w:rsidRDefault="00221405">
            <w:pPr>
              <w:pStyle w:val="NoSpacing"/>
              <w:spacing w:line="360" w:lineRule="auto"/>
              <w:jc w:val="both"/>
              <w:rPr>
                <w:color w:val="auto"/>
                <w:szCs w:val="24"/>
              </w:rPr>
            </w:pPr>
            <w:r>
              <w:rPr>
                <w:color w:val="auto"/>
                <w:szCs w:val="24"/>
              </w:rPr>
              <w:t>8,18</w:t>
            </w:r>
          </w:p>
        </w:tc>
        <w:tc>
          <w:tcPr>
            <w:tcW w:w="1276" w:type="dxa"/>
            <w:noWrap/>
            <w:vAlign w:val="center"/>
          </w:tcPr>
          <w:p w14:paraId="7F204CD5" w14:textId="77777777" w:rsidR="008B097D" w:rsidRDefault="00221405">
            <w:pPr>
              <w:pStyle w:val="NoSpacing"/>
              <w:spacing w:line="360" w:lineRule="auto"/>
              <w:jc w:val="both"/>
              <w:rPr>
                <w:color w:val="auto"/>
                <w:szCs w:val="24"/>
              </w:rPr>
            </w:pPr>
            <w:r>
              <w:rPr>
                <w:color w:val="auto"/>
                <w:szCs w:val="24"/>
              </w:rPr>
              <w:t>12,64</w:t>
            </w:r>
          </w:p>
        </w:tc>
        <w:tc>
          <w:tcPr>
            <w:tcW w:w="1135" w:type="dxa"/>
            <w:noWrap/>
            <w:vAlign w:val="center"/>
          </w:tcPr>
          <w:p w14:paraId="15308F01" w14:textId="77777777" w:rsidR="008B097D" w:rsidRDefault="00221405">
            <w:pPr>
              <w:pStyle w:val="NoSpacing"/>
              <w:spacing w:line="360" w:lineRule="auto"/>
              <w:jc w:val="both"/>
              <w:rPr>
                <w:color w:val="auto"/>
                <w:szCs w:val="24"/>
              </w:rPr>
            </w:pPr>
            <w:r>
              <w:rPr>
                <w:color w:val="auto"/>
                <w:szCs w:val="24"/>
              </w:rPr>
              <w:t>17,75</w:t>
            </w:r>
          </w:p>
        </w:tc>
        <w:tc>
          <w:tcPr>
            <w:tcW w:w="1135" w:type="dxa"/>
            <w:noWrap/>
            <w:vAlign w:val="center"/>
          </w:tcPr>
          <w:p w14:paraId="02EAC427" w14:textId="77777777" w:rsidR="008B097D" w:rsidRDefault="00221405">
            <w:pPr>
              <w:pStyle w:val="NoSpacing"/>
              <w:spacing w:line="360" w:lineRule="auto"/>
              <w:jc w:val="both"/>
              <w:rPr>
                <w:color w:val="auto"/>
                <w:szCs w:val="24"/>
              </w:rPr>
            </w:pPr>
            <w:r>
              <w:rPr>
                <w:color w:val="auto"/>
                <w:szCs w:val="24"/>
              </w:rPr>
              <w:t>29,97</w:t>
            </w:r>
          </w:p>
        </w:tc>
        <w:tc>
          <w:tcPr>
            <w:tcW w:w="1277" w:type="dxa"/>
            <w:noWrap/>
            <w:vAlign w:val="center"/>
          </w:tcPr>
          <w:p w14:paraId="0373B4C8" w14:textId="77777777" w:rsidR="008B097D" w:rsidRDefault="00221405">
            <w:pPr>
              <w:pStyle w:val="NoSpacing"/>
              <w:spacing w:line="360" w:lineRule="auto"/>
              <w:jc w:val="both"/>
              <w:rPr>
                <w:color w:val="auto"/>
                <w:szCs w:val="24"/>
              </w:rPr>
            </w:pPr>
            <w:r>
              <w:rPr>
                <w:color w:val="auto"/>
                <w:szCs w:val="24"/>
              </w:rPr>
              <w:t>23,83</w:t>
            </w:r>
          </w:p>
        </w:tc>
        <w:tc>
          <w:tcPr>
            <w:tcW w:w="956" w:type="dxa"/>
            <w:noWrap/>
            <w:vAlign w:val="center"/>
          </w:tcPr>
          <w:p w14:paraId="08EB215F" w14:textId="77777777" w:rsidR="008B097D" w:rsidRDefault="00221405">
            <w:pPr>
              <w:pStyle w:val="NoSpacing"/>
              <w:spacing w:line="360" w:lineRule="auto"/>
              <w:jc w:val="both"/>
              <w:rPr>
                <w:color w:val="auto"/>
                <w:szCs w:val="24"/>
              </w:rPr>
            </w:pPr>
            <w:r>
              <w:rPr>
                <w:color w:val="auto"/>
                <w:szCs w:val="24"/>
              </w:rPr>
              <w:t>7,63</w:t>
            </w:r>
          </w:p>
        </w:tc>
        <w:tc>
          <w:tcPr>
            <w:tcW w:w="1043" w:type="dxa"/>
            <w:vAlign w:val="center"/>
          </w:tcPr>
          <w:p w14:paraId="3F6BF346" w14:textId="77777777" w:rsidR="008B097D" w:rsidRDefault="00221405">
            <w:pPr>
              <w:pStyle w:val="NoSpacing"/>
              <w:spacing w:line="360" w:lineRule="auto"/>
              <w:jc w:val="both"/>
              <w:rPr>
                <w:color w:val="auto"/>
                <w:szCs w:val="24"/>
              </w:rPr>
            </w:pPr>
            <w:r>
              <w:rPr>
                <w:color w:val="auto"/>
                <w:szCs w:val="24"/>
              </w:rPr>
              <w:t>30, 39</w:t>
            </w:r>
          </w:p>
        </w:tc>
        <w:tc>
          <w:tcPr>
            <w:tcW w:w="1193" w:type="dxa"/>
            <w:vAlign w:val="center"/>
          </w:tcPr>
          <w:p w14:paraId="2B6090BD" w14:textId="77777777" w:rsidR="008B097D" w:rsidRDefault="00221405">
            <w:pPr>
              <w:pStyle w:val="NoSpacing"/>
              <w:spacing w:line="360" w:lineRule="auto"/>
              <w:jc w:val="both"/>
              <w:rPr>
                <w:color w:val="auto"/>
                <w:szCs w:val="24"/>
              </w:rPr>
            </w:pPr>
            <w:r>
              <w:rPr>
                <w:color w:val="auto"/>
                <w:szCs w:val="24"/>
              </w:rPr>
              <w:t>61,43</w:t>
            </w:r>
          </w:p>
        </w:tc>
      </w:tr>
      <w:tr w:rsidR="008B097D" w14:paraId="3F584585" w14:textId="77777777">
        <w:trPr>
          <w:trHeight w:val="316"/>
        </w:trPr>
        <w:tc>
          <w:tcPr>
            <w:tcW w:w="1207" w:type="dxa"/>
            <w:tcBorders>
              <w:bottom w:val="single" w:sz="8" w:space="0" w:color="auto"/>
            </w:tcBorders>
            <w:noWrap/>
            <w:vAlign w:val="center"/>
          </w:tcPr>
          <w:p w14:paraId="5996A788" w14:textId="77777777" w:rsidR="008B097D" w:rsidRDefault="00221405">
            <w:pPr>
              <w:pStyle w:val="NoSpacing"/>
              <w:spacing w:line="360" w:lineRule="auto"/>
              <w:jc w:val="both"/>
              <w:rPr>
                <w:bCs/>
                <w:i/>
                <w:iCs/>
                <w:color w:val="auto"/>
                <w:szCs w:val="24"/>
              </w:rPr>
            </w:pPr>
            <w:proofErr w:type="spellStart"/>
            <w:r>
              <w:rPr>
                <w:bCs/>
                <w:i/>
                <w:iCs/>
                <w:color w:val="auto"/>
                <w:szCs w:val="24"/>
              </w:rPr>
              <w:t>Leptadenia</w:t>
            </w:r>
            <w:r>
              <w:rPr>
                <w:bCs/>
                <w:color w:val="auto"/>
                <w:szCs w:val="24"/>
              </w:rPr>
              <w:t>Soil</w:t>
            </w:r>
            <w:proofErr w:type="spellEnd"/>
          </w:p>
        </w:tc>
        <w:tc>
          <w:tcPr>
            <w:tcW w:w="660" w:type="dxa"/>
            <w:tcBorders>
              <w:bottom w:val="single" w:sz="8" w:space="0" w:color="auto"/>
            </w:tcBorders>
            <w:noWrap/>
            <w:vAlign w:val="center"/>
          </w:tcPr>
          <w:p w14:paraId="03A5F190" w14:textId="77777777" w:rsidR="008B097D" w:rsidRDefault="00221405">
            <w:pPr>
              <w:pStyle w:val="NoSpacing"/>
              <w:spacing w:line="360" w:lineRule="auto"/>
              <w:jc w:val="both"/>
              <w:rPr>
                <w:color w:val="auto"/>
                <w:szCs w:val="24"/>
              </w:rPr>
            </w:pPr>
            <w:r>
              <w:rPr>
                <w:color w:val="auto"/>
                <w:szCs w:val="24"/>
              </w:rPr>
              <w:t>9,60</w:t>
            </w:r>
          </w:p>
        </w:tc>
        <w:tc>
          <w:tcPr>
            <w:tcW w:w="1276" w:type="dxa"/>
            <w:tcBorders>
              <w:bottom w:val="single" w:sz="8" w:space="0" w:color="auto"/>
            </w:tcBorders>
            <w:noWrap/>
            <w:vAlign w:val="center"/>
          </w:tcPr>
          <w:p w14:paraId="1030DD09" w14:textId="77777777" w:rsidR="008B097D" w:rsidRDefault="00221405">
            <w:pPr>
              <w:pStyle w:val="NoSpacing"/>
              <w:spacing w:line="360" w:lineRule="auto"/>
              <w:jc w:val="both"/>
              <w:rPr>
                <w:color w:val="auto"/>
                <w:szCs w:val="24"/>
              </w:rPr>
            </w:pPr>
            <w:r>
              <w:rPr>
                <w:color w:val="auto"/>
                <w:szCs w:val="24"/>
              </w:rPr>
              <w:t>8,09</w:t>
            </w:r>
          </w:p>
        </w:tc>
        <w:tc>
          <w:tcPr>
            <w:tcW w:w="1135" w:type="dxa"/>
            <w:tcBorders>
              <w:bottom w:val="single" w:sz="8" w:space="0" w:color="auto"/>
            </w:tcBorders>
            <w:noWrap/>
            <w:vAlign w:val="center"/>
          </w:tcPr>
          <w:p w14:paraId="3D9C4CD4" w14:textId="77777777" w:rsidR="008B097D" w:rsidRDefault="00221405">
            <w:pPr>
              <w:pStyle w:val="NoSpacing"/>
              <w:spacing w:line="360" w:lineRule="auto"/>
              <w:jc w:val="both"/>
              <w:rPr>
                <w:color w:val="auto"/>
                <w:szCs w:val="24"/>
              </w:rPr>
            </w:pPr>
            <w:r>
              <w:rPr>
                <w:color w:val="auto"/>
                <w:szCs w:val="24"/>
              </w:rPr>
              <w:t>19,60</w:t>
            </w:r>
          </w:p>
        </w:tc>
        <w:tc>
          <w:tcPr>
            <w:tcW w:w="1135" w:type="dxa"/>
            <w:tcBorders>
              <w:bottom w:val="single" w:sz="8" w:space="0" w:color="auto"/>
            </w:tcBorders>
            <w:noWrap/>
            <w:vAlign w:val="center"/>
          </w:tcPr>
          <w:p w14:paraId="303C4173" w14:textId="77777777" w:rsidR="008B097D" w:rsidRDefault="00221405">
            <w:pPr>
              <w:pStyle w:val="NoSpacing"/>
              <w:spacing w:line="360" w:lineRule="auto"/>
              <w:jc w:val="both"/>
              <w:rPr>
                <w:color w:val="auto"/>
                <w:szCs w:val="24"/>
              </w:rPr>
            </w:pPr>
            <w:r>
              <w:rPr>
                <w:color w:val="auto"/>
                <w:szCs w:val="24"/>
              </w:rPr>
              <w:t>33,19</w:t>
            </w:r>
          </w:p>
        </w:tc>
        <w:tc>
          <w:tcPr>
            <w:tcW w:w="1277" w:type="dxa"/>
            <w:tcBorders>
              <w:bottom w:val="single" w:sz="8" w:space="0" w:color="auto"/>
            </w:tcBorders>
            <w:noWrap/>
            <w:vAlign w:val="center"/>
          </w:tcPr>
          <w:p w14:paraId="12A7A9DA" w14:textId="77777777" w:rsidR="008B097D" w:rsidRDefault="00221405">
            <w:pPr>
              <w:pStyle w:val="NoSpacing"/>
              <w:spacing w:line="360" w:lineRule="auto"/>
              <w:jc w:val="both"/>
              <w:rPr>
                <w:color w:val="auto"/>
                <w:szCs w:val="24"/>
              </w:rPr>
            </w:pPr>
            <w:r>
              <w:rPr>
                <w:color w:val="auto"/>
                <w:szCs w:val="24"/>
              </w:rPr>
              <w:t>22,75</w:t>
            </w:r>
          </w:p>
        </w:tc>
        <w:tc>
          <w:tcPr>
            <w:tcW w:w="956" w:type="dxa"/>
            <w:tcBorders>
              <w:bottom w:val="single" w:sz="8" w:space="0" w:color="auto"/>
            </w:tcBorders>
            <w:noWrap/>
            <w:vAlign w:val="center"/>
          </w:tcPr>
          <w:p w14:paraId="452BD834" w14:textId="77777777" w:rsidR="008B097D" w:rsidRDefault="00221405">
            <w:pPr>
              <w:pStyle w:val="NoSpacing"/>
              <w:spacing w:line="360" w:lineRule="auto"/>
              <w:jc w:val="both"/>
              <w:rPr>
                <w:color w:val="auto"/>
                <w:szCs w:val="24"/>
              </w:rPr>
            </w:pPr>
            <w:r>
              <w:rPr>
                <w:color w:val="auto"/>
                <w:szCs w:val="24"/>
              </w:rPr>
              <w:t>6,76</w:t>
            </w:r>
          </w:p>
        </w:tc>
        <w:tc>
          <w:tcPr>
            <w:tcW w:w="1043" w:type="dxa"/>
            <w:tcBorders>
              <w:bottom w:val="single" w:sz="8" w:space="0" w:color="auto"/>
            </w:tcBorders>
            <w:vAlign w:val="center"/>
          </w:tcPr>
          <w:p w14:paraId="3E120BB9" w14:textId="77777777" w:rsidR="008B097D" w:rsidRDefault="00221405">
            <w:pPr>
              <w:pStyle w:val="NoSpacing"/>
              <w:spacing w:line="360" w:lineRule="auto"/>
              <w:jc w:val="both"/>
              <w:rPr>
                <w:color w:val="auto"/>
                <w:szCs w:val="24"/>
              </w:rPr>
            </w:pPr>
            <w:r>
              <w:rPr>
                <w:color w:val="auto"/>
                <w:szCs w:val="24"/>
              </w:rPr>
              <w:t>27,69</w:t>
            </w:r>
          </w:p>
        </w:tc>
        <w:tc>
          <w:tcPr>
            <w:tcW w:w="1193" w:type="dxa"/>
            <w:tcBorders>
              <w:bottom w:val="single" w:sz="8" w:space="0" w:color="auto"/>
            </w:tcBorders>
            <w:vAlign w:val="center"/>
          </w:tcPr>
          <w:p w14:paraId="555880F6" w14:textId="77777777" w:rsidR="008B097D" w:rsidRDefault="00221405">
            <w:pPr>
              <w:pStyle w:val="NoSpacing"/>
              <w:spacing w:line="360" w:lineRule="auto"/>
              <w:jc w:val="both"/>
              <w:rPr>
                <w:color w:val="auto"/>
                <w:szCs w:val="24"/>
              </w:rPr>
            </w:pPr>
            <w:r>
              <w:rPr>
                <w:color w:val="auto"/>
                <w:szCs w:val="24"/>
              </w:rPr>
              <w:t>62,7</w:t>
            </w:r>
          </w:p>
        </w:tc>
      </w:tr>
    </w:tbl>
    <w:p w14:paraId="386FC53A" w14:textId="77777777" w:rsidR="008B097D" w:rsidRDefault="00221405">
      <w:pPr>
        <w:spacing w:after="223" w:line="360" w:lineRule="auto"/>
        <w:ind w:left="0" w:firstLine="0"/>
        <w:jc w:val="both"/>
        <w:rPr>
          <w:i/>
          <w:iCs/>
          <w:color w:val="auto"/>
          <w:szCs w:val="24"/>
          <w:lang w:val="en-US"/>
        </w:rPr>
      </w:pPr>
      <w:r>
        <w:rPr>
          <w:i/>
          <w:iCs/>
          <w:color w:val="auto"/>
          <w:szCs w:val="24"/>
          <w:lang w:val="en-US"/>
        </w:rPr>
        <w:t xml:space="preserve">C: Clay, </w:t>
      </w:r>
      <w:proofErr w:type="spellStart"/>
      <w:r>
        <w:rPr>
          <w:i/>
          <w:iCs/>
          <w:color w:val="auto"/>
          <w:szCs w:val="24"/>
          <w:lang w:val="en-US"/>
        </w:rPr>
        <w:t>FSt</w:t>
      </w:r>
      <w:proofErr w:type="spellEnd"/>
      <w:r>
        <w:rPr>
          <w:i/>
          <w:iCs/>
          <w:color w:val="auto"/>
          <w:szCs w:val="24"/>
          <w:lang w:val="en-US"/>
        </w:rPr>
        <w:t xml:space="preserve">: Fine Silt, </w:t>
      </w:r>
      <w:proofErr w:type="spellStart"/>
      <w:r>
        <w:rPr>
          <w:i/>
          <w:iCs/>
          <w:color w:val="auto"/>
          <w:szCs w:val="24"/>
          <w:lang w:val="en-US"/>
        </w:rPr>
        <w:t>CSt</w:t>
      </w:r>
      <w:proofErr w:type="spellEnd"/>
      <w:r>
        <w:rPr>
          <w:i/>
          <w:iCs/>
          <w:color w:val="auto"/>
          <w:szCs w:val="24"/>
          <w:lang w:val="en-US"/>
        </w:rPr>
        <w:t xml:space="preserve">: Coarse Silt, FS: Fine Sand, MS: Medium Sand, CS: Coarse Sand, </w:t>
      </w:r>
      <w:proofErr w:type="spellStart"/>
      <w:r>
        <w:rPr>
          <w:i/>
          <w:iCs/>
          <w:color w:val="auto"/>
          <w:szCs w:val="24"/>
          <w:lang w:val="en-US"/>
        </w:rPr>
        <w:t>TSt</w:t>
      </w:r>
      <w:proofErr w:type="spellEnd"/>
      <w:r>
        <w:rPr>
          <w:i/>
          <w:iCs/>
          <w:color w:val="auto"/>
          <w:szCs w:val="24"/>
          <w:lang w:val="en-US"/>
        </w:rPr>
        <w:t xml:space="preserve">: Total Silt, TS: Total Sand  </w:t>
      </w:r>
    </w:p>
    <w:p w14:paraId="32EE079B"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3.1.2. Chemical Characteristics of the Soils from the </w:t>
      </w:r>
      <w:proofErr w:type="spellStart"/>
      <w:r>
        <w:rPr>
          <w:b/>
          <w:bCs/>
          <w:color w:val="auto"/>
          <w:szCs w:val="24"/>
          <w:lang w:val="en-US"/>
        </w:rPr>
        <w:t>Satara</w:t>
      </w:r>
      <w:proofErr w:type="spellEnd"/>
      <w:r>
        <w:rPr>
          <w:b/>
          <w:bCs/>
          <w:color w:val="auto"/>
          <w:szCs w:val="24"/>
          <w:lang w:val="en-US"/>
        </w:rPr>
        <w:t xml:space="preserve"> Site</w:t>
      </w:r>
    </w:p>
    <w:p w14:paraId="70A68E5C"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chemical analyses of the soils are presented in Table 2. These soils exhibit an acidic pH (4.8 ± 0.02 for the soil under </w:t>
      </w:r>
      <w:proofErr w:type="spellStart"/>
      <w:r>
        <w:rPr>
          <w:i/>
          <w:iCs/>
          <w:color w:val="auto"/>
          <w:szCs w:val="24"/>
          <w:lang w:val="en-US"/>
        </w:rPr>
        <w:t>Leptadenia</w:t>
      </w:r>
      <w:proofErr w:type="spellEnd"/>
      <w:r>
        <w:rPr>
          <w:color w:val="auto"/>
          <w:szCs w:val="24"/>
          <w:lang w:val="en-US"/>
        </w:rPr>
        <w:t xml:space="preserve"> and 4.2 ± 0.02 for the bare soil) and an electrical conductivity ranging from 30.50 </w:t>
      </w:r>
      <w:r>
        <w:rPr>
          <w:color w:val="auto"/>
          <w:szCs w:val="24"/>
        </w:rPr>
        <w:t>μ</w:t>
      </w:r>
      <w:r>
        <w:rPr>
          <w:color w:val="auto"/>
          <w:szCs w:val="24"/>
          <w:lang w:val="en-US"/>
        </w:rPr>
        <w:t xml:space="preserve">S/cm to 32.50 </w:t>
      </w:r>
      <w:r>
        <w:rPr>
          <w:color w:val="auto"/>
          <w:szCs w:val="24"/>
        </w:rPr>
        <w:t>μ</w:t>
      </w:r>
      <w:r>
        <w:rPr>
          <w:color w:val="auto"/>
          <w:szCs w:val="24"/>
          <w:lang w:val="en-US"/>
        </w:rPr>
        <w:t xml:space="preserve">S/cm. They are very poor in organic carbon, with values of 0.18% for the soil under </w:t>
      </w:r>
      <w:proofErr w:type="spellStart"/>
      <w:r>
        <w:rPr>
          <w:i/>
          <w:iCs/>
          <w:color w:val="auto"/>
          <w:szCs w:val="24"/>
          <w:lang w:val="en-US"/>
        </w:rPr>
        <w:t>Leptadenia</w:t>
      </w:r>
      <w:proofErr w:type="spellEnd"/>
      <w:r>
        <w:rPr>
          <w:color w:val="auto"/>
          <w:szCs w:val="24"/>
          <w:lang w:val="en-US"/>
        </w:rPr>
        <w:t xml:space="preserve"> and 0.14% for the bare soil.</w:t>
      </w:r>
    </w:p>
    <w:p w14:paraId="40B06372" w14:textId="77777777" w:rsidR="008B097D" w:rsidRDefault="00221405">
      <w:pPr>
        <w:spacing w:after="223" w:line="360" w:lineRule="auto"/>
        <w:ind w:left="0" w:firstLine="0"/>
        <w:jc w:val="both"/>
        <w:rPr>
          <w:color w:val="auto"/>
          <w:szCs w:val="24"/>
          <w:lang w:val="en-US"/>
        </w:rPr>
      </w:pPr>
      <w:r>
        <w:rPr>
          <w:color w:val="auto"/>
          <w:szCs w:val="24"/>
          <w:lang w:val="en-US"/>
        </w:rPr>
        <w:t xml:space="preserve">The nitrogen content is 0.01% and 0.02% for the bare soil and the soil under </w:t>
      </w:r>
      <w:proofErr w:type="spellStart"/>
      <w:r>
        <w:rPr>
          <w:i/>
          <w:iCs/>
          <w:color w:val="auto"/>
          <w:szCs w:val="24"/>
          <w:lang w:val="en-US"/>
        </w:rPr>
        <w:t>Leptadenia</w:t>
      </w:r>
      <w:proofErr w:type="spellEnd"/>
      <w:r>
        <w:rPr>
          <w:color w:val="auto"/>
          <w:szCs w:val="24"/>
          <w:lang w:val="en-US"/>
        </w:rPr>
        <w:t xml:space="preserve">, respectively, while the C/N ratios of 11.05 and 10.20 indicate a highly mineralized organic matter. The sulfur content is also higher in the soil under </w:t>
      </w:r>
      <w:proofErr w:type="spellStart"/>
      <w:r>
        <w:rPr>
          <w:i/>
          <w:iCs/>
          <w:color w:val="auto"/>
          <w:szCs w:val="24"/>
          <w:lang w:val="en-US"/>
        </w:rPr>
        <w:t>Leptadenia</w:t>
      </w:r>
      <w:proofErr w:type="spellEnd"/>
      <w:r>
        <w:rPr>
          <w:color w:val="auto"/>
          <w:szCs w:val="24"/>
          <w:lang w:val="en-US"/>
        </w:rPr>
        <w:t xml:space="preserve"> (9.54 </w:t>
      </w:r>
      <w:proofErr w:type="spellStart"/>
      <w:r>
        <w:rPr>
          <w:color w:val="auto"/>
          <w:szCs w:val="24"/>
          <w:lang w:val="en-US"/>
        </w:rPr>
        <w:t>meq</w:t>
      </w:r>
      <w:proofErr w:type="spellEnd"/>
      <w:r>
        <w:rPr>
          <w:color w:val="auto"/>
          <w:szCs w:val="24"/>
          <w:lang w:val="en-US"/>
        </w:rPr>
        <w:t xml:space="preserve">/100 g) compared to the bare soil (8.10 </w:t>
      </w:r>
      <w:proofErr w:type="spellStart"/>
      <w:r>
        <w:rPr>
          <w:color w:val="auto"/>
          <w:szCs w:val="24"/>
          <w:lang w:val="en-US"/>
        </w:rPr>
        <w:t>meq</w:t>
      </w:r>
      <w:proofErr w:type="spellEnd"/>
      <w:r>
        <w:rPr>
          <w:color w:val="auto"/>
          <w:szCs w:val="24"/>
          <w:lang w:val="en-US"/>
        </w:rPr>
        <w:t>/100 g).</w:t>
      </w:r>
    </w:p>
    <w:p w14:paraId="49E3E85A" w14:textId="77777777" w:rsidR="008B097D" w:rsidRDefault="00221405">
      <w:pPr>
        <w:spacing w:after="223" w:line="360" w:lineRule="auto"/>
        <w:ind w:left="0" w:firstLine="0"/>
        <w:jc w:val="both"/>
        <w:rPr>
          <w:color w:val="auto"/>
          <w:szCs w:val="24"/>
          <w:lang w:val="en-US"/>
        </w:rPr>
      </w:pPr>
      <w:r>
        <w:rPr>
          <w:color w:val="auto"/>
          <w:szCs w:val="24"/>
          <w:lang w:val="en-US"/>
        </w:rPr>
        <w:t xml:space="preserve">The available phosphorus content is generally low, although slightly higher in the soil under </w:t>
      </w:r>
      <w:proofErr w:type="spellStart"/>
      <w:r>
        <w:rPr>
          <w:color w:val="auto"/>
          <w:szCs w:val="24"/>
          <w:lang w:val="en-US"/>
        </w:rPr>
        <w:t>Leptadenia</w:t>
      </w:r>
      <w:proofErr w:type="spellEnd"/>
      <w:r>
        <w:rPr>
          <w:color w:val="auto"/>
          <w:szCs w:val="24"/>
          <w:lang w:val="en-US"/>
        </w:rPr>
        <w:t xml:space="preserve">. The </w:t>
      </w:r>
      <w:bookmarkStart w:id="1" w:name="_Hlk214607146"/>
      <w:r>
        <w:rPr>
          <w:color w:val="auto"/>
          <w:szCs w:val="24"/>
          <w:lang w:val="en-US"/>
        </w:rPr>
        <w:t xml:space="preserve">cation exchange capacity </w:t>
      </w:r>
      <w:bookmarkEnd w:id="1"/>
      <w:r>
        <w:rPr>
          <w:color w:val="auto"/>
          <w:szCs w:val="24"/>
          <w:lang w:val="en-US"/>
        </w:rPr>
        <w:t xml:space="preserve">(CEC) is low in both soils, with values around 11.25 and 11.75 </w:t>
      </w:r>
      <w:proofErr w:type="spellStart"/>
      <w:r>
        <w:rPr>
          <w:color w:val="auto"/>
          <w:szCs w:val="24"/>
          <w:lang w:val="en-US"/>
        </w:rPr>
        <w:t>meq</w:t>
      </w:r>
      <w:proofErr w:type="spellEnd"/>
      <w:r>
        <w:rPr>
          <w:color w:val="auto"/>
          <w:szCs w:val="24"/>
          <w:lang w:val="en-US"/>
        </w:rPr>
        <w:t>/100 g.</w:t>
      </w:r>
    </w:p>
    <w:p w14:paraId="475599AA" w14:textId="77777777" w:rsidR="008B097D" w:rsidRDefault="00221405">
      <w:pPr>
        <w:spacing w:after="223" w:line="360" w:lineRule="auto"/>
        <w:ind w:left="0" w:firstLine="0"/>
        <w:jc w:val="both"/>
        <w:rPr>
          <w:color w:val="auto"/>
          <w:szCs w:val="24"/>
          <w:lang w:val="en-US"/>
        </w:rPr>
      </w:pPr>
      <w:r>
        <w:rPr>
          <w:color w:val="auto"/>
          <w:szCs w:val="24"/>
          <w:lang w:val="en-US"/>
        </w:rPr>
        <w:t xml:space="preserve">The exchangeable bases, mainly dominated by calcium, magnesium, and potassium, are more abundant in the soil under </w:t>
      </w:r>
      <w:proofErr w:type="spellStart"/>
      <w:r>
        <w:rPr>
          <w:color w:val="auto"/>
          <w:szCs w:val="24"/>
          <w:lang w:val="en-US"/>
        </w:rPr>
        <w:t>Leptadenia</w:t>
      </w:r>
      <w:proofErr w:type="spellEnd"/>
      <w:r>
        <w:rPr>
          <w:color w:val="auto"/>
          <w:szCs w:val="24"/>
          <w:lang w:val="en-US"/>
        </w:rPr>
        <w:t xml:space="preserve"> than in the bare soil. Finally, the base saturation rate is higher in the soil under </w:t>
      </w:r>
      <w:proofErr w:type="spellStart"/>
      <w:r>
        <w:rPr>
          <w:color w:val="auto"/>
          <w:szCs w:val="24"/>
          <w:lang w:val="en-US"/>
        </w:rPr>
        <w:t>Leptadenia</w:t>
      </w:r>
      <w:proofErr w:type="spellEnd"/>
      <w:r>
        <w:rPr>
          <w:color w:val="auto"/>
          <w:szCs w:val="24"/>
          <w:lang w:val="en-US"/>
        </w:rPr>
        <w:t xml:space="preserve"> (0.82) than in the bare soil (0.72).</w:t>
      </w:r>
    </w:p>
    <w:p w14:paraId="39F4E7D9"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2: Chemical parameters of </w:t>
      </w:r>
      <w:proofErr w:type="spellStart"/>
      <w:r>
        <w:rPr>
          <w:i/>
          <w:iCs/>
          <w:color w:val="auto"/>
          <w:szCs w:val="24"/>
          <w:lang w:val="en-US"/>
        </w:rPr>
        <w:t>Leptadeniahastata</w:t>
      </w:r>
      <w:proofErr w:type="spellEnd"/>
      <w:r>
        <w:rPr>
          <w:color w:val="auto"/>
          <w:szCs w:val="24"/>
          <w:lang w:val="en-US"/>
        </w:rPr>
        <w:t xml:space="preserve"> soils from the </w:t>
      </w:r>
      <w:proofErr w:type="spellStart"/>
      <w:r>
        <w:rPr>
          <w:color w:val="auto"/>
          <w:szCs w:val="24"/>
          <w:lang w:val="en-US"/>
        </w:rPr>
        <w:t>Satara</w:t>
      </w:r>
      <w:proofErr w:type="spellEnd"/>
      <w:r>
        <w:rPr>
          <w:color w:val="auto"/>
          <w:szCs w:val="24"/>
          <w:lang w:val="en-US"/>
        </w:rPr>
        <w:t xml:space="preserve"> site. </w:t>
      </w:r>
    </w:p>
    <w:tbl>
      <w:tblPr>
        <w:tblStyle w:val="Grilledutableau5"/>
        <w:tblW w:w="5000" w:type="pct"/>
        <w:tblLook w:val="04A0" w:firstRow="1" w:lastRow="0" w:firstColumn="1" w:lastColumn="0" w:noHBand="0" w:noVBand="1"/>
      </w:tblPr>
      <w:tblGrid>
        <w:gridCol w:w="988"/>
        <w:gridCol w:w="583"/>
        <w:gridCol w:w="619"/>
        <w:gridCol w:w="583"/>
        <w:gridCol w:w="583"/>
        <w:gridCol w:w="584"/>
        <w:gridCol w:w="584"/>
        <w:gridCol w:w="496"/>
        <w:gridCol w:w="576"/>
        <w:gridCol w:w="584"/>
        <w:gridCol w:w="584"/>
        <w:gridCol w:w="584"/>
        <w:gridCol w:w="584"/>
        <w:gridCol w:w="584"/>
        <w:gridCol w:w="610"/>
        <w:gridCol w:w="496"/>
      </w:tblGrid>
      <w:tr w:rsidR="008B097D" w14:paraId="34AD343A" w14:textId="77777777" w:rsidTr="005A2C95">
        <w:trPr>
          <w:trHeight w:val="1119"/>
        </w:trPr>
        <w:tc>
          <w:tcPr>
            <w:tcW w:w="502" w:type="pct"/>
          </w:tcPr>
          <w:p w14:paraId="036F488D" w14:textId="77777777" w:rsidR="008B097D" w:rsidRDefault="00221405">
            <w:pPr>
              <w:spacing w:after="160" w:line="259" w:lineRule="auto"/>
              <w:ind w:left="0" w:firstLine="0"/>
              <w:rPr>
                <w:rFonts w:eastAsia="Calibri"/>
                <w:color w:val="auto"/>
                <w:sz w:val="20"/>
                <w:szCs w:val="20"/>
                <w:lang w:val="zh-CN" w:eastAsia="en-US"/>
              </w:rPr>
            </w:pPr>
            <w:r>
              <w:rPr>
                <w:rFonts w:eastAsia="Calibri"/>
                <w:color w:val="auto"/>
                <w:sz w:val="20"/>
                <w:szCs w:val="20"/>
                <w:lang w:val="en-US" w:eastAsia="en-US"/>
              </w:rPr>
              <w:lastRenderedPageBreak/>
              <w:t> </w:t>
            </w:r>
          </w:p>
        </w:tc>
        <w:tc>
          <w:tcPr>
            <w:tcW w:w="300" w:type="pct"/>
          </w:tcPr>
          <w:p w14:paraId="5F3EFF18"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pH </w:t>
            </w:r>
          </w:p>
        </w:tc>
        <w:tc>
          <w:tcPr>
            <w:tcW w:w="329" w:type="pct"/>
          </w:tcPr>
          <w:p w14:paraId="0ECD2C90"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EC 1/5</w:t>
            </w:r>
          </w:p>
        </w:tc>
        <w:tc>
          <w:tcPr>
            <w:tcW w:w="301" w:type="pct"/>
          </w:tcPr>
          <w:p w14:paraId="703358EA"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TP </w:t>
            </w:r>
          </w:p>
        </w:tc>
        <w:tc>
          <w:tcPr>
            <w:tcW w:w="300" w:type="pct"/>
          </w:tcPr>
          <w:p w14:paraId="7CE7099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Avl P</w:t>
            </w:r>
          </w:p>
        </w:tc>
        <w:tc>
          <w:tcPr>
            <w:tcW w:w="301" w:type="pct"/>
          </w:tcPr>
          <w:p w14:paraId="46678DA4"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w:t>
            </w:r>
          </w:p>
        </w:tc>
        <w:tc>
          <w:tcPr>
            <w:tcW w:w="301" w:type="pct"/>
          </w:tcPr>
          <w:p w14:paraId="0DB1B7CE"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OM</w:t>
            </w:r>
          </w:p>
        </w:tc>
        <w:tc>
          <w:tcPr>
            <w:tcW w:w="300" w:type="pct"/>
          </w:tcPr>
          <w:p w14:paraId="75E50A89"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N</w:t>
            </w:r>
          </w:p>
        </w:tc>
        <w:tc>
          <w:tcPr>
            <w:tcW w:w="301" w:type="pct"/>
          </w:tcPr>
          <w:p w14:paraId="6ED22C84"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C/N</w:t>
            </w:r>
          </w:p>
        </w:tc>
        <w:tc>
          <w:tcPr>
            <w:tcW w:w="301" w:type="pct"/>
          </w:tcPr>
          <w:p w14:paraId="1002C2CF" w14:textId="77777777" w:rsidR="008B097D" w:rsidRDefault="00221405">
            <w:pPr>
              <w:spacing w:after="0" w:line="240" w:lineRule="auto"/>
              <w:ind w:left="0" w:firstLine="0"/>
              <w:rPr>
                <w:rFonts w:eastAsia="Calibri"/>
                <w:b/>
                <w:bCs/>
                <w:color w:val="auto"/>
                <w:sz w:val="20"/>
                <w:szCs w:val="20"/>
                <w:lang w:val="zh-CN" w:eastAsia="en-US"/>
              </w:rPr>
            </w:pPr>
            <w:bookmarkStart w:id="2" w:name="_Hlk214606613"/>
            <w:r>
              <w:rPr>
                <w:rFonts w:eastAsia="Calibri"/>
                <w:b/>
                <w:bCs/>
                <w:color w:val="auto"/>
                <w:sz w:val="20"/>
                <w:szCs w:val="20"/>
                <w:lang w:val="zh-CN" w:eastAsia="en-US"/>
              </w:rPr>
              <w:t>Ca</w:t>
            </w:r>
            <w:r>
              <w:rPr>
                <w:rFonts w:eastAsia="Calibri"/>
                <w:b/>
                <w:bCs/>
                <w:color w:val="auto"/>
                <w:sz w:val="20"/>
                <w:szCs w:val="20"/>
                <w:vertAlign w:val="superscript"/>
                <w:lang w:val="zh-CN" w:eastAsia="en-US"/>
              </w:rPr>
              <w:t>2+</w:t>
            </w:r>
            <w:bookmarkEnd w:id="2"/>
          </w:p>
        </w:tc>
        <w:tc>
          <w:tcPr>
            <w:tcW w:w="301" w:type="pct"/>
          </w:tcPr>
          <w:p w14:paraId="54F8469B" w14:textId="77777777" w:rsidR="008B097D" w:rsidRDefault="00221405">
            <w:pPr>
              <w:spacing w:after="0" w:line="240" w:lineRule="auto"/>
              <w:ind w:left="0" w:firstLine="0"/>
              <w:rPr>
                <w:rFonts w:eastAsia="Calibri"/>
                <w:b/>
                <w:bCs/>
                <w:color w:val="auto"/>
                <w:sz w:val="20"/>
                <w:szCs w:val="20"/>
                <w:lang w:val="zh-CN" w:eastAsia="en-US"/>
              </w:rPr>
            </w:pPr>
            <w:bookmarkStart w:id="3" w:name="_Hlk214606622"/>
            <w:r>
              <w:rPr>
                <w:rFonts w:eastAsia="Calibri"/>
                <w:b/>
                <w:bCs/>
                <w:color w:val="auto"/>
                <w:sz w:val="20"/>
                <w:szCs w:val="20"/>
                <w:lang w:val="zh-CN" w:eastAsia="en-US"/>
              </w:rPr>
              <w:t>Mg</w:t>
            </w:r>
            <w:r>
              <w:rPr>
                <w:rFonts w:eastAsia="Calibri"/>
                <w:b/>
                <w:bCs/>
                <w:color w:val="auto"/>
                <w:sz w:val="20"/>
                <w:szCs w:val="20"/>
                <w:vertAlign w:val="superscript"/>
                <w:lang w:val="zh-CN" w:eastAsia="en-US"/>
              </w:rPr>
              <w:t>2+</w:t>
            </w:r>
            <w:bookmarkEnd w:id="3"/>
          </w:p>
        </w:tc>
        <w:tc>
          <w:tcPr>
            <w:tcW w:w="301" w:type="pct"/>
          </w:tcPr>
          <w:p w14:paraId="53B9861E" w14:textId="77777777" w:rsidR="008B097D" w:rsidRDefault="00221405">
            <w:pPr>
              <w:spacing w:after="0" w:line="240" w:lineRule="auto"/>
              <w:ind w:left="0" w:firstLine="0"/>
              <w:rPr>
                <w:rFonts w:eastAsia="Calibri"/>
                <w:b/>
                <w:bCs/>
                <w:color w:val="auto"/>
                <w:sz w:val="20"/>
                <w:szCs w:val="20"/>
                <w:lang w:val="zh-CN" w:eastAsia="en-US"/>
              </w:rPr>
            </w:pPr>
            <w:bookmarkStart w:id="4" w:name="_Hlk214606631"/>
            <w:r>
              <w:rPr>
                <w:rFonts w:eastAsia="Calibri"/>
                <w:b/>
                <w:bCs/>
                <w:color w:val="auto"/>
                <w:sz w:val="20"/>
                <w:szCs w:val="20"/>
                <w:lang w:val="zh-CN" w:eastAsia="en-US"/>
              </w:rPr>
              <w:t>Na+</w:t>
            </w:r>
            <w:bookmarkEnd w:id="4"/>
          </w:p>
        </w:tc>
        <w:tc>
          <w:tcPr>
            <w:tcW w:w="301" w:type="pct"/>
          </w:tcPr>
          <w:p w14:paraId="0F5B16A0" w14:textId="77777777" w:rsidR="008B097D" w:rsidRDefault="00221405">
            <w:pPr>
              <w:spacing w:after="0" w:line="240" w:lineRule="auto"/>
              <w:ind w:left="0" w:firstLine="0"/>
              <w:rPr>
                <w:rFonts w:eastAsia="Calibri"/>
                <w:b/>
                <w:bCs/>
                <w:color w:val="auto"/>
                <w:sz w:val="20"/>
                <w:szCs w:val="20"/>
                <w:lang w:val="zh-CN" w:eastAsia="en-US"/>
              </w:rPr>
            </w:pPr>
            <w:bookmarkStart w:id="5" w:name="_Hlk214606640"/>
            <w:r>
              <w:rPr>
                <w:rFonts w:eastAsia="Calibri"/>
                <w:b/>
                <w:bCs/>
                <w:color w:val="auto"/>
                <w:sz w:val="20"/>
                <w:szCs w:val="20"/>
                <w:lang w:val="zh-CN" w:eastAsia="en-US"/>
              </w:rPr>
              <w:t>K</w:t>
            </w:r>
            <w:r>
              <w:rPr>
                <w:rFonts w:eastAsia="Calibri"/>
                <w:b/>
                <w:bCs/>
                <w:color w:val="auto"/>
                <w:sz w:val="20"/>
                <w:szCs w:val="20"/>
                <w:vertAlign w:val="superscript"/>
                <w:lang w:val="zh-CN" w:eastAsia="en-US"/>
              </w:rPr>
              <w:t>+</w:t>
            </w:r>
            <w:bookmarkEnd w:id="5"/>
          </w:p>
        </w:tc>
        <w:tc>
          <w:tcPr>
            <w:tcW w:w="287" w:type="pct"/>
          </w:tcPr>
          <w:p w14:paraId="347FB6EA"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w:t>
            </w:r>
          </w:p>
        </w:tc>
        <w:tc>
          <w:tcPr>
            <w:tcW w:w="321" w:type="pct"/>
          </w:tcPr>
          <w:p w14:paraId="22991117"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CEC</w:t>
            </w:r>
          </w:p>
        </w:tc>
        <w:tc>
          <w:tcPr>
            <w:tcW w:w="256" w:type="pct"/>
          </w:tcPr>
          <w:p w14:paraId="65317047"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S/T</w:t>
            </w:r>
          </w:p>
        </w:tc>
      </w:tr>
      <w:tr w:rsidR="008B097D" w14:paraId="511C686C" w14:textId="77777777" w:rsidTr="005A2C95">
        <w:trPr>
          <w:trHeight w:val="549"/>
        </w:trPr>
        <w:tc>
          <w:tcPr>
            <w:tcW w:w="502" w:type="pct"/>
          </w:tcPr>
          <w:p w14:paraId="73B96624"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Référence</w:t>
            </w:r>
          </w:p>
        </w:tc>
        <w:tc>
          <w:tcPr>
            <w:tcW w:w="300" w:type="pct"/>
          </w:tcPr>
          <w:p w14:paraId="2A906173"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1/2,5</w:t>
            </w:r>
          </w:p>
        </w:tc>
        <w:tc>
          <w:tcPr>
            <w:tcW w:w="329" w:type="pct"/>
          </w:tcPr>
          <w:p w14:paraId="7FF741AE"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µs/cm</w:t>
            </w:r>
          </w:p>
        </w:tc>
        <w:tc>
          <w:tcPr>
            <w:tcW w:w="601" w:type="pct"/>
            <w:gridSpan w:val="2"/>
          </w:tcPr>
          <w:p w14:paraId="4B9FA64C"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Ppm</w:t>
            </w:r>
          </w:p>
        </w:tc>
        <w:tc>
          <w:tcPr>
            <w:tcW w:w="1202" w:type="pct"/>
            <w:gridSpan w:val="4"/>
          </w:tcPr>
          <w:p w14:paraId="46BB95A3" w14:textId="77777777"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w:t>
            </w:r>
          </w:p>
        </w:tc>
        <w:tc>
          <w:tcPr>
            <w:tcW w:w="1810" w:type="pct"/>
            <w:gridSpan w:val="6"/>
          </w:tcPr>
          <w:p w14:paraId="25687ADD" w14:textId="77777777"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méq/100g</w:t>
            </w:r>
          </w:p>
        </w:tc>
        <w:tc>
          <w:tcPr>
            <w:tcW w:w="256" w:type="pct"/>
          </w:tcPr>
          <w:p w14:paraId="343E324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w:t>
            </w:r>
          </w:p>
        </w:tc>
      </w:tr>
      <w:tr w:rsidR="008B097D" w14:paraId="4C153567" w14:textId="77777777" w:rsidTr="005A2C95">
        <w:trPr>
          <w:trHeight w:val="845"/>
        </w:trPr>
        <w:tc>
          <w:tcPr>
            <w:tcW w:w="502" w:type="pct"/>
          </w:tcPr>
          <w:p w14:paraId="49DED6C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Bare soil</w:t>
            </w:r>
          </w:p>
        </w:tc>
        <w:tc>
          <w:tcPr>
            <w:tcW w:w="300" w:type="pct"/>
          </w:tcPr>
          <w:p w14:paraId="04E20DC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4,25</w:t>
            </w:r>
          </w:p>
          <w:p w14:paraId="6F362B7B"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14:paraId="0C2EF86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30,50 ± 0,3</w:t>
            </w:r>
          </w:p>
        </w:tc>
        <w:tc>
          <w:tcPr>
            <w:tcW w:w="301" w:type="pct"/>
          </w:tcPr>
          <w:p w14:paraId="00FB944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9,75</w:t>
            </w:r>
          </w:p>
          <w:p w14:paraId="4E73547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0" w:type="pct"/>
          </w:tcPr>
          <w:p w14:paraId="397CEED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5,68</w:t>
            </w:r>
          </w:p>
          <w:p w14:paraId="08E3929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14:paraId="1D7B4E3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0,14</w:t>
            </w:r>
          </w:p>
          <w:p w14:paraId="1E74B05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7D9E701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0,25</w:t>
            </w:r>
          </w:p>
          <w:p w14:paraId="42401FA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14:paraId="310BA4D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p w14:paraId="26BF64A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14:paraId="1786573B"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11,05</w:t>
            </w:r>
          </w:p>
          <w:p w14:paraId="17CD3B1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14:paraId="3761A8B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4,70</w:t>
            </w:r>
          </w:p>
          <w:p w14:paraId="389264E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6334AA8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2,80</w:t>
            </w:r>
          </w:p>
          <w:p w14:paraId="767F165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0489203D"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0,28 </w:t>
            </w:r>
          </w:p>
          <w:p w14:paraId="1BA677C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5C4E39A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 ±0,01</w:t>
            </w:r>
          </w:p>
        </w:tc>
        <w:tc>
          <w:tcPr>
            <w:tcW w:w="287" w:type="pct"/>
          </w:tcPr>
          <w:p w14:paraId="4005A6A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8,10 </w:t>
            </w:r>
          </w:p>
          <w:p w14:paraId="33D68A3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1" w:type="pct"/>
          </w:tcPr>
          <w:p w14:paraId="48803E8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11,25 </w:t>
            </w:r>
          </w:p>
          <w:p w14:paraId="7AEAF0B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0,03</w:t>
            </w:r>
          </w:p>
        </w:tc>
        <w:tc>
          <w:tcPr>
            <w:tcW w:w="256" w:type="pct"/>
          </w:tcPr>
          <w:p w14:paraId="2221A77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0,72</w:t>
            </w:r>
          </w:p>
          <w:p w14:paraId="0022A4B4"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r>
      <w:tr w:rsidR="008B097D" w14:paraId="287AF712" w14:textId="77777777" w:rsidTr="005A2C95">
        <w:trPr>
          <w:trHeight w:val="775"/>
        </w:trPr>
        <w:tc>
          <w:tcPr>
            <w:tcW w:w="502" w:type="pct"/>
          </w:tcPr>
          <w:p w14:paraId="64AE8A1B"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Leptadenia</w:t>
            </w:r>
          </w:p>
          <w:p w14:paraId="16F5264C"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Soil </w:t>
            </w:r>
          </w:p>
        </w:tc>
        <w:tc>
          <w:tcPr>
            <w:tcW w:w="300" w:type="pct"/>
          </w:tcPr>
          <w:p w14:paraId="55CAE81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4,85</w:t>
            </w:r>
          </w:p>
          <w:p w14:paraId="6436497D"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14:paraId="11AE34C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32,50 ± 0,42</w:t>
            </w:r>
          </w:p>
        </w:tc>
        <w:tc>
          <w:tcPr>
            <w:tcW w:w="301" w:type="pct"/>
          </w:tcPr>
          <w:p w14:paraId="632B6D2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10,23 ±0,05</w:t>
            </w:r>
          </w:p>
        </w:tc>
        <w:tc>
          <w:tcPr>
            <w:tcW w:w="300" w:type="pct"/>
          </w:tcPr>
          <w:p w14:paraId="1406D66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6,45</w:t>
            </w:r>
          </w:p>
          <w:p w14:paraId="655CA6A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14:paraId="2E714D9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0,18 </w:t>
            </w:r>
          </w:p>
          <w:p w14:paraId="4BB9C72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31194F2D"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w:t>
            </w:r>
          </w:p>
          <w:p w14:paraId="32FF336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14:paraId="03650B1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 ± 0</w:t>
            </w:r>
          </w:p>
        </w:tc>
        <w:tc>
          <w:tcPr>
            <w:tcW w:w="301" w:type="pct"/>
          </w:tcPr>
          <w:p w14:paraId="5667E63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10,20 </w:t>
            </w:r>
          </w:p>
          <w:p w14:paraId="6AF7E34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c>
          <w:tcPr>
            <w:tcW w:w="301" w:type="pct"/>
          </w:tcPr>
          <w:p w14:paraId="42D650E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5,79</w:t>
            </w:r>
          </w:p>
          <w:p w14:paraId="32EAF74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7B1C2EB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3,20</w:t>
            </w:r>
          </w:p>
          <w:p w14:paraId="0338DB8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3749A02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0,23 </w:t>
            </w:r>
          </w:p>
          <w:p w14:paraId="1E92E70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±0,03</w:t>
            </w:r>
          </w:p>
        </w:tc>
        <w:tc>
          <w:tcPr>
            <w:tcW w:w="301" w:type="pct"/>
          </w:tcPr>
          <w:p w14:paraId="04B5814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0,36 </w:t>
            </w:r>
          </w:p>
          <w:p w14:paraId="422D988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287" w:type="pct"/>
          </w:tcPr>
          <w:p w14:paraId="6A411FB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9,59</w:t>
            </w:r>
          </w:p>
          <w:p w14:paraId="5F69F9C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21" w:type="pct"/>
          </w:tcPr>
          <w:p w14:paraId="7F9F583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11 ,75 </w:t>
            </w:r>
          </w:p>
          <w:p w14:paraId="1F0961C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0,01</w:t>
            </w:r>
          </w:p>
        </w:tc>
        <w:tc>
          <w:tcPr>
            <w:tcW w:w="256" w:type="pct"/>
          </w:tcPr>
          <w:p w14:paraId="45F7B5C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0,82</w:t>
            </w:r>
          </w:p>
          <w:p w14:paraId="4B05618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r>
    </w:tbl>
    <w:p w14:paraId="10653985" w14:textId="77777777" w:rsidR="008B097D" w:rsidRDefault="00221405">
      <w:pPr>
        <w:spacing w:after="223" w:line="360" w:lineRule="auto"/>
        <w:ind w:left="0" w:firstLine="0"/>
        <w:jc w:val="both"/>
        <w:rPr>
          <w:i/>
          <w:iCs/>
          <w:color w:val="auto"/>
          <w:szCs w:val="24"/>
          <w:lang w:val="en-US"/>
        </w:rPr>
      </w:pPr>
      <w:r>
        <w:rPr>
          <w:i/>
          <w:iCs/>
          <w:color w:val="auto"/>
          <w:szCs w:val="24"/>
          <w:lang w:val="en-US"/>
        </w:rPr>
        <w:t xml:space="preserve">pH: potential of Hydrogen, EC: Electrical Conductivity, TP: Total Phosphorus, </w:t>
      </w:r>
      <w:proofErr w:type="spellStart"/>
      <w:r>
        <w:rPr>
          <w:i/>
          <w:iCs/>
          <w:color w:val="auto"/>
          <w:szCs w:val="24"/>
          <w:lang w:val="en-US"/>
        </w:rPr>
        <w:t>AvlP</w:t>
      </w:r>
      <w:proofErr w:type="spellEnd"/>
      <w:r>
        <w:rPr>
          <w:i/>
          <w:iCs/>
          <w:color w:val="auto"/>
          <w:szCs w:val="24"/>
          <w:lang w:val="en-US"/>
        </w:rPr>
        <w:t xml:space="preserve">: Available Phosphorus, C: Carbon, OM: Organic matter, N: Nitrogen, </w:t>
      </w:r>
      <w:r>
        <w:rPr>
          <w:rFonts w:eastAsia="Calibri"/>
          <w:i/>
          <w:iCs/>
          <w:color w:val="auto"/>
          <w:kern w:val="2"/>
          <w:sz w:val="22"/>
          <w:lang w:val="en-US" w:eastAsia="en-US"/>
        </w:rPr>
        <w:t>Ca</w:t>
      </w:r>
      <w:r>
        <w:rPr>
          <w:rFonts w:eastAsia="Calibri"/>
          <w:i/>
          <w:iCs/>
          <w:color w:val="auto"/>
          <w:kern w:val="2"/>
          <w:sz w:val="22"/>
          <w:vertAlign w:val="superscript"/>
          <w:lang w:val="en-US" w:eastAsia="en-US"/>
        </w:rPr>
        <w:t>2</w:t>
      </w:r>
      <w:proofErr w:type="gramStart"/>
      <w:r>
        <w:rPr>
          <w:rFonts w:eastAsia="Calibri"/>
          <w:i/>
          <w:iCs/>
          <w:color w:val="auto"/>
          <w:kern w:val="2"/>
          <w:sz w:val="22"/>
          <w:vertAlign w:val="superscript"/>
          <w:lang w:val="en-US" w:eastAsia="en-US"/>
        </w:rPr>
        <w:t>+</w:t>
      </w:r>
      <w:r>
        <w:rPr>
          <w:rFonts w:eastAsia="Calibri"/>
          <w:i/>
          <w:iCs/>
          <w:color w:val="auto"/>
          <w:kern w:val="2"/>
          <w:sz w:val="22"/>
          <w:lang w:val="en-US" w:eastAsia="en-US"/>
        </w:rPr>
        <w:t>:</w:t>
      </w:r>
      <w:r>
        <w:rPr>
          <w:rFonts w:eastAsia="Calibri"/>
          <w:i/>
          <w:iCs/>
          <w:color w:val="auto"/>
          <w:sz w:val="22"/>
          <w:lang w:val="en-US"/>
        </w:rPr>
        <w:t>Calcium</w:t>
      </w:r>
      <w:proofErr w:type="gramEnd"/>
      <w:r>
        <w:rPr>
          <w:rFonts w:eastAsia="Calibri"/>
          <w:i/>
          <w:iCs/>
          <w:color w:val="auto"/>
          <w:sz w:val="22"/>
          <w:lang w:val="en-US"/>
        </w:rPr>
        <w:t xml:space="preserve"> Mg</w:t>
      </w:r>
      <w:r>
        <w:rPr>
          <w:rFonts w:eastAsia="Calibri"/>
          <w:i/>
          <w:iCs/>
          <w:color w:val="auto"/>
          <w:kern w:val="2"/>
          <w:sz w:val="22"/>
          <w:vertAlign w:val="superscript"/>
          <w:lang w:val="en-US" w:eastAsia="en-US"/>
        </w:rPr>
        <w:t>2+</w:t>
      </w:r>
      <w:r>
        <w:rPr>
          <w:rFonts w:eastAsia="Calibri"/>
          <w:i/>
          <w:iCs/>
          <w:color w:val="auto"/>
          <w:kern w:val="2"/>
          <w:sz w:val="22"/>
          <w:lang w:val="en-US" w:eastAsia="en-US"/>
        </w:rPr>
        <w:t>:Magnesium, Na+</w:t>
      </w:r>
      <w:r>
        <w:rPr>
          <w:rFonts w:eastAsia="Calibri"/>
          <w:i/>
          <w:iCs/>
          <w:color w:val="auto"/>
          <w:sz w:val="22"/>
          <w:lang w:val="en-US"/>
        </w:rPr>
        <w:t xml:space="preserve">: </w:t>
      </w:r>
      <w:proofErr w:type="spellStart"/>
      <w:r>
        <w:rPr>
          <w:rFonts w:eastAsia="Calibri"/>
          <w:i/>
          <w:iCs/>
          <w:color w:val="auto"/>
          <w:sz w:val="22"/>
          <w:lang w:val="en-US"/>
        </w:rPr>
        <w:t>Sodium,K</w:t>
      </w:r>
      <w:proofErr w:type="spellEnd"/>
      <w:r>
        <w:rPr>
          <w:rFonts w:eastAsia="Calibri"/>
          <w:i/>
          <w:iCs/>
          <w:color w:val="auto"/>
          <w:kern w:val="2"/>
          <w:sz w:val="22"/>
          <w:vertAlign w:val="superscript"/>
          <w:lang w:val="en-US" w:eastAsia="en-US"/>
        </w:rPr>
        <w:t>+</w:t>
      </w:r>
      <w:r>
        <w:rPr>
          <w:i/>
          <w:iCs/>
          <w:color w:val="auto"/>
          <w:szCs w:val="24"/>
          <w:lang w:val="en-US"/>
        </w:rPr>
        <w:t>:</w:t>
      </w:r>
      <w:r>
        <w:rPr>
          <w:rFonts w:eastAsia="Calibri"/>
          <w:i/>
          <w:iCs/>
          <w:color w:val="auto"/>
          <w:kern w:val="2"/>
          <w:sz w:val="22"/>
          <w:lang w:val="en-US" w:eastAsia="en-US"/>
        </w:rPr>
        <w:t xml:space="preserve"> Potassium, S: Bases Sum, CEC:</w:t>
      </w:r>
      <w:r>
        <w:rPr>
          <w:i/>
          <w:iCs/>
          <w:color w:val="auto"/>
          <w:szCs w:val="24"/>
          <w:lang w:val="en-US"/>
        </w:rPr>
        <w:t xml:space="preserve"> Cation Exchange Capacity</w:t>
      </w:r>
    </w:p>
    <w:p w14:paraId="165C5DD7"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analysis of variance (ANOVA) for the different chemical parameters of the </w:t>
      </w:r>
      <w:proofErr w:type="spellStart"/>
      <w:r>
        <w:rPr>
          <w:color w:val="auto"/>
          <w:szCs w:val="24"/>
          <w:lang w:val="en-US"/>
        </w:rPr>
        <w:t>Satara</w:t>
      </w:r>
      <w:proofErr w:type="spellEnd"/>
      <w:r>
        <w:rPr>
          <w:color w:val="auto"/>
          <w:szCs w:val="24"/>
          <w:lang w:val="en-US"/>
        </w:rPr>
        <w:t xml:space="preserve"> site are summarized in Table 5.3. This table reveals that the pH, electrical conductivity, and nitrogen content are higher in the soil under </w:t>
      </w:r>
      <w:proofErr w:type="spellStart"/>
      <w:r>
        <w:rPr>
          <w:i/>
          <w:iCs/>
          <w:color w:val="auto"/>
          <w:szCs w:val="24"/>
          <w:lang w:val="en-US"/>
        </w:rPr>
        <w:t>Leptadenia</w:t>
      </w:r>
      <w:proofErr w:type="spellEnd"/>
      <w:r>
        <w:rPr>
          <w:color w:val="auto"/>
          <w:szCs w:val="24"/>
          <w:lang w:val="en-US"/>
        </w:rPr>
        <w:t xml:space="preserve"> than in the bare soil, and these differences are highly significant at the 5% level.</w:t>
      </w:r>
    </w:p>
    <w:p w14:paraId="7088AF42" w14:textId="77777777" w:rsidR="008B097D" w:rsidRDefault="00221405">
      <w:pPr>
        <w:spacing w:after="223" w:line="360" w:lineRule="auto"/>
        <w:ind w:left="0" w:firstLine="0"/>
        <w:jc w:val="both"/>
        <w:rPr>
          <w:color w:val="auto"/>
          <w:szCs w:val="24"/>
          <w:lang w:val="en-US"/>
        </w:rPr>
      </w:pPr>
      <w:r>
        <w:rPr>
          <w:color w:val="auto"/>
          <w:szCs w:val="24"/>
          <w:lang w:val="en-US"/>
        </w:rPr>
        <w:t xml:space="preserve">Similarly, the total phosphorus and available phosphorus contents are higher in the soil under </w:t>
      </w:r>
      <w:proofErr w:type="spellStart"/>
      <w:r>
        <w:rPr>
          <w:i/>
          <w:iCs/>
          <w:color w:val="auto"/>
          <w:szCs w:val="24"/>
          <w:lang w:val="en-US"/>
        </w:rPr>
        <w:t>Leptadenia</w:t>
      </w:r>
      <w:proofErr w:type="spellEnd"/>
      <w:r>
        <w:rPr>
          <w:color w:val="auto"/>
          <w:szCs w:val="24"/>
          <w:lang w:val="en-US"/>
        </w:rPr>
        <w:t xml:space="preserve"> compared to the bare soil, and these differences are also highly significant at the 5% level. The cation exchange capacity, sulfur, and carbon contents are greater in the soil under </w:t>
      </w:r>
      <w:proofErr w:type="spellStart"/>
      <w:r>
        <w:rPr>
          <w:i/>
          <w:iCs/>
          <w:color w:val="auto"/>
          <w:szCs w:val="24"/>
          <w:lang w:val="en-US"/>
        </w:rPr>
        <w:t>Leptadenia</w:t>
      </w:r>
      <w:proofErr w:type="spellEnd"/>
      <w:r>
        <w:rPr>
          <w:color w:val="auto"/>
          <w:szCs w:val="24"/>
          <w:lang w:val="en-US"/>
        </w:rPr>
        <w:t>, with these differences being significant at the 5% level.</w:t>
      </w:r>
    </w:p>
    <w:p w14:paraId="46B872FC" w14:textId="77777777" w:rsidR="008B097D" w:rsidRDefault="00221405">
      <w:pPr>
        <w:spacing w:after="223" w:line="360" w:lineRule="auto"/>
        <w:ind w:left="0" w:firstLine="0"/>
        <w:jc w:val="both"/>
        <w:rPr>
          <w:color w:val="auto"/>
          <w:szCs w:val="24"/>
          <w:lang w:val="en-US"/>
        </w:rPr>
      </w:pPr>
      <w:r>
        <w:rPr>
          <w:color w:val="auto"/>
          <w:szCs w:val="24"/>
          <w:lang w:val="en-US"/>
        </w:rPr>
        <w:t xml:space="preserve">The exchangeable bases </w:t>
      </w:r>
      <w:r w:rsidR="00A5787B" w:rsidRPr="00A5787B">
        <w:rPr>
          <w:i/>
          <w:color w:val="FF0000"/>
          <w:szCs w:val="24"/>
          <w:lang w:val="en-US"/>
        </w:rPr>
        <w:t>viz.</w:t>
      </w:r>
      <w:r w:rsidR="00A5787B">
        <w:rPr>
          <w:color w:val="auto"/>
          <w:szCs w:val="24"/>
          <w:lang w:val="en-US"/>
        </w:rPr>
        <w:t xml:space="preserve"> </w:t>
      </w:r>
      <w:r>
        <w:rPr>
          <w:color w:val="auto"/>
          <w:szCs w:val="24"/>
          <w:lang w:val="en-US"/>
        </w:rPr>
        <w:t xml:space="preserve">calcium, magnesium, and potassium are also higher in the soil under </w:t>
      </w:r>
      <w:proofErr w:type="spellStart"/>
      <w:r>
        <w:rPr>
          <w:i/>
          <w:iCs/>
          <w:color w:val="auto"/>
          <w:szCs w:val="24"/>
          <w:lang w:val="en-US"/>
        </w:rPr>
        <w:t>Leptadenia</w:t>
      </w:r>
      <w:proofErr w:type="spellEnd"/>
      <w:r>
        <w:rPr>
          <w:color w:val="auto"/>
          <w:szCs w:val="24"/>
          <w:lang w:val="en-US"/>
        </w:rPr>
        <w:t xml:space="preserve"> than in the bare soil. These differences are significant at the 5% level for potassium, and highly significant for calcium and magnesium.</w:t>
      </w:r>
    </w:p>
    <w:p w14:paraId="2D1FF8B4" w14:textId="77777777" w:rsidR="008B097D" w:rsidRDefault="00221405">
      <w:pPr>
        <w:spacing w:after="223" w:line="360" w:lineRule="auto"/>
        <w:ind w:left="0" w:firstLine="0"/>
        <w:jc w:val="both"/>
        <w:rPr>
          <w:color w:val="auto"/>
          <w:szCs w:val="24"/>
          <w:lang w:val="en-US"/>
        </w:rPr>
      </w:pPr>
      <w:r>
        <w:rPr>
          <w:color w:val="auto"/>
          <w:szCs w:val="24"/>
          <w:lang w:val="en-US"/>
        </w:rPr>
        <w:t xml:space="preserve">The organic matter content is higher in the soil under </w:t>
      </w:r>
      <w:proofErr w:type="spellStart"/>
      <w:r>
        <w:rPr>
          <w:i/>
          <w:iCs/>
          <w:color w:val="auto"/>
          <w:szCs w:val="24"/>
          <w:lang w:val="en-US"/>
        </w:rPr>
        <w:t>Leptadenia</w:t>
      </w:r>
      <w:proofErr w:type="spellEnd"/>
      <w:r>
        <w:rPr>
          <w:color w:val="auto"/>
          <w:szCs w:val="24"/>
          <w:lang w:val="en-US"/>
        </w:rPr>
        <w:t xml:space="preserve"> than in the bare soil, and this difference is highly significant at the 5% level. However, the C/N ratio and sodium content are higher in the bare soil compared to the soil under </w:t>
      </w:r>
      <w:proofErr w:type="spellStart"/>
      <w:r>
        <w:rPr>
          <w:i/>
          <w:iCs/>
          <w:color w:val="auto"/>
          <w:szCs w:val="24"/>
          <w:lang w:val="en-US"/>
        </w:rPr>
        <w:t>Leptadenia</w:t>
      </w:r>
      <w:proofErr w:type="spellEnd"/>
      <w:r>
        <w:rPr>
          <w:color w:val="auto"/>
          <w:szCs w:val="24"/>
          <w:lang w:val="en-US"/>
        </w:rPr>
        <w:t>; this difference is highly significant for sodium and very highly significant for the C/N ratio at the 5% level.</w:t>
      </w:r>
    </w:p>
    <w:p w14:paraId="3E94CBFC"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3: Analysis of variance for the different chemical parameters of the </w:t>
      </w:r>
      <w:proofErr w:type="spellStart"/>
      <w:r>
        <w:rPr>
          <w:color w:val="auto"/>
          <w:szCs w:val="24"/>
          <w:lang w:val="en-US"/>
        </w:rPr>
        <w:t>Satara</w:t>
      </w:r>
      <w:proofErr w:type="spellEnd"/>
      <w:r>
        <w:rPr>
          <w:color w:val="auto"/>
          <w:szCs w:val="24"/>
          <w:lang w:val="en-US"/>
        </w:rPr>
        <w:t xml:space="preserve"> site</w:t>
      </w:r>
    </w:p>
    <w:tbl>
      <w:tblPr>
        <w:tblW w:w="7696" w:type="dxa"/>
        <w:tblLook w:val="04A0" w:firstRow="1" w:lastRow="0" w:firstColumn="1" w:lastColumn="0" w:noHBand="0" w:noVBand="1"/>
      </w:tblPr>
      <w:tblGrid>
        <w:gridCol w:w="2006"/>
        <w:gridCol w:w="1946"/>
        <w:gridCol w:w="1970"/>
        <w:gridCol w:w="1774"/>
      </w:tblGrid>
      <w:tr w:rsidR="008B097D" w14:paraId="1882F283" w14:textId="77777777">
        <w:trPr>
          <w:trHeight w:val="315"/>
        </w:trPr>
        <w:tc>
          <w:tcPr>
            <w:tcW w:w="2006" w:type="dxa"/>
            <w:tcBorders>
              <w:top w:val="single" w:sz="12" w:space="0" w:color="auto"/>
              <w:left w:val="nil"/>
              <w:bottom w:val="single" w:sz="12" w:space="0" w:color="auto"/>
              <w:right w:val="nil"/>
            </w:tcBorders>
            <w:noWrap/>
            <w:vAlign w:val="bottom"/>
          </w:tcPr>
          <w:p w14:paraId="6D625E08" w14:textId="77777777" w:rsidR="008B097D" w:rsidRDefault="00221405">
            <w:pPr>
              <w:spacing w:line="360" w:lineRule="auto"/>
              <w:jc w:val="both"/>
              <w:rPr>
                <w:b/>
                <w:bCs/>
                <w:color w:val="auto"/>
                <w:szCs w:val="24"/>
              </w:rPr>
            </w:pPr>
            <w:proofErr w:type="spellStart"/>
            <w:r>
              <w:rPr>
                <w:b/>
                <w:bCs/>
                <w:color w:val="auto"/>
                <w:szCs w:val="24"/>
              </w:rPr>
              <w:lastRenderedPageBreak/>
              <w:t>Parameters</w:t>
            </w:r>
            <w:proofErr w:type="spellEnd"/>
          </w:p>
        </w:tc>
        <w:tc>
          <w:tcPr>
            <w:tcW w:w="1946" w:type="dxa"/>
            <w:tcBorders>
              <w:top w:val="single" w:sz="12" w:space="0" w:color="auto"/>
              <w:left w:val="nil"/>
              <w:bottom w:val="single" w:sz="12" w:space="0" w:color="auto"/>
              <w:right w:val="nil"/>
            </w:tcBorders>
            <w:noWrap/>
            <w:vAlign w:val="bottom"/>
          </w:tcPr>
          <w:p w14:paraId="71BE50CA" w14:textId="77777777" w:rsidR="008B097D" w:rsidRDefault="00221405">
            <w:pPr>
              <w:spacing w:line="360" w:lineRule="auto"/>
              <w:jc w:val="both"/>
              <w:rPr>
                <w:b/>
                <w:bCs/>
                <w:color w:val="auto"/>
                <w:szCs w:val="24"/>
              </w:rPr>
            </w:pPr>
            <w:proofErr w:type="spellStart"/>
            <w:r>
              <w:rPr>
                <w:b/>
                <w:bCs/>
                <w:color w:val="auto"/>
                <w:szCs w:val="24"/>
              </w:rPr>
              <w:t>Baresoil</w:t>
            </w:r>
            <w:proofErr w:type="spellEnd"/>
          </w:p>
        </w:tc>
        <w:tc>
          <w:tcPr>
            <w:tcW w:w="1970" w:type="dxa"/>
            <w:tcBorders>
              <w:top w:val="single" w:sz="12" w:space="0" w:color="auto"/>
              <w:left w:val="nil"/>
              <w:bottom w:val="single" w:sz="12" w:space="0" w:color="auto"/>
              <w:right w:val="nil"/>
            </w:tcBorders>
            <w:noWrap/>
            <w:vAlign w:val="bottom"/>
          </w:tcPr>
          <w:p w14:paraId="2D2E4733" w14:textId="77777777" w:rsidR="008B097D" w:rsidRDefault="00221405">
            <w:pPr>
              <w:spacing w:line="360" w:lineRule="auto"/>
              <w:jc w:val="both"/>
              <w:rPr>
                <w:b/>
                <w:bCs/>
                <w:color w:val="auto"/>
                <w:szCs w:val="24"/>
              </w:rPr>
            </w:pPr>
            <w:proofErr w:type="spellStart"/>
            <w:r>
              <w:rPr>
                <w:b/>
                <w:bCs/>
                <w:color w:val="auto"/>
                <w:szCs w:val="24"/>
              </w:rPr>
              <w:t>Leptadeniasoil</w:t>
            </w:r>
            <w:proofErr w:type="spellEnd"/>
          </w:p>
        </w:tc>
        <w:tc>
          <w:tcPr>
            <w:tcW w:w="1774" w:type="dxa"/>
            <w:tcBorders>
              <w:top w:val="single" w:sz="12" w:space="0" w:color="auto"/>
              <w:left w:val="nil"/>
              <w:bottom w:val="single" w:sz="12" w:space="0" w:color="auto"/>
              <w:right w:val="nil"/>
            </w:tcBorders>
            <w:noWrap/>
            <w:vAlign w:val="bottom"/>
          </w:tcPr>
          <w:p w14:paraId="636E4611" w14:textId="77777777" w:rsidR="008B097D" w:rsidRDefault="00221405">
            <w:pPr>
              <w:spacing w:line="360" w:lineRule="auto"/>
              <w:jc w:val="both"/>
              <w:rPr>
                <w:b/>
                <w:bCs/>
                <w:color w:val="auto"/>
                <w:szCs w:val="24"/>
              </w:rPr>
            </w:pPr>
            <w:r>
              <w:rPr>
                <w:b/>
                <w:bCs/>
                <w:color w:val="auto"/>
                <w:szCs w:val="24"/>
              </w:rPr>
              <w:t>P-value</w:t>
            </w:r>
          </w:p>
        </w:tc>
      </w:tr>
      <w:tr w:rsidR="008B097D" w14:paraId="5B798BA1" w14:textId="77777777">
        <w:trPr>
          <w:trHeight w:val="315"/>
        </w:trPr>
        <w:tc>
          <w:tcPr>
            <w:tcW w:w="2006" w:type="dxa"/>
            <w:tcBorders>
              <w:top w:val="single" w:sz="12" w:space="0" w:color="auto"/>
              <w:left w:val="nil"/>
              <w:bottom w:val="nil"/>
              <w:right w:val="nil"/>
            </w:tcBorders>
            <w:noWrap/>
            <w:vAlign w:val="bottom"/>
          </w:tcPr>
          <w:p w14:paraId="729E5A7D" w14:textId="77777777" w:rsidR="008B097D" w:rsidRDefault="00221405">
            <w:pPr>
              <w:spacing w:line="360" w:lineRule="auto"/>
              <w:jc w:val="both"/>
              <w:rPr>
                <w:b/>
                <w:bCs/>
                <w:color w:val="auto"/>
                <w:szCs w:val="24"/>
              </w:rPr>
            </w:pPr>
            <w:proofErr w:type="gramStart"/>
            <w:r>
              <w:rPr>
                <w:b/>
                <w:bCs/>
                <w:color w:val="auto"/>
                <w:szCs w:val="24"/>
              </w:rPr>
              <w:t>pH</w:t>
            </w:r>
            <w:proofErr w:type="gramEnd"/>
          </w:p>
        </w:tc>
        <w:tc>
          <w:tcPr>
            <w:tcW w:w="1946" w:type="dxa"/>
            <w:tcBorders>
              <w:top w:val="single" w:sz="12" w:space="0" w:color="auto"/>
              <w:left w:val="nil"/>
              <w:bottom w:val="nil"/>
              <w:right w:val="nil"/>
            </w:tcBorders>
            <w:noWrap/>
            <w:vAlign w:val="bottom"/>
          </w:tcPr>
          <w:p w14:paraId="40025184" w14:textId="77777777" w:rsidR="008B097D" w:rsidRDefault="00221405">
            <w:pPr>
              <w:spacing w:line="360" w:lineRule="auto"/>
              <w:jc w:val="both"/>
              <w:rPr>
                <w:color w:val="auto"/>
                <w:szCs w:val="24"/>
              </w:rPr>
            </w:pPr>
            <w:r>
              <w:rPr>
                <w:color w:val="auto"/>
                <w:szCs w:val="24"/>
              </w:rPr>
              <w:t>4</w:t>
            </w:r>
            <w:r w:rsidR="005D6F8D">
              <w:rPr>
                <w:color w:val="auto"/>
                <w:szCs w:val="24"/>
              </w:rPr>
              <w:t>.25 ± 0.</w:t>
            </w:r>
            <w:r>
              <w:rPr>
                <w:color w:val="auto"/>
                <w:szCs w:val="24"/>
              </w:rPr>
              <w:t>02 b</w:t>
            </w:r>
          </w:p>
        </w:tc>
        <w:tc>
          <w:tcPr>
            <w:tcW w:w="1970" w:type="dxa"/>
            <w:tcBorders>
              <w:top w:val="single" w:sz="12" w:space="0" w:color="auto"/>
              <w:left w:val="nil"/>
              <w:bottom w:val="nil"/>
              <w:right w:val="nil"/>
            </w:tcBorders>
            <w:noWrap/>
            <w:vAlign w:val="bottom"/>
          </w:tcPr>
          <w:p w14:paraId="33FE0235" w14:textId="77777777" w:rsidR="008B097D" w:rsidRDefault="006C1DFB">
            <w:pPr>
              <w:spacing w:line="360" w:lineRule="auto"/>
              <w:jc w:val="both"/>
              <w:rPr>
                <w:color w:val="auto"/>
                <w:szCs w:val="24"/>
              </w:rPr>
            </w:pPr>
            <w:r>
              <w:rPr>
                <w:color w:val="auto"/>
                <w:szCs w:val="24"/>
              </w:rPr>
              <w:t>4.85 ± 0.</w:t>
            </w:r>
            <w:r w:rsidR="00221405">
              <w:rPr>
                <w:color w:val="auto"/>
                <w:szCs w:val="24"/>
              </w:rPr>
              <w:t>02 a</w:t>
            </w:r>
          </w:p>
        </w:tc>
        <w:tc>
          <w:tcPr>
            <w:tcW w:w="1774" w:type="dxa"/>
            <w:tcBorders>
              <w:top w:val="single" w:sz="12" w:space="0" w:color="auto"/>
              <w:left w:val="nil"/>
              <w:bottom w:val="nil"/>
              <w:right w:val="nil"/>
            </w:tcBorders>
            <w:noWrap/>
            <w:vAlign w:val="bottom"/>
          </w:tcPr>
          <w:p w14:paraId="32A76925" w14:textId="77777777" w:rsidR="008B097D" w:rsidRDefault="00221405">
            <w:pPr>
              <w:spacing w:line="360" w:lineRule="auto"/>
              <w:jc w:val="both"/>
              <w:rPr>
                <w:b/>
                <w:bCs/>
                <w:color w:val="auto"/>
                <w:szCs w:val="24"/>
              </w:rPr>
            </w:pPr>
            <w:r>
              <w:rPr>
                <w:b/>
                <w:bCs/>
                <w:color w:val="auto"/>
                <w:szCs w:val="24"/>
              </w:rPr>
              <w:t>0,000 ***</w:t>
            </w:r>
          </w:p>
        </w:tc>
      </w:tr>
      <w:tr w:rsidR="008B097D" w14:paraId="2A8E8DFA" w14:textId="77777777">
        <w:trPr>
          <w:trHeight w:val="315"/>
        </w:trPr>
        <w:tc>
          <w:tcPr>
            <w:tcW w:w="2006" w:type="dxa"/>
            <w:tcBorders>
              <w:top w:val="nil"/>
              <w:left w:val="nil"/>
              <w:bottom w:val="nil"/>
              <w:right w:val="nil"/>
            </w:tcBorders>
            <w:noWrap/>
            <w:vAlign w:val="bottom"/>
          </w:tcPr>
          <w:p w14:paraId="60EE7B80" w14:textId="77777777" w:rsidR="008B097D" w:rsidRDefault="00221405">
            <w:pPr>
              <w:spacing w:line="360" w:lineRule="auto"/>
              <w:jc w:val="both"/>
              <w:rPr>
                <w:b/>
                <w:bCs/>
                <w:color w:val="auto"/>
                <w:szCs w:val="24"/>
              </w:rPr>
            </w:pPr>
            <w:r>
              <w:rPr>
                <w:b/>
                <w:bCs/>
                <w:color w:val="auto"/>
                <w:szCs w:val="24"/>
              </w:rPr>
              <w:t xml:space="preserve">EC </w:t>
            </w:r>
          </w:p>
        </w:tc>
        <w:tc>
          <w:tcPr>
            <w:tcW w:w="1946" w:type="dxa"/>
            <w:tcBorders>
              <w:top w:val="nil"/>
              <w:left w:val="nil"/>
              <w:bottom w:val="nil"/>
              <w:right w:val="nil"/>
            </w:tcBorders>
            <w:noWrap/>
            <w:vAlign w:val="bottom"/>
          </w:tcPr>
          <w:p w14:paraId="3804B970" w14:textId="77777777" w:rsidR="008B097D" w:rsidRDefault="006C1DFB">
            <w:pPr>
              <w:spacing w:line="360" w:lineRule="auto"/>
              <w:jc w:val="both"/>
              <w:rPr>
                <w:color w:val="auto"/>
                <w:szCs w:val="24"/>
              </w:rPr>
            </w:pPr>
            <w:r>
              <w:rPr>
                <w:color w:val="auto"/>
                <w:szCs w:val="24"/>
              </w:rPr>
              <w:t>30.5 ± 0.</w:t>
            </w:r>
            <w:r w:rsidR="00221405">
              <w:rPr>
                <w:color w:val="auto"/>
                <w:szCs w:val="24"/>
              </w:rPr>
              <w:t>3 b</w:t>
            </w:r>
          </w:p>
        </w:tc>
        <w:tc>
          <w:tcPr>
            <w:tcW w:w="1970" w:type="dxa"/>
            <w:tcBorders>
              <w:top w:val="nil"/>
              <w:left w:val="nil"/>
              <w:bottom w:val="nil"/>
              <w:right w:val="nil"/>
            </w:tcBorders>
            <w:noWrap/>
            <w:vAlign w:val="bottom"/>
          </w:tcPr>
          <w:p w14:paraId="284AD2A8" w14:textId="77777777" w:rsidR="008B097D" w:rsidRDefault="006C1DFB">
            <w:pPr>
              <w:spacing w:line="360" w:lineRule="auto"/>
              <w:jc w:val="both"/>
              <w:rPr>
                <w:color w:val="auto"/>
                <w:szCs w:val="24"/>
              </w:rPr>
            </w:pPr>
            <w:r>
              <w:rPr>
                <w:color w:val="auto"/>
                <w:szCs w:val="24"/>
              </w:rPr>
              <w:t>32.5 ± 0.</w:t>
            </w:r>
            <w:r w:rsidR="00221405">
              <w:rPr>
                <w:color w:val="auto"/>
                <w:szCs w:val="24"/>
              </w:rPr>
              <w:t>42 a</w:t>
            </w:r>
          </w:p>
        </w:tc>
        <w:tc>
          <w:tcPr>
            <w:tcW w:w="1774" w:type="dxa"/>
            <w:tcBorders>
              <w:top w:val="nil"/>
              <w:left w:val="nil"/>
              <w:bottom w:val="nil"/>
              <w:right w:val="nil"/>
            </w:tcBorders>
            <w:noWrap/>
            <w:vAlign w:val="bottom"/>
          </w:tcPr>
          <w:p w14:paraId="5980501F" w14:textId="77777777" w:rsidR="008B097D" w:rsidRDefault="008D2440">
            <w:pPr>
              <w:spacing w:line="360" w:lineRule="auto"/>
              <w:jc w:val="both"/>
              <w:rPr>
                <w:b/>
                <w:bCs/>
                <w:color w:val="auto"/>
                <w:szCs w:val="24"/>
              </w:rPr>
            </w:pPr>
            <w:r>
              <w:rPr>
                <w:b/>
                <w:bCs/>
                <w:color w:val="auto"/>
                <w:szCs w:val="24"/>
              </w:rPr>
              <w:t>0.</w:t>
            </w:r>
            <w:r w:rsidR="00221405">
              <w:rPr>
                <w:b/>
                <w:bCs/>
                <w:color w:val="auto"/>
                <w:szCs w:val="24"/>
              </w:rPr>
              <w:t>000 ***</w:t>
            </w:r>
          </w:p>
        </w:tc>
      </w:tr>
      <w:tr w:rsidR="008B097D" w14:paraId="141B9C7B" w14:textId="77777777">
        <w:trPr>
          <w:trHeight w:val="315"/>
        </w:trPr>
        <w:tc>
          <w:tcPr>
            <w:tcW w:w="2006" w:type="dxa"/>
            <w:tcBorders>
              <w:top w:val="nil"/>
              <w:left w:val="nil"/>
              <w:bottom w:val="nil"/>
              <w:right w:val="nil"/>
            </w:tcBorders>
            <w:noWrap/>
            <w:vAlign w:val="bottom"/>
          </w:tcPr>
          <w:p w14:paraId="39E98C0F" w14:textId="77777777" w:rsidR="008B097D" w:rsidRDefault="00221405">
            <w:pPr>
              <w:spacing w:line="360" w:lineRule="auto"/>
              <w:jc w:val="both"/>
              <w:rPr>
                <w:b/>
                <w:bCs/>
                <w:color w:val="auto"/>
                <w:szCs w:val="24"/>
              </w:rPr>
            </w:pPr>
            <w:r>
              <w:rPr>
                <w:b/>
                <w:bCs/>
                <w:color w:val="auto"/>
                <w:szCs w:val="24"/>
              </w:rPr>
              <w:t xml:space="preserve">TP </w:t>
            </w:r>
          </w:p>
        </w:tc>
        <w:tc>
          <w:tcPr>
            <w:tcW w:w="1946" w:type="dxa"/>
            <w:tcBorders>
              <w:top w:val="nil"/>
              <w:left w:val="nil"/>
              <w:bottom w:val="nil"/>
              <w:right w:val="nil"/>
            </w:tcBorders>
            <w:noWrap/>
            <w:vAlign w:val="bottom"/>
          </w:tcPr>
          <w:p w14:paraId="4FAEE5ED" w14:textId="77777777" w:rsidR="008B097D" w:rsidRDefault="006C1DFB">
            <w:pPr>
              <w:spacing w:line="360" w:lineRule="auto"/>
              <w:jc w:val="both"/>
              <w:rPr>
                <w:color w:val="auto"/>
                <w:szCs w:val="24"/>
              </w:rPr>
            </w:pPr>
            <w:r>
              <w:rPr>
                <w:color w:val="auto"/>
                <w:szCs w:val="24"/>
              </w:rPr>
              <w:t>9.75 ± 0.</w:t>
            </w:r>
            <w:r w:rsidR="00221405">
              <w:rPr>
                <w:color w:val="auto"/>
                <w:szCs w:val="24"/>
              </w:rPr>
              <w:t>06 b</w:t>
            </w:r>
          </w:p>
        </w:tc>
        <w:tc>
          <w:tcPr>
            <w:tcW w:w="1970" w:type="dxa"/>
            <w:tcBorders>
              <w:top w:val="nil"/>
              <w:left w:val="nil"/>
              <w:bottom w:val="nil"/>
              <w:right w:val="nil"/>
            </w:tcBorders>
            <w:noWrap/>
            <w:vAlign w:val="bottom"/>
          </w:tcPr>
          <w:p w14:paraId="03B7A412" w14:textId="77777777" w:rsidR="008B097D" w:rsidRDefault="006C1DFB">
            <w:pPr>
              <w:spacing w:line="360" w:lineRule="auto"/>
              <w:jc w:val="both"/>
              <w:rPr>
                <w:color w:val="auto"/>
                <w:szCs w:val="24"/>
              </w:rPr>
            </w:pPr>
            <w:r>
              <w:rPr>
                <w:color w:val="auto"/>
                <w:szCs w:val="24"/>
              </w:rPr>
              <w:t>10.23 ± 0.</w:t>
            </w:r>
            <w:r w:rsidR="00221405">
              <w:rPr>
                <w:color w:val="auto"/>
                <w:szCs w:val="24"/>
              </w:rPr>
              <w:t>05 a</w:t>
            </w:r>
          </w:p>
        </w:tc>
        <w:tc>
          <w:tcPr>
            <w:tcW w:w="1774" w:type="dxa"/>
            <w:tcBorders>
              <w:top w:val="nil"/>
              <w:left w:val="nil"/>
              <w:bottom w:val="nil"/>
              <w:right w:val="nil"/>
            </w:tcBorders>
            <w:noWrap/>
            <w:vAlign w:val="bottom"/>
          </w:tcPr>
          <w:p w14:paraId="371DFA64" w14:textId="77777777" w:rsidR="008B097D" w:rsidRDefault="008D2440">
            <w:pPr>
              <w:spacing w:line="360" w:lineRule="auto"/>
              <w:jc w:val="both"/>
              <w:rPr>
                <w:b/>
                <w:bCs/>
                <w:color w:val="auto"/>
                <w:szCs w:val="24"/>
              </w:rPr>
            </w:pPr>
            <w:r>
              <w:rPr>
                <w:b/>
                <w:bCs/>
                <w:color w:val="auto"/>
                <w:szCs w:val="24"/>
              </w:rPr>
              <w:t>0.</w:t>
            </w:r>
            <w:r w:rsidR="00221405">
              <w:rPr>
                <w:b/>
                <w:bCs/>
                <w:color w:val="auto"/>
                <w:szCs w:val="24"/>
              </w:rPr>
              <w:t>000 ***</w:t>
            </w:r>
          </w:p>
        </w:tc>
      </w:tr>
      <w:tr w:rsidR="008B097D" w14:paraId="67D1EBDA" w14:textId="77777777">
        <w:trPr>
          <w:trHeight w:val="315"/>
        </w:trPr>
        <w:tc>
          <w:tcPr>
            <w:tcW w:w="2006" w:type="dxa"/>
            <w:tcBorders>
              <w:top w:val="nil"/>
              <w:left w:val="nil"/>
              <w:bottom w:val="nil"/>
              <w:right w:val="nil"/>
            </w:tcBorders>
            <w:noWrap/>
            <w:vAlign w:val="bottom"/>
          </w:tcPr>
          <w:p w14:paraId="024EDF79" w14:textId="77777777" w:rsidR="008B097D" w:rsidRDefault="00221405">
            <w:pPr>
              <w:spacing w:line="360" w:lineRule="auto"/>
              <w:jc w:val="both"/>
              <w:rPr>
                <w:b/>
                <w:bCs/>
                <w:color w:val="auto"/>
                <w:szCs w:val="24"/>
              </w:rPr>
            </w:pPr>
            <w:proofErr w:type="spellStart"/>
            <w:r>
              <w:rPr>
                <w:b/>
                <w:bCs/>
                <w:color w:val="auto"/>
                <w:szCs w:val="24"/>
              </w:rPr>
              <w:t>Avl</w:t>
            </w:r>
            <w:proofErr w:type="spellEnd"/>
            <w:r>
              <w:rPr>
                <w:b/>
                <w:bCs/>
                <w:color w:val="auto"/>
                <w:szCs w:val="24"/>
              </w:rPr>
              <w:t xml:space="preserve"> P </w:t>
            </w:r>
          </w:p>
        </w:tc>
        <w:tc>
          <w:tcPr>
            <w:tcW w:w="1946" w:type="dxa"/>
            <w:tcBorders>
              <w:top w:val="nil"/>
              <w:left w:val="nil"/>
              <w:bottom w:val="nil"/>
              <w:right w:val="nil"/>
            </w:tcBorders>
            <w:noWrap/>
            <w:vAlign w:val="bottom"/>
          </w:tcPr>
          <w:p w14:paraId="26DFCEB2" w14:textId="77777777" w:rsidR="008B097D" w:rsidRDefault="006C1DFB">
            <w:pPr>
              <w:spacing w:line="360" w:lineRule="auto"/>
              <w:jc w:val="both"/>
              <w:rPr>
                <w:color w:val="auto"/>
                <w:szCs w:val="24"/>
              </w:rPr>
            </w:pPr>
            <w:r>
              <w:rPr>
                <w:color w:val="auto"/>
                <w:szCs w:val="24"/>
              </w:rPr>
              <w:t>5.68 ± 0.</w:t>
            </w:r>
            <w:r w:rsidR="00221405">
              <w:rPr>
                <w:color w:val="auto"/>
                <w:szCs w:val="24"/>
              </w:rPr>
              <w:t>06 b</w:t>
            </w:r>
          </w:p>
        </w:tc>
        <w:tc>
          <w:tcPr>
            <w:tcW w:w="1970" w:type="dxa"/>
            <w:tcBorders>
              <w:top w:val="nil"/>
              <w:left w:val="nil"/>
              <w:bottom w:val="nil"/>
              <w:right w:val="nil"/>
            </w:tcBorders>
            <w:noWrap/>
            <w:vAlign w:val="bottom"/>
          </w:tcPr>
          <w:p w14:paraId="73093CCF" w14:textId="77777777" w:rsidR="008B097D" w:rsidRDefault="006C1DFB">
            <w:pPr>
              <w:spacing w:line="360" w:lineRule="auto"/>
              <w:jc w:val="both"/>
              <w:rPr>
                <w:color w:val="auto"/>
                <w:szCs w:val="24"/>
              </w:rPr>
            </w:pPr>
            <w:r>
              <w:rPr>
                <w:color w:val="auto"/>
                <w:szCs w:val="24"/>
              </w:rPr>
              <w:t>6.45 ± 0.</w:t>
            </w:r>
            <w:r w:rsidR="00221405">
              <w:rPr>
                <w:color w:val="auto"/>
                <w:szCs w:val="24"/>
              </w:rPr>
              <w:t>06 a</w:t>
            </w:r>
          </w:p>
        </w:tc>
        <w:tc>
          <w:tcPr>
            <w:tcW w:w="1774" w:type="dxa"/>
            <w:tcBorders>
              <w:top w:val="nil"/>
              <w:left w:val="nil"/>
              <w:bottom w:val="nil"/>
              <w:right w:val="nil"/>
            </w:tcBorders>
            <w:noWrap/>
            <w:vAlign w:val="bottom"/>
          </w:tcPr>
          <w:p w14:paraId="446EC03E"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28CF37A4" w14:textId="77777777">
        <w:trPr>
          <w:trHeight w:val="315"/>
        </w:trPr>
        <w:tc>
          <w:tcPr>
            <w:tcW w:w="2006" w:type="dxa"/>
            <w:tcBorders>
              <w:top w:val="nil"/>
              <w:left w:val="nil"/>
              <w:bottom w:val="nil"/>
              <w:right w:val="nil"/>
            </w:tcBorders>
            <w:noWrap/>
            <w:vAlign w:val="bottom"/>
          </w:tcPr>
          <w:p w14:paraId="7B520885" w14:textId="77777777" w:rsidR="008B097D" w:rsidRDefault="00221405">
            <w:pPr>
              <w:spacing w:line="360" w:lineRule="auto"/>
              <w:jc w:val="both"/>
              <w:rPr>
                <w:b/>
                <w:bCs/>
                <w:color w:val="auto"/>
                <w:szCs w:val="24"/>
              </w:rPr>
            </w:pPr>
            <w:r>
              <w:rPr>
                <w:b/>
                <w:bCs/>
                <w:color w:val="auto"/>
                <w:szCs w:val="24"/>
              </w:rPr>
              <w:t xml:space="preserve">C </w:t>
            </w:r>
          </w:p>
        </w:tc>
        <w:tc>
          <w:tcPr>
            <w:tcW w:w="1946" w:type="dxa"/>
            <w:tcBorders>
              <w:top w:val="nil"/>
              <w:left w:val="nil"/>
              <w:bottom w:val="nil"/>
              <w:right w:val="nil"/>
            </w:tcBorders>
            <w:noWrap/>
            <w:vAlign w:val="bottom"/>
          </w:tcPr>
          <w:p w14:paraId="151DDFF6" w14:textId="77777777" w:rsidR="008B097D" w:rsidRDefault="006C1DFB">
            <w:pPr>
              <w:spacing w:line="360" w:lineRule="auto"/>
              <w:jc w:val="both"/>
              <w:rPr>
                <w:color w:val="auto"/>
                <w:szCs w:val="24"/>
              </w:rPr>
            </w:pPr>
            <w:r>
              <w:rPr>
                <w:color w:val="auto"/>
                <w:szCs w:val="24"/>
              </w:rPr>
              <w:t>0.14 ± 0.</w:t>
            </w:r>
            <w:r w:rsidR="00221405">
              <w:rPr>
                <w:color w:val="auto"/>
                <w:szCs w:val="24"/>
              </w:rPr>
              <w:t>02 b</w:t>
            </w:r>
          </w:p>
        </w:tc>
        <w:tc>
          <w:tcPr>
            <w:tcW w:w="1970" w:type="dxa"/>
            <w:tcBorders>
              <w:top w:val="nil"/>
              <w:left w:val="nil"/>
              <w:bottom w:val="nil"/>
              <w:right w:val="nil"/>
            </w:tcBorders>
            <w:noWrap/>
            <w:vAlign w:val="bottom"/>
          </w:tcPr>
          <w:p w14:paraId="3625ADC5" w14:textId="77777777" w:rsidR="008B097D" w:rsidRDefault="006C1DFB">
            <w:pPr>
              <w:spacing w:line="360" w:lineRule="auto"/>
              <w:jc w:val="both"/>
              <w:rPr>
                <w:color w:val="auto"/>
                <w:szCs w:val="24"/>
              </w:rPr>
            </w:pPr>
            <w:r>
              <w:rPr>
                <w:color w:val="auto"/>
                <w:szCs w:val="24"/>
              </w:rPr>
              <w:t>0.18 ± 0.</w:t>
            </w:r>
            <w:r w:rsidR="00221405">
              <w:rPr>
                <w:color w:val="auto"/>
                <w:szCs w:val="24"/>
              </w:rPr>
              <w:t>01 a</w:t>
            </w:r>
          </w:p>
        </w:tc>
        <w:tc>
          <w:tcPr>
            <w:tcW w:w="1774" w:type="dxa"/>
            <w:tcBorders>
              <w:top w:val="nil"/>
              <w:left w:val="nil"/>
              <w:bottom w:val="nil"/>
              <w:right w:val="nil"/>
            </w:tcBorders>
            <w:noWrap/>
            <w:vAlign w:val="bottom"/>
          </w:tcPr>
          <w:p w14:paraId="5E882A64"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021 *</w:t>
            </w:r>
          </w:p>
        </w:tc>
      </w:tr>
      <w:tr w:rsidR="008B097D" w14:paraId="5AD4AD84" w14:textId="77777777">
        <w:trPr>
          <w:trHeight w:val="315"/>
        </w:trPr>
        <w:tc>
          <w:tcPr>
            <w:tcW w:w="2006" w:type="dxa"/>
            <w:tcBorders>
              <w:top w:val="nil"/>
              <w:left w:val="nil"/>
              <w:bottom w:val="nil"/>
              <w:right w:val="nil"/>
            </w:tcBorders>
            <w:noWrap/>
            <w:vAlign w:val="bottom"/>
          </w:tcPr>
          <w:p w14:paraId="309644FA" w14:textId="77777777" w:rsidR="008B097D" w:rsidRDefault="00221405">
            <w:pPr>
              <w:spacing w:line="360" w:lineRule="auto"/>
              <w:jc w:val="both"/>
              <w:rPr>
                <w:b/>
                <w:bCs/>
                <w:color w:val="auto"/>
                <w:szCs w:val="24"/>
              </w:rPr>
            </w:pPr>
            <w:r>
              <w:rPr>
                <w:b/>
                <w:bCs/>
                <w:color w:val="auto"/>
                <w:szCs w:val="24"/>
              </w:rPr>
              <w:t xml:space="preserve">OM   </w:t>
            </w:r>
          </w:p>
        </w:tc>
        <w:tc>
          <w:tcPr>
            <w:tcW w:w="1946" w:type="dxa"/>
            <w:tcBorders>
              <w:top w:val="nil"/>
              <w:left w:val="nil"/>
              <w:bottom w:val="nil"/>
              <w:right w:val="nil"/>
            </w:tcBorders>
            <w:noWrap/>
            <w:vAlign w:val="bottom"/>
          </w:tcPr>
          <w:p w14:paraId="0FE0FFB8" w14:textId="77777777" w:rsidR="008B097D" w:rsidRDefault="006C1DFB">
            <w:pPr>
              <w:spacing w:line="360" w:lineRule="auto"/>
              <w:jc w:val="both"/>
              <w:rPr>
                <w:color w:val="auto"/>
                <w:szCs w:val="24"/>
              </w:rPr>
            </w:pPr>
            <w:r>
              <w:rPr>
                <w:color w:val="auto"/>
                <w:szCs w:val="24"/>
              </w:rPr>
              <w:t>0.25 ± 0.</w:t>
            </w:r>
            <w:r w:rsidR="00221405">
              <w:rPr>
                <w:color w:val="auto"/>
                <w:szCs w:val="24"/>
              </w:rPr>
              <w:t>02 b</w:t>
            </w:r>
          </w:p>
        </w:tc>
        <w:tc>
          <w:tcPr>
            <w:tcW w:w="1970" w:type="dxa"/>
            <w:tcBorders>
              <w:top w:val="nil"/>
              <w:left w:val="nil"/>
              <w:bottom w:val="nil"/>
              <w:right w:val="nil"/>
            </w:tcBorders>
            <w:noWrap/>
            <w:vAlign w:val="bottom"/>
          </w:tcPr>
          <w:p w14:paraId="45BEE19A" w14:textId="77777777" w:rsidR="008B097D" w:rsidRDefault="006C1DFB">
            <w:pPr>
              <w:spacing w:line="360" w:lineRule="auto"/>
              <w:jc w:val="both"/>
              <w:rPr>
                <w:color w:val="auto"/>
                <w:szCs w:val="24"/>
              </w:rPr>
            </w:pPr>
            <w:r>
              <w:rPr>
                <w:color w:val="auto"/>
                <w:szCs w:val="24"/>
              </w:rPr>
              <w:t>0.32 ± 0.</w:t>
            </w:r>
            <w:r w:rsidR="00221405">
              <w:rPr>
                <w:color w:val="auto"/>
                <w:szCs w:val="24"/>
              </w:rPr>
              <w:t>02 a</w:t>
            </w:r>
          </w:p>
        </w:tc>
        <w:tc>
          <w:tcPr>
            <w:tcW w:w="1774" w:type="dxa"/>
            <w:tcBorders>
              <w:top w:val="nil"/>
              <w:left w:val="nil"/>
              <w:bottom w:val="nil"/>
              <w:right w:val="nil"/>
            </w:tcBorders>
            <w:noWrap/>
            <w:vAlign w:val="bottom"/>
          </w:tcPr>
          <w:p w14:paraId="46E1ADC8"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003 **</w:t>
            </w:r>
          </w:p>
        </w:tc>
      </w:tr>
      <w:tr w:rsidR="008B097D" w14:paraId="144B0C0E" w14:textId="77777777">
        <w:trPr>
          <w:trHeight w:val="315"/>
        </w:trPr>
        <w:tc>
          <w:tcPr>
            <w:tcW w:w="2006" w:type="dxa"/>
            <w:tcBorders>
              <w:top w:val="nil"/>
              <w:left w:val="nil"/>
              <w:bottom w:val="nil"/>
              <w:right w:val="nil"/>
            </w:tcBorders>
            <w:noWrap/>
            <w:vAlign w:val="bottom"/>
          </w:tcPr>
          <w:p w14:paraId="2C119551" w14:textId="77777777" w:rsidR="008B097D" w:rsidRDefault="00221405">
            <w:pPr>
              <w:spacing w:line="360" w:lineRule="auto"/>
              <w:jc w:val="both"/>
              <w:rPr>
                <w:b/>
                <w:bCs/>
                <w:color w:val="auto"/>
                <w:szCs w:val="24"/>
              </w:rPr>
            </w:pPr>
            <w:r>
              <w:rPr>
                <w:b/>
                <w:bCs/>
                <w:color w:val="auto"/>
                <w:szCs w:val="24"/>
              </w:rPr>
              <w:t xml:space="preserve">N </w:t>
            </w:r>
          </w:p>
        </w:tc>
        <w:tc>
          <w:tcPr>
            <w:tcW w:w="1946" w:type="dxa"/>
            <w:tcBorders>
              <w:top w:val="nil"/>
              <w:left w:val="nil"/>
              <w:bottom w:val="nil"/>
              <w:right w:val="nil"/>
            </w:tcBorders>
            <w:noWrap/>
            <w:vAlign w:val="bottom"/>
          </w:tcPr>
          <w:p w14:paraId="399A21A3" w14:textId="77777777" w:rsidR="008B097D" w:rsidRDefault="006C1DFB">
            <w:pPr>
              <w:spacing w:line="360" w:lineRule="auto"/>
              <w:jc w:val="both"/>
              <w:rPr>
                <w:color w:val="auto"/>
                <w:szCs w:val="24"/>
              </w:rPr>
            </w:pPr>
            <w:r>
              <w:rPr>
                <w:color w:val="auto"/>
                <w:szCs w:val="24"/>
              </w:rPr>
              <w:t xml:space="preserve">     0.</w:t>
            </w:r>
            <w:r w:rsidR="00221405">
              <w:rPr>
                <w:color w:val="auto"/>
                <w:szCs w:val="24"/>
              </w:rPr>
              <w:t>01 ± 0 b</w:t>
            </w:r>
          </w:p>
        </w:tc>
        <w:tc>
          <w:tcPr>
            <w:tcW w:w="1970" w:type="dxa"/>
            <w:tcBorders>
              <w:top w:val="nil"/>
              <w:left w:val="nil"/>
              <w:bottom w:val="nil"/>
              <w:right w:val="nil"/>
            </w:tcBorders>
            <w:noWrap/>
            <w:vAlign w:val="bottom"/>
          </w:tcPr>
          <w:p w14:paraId="6909428E" w14:textId="77777777" w:rsidR="008B097D" w:rsidRDefault="006C1DFB">
            <w:pPr>
              <w:spacing w:line="360" w:lineRule="auto"/>
              <w:jc w:val="both"/>
              <w:rPr>
                <w:color w:val="auto"/>
                <w:szCs w:val="24"/>
              </w:rPr>
            </w:pPr>
            <w:r>
              <w:rPr>
                <w:color w:val="auto"/>
                <w:szCs w:val="24"/>
              </w:rPr>
              <w:t>0.</w:t>
            </w:r>
            <w:r w:rsidR="00221405">
              <w:rPr>
                <w:color w:val="auto"/>
                <w:szCs w:val="24"/>
              </w:rPr>
              <w:t>02 ± 0 a</w:t>
            </w:r>
          </w:p>
        </w:tc>
        <w:tc>
          <w:tcPr>
            <w:tcW w:w="1774" w:type="dxa"/>
            <w:tcBorders>
              <w:top w:val="nil"/>
              <w:left w:val="nil"/>
              <w:bottom w:val="nil"/>
              <w:right w:val="nil"/>
            </w:tcBorders>
            <w:noWrap/>
            <w:vAlign w:val="bottom"/>
          </w:tcPr>
          <w:p w14:paraId="234B2159"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3B7F51D6" w14:textId="77777777">
        <w:trPr>
          <w:trHeight w:val="315"/>
        </w:trPr>
        <w:tc>
          <w:tcPr>
            <w:tcW w:w="2006" w:type="dxa"/>
            <w:tcBorders>
              <w:top w:val="nil"/>
              <w:left w:val="nil"/>
              <w:bottom w:val="nil"/>
              <w:right w:val="nil"/>
            </w:tcBorders>
            <w:noWrap/>
            <w:vAlign w:val="bottom"/>
          </w:tcPr>
          <w:p w14:paraId="1E1A3BD2" w14:textId="77777777" w:rsidR="008B097D" w:rsidRDefault="00221405">
            <w:pPr>
              <w:spacing w:line="360" w:lineRule="auto"/>
              <w:jc w:val="both"/>
              <w:rPr>
                <w:b/>
                <w:bCs/>
                <w:color w:val="auto"/>
                <w:szCs w:val="24"/>
              </w:rPr>
            </w:pPr>
            <w:r>
              <w:rPr>
                <w:b/>
                <w:bCs/>
                <w:color w:val="auto"/>
                <w:szCs w:val="24"/>
              </w:rPr>
              <w:t>Ca</w:t>
            </w:r>
            <w:r>
              <w:rPr>
                <w:b/>
                <w:bCs/>
                <w:color w:val="auto"/>
                <w:szCs w:val="24"/>
                <w:vertAlign w:val="superscript"/>
              </w:rPr>
              <w:t>2+</w:t>
            </w:r>
          </w:p>
        </w:tc>
        <w:tc>
          <w:tcPr>
            <w:tcW w:w="1946" w:type="dxa"/>
            <w:tcBorders>
              <w:top w:val="nil"/>
              <w:left w:val="nil"/>
              <w:bottom w:val="nil"/>
              <w:right w:val="nil"/>
            </w:tcBorders>
            <w:noWrap/>
            <w:vAlign w:val="bottom"/>
          </w:tcPr>
          <w:p w14:paraId="6F75ACBF" w14:textId="77777777" w:rsidR="008B097D" w:rsidRDefault="006C1DFB">
            <w:pPr>
              <w:spacing w:line="360" w:lineRule="auto"/>
              <w:jc w:val="both"/>
              <w:rPr>
                <w:color w:val="auto"/>
                <w:szCs w:val="24"/>
              </w:rPr>
            </w:pPr>
            <w:r>
              <w:rPr>
                <w:color w:val="auto"/>
                <w:szCs w:val="24"/>
              </w:rPr>
              <w:t>4.70 ± 0.</w:t>
            </w:r>
            <w:r w:rsidR="00221405">
              <w:rPr>
                <w:color w:val="auto"/>
                <w:szCs w:val="24"/>
              </w:rPr>
              <w:t>06 b</w:t>
            </w:r>
          </w:p>
        </w:tc>
        <w:tc>
          <w:tcPr>
            <w:tcW w:w="1970" w:type="dxa"/>
            <w:tcBorders>
              <w:top w:val="nil"/>
              <w:left w:val="nil"/>
              <w:bottom w:val="nil"/>
              <w:right w:val="nil"/>
            </w:tcBorders>
            <w:noWrap/>
            <w:vAlign w:val="bottom"/>
          </w:tcPr>
          <w:p w14:paraId="107103D7" w14:textId="77777777" w:rsidR="008B097D" w:rsidRDefault="006C1DFB">
            <w:pPr>
              <w:spacing w:line="360" w:lineRule="auto"/>
              <w:jc w:val="both"/>
              <w:rPr>
                <w:color w:val="auto"/>
                <w:szCs w:val="24"/>
              </w:rPr>
            </w:pPr>
            <w:r>
              <w:rPr>
                <w:color w:val="auto"/>
                <w:szCs w:val="24"/>
              </w:rPr>
              <w:t>5.79 ± 0.</w:t>
            </w:r>
            <w:r w:rsidR="00221405">
              <w:rPr>
                <w:color w:val="auto"/>
                <w:szCs w:val="24"/>
              </w:rPr>
              <w:t>02 a</w:t>
            </w:r>
          </w:p>
        </w:tc>
        <w:tc>
          <w:tcPr>
            <w:tcW w:w="1774" w:type="dxa"/>
            <w:tcBorders>
              <w:top w:val="nil"/>
              <w:left w:val="nil"/>
              <w:bottom w:val="nil"/>
              <w:right w:val="nil"/>
            </w:tcBorders>
            <w:noWrap/>
            <w:vAlign w:val="bottom"/>
          </w:tcPr>
          <w:p w14:paraId="5AAD0AAC"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18FB697B" w14:textId="77777777">
        <w:trPr>
          <w:trHeight w:val="315"/>
        </w:trPr>
        <w:tc>
          <w:tcPr>
            <w:tcW w:w="2006" w:type="dxa"/>
            <w:tcBorders>
              <w:top w:val="nil"/>
              <w:left w:val="nil"/>
              <w:bottom w:val="nil"/>
              <w:right w:val="nil"/>
            </w:tcBorders>
            <w:noWrap/>
            <w:vAlign w:val="bottom"/>
          </w:tcPr>
          <w:p w14:paraId="1E73410E" w14:textId="77777777" w:rsidR="008B097D" w:rsidRDefault="00221405">
            <w:pPr>
              <w:spacing w:line="360" w:lineRule="auto"/>
              <w:jc w:val="both"/>
              <w:rPr>
                <w:b/>
                <w:bCs/>
                <w:color w:val="auto"/>
                <w:szCs w:val="24"/>
              </w:rPr>
            </w:pPr>
            <w:r>
              <w:rPr>
                <w:b/>
                <w:bCs/>
                <w:color w:val="auto"/>
                <w:szCs w:val="24"/>
              </w:rPr>
              <w:t>Mg</w:t>
            </w:r>
            <w:r>
              <w:rPr>
                <w:b/>
                <w:bCs/>
                <w:color w:val="auto"/>
                <w:szCs w:val="24"/>
                <w:vertAlign w:val="superscript"/>
              </w:rPr>
              <w:t>2+</w:t>
            </w:r>
          </w:p>
        </w:tc>
        <w:tc>
          <w:tcPr>
            <w:tcW w:w="1946" w:type="dxa"/>
            <w:tcBorders>
              <w:top w:val="nil"/>
              <w:left w:val="nil"/>
              <w:bottom w:val="nil"/>
              <w:right w:val="nil"/>
            </w:tcBorders>
            <w:noWrap/>
            <w:vAlign w:val="bottom"/>
          </w:tcPr>
          <w:p w14:paraId="46938669" w14:textId="77777777" w:rsidR="008B097D" w:rsidRDefault="006C1DFB">
            <w:pPr>
              <w:spacing w:line="360" w:lineRule="auto"/>
              <w:jc w:val="both"/>
              <w:rPr>
                <w:color w:val="auto"/>
                <w:szCs w:val="24"/>
              </w:rPr>
            </w:pPr>
            <w:proofErr w:type="gramStart"/>
            <w:r>
              <w:rPr>
                <w:color w:val="auto"/>
                <w:szCs w:val="24"/>
              </w:rPr>
              <w:t>2.8  ±</w:t>
            </w:r>
            <w:proofErr w:type="gramEnd"/>
            <w:r>
              <w:rPr>
                <w:color w:val="auto"/>
                <w:szCs w:val="24"/>
              </w:rPr>
              <w:t xml:space="preserve"> 0.</w:t>
            </w:r>
            <w:r w:rsidR="00221405">
              <w:rPr>
                <w:color w:val="auto"/>
                <w:szCs w:val="24"/>
              </w:rPr>
              <w:t>02 b</w:t>
            </w:r>
          </w:p>
        </w:tc>
        <w:tc>
          <w:tcPr>
            <w:tcW w:w="1970" w:type="dxa"/>
            <w:tcBorders>
              <w:top w:val="nil"/>
              <w:left w:val="nil"/>
              <w:bottom w:val="nil"/>
              <w:right w:val="nil"/>
            </w:tcBorders>
            <w:noWrap/>
            <w:vAlign w:val="bottom"/>
          </w:tcPr>
          <w:p w14:paraId="24983932" w14:textId="77777777" w:rsidR="008B097D" w:rsidRDefault="006C1DFB">
            <w:pPr>
              <w:spacing w:line="360" w:lineRule="auto"/>
              <w:jc w:val="both"/>
              <w:rPr>
                <w:color w:val="auto"/>
                <w:szCs w:val="24"/>
              </w:rPr>
            </w:pPr>
            <w:r>
              <w:rPr>
                <w:color w:val="auto"/>
                <w:szCs w:val="24"/>
              </w:rPr>
              <w:t>3.2 ± 0.</w:t>
            </w:r>
            <w:r w:rsidR="00221405">
              <w:rPr>
                <w:color w:val="auto"/>
                <w:szCs w:val="24"/>
              </w:rPr>
              <w:t>01 a</w:t>
            </w:r>
          </w:p>
        </w:tc>
        <w:tc>
          <w:tcPr>
            <w:tcW w:w="1774" w:type="dxa"/>
            <w:tcBorders>
              <w:top w:val="nil"/>
              <w:left w:val="nil"/>
              <w:bottom w:val="nil"/>
              <w:right w:val="nil"/>
            </w:tcBorders>
            <w:noWrap/>
            <w:vAlign w:val="bottom"/>
          </w:tcPr>
          <w:p w14:paraId="7ED6FED7"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0494EA7B" w14:textId="77777777">
        <w:trPr>
          <w:trHeight w:val="315"/>
        </w:trPr>
        <w:tc>
          <w:tcPr>
            <w:tcW w:w="2006" w:type="dxa"/>
            <w:tcBorders>
              <w:top w:val="nil"/>
              <w:left w:val="nil"/>
              <w:bottom w:val="nil"/>
              <w:right w:val="nil"/>
            </w:tcBorders>
            <w:noWrap/>
            <w:vAlign w:val="bottom"/>
          </w:tcPr>
          <w:p w14:paraId="000A5267" w14:textId="77777777" w:rsidR="008B097D" w:rsidRDefault="00221405">
            <w:pPr>
              <w:spacing w:line="360" w:lineRule="auto"/>
              <w:jc w:val="both"/>
              <w:rPr>
                <w:b/>
                <w:bCs/>
                <w:color w:val="auto"/>
                <w:szCs w:val="24"/>
              </w:rPr>
            </w:pPr>
            <w:r>
              <w:rPr>
                <w:b/>
                <w:bCs/>
                <w:color w:val="auto"/>
                <w:szCs w:val="24"/>
              </w:rPr>
              <w:t>Na</w:t>
            </w:r>
            <w:r>
              <w:rPr>
                <w:b/>
                <w:bCs/>
                <w:color w:val="auto"/>
                <w:szCs w:val="24"/>
                <w:vertAlign w:val="superscript"/>
              </w:rPr>
              <w:t>+</w:t>
            </w:r>
          </w:p>
          <w:p w14:paraId="2707EE2B" w14:textId="77777777" w:rsidR="008B097D" w:rsidRDefault="00221405">
            <w:pPr>
              <w:spacing w:line="360" w:lineRule="auto"/>
              <w:jc w:val="both"/>
              <w:rPr>
                <w:b/>
                <w:bCs/>
                <w:color w:val="auto"/>
                <w:szCs w:val="24"/>
              </w:rPr>
            </w:pPr>
            <w:r>
              <w:rPr>
                <w:b/>
                <w:bCs/>
                <w:color w:val="auto"/>
                <w:szCs w:val="24"/>
              </w:rPr>
              <w:t>S</w:t>
            </w:r>
          </w:p>
          <w:p w14:paraId="7648BCAA" w14:textId="77777777" w:rsidR="008B097D" w:rsidRDefault="00221405">
            <w:pPr>
              <w:spacing w:line="360" w:lineRule="auto"/>
              <w:jc w:val="both"/>
              <w:rPr>
                <w:b/>
                <w:bCs/>
                <w:color w:val="auto"/>
                <w:szCs w:val="24"/>
              </w:rPr>
            </w:pPr>
            <w:proofErr w:type="gramStart"/>
            <w:r>
              <w:rPr>
                <w:b/>
                <w:bCs/>
                <w:color w:val="auto"/>
                <w:szCs w:val="24"/>
              </w:rPr>
              <w:t>k</w:t>
            </w:r>
            <w:proofErr w:type="gramEnd"/>
            <w:r>
              <w:rPr>
                <w:b/>
                <w:bCs/>
                <w:color w:val="auto"/>
                <w:szCs w:val="24"/>
                <w:vertAlign w:val="superscript"/>
              </w:rPr>
              <w:t xml:space="preserve">+                                                                                                                                              </w:t>
            </w:r>
          </w:p>
        </w:tc>
        <w:tc>
          <w:tcPr>
            <w:tcW w:w="1946" w:type="dxa"/>
            <w:tcBorders>
              <w:top w:val="nil"/>
              <w:left w:val="nil"/>
              <w:bottom w:val="nil"/>
              <w:right w:val="nil"/>
            </w:tcBorders>
            <w:noWrap/>
            <w:vAlign w:val="bottom"/>
          </w:tcPr>
          <w:p w14:paraId="5F7AB374" w14:textId="77777777" w:rsidR="008B097D" w:rsidRDefault="006C1DFB">
            <w:pPr>
              <w:spacing w:line="360" w:lineRule="auto"/>
              <w:jc w:val="both"/>
              <w:rPr>
                <w:color w:val="auto"/>
                <w:szCs w:val="24"/>
              </w:rPr>
            </w:pPr>
            <w:r>
              <w:rPr>
                <w:color w:val="auto"/>
                <w:szCs w:val="24"/>
              </w:rPr>
              <w:t>0.28 ± 0.</w:t>
            </w:r>
            <w:r w:rsidR="00221405">
              <w:rPr>
                <w:color w:val="auto"/>
                <w:szCs w:val="24"/>
              </w:rPr>
              <w:t>01 a</w:t>
            </w:r>
          </w:p>
          <w:p w14:paraId="01433FFD" w14:textId="77777777" w:rsidR="008B097D" w:rsidRDefault="006C1DFB">
            <w:pPr>
              <w:spacing w:line="360" w:lineRule="auto"/>
              <w:jc w:val="both"/>
              <w:rPr>
                <w:color w:val="auto"/>
                <w:szCs w:val="24"/>
              </w:rPr>
            </w:pPr>
            <w:r>
              <w:rPr>
                <w:color w:val="auto"/>
                <w:szCs w:val="24"/>
              </w:rPr>
              <w:t>8.10 ± 0.</w:t>
            </w:r>
            <w:r w:rsidR="00221405">
              <w:rPr>
                <w:color w:val="auto"/>
                <w:szCs w:val="24"/>
              </w:rPr>
              <w:t>02 b</w:t>
            </w:r>
          </w:p>
          <w:p w14:paraId="0BFA6E08" w14:textId="77777777" w:rsidR="008B097D" w:rsidRDefault="006C1DFB">
            <w:pPr>
              <w:spacing w:line="360" w:lineRule="auto"/>
              <w:jc w:val="both"/>
              <w:rPr>
                <w:color w:val="auto"/>
                <w:szCs w:val="24"/>
              </w:rPr>
            </w:pPr>
            <w:r>
              <w:rPr>
                <w:bCs/>
                <w:color w:val="auto"/>
                <w:szCs w:val="24"/>
              </w:rPr>
              <w:t>0.</w:t>
            </w:r>
            <w:r w:rsidR="00221405">
              <w:rPr>
                <w:bCs/>
                <w:color w:val="auto"/>
                <w:szCs w:val="24"/>
              </w:rPr>
              <w:t xml:space="preserve">32 </w:t>
            </w:r>
            <w:r w:rsidR="00221405">
              <w:rPr>
                <w:color w:val="auto"/>
                <w:szCs w:val="24"/>
              </w:rPr>
              <w:t>± 0,01</w:t>
            </w:r>
            <w:r w:rsidR="00221405">
              <w:rPr>
                <w:bCs/>
                <w:color w:val="auto"/>
                <w:szCs w:val="24"/>
              </w:rPr>
              <w:t xml:space="preserve"> b</w:t>
            </w:r>
          </w:p>
        </w:tc>
        <w:tc>
          <w:tcPr>
            <w:tcW w:w="1970" w:type="dxa"/>
            <w:tcBorders>
              <w:top w:val="nil"/>
              <w:left w:val="nil"/>
              <w:bottom w:val="nil"/>
              <w:right w:val="nil"/>
            </w:tcBorders>
            <w:noWrap/>
            <w:vAlign w:val="bottom"/>
          </w:tcPr>
          <w:p w14:paraId="215BE753" w14:textId="77777777" w:rsidR="008B097D" w:rsidRDefault="006C1DFB">
            <w:pPr>
              <w:spacing w:line="360" w:lineRule="auto"/>
              <w:jc w:val="both"/>
              <w:rPr>
                <w:color w:val="auto"/>
                <w:szCs w:val="24"/>
              </w:rPr>
            </w:pPr>
            <w:r>
              <w:rPr>
                <w:color w:val="auto"/>
                <w:szCs w:val="24"/>
              </w:rPr>
              <w:t>0.</w:t>
            </w:r>
            <w:r w:rsidR="00221405">
              <w:rPr>
                <w:color w:val="auto"/>
                <w:szCs w:val="24"/>
              </w:rPr>
              <w:t xml:space="preserve">23 ± </w:t>
            </w:r>
            <w:r>
              <w:rPr>
                <w:color w:val="auto"/>
                <w:szCs w:val="24"/>
              </w:rPr>
              <w:t>0.</w:t>
            </w:r>
            <w:r w:rsidR="00221405">
              <w:rPr>
                <w:color w:val="auto"/>
                <w:szCs w:val="24"/>
              </w:rPr>
              <w:t>03 b</w:t>
            </w:r>
          </w:p>
          <w:p w14:paraId="5DC625E4" w14:textId="77777777" w:rsidR="008B097D" w:rsidRDefault="006C1DFB">
            <w:pPr>
              <w:spacing w:line="360" w:lineRule="auto"/>
              <w:jc w:val="both"/>
              <w:rPr>
                <w:color w:val="auto"/>
                <w:szCs w:val="24"/>
              </w:rPr>
            </w:pPr>
            <w:r>
              <w:rPr>
                <w:color w:val="auto"/>
                <w:szCs w:val="24"/>
              </w:rPr>
              <w:t>9.</w:t>
            </w:r>
            <w:r w:rsidR="00221405">
              <w:rPr>
                <w:color w:val="auto"/>
                <w:szCs w:val="24"/>
              </w:rPr>
              <w:t>59 ± a</w:t>
            </w:r>
          </w:p>
          <w:p w14:paraId="15A89002" w14:textId="77777777" w:rsidR="008B097D" w:rsidRDefault="006C1DFB">
            <w:pPr>
              <w:spacing w:line="360" w:lineRule="auto"/>
              <w:jc w:val="both"/>
              <w:rPr>
                <w:color w:val="auto"/>
                <w:szCs w:val="24"/>
              </w:rPr>
            </w:pPr>
            <w:r>
              <w:rPr>
                <w:color w:val="auto"/>
                <w:szCs w:val="24"/>
              </w:rPr>
              <w:t>0.</w:t>
            </w:r>
            <w:r w:rsidR="00221405">
              <w:rPr>
                <w:color w:val="auto"/>
                <w:szCs w:val="24"/>
              </w:rPr>
              <w:t>36 ± a</w:t>
            </w:r>
          </w:p>
        </w:tc>
        <w:tc>
          <w:tcPr>
            <w:tcW w:w="1774" w:type="dxa"/>
            <w:tcBorders>
              <w:top w:val="nil"/>
              <w:left w:val="nil"/>
              <w:bottom w:val="nil"/>
              <w:right w:val="nil"/>
            </w:tcBorders>
            <w:noWrap/>
            <w:vAlign w:val="bottom"/>
          </w:tcPr>
          <w:p w14:paraId="7EA9555E"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016 **</w:t>
            </w:r>
          </w:p>
          <w:p w14:paraId="413D03A4"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p w14:paraId="5CC1743B"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021*</w:t>
            </w:r>
          </w:p>
        </w:tc>
      </w:tr>
      <w:tr w:rsidR="008B097D" w14:paraId="2C64C555" w14:textId="77777777">
        <w:trPr>
          <w:trHeight w:val="315"/>
        </w:trPr>
        <w:tc>
          <w:tcPr>
            <w:tcW w:w="2006" w:type="dxa"/>
            <w:tcBorders>
              <w:top w:val="nil"/>
              <w:left w:val="nil"/>
              <w:bottom w:val="nil"/>
              <w:right w:val="nil"/>
            </w:tcBorders>
            <w:noWrap/>
            <w:vAlign w:val="bottom"/>
          </w:tcPr>
          <w:p w14:paraId="5FF42B80" w14:textId="77777777" w:rsidR="008B097D" w:rsidRDefault="00221405">
            <w:pPr>
              <w:spacing w:line="360" w:lineRule="auto"/>
              <w:jc w:val="both"/>
              <w:rPr>
                <w:b/>
                <w:bCs/>
                <w:color w:val="auto"/>
                <w:szCs w:val="24"/>
              </w:rPr>
            </w:pPr>
            <w:r>
              <w:rPr>
                <w:b/>
                <w:bCs/>
                <w:color w:val="auto"/>
                <w:szCs w:val="24"/>
              </w:rPr>
              <w:t>CEC</w:t>
            </w:r>
          </w:p>
        </w:tc>
        <w:tc>
          <w:tcPr>
            <w:tcW w:w="1946" w:type="dxa"/>
            <w:tcBorders>
              <w:top w:val="nil"/>
              <w:left w:val="nil"/>
              <w:bottom w:val="nil"/>
              <w:right w:val="nil"/>
            </w:tcBorders>
            <w:noWrap/>
            <w:vAlign w:val="bottom"/>
          </w:tcPr>
          <w:p w14:paraId="3535BDE5" w14:textId="77777777" w:rsidR="008B097D" w:rsidRDefault="006C1DFB">
            <w:pPr>
              <w:spacing w:line="360" w:lineRule="auto"/>
              <w:jc w:val="both"/>
              <w:rPr>
                <w:color w:val="auto"/>
                <w:szCs w:val="24"/>
              </w:rPr>
            </w:pPr>
            <w:r>
              <w:rPr>
                <w:color w:val="auto"/>
                <w:szCs w:val="24"/>
              </w:rPr>
              <w:t>11.25 ± 0.</w:t>
            </w:r>
            <w:r w:rsidR="00221405">
              <w:rPr>
                <w:color w:val="auto"/>
                <w:szCs w:val="24"/>
              </w:rPr>
              <w:t>03 b</w:t>
            </w:r>
          </w:p>
        </w:tc>
        <w:tc>
          <w:tcPr>
            <w:tcW w:w="1970" w:type="dxa"/>
            <w:tcBorders>
              <w:top w:val="nil"/>
              <w:left w:val="nil"/>
              <w:bottom w:val="nil"/>
              <w:right w:val="nil"/>
            </w:tcBorders>
            <w:noWrap/>
            <w:vAlign w:val="bottom"/>
          </w:tcPr>
          <w:p w14:paraId="69C2BF59" w14:textId="77777777" w:rsidR="008B097D" w:rsidRDefault="006C1DFB">
            <w:pPr>
              <w:spacing w:line="360" w:lineRule="auto"/>
              <w:jc w:val="both"/>
              <w:rPr>
                <w:color w:val="auto"/>
                <w:szCs w:val="24"/>
              </w:rPr>
            </w:pPr>
            <w:r>
              <w:rPr>
                <w:color w:val="auto"/>
                <w:szCs w:val="24"/>
              </w:rPr>
              <w:t>11.</w:t>
            </w:r>
            <w:r w:rsidR="00221405">
              <w:rPr>
                <w:color w:val="auto"/>
                <w:szCs w:val="24"/>
              </w:rPr>
              <w:t>75 ± a</w:t>
            </w:r>
          </w:p>
        </w:tc>
        <w:tc>
          <w:tcPr>
            <w:tcW w:w="1774" w:type="dxa"/>
            <w:tcBorders>
              <w:top w:val="nil"/>
              <w:left w:val="nil"/>
              <w:bottom w:val="nil"/>
              <w:right w:val="nil"/>
            </w:tcBorders>
            <w:noWrap/>
            <w:vAlign w:val="bottom"/>
          </w:tcPr>
          <w:p w14:paraId="6F33AC45"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w:t>
            </w:r>
          </w:p>
        </w:tc>
      </w:tr>
      <w:tr w:rsidR="008B097D" w14:paraId="0C175287" w14:textId="77777777">
        <w:trPr>
          <w:trHeight w:val="315"/>
        </w:trPr>
        <w:tc>
          <w:tcPr>
            <w:tcW w:w="2006" w:type="dxa"/>
            <w:tcBorders>
              <w:top w:val="nil"/>
              <w:left w:val="nil"/>
              <w:bottom w:val="nil"/>
              <w:right w:val="nil"/>
            </w:tcBorders>
            <w:noWrap/>
            <w:vAlign w:val="bottom"/>
          </w:tcPr>
          <w:p w14:paraId="30F327DE" w14:textId="77777777" w:rsidR="008B097D" w:rsidRDefault="00221405">
            <w:pPr>
              <w:spacing w:line="360" w:lineRule="auto"/>
              <w:ind w:left="0" w:firstLine="0"/>
              <w:jc w:val="both"/>
              <w:rPr>
                <w:b/>
                <w:bCs/>
                <w:color w:val="auto"/>
                <w:szCs w:val="24"/>
              </w:rPr>
            </w:pPr>
            <w:r>
              <w:rPr>
                <w:b/>
                <w:bCs/>
                <w:color w:val="auto"/>
                <w:szCs w:val="24"/>
              </w:rPr>
              <w:t xml:space="preserve">                                            S</w:t>
            </w:r>
          </w:p>
        </w:tc>
        <w:tc>
          <w:tcPr>
            <w:tcW w:w="1946" w:type="dxa"/>
            <w:tcBorders>
              <w:top w:val="nil"/>
              <w:left w:val="nil"/>
              <w:bottom w:val="nil"/>
              <w:right w:val="nil"/>
            </w:tcBorders>
            <w:noWrap/>
            <w:vAlign w:val="bottom"/>
          </w:tcPr>
          <w:p w14:paraId="7B4D4F41" w14:textId="77777777" w:rsidR="008B097D" w:rsidRDefault="006C1DFB">
            <w:pPr>
              <w:spacing w:line="360" w:lineRule="auto"/>
              <w:jc w:val="both"/>
              <w:rPr>
                <w:color w:val="auto"/>
                <w:szCs w:val="24"/>
              </w:rPr>
            </w:pPr>
            <w:r>
              <w:rPr>
                <w:color w:val="auto"/>
                <w:szCs w:val="24"/>
              </w:rPr>
              <w:t>0.</w:t>
            </w:r>
            <w:r w:rsidR="00221405">
              <w:rPr>
                <w:color w:val="auto"/>
                <w:szCs w:val="24"/>
              </w:rPr>
              <w:t>72 ± 0 b</w:t>
            </w:r>
          </w:p>
        </w:tc>
        <w:tc>
          <w:tcPr>
            <w:tcW w:w="1970" w:type="dxa"/>
            <w:tcBorders>
              <w:top w:val="nil"/>
              <w:left w:val="nil"/>
              <w:bottom w:val="nil"/>
              <w:right w:val="nil"/>
            </w:tcBorders>
            <w:noWrap/>
            <w:vAlign w:val="bottom"/>
          </w:tcPr>
          <w:p w14:paraId="5FE6681F" w14:textId="77777777" w:rsidR="008B097D" w:rsidRDefault="006C1DFB">
            <w:pPr>
              <w:spacing w:line="360" w:lineRule="auto"/>
              <w:jc w:val="both"/>
              <w:rPr>
                <w:color w:val="auto"/>
                <w:szCs w:val="24"/>
              </w:rPr>
            </w:pPr>
            <w:r>
              <w:rPr>
                <w:color w:val="auto"/>
                <w:szCs w:val="24"/>
              </w:rPr>
              <w:t>0.</w:t>
            </w:r>
            <w:r w:rsidR="00221405">
              <w:rPr>
                <w:color w:val="auto"/>
                <w:szCs w:val="24"/>
              </w:rPr>
              <w:t>82 ± 0 a</w:t>
            </w:r>
          </w:p>
        </w:tc>
        <w:tc>
          <w:tcPr>
            <w:tcW w:w="1774" w:type="dxa"/>
            <w:tcBorders>
              <w:top w:val="nil"/>
              <w:left w:val="nil"/>
              <w:bottom w:val="nil"/>
              <w:right w:val="nil"/>
            </w:tcBorders>
            <w:noWrap/>
            <w:vAlign w:val="bottom"/>
          </w:tcPr>
          <w:p w14:paraId="253562AD"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r w:rsidR="008B097D" w14:paraId="2E2252A0" w14:textId="77777777">
        <w:trPr>
          <w:trHeight w:val="315"/>
        </w:trPr>
        <w:tc>
          <w:tcPr>
            <w:tcW w:w="2006" w:type="dxa"/>
            <w:tcBorders>
              <w:top w:val="nil"/>
              <w:left w:val="nil"/>
              <w:bottom w:val="single" w:sz="12" w:space="0" w:color="auto"/>
              <w:right w:val="nil"/>
            </w:tcBorders>
            <w:noWrap/>
            <w:vAlign w:val="bottom"/>
          </w:tcPr>
          <w:p w14:paraId="75C5CA0D" w14:textId="77777777" w:rsidR="008B097D" w:rsidRDefault="00221405">
            <w:pPr>
              <w:spacing w:line="360" w:lineRule="auto"/>
              <w:jc w:val="both"/>
              <w:rPr>
                <w:b/>
                <w:bCs/>
                <w:color w:val="auto"/>
                <w:szCs w:val="24"/>
              </w:rPr>
            </w:pPr>
            <w:r>
              <w:rPr>
                <w:b/>
                <w:bCs/>
                <w:color w:val="auto"/>
                <w:szCs w:val="24"/>
              </w:rPr>
              <w:t>C/N</w:t>
            </w:r>
          </w:p>
        </w:tc>
        <w:tc>
          <w:tcPr>
            <w:tcW w:w="1946" w:type="dxa"/>
            <w:tcBorders>
              <w:top w:val="nil"/>
              <w:left w:val="nil"/>
              <w:bottom w:val="single" w:sz="12" w:space="0" w:color="auto"/>
              <w:right w:val="nil"/>
            </w:tcBorders>
            <w:noWrap/>
            <w:vAlign w:val="bottom"/>
          </w:tcPr>
          <w:p w14:paraId="3FE539BA" w14:textId="77777777" w:rsidR="008B097D" w:rsidRDefault="006C1DFB">
            <w:pPr>
              <w:spacing w:line="360" w:lineRule="auto"/>
              <w:jc w:val="both"/>
              <w:rPr>
                <w:color w:val="auto"/>
                <w:szCs w:val="24"/>
              </w:rPr>
            </w:pPr>
            <w:r>
              <w:rPr>
                <w:color w:val="auto"/>
                <w:szCs w:val="24"/>
              </w:rPr>
              <w:t>11.</w:t>
            </w:r>
            <w:r w:rsidR="00221405">
              <w:rPr>
                <w:color w:val="auto"/>
                <w:szCs w:val="24"/>
              </w:rPr>
              <w:t>05 ± 0 a</w:t>
            </w:r>
          </w:p>
        </w:tc>
        <w:tc>
          <w:tcPr>
            <w:tcW w:w="1970" w:type="dxa"/>
            <w:tcBorders>
              <w:top w:val="nil"/>
              <w:left w:val="nil"/>
              <w:bottom w:val="single" w:sz="12" w:space="0" w:color="auto"/>
              <w:right w:val="nil"/>
            </w:tcBorders>
            <w:noWrap/>
            <w:vAlign w:val="bottom"/>
          </w:tcPr>
          <w:p w14:paraId="57E468B7" w14:textId="77777777" w:rsidR="008B097D" w:rsidRDefault="006C1DFB">
            <w:pPr>
              <w:spacing w:line="360" w:lineRule="auto"/>
              <w:jc w:val="both"/>
              <w:rPr>
                <w:color w:val="auto"/>
                <w:szCs w:val="24"/>
              </w:rPr>
            </w:pPr>
            <w:r>
              <w:rPr>
                <w:color w:val="auto"/>
                <w:szCs w:val="24"/>
              </w:rPr>
              <w:t>10.</w:t>
            </w:r>
            <w:r w:rsidR="00221405">
              <w:rPr>
                <w:color w:val="auto"/>
                <w:szCs w:val="24"/>
              </w:rPr>
              <w:t>2 ± 0 b</w:t>
            </w:r>
          </w:p>
        </w:tc>
        <w:tc>
          <w:tcPr>
            <w:tcW w:w="1774" w:type="dxa"/>
            <w:tcBorders>
              <w:top w:val="nil"/>
              <w:left w:val="nil"/>
              <w:bottom w:val="single" w:sz="12" w:space="0" w:color="auto"/>
              <w:right w:val="nil"/>
            </w:tcBorders>
            <w:noWrap/>
            <w:vAlign w:val="bottom"/>
          </w:tcPr>
          <w:p w14:paraId="70920DA4" w14:textId="77777777" w:rsidR="008B097D" w:rsidRDefault="006C1DFB">
            <w:pPr>
              <w:spacing w:line="360" w:lineRule="auto"/>
              <w:jc w:val="both"/>
              <w:rPr>
                <w:b/>
                <w:bCs/>
                <w:color w:val="auto"/>
                <w:szCs w:val="24"/>
              </w:rPr>
            </w:pPr>
            <w:r>
              <w:rPr>
                <w:b/>
                <w:bCs/>
                <w:color w:val="auto"/>
                <w:szCs w:val="24"/>
              </w:rPr>
              <w:t>0.</w:t>
            </w:r>
            <w:r w:rsidR="00221405">
              <w:rPr>
                <w:b/>
                <w:bCs/>
                <w:color w:val="auto"/>
                <w:szCs w:val="24"/>
              </w:rPr>
              <w:t>000 ***</w:t>
            </w:r>
          </w:p>
        </w:tc>
      </w:tr>
    </w:tbl>
    <w:p w14:paraId="75C89C50" w14:textId="77777777" w:rsidR="008B097D" w:rsidRDefault="008B097D">
      <w:pPr>
        <w:spacing w:after="223" w:line="360" w:lineRule="auto"/>
        <w:ind w:left="0" w:firstLine="0"/>
        <w:jc w:val="both"/>
        <w:rPr>
          <w:color w:val="auto"/>
          <w:szCs w:val="24"/>
          <w:lang w:val="en-US"/>
        </w:rPr>
      </w:pPr>
    </w:p>
    <w:p w14:paraId="2C21A140" w14:textId="77777777" w:rsidR="008B097D" w:rsidRDefault="00221405">
      <w:pPr>
        <w:spacing w:after="223" w:line="360" w:lineRule="auto"/>
        <w:ind w:left="0" w:firstLine="0"/>
        <w:jc w:val="both"/>
        <w:rPr>
          <w:color w:val="auto"/>
          <w:szCs w:val="24"/>
          <w:lang w:val="en-US"/>
        </w:rPr>
      </w:pPr>
      <w:r>
        <w:rPr>
          <w:color w:val="auto"/>
          <w:szCs w:val="24"/>
          <w:lang w:val="en-US"/>
        </w:rPr>
        <w:t>Meaning of the codes: ‘’ 0.001; ‘’ 0.01; ‘’ 0.05.</w:t>
      </w:r>
    </w:p>
    <w:p w14:paraId="2133D537" w14:textId="77777777" w:rsidR="008B097D" w:rsidRDefault="00221405">
      <w:pPr>
        <w:spacing w:after="223" w:line="360" w:lineRule="auto"/>
        <w:ind w:left="0" w:firstLine="0"/>
        <w:jc w:val="both"/>
        <w:rPr>
          <w:color w:val="auto"/>
          <w:szCs w:val="24"/>
          <w:lang w:val="en-US"/>
        </w:rPr>
      </w:pPr>
      <w:r>
        <w:rPr>
          <w:color w:val="auto"/>
          <w:szCs w:val="24"/>
          <w:lang w:val="en-US"/>
        </w:rPr>
        <w:t>*: significant difference; **: highly significant difference; ***: very highly significant difference at the 5% threshold.</w:t>
      </w:r>
    </w:p>
    <w:p w14:paraId="5C8764F6" w14:textId="77777777" w:rsidR="008B097D" w:rsidRDefault="00221405">
      <w:pPr>
        <w:spacing w:after="223" w:line="360" w:lineRule="auto"/>
        <w:ind w:left="0" w:firstLine="0"/>
        <w:jc w:val="both"/>
        <w:rPr>
          <w:color w:val="auto"/>
          <w:szCs w:val="24"/>
          <w:lang w:val="en-US"/>
        </w:rPr>
      </w:pPr>
      <w:r>
        <w:rPr>
          <w:color w:val="auto"/>
          <w:szCs w:val="24"/>
          <w:lang w:val="en-US"/>
        </w:rPr>
        <w:t>Within the same column, the letters (a) and (b) are used to classify the means into different groups, with (a) representing the higher mean and (b) the lower one.</w:t>
      </w:r>
    </w:p>
    <w:p w14:paraId="5139243B" w14:textId="77777777" w:rsidR="008B097D" w:rsidRDefault="008B097D">
      <w:pPr>
        <w:spacing w:after="223" w:line="360" w:lineRule="auto"/>
        <w:ind w:left="0" w:firstLine="0"/>
        <w:jc w:val="both"/>
        <w:rPr>
          <w:b/>
          <w:bCs/>
          <w:color w:val="auto"/>
          <w:szCs w:val="24"/>
          <w:lang w:val="en-US"/>
        </w:rPr>
      </w:pPr>
    </w:p>
    <w:p w14:paraId="182FD6BC" w14:textId="77777777" w:rsidR="008B097D" w:rsidRDefault="008B097D">
      <w:pPr>
        <w:spacing w:after="223" w:line="360" w:lineRule="auto"/>
        <w:ind w:left="0" w:firstLine="0"/>
        <w:jc w:val="both"/>
        <w:rPr>
          <w:b/>
          <w:bCs/>
          <w:color w:val="auto"/>
          <w:szCs w:val="24"/>
          <w:lang w:val="en-US"/>
        </w:rPr>
      </w:pPr>
    </w:p>
    <w:p w14:paraId="7E4DA1F7" w14:textId="77777777" w:rsidR="008B097D" w:rsidRDefault="008B097D">
      <w:pPr>
        <w:spacing w:after="223" w:line="360" w:lineRule="auto"/>
        <w:ind w:left="0" w:firstLine="0"/>
        <w:jc w:val="both"/>
        <w:rPr>
          <w:b/>
          <w:bCs/>
          <w:color w:val="auto"/>
          <w:szCs w:val="24"/>
          <w:lang w:val="en-US"/>
        </w:rPr>
      </w:pPr>
    </w:p>
    <w:p w14:paraId="034B7F5D" w14:textId="77777777" w:rsidR="008B097D" w:rsidRDefault="00221405">
      <w:pPr>
        <w:spacing w:after="223" w:line="360" w:lineRule="auto"/>
        <w:ind w:left="0" w:firstLine="0"/>
        <w:jc w:val="both"/>
        <w:rPr>
          <w:b/>
          <w:bCs/>
          <w:color w:val="auto"/>
          <w:szCs w:val="24"/>
          <w:lang w:val="en-US"/>
        </w:rPr>
      </w:pPr>
      <w:r>
        <w:rPr>
          <w:b/>
          <w:bCs/>
          <w:color w:val="auto"/>
          <w:szCs w:val="24"/>
          <w:lang w:val="en-US"/>
        </w:rPr>
        <w:lastRenderedPageBreak/>
        <w:t>3.2. Characteristics of the Mycorrhizal Potentialities of Soils and Roots</w:t>
      </w:r>
    </w:p>
    <w:p w14:paraId="0261C55E" w14:textId="77777777" w:rsidR="008B097D" w:rsidRDefault="00221405">
      <w:pPr>
        <w:spacing w:after="223" w:line="360" w:lineRule="auto"/>
        <w:ind w:left="0" w:firstLine="0"/>
        <w:jc w:val="both"/>
        <w:rPr>
          <w:b/>
          <w:bCs/>
          <w:color w:val="auto"/>
          <w:szCs w:val="24"/>
          <w:lang w:val="en-US"/>
        </w:rPr>
      </w:pPr>
      <w:r>
        <w:rPr>
          <w:b/>
          <w:bCs/>
          <w:color w:val="auto"/>
          <w:szCs w:val="24"/>
          <w:lang w:val="en-US"/>
        </w:rPr>
        <w:t>3.2.1. Number of Arbuscular Mycorrhizal Fungal Spores</w:t>
      </w:r>
    </w:p>
    <w:p w14:paraId="7BDD4B90"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concerning the number of arbuscular mycorrhizal fungal spores in the soils of the </w:t>
      </w:r>
      <w:proofErr w:type="spellStart"/>
      <w:r>
        <w:rPr>
          <w:color w:val="auto"/>
          <w:szCs w:val="24"/>
          <w:lang w:val="en-US"/>
        </w:rPr>
        <w:t>Satara</w:t>
      </w:r>
      <w:proofErr w:type="spellEnd"/>
      <w:r>
        <w:rPr>
          <w:color w:val="auto"/>
          <w:szCs w:val="24"/>
          <w:lang w:val="en-US"/>
        </w:rPr>
        <w:t xml:space="preserve"> site are presented in Table 4. The average number of spores per 100 grams of bare soil is 403, whereas that of the </w:t>
      </w:r>
      <w:proofErr w:type="spellStart"/>
      <w:r>
        <w:rPr>
          <w:color w:val="auto"/>
          <w:szCs w:val="24"/>
          <w:lang w:val="en-US"/>
        </w:rPr>
        <w:t>rhizospheric</w:t>
      </w:r>
      <w:proofErr w:type="spellEnd"/>
      <w:r>
        <w:rPr>
          <w:color w:val="auto"/>
          <w:szCs w:val="24"/>
          <w:lang w:val="en-US"/>
        </w:rPr>
        <w:t xml:space="preserve"> soils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reaches 905 spores.</w:t>
      </w:r>
    </w:p>
    <w:p w14:paraId="73A8CEC9" w14:textId="77777777" w:rsidR="008B097D" w:rsidRDefault="00221405">
      <w:pPr>
        <w:spacing w:after="223" w:line="360" w:lineRule="auto"/>
        <w:ind w:left="0" w:firstLine="0"/>
        <w:jc w:val="both"/>
        <w:rPr>
          <w:color w:val="auto"/>
          <w:szCs w:val="24"/>
          <w:lang w:val="en-US"/>
        </w:rPr>
      </w:pPr>
      <w:r>
        <w:rPr>
          <w:color w:val="auto"/>
          <w:szCs w:val="24"/>
          <w:lang w:val="en-US"/>
        </w:rPr>
        <w:t>The results of the analysis of variance (ANOVA) indicate that this difference is very highly significant at the 5% level.</w:t>
      </w:r>
    </w:p>
    <w:p w14:paraId="2E11FAEB"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4: Number of arbuscular mycorrhizal fungal spores in the </w:t>
      </w:r>
      <w:proofErr w:type="spellStart"/>
      <w:r>
        <w:rPr>
          <w:color w:val="auto"/>
          <w:szCs w:val="24"/>
          <w:lang w:val="en-US"/>
        </w:rPr>
        <w:t>Satara</w:t>
      </w:r>
      <w:proofErr w:type="spellEnd"/>
      <w:r>
        <w:rPr>
          <w:color w:val="auto"/>
          <w:szCs w:val="24"/>
          <w:lang w:val="en-US"/>
        </w:rPr>
        <w:t xml:space="preserve"> site by soil type</w:t>
      </w:r>
    </w:p>
    <w:tbl>
      <w:tblPr>
        <w:tblStyle w:val="Grilledutableau1"/>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162"/>
        <w:gridCol w:w="6070"/>
      </w:tblGrid>
      <w:tr w:rsidR="008B097D" w14:paraId="7704C703" w14:textId="77777777">
        <w:trPr>
          <w:trHeight w:val="362"/>
        </w:trPr>
        <w:tc>
          <w:tcPr>
            <w:tcW w:w="3162" w:type="dxa"/>
            <w:tcBorders>
              <w:top w:val="single" w:sz="8" w:space="0" w:color="auto"/>
              <w:bottom w:val="single" w:sz="8" w:space="0" w:color="auto"/>
            </w:tcBorders>
          </w:tcPr>
          <w:p w14:paraId="02D3D3A1" w14:textId="77777777" w:rsidR="008B097D" w:rsidRDefault="00221405">
            <w:pPr>
              <w:pStyle w:val="NoSpacing"/>
              <w:spacing w:line="360" w:lineRule="auto"/>
              <w:jc w:val="both"/>
              <w:rPr>
                <w:color w:val="auto"/>
                <w:szCs w:val="24"/>
                <w:lang w:eastAsia="en-US"/>
              </w:rPr>
            </w:pPr>
            <w:r>
              <w:rPr>
                <w:color w:val="auto"/>
                <w:szCs w:val="24"/>
                <w:lang w:eastAsia="en-US"/>
              </w:rPr>
              <w:t xml:space="preserve">Types </w:t>
            </w:r>
            <w:proofErr w:type="gramStart"/>
            <w:r w:rsidR="00CA1226">
              <w:rPr>
                <w:color w:val="auto"/>
                <w:szCs w:val="24"/>
                <w:lang w:eastAsia="en-US"/>
              </w:rPr>
              <w:t xml:space="preserve">of  </w:t>
            </w:r>
            <w:proofErr w:type="spellStart"/>
            <w:r w:rsidR="00CA1226">
              <w:rPr>
                <w:color w:val="auto"/>
                <w:szCs w:val="24"/>
                <w:lang w:eastAsia="en-US"/>
              </w:rPr>
              <w:t>Soil</w:t>
            </w:r>
            <w:proofErr w:type="spellEnd"/>
            <w:proofErr w:type="gramEnd"/>
          </w:p>
        </w:tc>
        <w:tc>
          <w:tcPr>
            <w:tcW w:w="6070" w:type="dxa"/>
            <w:tcBorders>
              <w:top w:val="single" w:sz="8" w:space="0" w:color="auto"/>
              <w:bottom w:val="single" w:sz="8" w:space="0" w:color="auto"/>
            </w:tcBorders>
          </w:tcPr>
          <w:p w14:paraId="136A7B31" w14:textId="77777777" w:rsidR="008B097D" w:rsidRDefault="00CA1226">
            <w:pPr>
              <w:pStyle w:val="NoSpacing"/>
              <w:spacing w:line="360" w:lineRule="auto"/>
              <w:jc w:val="both"/>
              <w:rPr>
                <w:color w:val="auto"/>
                <w:szCs w:val="24"/>
                <w:lang w:eastAsia="en-US"/>
              </w:rPr>
            </w:pPr>
            <w:proofErr w:type="spellStart"/>
            <w:r w:rsidRPr="00CA1226">
              <w:rPr>
                <w:color w:val="auto"/>
                <w:szCs w:val="24"/>
                <w:lang w:eastAsia="en-US"/>
              </w:rPr>
              <w:t>Averagenumber</w:t>
            </w:r>
            <w:proofErr w:type="spellEnd"/>
            <w:r w:rsidRPr="00CA1226">
              <w:rPr>
                <w:color w:val="auto"/>
                <w:szCs w:val="24"/>
                <w:lang w:eastAsia="en-US"/>
              </w:rPr>
              <w:t xml:space="preserve"> of AMF propagules per 100g of </w:t>
            </w:r>
            <w:proofErr w:type="spellStart"/>
            <w:r w:rsidRPr="00CA1226">
              <w:rPr>
                <w:color w:val="auto"/>
                <w:szCs w:val="24"/>
                <w:lang w:eastAsia="en-US"/>
              </w:rPr>
              <w:t>soil</w:t>
            </w:r>
            <w:r>
              <w:rPr>
                <w:b/>
                <w:bCs/>
                <w:color w:val="auto"/>
                <w:szCs w:val="24"/>
                <w:lang w:eastAsia="en-US"/>
              </w:rPr>
              <w:t>P</w:t>
            </w:r>
            <w:proofErr w:type="spellEnd"/>
            <w:r>
              <w:rPr>
                <w:b/>
                <w:bCs/>
                <w:color w:val="auto"/>
                <w:szCs w:val="24"/>
                <w:lang w:eastAsia="en-US"/>
              </w:rPr>
              <w:t>-value</w:t>
            </w:r>
          </w:p>
        </w:tc>
      </w:tr>
      <w:tr w:rsidR="008B097D" w14:paraId="101C9089" w14:textId="77777777">
        <w:trPr>
          <w:trHeight w:val="425"/>
        </w:trPr>
        <w:tc>
          <w:tcPr>
            <w:tcW w:w="3162" w:type="dxa"/>
            <w:tcBorders>
              <w:top w:val="single" w:sz="8" w:space="0" w:color="auto"/>
            </w:tcBorders>
          </w:tcPr>
          <w:p w14:paraId="0D53C87C" w14:textId="77777777" w:rsidR="008B097D" w:rsidRDefault="00221405">
            <w:pPr>
              <w:pStyle w:val="NoSpacing"/>
              <w:spacing w:line="360" w:lineRule="auto"/>
              <w:jc w:val="both"/>
              <w:rPr>
                <w:color w:val="auto"/>
                <w:szCs w:val="24"/>
                <w:lang w:eastAsia="en-US"/>
              </w:rPr>
            </w:pPr>
            <w:proofErr w:type="spellStart"/>
            <w:r>
              <w:rPr>
                <w:color w:val="auto"/>
                <w:szCs w:val="24"/>
                <w:lang w:eastAsia="en-US"/>
              </w:rPr>
              <w:t>BareSoil</w:t>
            </w:r>
            <w:proofErr w:type="spellEnd"/>
          </w:p>
        </w:tc>
        <w:tc>
          <w:tcPr>
            <w:tcW w:w="6070" w:type="dxa"/>
            <w:tcBorders>
              <w:top w:val="single" w:sz="8" w:space="0" w:color="auto"/>
            </w:tcBorders>
          </w:tcPr>
          <w:p w14:paraId="623F0367" w14:textId="77777777" w:rsidR="008B097D" w:rsidRDefault="00221405">
            <w:pPr>
              <w:pStyle w:val="NoSpacing"/>
              <w:spacing w:line="360" w:lineRule="auto"/>
              <w:jc w:val="both"/>
              <w:rPr>
                <w:color w:val="auto"/>
                <w:szCs w:val="24"/>
                <w:lang w:eastAsia="en-US"/>
              </w:rPr>
            </w:pPr>
            <w:r>
              <w:rPr>
                <w:color w:val="auto"/>
                <w:szCs w:val="24"/>
                <w:lang w:eastAsia="en-US"/>
              </w:rPr>
              <w:t xml:space="preserve">403 ± 18,30 b                                                              </w:t>
            </w:r>
          </w:p>
          <w:p w14:paraId="267275C3" w14:textId="77777777" w:rsidR="008B097D" w:rsidRDefault="00221405">
            <w:pPr>
              <w:pStyle w:val="NoSpacing"/>
              <w:spacing w:line="360" w:lineRule="auto"/>
              <w:jc w:val="both"/>
              <w:rPr>
                <w:color w:val="auto"/>
                <w:szCs w:val="24"/>
                <w:lang w:eastAsia="en-US"/>
              </w:rPr>
            </w:pPr>
            <w:r>
              <w:rPr>
                <w:b/>
                <w:bCs/>
                <w:color w:val="auto"/>
                <w:szCs w:val="24"/>
                <w:lang w:eastAsia="en-US"/>
              </w:rPr>
              <w:t>0,000 ***</w:t>
            </w:r>
          </w:p>
        </w:tc>
      </w:tr>
      <w:tr w:rsidR="008B097D" w14:paraId="5000E57B" w14:textId="77777777">
        <w:trPr>
          <w:trHeight w:val="509"/>
        </w:trPr>
        <w:tc>
          <w:tcPr>
            <w:tcW w:w="3162" w:type="dxa"/>
            <w:tcBorders>
              <w:bottom w:val="single" w:sz="8" w:space="0" w:color="auto"/>
            </w:tcBorders>
          </w:tcPr>
          <w:p w14:paraId="32E19151" w14:textId="77777777" w:rsidR="008B097D" w:rsidRDefault="00221405">
            <w:pPr>
              <w:pStyle w:val="NoSpacing"/>
              <w:spacing w:line="360" w:lineRule="auto"/>
              <w:jc w:val="both"/>
              <w:rPr>
                <w:color w:val="auto"/>
                <w:szCs w:val="24"/>
                <w:lang w:eastAsia="en-US"/>
              </w:rPr>
            </w:pPr>
            <w:proofErr w:type="spellStart"/>
            <w:r>
              <w:rPr>
                <w:color w:val="auto"/>
                <w:szCs w:val="24"/>
                <w:lang w:eastAsia="en-US"/>
              </w:rPr>
              <w:t>SLeptadeniaSoil</w:t>
            </w:r>
            <w:proofErr w:type="spellEnd"/>
          </w:p>
        </w:tc>
        <w:tc>
          <w:tcPr>
            <w:tcW w:w="6070" w:type="dxa"/>
            <w:tcBorders>
              <w:bottom w:val="single" w:sz="8" w:space="0" w:color="auto"/>
            </w:tcBorders>
          </w:tcPr>
          <w:p w14:paraId="12909716" w14:textId="77777777" w:rsidR="008B097D" w:rsidRDefault="00221405">
            <w:pPr>
              <w:pStyle w:val="NoSpacing"/>
              <w:spacing w:line="360" w:lineRule="auto"/>
              <w:jc w:val="both"/>
              <w:rPr>
                <w:color w:val="auto"/>
                <w:szCs w:val="24"/>
                <w:lang w:eastAsia="en-US"/>
              </w:rPr>
            </w:pPr>
            <w:r>
              <w:rPr>
                <w:color w:val="auto"/>
                <w:szCs w:val="24"/>
                <w:lang w:eastAsia="en-US"/>
              </w:rPr>
              <w:t>905 ± 10,94 a</w:t>
            </w:r>
          </w:p>
        </w:tc>
      </w:tr>
    </w:tbl>
    <w:p w14:paraId="4D708C41" w14:textId="77777777" w:rsidR="008B097D" w:rsidRDefault="008B097D">
      <w:pPr>
        <w:spacing w:after="223" w:line="360" w:lineRule="auto"/>
        <w:ind w:left="0" w:firstLine="0"/>
        <w:jc w:val="both"/>
        <w:rPr>
          <w:color w:val="auto"/>
          <w:szCs w:val="24"/>
          <w:lang w:val="en-US"/>
        </w:rPr>
      </w:pPr>
    </w:p>
    <w:p w14:paraId="71C17B04" w14:textId="77777777" w:rsidR="008B097D" w:rsidRDefault="00221405">
      <w:pPr>
        <w:spacing w:after="223" w:line="360" w:lineRule="auto"/>
        <w:ind w:left="0" w:firstLine="0"/>
        <w:jc w:val="both"/>
        <w:rPr>
          <w:color w:val="auto"/>
          <w:szCs w:val="24"/>
          <w:lang w:val="en-US"/>
        </w:rPr>
      </w:pPr>
      <w:r>
        <w:rPr>
          <w:color w:val="auto"/>
          <w:szCs w:val="24"/>
          <w:lang w:val="en-US"/>
        </w:rPr>
        <w:t>Meaning of the code: ‘***’ 0.001. *** denotes a highly significant difference at the 5% threshold.</w:t>
      </w:r>
    </w:p>
    <w:p w14:paraId="26994DC1" w14:textId="77777777" w:rsidR="008B097D" w:rsidRDefault="00221405">
      <w:pPr>
        <w:spacing w:after="223" w:line="360" w:lineRule="auto"/>
        <w:ind w:left="0" w:firstLine="0"/>
        <w:jc w:val="both"/>
        <w:rPr>
          <w:color w:val="auto"/>
          <w:szCs w:val="24"/>
          <w:lang w:val="en-US"/>
        </w:rPr>
      </w:pPr>
      <w:r>
        <w:rPr>
          <w:color w:val="auto"/>
          <w:szCs w:val="24"/>
          <w:lang w:val="en-US"/>
        </w:rPr>
        <w:t>Within the same column, the letters (a) and (b) are used to classify the means into distinct groups, with (a) representing the higher mean and (b) the lower one.</w:t>
      </w:r>
    </w:p>
    <w:p w14:paraId="62489DFB"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3.2.2. Identification and Density of Spore Genera Associated with </w:t>
      </w:r>
      <w:proofErr w:type="spellStart"/>
      <w:r>
        <w:rPr>
          <w:b/>
          <w:bCs/>
          <w:i/>
          <w:iCs/>
          <w:color w:val="auto"/>
          <w:szCs w:val="24"/>
          <w:lang w:val="en-US"/>
        </w:rPr>
        <w:t>Leptadeniahastata</w:t>
      </w:r>
      <w:proofErr w:type="spellEnd"/>
    </w:p>
    <w:p w14:paraId="16E1A138" w14:textId="77777777" w:rsidR="008B097D" w:rsidRDefault="00221405">
      <w:pPr>
        <w:spacing w:after="223" w:line="360" w:lineRule="auto"/>
        <w:ind w:left="0" w:firstLine="0"/>
        <w:jc w:val="both"/>
        <w:rPr>
          <w:color w:val="auto"/>
          <w:szCs w:val="24"/>
          <w:lang w:val="en-US"/>
        </w:rPr>
      </w:pPr>
      <w:r>
        <w:rPr>
          <w:color w:val="auto"/>
          <w:szCs w:val="24"/>
          <w:lang w:val="en-US"/>
        </w:rPr>
        <w:t xml:space="preserve">Soil samples collected from the rhizosphere of </w:t>
      </w:r>
      <w:proofErr w:type="spellStart"/>
      <w:r>
        <w:rPr>
          <w:i/>
          <w:iCs/>
          <w:color w:val="auto"/>
          <w:szCs w:val="24"/>
          <w:lang w:val="en-US"/>
        </w:rPr>
        <w:t>Leptadeniahastata</w:t>
      </w:r>
      <w:proofErr w:type="spellEnd"/>
      <w:r>
        <w:rPr>
          <w:color w:val="auto"/>
          <w:szCs w:val="24"/>
          <w:lang w:val="en-US"/>
        </w:rPr>
        <w:t xml:space="preserve"> revealed, under a binocular stereomicroscope at high magnification, the presence of two genera of spores: </w:t>
      </w:r>
      <w:r>
        <w:rPr>
          <w:i/>
          <w:iCs/>
          <w:color w:val="auto"/>
          <w:szCs w:val="24"/>
          <w:lang w:val="en-US"/>
        </w:rPr>
        <w:t>Glomus</w:t>
      </w:r>
      <w:r>
        <w:rPr>
          <w:color w:val="auto"/>
          <w:szCs w:val="24"/>
          <w:lang w:val="en-US"/>
        </w:rPr>
        <w:t xml:space="preserve"> (Photo 5.2 B) and </w:t>
      </w:r>
      <w:proofErr w:type="spellStart"/>
      <w:proofErr w:type="gramStart"/>
      <w:r>
        <w:rPr>
          <w:i/>
          <w:iCs/>
          <w:color w:val="auto"/>
          <w:szCs w:val="24"/>
          <w:lang w:val="en-US"/>
        </w:rPr>
        <w:t>Gigaspora</w:t>
      </w:r>
      <w:proofErr w:type="spellEnd"/>
      <w:r>
        <w:rPr>
          <w:color w:val="auto"/>
          <w:szCs w:val="24"/>
          <w:lang w:val="en-US"/>
        </w:rPr>
        <w:t>(</w:t>
      </w:r>
      <w:proofErr w:type="gramEnd"/>
      <w:r>
        <w:rPr>
          <w:color w:val="auto"/>
          <w:szCs w:val="24"/>
          <w:lang w:val="en-US"/>
        </w:rPr>
        <w:t xml:space="preserve">Photo 5.2 A), belonging respectively to the families </w:t>
      </w:r>
      <w:proofErr w:type="spellStart"/>
      <w:r>
        <w:rPr>
          <w:i/>
          <w:iCs/>
          <w:color w:val="auto"/>
          <w:szCs w:val="24"/>
          <w:lang w:val="en-US"/>
        </w:rPr>
        <w:t>Glomaceae</w:t>
      </w:r>
      <w:proofErr w:type="spellEnd"/>
      <w:r>
        <w:rPr>
          <w:color w:val="auto"/>
          <w:szCs w:val="24"/>
          <w:lang w:val="en-US"/>
        </w:rPr>
        <w:t xml:space="preserve"> and </w:t>
      </w:r>
      <w:proofErr w:type="spellStart"/>
      <w:r>
        <w:rPr>
          <w:i/>
          <w:iCs/>
          <w:color w:val="auto"/>
          <w:szCs w:val="24"/>
          <w:lang w:val="en-US"/>
        </w:rPr>
        <w:t>Gigasporaceae.</w:t>
      </w:r>
      <w:r>
        <w:rPr>
          <w:color w:val="auto"/>
          <w:szCs w:val="24"/>
          <w:lang w:val="en-US"/>
        </w:rPr>
        <w:t>Among</w:t>
      </w:r>
      <w:proofErr w:type="spellEnd"/>
      <w:r>
        <w:rPr>
          <w:color w:val="auto"/>
          <w:szCs w:val="24"/>
          <w:lang w:val="en-US"/>
        </w:rPr>
        <w:t xml:space="preserve"> these, the genus Glomus was the most abundant, with an average density of 652 spores per 100 g of soil, corresponding to 72.07% of the total spore population. In contrast, </w:t>
      </w:r>
      <w:proofErr w:type="spellStart"/>
      <w:r>
        <w:rPr>
          <w:i/>
          <w:iCs/>
          <w:color w:val="auto"/>
          <w:szCs w:val="24"/>
          <w:lang w:val="en-US"/>
        </w:rPr>
        <w:t>Gigaspora</w:t>
      </w:r>
      <w:proofErr w:type="spellEnd"/>
      <w:r>
        <w:rPr>
          <w:color w:val="auto"/>
          <w:szCs w:val="24"/>
          <w:lang w:val="en-US"/>
        </w:rPr>
        <w:t xml:space="preserve"> was less represented, with an average density of 253 spores per 100 g of soil, accounting for 27.93%. Figure 5.4 illustrates the relative density of these two fungal genera.</w:t>
      </w:r>
    </w:p>
    <w:p w14:paraId="68F29E8F"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The size of the spores varied considerably, ranging from small to medium and large, depending on the mesh size of the five superimposed sieves used for separation: 63 </w:t>
      </w:r>
      <w:r>
        <w:rPr>
          <w:color w:val="auto"/>
          <w:szCs w:val="24"/>
        </w:rPr>
        <w:t>μ</w:t>
      </w:r>
      <w:r>
        <w:rPr>
          <w:color w:val="auto"/>
          <w:szCs w:val="24"/>
          <w:lang w:val="en-US"/>
        </w:rPr>
        <w:t xml:space="preserve">m, 160 </w:t>
      </w:r>
      <w:r>
        <w:rPr>
          <w:color w:val="auto"/>
          <w:szCs w:val="24"/>
        </w:rPr>
        <w:t>μ</w:t>
      </w:r>
      <w:r>
        <w:rPr>
          <w:color w:val="auto"/>
          <w:szCs w:val="24"/>
          <w:lang w:val="en-US"/>
        </w:rPr>
        <w:t>m, 250</w:t>
      </w:r>
      <w:r>
        <w:rPr>
          <w:color w:val="auto"/>
          <w:szCs w:val="24"/>
        </w:rPr>
        <w:t>μ</w:t>
      </w:r>
      <w:r>
        <w:rPr>
          <w:color w:val="auto"/>
          <w:szCs w:val="24"/>
          <w:lang w:val="en-US"/>
        </w:rPr>
        <w:t xml:space="preserve">m, 315 </w:t>
      </w:r>
      <w:r>
        <w:rPr>
          <w:color w:val="auto"/>
          <w:szCs w:val="24"/>
        </w:rPr>
        <w:t>μ</w:t>
      </w:r>
      <w:r>
        <w:rPr>
          <w:color w:val="auto"/>
          <w:szCs w:val="24"/>
          <w:lang w:val="en-US"/>
        </w:rPr>
        <w:t xml:space="preserve">m, and 630 </w:t>
      </w:r>
      <w:r>
        <w:rPr>
          <w:color w:val="auto"/>
          <w:szCs w:val="24"/>
        </w:rPr>
        <w:t>μ</w:t>
      </w:r>
      <w:r>
        <w:rPr>
          <w:color w:val="auto"/>
          <w:szCs w:val="24"/>
          <w:lang w:val="en-US"/>
        </w:rPr>
        <w:t>m.</w:t>
      </w:r>
    </w:p>
    <w:p w14:paraId="3EB9BD26" w14:textId="77777777" w:rsidR="008B097D" w:rsidRDefault="00221405">
      <w:pPr>
        <w:spacing w:after="223" w:line="360" w:lineRule="auto"/>
        <w:ind w:left="0" w:firstLine="0"/>
        <w:jc w:val="both"/>
        <w:rPr>
          <w:color w:val="auto"/>
          <w:szCs w:val="24"/>
          <w:lang w:val="en-US"/>
        </w:rPr>
      </w:pPr>
      <w:r>
        <w:rPr>
          <w:color w:val="auto"/>
          <w:szCs w:val="24"/>
          <w:lang w:val="en-US"/>
        </w:rPr>
        <w:t xml:space="preserve">The spores of the genus </w:t>
      </w:r>
      <w:r>
        <w:rPr>
          <w:i/>
          <w:iCs/>
          <w:color w:val="auto"/>
          <w:szCs w:val="24"/>
          <w:lang w:val="en-US"/>
        </w:rPr>
        <w:t>Glomus</w:t>
      </w:r>
      <w:r>
        <w:rPr>
          <w:color w:val="auto"/>
          <w:szCs w:val="24"/>
          <w:lang w:val="en-US"/>
        </w:rPr>
        <w:t xml:space="preserve"> are most often spherical and, less frequently, ovoid. They exhibit a range of colors-ochre, yellow, grey, or black-and are characterized by a filament directly attached to the spore wall.</w:t>
      </w:r>
    </w:p>
    <w:p w14:paraId="769A358A" w14:textId="77777777" w:rsidR="008B097D" w:rsidRDefault="00221405">
      <w:pPr>
        <w:spacing w:after="223" w:line="360" w:lineRule="auto"/>
        <w:ind w:left="0" w:firstLine="0"/>
        <w:jc w:val="both"/>
        <w:rPr>
          <w:color w:val="auto"/>
          <w:szCs w:val="24"/>
          <w:lang w:val="en-US"/>
        </w:rPr>
      </w:pPr>
      <w:r>
        <w:rPr>
          <w:color w:val="auto"/>
          <w:szCs w:val="24"/>
          <w:lang w:val="en-US"/>
        </w:rPr>
        <w:t xml:space="preserve">In contrast, the spores of the genus </w:t>
      </w:r>
      <w:proofErr w:type="spellStart"/>
      <w:r>
        <w:rPr>
          <w:i/>
          <w:iCs/>
          <w:color w:val="auto"/>
          <w:szCs w:val="24"/>
          <w:lang w:val="en-US"/>
        </w:rPr>
        <w:t>Gigaspora</w:t>
      </w:r>
      <w:proofErr w:type="spellEnd"/>
      <w:r>
        <w:rPr>
          <w:color w:val="auto"/>
          <w:szCs w:val="24"/>
          <w:lang w:val="en-US"/>
        </w:rPr>
        <w:t xml:space="preserve"> are solitary, spherical to ovoid, and typically black, brown, dark brown, ochre, or yellow in color. They differ morphologically from Glomus spores by the presence of a bulbous structure connecting the filament to the spore, which serves as a distinguishing diagnostic feature.</w:t>
      </w:r>
    </w:p>
    <w:p w14:paraId="1504EE10"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5D7B481B" wp14:editId="5D8A1164">
            <wp:extent cx="5760085" cy="2512695"/>
            <wp:effectExtent l="0" t="0" r="0" b="0"/>
            <wp:docPr id="202738137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81376" name="Image 8"/>
                    <pic:cNvPicPr>
                      <a:picLocks noChangeAspect="1"/>
                    </pic:cNvPicPr>
                  </pic:nvPicPr>
                  <pic:blipFill>
                    <a:blip r:embed="rId13"/>
                    <a:srcRect/>
                    <a:stretch>
                      <a:fillRect/>
                    </a:stretch>
                  </pic:blipFill>
                  <pic:spPr>
                    <a:xfrm>
                      <a:off x="0" y="0"/>
                      <a:ext cx="5760085" cy="2512695"/>
                    </a:xfrm>
                    <a:prstGeom prst="rect">
                      <a:avLst/>
                    </a:prstGeom>
                  </pic:spPr>
                </pic:pic>
              </a:graphicData>
            </a:graphic>
          </wp:inline>
        </w:drawing>
      </w:r>
    </w:p>
    <w:p w14:paraId="792DAA42" w14:textId="77777777" w:rsidR="008B097D" w:rsidRDefault="00221405">
      <w:pPr>
        <w:spacing w:after="223" w:line="360" w:lineRule="auto"/>
        <w:ind w:left="0" w:firstLine="0"/>
        <w:jc w:val="both"/>
        <w:rPr>
          <w:color w:val="auto"/>
          <w:szCs w:val="24"/>
          <w:lang w:val="en-US"/>
        </w:rPr>
      </w:pPr>
      <w:r>
        <w:rPr>
          <w:color w:val="auto"/>
          <w:szCs w:val="24"/>
          <w:lang w:val="en-US"/>
        </w:rPr>
        <w:t xml:space="preserve">Figure 4: (A) </w:t>
      </w:r>
      <w:proofErr w:type="spellStart"/>
      <w:r>
        <w:rPr>
          <w:i/>
          <w:iCs/>
          <w:color w:val="auto"/>
          <w:szCs w:val="24"/>
          <w:lang w:val="en-US"/>
        </w:rPr>
        <w:t>Gigaspora</w:t>
      </w:r>
      <w:proofErr w:type="spellEnd"/>
      <w:r>
        <w:rPr>
          <w:color w:val="auto"/>
          <w:szCs w:val="24"/>
          <w:lang w:val="en-US"/>
        </w:rPr>
        <w:t xml:space="preserve">- (B) Glomus (Source: Boubacar </w:t>
      </w:r>
      <w:proofErr w:type="spellStart"/>
      <w:r>
        <w:rPr>
          <w:color w:val="auto"/>
          <w:szCs w:val="24"/>
          <w:lang w:val="en-US"/>
        </w:rPr>
        <w:t>Halimatou</w:t>
      </w:r>
      <w:proofErr w:type="spellEnd"/>
      <w:r>
        <w:rPr>
          <w:color w:val="auto"/>
          <w:szCs w:val="24"/>
          <w:lang w:val="en-US"/>
        </w:rPr>
        <w:t>)</w:t>
      </w:r>
    </w:p>
    <w:p w14:paraId="67E9ACFF" w14:textId="77777777" w:rsidR="008B097D" w:rsidRDefault="00221405">
      <w:pPr>
        <w:spacing w:after="223" w:line="360" w:lineRule="auto"/>
        <w:ind w:left="0" w:firstLine="0"/>
        <w:jc w:val="both"/>
        <w:rPr>
          <w:color w:val="auto"/>
          <w:szCs w:val="24"/>
          <w:lang w:val="en-US"/>
        </w:rPr>
      </w:pPr>
      <w:r>
        <w:rPr>
          <w:noProof/>
          <w:color w:val="auto"/>
          <w:szCs w:val="24"/>
        </w:rPr>
        <w:lastRenderedPageBreak/>
        <w:drawing>
          <wp:inline distT="0" distB="0" distL="114300" distR="114300" wp14:anchorId="14CA2483" wp14:editId="29E780BF">
            <wp:extent cx="4514850" cy="2690495"/>
            <wp:effectExtent l="0" t="0" r="0" b="14605"/>
            <wp:docPr id="947524574"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9E98C4" w14:textId="77777777" w:rsidR="008B097D" w:rsidRDefault="00221405">
      <w:pPr>
        <w:spacing w:after="223" w:line="360" w:lineRule="auto"/>
        <w:ind w:left="0" w:firstLine="0"/>
        <w:jc w:val="both"/>
        <w:rPr>
          <w:i/>
          <w:iCs/>
          <w:color w:val="auto"/>
          <w:szCs w:val="24"/>
          <w:lang w:val="en-US"/>
        </w:rPr>
      </w:pPr>
      <w:r>
        <w:rPr>
          <w:color w:val="auto"/>
          <w:szCs w:val="24"/>
          <w:lang w:val="en-US"/>
        </w:rPr>
        <w:t xml:space="preserve">Figure 5: Density of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spore genera in the soil beneath </w:t>
      </w:r>
      <w:proofErr w:type="spellStart"/>
      <w:r>
        <w:rPr>
          <w:i/>
          <w:iCs/>
          <w:color w:val="auto"/>
          <w:szCs w:val="24"/>
          <w:lang w:val="en-US"/>
        </w:rPr>
        <w:t>Leptadeniahastata</w:t>
      </w:r>
      <w:proofErr w:type="spellEnd"/>
    </w:p>
    <w:p w14:paraId="015760C9"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3.2.3. Degree of Natural Root Infection in </w:t>
      </w:r>
      <w:proofErr w:type="spellStart"/>
      <w:r>
        <w:rPr>
          <w:b/>
          <w:bCs/>
          <w:i/>
          <w:iCs/>
          <w:color w:val="auto"/>
          <w:szCs w:val="24"/>
          <w:lang w:val="en-US"/>
        </w:rPr>
        <w:t>Leptadeniahastata</w:t>
      </w:r>
      <w:proofErr w:type="spellEnd"/>
    </w:p>
    <w:p w14:paraId="1028C0BC" w14:textId="77777777" w:rsidR="008B097D" w:rsidRDefault="00221405">
      <w:pPr>
        <w:spacing w:after="223" w:line="360" w:lineRule="auto"/>
        <w:ind w:left="0" w:firstLine="0"/>
        <w:jc w:val="both"/>
        <w:rPr>
          <w:color w:val="auto"/>
          <w:szCs w:val="24"/>
          <w:lang w:val="en-US"/>
        </w:rPr>
      </w:pPr>
      <w:r>
        <w:rPr>
          <w:color w:val="auto"/>
          <w:szCs w:val="24"/>
          <w:lang w:val="en-US"/>
        </w:rPr>
        <w:t xml:space="preserve">Microscopic examination of the roots of </w:t>
      </w:r>
      <w:proofErr w:type="spellStart"/>
      <w:r>
        <w:rPr>
          <w:i/>
          <w:iCs/>
          <w:color w:val="auto"/>
          <w:szCs w:val="24"/>
          <w:lang w:val="en-US"/>
        </w:rPr>
        <w:t>Leptadeniahastata</w:t>
      </w:r>
      <w:proofErr w:type="spellEnd"/>
      <w:r>
        <w:rPr>
          <w:color w:val="auto"/>
          <w:szCs w:val="24"/>
          <w:lang w:val="en-US"/>
        </w:rPr>
        <w:t xml:space="preserve"> revealed that all analyzed root samples were colonized by arbuscular mycorrhizal fungi (AMF). Root staining with trypan blue revealed characteristic features of endomycorrhizal structures (Figure 5.4: A, B, C, and D). These mycorrhizal structures included intraradical hyphae (Figure 5.4 A) that spread within the intercellular spaces, form vesicles (Figure 5.4 B), and develop into intracellular </w:t>
      </w:r>
      <w:proofErr w:type="spellStart"/>
      <w:r>
        <w:rPr>
          <w:color w:val="auto"/>
          <w:szCs w:val="24"/>
          <w:lang w:val="en-US"/>
        </w:rPr>
        <w:t>arbuscules</w:t>
      </w:r>
      <w:proofErr w:type="spellEnd"/>
      <w:r>
        <w:rPr>
          <w:color w:val="auto"/>
          <w:szCs w:val="24"/>
          <w:lang w:val="en-US"/>
        </w:rPr>
        <w:t xml:space="preserve"> (Figure 5.4 D).</w:t>
      </w:r>
    </w:p>
    <w:p w14:paraId="0676AB3E" w14:textId="77777777" w:rsidR="008B097D" w:rsidRDefault="00221405">
      <w:pPr>
        <w:spacing w:after="223" w:line="360" w:lineRule="auto"/>
        <w:ind w:left="0" w:firstLine="0"/>
        <w:jc w:val="both"/>
        <w:rPr>
          <w:color w:val="auto"/>
          <w:szCs w:val="24"/>
          <w:lang w:val="en-US"/>
        </w:rPr>
      </w:pPr>
      <w:r>
        <w:rPr>
          <w:color w:val="auto"/>
          <w:szCs w:val="24"/>
          <w:lang w:val="en-US"/>
        </w:rPr>
        <w:t xml:space="preserve">The mycorrhizal frequency (F%) reached 100% in all examined </w:t>
      </w:r>
      <w:proofErr w:type="spellStart"/>
      <w:r>
        <w:rPr>
          <w:i/>
          <w:iCs/>
          <w:color w:val="auto"/>
          <w:szCs w:val="24"/>
          <w:lang w:val="en-US"/>
        </w:rPr>
        <w:t>Leptadeniahastata</w:t>
      </w:r>
      <w:proofErr w:type="spellEnd"/>
      <w:r>
        <w:rPr>
          <w:color w:val="auto"/>
          <w:szCs w:val="24"/>
          <w:lang w:val="en-US"/>
        </w:rPr>
        <w:t xml:space="preserve"> roots, indicating a total colonization. The mycorrhizal intensity (M%) averaged 50.20% across all samples. The arbuscular content, estimated through the parameters A and a, varied among individual roots. The highest recorded A value was 29.9%, while the lowest was 5.42%. For a, the maximum value was 62.97%, and the minimum 12.02%. The mean values of A and a were 36.52% and 15.60%, respectively.</w:t>
      </w:r>
    </w:p>
    <w:p w14:paraId="11941852" w14:textId="36734921" w:rsidR="008B097D" w:rsidRDefault="00DD4A2E">
      <w:pPr>
        <w:keepNext/>
        <w:spacing w:after="223" w:line="360" w:lineRule="auto"/>
        <w:ind w:left="0" w:firstLine="0"/>
        <w:jc w:val="both"/>
      </w:pPr>
      <w:r>
        <w:rPr>
          <w:b/>
          <w:bCs/>
          <w:i/>
          <w:iCs/>
          <w:noProof/>
          <w:color w:val="auto"/>
          <w:szCs w:val="24"/>
        </w:rPr>
        <w:lastRenderedPageBreak/>
        <w:pict w14:anchorId="3142D9FB">
          <v:shapetype id="_x0000_t202" coordsize="21600,21600" o:spt="202" path="m,l,21600r21600,l21600,xe">
            <v:stroke joinstyle="miter"/>
            <v:path gradientshapeok="t" o:connecttype="rect"/>
          </v:shapetype>
          <v:shape id="Zone de texte 41" o:spid="_x0000_s1026" type="#_x0000_t202" style="position:absolute;left:0;text-align:left;margin-left:-.4pt;margin-top:331.15pt;width:179pt;height:101.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" filled="f" stroked="f" strokeweight=".5pt">
            <v:textbox>
              <w:txbxContent>
                <w:p w14:paraId="079E1E51" w14:textId="77777777" w:rsidR="008B097D" w:rsidRDefault="00221405">
                  <w:pPr>
                    <w:widowControl w:val="0"/>
                    <w:rPr>
                      <w:b/>
                      <w:lang w:val="en-US"/>
                    </w:rPr>
                  </w:pPr>
                  <w:r>
                    <w:rPr>
                      <w:b/>
                      <w:lang w:val="en-US"/>
                    </w:rPr>
                    <w:t>LEGEND</w:t>
                  </w:r>
                </w:p>
                <w:p w14:paraId="57FDD0E8" w14:textId="6DE01FDB" w:rsidR="008B097D" w:rsidRDefault="00221405">
                  <w:pPr>
                    <w:widowControl w:val="0"/>
                    <w:rPr>
                      <w:lang w:val="en-US"/>
                    </w:rPr>
                  </w:pPr>
                  <w:r>
                    <w:rPr>
                      <w:lang w:val="en-US"/>
                    </w:rPr>
                    <w:t>A. Hyphae</w:t>
                  </w:r>
                  <w:r w:rsidR="00C1513A">
                    <w:rPr>
                      <w:lang w:val="en-US"/>
                    </w:rPr>
                    <w:t xml:space="preserve"> </w:t>
                  </w:r>
                </w:p>
                <w:p w14:paraId="3F44390F" w14:textId="77777777" w:rsidR="008B097D" w:rsidRDefault="00221405">
                  <w:pPr>
                    <w:widowControl w:val="0"/>
                    <w:rPr>
                      <w:lang w:val="en-US"/>
                    </w:rPr>
                  </w:pPr>
                  <w:r>
                    <w:rPr>
                      <w:lang w:val="en-US"/>
                    </w:rPr>
                    <w:t>B. Vesicles</w:t>
                  </w:r>
                </w:p>
                <w:p w14:paraId="374DDA0E" w14:textId="77777777" w:rsidR="008B097D" w:rsidRDefault="00221405">
                  <w:pPr>
                    <w:widowControl w:val="0"/>
                    <w:rPr>
                      <w:lang w:val="en-US"/>
                    </w:rPr>
                  </w:pPr>
                  <w:r>
                    <w:rPr>
                      <w:lang w:val="en-US"/>
                    </w:rPr>
                    <w:t xml:space="preserve">C. Vesicles developing into </w:t>
                  </w:r>
                  <w:proofErr w:type="spellStart"/>
                  <w:r>
                    <w:rPr>
                      <w:lang w:val="en-US"/>
                    </w:rPr>
                    <w:t>arbuscules</w:t>
                  </w:r>
                  <w:proofErr w:type="spellEnd"/>
                </w:p>
                <w:p w14:paraId="40B30A40" w14:textId="77777777" w:rsidR="008B097D" w:rsidRDefault="00221405">
                  <w:pPr>
                    <w:widowControl w:val="0"/>
                  </w:pPr>
                  <w:r>
                    <w:t>D. Arbuscules.</w:t>
                  </w:r>
                </w:p>
                <w:p w14:paraId="2F9D17D0" w14:textId="77777777" w:rsidR="008B097D" w:rsidRDefault="008B097D"/>
              </w:txbxContent>
            </v:textbox>
            <w10:wrap anchorx="margin"/>
          </v:shape>
        </w:pict>
      </w:r>
      <w:r>
        <w:rPr>
          <w:b/>
          <w:bCs/>
          <w:i/>
          <w:iCs/>
          <w:noProof/>
          <w:color w:val="auto"/>
          <w:szCs w:val="24"/>
        </w:rPr>
        <w:pict w14:anchorId="4A1D0BCE">
          <v:shape id="_x0000_s1028" type="#_x0000_t202" style="position:absolute;left:0;text-align:left;margin-left:168.4pt;margin-top:466.9pt;width:27.75pt;height:22.5pt;z-index:251660288" strokecolor="white [3212]">
            <v:textbox>
              <w:txbxContent>
                <w:p w14:paraId="4C6AEEDC" w14:textId="42D179C8" w:rsidR="00055E01" w:rsidRDefault="00055E01">
                  <w:pPr>
                    <w:ind w:left="0"/>
                  </w:pPr>
                  <w:r>
                    <w:t>A</w:t>
                  </w:r>
                </w:p>
              </w:txbxContent>
            </v:textbox>
          </v:shape>
        </w:pict>
      </w:r>
      <w:r w:rsidR="00221405">
        <w:rPr>
          <w:b/>
          <w:bCs/>
          <w:i/>
          <w:iCs/>
          <w:noProof/>
          <w:color w:val="auto"/>
          <w:szCs w:val="24"/>
        </w:rPr>
        <w:drawing>
          <wp:inline distT="0" distB="0" distL="114300" distR="114300" wp14:anchorId="6CB14DAB" wp14:editId="27098459">
            <wp:extent cx="5756275" cy="5943600"/>
            <wp:effectExtent l="0" t="0" r="0" b="0"/>
            <wp:docPr id="89375726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57264" name="Image 10"/>
                    <pic:cNvPicPr>
                      <a:picLocks noChangeAspect="1"/>
                    </pic:cNvPicPr>
                  </pic:nvPicPr>
                  <pic:blipFill>
                    <a:blip r:embed="rId15"/>
                    <a:srcRect/>
                    <a:stretch>
                      <a:fillRect/>
                    </a:stretch>
                  </pic:blipFill>
                  <pic:spPr>
                    <a:xfrm>
                      <a:off x="0" y="0"/>
                      <a:ext cx="5762486" cy="5950013"/>
                    </a:xfrm>
                    <a:prstGeom prst="rect">
                      <a:avLst/>
                    </a:prstGeom>
                  </pic:spPr>
                </pic:pic>
              </a:graphicData>
            </a:graphic>
          </wp:inline>
        </w:drawing>
      </w:r>
    </w:p>
    <w:p w14:paraId="7975B2C0" w14:textId="77777777" w:rsidR="008B097D" w:rsidRDefault="00221405">
      <w:pPr>
        <w:spacing w:after="223" w:line="360" w:lineRule="auto"/>
        <w:ind w:left="0" w:firstLine="0"/>
        <w:jc w:val="both"/>
        <w:rPr>
          <w:color w:val="auto"/>
          <w:szCs w:val="24"/>
          <w:lang w:val="en-US"/>
        </w:rPr>
      </w:pPr>
      <w:r>
        <w:rPr>
          <w:color w:val="auto"/>
          <w:szCs w:val="24"/>
          <w:lang w:val="en-US"/>
        </w:rPr>
        <w:t xml:space="preserve">Figure 6: Characteristic structures of </w:t>
      </w:r>
      <w:proofErr w:type="spellStart"/>
      <w:r>
        <w:rPr>
          <w:i/>
          <w:iCs/>
          <w:color w:val="auto"/>
          <w:szCs w:val="24"/>
          <w:lang w:val="en-US"/>
        </w:rPr>
        <w:t>Leptadeniahastata</w:t>
      </w:r>
      <w:r>
        <w:rPr>
          <w:color w:val="auto"/>
          <w:szCs w:val="24"/>
          <w:lang w:val="en-US"/>
        </w:rPr>
        <w:t>endomycorrhizae</w:t>
      </w:r>
      <w:proofErr w:type="spellEnd"/>
    </w:p>
    <w:p w14:paraId="335777B5" w14:textId="77777777" w:rsidR="008B097D" w:rsidRDefault="00221405">
      <w:pPr>
        <w:spacing w:after="223" w:line="360" w:lineRule="auto"/>
        <w:ind w:left="0" w:firstLine="0"/>
        <w:jc w:val="both"/>
        <w:rPr>
          <w:b/>
          <w:bCs/>
          <w:color w:val="auto"/>
          <w:szCs w:val="24"/>
          <w:lang w:val="en-US"/>
        </w:rPr>
      </w:pPr>
      <w:r>
        <w:rPr>
          <w:b/>
          <w:bCs/>
          <w:color w:val="auto"/>
          <w:szCs w:val="24"/>
          <w:lang w:val="en-US"/>
        </w:rPr>
        <w:t>3.3. Relationships Between Chemical Parameters and Arbuscular Mycorrhizal Fungi (AMF)</w:t>
      </w:r>
    </w:p>
    <w:p w14:paraId="3D98380A" w14:textId="77777777" w:rsidR="008B097D" w:rsidRDefault="00221405">
      <w:pPr>
        <w:spacing w:after="223" w:line="360" w:lineRule="auto"/>
        <w:ind w:left="0" w:firstLine="0"/>
        <w:jc w:val="both"/>
        <w:rPr>
          <w:color w:val="auto"/>
          <w:szCs w:val="24"/>
          <w:lang w:val="en-US"/>
        </w:rPr>
      </w:pPr>
      <w:r>
        <w:rPr>
          <w:color w:val="auto"/>
          <w:szCs w:val="24"/>
          <w:lang w:val="en-US"/>
        </w:rPr>
        <w:t>The Principal Component Analysis (PCA) revealed a strong positive correlation between the two identified genera of arbuscular mycorrhizal fungi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and several soil chemical parameters (Figure 4).</w:t>
      </w:r>
    </w:p>
    <w:p w14:paraId="13AAB6F2"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Electrical conductivity and organic carbon showed a strong positive association with both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Likewise, total phosphorus, available phosphorus, pH, sulfur content, cation exchange capacity (CEC), exchangeable base contents (calcium, nitrogen, and magnesium), base saturation rate, and organic matter exhibited a strong positive correlation with the Glomus genus, while maintaining a positive correlation with </w:t>
      </w:r>
      <w:proofErr w:type="spellStart"/>
      <w:r>
        <w:rPr>
          <w:i/>
          <w:iCs/>
          <w:color w:val="auto"/>
          <w:szCs w:val="24"/>
          <w:lang w:val="en-US"/>
        </w:rPr>
        <w:t>Gigaspora</w:t>
      </w:r>
      <w:proofErr w:type="spellEnd"/>
      <w:r>
        <w:rPr>
          <w:i/>
          <w:iCs/>
          <w:color w:val="auto"/>
          <w:szCs w:val="24"/>
          <w:lang w:val="en-US"/>
        </w:rPr>
        <w:t>.</w:t>
      </w:r>
    </w:p>
    <w:p w14:paraId="17391731" w14:textId="77777777" w:rsidR="008B097D" w:rsidRDefault="00221405">
      <w:pPr>
        <w:spacing w:after="223" w:line="360" w:lineRule="auto"/>
        <w:ind w:left="0" w:firstLine="0"/>
        <w:jc w:val="both"/>
        <w:rPr>
          <w:color w:val="auto"/>
          <w:szCs w:val="24"/>
          <w:lang w:val="en-US"/>
        </w:rPr>
      </w:pPr>
      <w:r>
        <w:rPr>
          <w:color w:val="auto"/>
          <w:szCs w:val="24"/>
          <w:lang w:val="en-US"/>
        </w:rPr>
        <w:t>Conversely, the C/N ratio and sodium content were found to be negatively correlated with both fungal genera.</w:t>
      </w:r>
    </w:p>
    <w:p w14:paraId="043B6BE6"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62B0C52D" wp14:editId="32894C2E">
            <wp:extent cx="5196205" cy="5044440"/>
            <wp:effectExtent l="0" t="0" r="0" b="0"/>
            <wp:docPr id="7189991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99118" name="Image 1"/>
                    <pic:cNvPicPr>
                      <a:picLocks noChangeAspect="1"/>
                    </pic:cNvPicPr>
                  </pic:nvPicPr>
                  <pic:blipFill>
                    <a:blip r:embed="rId16"/>
                    <a:srcRect b="1548"/>
                    <a:stretch>
                      <a:fillRect/>
                    </a:stretch>
                  </pic:blipFill>
                  <pic:spPr>
                    <a:xfrm>
                      <a:off x="0" y="0"/>
                      <a:ext cx="5196205" cy="5044440"/>
                    </a:xfrm>
                    <a:prstGeom prst="rect">
                      <a:avLst/>
                    </a:prstGeom>
                    <a:ln>
                      <a:noFill/>
                    </a:ln>
                  </pic:spPr>
                </pic:pic>
              </a:graphicData>
            </a:graphic>
          </wp:inline>
        </w:drawing>
      </w:r>
    </w:p>
    <w:p w14:paraId="76A719C3" w14:textId="77777777" w:rsidR="008B097D" w:rsidRDefault="00221405">
      <w:pPr>
        <w:spacing w:after="223" w:line="360" w:lineRule="auto"/>
        <w:ind w:left="0" w:firstLine="0"/>
        <w:jc w:val="both"/>
        <w:rPr>
          <w:color w:val="auto"/>
          <w:szCs w:val="24"/>
          <w:lang w:val="en-US"/>
        </w:rPr>
      </w:pPr>
      <w:r>
        <w:rPr>
          <w:color w:val="auto"/>
          <w:szCs w:val="24"/>
          <w:lang w:val="en-US"/>
        </w:rPr>
        <w:t>Figure 7: Correlations between soil chemical parameters and arbuscular mycorrhizal fungi</w:t>
      </w:r>
    </w:p>
    <w:p w14:paraId="03944B6C" w14:textId="77777777" w:rsidR="008B097D" w:rsidRDefault="008B097D">
      <w:pPr>
        <w:spacing w:after="223" w:line="360" w:lineRule="auto"/>
        <w:ind w:left="0" w:firstLine="0"/>
        <w:jc w:val="both"/>
        <w:rPr>
          <w:b/>
          <w:bCs/>
          <w:color w:val="auto"/>
          <w:szCs w:val="24"/>
          <w:lang w:val="en-US"/>
        </w:rPr>
      </w:pPr>
    </w:p>
    <w:p w14:paraId="6B1E3231" w14:textId="77777777" w:rsidR="008B097D" w:rsidRDefault="008B097D">
      <w:pPr>
        <w:spacing w:after="223" w:line="360" w:lineRule="auto"/>
        <w:ind w:left="0" w:firstLine="0"/>
        <w:jc w:val="both"/>
        <w:rPr>
          <w:b/>
          <w:bCs/>
          <w:color w:val="auto"/>
          <w:szCs w:val="24"/>
          <w:lang w:val="en-US"/>
        </w:rPr>
      </w:pPr>
    </w:p>
    <w:p w14:paraId="00787857" w14:textId="77777777" w:rsidR="008B097D" w:rsidRDefault="008B097D">
      <w:pPr>
        <w:spacing w:after="223" w:line="360" w:lineRule="auto"/>
        <w:ind w:left="0" w:firstLine="0"/>
        <w:jc w:val="both"/>
        <w:rPr>
          <w:b/>
          <w:bCs/>
          <w:color w:val="auto"/>
          <w:szCs w:val="24"/>
          <w:lang w:val="en-US"/>
        </w:rPr>
      </w:pPr>
    </w:p>
    <w:p w14:paraId="28AD62DF" w14:textId="77777777" w:rsidR="008B097D" w:rsidRDefault="00221405">
      <w:pPr>
        <w:spacing w:after="223" w:line="360" w:lineRule="auto"/>
        <w:ind w:left="0" w:firstLine="0"/>
        <w:jc w:val="both"/>
        <w:rPr>
          <w:b/>
          <w:bCs/>
          <w:color w:val="auto"/>
          <w:szCs w:val="24"/>
          <w:lang w:val="en-US"/>
        </w:rPr>
      </w:pPr>
      <w:r>
        <w:rPr>
          <w:b/>
          <w:bCs/>
          <w:color w:val="auto"/>
          <w:szCs w:val="24"/>
          <w:lang w:val="en-US"/>
        </w:rPr>
        <w:t>4. DISCUSSION</w:t>
      </w:r>
    </w:p>
    <w:p w14:paraId="1EB6C082" w14:textId="77777777" w:rsidR="008B097D" w:rsidRDefault="00221405">
      <w:pPr>
        <w:spacing w:after="0" w:line="360" w:lineRule="auto"/>
        <w:ind w:left="0" w:firstLine="0"/>
        <w:jc w:val="both"/>
        <w:rPr>
          <w:b/>
          <w:bCs/>
          <w:color w:val="auto"/>
          <w:szCs w:val="24"/>
          <w:lang w:val="en-US"/>
        </w:rPr>
      </w:pPr>
      <w:r>
        <w:rPr>
          <w:b/>
          <w:bCs/>
          <w:color w:val="auto"/>
          <w:szCs w:val="24"/>
          <w:lang w:val="en-US"/>
        </w:rPr>
        <w:t xml:space="preserve">4.1. Spore Potential of Arbuscular Mycorrhizal Fungi (AMF) in the </w:t>
      </w:r>
      <w:proofErr w:type="spellStart"/>
      <w:r>
        <w:rPr>
          <w:b/>
          <w:bCs/>
          <w:color w:val="auto"/>
          <w:szCs w:val="24"/>
          <w:lang w:val="en-US"/>
        </w:rPr>
        <w:t>Satara</w:t>
      </w:r>
      <w:proofErr w:type="spellEnd"/>
      <w:r>
        <w:rPr>
          <w:b/>
          <w:bCs/>
          <w:color w:val="auto"/>
          <w:szCs w:val="24"/>
          <w:lang w:val="en-US"/>
        </w:rPr>
        <w:t xml:space="preserve"> Site Soils</w:t>
      </w:r>
    </w:p>
    <w:p w14:paraId="640402BE" w14:textId="77777777" w:rsidR="008B097D" w:rsidRDefault="00221405">
      <w:pPr>
        <w:spacing w:after="0" w:line="360" w:lineRule="auto"/>
        <w:ind w:left="0" w:firstLine="0"/>
        <w:jc w:val="both"/>
        <w:rPr>
          <w:color w:val="auto"/>
          <w:szCs w:val="24"/>
          <w:lang w:val="en-US"/>
        </w:rPr>
      </w:pPr>
      <w:r>
        <w:rPr>
          <w:color w:val="auto"/>
          <w:szCs w:val="24"/>
          <w:lang w:val="en-US"/>
        </w:rPr>
        <w:t xml:space="preserve">At the </w:t>
      </w:r>
      <w:proofErr w:type="spellStart"/>
      <w:r>
        <w:rPr>
          <w:color w:val="auto"/>
          <w:szCs w:val="24"/>
          <w:lang w:val="en-US"/>
        </w:rPr>
        <w:t>Satara</w:t>
      </w:r>
      <w:proofErr w:type="spellEnd"/>
      <w:r>
        <w:rPr>
          <w:color w:val="auto"/>
          <w:szCs w:val="24"/>
          <w:lang w:val="en-US"/>
        </w:rPr>
        <w:t xml:space="preserve"> site, the number of spores in the soils associated with </w:t>
      </w:r>
      <w:proofErr w:type="spellStart"/>
      <w:r>
        <w:rPr>
          <w:i/>
          <w:iCs/>
          <w:color w:val="auto"/>
          <w:szCs w:val="24"/>
          <w:lang w:val="en-US"/>
        </w:rPr>
        <w:t>Leptadeniahastata</w:t>
      </w:r>
      <w:proofErr w:type="spellEnd"/>
      <w:r>
        <w:rPr>
          <w:color w:val="auto"/>
          <w:szCs w:val="24"/>
          <w:lang w:val="en-US"/>
        </w:rPr>
        <w:t xml:space="preserve"> was markedly higher than that observed in the bare soils. Specifically, the number of spores per 100 g of soil was 403 in the bare soil, while it reached 905 in the soil beneath </w:t>
      </w:r>
      <w:proofErr w:type="spellStart"/>
      <w:r>
        <w:rPr>
          <w:i/>
          <w:iCs/>
          <w:color w:val="auto"/>
          <w:szCs w:val="24"/>
          <w:lang w:val="en-US"/>
        </w:rPr>
        <w:t>Leptadeniahastata</w:t>
      </w:r>
      <w:proofErr w:type="spellEnd"/>
      <w:r>
        <w:rPr>
          <w:color w:val="auto"/>
          <w:szCs w:val="24"/>
          <w:lang w:val="en-US"/>
        </w:rPr>
        <w:t>.</w:t>
      </w:r>
    </w:p>
    <w:p w14:paraId="08EA2E79" w14:textId="77777777" w:rsidR="008B097D" w:rsidRDefault="00221405">
      <w:pPr>
        <w:spacing w:after="0" w:line="360" w:lineRule="auto"/>
        <w:ind w:left="0" w:firstLine="0"/>
        <w:jc w:val="both"/>
        <w:rPr>
          <w:color w:val="auto"/>
          <w:szCs w:val="24"/>
          <w:lang w:val="en-US"/>
        </w:rPr>
      </w:pPr>
      <w:r>
        <w:rPr>
          <w:color w:val="auto"/>
          <w:szCs w:val="24"/>
          <w:lang w:val="en-US"/>
        </w:rPr>
        <w:t>This clearly highlights the essential role of vegetation cover in promoting the proliferation of mycorrhizal propagules in soils.</w:t>
      </w:r>
    </w:p>
    <w:p w14:paraId="1B0581EB" w14:textId="77777777" w:rsidR="008B097D" w:rsidRDefault="00221405">
      <w:pPr>
        <w:spacing w:after="0" w:line="360" w:lineRule="auto"/>
        <w:ind w:left="0" w:firstLine="0"/>
        <w:jc w:val="both"/>
        <w:rPr>
          <w:b/>
          <w:bCs/>
          <w:color w:val="auto"/>
          <w:szCs w:val="24"/>
          <w:lang w:val="en-US"/>
        </w:rPr>
      </w:pPr>
      <w:r>
        <w:rPr>
          <w:b/>
          <w:bCs/>
          <w:color w:val="auto"/>
          <w:szCs w:val="24"/>
          <w:lang w:val="en-US"/>
        </w:rPr>
        <w:t xml:space="preserve">4.2. Mycorrhizal Dependence of </w:t>
      </w:r>
      <w:proofErr w:type="spellStart"/>
      <w:r>
        <w:rPr>
          <w:b/>
          <w:bCs/>
          <w:i/>
          <w:iCs/>
          <w:color w:val="auto"/>
          <w:szCs w:val="24"/>
          <w:lang w:val="en-US"/>
        </w:rPr>
        <w:t>Leptadeniahastata</w:t>
      </w:r>
      <w:proofErr w:type="spellEnd"/>
    </w:p>
    <w:p w14:paraId="3D55E36C" w14:textId="77777777" w:rsidR="008B097D" w:rsidRDefault="00221405">
      <w:pPr>
        <w:spacing w:after="0" w:line="360" w:lineRule="auto"/>
        <w:ind w:left="0" w:firstLine="0"/>
        <w:jc w:val="both"/>
        <w:rPr>
          <w:color w:val="auto"/>
          <w:szCs w:val="24"/>
          <w:lang w:val="en-US"/>
        </w:rPr>
      </w:pPr>
      <w:r>
        <w:rPr>
          <w:color w:val="auto"/>
          <w:szCs w:val="24"/>
          <w:lang w:val="en-US"/>
        </w:rPr>
        <w:t xml:space="preserve">The AMF population collected from the </w:t>
      </w:r>
      <w:proofErr w:type="spellStart"/>
      <w:r>
        <w:rPr>
          <w:i/>
          <w:iCs/>
          <w:color w:val="auto"/>
          <w:szCs w:val="24"/>
          <w:lang w:val="en-US"/>
        </w:rPr>
        <w:t>Leptadeniahastata</w:t>
      </w:r>
      <w:r>
        <w:rPr>
          <w:color w:val="auto"/>
          <w:szCs w:val="24"/>
          <w:lang w:val="en-US"/>
        </w:rPr>
        <w:t>rhizospheric</w:t>
      </w:r>
      <w:proofErr w:type="spellEnd"/>
      <w:r>
        <w:rPr>
          <w:color w:val="auto"/>
          <w:szCs w:val="24"/>
          <w:lang w:val="en-US"/>
        </w:rPr>
        <w:t xml:space="preserve"> soils at the </w:t>
      </w:r>
      <w:proofErr w:type="spellStart"/>
      <w:r>
        <w:rPr>
          <w:color w:val="auto"/>
          <w:szCs w:val="24"/>
          <w:lang w:val="en-US"/>
        </w:rPr>
        <w:t>Satara</w:t>
      </w:r>
      <w:proofErr w:type="spellEnd"/>
      <w:r>
        <w:rPr>
          <w:color w:val="auto"/>
          <w:szCs w:val="24"/>
          <w:lang w:val="en-US"/>
        </w:rPr>
        <w:t xml:space="preserve"> site was composed of two genera, namely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Among them, </w:t>
      </w:r>
      <w:r>
        <w:rPr>
          <w:i/>
          <w:iCs/>
          <w:color w:val="auto"/>
          <w:szCs w:val="24"/>
          <w:lang w:val="en-US"/>
        </w:rPr>
        <w:t>Glomus</w:t>
      </w:r>
      <w:r>
        <w:rPr>
          <w:color w:val="auto"/>
          <w:szCs w:val="24"/>
          <w:lang w:val="en-US"/>
        </w:rPr>
        <w:t xml:space="preserve"> was the most abundant, with 652 spores per 100 g of soil, while </w:t>
      </w:r>
      <w:proofErr w:type="spellStart"/>
      <w:r>
        <w:rPr>
          <w:i/>
          <w:iCs/>
          <w:color w:val="auto"/>
          <w:szCs w:val="24"/>
          <w:lang w:val="en-US"/>
        </w:rPr>
        <w:t>Gigaspora</w:t>
      </w:r>
      <w:r>
        <w:rPr>
          <w:color w:val="auto"/>
          <w:szCs w:val="24"/>
          <w:lang w:val="en-US"/>
        </w:rPr>
        <w:t>was</w:t>
      </w:r>
      <w:proofErr w:type="spellEnd"/>
      <w:r>
        <w:rPr>
          <w:color w:val="auto"/>
          <w:szCs w:val="24"/>
          <w:lang w:val="en-US"/>
        </w:rPr>
        <w:t xml:space="preserve"> less represented, with 253 spores per 100 g of soil. The dominance of </w:t>
      </w:r>
      <w:r>
        <w:rPr>
          <w:i/>
          <w:iCs/>
          <w:color w:val="auto"/>
          <w:szCs w:val="24"/>
          <w:lang w:val="en-US"/>
        </w:rPr>
        <w:t>Glomus</w:t>
      </w:r>
      <w:r>
        <w:rPr>
          <w:color w:val="auto"/>
          <w:szCs w:val="24"/>
          <w:lang w:val="en-US"/>
        </w:rPr>
        <w:t xml:space="preserve"> suggests that this fungal genus plays a crucial ecological role within this ecosystem.</w:t>
      </w:r>
    </w:p>
    <w:p w14:paraId="230271EA" w14:textId="77777777" w:rsidR="008B097D" w:rsidRDefault="00221405">
      <w:pPr>
        <w:spacing w:after="0" w:line="360" w:lineRule="auto"/>
        <w:ind w:left="0" w:firstLine="0"/>
        <w:jc w:val="both"/>
        <w:rPr>
          <w:color w:val="auto"/>
          <w:szCs w:val="24"/>
          <w:lang w:val="en-US"/>
        </w:rPr>
      </w:pPr>
      <w:r>
        <w:rPr>
          <w:color w:val="auto"/>
          <w:szCs w:val="24"/>
          <w:lang w:val="en-US"/>
        </w:rPr>
        <w:t>Similar species compositions of AMF communities, dominated by Glomus spp., were reported by Abdoulaye (2013) in the same region (</w:t>
      </w:r>
      <w:proofErr w:type="spellStart"/>
      <w:r>
        <w:rPr>
          <w:color w:val="auto"/>
          <w:szCs w:val="24"/>
          <w:lang w:val="en-US"/>
        </w:rPr>
        <w:t>Sadoré</w:t>
      </w:r>
      <w:proofErr w:type="spellEnd"/>
      <w:r>
        <w:rPr>
          <w:color w:val="auto"/>
          <w:szCs w:val="24"/>
          <w:lang w:val="en-US"/>
        </w:rPr>
        <w:t xml:space="preserve">). Comparable results were also observed by Stutz et al. (2000), who indicated that the genus Glomus is typically more representative than </w:t>
      </w:r>
      <w:proofErr w:type="spellStart"/>
      <w:r>
        <w:rPr>
          <w:i/>
          <w:iCs/>
          <w:color w:val="auto"/>
          <w:szCs w:val="24"/>
          <w:lang w:val="en-US"/>
        </w:rPr>
        <w:t>Gigaspora</w:t>
      </w:r>
      <w:proofErr w:type="spellEnd"/>
      <w:r>
        <w:rPr>
          <w:color w:val="auto"/>
          <w:szCs w:val="24"/>
          <w:lang w:val="en-US"/>
        </w:rPr>
        <w:t xml:space="preserve"> in arid and semi-arid ecosystems.</w:t>
      </w:r>
    </w:p>
    <w:p w14:paraId="2FD8E305" w14:textId="77777777" w:rsidR="008B097D" w:rsidRDefault="00221405">
      <w:pPr>
        <w:spacing w:after="0" w:line="360" w:lineRule="auto"/>
        <w:ind w:left="0" w:firstLine="0"/>
        <w:jc w:val="both"/>
        <w:rPr>
          <w:color w:val="auto"/>
          <w:szCs w:val="24"/>
          <w:lang w:val="en-US"/>
        </w:rPr>
      </w:pPr>
      <w:r>
        <w:rPr>
          <w:color w:val="auto"/>
          <w:szCs w:val="24"/>
          <w:lang w:val="en-US"/>
        </w:rPr>
        <w:t xml:space="preserve">Microscopic examination of </w:t>
      </w:r>
      <w:proofErr w:type="spellStart"/>
      <w:r>
        <w:rPr>
          <w:i/>
          <w:iCs/>
          <w:color w:val="auto"/>
          <w:szCs w:val="24"/>
          <w:lang w:val="en-US"/>
        </w:rPr>
        <w:t>Leptadeniahastata</w:t>
      </w:r>
      <w:proofErr w:type="spellEnd"/>
      <w:r>
        <w:rPr>
          <w:color w:val="auto"/>
          <w:szCs w:val="24"/>
          <w:lang w:val="en-US"/>
        </w:rPr>
        <w:t xml:space="preserve"> roots revealed that this species is naturally colonized by AMF, reflecting its </w:t>
      </w:r>
      <w:proofErr w:type="spellStart"/>
      <w:r>
        <w:rPr>
          <w:color w:val="auto"/>
          <w:szCs w:val="24"/>
          <w:lang w:val="en-US"/>
        </w:rPr>
        <w:t>endomycotrophic</w:t>
      </w:r>
      <w:proofErr w:type="spellEnd"/>
      <w:r>
        <w:rPr>
          <w:color w:val="auto"/>
          <w:szCs w:val="24"/>
          <w:lang w:val="en-US"/>
        </w:rPr>
        <w:t xml:space="preserve"> nature. </w:t>
      </w:r>
      <w:proofErr w:type="spellStart"/>
      <w:r>
        <w:rPr>
          <w:i/>
          <w:iCs/>
          <w:color w:val="auto"/>
          <w:szCs w:val="24"/>
          <w:lang w:val="en-US"/>
        </w:rPr>
        <w:t>Leptadeniahastata</w:t>
      </w:r>
      <w:proofErr w:type="spellEnd"/>
      <w:r>
        <w:rPr>
          <w:color w:val="auto"/>
          <w:szCs w:val="24"/>
          <w:lang w:val="en-US"/>
        </w:rPr>
        <w:t xml:space="preserve"> possesses a mixed root system, consisting of deep taproots that penetrate the lower soil horizons and lateral roots that absorb surface water and nutrients. For optimal growth under harsh environmental conditions, the plant relies heavily on its fungal partners.</w:t>
      </w:r>
    </w:p>
    <w:p w14:paraId="2E89F575" w14:textId="77777777" w:rsidR="008B097D" w:rsidRDefault="00221405">
      <w:pPr>
        <w:spacing w:after="0" w:line="360" w:lineRule="auto"/>
        <w:ind w:left="0" w:firstLine="0"/>
        <w:jc w:val="both"/>
        <w:rPr>
          <w:color w:val="auto"/>
          <w:szCs w:val="24"/>
          <w:lang w:val="en-US"/>
        </w:rPr>
      </w:pPr>
      <w:r>
        <w:rPr>
          <w:color w:val="auto"/>
          <w:szCs w:val="24"/>
          <w:lang w:val="en-US"/>
        </w:rPr>
        <w:t xml:space="preserve">The 100% mycorrhizal frequency observed confirms the mycorrhizal dependence of this plant species. According to Gobat </w:t>
      </w:r>
      <w:r>
        <w:rPr>
          <w:i/>
          <w:color w:val="auto"/>
          <w:szCs w:val="24"/>
          <w:lang w:val="en-US"/>
        </w:rPr>
        <w:t>et al.</w:t>
      </w:r>
      <w:r>
        <w:rPr>
          <w:color w:val="auto"/>
          <w:szCs w:val="24"/>
          <w:lang w:val="en-US"/>
        </w:rPr>
        <w:t xml:space="preserve"> (2003), certain plant species are incapable of normal growth without their fungal symbionts. Through its mycelium, the fungus explores the soil, absorbing mineral nutrients that it transfers to the plant, while in return, the plant supplies carbohydrates and lipids essential for fungal development and life cycle completion, establishing an obligate symbiosis (</w:t>
      </w:r>
      <w:proofErr w:type="spellStart"/>
      <w:r>
        <w:rPr>
          <w:color w:val="auto"/>
          <w:szCs w:val="24"/>
          <w:lang w:val="en-US"/>
        </w:rPr>
        <w:t>Keymer</w:t>
      </w:r>
      <w:proofErr w:type="spellEnd"/>
      <w:r>
        <w:rPr>
          <w:color w:val="auto"/>
          <w:szCs w:val="24"/>
          <w:lang w:val="en-US"/>
        </w:rPr>
        <w:t xml:space="preserve"> </w:t>
      </w:r>
      <w:r>
        <w:rPr>
          <w:i/>
          <w:color w:val="auto"/>
          <w:szCs w:val="24"/>
          <w:lang w:val="en-US"/>
        </w:rPr>
        <w:t>et al</w:t>
      </w:r>
      <w:r>
        <w:rPr>
          <w:color w:val="auto"/>
          <w:szCs w:val="24"/>
          <w:lang w:val="en-US"/>
        </w:rPr>
        <w:t>., 2017).</w:t>
      </w:r>
    </w:p>
    <w:p w14:paraId="7D9A5DA5" w14:textId="77777777" w:rsidR="008B097D" w:rsidRDefault="00221405">
      <w:pPr>
        <w:spacing w:after="0" w:line="360" w:lineRule="auto"/>
        <w:ind w:left="0" w:firstLine="0"/>
        <w:jc w:val="both"/>
        <w:rPr>
          <w:color w:val="auto"/>
          <w:szCs w:val="24"/>
          <w:lang w:val="en-US"/>
        </w:rPr>
      </w:pPr>
      <w:r>
        <w:rPr>
          <w:color w:val="auto"/>
          <w:szCs w:val="24"/>
          <w:lang w:val="en-US"/>
        </w:rPr>
        <w:lastRenderedPageBreak/>
        <w:t xml:space="preserve">Moreover, fungal sporulation occurs in the soil or within roots, conferring enhanced biotic and abiotic stress resistance to the host plant (Fortin </w:t>
      </w:r>
      <w:r>
        <w:rPr>
          <w:i/>
          <w:color w:val="auto"/>
          <w:szCs w:val="24"/>
          <w:lang w:val="en-US"/>
        </w:rPr>
        <w:t>et al.</w:t>
      </w:r>
      <w:r>
        <w:rPr>
          <w:color w:val="auto"/>
          <w:szCs w:val="24"/>
          <w:lang w:val="en-US"/>
        </w:rPr>
        <w:t>, 2015).</w:t>
      </w:r>
    </w:p>
    <w:p w14:paraId="26078279" w14:textId="77777777" w:rsidR="008B097D" w:rsidRDefault="00221405">
      <w:pPr>
        <w:spacing w:after="0" w:line="360" w:lineRule="auto"/>
        <w:ind w:left="0" w:firstLine="0"/>
        <w:jc w:val="both"/>
        <w:rPr>
          <w:b/>
          <w:bCs/>
          <w:i/>
          <w:iCs/>
          <w:color w:val="auto"/>
          <w:szCs w:val="24"/>
          <w:lang w:val="en-US"/>
        </w:rPr>
      </w:pPr>
      <w:r>
        <w:rPr>
          <w:b/>
          <w:bCs/>
          <w:color w:val="auto"/>
          <w:szCs w:val="24"/>
          <w:lang w:val="en-US"/>
        </w:rPr>
        <w:t xml:space="preserve">4.3. Improvement of Soil Quality under </w:t>
      </w:r>
      <w:proofErr w:type="spellStart"/>
      <w:r>
        <w:rPr>
          <w:b/>
          <w:bCs/>
          <w:i/>
          <w:iCs/>
          <w:color w:val="auto"/>
          <w:szCs w:val="24"/>
          <w:lang w:val="en-US"/>
        </w:rPr>
        <w:t>Leptadeniahastata</w:t>
      </w:r>
      <w:proofErr w:type="spellEnd"/>
    </w:p>
    <w:p w14:paraId="0925156E" w14:textId="77777777" w:rsidR="008B097D" w:rsidRDefault="00221405">
      <w:pPr>
        <w:spacing w:after="0" w:line="360" w:lineRule="auto"/>
        <w:ind w:left="0" w:firstLine="0"/>
        <w:jc w:val="both"/>
        <w:rPr>
          <w:color w:val="auto"/>
          <w:szCs w:val="24"/>
          <w:lang w:val="en-US"/>
        </w:rPr>
      </w:pPr>
      <w:r>
        <w:rPr>
          <w:color w:val="auto"/>
          <w:szCs w:val="24"/>
          <w:lang w:val="en-US"/>
        </w:rPr>
        <w:t xml:space="preserve">The </w:t>
      </w:r>
      <w:proofErr w:type="spellStart"/>
      <w:r>
        <w:rPr>
          <w:color w:val="auto"/>
          <w:szCs w:val="24"/>
          <w:lang w:val="en-US"/>
        </w:rPr>
        <w:t>physico</w:t>
      </w:r>
      <w:proofErr w:type="spellEnd"/>
      <w:r>
        <w:rPr>
          <w:color w:val="auto"/>
          <w:szCs w:val="24"/>
          <w:lang w:val="en-US"/>
        </w:rPr>
        <w:t xml:space="preserve">-chemical analyses of the </w:t>
      </w:r>
      <w:proofErr w:type="spellStart"/>
      <w:r>
        <w:rPr>
          <w:color w:val="auto"/>
          <w:szCs w:val="24"/>
          <w:lang w:val="en-US"/>
        </w:rPr>
        <w:t>Satara</w:t>
      </w:r>
      <w:proofErr w:type="spellEnd"/>
      <w:r>
        <w:rPr>
          <w:color w:val="auto"/>
          <w:szCs w:val="24"/>
          <w:lang w:val="en-US"/>
        </w:rPr>
        <w:t xml:space="preserve"> soils revealed that they are sandy in texture, acidic in pH, and poor in essential nutrients a typical characteristic of arid and semi-arid soils (West </w:t>
      </w:r>
      <w:r>
        <w:rPr>
          <w:i/>
          <w:color w:val="auto"/>
          <w:szCs w:val="24"/>
          <w:lang w:val="en-US"/>
        </w:rPr>
        <w:t>et al.</w:t>
      </w:r>
      <w:r>
        <w:rPr>
          <w:color w:val="auto"/>
          <w:szCs w:val="24"/>
          <w:lang w:val="en-US"/>
        </w:rPr>
        <w:t xml:space="preserve">, 1994). This nutrient deficiency reflects the overall infertility of the </w:t>
      </w:r>
      <w:proofErr w:type="spellStart"/>
      <w:r>
        <w:rPr>
          <w:color w:val="auto"/>
          <w:szCs w:val="24"/>
          <w:lang w:val="en-US"/>
        </w:rPr>
        <w:t>Satara</w:t>
      </w:r>
      <w:proofErr w:type="spellEnd"/>
      <w:r>
        <w:rPr>
          <w:color w:val="auto"/>
          <w:szCs w:val="24"/>
          <w:lang w:val="en-US"/>
        </w:rPr>
        <w:t xml:space="preserve"> soils, which in turn promotes mycorrhizal colonization of </w:t>
      </w:r>
      <w:proofErr w:type="spellStart"/>
      <w:r>
        <w:rPr>
          <w:i/>
          <w:iCs/>
          <w:color w:val="auto"/>
          <w:szCs w:val="24"/>
          <w:lang w:val="en-US"/>
        </w:rPr>
        <w:t>Leptadeniahastata</w:t>
      </w:r>
      <w:proofErr w:type="spellEnd"/>
      <w:r>
        <w:rPr>
          <w:color w:val="auto"/>
          <w:szCs w:val="24"/>
          <w:lang w:val="en-US"/>
        </w:rPr>
        <w:t xml:space="preserve">. According to Hart </w:t>
      </w:r>
      <w:r>
        <w:rPr>
          <w:i/>
          <w:color w:val="auto"/>
          <w:szCs w:val="24"/>
          <w:lang w:val="en-US"/>
        </w:rPr>
        <w:t>et al.</w:t>
      </w:r>
      <w:r>
        <w:rPr>
          <w:color w:val="auto"/>
          <w:szCs w:val="24"/>
          <w:lang w:val="en-US"/>
        </w:rPr>
        <w:t>, (2003), effective mycorrhizal functioning is often observed in nutrient-poor soils, where the host plant establishes symbiotic relationships to enhance nutrient acquisition through fungal partners.</w:t>
      </w:r>
    </w:p>
    <w:p w14:paraId="6EB3DCA6" w14:textId="77777777" w:rsidR="008B097D" w:rsidRDefault="00221405">
      <w:pPr>
        <w:spacing w:after="0" w:line="360" w:lineRule="auto"/>
        <w:ind w:left="0" w:firstLine="0"/>
        <w:jc w:val="both"/>
        <w:rPr>
          <w:color w:val="auto"/>
          <w:szCs w:val="24"/>
          <w:lang w:val="en-US"/>
        </w:rPr>
      </w:pPr>
      <w:r>
        <w:rPr>
          <w:color w:val="auto"/>
          <w:szCs w:val="24"/>
          <w:lang w:val="en-US"/>
        </w:rPr>
        <w:t xml:space="preserve">The establishment of this symbiotic association also promotes the formation of soil aggregates, improving soil structure. The colonization of soil by extraradical mycelia and the production of glomalin by mycorrhizal hyphae contribute to the formation of more stable aggregates (Lovelock </w:t>
      </w:r>
      <w:r>
        <w:rPr>
          <w:i/>
          <w:color w:val="auto"/>
          <w:szCs w:val="24"/>
          <w:lang w:val="en-US"/>
        </w:rPr>
        <w:t>et al</w:t>
      </w:r>
      <w:r>
        <w:rPr>
          <w:color w:val="auto"/>
          <w:szCs w:val="24"/>
          <w:lang w:val="en-US"/>
        </w:rPr>
        <w:t xml:space="preserve">., 2004; </w:t>
      </w:r>
      <w:proofErr w:type="spellStart"/>
      <w:r>
        <w:rPr>
          <w:color w:val="auto"/>
          <w:szCs w:val="24"/>
          <w:lang w:val="en-US"/>
        </w:rPr>
        <w:t>Rilling</w:t>
      </w:r>
      <w:proofErr w:type="spellEnd"/>
      <w:r>
        <w:rPr>
          <w:color w:val="auto"/>
          <w:szCs w:val="24"/>
          <w:lang w:val="en-US"/>
        </w:rPr>
        <w:t xml:space="preserve"> &amp; </w:t>
      </w:r>
      <w:proofErr w:type="spellStart"/>
      <w:r>
        <w:rPr>
          <w:color w:val="auto"/>
          <w:szCs w:val="24"/>
          <w:lang w:val="en-US"/>
        </w:rPr>
        <w:t>Mummey</w:t>
      </w:r>
      <w:proofErr w:type="spellEnd"/>
      <w:r>
        <w:rPr>
          <w:color w:val="auto"/>
          <w:szCs w:val="24"/>
          <w:lang w:val="en-US"/>
        </w:rPr>
        <w:t>, 2006). According to Bearden and Petersen (2000), this stabilization mechanism results from the physical binding of soil particles by hyphae and roots, combined with polysaccharide exudation.</w:t>
      </w:r>
    </w:p>
    <w:p w14:paraId="0524B548" w14:textId="77777777" w:rsidR="008B097D" w:rsidRDefault="00221405">
      <w:pPr>
        <w:spacing w:after="0" w:line="360" w:lineRule="auto"/>
        <w:ind w:left="0" w:firstLine="0"/>
        <w:jc w:val="both"/>
        <w:rPr>
          <w:color w:val="auto"/>
          <w:szCs w:val="24"/>
          <w:lang w:val="en-US"/>
        </w:rPr>
      </w:pPr>
      <w:r>
        <w:rPr>
          <w:color w:val="auto"/>
          <w:szCs w:val="24"/>
          <w:lang w:val="en-US"/>
        </w:rPr>
        <w:t>The enhancement and maintenance of soil aggregates lead to improved chemical properties (</w:t>
      </w:r>
      <w:proofErr w:type="spellStart"/>
      <w:r>
        <w:rPr>
          <w:color w:val="auto"/>
          <w:szCs w:val="24"/>
          <w:lang w:val="en-US"/>
        </w:rPr>
        <w:t>Tisdall</w:t>
      </w:r>
      <w:proofErr w:type="spellEnd"/>
      <w:r>
        <w:rPr>
          <w:color w:val="auto"/>
          <w:szCs w:val="24"/>
          <w:lang w:val="en-US"/>
        </w:rPr>
        <w:t xml:space="preserve">, 1991). Indeed, comparative analyses between bare soils and soils beneath </w:t>
      </w:r>
      <w:proofErr w:type="spellStart"/>
      <w:r>
        <w:rPr>
          <w:i/>
          <w:iCs/>
          <w:color w:val="auto"/>
          <w:szCs w:val="24"/>
          <w:lang w:val="en-US"/>
        </w:rPr>
        <w:t>Leptadenia</w:t>
      </w:r>
      <w:proofErr w:type="spellEnd"/>
      <w:r>
        <w:rPr>
          <w:color w:val="auto"/>
          <w:szCs w:val="24"/>
          <w:lang w:val="en-US"/>
        </w:rPr>
        <w:t xml:space="preserve"> revealed a slight improvement in the chemical parameters of the latter. Notable increases were observed in organic matter, carbon, nitrogen, calcium, magnesium, sulfur, and potassium contents.</w:t>
      </w:r>
    </w:p>
    <w:p w14:paraId="6C4B5110" w14:textId="77777777" w:rsidR="008B097D" w:rsidRDefault="00221405">
      <w:pPr>
        <w:spacing w:after="0" w:line="360" w:lineRule="auto"/>
        <w:ind w:left="0" w:firstLine="0"/>
        <w:jc w:val="both"/>
        <w:rPr>
          <w:color w:val="auto"/>
          <w:szCs w:val="24"/>
          <w:lang w:val="en-US"/>
        </w:rPr>
      </w:pPr>
      <w:r>
        <w:rPr>
          <w:color w:val="auto"/>
          <w:szCs w:val="24"/>
          <w:lang w:val="en-US"/>
        </w:rPr>
        <w:t>This improvement can be attributed to the ability of mycorrhizal fungi to decompose and mineralize organic matter, releasing nutrients that become available to the host plant (</w:t>
      </w:r>
      <w:r>
        <w:rPr>
          <w:color w:val="auto"/>
          <w:szCs w:val="24"/>
          <w:u w:val="single"/>
          <w:lang w:val="en-US"/>
        </w:rPr>
        <w:t>Gobat et al.</w:t>
      </w:r>
      <w:r>
        <w:rPr>
          <w:color w:val="auto"/>
          <w:szCs w:val="24"/>
          <w:lang w:val="en-US"/>
        </w:rPr>
        <w:t xml:space="preserve">, 2003; </w:t>
      </w:r>
      <w:proofErr w:type="spellStart"/>
      <w:r>
        <w:rPr>
          <w:i/>
          <w:color w:val="auto"/>
          <w:szCs w:val="24"/>
          <w:lang w:val="en-US"/>
        </w:rPr>
        <w:t>Lambers</w:t>
      </w:r>
      <w:proofErr w:type="spellEnd"/>
      <w:r>
        <w:rPr>
          <w:i/>
          <w:color w:val="auto"/>
          <w:szCs w:val="24"/>
          <w:lang w:val="en-US"/>
        </w:rPr>
        <w:t xml:space="preserve"> et al.</w:t>
      </w:r>
      <w:r>
        <w:rPr>
          <w:color w:val="auto"/>
          <w:szCs w:val="24"/>
          <w:lang w:val="en-US"/>
        </w:rPr>
        <w:t>, 2008). AMF are well known for their efficiency in enhancing ionic content and improving plant tolerance to both biotic and abiotic stresses (</w:t>
      </w:r>
      <w:proofErr w:type="spellStart"/>
      <w:r>
        <w:rPr>
          <w:color w:val="auto"/>
          <w:szCs w:val="24"/>
          <w:lang w:val="en-US"/>
        </w:rPr>
        <w:t>Meddich</w:t>
      </w:r>
      <w:r>
        <w:rPr>
          <w:i/>
          <w:color w:val="auto"/>
          <w:szCs w:val="24"/>
          <w:lang w:val="en-US"/>
        </w:rPr>
        <w:t>et</w:t>
      </w:r>
      <w:proofErr w:type="spellEnd"/>
      <w:r>
        <w:rPr>
          <w:i/>
          <w:color w:val="auto"/>
          <w:szCs w:val="24"/>
          <w:lang w:val="en-US"/>
        </w:rPr>
        <w:t xml:space="preserve"> al.</w:t>
      </w:r>
      <w:r>
        <w:rPr>
          <w:color w:val="auto"/>
          <w:szCs w:val="24"/>
          <w:lang w:val="en-US"/>
        </w:rPr>
        <w:t xml:space="preserve">, 2015a; </w:t>
      </w:r>
      <w:proofErr w:type="spellStart"/>
      <w:r>
        <w:rPr>
          <w:color w:val="auto"/>
          <w:szCs w:val="24"/>
          <w:lang w:val="en-US"/>
        </w:rPr>
        <w:t>Meddich</w:t>
      </w:r>
      <w:r>
        <w:rPr>
          <w:i/>
          <w:color w:val="auto"/>
          <w:szCs w:val="24"/>
          <w:lang w:val="en-US"/>
        </w:rPr>
        <w:t>et</w:t>
      </w:r>
      <w:proofErr w:type="spellEnd"/>
      <w:r>
        <w:rPr>
          <w:i/>
          <w:color w:val="auto"/>
          <w:szCs w:val="24"/>
          <w:lang w:val="en-US"/>
        </w:rPr>
        <w:t xml:space="preserve"> al.</w:t>
      </w:r>
      <w:r>
        <w:rPr>
          <w:color w:val="auto"/>
          <w:szCs w:val="24"/>
          <w:lang w:val="en-US"/>
        </w:rPr>
        <w:t xml:space="preserve">, 2015b; </w:t>
      </w:r>
      <w:proofErr w:type="spellStart"/>
      <w:r>
        <w:rPr>
          <w:color w:val="auto"/>
          <w:szCs w:val="24"/>
          <w:lang w:val="en-US"/>
        </w:rPr>
        <w:t>Oihabi</w:t>
      </w:r>
      <w:r>
        <w:rPr>
          <w:i/>
          <w:color w:val="auto"/>
          <w:szCs w:val="24"/>
          <w:lang w:val="en-US"/>
        </w:rPr>
        <w:t>et</w:t>
      </w:r>
      <w:proofErr w:type="spellEnd"/>
      <w:r>
        <w:rPr>
          <w:i/>
          <w:color w:val="auto"/>
          <w:szCs w:val="24"/>
          <w:lang w:val="en-US"/>
        </w:rPr>
        <w:t xml:space="preserve"> al.</w:t>
      </w:r>
      <w:r>
        <w:rPr>
          <w:color w:val="auto"/>
          <w:szCs w:val="24"/>
          <w:lang w:val="en-US"/>
        </w:rPr>
        <w:t xml:space="preserve">, 1996; </w:t>
      </w:r>
      <w:proofErr w:type="spellStart"/>
      <w:r>
        <w:rPr>
          <w:color w:val="auto"/>
          <w:szCs w:val="24"/>
          <w:lang w:val="en-US"/>
        </w:rPr>
        <w:t>Meddich</w:t>
      </w:r>
      <w:r>
        <w:rPr>
          <w:i/>
          <w:color w:val="auto"/>
          <w:szCs w:val="24"/>
          <w:lang w:val="en-US"/>
        </w:rPr>
        <w:t>et</w:t>
      </w:r>
      <w:proofErr w:type="spellEnd"/>
      <w:r>
        <w:rPr>
          <w:i/>
          <w:color w:val="auto"/>
          <w:szCs w:val="24"/>
          <w:lang w:val="en-US"/>
        </w:rPr>
        <w:t xml:space="preserve"> al.</w:t>
      </w:r>
      <w:r>
        <w:rPr>
          <w:color w:val="auto"/>
          <w:szCs w:val="24"/>
          <w:lang w:val="en-US"/>
        </w:rPr>
        <w:t>, 2000).</w:t>
      </w:r>
    </w:p>
    <w:p w14:paraId="2071BEB6" w14:textId="77777777" w:rsidR="008B097D" w:rsidRDefault="00221405">
      <w:pPr>
        <w:spacing w:after="0" w:line="360" w:lineRule="auto"/>
        <w:ind w:left="0" w:firstLine="0"/>
        <w:jc w:val="both"/>
        <w:rPr>
          <w:color w:val="auto"/>
          <w:szCs w:val="24"/>
          <w:lang w:val="en-US"/>
        </w:rPr>
      </w:pPr>
      <w:r>
        <w:rPr>
          <w:color w:val="auto"/>
          <w:szCs w:val="24"/>
          <w:lang w:val="en-US"/>
        </w:rPr>
        <w:t xml:space="preserve">The total phosphorus content, initially 9.75 ppm in the bare soil, increased to 10.23 ppm in the soil beneath </w:t>
      </w:r>
      <w:proofErr w:type="spellStart"/>
      <w:r>
        <w:rPr>
          <w:i/>
          <w:iCs/>
          <w:color w:val="auto"/>
          <w:szCs w:val="24"/>
          <w:lang w:val="en-US"/>
        </w:rPr>
        <w:t>Leptadenia</w:t>
      </w:r>
      <w:proofErr w:type="spellEnd"/>
      <w:r>
        <w:rPr>
          <w:color w:val="auto"/>
          <w:szCs w:val="24"/>
          <w:lang w:val="en-US"/>
        </w:rPr>
        <w:t>. Similarly, the available phosphorus content rose from 5.68 ppm to 6.45 ppm. Depending on soil pH, phosphorus is often immobilized by iron, aluminum, or calcium in forms that are poorly available to plants (</w:t>
      </w:r>
      <w:proofErr w:type="spellStart"/>
      <w:r>
        <w:rPr>
          <w:color w:val="auto"/>
          <w:szCs w:val="24"/>
          <w:lang w:val="en-US"/>
        </w:rPr>
        <w:t>Hinsinger</w:t>
      </w:r>
      <w:proofErr w:type="spellEnd"/>
      <w:r>
        <w:rPr>
          <w:color w:val="auto"/>
          <w:szCs w:val="24"/>
          <w:lang w:val="en-US"/>
        </w:rPr>
        <w:t>, 2001). Native AMF possess the capacity to mobilize these insoluble forms of phosphorus, making them accessible to the host plant, thereby enhancing soil phosphorus availability (</w:t>
      </w:r>
      <w:proofErr w:type="spellStart"/>
      <w:r>
        <w:rPr>
          <w:color w:val="auto"/>
          <w:szCs w:val="24"/>
          <w:lang w:val="en-US"/>
        </w:rPr>
        <w:t>Gianinazzi</w:t>
      </w:r>
      <w:proofErr w:type="spellEnd"/>
      <w:r>
        <w:rPr>
          <w:color w:val="auto"/>
          <w:szCs w:val="24"/>
          <w:lang w:val="en-US"/>
        </w:rPr>
        <w:t xml:space="preserve">-Pearson </w:t>
      </w:r>
      <w:r>
        <w:rPr>
          <w:i/>
          <w:color w:val="auto"/>
          <w:szCs w:val="24"/>
          <w:lang w:val="en-US"/>
        </w:rPr>
        <w:t>et al.</w:t>
      </w:r>
      <w:r>
        <w:rPr>
          <w:color w:val="auto"/>
          <w:szCs w:val="24"/>
          <w:lang w:val="en-US"/>
        </w:rPr>
        <w:t>, 1988).</w:t>
      </w:r>
    </w:p>
    <w:p w14:paraId="46AE152C" w14:textId="77777777" w:rsidR="008B097D" w:rsidRDefault="00221405">
      <w:pPr>
        <w:spacing w:after="0" w:line="360" w:lineRule="auto"/>
        <w:ind w:left="0" w:firstLine="0"/>
        <w:jc w:val="both"/>
        <w:rPr>
          <w:color w:val="auto"/>
          <w:szCs w:val="24"/>
          <w:lang w:val="en-US"/>
        </w:rPr>
      </w:pPr>
      <w:r>
        <w:rPr>
          <w:color w:val="auto"/>
          <w:szCs w:val="24"/>
          <w:lang w:val="en-US"/>
        </w:rPr>
        <w:lastRenderedPageBreak/>
        <w:t>The most critical ecological role of AMF lies in their ability to mobilize nutrients with low soil mobility, particularly phosphorus, for plant uptake (</w:t>
      </w:r>
      <w:proofErr w:type="spellStart"/>
      <w:r>
        <w:rPr>
          <w:color w:val="auto"/>
          <w:szCs w:val="24"/>
          <w:lang w:val="en-US"/>
        </w:rPr>
        <w:t>Duponnois</w:t>
      </w:r>
      <w:r>
        <w:rPr>
          <w:i/>
          <w:color w:val="auto"/>
          <w:szCs w:val="24"/>
          <w:lang w:val="en-US"/>
        </w:rPr>
        <w:t>et</w:t>
      </w:r>
      <w:proofErr w:type="spellEnd"/>
      <w:r>
        <w:rPr>
          <w:i/>
          <w:color w:val="auto"/>
          <w:szCs w:val="24"/>
          <w:lang w:val="en-US"/>
        </w:rPr>
        <w:t xml:space="preserve"> al.</w:t>
      </w:r>
      <w:r>
        <w:rPr>
          <w:color w:val="auto"/>
          <w:szCs w:val="24"/>
          <w:lang w:val="en-US"/>
        </w:rPr>
        <w:t xml:space="preserve">, 2005; </w:t>
      </w:r>
      <w:proofErr w:type="spellStart"/>
      <w:r>
        <w:rPr>
          <w:color w:val="auto"/>
          <w:szCs w:val="24"/>
          <w:lang w:val="en-US"/>
        </w:rPr>
        <w:t>Lambers</w:t>
      </w:r>
      <w:proofErr w:type="spellEnd"/>
      <w:r>
        <w:rPr>
          <w:color w:val="auto"/>
          <w:szCs w:val="24"/>
          <w:lang w:val="en-US"/>
        </w:rPr>
        <w:t xml:space="preserve"> </w:t>
      </w:r>
      <w:r>
        <w:rPr>
          <w:i/>
          <w:color w:val="auto"/>
          <w:szCs w:val="24"/>
          <w:lang w:val="en-US"/>
        </w:rPr>
        <w:t>et al.</w:t>
      </w:r>
      <w:r>
        <w:rPr>
          <w:color w:val="auto"/>
          <w:szCs w:val="24"/>
          <w:lang w:val="en-US"/>
        </w:rPr>
        <w:t>, 2008).</w:t>
      </w:r>
    </w:p>
    <w:p w14:paraId="1F6F16A6" w14:textId="77777777" w:rsidR="008B097D" w:rsidRDefault="008B097D">
      <w:pPr>
        <w:spacing w:after="0" w:line="360" w:lineRule="auto"/>
        <w:ind w:left="0" w:firstLine="0"/>
        <w:jc w:val="both"/>
        <w:rPr>
          <w:color w:val="auto"/>
          <w:szCs w:val="24"/>
          <w:lang w:val="en-US"/>
        </w:rPr>
      </w:pPr>
    </w:p>
    <w:p w14:paraId="03C493BC" w14:textId="77777777" w:rsidR="008B097D" w:rsidRDefault="008B097D">
      <w:pPr>
        <w:spacing w:after="0" w:line="360" w:lineRule="auto"/>
        <w:ind w:left="0" w:firstLine="0"/>
        <w:jc w:val="both"/>
        <w:rPr>
          <w:b/>
          <w:bCs/>
          <w:color w:val="auto"/>
          <w:szCs w:val="24"/>
          <w:lang w:val="en-US"/>
        </w:rPr>
      </w:pPr>
    </w:p>
    <w:p w14:paraId="276433F8" w14:textId="77777777" w:rsidR="008B097D" w:rsidRDefault="008B097D">
      <w:pPr>
        <w:spacing w:after="0" w:line="360" w:lineRule="auto"/>
        <w:ind w:left="0" w:firstLine="0"/>
        <w:jc w:val="both"/>
        <w:rPr>
          <w:b/>
          <w:bCs/>
          <w:color w:val="auto"/>
          <w:szCs w:val="24"/>
          <w:lang w:val="en-US"/>
        </w:rPr>
      </w:pPr>
    </w:p>
    <w:p w14:paraId="4A2A6C10" w14:textId="77777777" w:rsidR="008B097D" w:rsidRDefault="008B097D">
      <w:pPr>
        <w:spacing w:after="0" w:line="360" w:lineRule="auto"/>
        <w:ind w:left="0" w:firstLine="0"/>
        <w:jc w:val="both"/>
        <w:rPr>
          <w:b/>
          <w:bCs/>
          <w:color w:val="auto"/>
          <w:szCs w:val="24"/>
          <w:lang w:val="en-US"/>
        </w:rPr>
      </w:pPr>
    </w:p>
    <w:p w14:paraId="588079C7" w14:textId="77777777" w:rsidR="008B097D" w:rsidRDefault="00221405">
      <w:pPr>
        <w:spacing w:after="0" w:line="360" w:lineRule="auto"/>
        <w:ind w:left="0" w:firstLine="0"/>
        <w:jc w:val="both"/>
        <w:rPr>
          <w:b/>
          <w:bCs/>
          <w:color w:val="auto"/>
          <w:szCs w:val="24"/>
          <w:lang w:val="en-US"/>
        </w:rPr>
      </w:pPr>
      <w:r>
        <w:rPr>
          <w:b/>
          <w:bCs/>
          <w:color w:val="auto"/>
          <w:szCs w:val="24"/>
          <w:lang w:val="en-US"/>
        </w:rPr>
        <w:t>CONCLUSION</w:t>
      </w:r>
    </w:p>
    <w:p w14:paraId="53CCAA92" w14:textId="77777777" w:rsidR="008B097D" w:rsidRDefault="00221405">
      <w:pPr>
        <w:spacing w:after="0" w:line="360" w:lineRule="auto"/>
        <w:ind w:left="0" w:firstLine="0"/>
        <w:jc w:val="both"/>
        <w:rPr>
          <w:color w:val="auto"/>
          <w:szCs w:val="24"/>
          <w:lang w:val="en-US"/>
        </w:rPr>
      </w:pPr>
      <w:r>
        <w:rPr>
          <w:color w:val="auto"/>
          <w:szCs w:val="24"/>
          <w:lang w:val="en-US"/>
        </w:rPr>
        <w:t xml:space="preserve">The study conducted at the </w:t>
      </w:r>
      <w:proofErr w:type="spellStart"/>
      <w:r>
        <w:rPr>
          <w:color w:val="auto"/>
          <w:szCs w:val="24"/>
          <w:lang w:val="en-US"/>
        </w:rPr>
        <w:t>Satara</w:t>
      </w:r>
      <w:proofErr w:type="spellEnd"/>
      <w:r>
        <w:rPr>
          <w:color w:val="auto"/>
          <w:szCs w:val="24"/>
          <w:lang w:val="en-US"/>
        </w:rPr>
        <w:t xml:space="preserve"> site in the rural commune of </w:t>
      </w:r>
      <w:proofErr w:type="spellStart"/>
      <w:r>
        <w:rPr>
          <w:color w:val="auto"/>
          <w:szCs w:val="24"/>
          <w:lang w:val="en-US"/>
        </w:rPr>
        <w:t>Simiri</w:t>
      </w:r>
      <w:proofErr w:type="spellEnd"/>
      <w:r>
        <w:rPr>
          <w:color w:val="auto"/>
          <w:szCs w:val="24"/>
          <w:lang w:val="en-US"/>
        </w:rPr>
        <w:t xml:space="preserve"> highlighted the presence of high mycorrhizal activity in the rhizosphere of </w:t>
      </w:r>
      <w:proofErr w:type="spellStart"/>
      <w:r>
        <w:rPr>
          <w:i/>
          <w:iCs/>
          <w:color w:val="auto"/>
          <w:szCs w:val="24"/>
          <w:lang w:val="en-US"/>
        </w:rPr>
        <w:t>Leptadeniahastata</w:t>
      </w:r>
      <w:proofErr w:type="spellEnd"/>
      <w:r>
        <w:rPr>
          <w:color w:val="auto"/>
          <w:szCs w:val="24"/>
          <w:lang w:val="en-US"/>
        </w:rPr>
        <w:t xml:space="preserve">. Two spore genera were identified, namely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with Glomus being the predominant genus. The observed 100% mycorrhizal frequency across all roots demonstrates the mycorrhizal dependence of this species and underscores its positive impact on the restoration of soil fertility in degraded areas of the </w:t>
      </w:r>
      <w:proofErr w:type="spellStart"/>
      <w:r>
        <w:rPr>
          <w:color w:val="auto"/>
          <w:szCs w:val="24"/>
          <w:lang w:val="en-US"/>
        </w:rPr>
        <w:t>Satara</w:t>
      </w:r>
      <w:proofErr w:type="spellEnd"/>
      <w:r>
        <w:rPr>
          <w:color w:val="auto"/>
          <w:szCs w:val="24"/>
          <w:lang w:val="en-US"/>
        </w:rPr>
        <w:t xml:space="preserve"> site, as well as on soil structural improvement.</w:t>
      </w:r>
    </w:p>
    <w:p w14:paraId="6DB896BA" w14:textId="77777777" w:rsidR="008B097D" w:rsidRDefault="00221405">
      <w:pPr>
        <w:spacing w:after="0" w:line="360" w:lineRule="auto"/>
        <w:ind w:left="0" w:firstLine="0"/>
        <w:jc w:val="both"/>
        <w:rPr>
          <w:color w:val="auto"/>
          <w:szCs w:val="24"/>
          <w:lang w:val="en-US"/>
        </w:rPr>
      </w:pPr>
      <w:proofErr w:type="spellStart"/>
      <w:r>
        <w:rPr>
          <w:color w:val="auto"/>
          <w:szCs w:val="24"/>
          <w:lang w:val="en-US"/>
        </w:rPr>
        <w:t>Physico</w:t>
      </w:r>
      <w:proofErr w:type="spellEnd"/>
      <w:r>
        <w:rPr>
          <w:color w:val="auto"/>
          <w:szCs w:val="24"/>
          <w:lang w:val="en-US"/>
        </w:rPr>
        <w:t xml:space="preserve">-chemical analyses comparing bare soils and soils under </w:t>
      </w:r>
      <w:proofErr w:type="spellStart"/>
      <w:r>
        <w:rPr>
          <w:i/>
          <w:iCs/>
          <w:color w:val="auto"/>
          <w:szCs w:val="24"/>
          <w:lang w:val="en-US"/>
        </w:rPr>
        <w:t>Leptadenia</w:t>
      </w:r>
      <w:proofErr w:type="spellEnd"/>
      <w:r>
        <w:rPr>
          <w:color w:val="auto"/>
          <w:szCs w:val="24"/>
          <w:lang w:val="en-US"/>
        </w:rPr>
        <w:t xml:space="preserve"> revealed higher concentrations of various chemical parameters in the latter. These soils exhibited a better base saturation and demonstrated significant organic matter degradation, indicating improved soil quality.</w:t>
      </w:r>
    </w:p>
    <w:p w14:paraId="5D7B48CB" w14:textId="77777777" w:rsidR="008B097D" w:rsidRDefault="00221405">
      <w:pPr>
        <w:spacing w:after="0" w:line="360" w:lineRule="auto"/>
        <w:ind w:left="0" w:firstLine="0"/>
        <w:jc w:val="both"/>
        <w:rPr>
          <w:color w:val="auto"/>
          <w:szCs w:val="24"/>
          <w:lang w:val="en-US"/>
        </w:rPr>
      </w:pPr>
      <w:r>
        <w:rPr>
          <w:color w:val="auto"/>
          <w:szCs w:val="24"/>
          <w:lang w:val="en-US"/>
        </w:rPr>
        <w:t xml:space="preserve">The study further revealed that the number of spores in soils beneath </w:t>
      </w:r>
      <w:proofErr w:type="spellStart"/>
      <w:r>
        <w:rPr>
          <w:i/>
          <w:iCs/>
          <w:color w:val="auto"/>
          <w:szCs w:val="24"/>
          <w:lang w:val="en-US"/>
        </w:rPr>
        <w:t>Leptadenia</w:t>
      </w:r>
      <w:proofErr w:type="spellEnd"/>
      <w:r>
        <w:rPr>
          <w:color w:val="auto"/>
          <w:szCs w:val="24"/>
          <w:lang w:val="en-US"/>
        </w:rPr>
        <w:t xml:space="preserve"> was higher than in bare soils. Indeed, the mycorrhizal symbiosis of </w:t>
      </w:r>
      <w:proofErr w:type="spellStart"/>
      <w:r>
        <w:rPr>
          <w:i/>
          <w:iCs/>
          <w:color w:val="auto"/>
          <w:szCs w:val="24"/>
          <w:lang w:val="en-US"/>
        </w:rPr>
        <w:t>Leptadeniahastata</w:t>
      </w:r>
      <w:proofErr w:type="spellEnd"/>
      <w:r>
        <w:rPr>
          <w:color w:val="auto"/>
          <w:szCs w:val="24"/>
          <w:lang w:val="en-US"/>
        </w:rPr>
        <w:t xml:space="preserve"> promoted a large number of mycorrhizal roots and AMF spores in the soil, thereby constituting a reservoir of propagules and a potential inoculum for trees to be transplanted at the site.</w:t>
      </w:r>
    </w:p>
    <w:p w14:paraId="5DA46AE3" w14:textId="2EFF240A" w:rsidR="008B097D" w:rsidRDefault="00221405">
      <w:pPr>
        <w:spacing w:after="0" w:line="360" w:lineRule="auto"/>
        <w:ind w:left="0" w:firstLine="0"/>
        <w:jc w:val="both"/>
        <w:rPr>
          <w:color w:val="auto"/>
          <w:szCs w:val="24"/>
          <w:lang w:val="en-US"/>
        </w:rPr>
      </w:pPr>
      <w:r>
        <w:rPr>
          <w:color w:val="auto"/>
          <w:szCs w:val="24"/>
          <w:lang w:val="en-US"/>
        </w:rPr>
        <w:t>For the ecological restoration of degraded environments, the use of indigenous AMF from the local ecosystem is essential. It is therefore critical to isolate, identify, characterize, and propagate these fungi. However, large-scale production of AMF requires substantial resources. In this context, it would be more practical for developing countries to focus on sustainable management of native AMF, employing agronomic practices that respect both the environment and the integrity of these mycorrhizal communities.</w:t>
      </w:r>
    </w:p>
    <w:p w14:paraId="3DA31203" w14:textId="77777777" w:rsidR="003F23D4" w:rsidRPr="003F23D4" w:rsidRDefault="003F23D4" w:rsidP="003F23D4">
      <w:pPr>
        <w:rPr>
          <w:b/>
          <w:highlight w:val="yellow"/>
        </w:rPr>
      </w:pPr>
      <w:bookmarkStart w:id="6" w:name="_GoBack"/>
      <w:r w:rsidRPr="003F23D4">
        <w:rPr>
          <w:b/>
          <w:highlight w:val="yellow"/>
        </w:rPr>
        <w:t>Disclaimer (</w:t>
      </w:r>
      <w:proofErr w:type="spellStart"/>
      <w:r w:rsidRPr="003F23D4">
        <w:rPr>
          <w:b/>
          <w:highlight w:val="yellow"/>
        </w:rPr>
        <w:t>Artificial</w:t>
      </w:r>
      <w:proofErr w:type="spellEnd"/>
      <w:r w:rsidRPr="003F23D4">
        <w:rPr>
          <w:b/>
          <w:highlight w:val="yellow"/>
        </w:rPr>
        <w:t xml:space="preserve"> intelligence)</w:t>
      </w:r>
    </w:p>
    <w:bookmarkEnd w:id="6"/>
    <w:p w14:paraId="33F6CD0A" w14:textId="77777777" w:rsidR="003F23D4" w:rsidRPr="007A4135" w:rsidRDefault="003F23D4" w:rsidP="003F23D4">
      <w:pPr>
        <w:rPr>
          <w:highlight w:val="yellow"/>
        </w:rPr>
      </w:pPr>
      <w:r w:rsidRPr="007A4135">
        <w:rPr>
          <w:highlight w:val="yellow"/>
        </w:rPr>
        <w:t xml:space="preserve">Option </w:t>
      </w:r>
      <w:proofErr w:type="gramStart"/>
      <w:r w:rsidRPr="007A4135">
        <w:rPr>
          <w:highlight w:val="yellow"/>
        </w:rPr>
        <w:t>1:</w:t>
      </w:r>
      <w:proofErr w:type="gramEnd"/>
      <w:r w:rsidRPr="007A4135">
        <w:rPr>
          <w:highlight w:val="yellow"/>
        </w:rPr>
        <w:t xml:space="preserve"> </w:t>
      </w:r>
    </w:p>
    <w:p w14:paraId="1E24CB35" w14:textId="77777777" w:rsidR="003F23D4" w:rsidRPr="007A4135" w:rsidRDefault="003F23D4" w:rsidP="003F23D4">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NO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w:t>
      </w:r>
      <w:proofErr w:type="spellStart"/>
      <w:r w:rsidRPr="007A4135">
        <w:rPr>
          <w:highlight w:val="yellow"/>
        </w:rPr>
        <w:t>ChatGPT</w:t>
      </w:r>
      <w:proofErr w:type="spellEnd"/>
      <w:r w:rsidRPr="007A4135">
        <w:rPr>
          <w:highlight w:val="yellow"/>
        </w:rPr>
        <w:t xml:space="preserve">, COPILOT, etc.) and </w:t>
      </w:r>
      <w:proofErr w:type="spellStart"/>
      <w:r w:rsidRPr="007A4135">
        <w:rPr>
          <w:highlight w:val="yellow"/>
        </w:rPr>
        <w:t>text</w:t>
      </w:r>
      <w:proofErr w:type="spellEnd"/>
      <w:r w:rsidRPr="007A4135">
        <w:rPr>
          <w:highlight w:val="yellow"/>
        </w:rPr>
        <w:t xml:space="preserve">-to-image </w:t>
      </w:r>
      <w:proofErr w:type="spellStart"/>
      <w:r w:rsidRPr="007A4135">
        <w:rPr>
          <w:highlight w:val="yellow"/>
        </w:rPr>
        <w:t>generators</w:t>
      </w:r>
      <w:proofErr w:type="spellEnd"/>
      <w:r w:rsidRPr="007A4135">
        <w:rPr>
          <w:highlight w:val="yellow"/>
        </w:rPr>
        <w:t xml:space="preserve">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this</w:t>
      </w:r>
      <w:proofErr w:type="spellEnd"/>
      <w:r w:rsidRPr="007A4135">
        <w:rPr>
          <w:highlight w:val="yellow"/>
        </w:rPr>
        <w:t xml:space="preserve"> </w:t>
      </w:r>
      <w:proofErr w:type="spellStart"/>
      <w:r w:rsidRPr="007A4135">
        <w:rPr>
          <w:highlight w:val="yellow"/>
        </w:rPr>
        <w:t>manuscript</w:t>
      </w:r>
      <w:proofErr w:type="spellEnd"/>
      <w:r w:rsidRPr="007A4135">
        <w:rPr>
          <w:highlight w:val="yellow"/>
        </w:rPr>
        <w:t xml:space="preserve">. </w:t>
      </w:r>
    </w:p>
    <w:p w14:paraId="04946A2D" w14:textId="77777777" w:rsidR="003F23D4" w:rsidRPr="007A4135" w:rsidRDefault="003F23D4" w:rsidP="003F23D4">
      <w:pPr>
        <w:rPr>
          <w:highlight w:val="yellow"/>
        </w:rPr>
      </w:pPr>
      <w:r w:rsidRPr="007A4135">
        <w:rPr>
          <w:highlight w:val="yellow"/>
        </w:rPr>
        <w:t xml:space="preserve">Option </w:t>
      </w:r>
      <w:proofErr w:type="gramStart"/>
      <w:r w:rsidRPr="007A4135">
        <w:rPr>
          <w:highlight w:val="yellow"/>
        </w:rPr>
        <w:t>2:</w:t>
      </w:r>
      <w:proofErr w:type="gramEnd"/>
      <w:r w:rsidRPr="007A4135">
        <w:rPr>
          <w:highlight w:val="yellow"/>
        </w:rPr>
        <w:t xml:space="preserve"> </w:t>
      </w:r>
    </w:p>
    <w:p w14:paraId="4CBA037C" w14:textId="77777777" w:rsidR="003F23D4" w:rsidRPr="007A4135" w:rsidRDefault="003F23D4" w:rsidP="003F23D4">
      <w:pPr>
        <w:rPr>
          <w:highlight w:val="yellow"/>
        </w:rPr>
      </w:pPr>
      <w:proofErr w:type="spellStart"/>
      <w:r w:rsidRPr="007A4135">
        <w:rPr>
          <w:highlight w:val="yellow"/>
        </w:rPr>
        <w:lastRenderedPageBreak/>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etc.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manuscripts</w:t>
      </w:r>
      <w:proofErr w:type="spellEnd"/>
      <w:r w:rsidRPr="007A4135">
        <w:rPr>
          <w:highlight w:val="yellow"/>
        </w:rPr>
        <w:t xml:space="preserve">. This </w:t>
      </w:r>
      <w:proofErr w:type="spellStart"/>
      <w:r w:rsidRPr="007A4135">
        <w:rPr>
          <w:highlight w:val="yellow"/>
        </w:rPr>
        <w:t>explanation</w:t>
      </w:r>
      <w:proofErr w:type="spellEnd"/>
      <w:r w:rsidRPr="007A4135">
        <w:rPr>
          <w:highlight w:val="yellow"/>
        </w:rPr>
        <w:t xml:space="preserve"> </w:t>
      </w:r>
      <w:proofErr w:type="spellStart"/>
      <w:r w:rsidRPr="007A4135">
        <w:rPr>
          <w:highlight w:val="yellow"/>
        </w:rPr>
        <w:t>will</w:t>
      </w:r>
      <w:proofErr w:type="spellEnd"/>
      <w:r w:rsidRPr="007A4135">
        <w:rPr>
          <w:highlight w:val="yellow"/>
        </w:rPr>
        <w:t xml:space="preserve"> </w:t>
      </w:r>
      <w:proofErr w:type="spellStart"/>
      <w:r w:rsidRPr="007A4135">
        <w:rPr>
          <w:highlight w:val="yellow"/>
        </w:rPr>
        <w:t>include</w:t>
      </w:r>
      <w:proofErr w:type="spellEnd"/>
      <w:r w:rsidRPr="007A4135">
        <w:rPr>
          <w:highlight w:val="yellow"/>
        </w:rPr>
        <w:t xml:space="preserve"> the </w:t>
      </w:r>
      <w:proofErr w:type="spellStart"/>
      <w:r w:rsidRPr="007A4135">
        <w:rPr>
          <w:highlight w:val="yellow"/>
        </w:rPr>
        <w:t>name</w:t>
      </w:r>
      <w:proofErr w:type="spellEnd"/>
      <w:r w:rsidRPr="007A4135">
        <w:rPr>
          <w:highlight w:val="yellow"/>
        </w:rPr>
        <w:t xml:space="preserve">, version, model, and source of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r w:rsidRPr="007A4135">
        <w:rPr>
          <w:highlight w:val="yellow"/>
        </w:rPr>
        <w:t xml:space="preserve"> and as </w:t>
      </w:r>
      <w:proofErr w:type="spellStart"/>
      <w:r w:rsidRPr="007A4135">
        <w:rPr>
          <w:highlight w:val="yellow"/>
        </w:rPr>
        <w:t>well</w:t>
      </w:r>
      <w:proofErr w:type="spellEnd"/>
      <w:r w:rsidRPr="007A4135">
        <w:rPr>
          <w:highlight w:val="yellow"/>
        </w:rPr>
        <w:t xml:space="preserve"> as all input prompts </w:t>
      </w:r>
      <w:proofErr w:type="spellStart"/>
      <w:r w:rsidRPr="007A4135">
        <w:rPr>
          <w:highlight w:val="yellow"/>
        </w:rPr>
        <w:t>provided</w:t>
      </w:r>
      <w:proofErr w:type="spellEnd"/>
      <w:r w:rsidRPr="007A4135">
        <w:rPr>
          <w:highlight w:val="yellow"/>
        </w:rPr>
        <w:t xml:space="preserve"> to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p>
    <w:p w14:paraId="17247C4C" w14:textId="77777777" w:rsidR="003F23D4" w:rsidRPr="007A4135" w:rsidRDefault="003F23D4" w:rsidP="003F23D4">
      <w:pPr>
        <w:rPr>
          <w:highlight w:val="yellow"/>
        </w:rPr>
      </w:pPr>
      <w:r w:rsidRPr="007A4135">
        <w:rPr>
          <w:highlight w:val="yellow"/>
        </w:rPr>
        <w:t xml:space="preserve">Details of the AI usage are </w:t>
      </w:r>
      <w:proofErr w:type="spellStart"/>
      <w:r w:rsidRPr="007A4135">
        <w:rPr>
          <w:highlight w:val="yellow"/>
        </w:rPr>
        <w:t>given</w:t>
      </w:r>
      <w:proofErr w:type="spellEnd"/>
      <w:r w:rsidRPr="007A4135">
        <w:rPr>
          <w:highlight w:val="yellow"/>
        </w:rPr>
        <w:t xml:space="preserve"> </w:t>
      </w:r>
      <w:proofErr w:type="spellStart"/>
      <w:proofErr w:type="gramStart"/>
      <w:r w:rsidRPr="007A4135">
        <w:rPr>
          <w:highlight w:val="yellow"/>
        </w:rPr>
        <w:t>below</w:t>
      </w:r>
      <w:proofErr w:type="spellEnd"/>
      <w:r w:rsidRPr="007A4135">
        <w:rPr>
          <w:highlight w:val="yellow"/>
        </w:rPr>
        <w:t>:</w:t>
      </w:r>
      <w:proofErr w:type="gramEnd"/>
    </w:p>
    <w:p w14:paraId="6DC137B0" w14:textId="77777777" w:rsidR="003F23D4" w:rsidRPr="007A4135" w:rsidRDefault="003F23D4" w:rsidP="003F23D4">
      <w:pPr>
        <w:rPr>
          <w:highlight w:val="yellow"/>
        </w:rPr>
      </w:pPr>
      <w:r w:rsidRPr="007A4135">
        <w:rPr>
          <w:highlight w:val="yellow"/>
        </w:rPr>
        <w:t>1.</w:t>
      </w:r>
    </w:p>
    <w:p w14:paraId="2882511A" w14:textId="77777777" w:rsidR="003F23D4" w:rsidRPr="007A4135" w:rsidRDefault="003F23D4" w:rsidP="003F23D4">
      <w:pPr>
        <w:rPr>
          <w:highlight w:val="yellow"/>
        </w:rPr>
      </w:pPr>
      <w:r w:rsidRPr="007A4135">
        <w:rPr>
          <w:highlight w:val="yellow"/>
        </w:rPr>
        <w:t>2.</w:t>
      </w:r>
    </w:p>
    <w:p w14:paraId="2A6E1728" w14:textId="77777777" w:rsidR="003F23D4" w:rsidRPr="00D047BB" w:rsidRDefault="003F23D4" w:rsidP="003F23D4">
      <w:r w:rsidRPr="007A4135">
        <w:rPr>
          <w:highlight w:val="yellow"/>
        </w:rPr>
        <w:t>3.</w:t>
      </w:r>
    </w:p>
    <w:p w14:paraId="0D166C34" w14:textId="77777777" w:rsidR="003F23D4" w:rsidRDefault="003F23D4">
      <w:pPr>
        <w:spacing w:after="0" w:line="360" w:lineRule="auto"/>
        <w:ind w:left="0" w:firstLine="0"/>
        <w:jc w:val="both"/>
        <w:rPr>
          <w:color w:val="auto"/>
          <w:szCs w:val="24"/>
          <w:lang w:val="en-US"/>
        </w:rPr>
      </w:pPr>
    </w:p>
    <w:p w14:paraId="07A569D3" w14:textId="77777777" w:rsidR="008B097D" w:rsidRDefault="008B097D">
      <w:pPr>
        <w:spacing w:after="0" w:line="360" w:lineRule="auto"/>
        <w:ind w:left="0" w:firstLine="0"/>
        <w:jc w:val="both"/>
        <w:rPr>
          <w:color w:val="auto"/>
          <w:szCs w:val="24"/>
          <w:lang w:val="en-US"/>
        </w:rPr>
      </w:pPr>
    </w:p>
    <w:p w14:paraId="6FD97195" w14:textId="77777777" w:rsidR="008B097D" w:rsidRDefault="00221405">
      <w:pPr>
        <w:spacing w:after="0" w:line="360" w:lineRule="auto"/>
        <w:ind w:left="0" w:firstLine="0"/>
        <w:jc w:val="both"/>
        <w:rPr>
          <w:b/>
          <w:color w:val="auto"/>
          <w:szCs w:val="24"/>
        </w:rPr>
      </w:pPr>
      <w:bookmarkStart w:id="7" w:name="_Toc162430912"/>
      <w:bookmarkEnd w:id="7"/>
      <w:r>
        <w:rPr>
          <w:b/>
          <w:color w:val="auto"/>
          <w:szCs w:val="24"/>
        </w:rPr>
        <w:t xml:space="preserve">REFERENCES </w:t>
      </w:r>
    </w:p>
    <w:p w14:paraId="03E7483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ALI A., ABDOU L., DOUMA S., MAHAMANE A. &amp; SAADOU M. (2016). Food-</w:t>
      </w:r>
      <w:proofErr w:type="spellStart"/>
      <w:r w:rsidRPr="003F7202">
        <w:rPr>
          <w:bCs/>
          <w:color w:val="auto"/>
          <w:szCs w:val="24"/>
        </w:rPr>
        <w:t>producingwoody</w:t>
      </w:r>
      <w:proofErr w:type="spellEnd"/>
      <w:r w:rsidRPr="003F7202">
        <w:rPr>
          <w:bCs/>
          <w:color w:val="auto"/>
          <w:szCs w:val="24"/>
        </w:rPr>
        <w:t xml:space="preserve"> plants in the rural communes of </w:t>
      </w:r>
      <w:proofErr w:type="spellStart"/>
      <w:r w:rsidRPr="003F7202">
        <w:rPr>
          <w:bCs/>
          <w:color w:val="auto"/>
          <w:szCs w:val="24"/>
        </w:rPr>
        <w:t>Tamou</w:t>
      </w:r>
      <w:proofErr w:type="spellEnd"/>
      <w:r w:rsidRPr="003F7202">
        <w:rPr>
          <w:bCs/>
          <w:color w:val="auto"/>
          <w:szCs w:val="24"/>
        </w:rPr>
        <w:t xml:space="preserve"> and </w:t>
      </w:r>
      <w:proofErr w:type="spellStart"/>
      <w:proofErr w:type="gramStart"/>
      <w:r w:rsidRPr="003F7202">
        <w:rPr>
          <w:bCs/>
          <w:color w:val="auto"/>
          <w:szCs w:val="24"/>
        </w:rPr>
        <w:t>Tondikiwindi:diversity</w:t>
      </w:r>
      <w:proofErr w:type="spellEnd"/>
      <w:proofErr w:type="gramEnd"/>
      <w:r w:rsidRPr="003F7202">
        <w:rPr>
          <w:bCs/>
          <w:color w:val="auto"/>
          <w:szCs w:val="24"/>
        </w:rPr>
        <w:t xml:space="preserve"> and population structure’’, Journal of Animal &amp; Plant Sciences. Vol. 31, Issue 1 4889 - 4900</w:t>
      </w:r>
      <w:r w:rsidR="003F7202" w:rsidRPr="003F7202">
        <w:rPr>
          <w:bCs/>
          <w:color w:val="auto"/>
          <w:szCs w:val="24"/>
        </w:rPr>
        <w:t>http://www.m.elewa.org/JAPS</w:t>
      </w:r>
    </w:p>
    <w:p w14:paraId="5ACAD6E0" w14:textId="77777777" w:rsidR="00CA1226" w:rsidRPr="00CA1226" w:rsidRDefault="00CA1226" w:rsidP="00CA1226">
      <w:pPr>
        <w:spacing w:after="0" w:line="360" w:lineRule="auto"/>
        <w:ind w:left="0" w:firstLine="0"/>
        <w:jc w:val="both"/>
        <w:rPr>
          <w:bCs/>
          <w:color w:val="auto"/>
          <w:szCs w:val="24"/>
        </w:rPr>
      </w:pPr>
    </w:p>
    <w:p w14:paraId="32A2283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AZONTONDE H. A, (1993). </w:t>
      </w:r>
      <w:proofErr w:type="spellStart"/>
      <w:r w:rsidRPr="003F7202">
        <w:rPr>
          <w:bCs/>
          <w:color w:val="auto"/>
          <w:szCs w:val="24"/>
        </w:rPr>
        <w:t>Degradation</w:t>
      </w:r>
      <w:proofErr w:type="spellEnd"/>
      <w:r w:rsidRPr="003F7202">
        <w:rPr>
          <w:bCs/>
          <w:color w:val="auto"/>
          <w:szCs w:val="24"/>
        </w:rPr>
        <w:t xml:space="preserve"> and </w:t>
      </w:r>
      <w:proofErr w:type="spellStart"/>
      <w:r w:rsidRPr="003F7202">
        <w:rPr>
          <w:bCs/>
          <w:color w:val="auto"/>
          <w:szCs w:val="24"/>
        </w:rPr>
        <w:t>restoration</w:t>
      </w:r>
      <w:proofErr w:type="spellEnd"/>
      <w:r w:rsidRPr="003F7202">
        <w:rPr>
          <w:bCs/>
          <w:color w:val="auto"/>
          <w:szCs w:val="24"/>
        </w:rPr>
        <w:t xml:space="preserve"> of </w:t>
      </w:r>
      <w:proofErr w:type="spellStart"/>
      <w:r w:rsidRPr="003F7202">
        <w:rPr>
          <w:bCs/>
          <w:color w:val="auto"/>
          <w:szCs w:val="24"/>
        </w:rPr>
        <w:t>lateriticsoils</w:t>
      </w:r>
      <w:proofErr w:type="spellEnd"/>
      <w:r w:rsidRPr="003F7202">
        <w:rPr>
          <w:bCs/>
          <w:color w:val="auto"/>
          <w:szCs w:val="24"/>
        </w:rPr>
        <w:t xml:space="preserve"> (</w:t>
      </w:r>
      <w:proofErr w:type="spellStart"/>
      <w:r w:rsidRPr="003F7202">
        <w:rPr>
          <w:bCs/>
          <w:color w:val="auto"/>
          <w:szCs w:val="24"/>
        </w:rPr>
        <w:t>slightlydegradedclay-sandyferraliticsoils</w:t>
      </w:r>
      <w:proofErr w:type="spellEnd"/>
      <w:r w:rsidRPr="003F7202">
        <w:rPr>
          <w:bCs/>
          <w:color w:val="auto"/>
          <w:szCs w:val="24"/>
        </w:rPr>
        <w:t xml:space="preserve">) in Benin. Conservation management of water, </w:t>
      </w:r>
      <w:proofErr w:type="spellStart"/>
      <w:r w:rsidRPr="003F7202">
        <w:rPr>
          <w:bCs/>
          <w:color w:val="auto"/>
          <w:szCs w:val="24"/>
        </w:rPr>
        <w:t>biomass</w:t>
      </w:r>
      <w:proofErr w:type="spellEnd"/>
      <w:r w:rsidRPr="003F7202">
        <w:rPr>
          <w:bCs/>
          <w:color w:val="auto"/>
          <w:szCs w:val="24"/>
        </w:rPr>
        <w:t xml:space="preserve"> and </w:t>
      </w:r>
      <w:proofErr w:type="spellStart"/>
      <w:r w:rsidRPr="003F7202">
        <w:rPr>
          <w:bCs/>
          <w:color w:val="auto"/>
          <w:szCs w:val="24"/>
        </w:rPr>
        <w:t>soilfertility</w:t>
      </w:r>
      <w:proofErr w:type="spellEnd"/>
      <w:r w:rsidRPr="003F7202">
        <w:rPr>
          <w:bCs/>
          <w:color w:val="auto"/>
          <w:szCs w:val="24"/>
        </w:rPr>
        <w:t xml:space="preserve"> (GCES), </w:t>
      </w:r>
      <w:proofErr w:type="spellStart"/>
      <w:r w:rsidRPr="003F7202">
        <w:rPr>
          <w:bCs/>
          <w:color w:val="auto"/>
          <w:szCs w:val="24"/>
        </w:rPr>
        <w:t>Orstom</w:t>
      </w:r>
      <w:proofErr w:type="spellEnd"/>
      <w:r w:rsidRPr="003F7202">
        <w:rPr>
          <w:bCs/>
          <w:color w:val="auto"/>
          <w:szCs w:val="24"/>
        </w:rPr>
        <w:t xml:space="preserve">, </w:t>
      </w:r>
      <w:proofErr w:type="spellStart"/>
      <w:r w:rsidRPr="003F7202">
        <w:rPr>
          <w:bCs/>
          <w:color w:val="auto"/>
          <w:szCs w:val="24"/>
        </w:rPr>
        <w:t>Ser</w:t>
      </w:r>
      <w:proofErr w:type="spellEnd"/>
      <w:r w:rsidRPr="003F7202">
        <w:rPr>
          <w:bCs/>
          <w:color w:val="auto"/>
          <w:szCs w:val="24"/>
        </w:rPr>
        <w:t xml:space="preserve">. </w:t>
      </w:r>
      <w:proofErr w:type="spellStart"/>
      <w:r w:rsidRPr="003F7202">
        <w:rPr>
          <w:bCs/>
          <w:color w:val="auto"/>
          <w:szCs w:val="24"/>
        </w:rPr>
        <w:t>Pedol</w:t>
      </w:r>
      <w:proofErr w:type="spellEnd"/>
      <w:r w:rsidRPr="003F7202">
        <w:rPr>
          <w:bCs/>
          <w:color w:val="auto"/>
          <w:szCs w:val="24"/>
        </w:rPr>
        <w:t>., 28 (2) 217 ​​- 226</w:t>
      </w:r>
      <w:r w:rsidR="003F7202" w:rsidRPr="003F7202">
        <w:rPr>
          <w:bCs/>
          <w:color w:val="auto"/>
          <w:szCs w:val="24"/>
        </w:rPr>
        <w:t>https://horizon.documentation.ird.fr/exl-doc/pleins_textes/pleins_textes_6/colloques2/010009093.pdf</w:t>
      </w:r>
    </w:p>
    <w:p w14:paraId="11EE9656" w14:textId="77777777" w:rsidR="00CA1226" w:rsidRPr="00CA1226" w:rsidRDefault="00CA1226" w:rsidP="00CA1226">
      <w:pPr>
        <w:spacing w:after="0" w:line="360" w:lineRule="auto"/>
        <w:ind w:left="0" w:firstLine="0"/>
        <w:jc w:val="both"/>
        <w:rPr>
          <w:bCs/>
          <w:color w:val="auto"/>
          <w:szCs w:val="24"/>
        </w:rPr>
      </w:pPr>
    </w:p>
    <w:p w14:paraId="090A237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BRAY R. H. &amp; KURTZ L. T. (1945). “</w:t>
      </w:r>
      <w:proofErr w:type="spellStart"/>
      <w:r w:rsidRPr="003F7202">
        <w:rPr>
          <w:bCs/>
          <w:color w:val="auto"/>
          <w:szCs w:val="24"/>
        </w:rPr>
        <w:t>Determination</w:t>
      </w:r>
      <w:proofErr w:type="spellEnd"/>
      <w:r w:rsidRPr="003F7202">
        <w:rPr>
          <w:bCs/>
          <w:color w:val="auto"/>
          <w:szCs w:val="24"/>
        </w:rPr>
        <w:t xml:space="preserve"> of total, </w:t>
      </w:r>
      <w:proofErr w:type="spellStart"/>
      <w:r w:rsidRPr="003F7202">
        <w:rPr>
          <w:bCs/>
          <w:color w:val="auto"/>
          <w:szCs w:val="24"/>
        </w:rPr>
        <w:t>organic</w:t>
      </w:r>
      <w:proofErr w:type="spellEnd"/>
      <w:r w:rsidRPr="003F7202">
        <w:rPr>
          <w:bCs/>
          <w:color w:val="auto"/>
          <w:szCs w:val="24"/>
        </w:rPr>
        <w:t xml:space="preserve">, and </w:t>
      </w:r>
      <w:proofErr w:type="spellStart"/>
      <w:r w:rsidRPr="003F7202">
        <w:rPr>
          <w:bCs/>
          <w:color w:val="auto"/>
          <w:szCs w:val="24"/>
        </w:rPr>
        <w:t>availableforms</w:t>
      </w:r>
      <w:proofErr w:type="spellEnd"/>
      <w:r w:rsidRPr="003F7202">
        <w:rPr>
          <w:bCs/>
          <w:color w:val="auto"/>
          <w:szCs w:val="24"/>
        </w:rPr>
        <w:t xml:space="preserve"> of </w:t>
      </w:r>
      <w:proofErr w:type="spellStart"/>
      <w:r w:rsidRPr="003F7202">
        <w:rPr>
          <w:bCs/>
          <w:color w:val="auto"/>
          <w:szCs w:val="24"/>
        </w:rPr>
        <w:t>phosphorus</w:t>
      </w:r>
      <w:proofErr w:type="spellEnd"/>
      <w:r w:rsidRPr="003F7202">
        <w:rPr>
          <w:bCs/>
          <w:color w:val="auto"/>
          <w:szCs w:val="24"/>
        </w:rPr>
        <w:t xml:space="preserve"> in </w:t>
      </w:r>
      <w:proofErr w:type="spellStart"/>
      <w:r w:rsidRPr="003F7202">
        <w:rPr>
          <w:bCs/>
          <w:color w:val="auto"/>
          <w:szCs w:val="24"/>
        </w:rPr>
        <w:t>soils</w:t>
      </w:r>
      <w:proofErr w:type="spellEnd"/>
      <w:r w:rsidRPr="003F7202">
        <w:rPr>
          <w:bCs/>
          <w:color w:val="auto"/>
          <w:szCs w:val="24"/>
        </w:rPr>
        <w:t xml:space="preserve">”. </w:t>
      </w:r>
      <w:proofErr w:type="spellStart"/>
      <w:r w:rsidRPr="003F7202">
        <w:rPr>
          <w:bCs/>
          <w:color w:val="auto"/>
          <w:szCs w:val="24"/>
        </w:rPr>
        <w:t>Soil</w:t>
      </w:r>
      <w:proofErr w:type="spellEnd"/>
      <w:r w:rsidRPr="003F7202">
        <w:rPr>
          <w:bCs/>
          <w:color w:val="auto"/>
          <w:szCs w:val="24"/>
        </w:rPr>
        <w:t xml:space="preserve"> Science. Vol. 59. </w:t>
      </w:r>
      <w:proofErr w:type="gramStart"/>
      <w:r w:rsidRPr="003F7202">
        <w:rPr>
          <w:bCs/>
          <w:color w:val="auto"/>
          <w:szCs w:val="24"/>
        </w:rPr>
        <w:t>pp:</w:t>
      </w:r>
      <w:proofErr w:type="gramEnd"/>
      <w:r w:rsidRPr="003F7202">
        <w:rPr>
          <w:bCs/>
          <w:color w:val="auto"/>
          <w:szCs w:val="24"/>
        </w:rPr>
        <w:t xml:space="preserve"> 39-45.</w:t>
      </w:r>
      <w:r w:rsidR="003F7202" w:rsidRPr="003F7202">
        <w:rPr>
          <w:bCs/>
          <w:color w:val="auto"/>
          <w:szCs w:val="24"/>
        </w:rPr>
        <w:t>https://doi.org/10.1097/00010694-194501000-00006</w:t>
      </w:r>
    </w:p>
    <w:p w14:paraId="64FFEF09" w14:textId="77777777" w:rsidR="00CA1226" w:rsidRPr="00CA1226" w:rsidRDefault="00CA1226" w:rsidP="00CA1226">
      <w:pPr>
        <w:spacing w:after="0" w:line="360" w:lineRule="auto"/>
        <w:ind w:left="0" w:firstLine="0"/>
        <w:jc w:val="both"/>
        <w:rPr>
          <w:bCs/>
          <w:color w:val="auto"/>
          <w:szCs w:val="24"/>
        </w:rPr>
      </w:pPr>
    </w:p>
    <w:p w14:paraId="498225C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BEARDEN BN PETERSEN L., (2000). Influence of </w:t>
      </w:r>
      <w:proofErr w:type="spellStart"/>
      <w:r w:rsidRPr="003F7202">
        <w:rPr>
          <w:bCs/>
          <w:color w:val="auto"/>
          <w:szCs w:val="24"/>
        </w:rPr>
        <w:t>arbuscularmycorrhizal</w:t>
      </w:r>
      <w:proofErr w:type="spellEnd"/>
      <w:r w:rsidRPr="003F7202">
        <w:rPr>
          <w:bCs/>
          <w:color w:val="auto"/>
          <w:szCs w:val="24"/>
        </w:rPr>
        <w:t xml:space="preserve"> fungi on </w:t>
      </w:r>
      <w:proofErr w:type="spellStart"/>
      <w:r w:rsidRPr="003F7202">
        <w:rPr>
          <w:bCs/>
          <w:color w:val="auto"/>
          <w:szCs w:val="24"/>
        </w:rPr>
        <w:t>soil</w:t>
      </w:r>
      <w:proofErr w:type="spellEnd"/>
      <w:r w:rsidRPr="003F7202">
        <w:rPr>
          <w:bCs/>
          <w:color w:val="auto"/>
          <w:szCs w:val="24"/>
        </w:rPr>
        <w:t xml:space="preserve"> structure and </w:t>
      </w:r>
      <w:proofErr w:type="spellStart"/>
      <w:r w:rsidRPr="003F7202">
        <w:rPr>
          <w:bCs/>
          <w:color w:val="auto"/>
          <w:szCs w:val="24"/>
        </w:rPr>
        <w:t>aggregatestability</w:t>
      </w:r>
      <w:proofErr w:type="spellEnd"/>
      <w:r w:rsidRPr="003F7202">
        <w:rPr>
          <w:bCs/>
          <w:color w:val="auto"/>
          <w:szCs w:val="24"/>
        </w:rPr>
        <w:t xml:space="preserve"> of a vertisol. Plant </w:t>
      </w:r>
      <w:proofErr w:type="spellStart"/>
      <w:r w:rsidRPr="003F7202">
        <w:rPr>
          <w:bCs/>
          <w:color w:val="auto"/>
          <w:szCs w:val="24"/>
        </w:rPr>
        <w:t>Soil</w:t>
      </w:r>
      <w:proofErr w:type="spellEnd"/>
      <w:r w:rsidRPr="003F7202">
        <w:rPr>
          <w:bCs/>
          <w:color w:val="auto"/>
          <w:szCs w:val="24"/>
        </w:rPr>
        <w:t xml:space="preserve">, </w:t>
      </w:r>
      <w:proofErr w:type="gramStart"/>
      <w:r w:rsidRPr="003F7202">
        <w:rPr>
          <w:bCs/>
          <w:color w:val="auto"/>
          <w:szCs w:val="24"/>
        </w:rPr>
        <w:t>218:</w:t>
      </w:r>
      <w:proofErr w:type="gramEnd"/>
      <w:r w:rsidRPr="003F7202">
        <w:rPr>
          <w:bCs/>
          <w:color w:val="auto"/>
          <w:szCs w:val="24"/>
        </w:rPr>
        <w:t xml:space="preserve"> 173-183</w:t>
      </w:r>
      <w:r w:rsidR="003F7202" w:rsidRPr="003F7202">
        <w:rPr>
          <w:bCs/>
          <w:color w:val="auto"/>
          <w:szCs w:val="24"/>
        </w:rPr>
        <w:t>https://doi.org/10.1023/A:1014923911324</w:t>
      </w:r>
    </w:p>
    <w:p w14:paraId="20F11B24" w14:textId="77777777" w:rsidR="00CA1226" w:rsidRPr="00CA1226" w:rsidRDefault="00CA1226" w:rsidP="00CA1226">
      <w:pPr>
        <w:spacing w:after="0" w:line="360" w:lineRule="auto"/>
        <w:ind w:left="0" w:firstLine="0"/>
        <w:jc w:val="both"/>
        <w:rPr>
          <w:bCs/>
          <w:color w:val="auto"/>
          <w:szCs w:val="24"/>
        </w:rPr>
      </w:pPr>
    </w:p>
    <w:p w14:paraId="5CAAFC9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BIELDERS C. L., ALVEY S. &amp; CRONYN N. (2001). Wind </w:t>
      </w:r>
      <w:proofErr w:type="spellStart"/>
      <w:r w:rsidRPr="003F7202">
        <w:rPr>
          <w:bCs/>
          <w:color w:val="auto"/>
          <w:szCs w:val="24"/>
        </w:rPr>
        <w:t>erosion</w:t>
      </w:r>
      <w:proofErr w:type="spellEnd"/>
      <w:r w:rsidRPr="003F7202">
        <w:rPr>
          <w:bCs/>
          <w:color w:val="auto"/>
          <w:szCs w:val="24"/>
        </w:rPr>
        <w:t xml:space="preserve">. "The perspective of </w:t>
      </w:r>
      <w:proofErr w:type="spellStart"/>
      <w:r w:rsidRPr="003F7202">
        <w:rPr>
          <w:bCs/>
          <w:color w:val="auto"/>
          <w:szCs w:val="24"/>
        </w:rPr>
        <w:t>grass-rootscommunities</w:t>
      </w:r>
      <w:proofErr w:type="spellEnd"/>
      <w:r w:rsidRPr="003F7202">
        <w:rPr>
          <w:bCs/>
          <w:color w:val="auto"/>
          <w:szCs w:val="24"/>
        </w:rPr>
        <w:t xml:space="preserve"> in the Sahel", Land </w:t>
      </w:r>
      <w:proofErr w:type="spellStart"/>
      <w:r w:rsidRPr="003F7202">
        <w:rPr>
          <w:bCs/>
          <w:color w:val="auto"/>
          <w:szCs w:val="24"/>
        </w:rPr>
        <w:t>DegradationDevelopment</w:t>
      </w:r>
      <w:proofErr w:type="spellEnd"/>
      <w:r w:rsidRPr="003F7202">
        <w:rPr>
          <w:bCs/>
          <w:color w:val="auto"/>
          <w:szCs w:val="24"/>
        </w:rPr>
        <w:t xml:space="preserve">. Vol. 12. </w:t>
      </w:r>
      <w:proofErr w:type="gramStart"/>
      <w:r w:rsidRPr="003F7202">
        <w:rPr>
          <w:bCs/>
          <w:color w:val="auto"/>
          <w:szCs w:val="24"/>
        </w:rPr>
        <w:t>pp:</w:t>
      </w:r>
      <w:proofErr w:type="gramEnd"/>
      <w:r w:rsidRPr="003F7202">
        <w:rPr>
          <w:bCs/>
          <w:color w:val="auto"/>
          <w:szCs w:val="24"/>
        </w:rPr>
        <w:t xml:space="preserve"> 57 – 70</w:t>
      </w:r>
      <w:r w:rsidR="003F7202" w:rsidRPr="003F7202">
        <w:rPr>
          <w:bCs/>
          <w:color w:val="auto"/>
          <w:szCs w:val="24"/>
        </w:rPr>
        <w:t>https://doi.org/10.1002/ldr.424</w:t>
      </w:r>
    </w:p>
    <w:p w14:paraId="26A9BFEB" w14:textId="77777777" w:rsidR="00CA1226" w:rsidRPr="00CA1226" w:rsidRDefault="00CA1226" w:rsidP="00CA1226">
      <w:pPr>
        <w:spacing w:after="0" w:line="360" w:lineRule="auto"/>
        <w:ind w:left="0" w:firstLine="0"/>
        <w:jc w:val="both"/>
        <w:rPr>
          <w:bCs/>
          <w:color w:val="auto"/>
          <w:szCs w:val="24"/>
        </w:rPr>
      </w:pPr>
    </w:p>
    <w:p w14:paraId="59346CA4"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ABDOULAYE A. (2013). “Comparative </w:t>
      </w:r>
      <w:proofErr w:type="spellStart"/>
      <w:r w:rsidRPr="003F7202">
        <w:rPr>
          <w:bCs/>
          <w:color w:val="auto"/>
          <w:szCs w:val="24"/>
        </w:rPr>
        <w:t>study</w:t>
      </w:r>
      <w:proofErr w:type="spellEnd"/>
      <w:r w:rsidRPr="003F7202">
        <w:rPr>
          <w:bCs/>
          <w:color w:val="auto"/>
          <w:szCs w:val="24"/>
        </w:rPr>
        <w:t xml:space="preserve"> of the influence of </w:t>
      </w:r>
      <w:proofErr w:type="spellStart"/>
      <w:r w:rsidRPr="003F7202">
        <w:rPr>
          <w:bCs/>
          <w:color w:val="auto"/>
          <w:szCs w:val="24"/>
        </w:rPr>
        <w:t>sowingdensity</w:t>
      </w:r>
      <w:proofErr w:type="spellEnd"/>
      <w:r w:rsidRPr="003F7202">
        <w:rPr>
          <w:bCs/>
          <w:color w:val="auto"/>
          <w:szCs w:val="24"/>
        </w:rPr>
        <w:t xml:space="preserve"> on the </w:t>
      </w:r>
      <w:proofErr w:type="spellStart"/>
      <w:r w:rsidRPr="003F7202">
        <w:rPr>
          <w:bCs/>
          <w:color w:val="auto"/>
          <w:szCs w:val="24"/>
        </w:rPr>
        <w:t>mycorrhization</w:t>
      </w:r>
      <w:proofErr w:type="spellEnd"/>
      <w:r w:rsidRPr="003F7202">
        <w:rPr>
          <w:bCs/>
          <w:color w:val="auto"/>
          <w:szCs w:val="24"/>
        </w:rPr>
        <w:t xml:space="preserve"> of Bambara </w:t>
      </w:r>
      <w:proofErr w:type="spellStart"/>
      <w:r w:rsidRPr="003F7202">
        <w:rPr>
          <w:bCs/>
          <w:color w:val="auto"/>
          <w:szCs w:val="24"/>
        </w:rPr>
        <w:t>groundnut</w:t>
      </w:r>
      <w:proofErr w:type="spellEnd"/>
      <w:r w:rsidRPr="003F7202">
        <w:rPr>
          <w:bCs/>
          <w:color w:val="auto"/>
          <w:szCs w:val="24"/>
        </w:rPr>
        <w:t xml:space="preserve"> (</w:t>
      </w:r>
      <w:proofErr w:type="spellStart"/>
      <w:r w:rsidRPr="003F7202">
        <w:rPr>
          <w:bCs/>
          <w:color w:val="auto"/>
          <w:szCs w:val="24"/>
        </w:rPr>
        <w:t>Vignasubterranea</w:t>
      </w:r>
      <w:proofErr w:type="spellEnd"/>
      <w:r w:rsidRPr="003F7202">
        <w:rPr>
          <w:bCs/>
          <w:color w:val="auto"/>
          <w:szCs w:val="24"/>
        </w:rPr>
        <w:t xml:space="preserve"> L.), </w:t>
      </w:r>
      <w:proofErr w:type="spellStart"/>
      <w:r w:rsidRPr="003F7202">
        <w:rPr>
          <w:bCs/>
          <w:color w:val="auto"/>
          <w:szCs w:val="24"/>
        </w:rPr>
        <w:t>Lablabbean</w:t>
      </w:r>
      <w:proofErr w:type="spellEnd"/>
      <w:r w:rsidRPr="003F7202">
        <w:rPr>
          <w:bCs/>
          <w:color w:val="auto"/>
          <w:szCs w:val="24"/>
        </w:rPr>
        <w:t xml:space="preserve"> (</w:t>
      </w:r>
      <w:proofErr w:type="spellStart"/>
      <w:r w:rsidRPr="003F7202">
        <w:rPr>
          <w:bCs/>
          <w:color w:val="auto"/>
          <w:szCs w:val="24"/>
        </w:rPr>
        <w:t>Dolichoslablab</w:t>
      </w:r>
      <w:proofErr w:type="spellEnd"/>
      <w:r w:rsidRPr="003F7202">
        <w:rPr>
          <w:bCs/>
          <w:color w:val="auto"/>
          <w:szCs w:val="24"/>
        </w:rPr>
        <w:t xml:space="preserve"> L.) and Millet (</w:t>
      </w:r>
      <w:proofErr w:type="spellStart"/>
      <w:r w:rsidRPr="003F7202">
        <w:rPr>
          <w:bCs/>
          <w:color w:val="auto"/>
          <w:szCs w:val="24"/>
        </w:rPr>
        <w:t>Pennisetumglaucum</w:t>
      </w:r>
      <w:proofErr w:type="spellEnd"/>
      <w:r w:rsidRPr="003F7202">
        <w:rPr>
          <w:bCs/>
          <w:color w:val="auto"/>
          <w:szCs w:val="24"/>
        </w:rPr>
        <w:t xml:space="preserve"> L.) in </w:t>
      </w:r>
      <w:proofErr w:type="spellStart"/>
      <w:r w:rsidRPr="003F7202">
        <w:rPr>
          <w:bCs/>
          <w:color w:val="auto"/>
          <w:szCs w:val="24"/>
        </w:rPr>
        <w:t>soilfertility</w:t>
      </w:r>
      <w:proofErr w:type="spellEnd"/>
      <w:r w:rsidRPr="003F7202">
        <w:rPr>
          <w:bCs/>
          <w:color w:val="auto"/>
          <w:szCs w:val="24"/>
        </w:rPr>
        <w:t xml:space="preserve"> management” Abdou </w:t>
      </w:r>
      <w:proofErr w:type="spellStart"/>
      <w:r w:rsidRPr="003F7202">
        <w:rPr>
          <w:bCs/>
          <w:color w:val="auto"/>
          <w:szCs w:val="24"/>
        </w:rPr>
        <w:t>MoumouniUniversity</w:t>
      </w:r>
      <w:proofErr w:type="spellEnd"/>
      <w:r w:rsidRPr="003F7202">
        <w:rPr>
          <w:bCs/>
          <w:color w:val="auto"/>
          <w:szCs w:val="24"/>
        </w:rPr>
        <w:t xml:space="preserve"> of Niamey. 56 p.</w:t>
      </w:r>
      <w:r w:rsidR="003F7202" w:rsidRPr="003F7202">
        <w:rPr>
          <w:bCs/>
          <w:color w:val="auto"/>
          <w:szCs w:val="24"/>
        </w:rPr>
        <w:t>https://pmb.bibliotheques-niger.org/opac_css/index.php?lvl=notice_display&amp;id=13956</w:t>
      </w:r>
    </w:p>
    <w:p w14:paraId="4B38BA5A" w14:textId="77777777" w:rsidR="00CA1226" w:rsidRPr="00CA1226" w:rsidRDefault="00CA1226" w:rsidP="00CA1226">
      <w:pPr>
        <w:spacing w:after="0" w:line="360" w:lineRule="auto"/>
        <w:ind w:left="0" w:firstLine="0"/>
        <w:jc w:val="both"/>
        <w:rPr>
          <w:bCs/>
          <w:color w:val="auto"/>
          <w:szCs w:val="24"/>
        </w:rPr>
      </w:pPr>
    </w:p>
    <w:p w14:paraId="5A51E250"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CARDOSO L.M, (2006). </w:t>
      </w:r>
      <w:proofErr w:type="spellStart"/>
      <w:r w:rsidRPr="003F7202">
        <w:rPr>
          <w:bCs/>
          <w:color w:val="auto"/>
          <w:szCs w:val="24"/>
        </w:rPr>
        <w:t>Mycorrhizas</w:t>
      </w:r>
      <w:proofErr w:type="spellEnd"/>
      <w:r w:rsidRPr="003F7202">
        <w:rPr>
          <w:bCs/>
          <w:color w:val="auto"/>
          <w:szCs w:val="24"/>
        </w:rPr>
        <w:t xml:space="preserve"> and tropical </w:t>
      </w:r>
      <w:proofErr w:type="spellStart"/>
      <w:r w:rsidRPr="003F7202">
        <w:rPr>
          <w:bCs/>
          <w:color w:val="auto"/>
          <w:szCs w:val="24"/>
        </w:rPr>
        <w:t>soilfertility</w:t>
      </w:r>
      <w:proofErr w:type="spellEnd"/>
      <w:r w:rsidRPr="003F7202">
        <w:rPr>
          <w:bCs/>
          <w:color w:val="auto"/>
          <w:szCs w:val="24"/>
        </w:rPr>
        <w:t xml:space="preserve">. Agriculture, </w:t>
      </w:r>
      <w:proofErr w:type="spellStart"/>
      <w:r w:rsidRPr="003F7202">
        <w:rPr>
          <w:bCs/>
          <w:color w:val="auto"/>
          <w:szCs w:val="24"/>
        </w:rPr>
        <w:t>Ecosystems</w:t>
      </w:r>
      <w:proofErr w:type="spellEnd"/>
      <w:r w:rsidRPr="003F7202">
        <w:rPr>
          <w:bCs/>
          <w:color w:val="auto"/>
          <w:szCs w:val="24"/>
        </w:rPr>
        <w:t xml:space="preserve">, </w:t>
      </w:r>
      <w:proofErr w:type="spellStart"/>
      <w:r w:rsidRPr="003F7202">
        <w:rPr>
          <w:bCs/>
          <w:color w:val="auto"/>
          <w:szCs w:val="24"/>
        </w:rPr>
        <w:t>Environment</w:t>
      </w:r>
      <w:proofErr w:type="spellEnd"/>
      <w:r w:rsidRPr="003F7202">
        <w:rPr>
          <w:bCs/>
          <w:color w:val="auto"/>
          <w:szCs w:val="24"/>
        </w:rPr>
        <w:t xml:space="preserve">, vol.116. </w:t>
      </w:r>
      <w:proofErr w:type="gramStart"/>
      <w:r w:rsidRPr="003F7202">
        <w:rPr>
          <w:bCs/>
          <w:color w:val="auto"/>
          <w:szCs w:val="24"/>
        </w:rPr>
        <w:t>PP:</w:t>
      </w:r>
      <w:proofErr w:type="gramEnd"/>
      <w:r w:rsidRPr="003F7202">
        <w:rPr>
          <w:bCs/>
          <w:color w:val="auto"/>
          <w:szCs w:val="24"/>
        </w:rPr>
        <w:t xml:space="preserve"> 72-84.</w:t>
      </w:r>
      <w:r w:rsidR="003F7202" w:rsidRPr="003F7202">
        <w:rPr>
          <w:bCs/>
          <w:color w:val="auto"/>
          <w:szCs w:val="24"/>
        </w:rPr>
        <w:t>https://doi.org/10.1016/j.agee.2006.03.011</w:t>
      </w:r>
    </w:p>
    <w:p w14:paraId="12640C2E" w14:textId="77777777" w:rsidR="00CA1226" w:rsidRPr="00CA1226" w:rsidRDefault="00CA1226" w:rsidP="00CA1226">
      <w:pPr>
        <w:spacing w:after="0" w:line="360" w:lineRule="auto"/>
        <w:ind w:left="0" w:firstLine="0"/>
        <w:jc w:val="both"/>
        <w:rPr>
          <w:bCs/>
          <w:color w:val="auto"/>
          <w:szCs w:val="24"/>
        </w:rPr>
      </w:pPr>
    </w:p>
    <w:p w14:paraId="2333F084" w14:textId="77777777" w:rsidR="00CA1226" w:rsidRPr="003F7202" w:rsidRDefault="00CA1226" w:rsidP="003F7202">
      <w:pPr>
        <w:pStyle w:val="ListParagraph"/>
        <w:numPr>
          <w:ilvl w:val="0"/>
          <w:numId w:val="3"/>
        </w:numPr>
        <w:spacing w:after="0" w:line="360" w:lineRule="auto"/>
        <w:jc w:val="both"/>
        <w:rPr>
          <w:bCs/>
          <w:color w:val="auto"/>
          <w:szCs w:val="24"/>
        </w:rPr>
      </w:pPr>
      <w:proofErr w:type="spellStart"/>
      <w:r w:rsidRPr="003F7202">
        <w:rPr>
          <w:bCs/>
          <w:color w:val="auto"/>
          <w:szCs w:val="24"/>
        </w:rPr>
        <w:t>Déziel</w:t>
      </w:r>
      <w:proofErr w:type="spellEnd"/>
      <w:r w:rsidRPr="003F7202">
        <w:rPr>
          <w:bCs/>
          <w:color w:val="auto"/>
          <w:szCs w:val="24"/>
        </w:rPr>
        <w:t xml:space="preserve"> M-H (2000). Influence of </w:t>
      </w:r>
      <w:proofErr w:type="spellStart"/>
      <w:r w:rsidRPr="003F7202">
        <w:rPr>
          <w:bCs/>
          <w:color w:val="auto"/>
          <w:szCs w:val="24"/>
        </w:rPr>
        <w:t>endomycorrhizal</w:t>
      </w:r>
      <w:proofErr w:type="spellEnd"/>
      <w:r w:rsidRPr="003F7202">
        <w:rPr>
          <w:bCs/>
          <w:color w:val="auto"/>
          <w:szCs w:val="24"/>
        </w:rPr>
        <w:t xml:space="preserve"> inoculation in the </w:t>
      </w:r>
      <w:proofErr w:type="spellStart"/>
      <w:r w:rsidRPr="003F7202">
        <w:rPr>
          <w:bCs/>
          <w:color w:val="auto"/>
          <w:szCs w:val="24"/>
        </w:rPr>
        <w:t>field</w:t>
      </w:r>
      <w:proofErr w:type="spellEnd"/>
      <w:r w:rsidRPr="003F7202">
        <w:rPr>
          <w:bCs/>
          <w:color w:val="auto"/>
          <w:szCs w:val="24"/>
        </w:rPr>
        <w:t xml:space="preserve"> on the </w:t>
      </w:r>
      <w:proofErr w:type="spellStart"/>
      <w:r w:rsidRPr="003F7202">
        <w:rPr>
          <w:bCs/>
          <w:color w:val="auto"/>
          <w:szCs w:val="24"/>
        </w:rPr>
        <w:t>yield</w:t>
      </w:r>
      <w:proofErr w:type="spellEnd"/>
      <w:r w:rsidRPr="003F7202">
        <w:rPr>
          <w:bCs/>
          <w:color w:val="auto"/>
          <w:szCs w:val="24"/>
        </w:rPr>
        <w:t xml:space="preserve"> and </w:t>
      </w:r>
      <w:proofErr w:type="spellStart"/>
      <w:r w:rsidRPr="003F7202">
        <w:rPr>
          <w:bCs/>
          <w:color w:val="auto"/>
          <w:szCs w:val="24"/>
        </w:rPr>
        <w:t>quality</w:t>
      </w:r>
      <w:proofErr w:type="spellEnd"/>
      <w:r w:rsidRPr="003F7202">
        <w:rPr>
          <w:bCs/>
          <w:color w:val="auto"/>
          <w:szCs w:val="24"/>
        </w:rPr>
        <w:t xml:space="preserve"> of </w:t>
      </w:r>
      <w:proofErr w:type="spellStart"/>
      <w:r w:rsidRPr="003F7202">
        <w:rPr>
          <w:bCs/>
          <w:color w:val="auto"/>
          <w:szCs w:val="24"/>
        </w:rPr>
        <w:t>potato</w:t>
      </w:r>
      <w:proofErr w:type="spellEnd"/>
      <w:r w:rsidRPr="003F7202">
        <w:rPr>
          <w:bCs/>
          <w:color w:val="auto"/>
          <w:szCs w:val="24"/>
        </w:rPr>
        <w:t xml:space="preserve"> (Solanum </w:t>
      </w:r>
      <w:proofErr w:type="spellStart"/>
      <w:r w:rsidRPr="003F7202">
        <w:rPr>
          <w:bCs/>
          <w:color w:val="auto"/>
          <w:szCs w:val="24"/>
        </w:rPr>
        <w:t>tuberosum</w:t>
      </w:r>
      <w:proofErr w:type="spellEnd"/>
      <w:r w:rsidRPr="003F7202">
        <w:rPr>
          <w:bCs/>
          <w:color w:val="auto"/>
          <w:szCs w:val="24"/>
        </w:rPr>
        <w:t xml:space="preserve"> L.). Laval </w:t>
      </w:r>
      <w:proofErr w:type="spellStart"/>
      <w:r w:rsidRPr="003F7202">
        <w:rPr>
          <w:bCs/>
          <w:color w:val="auto"/>
          <w:szCs w:val="24"/>
        </w:rPr>
        <w:t>University</w:t>
      </w:r>
      <w:proofErr w:type="spellEnd"/>
      <w:r w:rsidRPr="003F7202">
        <w:rPr>
          <w:bCs/>
          <w:color w:val="auto"/>
          <w:szCs w:val="24"/>
        </w:rPr>
        <w:t xml:space="preserve">, Canada, Master of Science </w:t>
      </w:r>
      <w:proofErr w:type="spellStart"/>
      <w:r w:rsidRPr="003F7202">
        <w:rPr>
          <w:bCs/>
          <w:color w:val="auto"/>
          <w:szCs w:val="24"/>
        </w:rPr>
        <w:t>thesis</w:t>
      </w:r>
      <w:proofErr w:type="spellEnd"/>
      <w:r w:rsidRPr="003F7202">
        <w:rPr>
          <w:bCs/>
          <w:color w:val="auto"/>
          <w:szCs w:val="24"/>
        </w:rPr>
        <w:t>, 112 p.</w:t>
      </w:r>
    </w:p>
    <w:p w14:paraId="1A9ECD73" w14:textId="77777777" w:rsidR="00CA1226" w:rsidRPr="00CA1226" w:rsidRDefault="00CA1226" w:rsidP="00CA1226">
      <w:pPr>
        <w:spacing w:after="0" w:line="360" w:lineRule="auto"/>
        <w:ind w:left="0" w:firstLine="0"/>
        <w:jc w:val="both"/>
        <w:rPr>
          <w:bCs/>
          <w:color w:val="auto"/>
          <w:szCs w:val="24"/>
        </w:rPr>
      </w:pPr>
    </w:p>
    <w:p w14:paraId="593C71E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Diallo A T (1998). Contribution to the </w:t>
      </w:r>
      <w:proofErr w:type="spellStart"/>
      <w:r w:rsidRPr="003F7202">
        <w:rPr>
          <w:bCs/>
          <w:color w:val="auto"/>
          <w:szCs w:val="24"/>
        </w:rPr>
        <w:t>taxonomic</w:t>
      </w:r>
      <w:proofErr w:type="spellEnd"/>
      <w:r w:rsidRPr="003F7202">
        <w:rPr>
          <w:bCs/>
          <w:color w:val="auto"/>
          <w:szCs w:val="24"/>
        </w:rPr>
        <w:t xml:space="preserve"> and </w:t>
      </w:r>
      <w:proofErr w:type="spellStart"/>
      <w:r w:rsidRPr="003F7202">
        <w:rPr>
          <w:bCs/>
          <w:color w:val="auto"/>
          <w:szCs w:val="24"/>
        </w:rPr>
        <w:t>ecologicalstudy</w:t>
      </w:r>
      <w:proofErr w:type="spellEnd"/>
      <w:r w:rsidRPr="003F7202">
        <w:rPr>
          <w:bCs/>
          <w:color w:val="auto"/>
          <w:szCs w:val="24"/>
        </w:rPr>
        <w:t xml:space="preserve"> of </w:t>
      </w:r>
      <w:proofErr w:type="spellStart"/>
      <w:r w:rsidRPr="003F7202">
        <w:rPr>
          <w:bCs/>
          <w:color w:val="auto"/>
          <w:szCs w:val="24"/>
        </w:rPr>
        <w:t>Glomales</w:t>
      </w:r>
      <w:proofErr w:type="spellEnd"/>
      <w:r w:rsidRPr="003F7202">
        <w:rPr>
          <w:bCs/>
          <w:color w:val="auto"/>
          <w:szCs w:val="24"/>
        </w:rPr>
        <w:t xml:space="preserve"> and the influence of </w:t>
      </w:r>
      <w:proofErr w:type="spellStart"/>
      <w:r w:rsidRPr="003F7202">
        <w:rPr>
          <w:bCs/>
          <w:color w:val="auto"/>
          <w:szCs w:val="24"/>
        </w:rPr>
        <w:t>mycorrhizationwith</w:t>
      </w:r>
      <w:proofErr w:type="spellEnd"/>
      <w:r w:rsidRPr="003F7202">
        <w:rPr>
          <w:bCs/>
          <w:color w:val="auto"/>
          <w:szCs w:val="24"/>
        </w:rPr>
        <w:t xml:space="preserve"> Glomus </w:t>
      </w:r>
      <w:proofErr w:type="spellStart"/>
      <w:r w:rsidRPr="003F7202">
        <w:rPr>
          <w:bCs/>
          <w:color w:val="auto"/>
          <w:szCs w:val="24"/>
        </w:rPr>
        <w:t>mosseae</w:t>
      </w:r>
      <w:proofErr w:type="spellEnd"/>
      <w:r w:rsidRPr="003F7202">
        <w:rPr>
          <w:bCs/>
          <w:color w:val="auto"/>
          <w:szCs w:val="24"/>
        </w:rPr>
        <w:t xml:space="preserve"> and Glomus </w:t>
      </w:r>
      <w:proofErr w:type="spellStart"/>
      <w:r w:rsidRPr="003F7202">
        <w:rPr>
          <w:bCs/>
          <w:color w:val="auto"/>
          <w:szCs w:val="24"/>
        </w:rPr>
        <w:t>versiforme</w:t>
      </w:r>
      <w:proofErr w:type="spellEnd"/>
      <w:r w:rsidRPr="003F7202">
        <w:rPr>
          <w:bCs/>
          <w:color w:val="auto"/>
          <w:szCs w:val="24"/>
        </w:rPr>
        <w:t xml:space="preserve"> on the </w:t>
      </w:r>
      <w:proofErr w:type="spellStart"/>
      <w:r w:rsidRPr="003F7202">
        <w:rPr>
          <w:bCs/>
          <w:color w:val="auto"/>
          <w:szCs w:val="24"/>
        </w:rPr>
        <w:t>growth</w:t>
      </w:r>
      <w:proofErr w:type="spellEnd"/>
      <w:r w:rsidRPr="003F7202">
        <w:rPr>
          <w:bCs/>
          <w:color w:val="auto"/>
          <w:szCs w:val="24"/>
        </w:rPr>
        <w:t xml:space="preserve"> and </w:t>
      </w:r>
      <w:proofErr w:type="spellStart"/>
      <w:r w:rsidRPr="003F7202">
        <w:rPr>
          <w:bCs/>
          <w:color w:val="auto"/>
          <w:szCs w:val="24"/>
        </w:rPr>
        <w:t>productivity</w:t>
      </w:r>
      <w:proofErr w:type="spellEnd"/>
      <w:r w:rsidRPr="003F7202">
        <w:rPr>
          <w:bCs/>
          <w:color w:val="auto"/>
          <w:szCs w:val="24"/>
        </w:rPr>
        <w:t xml:space="preserve"> of </w:t>
      </w:r>
      <w:proofErr w:type="spellStart"/>
      <w:r w:rsidRPr="003F7202">
        <w:rPr>
          <w:bCs/>
          <w:color w:val="auto"/>
          <w:szCs w:val="24"/>
        </w:rPr>
        <w:t>cowpea</w:t>
      </w:r>
      <w:proofErr w:type="spellEnd"/>
      <w:r w:rsidRPr="003F7202">
        <w:rPr>
          <w:bCs/>
          <w:color w:val="auto"/>
          <w:szCs w:val="24"/>
        </w:rPr>
        <w:t xml:space="preserve">, </w:t>
      </w:r>
      <w:proofErr w:type="spellStart"/>
      <w:r w:rsidRPr="003F7202">
        <w:rPr>
          <w:bCs/>
          <w:color w:val="auto"/>
          <w:szCs w:val="24"/>
        </w:rPr>
        <w:t>Vignaunguiculata</w:t>
      </w:r>
      <w:proofErr w:type="spellEnd"/>
      <w:r w:rsidRPr="003F7202">
        <w:rPr>
          <w:bCs/>
          <w:color w:val="auto"/>
          <w:szCs w:val="24"/>
        </w:rPr>
        <w:t xml:space="preserve"> (L.) </w:t>
      </w:r>
      <w:proofErr w:type="spellStart"/>
      <w:r w:rsidRPr="003F7202">
        <w:rPr>
          <w:bCs/>
          <w:color w:val="auto"/>
          <w:szCs w:val="24"/>
        </w:rPr>
        <w:t>Walp</w:t>
      </w:r>
      <w:proofErr w:type="spellEnd"/>
      <w:r w:rsidRPr="003F7202">
        <w:rPr>
          <w:bCs/>
          <w:color w:val="auto"/>
          <w:szCs w:val="24"/>
        </w:rPr>
        <w:t xml:space="preserve">. </w:t>
      </w:r>
      <w:proofErr w:type="spellStart"/>
      <w:proofErr w:type="gramStart"/>
      <w:r w:rsidRPr="003F7202">
        <w:rPr>
          <w:bCs/>
          <w:color w:val="auto"/>
          <w:szCs w:val="24"/>
        </w:rPr>
        <w:t>cultivatedunder</w:t>
      </w:r>
      <w:proofErr w:type="spellEnd"/>
      <w:proofErr w:type="gramEnd"/>
      <w:r w:rsidRPr="003F7202">
        <w:rPr>
          <w:bCs/>
          <w:color w:val="auto"/>
          <w:szCs w:val="24"/>
        </w:rPr>
        <w:t xml:space="preserve"> water </w:t>
      </w:r>
      <w:proofErr w:type="spellStart"/>
      <w:r w:rsidRPr="003F7202">
        <w:rPr>
          <w:bCs/>
          <w:color w:val="auto"/>
          <w:szCs w:val="24"/>
        </w:rPr>
        <w:t>deficit</w:t>
      </w:r>
      <w:proofErr w:type="spellEnd"/>
      <w:r w:rsidRPr="003F7202">
        <w:rPr>
          <w:bCs/>
          <w:color w:val="auto"/>
          <w:szCs w:val="24"/>
        </w:rPr>
        <w:t xml:space="preserve"> conditions. 3rd cycle doctoral </w:t>
      </w:r>
      <w:proofErr w:type="spellStart"/>
      <w:r w:rsidRPr="003F7202">
        <w:rPr>
          <w:bCs/>
          <w:color w:val="auto"/>
          <w:szCs w:val="24"/>
        </w:rPr>
        <w:t>thesis</w:t>
      </w:r>
      <w:proofErr w:type="spellEnd"/>
      <w:r w:rsidRPr="003F7202">
        <w:rPr>
          <w:bCs/>
          <w:color w:val="auto"/>
          <w:szCs w:val="24"/>
        </w:rPr>
        <w:t xml:space="preserve"> in Plant </w:t>
      </w:r>
      <w:proofErr w:type="spellStart"/>
      <w:r w:rsidRPr="003F7202">
        <w:rPr>
          <w:bCs/>
          <w:color w:val="auto"/>
          <w:szCs w:val="24"/>
        </w:rPr>
        <w:t>Biology</w:t>
      </w:r>
      <w:proofErr w:type="spellEnd"/>
      <w:r w:rsidRPr="003F7202">
        <w:rPr>
          <w:bCs/>
          <w:color w:val="auto"/>
          <w:szCs w:val="24"/>
        </w:rPr>
        <w:t>, UCAD, 113 p.</w:t>
      </w:r>
    </w:p>
    <w:p w14:paraId="7EEB2699" w14:textId="77777777" w:rsidR="00CA1226" w:rsidRPr="00CA1226" w:rsidRDefault="00CA1226" w:rsidP="00CA1226">
      <w:pPr>
        <w:spacing w:after="0" w:line="360" w:lineRule="auto"/>
        <w:ind w:left="0" w:firstLine="0"/>
        <w:jc w:val="both"/>
        <w:rPr>
          <w:bCs/>
          <w:color w:val="auto"/>
          <w:szCs w:val="24"/>
        </w:rPr>
      </w:pPr>
    </w:p>
    <w:p w14:paraId="1E34C0C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DUPONNOIS R, COLOMBET A., HIEN V., </w:t>
      </w:r>
      <w:proofErr w:type="gramStart"/>
      <w:r w:rsidRPr="003F7202">
        <w:rPr>
          <w:bCs/>
          <w:color w:val="auto"/>
          <w:szCs w:val="24"/>
        </w:rPr>
        <w:t>THIOULOUSE,.</w:t>
      </w:r>
      <w:proofErr w:type="gramEnd"/>
      <w:r w:rsidRPr="003F7202">
        <w:rPr>
          <w:bCs/>
          <w:color w:val="auto"/>
          <w:szCs w:val="24"/>
        </w:rPr>
        <w:t xml:space="preserve"> (2005). “The </w:t>
      </w:r>
      <w:proofErr w:type="spellStart"/>
      <w:r w:rsidRPr="003F7202">
        <w:rPr>
          <w:bCs/>
          <w:color w:val="auto"/>
          <w:szCs w:val="24"/>
        </w:rPr>
        <w:t>Mycorrhizal</w:t>
      </w:r>
      <w:proofErr w:type="spellEnd"/>
      <w:r w:rsidRPr="003F7202">
        <w:rPr>
          <w:bCs/>
          <w:color w:val="auto"/>
          <w:szCs w:val="24"/>
        </w:rPr>
        <w:t xml:space="preserve"> fungus Glomus </w:t>
      </w:r>
      <w:proofErr w:type="spellStart"/>
      <w:r w:rsidRPr="003F7202">
        <w:rPr>
          <w:bCs/>
          <w:color w:val="auto"/>
          <w:szCs w:val="24"/>
        </w:rPr>
        <w:t>intraradices</w:t>
      </w:r>
      <w:proofErr w:type="spellEnd"/>
      <w:r w:rsidRPr="003F7202">
        <w:rPr>
          <w:bCs/>
          <w:color w:val="auto"/>
          <w:szCs w:val="24"/>
        </w:rPr>
        <w:t xml:space="preserve"> and rock phosphate </w:t>
      </w:r>
      <w:proofErr w:type="spellStart"/>
      <w:r w:rsidRPr="003F7202">
        <w:rPr>
          <w:bCs/>
          <w:color w:val="auto"/>
          <w:szCs w:val="24"/>
        </w:rPr>
        <w:t>amendment</w:t>
      </w:r>
      <w:proofErr w:type="spellEnd"/>
      <w:r w:rsidRPr="003F7202">
        <w:rPr>
          <w:bCs/>
          <w:color w:val="auto"/>
          <w:szCs w:val="24"/>
        </w:rPr>
        <w:t xml:space="preserve"> influence plant </w:t>
      </w:r>
      <w:proofErr w:type="spellStart"/>
      <w:r w:rsidRPr="003F7202">
        <w:rPr>
          <w:bCs/>
          <w:color w:val="auto"/>
          <w:szCs w:val="24"/>
        </w:rPr>
        <w:t>growth</w:t>
      </w:r>
      <w:proofErr w:type="spellEnd"/>
      <w:r w:rsidRPr="003F7202">
        <w:rPr>
          <w:bCs/>
          <w:color w:val="auto"/>
          <w:szCs w:val="24"/>
        </w:rPr>
        <w:t xml:space="preserve"> and </w:t>
      </w:r>
      <w:proofErr w:type="spellStart"/>
      <w:r w:rsidRPr="003F7202">
        <w:rPr>
          <w:bCs/>
          <w:color w:val="auto"/>
          <w:szCs w:val="24"/>
        </w:rPr>
        <w:t>microbialactivity</w:t>
      </w:r>
      <w:proofErr w:type="spellEnd"/>
      <w:r w:rsidRPr="003F7202">
        <w:rPr>
          <w:bCs/>
          <w:color w:val="auto"/>
          <w:szCs w:val="24"/>
        </w:rPr>
        <w:t xml:space="preserve"> in the </w:t>
      </w:r>
      <w:proofErr w:type="spellStart"/>
      <w:r w:rsidRPr="003F7202">
        <w:rPr>
          <w:bCs/>
          <w:color w:val="auto"/>
          <w:szCs w:val="24"/>
        </w:rPr>
        <w:t>rhizosphere</w:t>
      </w:r>
      <w:proofErr w:type="spellEnd"/>
      <w:r w:rsidRPr="003F7202">
        <w:rPr>
          <w:bCs/>
          <w:color w:val="auto"/>
          <w:szCs w:val="24"/>
        </w:rPr>
        <w:t xml:space="preserve"> of Acacia </w:t>
      </w:r>
      <w:proofErr w:type="spellStart"/>
      <w:r w:rsidRPr="003F7202">
        <w:rPr>
          <w:bCs/>
          <w:color w:val="auto"/>
          <w:szCs w:val="24"/>
        </w:rPr>
        <w:t>holosericea</w:t>
      </w:r>
      <w:proofErr w:type="spellEnd"/>
      <w:r w:rsidRPr="003F7202">
        <w:rPr>
          <w:bCs/>
          <w:color w:val="auto"/>
          <w:szCs w:val="24"/>
        </w:rPr>
        <w:t xml:space="preserve">”. </w:t>
      </w:r>
      <w:proofErr w:type="spellStart"/>
      <w:r w:rsidRPr="003F7202">
        <w:rPr>
          <w:bCs/>
          <w:color w:val="auto"/>
          <w:szCs w:val="24"/>
        </w:rPr>
        <w:t>SoilBiology</w:t>
      </w:r>
      <w:proofErr w:type="spellEnd"/>
      <w:r w:rsidRPr="003F7202">
        <w:rPr>
          <w:bCs/>
          <w:color w:val="auto"/>
          <w:szCs w:val="24"/>
        </w:rPr>
        <w:t xml:space="preserve">. </w:t>
      </w:r>
      <w:proofErr w:type="spellStart"/>
      <w:r w:rsidRPr="003F7202">
        <w:rPr>
          <w:bCs/>
          <w:color w:val="auto"/>
          <w:szCs w:val="24"/>
        </w:rPr>
        <w:t>Biochemistry</w:t>
      </w:r>
      <w:proofErr w:type="spellEnd"/>
      <w:r w:rsidRPr="003F7202">
        <w:rPr>
          <w:bCs/>
          <w:color w:val="auto"/>
          <w:szCs w:val="24"/>
        </w:rPr>
        <w:t>. Vol. 3. Pp</w:t>
      </w:r>
      <w:r w:rsidR="003F7202" w:rsidRPr="003F7202">
        <w:rPr>
          <w:bCs/>
          <w:color w:val="auto"/>
          <w:szCs w:val="24"/>
        </w:rPr>
        <w:t>https://doi.org/10.1016/j.soilbio.2004.09.016</w:t>
      </w:r>
    </w:p>
    <w:p w14:paraId="68D5772D" w14:textId="77777777" w:rsidR="00CA1226" w:rsidRPr="00CA1226" w:rsidRDefault="00CA1226" w:rsidP="00CA1226">
      <w:pPr>
        <w:spacing w:after="0" w:line="360" w:lineRule="auto"/>
        <w:ind w:left="0" w:firstLine="0"/>
        <w:jc w:val="both"/>
        <w:rPr>
          <w:bCs/>
          <w:color w:val="auto"/>
          <w:szCs w:val="24"/>
        </w:rPr>
      </w:pPr>
    </w:p>
    <w:p w14:paraId="6049D91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FAO (2003). Project to support </w:t>
      </w:r>
      <w:proofErr w:type="spellStart"/>
      <w:r w:rsidRPr="003F7202">
        <w:rPr>
          <w:bCs/>
          <w:color w:val="auto"/>
          <w:szCs w:val="24"/>
        </w:rPr>
        <w:t>foodsecurity</w:t>
      </w:r>
      <w:proofErr w:type="spellEnd"/>
      <w:r w:rsidRPr="003F7202">
        <w:rPr>
          <w:bCs/>
          <w:color w:val="auto"/>
          <w:szCs w:val="24"/>
        </w:rPr>
        <w:t xml:space="preserve">, </w:t>
      </w:r>
      <w:proofErr w:type="spellStart"/>
      <w:r w:rsidRPr="003F7202">
        <w:rPr>
          <w:bCs/>
          <w:color w:val="auto"/>
          <w:szCs w:val="24"/>
        </w:rPr>
        <w:t>povertyalleviation</w:t>
      </w:r>
      <w:proofErr w:type="spellEnd"/>
      <w:r w:rsidRPr="003F7202">
        <w:rPr>
          <w:bCs/>
          <w:color w:val="auto"/>
          <w:szCs w:val="24"/>
        </w:rPr>
        <w:t xml:space="preserve"> and </w:t>
      </w:r>
      <w:proofErr w:type="spellStart"/>
      <w:r w:rsidRPr="003F7202">
        <w:rPr>
          <w:bCs/>
          <w:color w:val="auto"/>
          <w:szCs w:val="24"/>
        </w:rPr>
        <w:t>combatingsoildegradation</w:t>
      </w:r>
      <w:proofErr w:type="spellEnd"/>
      <w:r w:rsidRPr="003F7202">
        <w:rPr>
          <w:bCs/>
          <w:color w:val="auto"/>
          <w:szCs w:val="24"/>
        </w:rPr>
        <w:t xml:space="preserve"> in </w:t>
      </w:r>
      <w:proofErr w:type="spellStart"/>
      <w:r w:rsidRPr="003F7202">
        <w:rPr>
          <w:bCs/>
          <w:color w:val="auto"/>
          <w:szCs w:val="24"/>
        </w:rPr>
        <w:t>gum-producing</w:t>
      </w:r>
      <w:proofErr w:type="spellEnd"/>
      <w:r w:rsidRPr="003F7202">
        <w:rPr>
          <w:bCs/>
          <w:color w:val="auto"/>
          <w:szCs w:val="24"/>
        </w:rPr>
        <w:t xml:space="preserve"> countries. Project </w:t>
      </w:r>
      <w:proofErr w:type="gramStart"/>
      <w:r w:rsidRPr="003F7202">
        <w:rPr>
          <w:bCs/>
          <w:color w:val="auto"/>
          <w:szCs w:val="24"/>
        </w:rPr>
        <w:t>Document:</w:t>
      </w:r>
      <w:proofErr w:type="gramEnd"/>
      <w:r w:rsidRPr="003F7202">
        <w:rPr>
          <w:bCs/>
          <w:color w:val="auto"/>
          <w:szCs w:val="24"/>
        </w:rPr>
        <w:t xml:space="preserve"> Rome.</w:t>
      </w:r>
    </w:p>
    <w:p w14:paraId="0C1ABFE5" w14:textId="77777777" w:rsidR="00CA1226" w:rsidRPr="003F7202" w:rsidRDefault="00CA1226" w:rsidP="00CA1226">
      <w:pPr>
        <w:pStyle w:val="ListParagraph"/>
        <w:numPr>
          <w:ilvl w:val="0"/>
          <w:numId w:val="3"/>
        </w:numPr>
        <w:spacing w:after="0" w:line="360" w:lineRule="auto"/>
        <w:ind w:left="0" w:firstLine="0"/>
        <w:jc w:val="both"/>
        <w:rPr>
          <w:bCs/>
          <w:color w:val="auto"/>
          <w:szCs w:val="24"/>
        </w:rPr>
      </w:pPr>
      <w:r w:rsidRPr="003F7202">
        <w:rPr>
          <w:bCs/>
          <w:color w:val="auto"/>
          <w:szCs w:val="24"/>
        </w:rPr>
        <w:t xml:space="preserve">FORTIN JA, PLENCHETTE C, PICHE Y (2015) The </w:t>
      </w:r>
      <w:proofErr w:type="spellStart"/>
      <w:r w:rsidRPr="003F7202">
        <w:rPr>
          <w:bCs/>
          <w:color w:val="auto"/>
          <w:szCs w:val="24"/>
        </w:rPr>
        <w:t>rise</w:t>
      </w:r>
      <w:proofErr w:type="spellEnd"/>
      <w:r w:rsidRPr="003F7202">
        <w:rPr>
          <w:bCs/>
          <w:color w:val="auto"/>
          <w:szCs w:val="24"/>
        </w:rPr>
        <w:t xml:space="preserve"> of the new green </w:t>
      </w:r>
      <w:proofErr w:type="spellStart"/>
      <w:r w:rsidRPr="003F7202">
        <w:rPr>
          <w:bCs/>
          <w:color w:val="auto"/>
          <w:szCs w:val="24"/>
        </w:rPr>
        <w:t>revolution</w:t>
      </w:r>
      <w:proofErr w:type="spellEnd"/>
      <w:r w:rsidRPr="003F7202">
        <w:rPr>
          <w:bCs/>
          <w:color w:val="auto"/>
          <w:szCs w:val="24"/>
        </w:rPr>
        <w:t xml:space="preserve">. Quae.com. </w:t>
      </w:r>
      <w:r w:rsidR="003F7202" w:rsidRPr="003F7202">
        <w:rPr>
          <w:bCs/>
          <w:color w:val="auto"/>
          <w:szCs w:val="24"/>
        </w:rPr>
        <w:t>http://www.quae.com/fr/r4798-les-mycorhizes.html</w:t>
      </w:r>
    </w:p>
    <w:p w14:paraId="79407AE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GIANINAZZI-PEARSON V., GIANINAZZI, S. SPRINGER-VERLAG, BERLIN. (1988). </w:t>
      </w:r>
      <w:proofErr w:type="spellStart"/>
      <w:r w:rsidRPr="003F7202">
        <w:rPr>
          <w:bCs/>
          <w:color w:val="auto"/>
          <w:szCs w:val="24"/>
        </w:rPr>
        <w:t>Deutschland</w:t>
      </w:r>
      <w:proofErr w:type="spellEnd"/>
      <w:r w:rsidRPr="003F7202">
        <w:rPr>
          <w:bCs/>
          <w:color w:val="auto"/>
          <w:szCs w:val="24"/>
        </w:rPr>
        <w:t xml:space="preserve"> 73–</w:t>
      </w:r>
      <w:proofErr w:type="gramStart"/>
      <w:r w:rsidRPr="003F7202">
        <w:rPr>
          <w:bCs/>
          <w:color w:val="auto"/>
          <w:szCs w:val="24"/>
        </w:rPr>
        <w:t>84:</w:t>
      </w:r>
      <w:proofErr w:type="gramEnd"/>
      <w:r w:rsidRPr="003F7202">
        <w:rPr>
          <w:bCs/>
          <w:color w:val="auto"/>
          <w:szCs w:val="24"/>
        </w:rPr>
        <w:t xml:space="preserve"> 1460-1468.</w:t>
      </w:r>
    </w:p>
    <w:p w14:paraId="39B89B8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 xml:space="preserve">GOBAT J.M., ARAGNO M., MATTHEY W. (2003). The Living </w:t>
      </w:r>
      <w:proofErr w:type="spellStart"/>
      <w:r w:rsidRPr="003F7202">
        <w:rPr>
          <w:bCs/>
          <w:color w:val="auto"/>
          <w:szCs w:val="24"/>
        </w:rPr>
        <w:t>Soil</w:t>
      </w:r>
      <w:proofErr w:type="spellEnd"/>
      <w:r w:rsidRPr="003F7202">
        <w:rPr>
          <w:bCs/>
          <w:color w:val="auto"/>
          <w:szCs w:val="24"/>
        </w:rPr>
        <w:t>, 2nd Edition. Presses Polytechniques Universitaires Romandes, Lausanne, 568 p.</w:t>
      </w:r>
      <w:r w:rsidR="003F7202" w:rsidRPr="003F7202">
        <w:rPr>
          <w:bCs/>
          <w:color w:val="auto"/>
          <w:szCs w:val="24"/>
        </w:rPr>
        <w:t>https://www.cabidigitallibrary.org/doi/10.1079/CABICOMPENDIUM_20033067504</w:t>
      </w:r>
    </w:p>
    <w:p w14:paraId="7A347F1C" w14:textId="77777777" w:rsidR="00CA1226" w:rsidRPr="00CA1226" w:rsidRDefault="00CA1226" w:rsidP="00CA1226">
      <w:pPr>
        <w:spacing w:after="0" w:line="360" w:lineRule="auto"/>
        <w:ind w:left="0" w:firstLine="0"/>
        <w:jc w:val="both"/>
        <w:rPr>
          <w:bCs/>
          <w:color w:val="auto"/>
          <w:szCs w:val="24"/>
        </w:rPr>
      </w:pPr>
    </w:p>
    <w:p w14:paraId="4AFD3DE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HART M.M., READER R.J., KLIRONOMOS, J.N. (2003). “Plant coexistence </w:t>
      </w:r>
      <w:proofErr w:type="spellStart"/>
      <w:r w:rsidRPr="003F7202">
        <w:rPr>
          <w:bCs/>
          <w:color w:val="auto"/>
          <w:szCs w:val="24"/>
        </w:rPr>
        <w:t>mediated</w:t>
      </w:r>
      <w:proofErr w:type="spellEnd"/>
      <w:r w:rsidRPr="003F7202">
        <w:rPr>
          <w:bCs/>
          <w:color w:val="auto"/>
          <w:szCs w:val="24"/>
        </w:rPr>
        <w:t xml:space="preserve"> by </w:t>
      </w:r>
      <w:proofErr w:type="spellStart"/>
      <w:r w:rsidRPr="003F7202">
        <w:rPr>
          <w:bCs/>
          <w:color w:val="auto"/>
          <w:szCs w:val="24"/>
        </w:rPr>
        <w:t>arbuscularmycorrhizal</w:t>
      </w:r>
      <w:proofErr w:type="spellEnd"/>
      <w:r w:rsidRPr="003F7202">
        <w:rPr>
          <w:bCs/>
          <w:color w:val="auto"/>
          <w:szCs w:val="24"/>
        </w:rPr>
        <w:t xml:space="preserve"> fungi”. Trends in </w:t>
      </w:r>
      <w:proofErr w:type="spellStart"/>
      <w:r w:rsidRPr="003F7202">
        <w:rPr>
          <w:bCs/>
          <w:color w:val="auto"/>
          <w:szCs w:val="24"/>
        </w:rPr>
        <w:t>Ecology</w:t>
      </w:r>
      <w:proofErr w:type="spellEnd"/>
      <w:r w:rsidRPr="003F7202">
        <w:rPr>
          <w:bCs/>
          <w:color w:val="auto"/>
          <w:szCs w:val="24"/>
        </w:rPr>
        <w:t xml:space="preserve">, Evolution, </w:t>
      </w:r>
      <w:proofErr w:type="gramStart"/>
      <w:r w:rsidRPr="003F7202">
        <w:rPr>
          <w:bCs/>
          <w:color w:val="auto"/>
          <w:szCs w:val="24"/>
        </w:rPr>
        <w:t>18:</w:t>
      </w:r>
      <w:proofErr w:type="gramEnd"/>
      <w:r w:rsidRPr="003F7202">
        <w:rPr>
          <w:bCs/>
          <w:color w:val="auto"/>
          <w:szCs w:val="24"/>
        </w:rPr>
        <w:t xml:space="preserve"> 418-423.</w:t>
      </w:r>
      <w:r w:rsidR="003F7202" w:rsidRPr="003F7202">
        <w:rPr>
          <w:bCs/>
          <w:color w:val="auto"/>
          <w:szCs w:val="24"/>
        </w:rPr>
        <w:t>https://doi.org/10.1016/S0169-5347(03)00127-7</w:t>
      </w:r>
    </w:p>
    <w:p w14:paraId="703D5E2C" w14:textId="77777777" w:rsidR="00CA1226" w:rsidRPr="00CA1226" w:rsidRDefault="00CA1226" w:rsidP="00CA1226">
      <w:pPr>
        <w:spacing w:after="0" w:line="360" w:lineRule="auto"/>
        <w:ind w:left="0" w:firstLine="0"/>
        <w:jc w:val="both"/>
        <w:rPr>
          <w:bCs/>
          <w:color w:val="auto"/>
          <w:szCs w:val="24"/>
        </w:rPr>
      </w:pPr>
    </w:p>
    <w:p w14:paraId="7D52BD36"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HINSINGER P., (2001). </w:t>
      </w:r>
      <w:proofErr w:type="spellStart"/>
      <w:r w:rsidRPr="003F7202">
        <w:rPr>
          <w:bCs/>
          <w:color w:val="auto"/>
          <w:szCs w:val="24"/>
        </w:rPr>
        <w:t>Bioavailability</w:t>
      </w:r>
      <w:proofErr w:type="spellEnd"/>
      <w:r w:rsidRPr="003F7202">
        <w:rPr>
          <w:bCs/>
          <w:color w:val="auto"/>
          <w:szCs w:val="24"/>
        </w:rPr>
        <w:t xml:space="preserve"> of </w:t>
      </w:r>
      <w:proofErr w:type="spellStart"/>
      <w:r w:rsidRPr="003F7202">
        <w:rPr>
          <w:bCs/>
          <w:color w:val="auto"/>
          <w:szCs w:val="24"/>
        </w:rPr>
        <w:t>soilinorganic</w:t>
      </w:r>
      <w:proofErr w:type="spellEnd"/>
      <w:r w:rsidRPr="003F7202">
        <w:rPr>
          <w:bCs/>
          <w:color w:val="auto"/>
          <w:szCs w:val="24"/>
        </w:rPr>
        <w:t xml:space="preserve"> P in the </w:t>
      </w:r>
      <w:proofErr w:type="spellStart"/>
      <w:r w:rsidRPr="003F7202">
        <w:rPr>
          <w:bCs/>
          <w:color w:val="auto"/>
          <w:szCs w:val="24"/>
        </w:rPr>
        <w:t>rhizosphere</w:t>
      </w:r>
      <w:proofErr w:type="spellEnd"/>
      <w:r w:rsidRPr="003F7202">
        <w:rPr>
          <w:bCs/>
          <w:color w:val="auto"/>
          <w:szCs w:val="24"/>
        </w:rPr>
        <w:t xml:space="preserve"> as </w:t>
      </w:r>
      <w:proofErr w:type="spellStart"/>
      <w:r w:rsidRPr="003F7202">
        <w:rPr>
          <w:bCs/>
          <w:color w:val="auto"/>
          <w:szCs w:val="24"/>
        </w:rPr>
        <w:t>affected</w:t>
      </w:r>
      <w:proofErr w:type="spellEnd"/>
      <w:r w:rsidRPr="003F7202">
        <w:rPr>
          <w:bCs/>
          <w:color w:val="auto"/>
          <w:szCs w:val="24"/>
        </w:rPr>
        <w:t xml:space="preserve"> by root-</w:t>
      </w:r>
      <w:proofErr w:type="spellStart"/>
      <w:proofErr w:type="gramStart"/>
      <w:r w:rsidRPr="003F7202">
        <w:rPr>
          <w:bCs/>
          <w:color w:val="auto"/>
          <w:szCs w:val="24"/>
        </w:rPr>
        <w:t>inducedchemicalchanges</w:t>
      </w:r>
      <w:proofErr w:type="spellEnd"/>
      <w:r w:rsidRPr="003F7202">
        <w:rPr>
          <w:bCs/>
          <w:color w:val="auto"/>
          <w:szCs w:val="24"/>
        </w:rPr>
        <w:t>:</w:t>
      </w:r>
      <w:proofErr w:type="gramEnd"/>
      <w:r w:rsidRPr="003F7202">
        <w:rPr>
          <w:bCs/>
          <w:color w:val="auto"/>
          <w:szCs w:val="24"/>
        </w:rPr>
        <w:t xml:space="preserve"> A </w:t>
      </w:r>
      <w:proofErr w:type="spellStart"/>
      <w:r w:rsidRPr="003F7202">
        <w:rPr>
          <w:bCs/>
          <w:color w:val="auto"/>
          <w:szCs w:val="24"/>
        </w:rPr>
        <w:t>review</w:t>
      </w:r>
      <w:proofErr w:type="spellEnd"/>
      <w:r w:rsidRPr="003F7202">
        <w:rPr>
          <w:bCs/>
          <w:color w:val="auto"/>
          <w:szCs w:val="24"/>
        </w:rPr>
        <w:t xml:space="preserve">. Plant, </w:t>
      </w:r>
      <w:proofErr w:type="spellStart"/>
      <w:r w:rsidRPr="003F7202">
        <w:rPr>
          <w:bCs/>
          <w:color w:val="auto"/>
          <w:szCs w:val="24"/>
        </w:rPr>
        <w:t>Soil</w:t>
      </w:r>
      <w:proofErr w:type="spellEnd"/>
      <w:r w:rsidRPr="003F7202">
        <w:rPr>
          <w:bCs/>
          <w:color w:val="auto"/>
          <w:szCs w:val="24"/>
        </w:rPr>
        <w:t xml:space="preserve"> Vol. 23. </w:t>
      </w:r>
      <w:proofErr w:type="gramStart"/>
      <w:r w:rsidRPr="003F7202">
        <w:rPr>
          <w:bCs/>
          <w:color w:val="auto"/>
          <w:szCs w:val="24"/>
        </w:rPr>
        <w:t>pp:</w:t>
      </w:r>
      <w:proofErr w:type="gramEnd"/>
      <w:r w:rsidRPr="003F7202">
        <w:rPr>
          <w:bCs/>
          <w:color w:val="auto"/>
          <w:szCs w:val="24"/>
        </w:rPr>
        <w:t xml:space="preserve"> 173-195.</w:t>
      </w:r>
      <w:r w:rsidR="003F7202" w:rsidRPr="003F7202">
        <w:rPr>
          <w:bCs/>
          <w:color w:val="auto"/>
          <w:szCs w:val="24"/>
        </w:rPr>
        <w:t>https://doi.org/10.1023/A:1013351617532</w:t>
      </w:r>
    </w:p>
    <w:p w14:paraId="6A31AAF0" w14:textId="77777777" w:rsidR="00CA1226" w:rsidRPr="00CA1226" w:rsidRDefault="00CA1226" w:rsidP="00CA1226">
      <w:pPr>
        <w:spacing w:after="0" w:line="360" w:lineRule="auto"/>
        <w:ind w:left="0" w:firstLine="0"/>
        <w:jc w:val="both"/>
        <w:rPr>
          <w:bCs/>
          <w:color w:val="auto"/>
          <w:szCs w:val="24"/>
        </w:rPr>
      </w:pPr>
    </w:p>
    <w:p w14:paraId="0E77AFCD"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HUBER G. &amp; SCHAUB C. (2011). </w:t>
      </w:r>
      <w:proofErr w:type="spellStart"/>
      <w:proofErr w:type="gramStart"/>
      <w:r w:rsidRPr="003F7202">
        <w:rPr>
          <w:bCs/>
          <w:color w:val="auto"/>
          <w:szCs w:val="24"/>
        </w:rPr>
        <w:t>Soilfertility</w:t>
      </w:r>
      <w:proofErr w:type="spellEnd"/>
      <w:r w:rsidRPr="003F7202">
        <w:rPr>
          <w:bCs/>
          <w:color w:val="auto"/>
          <w:szCs w:val="24"/>
        </w:rPr>
        <w:t>:</w:t>
      </w:r>
      <w:proofErr w:type="gramEnd"/>
      <w:r w:rsidRPr="003F7202">
        <w:rPr>
          <w:bCs/>
          <w:color w:val="auto"/>
          <w:szCs w:val="24"/>
        </w:rPr>
        <w:t xml:space="preserve"> The importance of </w:t>
      </w:r>
      <w:proofErr w:type="spellStart"/>
      <w:r w:rsidRPr="003F7202">
        <w:rPr>
          <w:bCs/>
          <w:color w:val="auto"/>
          <w:szCs w:val="24"/>
        </w:rPr>
        <w:t>organicmatter</w:t>
      </w:r>
      <w:proofErr w:type="spellEnd"/>
      <w:r w:rsidRPr="003F7202">
        <w:rPr>
          <w:bCs/>
          <w:color w:val="auto"/>
          <w:szCs w:val="24"/>
        </w:rPr>
        <w:t xml:space="preserve">. </w:t>
      </w:r>
      <w:proofErr w:type="spellStart"/>
      <w:r w:rsidRPr="003F7202">
        <w:rPr>
          <w:bCs/>
          <w:color w:val="auto"/>
          <w:szCs w:val="24"/>
        </w:rPr>
        <w:t>Chamber</w:t>
      </w:r>
      <w:proofErr w:type="spellEnd"/>
      <w:r w:rsidRPr="003F7202">
        <w:rPr>
          <w:bCs/>
          <w:color w:val="auto"/>
          <w:szCs w:val="24"/>
        </w:rPr>
        <w:t xml:space="preserve"> of Agriculture of Bas-Rhin. 46 </w:t>
      </w:r>
      <w:proofErr w:type="gramStart"/>
      <w:r w:rsidRPr="003F7202">
        <w:rPr>
          <w:bCs/>
          <w:color w:val="auto"/>
          <w:szCs w:val="24"/>
        </w:rPr>
        <w:t>p.</w:t>
      </w:r>
      <w:r w:rsidR="003F7202" w:rsidRPr="003F7202">
        <w:rPr>
          <w:bCs/>
          <w:color w:val="auto"/>
          <w:szCs w:val="24"/>
        </w:rPr>
        <w:t>https://agriculture-de-conservation.com/La-fertilite-des-sols-l-importance.html</w:t>
      </w:r>
      <w:proofErr w:type="gramEnd"/>
    </w:p>
    <w:p w14:paraId="20A0138E" w14:textId="77777777" w:rsidR="00CA1226" w:rsidRPr="00CA1226" w:rsidRDefault="00CA1226" w:rsidP="00CA1226">
      <w:pPr>
        <w:spacing w:after="0" w:line="360" w:lineRule="auto"/>
        <w:ind w:left="0" w:firstLine="0"/>
        <w:jc w:val="both"/>
        <w:rPr>
          <w:bCs/>
          <w:color w:val="auto"/>
          <w:szCs w:val="24"/>
        </w:rPr>
      </w:pPr>
    </w:p>
    <w:p w14:paraId="381AFE6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ICHAOU A. (2005). </w:t>
      </w:r>
      <w:proofErr w:type="spellStart"/>
      <w:r w:rsidRPr="003F7202">
        <w:rPr>
          <w:bCs/>
          <w:color w:val="auto"/>
          <w:szCs w:val="24"/>
        </w:rPr>
        <w:t>Capitalization</w:t>
      </w:r>
      <w:proofErr w:type="spellEnd"/>
      <w:r w:rsidRPr="003F7202">
        <w:rPr>
          <w:bCs/>
          <w:color w:val="auto"/>
          <w:szCs w:val="24"/>
        </w:rPr>
        <w:t xml:space="preserve"> of </w:t>
      </w:r>
      <w:proofErr w:type="spellStart"/>
      <w:r w:rsidRPr="003F7202">
        <w:rPr>
          <w:bCs/>
          <w:color w:val="auto"/>
          <w:szCs w:val="24"/>
        </w:rPr>
        <w:t>technical</w:t>
      </w:r>
      <w:proofErr w:type="spellEnd"/>
      <w:r w:rsidRPr="003F7202">
        <w:rPr>
          <w:bCs/>
          <w:color w:val="auto"/>
          <w:szCs w:val="24"/>
        </w:rPr>
        <w:t xml:space="preserve"> and </w:t>
      </w:r>
      <w:proofErr w:type="spellStart"/>
      <w:r w:rsidRPr="003F7202">
        <w:rPr>
          <w:bCs/>
          <w:color w:val="auto"/>
          <w:szCs w:val="24"/>
        </w:rPr>
        <w:t>methodologicaltoolsdeveloped</w:t>
      </w:r>
      <w:proofErr w:type="spellEnd"/>
      <w:r w:rsidRPr="003F7202">
        <w:rPr>
          <w:bCs/>
          <w:color w:val="auto"/>
          <w:szCs w:val="24"/>
        </w:rPr>
        <w:t xml:space="preserve"> by the PAFN for the management of the main </w:t>
      </w:r>
      <w:proofErr w:type="spellStart"/>
      <w:r w:rsidRPr="003F7202">
        <w:rPr>
          <w:bCs/>
          <w:color w:val="auto"/>
          <w:szCs w:val="24"/>
        </w:rPr>
        <w:t>forest</w:t>
      </w:r>
      <w:proofErr w:type="spellEnd"/>
      <w:r w:rsidRPr="003F7202">
        <w:rPr>
          <w:bCs/>
          <w:color w:val="auto"/>
          <w:szCs w:val="24"/>
        </w:rPr>
        <w:t xml:space="preserve"> formations in Niger. Natural Forest Management Project. Ministry of </w:t>
      </w:r>
      <w:proofErr w:type="spellStart"/>
      <w:r w:rsidRPr="003F7202">
        <w:rPr>
          <w:bCs/>
          <w:color w:val="auto"/>
          <w:szCs w:val="24"/>
        </w:rPr>
        <w:t>Hydraulics</w:t>
      </w:r>
      <w:proofErr w:type="spellEnd"/>
      <w:r w:rsidRPr="003F7202">
        <w:rPr>
          <w:bCs/>
          <w:color w:val="auto"/>
          <w:szCs w:val="24"/>
        </w:rPr>
        <w:t xml:space="preserve">, </w:t>
      </w:r>
      <w:proofErr w:type="spellStart"/>
      <w:r w:rsidRPr="003F7202">
        <w:rPr>
          <w:bCs/>
          <w:color w:val="auto"/>
          <w:szCs w:val="24"/>
        </w:rPr>
        <w:t>Environment</w:t>
      </w:r>
      <w:proofErr w:type="spellEnd"/>
      <w:r w:rsidRPr="003F7202">
        <w:rPr>
          <w:bCs/>
          <w:color w:val="auto"/>
          <w:szCs w:val="24"/>
        </w:rPr>
        <w:t xml:space="preserve"> and the </w:t>
      </w:r>
      <w:proofErr w:type="spellStart"/>
      <w:r w:rsidRPr="003F7202">
        <w:rPr>
          <w:bCs/>
          <w:color w:val="auto"/>
          <w:szCs w:val="24"/>
        </w:rPr>
        <w:t>FightagainstDesertification</w:t>
      </w:r>
      <w:proofErr w:type="spellEnd"/>
      <w:r w:rsidRPr="003F7202">
        <w:rPr>
          <w:bCs/>
          <w:color w:val="auto"/>
          <w:szCs w:val="24"/>
        </w:rPr>
        <w:t xml:space="preserve"> of </w:t>
      </w:r>
      <w:proofErr w:type="gramStart"/>
      <w:r w:rsidRPr="003F7202">
        <w:rPr>
          <w:bCs/>
          <w:color w:val="auto"/>
          <w:szCs w:val="24"/>
        </w:rPr>
        <w:t>Niger:</w:t>
      </w:r>
      <w:proofErr w:type="gramEnd"/>
      <w:r w:rsidRPr="003F7202">
        <w:rPr>
          <w:bCs/>
          <w:color w:val="auto"/>
          <w:szCs w:val="24"/>
        </w:rPr>
        <w:t xml:space="preserve"> Niger; 1-56.</w:t>
      </w:r>
    </w:p>
    <w:p w14:paraId="7E9DE098" w14:textId="77777777" w:rsidR="00CA1226" w:rsidRPr="00CA1226" w:rsidRDefault="00CA1226" w:rsidP="00CA1226">
      <w:pPr>
        <w:spacing w:after="0" w:line="360" w:lineRule="auto"/>
        <w:ind w:left="0" w:firstLine="0"/>
        <w:jc w:val="both"/>
        <w:rPr>
          <w:bCs/>
          <w:color w:val="auto"/>
          <w:szCs w:val="24"/>
        </w:rPr>
      </w:pPr>
    </w:p>
    <w:p w14:paraId="09BE361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MOUSSA M. B., RABIOU H., INOUSSA M. M., BAKASSO Y. &amp; MAHAMANE A. (2015). “Bio-</w:t>
      </w:r>
      <w:proofErr w:type="spellStart"/>
      <w:r w:rsidRPr="003F7202">
        <w:rPr>
          <w:bCs/>
          <w:color w:val="auto"/>
          <w:szCs w:val="24"/>
        </w:rPr>
        <w:t>indicators</w:t>
      </w:r>
      <w:proofErr w:type="spellEnd"/>
      <w:r w:rsidRPr="003F7202">
        <w:rPr>
          <w:bCs/>
          <w:color w:val="auto"/>
          <w:szCs w:val="24"/>
        </w:rPr>
        <w:t xml:space="preserve"> of </w:t>
      </w:r>
      <w:proofErr w:type="spellStart"/>
      <w:r w:rsidRPr="003F7202">
        <w:rPr>
          <w:bCs/>
          <w:color w:val="auto"/>
          <w:szCs w:val="24"/>
        </w:rPr>
        <w:t>soilfertility</w:t>
      </w:r>
      <w:proofErr w:type="spellEnd"/>
      <w:r w:rsidRPr="003F7202">
        <w:rPr>
          <w:bCs/>
          <w:color w:val="auto"/>
          <w:szCs w:val="24"/>
        </w:rPr>
        <w:t xml:space="preserve"> and </w:t>
      </w:r>
      <w:proofErr w:type="spellStart"/>
      <w:r w:rsidRPr="003F7202">
        <w:rPr>
          <w:bCs/>
          <w:color w:val="auto"/>
          <w:szCs w:val="24"/>
        </w:rPr>
        <w:t>farmers</w:t>
      </w:r>
      <w:proofErr w:type="spellEnd"/>
      <w:r w:rsidRPr="003F7202">
        <w:rPr>
          <w:bCs/>
          <w:color w:val="auto"/>
          <w:szCs w:val="24"/>
        </w:rPr>
        <w:t xml:space="preserve">' perception in Western Niger”. Journal of </w:t>
      </w:r>
      <w:proofErr w:type="spellStart"/>
      <w:r w:rsidRPr="003F7202">
        <w:rPr>
          <w:bCs/>
          <w:color w:val="auto"/>
          <w:szCs w:val="24"/>
        </w:rPr>
        <w:t>Applied</w:t>
      </w:r>
      <w:proofErr w:type="spellEnd"/>
      <w:r w:rsidRPr="003F7202">
        <w:rPr>
          <w:bCs/>
          <w:color w:val="auto"/>
          <w:szCs w:val="24"/>
        </w:rPr>
        <w:t xml:space="preserve"> Biosciences. </w:t>
      </w:r>
      <w:proofErr w:type="gramStart"/>
      <w:r w:rsidRPr="003F7202">
        <w:rPr>
          <w:bCs/>
          <w:color w:val="auto"/>
          <w:szCs w:val="24"/>
        </w:rPr>
        <w:t>vol</w:t>
      </w:r>
      <w:proofErr w:type="gramEnd"/>
      <w:r w:rsidRPr="003F7202">
        <w:rPr>
          <w:bCs/>
          <w:color w:val="auto"/>
          <w:szCs w:val="24"/>
        </w:rPr>
        <w:t xml:space="preserve"> 89. </w:t>
      </w:r>
      <w:proofErr w:type="gramStart"/>
      <w:r w:rsidRPr="003F7202">
        <w:rPr>
          <w:bCs/>
          <w:color w:val="auto"/>
          <w:szCs w:val="24"/>
        </w:rPr>
        <w:t>pp:</w:t>
      </w:r>
      <w:proofErr w:type="gramEnd"/>
      <w:r w:rsidRPr="003F7202">
        <w:rPr>
          <w:bCs/>
          <w:color w:val="auto"/>
          <w:szCs w:val="24"/>
        </w:rPr>
        <w:t xml:space="preserve"> 8281 – 8290.</w:t>
      </w:r>
      <w:r w:rsidR="003F7202" w:rsidRPr="003F7202">
        <w:rPr>
          <w:bCs/>
          <w:color w:val="auto"/>
          <w:szCs w:val="24"/>
        </w:rPr>
        <w:t>https://doi.org/10.4314/jab.v89i1.3</w:t>
      </w:r>
    </w:p>
    <w:p w14:paraId="612E92A2" w14:textId="77777777" w:rsidR="00CA1226" w:rsidRPr="00CA1226" w:rsidRDefault="00CA1226" w:rsidP="00CA1226">
      <w:pPr>
        <w:spacing w:after="0" w:line="360" w:lineRule="auto"/>
        <w:ind w:left="0" w:firstLine="0"/>
        <w:jc w:val="both"/>
        <w:rPr>
          <w:bCs/>
          <w:color w:val="auto"/>
          <w:szCs w:val="24"/>
        </w:rPr>
      </w:pPr>
    </w:p>
    <w:p w14:paraId="52BC2F1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BOUBACAR M. M., INOUSSA M. M., AMBOUTA K. J.-M., MAHAMANE A., JORGEN A. A., HARISSOU Y. &amp; RABIOU H. (2013). “</w:t>
      </w:r>
      <w:proofErr w:type="spellStart"/>
      <w:r w:rsidRPr="003F7202">
        <w:rPr>
          <w:bCs/>
          <w:color w:val="auto"/>
          <w:szCs w:val="24"/>
        </w:rPr>
        <w:t>Characterization</w:t>
      </w:r>
      <w:proofErr w:type="spellEnd"/>
      <w:r w:rsidRPr="003F7202">
        <w:rPr>
          <w:bCs/>
          <w:color w:val="auto"/>
          <w:szCs w:val="24"/>
        </w:rPr>
        <w:t xml:space="preserve"> of </w:t>
      </w:r>
      <w:proofErr w:type="spellStart"/>
      <w:r w:rsidRPr="003F7202">
        <w:rPr>
          <w:bCs/>
          <w:color w:val="auto"/>
          <w:szCs w:val="24"/>
        </w:rPr>
        <w:t>woodyvegetation</w:t>
      </w:r>
      <w:proofErr w:type="spellEnd"/>
      <w:r w:rsidRPr="003F7202">
        <w:rPr>
          <w:bCs/>
          <w:color w:val="auto"/>
          <w:szCs w:val="24"/>
        </w:rPr>
        <w:t xml:space="preserve"> and surface </w:t>
      </w:r>
      <w:proofErr w:type="spellStart"/>
      <w:r w:rsidRPr="003F7202">
        <w:rPr>
          <w:bCs/>
          <w:color w:val="auto"/>
          <w:szCs w:val="24"/>
        </w:rPr>
        <w:t>crustorganizations</w:t>
      </w:r>
      <w:proofErr w:type="spellEnd"/>
      <w:r w:rsidRPr="003F7202">
        <w:rPr>
          <w:bCs/>
          <w:color w:val="auto"/>
          <w:szCs w:val="24"/>
        </w:rPr>
        <w:t xml:space="preserve"> of </w:t>
      </w:r>
      <w:proofErr w:type="spellStart"/>
      <w:r w:rsidRPr="003F7202">
        <w:rPr>
          <w:bCs/>
          <w:color w:val="auto"/>
          <w:szCs w:val="24"/>
        </w:rPr>
        <w:t>agroecosystems</w:t>
      </w:r>
      <w:proofErr w:type="spellEnd"/>
      <w:r w:rsidRPr="003F7202">
        <w:rPr>
          <w:bCs/>
          <w:color w:val="auto"/>
          <w:szCs w:val="24"/>
        </w:rPr>
        <w:t xml:space="preserve"> at </w:t>
      </w:r>
      <w:proofErr w:type="spellStart"/>
      <w:r w:rsidRPr="003F7202">
        <w:rPr>
          <w:bCs/>
          <w:color w:val="auto"/>
          <w:szCs w:val="24"/>
        </w:rPr>
        <w:t>different</w:t>
      </w:r>
      <w:proofErr w:type="spellEnd"/>
      <w:r w:rsidRPr="003F7202">
        <w:rPr>
          <w:bCs/>
          <w:color w:val="auto"/>
          <w:szCs w:val="24"/>
        </w:rPr>
        <w:t xml:space="preserve"> stages of </w:t>
      </w:r>
      <w:proofErr w:type="spellStart"/>
      <w:r w:rsidRPr="003F7202">
        <w:rPr>
          <w:bCs/>
          <w:color w:val="auto"/>
          <w:szCs w:val="24"/>
        </w:rPr>
        <w:t>degradation</w:t>
      </w:r>
      <w:proofErr w:type="spellEnd"/>
      <w:r w:rsidRPr="003F7202">
        <w:rPr>
          <w:bCs/>
          <w:color w:val="auto"/>
          <w:szCs w:val="24"/>
        </w:rPr>
        <w:t xml:space="preserve"> in the rural commune of </w:t>
      </w:r>
      <w:proofErr w:type="spellStart"/>
      <w:r w:rsidRPr="003F7202">
        <w:rPr>
          <w:bCs/>
          <w:color w:val="auto"/>
          <w:szCs w:val="24"/>
        </w:rPr>
        <w:t>Simiri</w:t>
      </w:r>
      <w:proofErr w:type="spellEnd"/>
      <w:r w:rsidRPr="003F7202">
        <w:rPr>
          <w:bCs/>
          <w:color w:val="auto"/>
          <w:szCs w:val="24"/>
        </w:rPr>
        <w:t xml:space="preserve">”. Int. J. Biol. </w:t>
      </w:r>
      <w:proofErr w:type="spellStart"/>
      <w:r w:rsidRPr="003F7202">
        <w:rPr>
          <w:bCs/>
          <w:color w:val="auto"/>
          <w:szCs w:val="24"/>
        </w:rPr>
        <w:t>Chem</w:t>
      </w:r>
      <w:proofErr w:type="spellEnd"/>
      <w:r w:rsidRPr="003F7202">
        <w:rPr>
          <w:bCs/>
          <w:color w:val="auto"/>
          <w:szCs w:val="24"/>
        </w:rPr>
        <w:t xml:space="preserve">. </w:t>
      </w:r>
      <w:proofErr w:type="spellStart"/>
      <w:r w:rsidRPr="003F7202">
        <w:rPr>
          <w:bCs/>
          <w:color w:val="auto"/>
          <w:szCs w:val="24"/>
        </w:rPr>
        <w:t>Sci</w:t>
      </w:r>
      <w:proofErr w:type="spellEnd"/>
      <w:r w:rsidRPr="003F7202">
        <w:rPr>
          <w:bCs/>
          <w:color w:val="auto"/>
          <w:szCs w:val="24"/>
        </w:rPr>
        <w:t>., 7 (5) 1963 – 1975</w:t>
      </w:r>
      <w:r w:rsidR="003F7202" w:rsidRPr="003F7202">
        <w:rPr>
          <w:bCs/>
          <w:color w:val="auto"/>
          <w:szCs w:val="24"/>
        </w:rPr>
        <w:t>https://doi.org/10.4314/ijbcs.v7i5.15</w:t>
      </w:r>
    </w:p>
    <w:p w14:paraId="18683258" w14:textId="77777777" w:rsidR="00CA1226" w:rsidRPr="00CA1226" w:rsidRDefault="00CA1226" w:rsidP="00CA1226">
      <w:pPr>
        <w:spacing w:after="0" w:line="360" w:lineRule="auto"/>
        <w:ind w:left="0" w:firstLine="0"/>
        <w:jc w:val="both"/>
        <w:rPr>
          <w:bCs/>
          <w:color w:val="auto"/>
          <w:szCs w:val="24"/>
        </w:rPr>
      </w:pPr>
    </w:p>
    <w:p w14:paraId="70602665"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 xml:space="preserve">INS (2012), National Institute of </w:t>
      </w:r>
      <w:proofErr w:type="spellStart"/>
      <w:r w:rsidRPr="003F7202">
        <w:rPr>
          <w:bCs/>
          <w:color w:val="auto"/>
          <w:szCs w:val="24"/>
        </w:rPr>
        <w:t>Statistics</w:t>
      </w:r>
      <w:proofErr w:type="spellEnd"/>
      <w:r w:rsidRPr="003F7202">
        <w:rPr>
          <w:bCs/>
          <w:color w:val="auto"/>
          <w:szCs w:val="24"/>
        </w:rPr>
        <w:t xml:space="preserve">, "Niger in </w:t>
      </w:r>
      <w:proofErr w:type="spellStart"/>
      <w:proofErr w:type="gramStart"/>
      <w:r w:rsidRPr="003F7202">
        <w:rPr>
          <w:bCs/>
          <w:color w:val="auto"/>
          <w:szCs w:val="24"/>
        </w:rPr>
        <w:t>figures:demographic</w:t>
      </w:r>
      <w:proofErr w:type="spellEnd"/>
      <w:proofErr w:type="gramEnd"/>
      <w:r w:rsidRPr="003F7202">
        <w:rPr>
          <w:bCs/>
          <w:color w:val="auto"/>
          <w:szCs w:val="24"/>
        </w:rPr>
        <w:t xml:space="preserve"> data". JACOBSON K.M. (1997). </w:t>
      </w:r>
      <w:proofErr w:type="spellStart"/>
      <w:r w:rsidRPr="003F7202">
        <w:rPr>
          <w:bCs/>
          <w:color w:val="auto"/>
          <w:szCs w:val="24"/>
        </w:rPr>
        <w:t>Moisture</w:t>
      </w:r>
      <w:proofErr w:type="spellEnd"/>
      <w:r w:rsidRPr="003F7202">
        <w:rPr>
          <w:bCs/>
          <w:color w:val="auto"/>
          <w:szCs w:val="24"/>
        </w:rPr>
        <w:t xml:space="preserve"> and </w:t>
      </w:r>
      <w:proofErr w:type="spellStart"/>
      <w:r w:rsidRPr="003F7202">
        <w:rPr>
          <w:bCs/>
          <w:color w:val="auto"/>
          <w:szCs w:val="24"/>
        </w:rPr>
        <w:t>substratestabilitydetermine</w:t>
      </w:r>
      <w:proofErr w:type="spellEnd"/>
      <w:r w:rsidRPr="003F7202">
        <w:rPr>
          <w:bCs/>
          <w:color w:val="auto"/>
          <w:szCs w:val="24"/>
        </w:rPr>
        <w:t xml:space="preserve"> VA </w:t>
      </w:r>
      <w:proofErr w:type="spellStart"/>
      <w:r w:rsidRPr="003F7202">
        <w:rPr>
          <w:bCs/>
          <w:color w:val="auto"/>
          <w:szCs w:val="24"/>
        </w:rPr>
        <w:t>mycorrhizalfungalcommunity</w:t>
      </w:r>
      <w:proofErr w:type="spellEnd"/>
      <w:r w:rsidRPr="003F7202">
        <w:rPr>
          <w:bCs/>
          <w:color w:val="auto"/>
          <w:szCs w:val="24"/>
        </w:rPr>
        <w:t xml:space="preserve"> distribution and structure in </w:t>
      </w:r>
      <w:proofErr w:type="spellStart"/>
      <w:r w:rsidRPr="003F7202">
        <w:rPr>
          <w:bCs/>
          <w:color w:val="auto"/>
          <w:szCs w:val="24"/>
        </w:rPr>
        <w:t>aridgrassland</w:t>
      </w:r>
      <w:proofErr w:type="spellEnd"/>
      <w:r w:rsidRPr="003F7202">
        <w:rPr>
          <w:bCs/>
          <w:color w:val="auto"/>
          <w:szCs w:val="24"/>
        </w:rPr>
        <w:t xml:space="preserve">. J. </w:t>
      </w:r>
      <w:proofErr w:type="spellStart"/>
      <w:r w:rsidRPr="003F7202">
        <w:rPr>
          <w:bCs/>
          <w:color w:val="auto"/>
          <w:szCs w:val="24"/>
        </w:rPr>
        <w:t>Arid</w:t>
      </w:r>
      <w:proofErr w:type="spellEnd"/>
      <w:r w:rsidRPr="003F7202">
        <w:rPr>
          <w:bCs/>
          <w:color w:val="auto"/>
          <w:szCs w:val="24"/>
        </w:rPr>
        <w:t xml:space="preserve"> Environ., 35 59–75.</w:t>
      </w:r>
    </w:p>
    <w:p w14:paraId="33ADD505" w14:textId="77777777" w:rsidR="00CA1226" w:rsidRPr="00CA1226" w:rsidRDefault="00CA1226" w:rsidP="00CA1226">
      <w:pPr>
        <w:spacing w:after="0" w:line="360" w:lineRule="auto"/>
        <w:ind w:left="0" w:firstLine="0"/>
        <w:jc w:val="both"/>
        <w:rPr>
          <w:bCs/>
          <w:color w:val="auto"/>
          <w:szCs w:val="24"/>
        </w:rPr>
      </w:pPr>
    </w:p>
    <w:p w14:paraId="2ED2030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JANSEN P.C.M., (2004). </w:t>
      </w:r>
      <w:proofErr w:type="spellStart"/>
      <w:r w:rsidRPr="003F7202">
        <w:rPr>
          <w:bCs/>
          <w:color w:val="auto"/>
          <w:szCs w:val="24"/>
        </w:rPr>
        <w:t>Leptadeniahastata</w:t>
      </w:r>
      <w:proofErr w:type="spellEnd"/>
      <w:r w:rsidRPr="003F7202">
        <w:rPr>
          <w:bCs/>
          <w:color w:val="auto"/>
          <w:szCs w:val="24"/>
        </w:rPr>
        <w:t xml:space="preserve"> (Pers.) </w:t>
      </w:r>
      <w:proofErr w:type="spellStart"/>
      <w:r w:rsidRPr="003F7202">
        <w:rPr>
          <w:bCs/>
          <w:color w:val="auto"/>
          <w:szCs w:val="24"/>
        </w:rPr>
        <w:t>Decne</w:t>
      </w:r>
      <w:proofErr w:type="spellEnd"/>
      <w:r w:rsidRPr="003F7202">
        <w:rPr>
          <w:bCs/>
          <w:color w:val="auto"/>
          <w:szCs w:val="24"/>
        </w:rPr>
        <w:t xml:space="preserve">. </w:t>
      </w:r>
      <w:proofErr w:type="spellStart"/>
      <w:proofErr w:type="gramStart"/>
      <w:r w:rsidRPr="003F7202">
        <w:rPr>
          <w:bCs/>
          <w:color w:val="auto"/>
          <w:szCs w:val="24"/>
        </w:rPr>
        <w:t>In:Grubben</w:t>
      </w:r>
      <w:proofErr w:type="spellEnd"/>
      <w:proofErr w:type="gramEnd"/>
      <w:r w:rsidRPr="003F7202">
        <w:rPr>
          <w:bCs/>
          <w:color w:val="auto"/>
          <w:szCs w:val="24"/>
        </w:rPr>
        <w:t xml:space="preserve">, G.J.H. Denton, O.A. (Editors). PROTA </w:t>
      </w:r>
      <w:proofErr w:type="gramStart"/>
      <w:r w:rsidRPr="003F7202">
        <w:rPr>
          <w:bCs/>
          <w:color w:val="auto"/>
          <w:szCs w:val="24"/>
        </w:rPr>
        <w:t>2:Vegetables</w:t>
      </w:r>
      <w:proofErr w:type="gramEnd"/>
      <w:r w:rsidRPr="003F7202">
        <w:rPr>
          <w:bCs/>
          <w:color w:val="auto"/>
          <w:szCs w:val="24"/>
        </w:rPr>
        <w:t>. [CD-Rom]. PROTA, Wageningen, Netherlands.</w:t>
      </w:r>
      <w:r w:rsidR="003F7202" w:rsidRPr="003F7202">
        <w:rPr>
          <w:bCs/>
          <w:color w:val="auto"/>
          <w:szCs w:val="24"/>
        </w:rPr>
        <w:t>https://uses.plantnet-project.org/en/Leptadenia_hastata_(PROTA)</w:t>
      </w:r>
    </w:p>
    <w:p w14:paraId="49CBC238" w14:textId="77777777" w:rsidR="00CA1226" w:rsidRPr="00CA1226" w:rsidRDefault="00CA1226" w:rsidP="00CA1226">
      <w:pPr>
        <w:spacing w:after="0" w:line="360" w:lineRule="auto"/>
        <w:ind w:left="0" w:firstLine="0"/>
        <w:jc w:val="both"/>
        <w:rPr>
          <w:bCs/>
          <w:color w:val="auto"/>
          <w:szCs w:val="24"/>
        </w:rPr>
      </w:pPr>
    </w:p>
    <w:p w14:paraId="28E6B689"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KAWA R. (2000). Trials on the propagation of L. </w:t>
      </w:r>
      <w:proofErr w:type="spellStart"/>
      <w:r w:rsidRPr="003F7202">
        <w:rPr>
          <w:bCs/>
          <w:color w:val="auto"/>
          <w:szCs w:val="24"/>
        </w:rPr>
        <w:t>hastata</w:t>
      </w:r>
      <w:proofErr w:type="spellEnd"/>
      <w:r w:rsidRPr="003F7202">
        <w:rPr>
          <w:bCs/>
          <w:color w:val="auto"/>
          <w:szCs w:val="24"/>
        </w:rPr>
        <w:t xml:space="preserve"> in </w:t>
      </w:r>
      <w:proofErr w:type="gramStart"/>
      <w:r w:rsidRPr="003F7202">
        <w:rPr>
          <w:bCs/>
          <w:color w:val="auto"/>
          <w:szCs w:val="24"/>
        </w:rPr>
        <w:t>a</w:t>
      </w:r>
      <w:proofErr w:type="gramEnd"/>
      <w:r w:rsidRPr="003F7202">
        <w:rPr>
          <w:bCs/>
          <w:color w:val="auto"/>
          <w:szCs w:val="24"/>
        </w:rPr>
        <w:t xml:space="preserve"> nursery, </w:t>
      </w:r>
      <w:proofErr w:type="spellStart"/>
      <w:r w:rsidRPr="003F7202">
        <w:rPr>
          <w:bCs/>
          <w:color w:val="auto"/>
          <w:szCs w:val="24"/>
        </w:rPr>
        <w:t>Experimental</w:t>
      </w:r>
      <w:proofErr w:type="spellEnd"/>
      <w:r w:rsidRPr="003F7202">
        <w:rPr>
          <w:bCs/>
          <w:color w:val="auto"/>
          <w:szCs w:val="24"/>
        </w:rPr>
        <w:t xml:space="preserve"> report, National Institute of </w:t>
      </w:r>
      <w:proofErr w:type="spellStart"/>
      <w:r w:rsidRPr="003F7202">
        <w:rPr>
          <w:bCs/>
          <w:color w:val="auto"/>
          <w:szCs w:val="24"/>
        </w:rPr>
        <w:t>AgronomicResearch</w:t>
      </w:r>
      <w:proofErr w:type="spellEnd"/>
      <w:r w:rsidRPr="003F7202">
        <w:rPr>
          <w:bCs/>
          <w:color w:val="auto"/>
          <w:szCs w:val="24"/>
        </w:rPr>
        <w:t xml:space="preserve"> of Niger, 10 p.</w:t>
      </w:r>
    </w:p>
    <w:p w14:paraId="35F57798" w14:textId="77777777" w:rsidR="00CA1226" w:rsidRPr="00CA1226" w:rsidRDefault="00CA1226" w:rsidP="00CA1226">
      <w:pPr>
        <w:spacing w:after="0" w:line="360" w:lineRule="auto"/>
        <w:ind w:left="0" w:firstLine="0"/>
        <w:jc w:val="both"/>
        <w:rPr>
          <w:bCs/>
          <w:color w:val="auto"/>
          <w:szCs w:val="24"/>
        </w:rPr>
      </w:pPr>
    </w:p>
    <w:p w14:paraId="24F9C32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LAGRANGE A. (2009). "</w:t>
      </w:r>
      <w:proofErr w:type="spellStart"/>
      <w:r w:rsidRPr="003F7202">
        <w:rPr>
          <w:bCs/>
          <w:color w:val="auto"/>
          <w:szCs w:val="24"/>
        </w:rPr>
        <w:t>Ecological</w:t>
      </w:r>
      <w:proofErr w:type="spellEnd"/>
      <w:r w:rsidRPr="003F7202">
        <w:rPr>
          <w:bCs/>
          <w:color w:val="auto"/>
          <w:szCs w:val="24"/>
        </w:rPr>
        <w:t xml:space="preserve"> and </w:t>
      </w:r>
      <w:proofErr w:type="spellStart"/>
      <w:r w:rsidRPr="003F7202">
        <w:rPr>
          <w:bCs/>
          <w:color w:val="auto"/>
          <w:szCs w:val="24"/>
        </w:rPr>
        <w:t>microbiologicalstudies</w:t>
      </w:r>
      <w:proofErr w:type="spellEnd"/>
      <w:r w:rsidRPr="003F7202">
        <w:rPr>
          <w:bCs/>
          <w:color w:val="auto"/>
          <w:szCs w:val="24"/>
        </w:rPr>
        <w:t xml:space="preserve"> of </w:t>
      </w:r>
      <w:proofErr w:type="spellStart"/>
      <w:r w:rsidRPr="003F7202">
        <w:rPr>
          <w:bCs/>
          <w:color w:val="auto"/>
          <w:szCs w:val="24"/>
        </w:rPr>
        <w:t>species</w:t>
      </w:r>
      <w:proofErr w:type="spellEnd"/>
      <w:r w:rsidRPr="003F7202">
        <w:rPr>
          <w:bCs/>
          <w:color w:val="auto"/>
          <w:szCs w:val="24"/>
        </w:rPr>
        <w:t xml:space="preserve"> of the </w:t>
      </w:r>
      <w:proofErr w:type="spellStart"/>
      <w:r w:rsidRPr="003F7202">
        <w:rPr>
          <w:bCs/>
          <w:color w:val="auto"/>
          <w:szCs w:val="24"/>
        </w:rPr>
        <w:t>genusCostularia</w:t>
      </w:r>
      <w:proofErr w:type="spellEnd"/>
      <w:r w:rsidRPr="003F7202">
        <w:rPr>
          <w:bCs/>
          <w:color w:val="auto"/>
          <w:szCs w:val="24"/>
        </w:rPr>
        <w:t xml:space="preserve"> (</w:t>
      </w:r>
      <w:proofErr w:type="spellStart"/>
      <w:r w:rsidRPr="003F7202">
        <w:rPr>
          <w:bCs/>
          <w:color w:val="auto"/>
          <w:szCs w:val="24"/>
        </w:rPr>
        <w:t>Cyperaceae</w:t>
      </w:r>
      <w:proofErr w:type="spellEnd"/>
      <w:r w:rsidRPr="003F7202">
        <w:rPr>
          <w:bCs/>
          <w:color w:val="auto"/>
          <w:szCs w:val="24"/>
        </w:rPr>
        <w:t xml:space="preserve">) </w:t>
      </w:r>
      <w:proofErr w:type="spellStart"/>
      <w:r w:rsidRPr="003F7202">
        <w:rPr>
          <w:bCs/>
          <w:color w:val="auto"/>
          <w:szCs w:val="24"/>
        </w:rPr>
        <w:t>pioneeringultramaficsoils</w:t>
      </w:r>
      <w:proofErr w:type="spellEnd"/>
      <w:r w:rsidRPr="003F7202">
        <w:rPr>
          <w:bCs/>
          <w:color w:val="auto"/>
          <w:szCs w:val="24"/>
        </w:rPr>
        <w:t xml:space="preserve"> of New </w:t>
      </w:r>
      <w:proofErr w:type="gramStart"/>
      <w:r w:rsidRPr="003F7202">
        <w:rPr>
          <w:bCs/>
          <w:color w:val="auto"/>
          <w:szCs w:val="24"/>
        </w:rPr>
        <w:t>Caledonia:</w:t>
      </w:r>
      <w:proofErr w:type="gramEnd"/>
      <w:r w:rsidRPr="003F7202">
        <w:rPr>
          <w:bCs/>
          <w:color w:val="auto"/>
          <w:szCs w:val="24"/>
        </w:rPr>
        <w:t xml:space="preserve"> applications to </w:t>
      </w:r>
      <w:proofErr w:type="spellStart"/>
      <w:r w:rsidRPr="003F7202">
        <w:rPr>
          <w:bCs/>
          <w:color w:val="auto"/>
          <w:szCs w:val="24"/>
        </w:rPr>
        <w:t>ecologicalrestoration</w:t>
      </w:r>
      <w:proofErr w:type="spellEnd"/>
      <w:r w:rsidRPr="003F7202">
        <w:rPr>
          <w:bCs/>
          <w:color w:val="auto"/>
          <w:szCs w:val="24"/>
        </w:rPr>
        <w:t xml:space="preserve">". </w:t>
      </w:r>
      <w:proofErr w:type="spellStart"/>
      <w:r w:rsidRPr="003F7202">
        <w:rPr>
          <w:bCs/>
          <w:color w:val="auto"/>
          <w:szCs w:val="24"/>
        </w:rPr>
        <w:t>University</w:t>
      </w:r>
      <w:proofErr w:type="spellEnd"/>
      <w:r w:rsidRPr="003F7202">
        <w:rPr>
          <w:bCs/>
          <w:color w:val="auto"/>
          <w:szCs w:val="24"/>
        </w:rPr>
        <w:t xml:space="preserve"> of New Caledonia</w:t>
      </w:r>
      <w:r w:rsidR="003F7202" w:rsidRPr="003F7202">
        <w:rPr>
          <w:bCs/>
          <w:color w:val="auto"/>
          <w:szCs w:val="24"/>
        </w:rPr>
        <w:t>https://www.theses.fr/2009NCAL0001</w:t>
      </w:r>
    </w:p>
    <w:p w14:paraId="1CC1A80F" w14:textId="77777777" w:rsidR="00CA1226" w:rsidRPr="00CA1226" w:rsidRDefault="00CA1226" w:rsidP="00CA1226">
      <w:pPr>
        <w:spacing w:after="0" w:line="360" w:lineRule="auto"/>
        <w:ind w:left="0" w:firstLine="0"/>
        <w:jc w:val="both"/>
        <w:rPr>
          <w:bCs/>
          <w:color w:val="auto"/>
          <w:szCs w:val="24"/>
        </w:rPr>
      </w:pPr>
    </w:p>
    <w:p w14:paraId="4C5913F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LAMBERS H., RAVEN, J.A., SHAVER, G.R, SMITH, S.E. (2008). “Plant </w:t>
      </w:r>
      <w:proofErr w:type="spellStart"/>
      <w:r w:rsidRPr="003F7202">
        <w:rPr>
          <w:bCs/>
          <w:color w:val="auto"/>
          <w:szCs w:val="24"/>
        </w:rPr>
        <w:t>nutrient</w:t>
      </w:r>
      <w:proofErr w:type="spellEnd"/>
      <w:r w:rsidRPr="003F7202">
        <w:rPr>
          <w:bCs/>
          <w:color w:val="auto"/>
          <w:szCs w:val="24"/>
        </w:rPr>
        <w:t xml:space="preserve">-acquisition </w:t>
      </w:r>
      <w:proofErr w:type="spellStart"/>
      <w:r w:rsidRPr="003F7202">
        <w:rPr>
          <w:bCs/>
          <w:color w:val="auto"/>
          <w:szCs w:val="24"/>
        </w:rPr>
        <w:t>strategies</w:t>
      </w:r>
      <w:proofErr w:type="spellEnd"/>
      <w:r w:rsidRPr="003F7202">
        <w:rPr>
          <w:bCs/>
          <w:color w:val="auto"/>
          <w:szCs w:val="24"/>
        </w:rPr>
        <w:t xml:space="preserve"> change </w:t>
      </w:r>
      <w:proofErr w:type="spellStart"/>
      <w:r w:rsidRPr="003F7202">
        <w:rPr>
          <w:bCs/>
          <w:color w:val="auto"/>
          <w:szCs w:val="24"/>
        </w:rPr>
        <w:t>withsoilage</w:t>
      </w:r>
      <w:proofErr w:type="spellEnd"/>
      <w:r w:rsidRPr="003F7202">
        <w:rPr>
          <w:bCs/>
          <w:color w:val="auto"/>
          <w:szCs w:val="24"/>
        </w:rPr>
        <w:t xml:space="preserve">”. Trends in </w:t>
      </w:r>
      <w:proofErr w:type="spellStart"/>
      <w:r w:rsidRPr="003F7202">
        <w:rPr>
          <w:bCs/>
          <w:color w:val="auto"/>
          <w:szCs w:val="24"/>
        </w:rPr>
        <w:t>Ecology</w:t>
      </w:r>
      <w:proofErr w:type="spellEnd"/>
      <w:r w:rsidRPr="003F7202">
        <w:rPr>
          <w:bCs/>
          <w:color w:val="auto"/>
          <w:szCs w:val="24"/>
        </w:rPr>
        <w:t xml:space="preserve">, Evolution, Vol .23. </w:t>
      </w:r>
      <w:proofErr w:type="gramStart"/>
      <w:r w:rsidRPr="003F7202">
        <w:rPr>
          <w:bCs/>
          <w:color w:val="auto"/>
          <w:szCs w:val="24"/>
        </w:rPr>
        <w:t>pp:</w:t>
      </w:r>
      <w:proofErr w:type="gramEnd"/>
      <w:r w:rsidRPr="003F7202">
        <w:rPr>
          <w:bCs/>
          <w:color w:val="auto"/>
          <w:szCs w:val="24"/>
        </w:rPr>
        <w:t xml:space="preserve"> 95-103 New </w:t>
      </w:r>
      <w:proofErr w:type="spellStart"/>
      <w:r w:rsidRPr="003F7202">
        <w:rPr>
          <w:bCs/>
          <w:color w:val="auto"/>
          <w:szCs w:val="24"/>
        </w:rPr>
        <w:t>Phytologist</w:t>
      </w:r>
      <w:proofErr w:type="spellEnd"/>
      <w:r w:rsidRPr="003F7202">
        <w:rPr>
          <w:bCs/>
          <w:color w:val="auto"/>
          <w:szCs w:val="24"/>
        </w:rPr>
        <w:t>, 171: 41-53</w:t>
      </w:r>
      <w:r w:rsidR="003F7202" w:rsidRPr="003F7202">
        <w:rPr>
          <w:bCs/>
          <w:color w:val="auto"/>
          <w:szCs w:val="24"/>
        </w:rPr>
        <w:t>https://doi.org/10.1016/j.tree.2007.10.008</w:t>
      </w:r>
    </w:p>
    <w:p w14:paraId="105F3C94" w14:textId="77777777" w:rsidR="00CA1226" w:rsidRPr="00CA1226" w:rsidRDefault="00CA1226" w:rsidP="00CA1226">
      <w:pPr>
        <w:spacing w:after="0" w:line="360" w:lineRule="auto"/>
        <w:ind w:left="0" w:firstLine="0"/>
        <w:jc w:val="both"/>
        <w:rPr>
          <w:bCs/>
          <w:color w:val="auto"/>
          <w:szCs w:val="24"/>
        </w:rPr>
      </w:pPr>
    </w:p>
    <w:p w14:paraId="30A3B170"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LANDEWEERT R., HOFFLAND E., FINLAY R.D., KUYPER T.W, VAN BREEMEN N. (2001). “</w:t>
      </w:r>
      <w:proofErr w:type="spellStart"/>
      <w:r w:rsidRPr="003F7202">
        <w:rPr>
          <w:bCs/>
          <w:color w:val="auto"/>
          <w:szCs w:val="24"/>
        </w:rPr>
        <w:t>Linking</w:t>
      </w:r>
      <w:proofErr w:type="spellEnd"/>
      <w:r w:rsidRPr="003F7202">
        <w:rPr>
          <w:bCs/>
          <w:color w:val="auto"/>
          <w:szCs w:val="24"/>
        </w:rPr>
        <w:t xml:space="preserve"> plant to </w:t>
      </w:r>
      <w:proofErr w:type="spellStart"/>
      <w:proofErr w:type="gramStart"/>
      <w:r w:rsidRPr="003F7202">
        <w:rPr>
          <w:bCs/>
          <w:color w:val="auto"/>
          <w:szCs w:val="24"/>
        </w:rPr>
        <w:t>rocks:ectomycorrhizal</w:t>
      </w:r>
      <w:proofErr w:type="spellEnd"/>
      <w:proofErr w:type="gramEnd"/>
      <w:r w:rsidRPr="003F7202">
        <w:rPr>
          <w:bCs/>
          <w:color w:val="auto"/>
          <w:szCs w:val="24"/>
        </w:rPr>
        <w:t xml:space="preserve"> fungi </w:t>
      </w:r>
      <w:proofErr w:type="spellStart"/>
      <w:r w:rsidRPr="003F7202">
        <w:rPr>
          <w:bCs/>
          <w:color w:val="auto"/>
          <w:szCs w:val="24"/>
        </w:rPr>
        <w:t>mobilizenutrientsfromminerals</w:t>
      </w:r>
      <w:proofErr w:type="spellEnd"/>
      <w:r w:rsidRPr="003F7202">
        <w:rPr>
          <w:bCs/>
          <w:color w:val="auto"/>
          <w:szCs w:val="24"/>
        </w:rPr>
        <w:t xml:space="preserve">”. Trends in </w:t>
      </w:r>
      <w:proofErr w:type="spellStart"/>
      <w:r w:rsidRPr="003F7202">
        <w:rPr>
          <w:bCs/>
          <w:color w:val="auto"/>
          <w:szCs w:val="24"/>
        </w:rPr>
        <w:t>Ecology</w:t>
      </w:r>
      <w:proofErr w:type="spellEnd"/>
      <w:r w:rsidRPr="003F7202">
        <w:rPr>
          <w:bCs/>
          <w:color w:val="auto"/>
          <w:szCs w:val="24"/>
        </w:rPr>
        <w:t xml:space="preserve">, Evolution, Vol.16. </w:t>
      </w:r>
      <w:proofErr w:type="gramStart"/>
      <w:r w:rsidRPr="003F7202">
        <w:rPr>
          <w:bCs/>
          <w:color w:val="auto"/>
          <w:szCs w:val="24"/>
        </w:rPr>
        <w:t>pp:</w:t>
      </w:r>
      <w:proofErr w:type="gramEnd"/>
      <w:r w:rsidRPr="003F7202">
        <w:rPr>
          <w:bCs/>
          <w:color w:val="auto"/>
          <w:szCs w:val="24"/>
        </w:rPr>
        <w:t xml:space="preserve"> 248-255.</w:t>
      </w:r>
      <w:r w:rsidR="003F7202" w:rsidRPr="003F7202">
        <w:rPr>
          <w:bCs/>
          <w:color w:val="auto"/>
          <w:szCs w:val="24"/>
        </w:rPr>
        <w:t>https://doi.org/10.1016/S0169-5347(01)02122-X</w:t>
      </w:r>
    </w:p>
    <w:p w14:paraId="12DAEDF5" w14:textId="77777777" w:rsidR="00CA1226" w:rsidRPr="00CA1226" w:rsidRDefault="00CA1226" w:rsidP="00CA1226">
      <w:pPr>
        <w:spacing w:after="0" w:line="360" w:lineRule="auto"/>
        <w:ind w:left="0" w:firstLine="0"/>
        <w:jc w:val="both"/>
        <w:rPr>
          <w:bCs/>
          <w:color w:val="auto"/>
          <w:szCs w:val="24"/>
        </w:rPr>
      </w:pPr>
    </w:p>
    <w:p w14:paraId="73E7826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LARWANOU M, ABDOULAYE M, REIJ C. (2006). « Le Etude de la Régénération Naturelle Assistée dans la Région de Zinder (Niger) une Première Exploration d’un Phénomène Spectaculaire ». United States Agency for International </w:t>
      </w:r>
      <w:proofErr w:type="spellStart"/>
      <w:r w:rsidRPr="003F7202">
        <w:rPr>
          <w:bCs/>
          <w:color w:val="auto"/>
          <w:szCs w:val="24"/>
        </w:rPr>
        <w:t>Development</w:t>
      </w:r>
      <w:proofErr w:type="spellEnd"/>
      <w:r w:rsidRPr="003F7202">
        <w:rPr>
          <w:bCs/>
          <w:color w:val="auto"/>
          <w:szCs w:val="24"/>
        </w:rPr>
        <w:t xml:space="preserve">, USAID/EGAT, https://www.formad-environnement.org/RNA_Zinder_USAID, 56 </w:t>
      </w:r>
      <w:proofErr w:type="spellStart"/>
      <w:proofErr w:type="gramStart"/>
      <w:r w:rsidRPr="003F7202">
        <w:rPr>
          <w:bCs/>
          <w:color w:val="auto"/>
          <w:szCs w:val="24"/>
        </w:rPr>
        <w:t>p.</w:t>
      </w:r>
      <w:r w:rsidR="003F7202" w:rsidRPr="003F7202">
        <w:rPr>
          <w:bCs/>
          <w:color w:val="auto"/>
          <w:szCs w:val="24"/>
        </w:rPr>
        <w:t>https</w:t>
      </w:r>
      <w:proofErr w:type="spellEnd"/>
      <w:r w:rsidR="003F7202" w:rsidRPr="003F7202">
        <w:rPr>
          <w:bCs/>
          <w:color w:val="auto"/>
          <w:szCs w:val="24"/>
        </w:rPr>
        <w:t>://www.formad-environnement.org/RNA_Zinder_USAID</w:t>
      </w:r>
      <w:proofErr w:type="gramEnd"/>
    </w:p>
    <w:p w14:paraId="1383992B" w14:textId="77777777" w:rsidR="00CA1226" w:rsidRPr="00CA1226" w:rsidRDefault="00CA1226" w:rsidP="00CA1226">
      <w:pPr>
        <w:spacing w:after="0" w:line="360" w:lineRule="auto"/>
        <w:ind w:left="0" w:firstLine="0"/>
        <w:jc w:val="both"/>
        <w:rPr>
          <w:bCs/>
          <w:color w:val="auto"/>
          <w:szCs w:val="24"/>
        </w:rPr>
      </w:pPr>
    </w:p>
    <w:p w14:paraId="3A97CCF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LOVELOCK C.E., WRIGHT S.F., CLARK D., A RUESSR W. (2004). “</w:t>
      </w:r>
      <w:proofErr w:type="spellStart"/>
      <w:r w:rsidRPr="003F7202">
        <w:rPr>
          <w:bCs/>
          <w:color w:val="auto"/>
          <w:szCs w:val="24"/>
        </w:rPr>
        <w:t>Soil</w:t>
      </w:r>
      <w:proofErr w:type="spellEnd"/>
      <w:r w:rsidRPr="003F7202">
        <w:rPr>
          <w:bCs/>
          <w:color w:val="auto"/>
          <w:szCs w:val="24"/>
        </w:rPr>
        <w:t xml:space="preserve"> stocks of </w:t>
      </w:r>
      <w:proofErr w:type="spellStart"/>
      <w:r w:rsidRPr="003F7202">
        <w:rPr>
          <w:bCs/>
          <w:color w:val="auto"/>
          <w:szCs w:val="24"/>
        </w:rPr>
        <w:t>glomalinproduced</w:t>
      </w:r>
      <w:proofErr w:type="spellEnd"/>
      <w:r w:rsidRPr="003F7202">
        <w:rPr>
          <w:bCs/>
          <w:color w:val="auto"/>
          <w:szCs w:val="24"/>
        </w:rPr>
        <w:t xml:space="preserve"> by </w:t>
      </w:r>
      <w:proofErr w:type="spellStart"/>
      <w:r w:rsidRPr="003F7202">
        <w:rPr>
          <w:bCs/>
          <w:color w:val="auto"/>
          <w:szCs w:val="24"/>
        </w:rPr>
        <w:t>arbuscularmycorrhizal</w:t>
      </w:r>
      <w:proofErr w:type="spellEnd"/>
      <w:r w:rsidRPr="003F7202">
        <w:rPr>
          <w:bCs/>
          <w:color w:val="auto"/>
          <w:szCs w:val="24"/>
        </w:rPr>
        <w:t xml:space="preserve"> fungi </w:t>
      </w:r>
      <w:proofErr w:type="spellStart"/>
      <w:r w:rsidRPr="003F7202">
        <w:rPr>
          <w:bCs/>
          <w:color w:val="auto"/>
          <w:szCs w:val="24"/>
        </w:rPr>
        <w:t>across</w:t>
      </w:r>
      <w:proofErr w:type="spellEnd"/>
      <w:r w:rsidRPr="003F7202">
        <w:rPr>
          <w:bCs/>
          <w:color w:val="auto"/>
          <w:szCs w:val="24"/>
        </w:rPr>
        <w:t xml:space="preserve"> a tropical </w:t>
      </w:r>
      <w:proofErr w:type="spellStart"/>
      <w:r w:rsidRPr="003F7202">
        <w:rPr>
          <w:bCs/>
          <w:color w:val="auto"/>
          <w:szCs w:val="24"/>
        </w:rPr>
        <w:t>rainforestlandscape</w:t>
      </w:r>
      <w:proofErr w:type="spellEnd"/>
      <w:r w:rsidRPr="003F7202">
        <w:rPr>
          <w:bCs/>
          <w:color w:val="auto"/>
          <w:szCs w:val="24"/>
        </w:rPr>
        <w:t xml:space="preserve">”. Journal of </w:t>
      </w:r>
      <w:proofErr w:type="spellStart"/>
      <w:r w:rsidRPr="003F7202">
        <w:rPr>
          <w:bCs/>
          <w:color w:val="auto"/>
          <w:szCs w:val="24"/>
        </w:rPr>
        <w:t>Ecology</w:t>
      </w:r>
      <w:proofErr w:type="spellEnd"/>
      <w:r w:rsidRPr="003F7202">
        <w:rPr>
          <w:bCs/>
          <w:color w:val="auto"/>
          <w:szCs w:val="24"/>
        </w:rPr>
        <w:t xml:space="preserve">, Vol. 92. </w:t>
      </w:r>
      <w:proofErr w:type="gramStart"/>
      <w:r w:rsidRPr="003F7202">
        <w:rPr>
          <w:bCs/>
          <w:color w:val="auto"/>
          <w:szCs w:val="24"/>
        </w:rPr>
        <w:t>pp:</w:t>
      </w:r>
      <w:proofErr w:type="gramEnd"/>
      <w:r w:rsidRPr="003F7202">
        <w:rPr>
          <w:bCs/>
          <w:color w:val="auto"/>
          <w:szCs w:val="24"/>
        </w:rPr>
        <w:t xml:space="preserve"> 278-287.</w:t>
      </w:r>
      <w:r w:rsidR="003F7202" w:rsidRPr="003F7202">
        <w:rPr>
          <w:bCs/>
          <w:color w:val="auto"/>
          <w:szCs w:val="24"/>
        </w:rPr>
        <w:t>https://doi.org/10.1111/j.0022-0477.2004.00855.x</w:t>
      </w:r>
    </w:p>
    <w:p w14:paraId="6C9F8229" w14:textId="77777777" w:rsidR="00CA1226" w:rsidRPr="00CA1226" w:rsidRDefault="00CA1226" w:rsidP="00CA1226">
      <w:pPr>
        <w:spacing w:after="0" w:line="360" w:lineRule="auto"/>
        <w:ind w:left="0" w:firstLine="0"/>
        <w:jc w:val="both"/>
        <w:rPr>
          <w:bCs/>
          <w:color w:val="auto"/>
          <w:szCs w:val="24"/>
        </w:rPr>
      </w:pPr>
    </w:p>
    <w:p w14:paraId="3E515BF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MATHIEU C, PIELTAIN F. (2003). </w:t>
      </w:r>
      <w:proofErr w:type="spellStart"/>
      <w:r w:rsidRPr="003F7202">
        <w:rPr>
          <w:bCs/>
          <w:color w:val="auto"/>
          <w:szCs w:val="24"/>
        </w:rPr>
        <w:t>Analyze</w:t>
      </w:r>
      <w:proofErr w:type="spellEnd"/>
      <w:r w:rsidRPr="003F7202">
        <w:rPr>
          <w:bCs/>
          <w:color w:val="auto"/>
          <w:szCs w:val="24"/>
        </w:rPr>
        <w:t xml:space="preserve"> Chemistry of Sols. TEC. &amp; DOC ; 387p.</w:t>
      </w:r>
      <w:r w:rsidR="003F7202" w:rsidRPr="003F7202">
        <w:rPr>
          <w:bCs/>
          <w:color w:val="auto"/>
          <w:szCs w:val="24"/>
        </w:rPr>
        <w:t>https://www.eyrolles.com/Sciences/Livre/analyse-chimique-des-sols-9782743006204</w:t>
      </w:r>
    </w:p>
    <w:p w14:paraId="52415942" w14:textId="77777777" w:rsidR="00CA1226" w:rsidRPr="00CA1226" w:rsidRDefault="00CA1226" w:rsidP="00CA1226">
      <w:pPr>
        <w:spacing w:after="0" w:line="360" w:lineRule="auto"/>
        <w:ind w:left="0" w:firstLine="0"/>
        <w:jc w:val="both"/>
        <w:rPr>
          <w:bCs/>
          <w:color w:val="auto"/>
          <w:szCs w:val="24"/>
        </w:rPr>
      </w:pPr>
    </w:p>
    <w:p w14:paraId="300A2CF8"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MEDDICH A., AIT EL MOKHTAR .</w:t>
      </w:r>
      <w:proofErr w:type="gramStart"/>
      <w:r w:rsidRPr="003F7202">
        <w:rPr>
          <w:bCs/>
          <w:color w:val="auto"/>
          <w:szCs w:val="24"/>
        </w:rPr>
        <w:t>M .</w:t>
      </w:r>
      <w:proofErr w:type="gramEnd"/>
      <w:r w:rsidRPr="003F7202">
        <w:rPr>
          <w:bCs/>
          <w:color w:val="auto"/>
          <w:szCs w:val="24"/>
        </w:rPr>
        <w:t xml:space="preserve">, WAHBI., S, BOUMEZZOUGH A. (2017). </w:t>
      </w:r>
      <w:proofErr w:type="gramStart"/>
      <w:r w:rsidRPr="003F7202">
        <w:rPr>
          <w:bCs/>
          <w:color w:val="auto"/>
          <w:szCs w:val="24"/>
        </w:rPr>
        <w:t>«Evaluation</w:t>
      </w:r>
      <w:proofErr w:type="gramEnd"/>
      <w:r w:rsidRPr="003F7202">
        <w:rPr>
          <w:bCs/>
          <w:color w:val="auto"/>
          <w:szCs w:val="24"/>
        </w:rPr>
        <w:t xml:space="preserve"> of the </w:t>
      </w:r>
      <w:proofErr w:type="spellStart"/>
      <w:r w:rsidRPr="003F7202">
        <w:rPr>
          <w:bCs/>
          <w:color w:val="auto"/>
          <w:szCs w:val="24"/>
        </w:rPr>
        <w:t>potential</w:t>
      </w:r>
      <w:proofErr w:type="spellEnd"/>
      <w:r w:rsidRPr="003F7202">
        <w:rPr>
          <w:bCs/>
          <w:color w:val="auto"/>
          <w:szCs w:val="24"/>
        </w:rPr>
        <w:t xml:space="preserve"> of </w:t>
      </w:r>
      <w:proofErr w:type="spellStart"/>
      <w:r w:rsidRPr="003F7202">
        <w:rPr>
          <w:bCs/>
          <w:color w:val="auto"/>
          <w:szCs w:val="24"/>
        </w:rPr>
        <w:t>mycorhizogènes</w:t>
      </w:r>
      <w:proofErr w:type="spellEnd"/>
      <w:r w:rsidRPr="003F7202">
        <w:rPr>
          <w:bCs/>
          <w:color w:val="auto"/>
          <w:szCs w:val="24"/>
        </w:rPr>
        <w:t xml:space="preserve"> in line </w:t>
      </w:r>
      <w:proofErr w:type="spellStart"/>
      <w:r w:rsidRPr="003F7202">
        <w:rPr>
          <w:bCs/>
          <w:color w:val="auto"/>
          <w:szCs w:val="24"/>
        </w:rPr>
        <w:t>with</w:t>
      </w:r>
      <w:proofErr w:type="spellEnd"/>
      <w:r w:rsidRPr="003F7202">
        <w:rPr>
          <w:bCs/>
          <w:color w:val="auto"/>
          <w:szCs w:val="24"/>
        </w:rPr>
        <w:t xml:space="preserve"> the physico-</w:t>
      </w:r>
      <w:proofErr w:type="spellStart"/>
      <w:r w:rsidRPr="003F7202">
        <w:rPr>
          <w:bCs/>
          <w:color w:val="auto"/>
          <w:szCs w:val="24"/>
        </w:rPr>
        <w:t>chemicalparameters</w:t>
      </w:r>
      <w:proofErr w:type="spellEnd"/>
      <w:r w:rsidRPr="003F7202">
        <w:rPr>
          <w:bCs/>
          <w:color w:val="auto"/>
          <w:szCs w:val="24"/>
        </w:rPr>
        <w:t xml:space="preserve"> of the palm </w:t>
      </w:r>
      <w:proofErr w:type="spellStart"/>
      <w:r w:rsidRPr="003F7202">
        <w:rPr>
          <w:bCs/>
          <w:color w:val="auto"/>
          <w:szCs w:val="24"/>
        </w:rPr>
        <w:t>trees</w:t>
      </w:r>
      <w:proofErr w:type="spellEnd"/>
      <w:r w:rsidRPr="003F7202">
        <w:rPr>
          <w:bCs/>
          <w:color w:val="auto"/>
          <w:szCs w:val="24"/>
        </w:rPr>
        <w:t xml:space="preserve"> of Morocco (Marrakech and Tafilalet)». </w:t>
      </w:r>
      <w:proofErr w:type="spellStart"/>
      <w:r w:rsidRPr="003F7202">
        <w:rPr>
          <w:bCs/>
          <w:color w:val="auto"/>
          <w:szCs w:val="24"/>
        </w:rPr>
        <w:t>Cah</w:t>
      </w:r>
      <w:proofErr w:type="spellEnd"/>
      <w:r w:rsidRPr="003F7202">
        <w:rPr>
          <w:bCs/>
          <w:color w:val="auto"/>
          <w:szCs w:val="24"/>
        </w:rPr>
        <w:t xml:space="preserve">. </w:t>
      </w:r>
      <w:proofErr w:type="spellStart"/>
      <w:r w:rsidRPr="003F7202">
        <w:rPr>
          <w:bCs/>
          <w:color w:val="auto"/>
          <w:szCs w:val="24"/>
        </w:rPr>
        <w:t>Agric</w:t>
      </w:r>
      <w:proofErr w:type="spellEnd"/>
      <w:r w:rsidRPr="003F7202">
        <w:rPr>
          <w:bCs/>
          <w:color w:val="auto"/>
          <w:szCs w:val="24"/>
        </w:rPr>
        <w:t xml:space="preserve">. Vol. </w:t>
      </w:r>
      <w:proofErr w:type="gramStart"/>
      <w:r w:rsidRPr="003F7202">
        <w:rPr>
          <w:bCs/>
          <w:color w:val="auto"/>
          <w:szCs w:val="24"/>
        </w:rPr>
        <w:t>26:</w:t>
      </w:r>
      <w:proofErr w:type="gramEnd"/>
      <w:r w:rsidRPr="003F7202">
        <w:rPr>
          <w:bCs/>
          <w:color w:val="auto"/>
          <w:szCs w:val="24"/>
        </w:rPr>
        <w:t xml:space="preserve"> 45012</w:t>
      </w:r>
      <w:r w:rsidR="003F7202" w:rsidRPr="003F7202">
        <w:rPr>
          <w:bCs/>
          <w:color w:val="auto"/>
          <w:szCs w:val="24"/>
        </w:rPr>
        <w:t>https://doi.org/10.1051/</w:t>
      </w:r>
      <w:proofErr w:type="spellStart"/>
      <w:r w:rsidR="003F7202" w:rsidRPr="003F7202">
        <w:rPr>
          <w:bCs/>
          <w:color w:val="auto"/>
          <w:szCs w:val="24"/>
        </w:rPr>
        <w:t>cagri</w:t>
      </w:r>
      <w:proofErr w:type="spellEnd"/>
      <w:r w:rsidR="003F7202" w:rsidRPr="003F7202">
        <w:rPr>
          <w:bCs/>
          <w:color w:val="auto"/>
          <w:szCs w:val="24"/>
        </w:rPr>
        <w:t>/2017044</w:t>
      </w:r>
    </w:p>
    <w:p w14:paraId="116BE077" w14:textId="77777777" w:rsidR="00CA1226" w:rsidRPr="00CA1226" w:rsidRDefault="00CA1226" w:rsidP="00CA1226">
      <w:pPr>
        <w:spacing w:after="0" w:line="360" w:lineRule="auto"/>
        <w:ind w:left="0" w:firstLine="0"/>
        <w:jc w:val="both"/>
        <w:rPr>
          <w:bCs/>
          <w:color w:val="auto"/>
          <w:szCs w:val="24"/>
        </w:rPr>
      </w:pPr>
    </w:p>
    <w:p w14:paraId="728EFBC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JAITI F., BOURZIK W., EL </w:t>
      </w:r>
      <w:proofErr w:type="gramStart"/>
      <w:r w:rsidRPr="003F7202">
        <w:rPr>
          <w:bCs/>
          <w:color w:val="auto"/>
          <w:szCs w:val="24"/>
        </w:rPr>
        <w:t>ASLI .</w:t>
      </w:r>
      <w:proofErr w:type="gramEnd"/>
      <w:r w:rsidRPr="003F7202">
        <w:rPr>
          <w:bCs/>
          <w:color w:val="auto"/>
          <w:szCs w:val="24"/>
        </w:rPr>
        <w:t xml:space="preserve">, A. HAFIDI M. (2015a). Ski </w:t>
      </w:r>
      <w:proofErr w:type="spellStart"/>
      <w:r w:rsidRPr="003F7202">
        <w:rPr>
          <w:bCs/>
          <w:color w:val="auto"/>
          <w:szCs w:val="24"/>
        </w:rPr>
        <w:t>Horti</w:t>
      </w:r>
      <w:proofErr w:type="spellEnd"/>
      <w:r w:rsidRPr="003F7202">
        <w:rPr>
          <w:bCs/>
          <w:color w:val="auto"/>
          <w:szCs w:val="24"/>
        </w:rPr>
        <w:t xml:space="preserve">. Vol. 192 </w:t>
      </w:r>
      <w:proofErr w:type="gramStart"/>
      <w:r w:rsidRPr="003F7202">
        <w:rPr>
          <w:bCs/>
          <w:color w:val="auto"/>
          <w:szCs w:val="24"/>
        </w:rPr>
        <w:t>pp:</w:t>
      </w:r>
      <w:proofErr w:type="gramEnd"/>
      <w:r w:rsidRPr="003F7202">
        <w:rPr>
          <w:bCs/>
          <w:color w:val="auto"/>
          <w:szCs w:val="24"/>
        </w:rPr>
        <w:t xml:space="preserve"> 468-474.</w:t>
      </w:r>
      <w:r w:rsidR="003F7202" w:rsidRPr="003F7202">
        <w:rPr>
          <w:bCs/>
          <w:color w:val="auto"/>
          <w:szCs w:val="24"/>
        </w:rPr>
        <w:t>https://doi.org/10.1016/j.scienta.2015.06.024</w:t>
      </w:r>
    </w:p>
    <w:p w14:paraId="725F3872" w14:textId="77777777" w:rsidR="00CA1226" w:rsidRPr="00CA1226" w:rsidRDefault="00CA1226" w:rsidP="00CA1226">
      <w:pPr>
        <w:spacing w:after="0" w:line="360" w:lineRule="auto"/>
        <w:ind w:left="0" w:firstLine="0"/>
        <w:jc w:val="both"/>
        <w:rPr>
          <w:bCs/>
          <w:color w:val="auto"/>
          <w:szCs w:val="24"/>
        </w:rPr>
      </w:pPr>
    </w:p>
    <w:p w14:paraId="4A055E2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OIHABI A., JAITI F., BOURZIK W., HAFIDI M. (2015b). Can. J. </w:t>
      </w:r>
      <w:proofErr w:type="gramStart"/>
      <w:r w:rsidRPr="003F7202">
        <w:rPr>
          <w:bCs/>
          <w:color w:val="auto"/>
          <w:szCs w:val="24"/>
        </w:rPr>
        <w:t>Bot .</w:t>
      </w:r>
      <w:proofErr w:type="gramEnd"/>
      <w:r w:rsidRPr="003F7202">
        <w:rPr>
          <w:bCs/>
          <w:color w:val="auto"/>
          <w:szCs w:val="24"/>
        </w:rPr>
        <w:t xml:space="preserve">V. 93. </w:t>
      </w:r>
      <w:proofErr w:type="gramStart"/>
      <w:r w:rsidRPr="003F7202">
        <w:rPr>
          <w:bCs/>
          <w:color w:val="auto"/>
          <w:szCs w:val="24"/>
        </w:rPr>
        <w:t>pp:</w:t>
      </w:r>
      <w:proofErr w:type="gramEnd"/>
      <w:r w:rsidRPr="003F7202">
        <w:rPr>
          <w:bCs/>
          <w:color w:val="auto"/>
          <w:szCs w:val="24"/>
        </w:rPr>
        <w:t xml:space="preserve"> 369-377</w:t>
      </w:r>
      <w:r w:rsidR="003F7202" w:rsidRPr="003F7202">
        <w:rPr>
          <w:bCs/>
          <w:color w:val="auto"/>
          <w:szCs w:val="24"/>
        </w:rPr>
        <w:t>https://doi.org/10.1139/cjb-2014-0249</w:t>
      </w:r>
    </w:p>
    <w:p w14:paraId="4AFAF2C9"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OIHABI A., ABBAS Y., BIZID E. (2000). </w:t>
      </w:r>
      <w:proofErr w:type="spellStart"/>
      <w:r w:rsidRPr="003F7202">
        <w:rPr>
          <w:bCs/>
          <w:color w:val="auto"/>
          <w:szCs w:val="24"/>
        </w:rPr>
        <w:t>Agronomy</w:t>
      </w:r>
      <w:proofErr w:type="spellEnd"/>
      <w:r w:rsidRPr="003F7202">
        <w:rPr>
          <w:bCs/>
          <w:color w:val="auto"/>
          <w:szCs w:val="24"/>
        </w:rPr>
        <w:t xml:space="preserve">, Vol. 20. </w:t>
      </w:r>
      <w:proofErr w:type="gramStart"/>
      <w:r w:rsidRPr="003F7202">
        <w:rPr>
          <w:bCs/>
          <w:color w:val="auto"/>
          <w:szCs w:val="24"/>
        </w:rPr>
        <w:t>pp:</w:t>
      </w:r>
      <w:proofErr w:type="gramEnd"/>
      <w:r w:rsidRPr="003F7202">
        <w:rPr>
          <w:bCs/>
          <w:color w:val="auto"/>
          <w:szCs w:val="24"/>
        </w:rPr>
        <w:t xml:space="preserve"> 283-295.</w:t>
      </w:r>
      <w:r w:rsidR="003F7202" w:rsidRPr="003F7202">
        <w:rPr>
          <w:bCs/>
          <w:color w:val="auto"/>
          <w:szCs w:val="24"/>
        </w:rPr>
        <w:t>https://doi.org/10.1051/agro:2000103</w:t>
      </w:r>
    </w:p>
    <w:p w14:paraId="1840EE5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MOUSSA M. B., RABIOU M « Management of </w:t>
      </w:r>
      <w:proofErr w:type="spellStart"/>
      <w:r w:rsidRPr="003F7202">
        <w:rPr>
          <w:bCs/>
          <w:color w:val="auto"/>
          <w:szCs w:val="24"/>
        </w:rPr>
        <w:t>fertility</w:t>
      </w:r>
      <w:proofErr w:type="spellEnd"/>
      <w:r w:rsidRPr="003F7202">
        <w:rPr>
          <w:bCs/>
          <w:color w:val="auto"/>
          <w:szCs w:val="24"/>
        </w:rPr>
        <w:t xml:space="preserve"> of the </w:t>
      </w:r>
      <w:proofErr w:type="spellStart"/>
      <w:r w:rsidRPr="003F7202">
        <w:rPr>
          <w:bCs/>
          <w:color w:val="auto"/>
          <w:szCs w:val="24"/>
        </w:rPr>
        <w:t>sun</w:t>
      </w:r>
      <w:proofErr w:type="spellEnd"/>
      <w:r w:rsidRPr="003F7202">
        <w:rPr>
          <w:bCs/>
          <w:color w:val="auto"/>
          <w:szCs w:val="24"/>
        </w:rPr>
        <w:t xml:space="preserve"> » Université Abdou </w:t>
      </w:r>
      <w:proofErr w:type="spellStart"/>
      <w:r w:rsidRPr="003F7202">
        <w:rPr>
          <w:bCs/>
          <w:color w:val="auto"/>
          <w:szCs w:val="24"/>
        </w:rPr>
        <w:t>Moumouni</w:t>
      </w:r>
      <w:proofErr w:type="spellEnd"/>
      <w:r w:rsidRPr="003F7202">
        <w:rPr>
          <w:bCs/>
          <w:color w:val="auto"/>
          <w:szCs w:val="24"/>
        </w:rPr>
        <w:t xml:space="preserve"> de Niamey/ FA. 56 P</w:t>
      </w:r>
    </w:p>
    <w:p w14:paraId="0E03AFCF" w14:textId="77777777" w:rsidR="00CA1226" w:rsidRPr="00CA1226" w:rsidRDefault="00CA1226" w:rsidP="00CA1226">
      <w:pPr>
        <w:spacing w:after="0" w:line="360" w:lineRule="auto"/>
        <w:ind w:left="0" w:firstLine="0"/>
        <w:jc w:val="both"/>
        <w:rPr>
          <w:bCs/>
          <w:color w:val="auto"/>
          <w:szCs w:val="24"/>
        </w:rPr>
      </w:pPr>
    </w:p>
    <w:p w14:paraId="3E7C60E1"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NOUHOU KOUTCHA M, (2016). “</w:t>
      </w:r>
      <w:proofErr w:type="spellStart"/>
      <w:r w:rsidRPr="003F7202">
        <w:rPr>
          <w:bCs/>
          <w:color w:val="auto"/>
          <w:szCs w:val="24"/>
        </w:rPr>
        <w:t>Hydrological</w:t>
      </w:r>
      <w:proofErr w:type="spellEnd"/>
      <w:r w:rsidRPr="003F7202">
        <w:rPr>
          <w:bCs/>
          <w:color w:val="auto"/>
          <w:szCs w:val="24"/>
        </w:rPr>
        <w:t xml:space="preserve"> modeling of </w:t>
      </w:r>
      <w:proofErr w:type="spellStart"/>
      <w:r w:rsidRPr="003F7202">
        <w:rPr>
          <w:bCs/>
          <w:color w:val="auto"/>
          <w:szCs w:val="24"/>
        </w:rPr>
        <w:t>zaïplanting</w:t>
      </w:r>
      <w:proofErr w:type="spellEnd"/>
      <w:r w:rsidRPr="003F7202">
        <w:rPr>
          <w:bCs/>
          <w:color w:val="auto"/>
          <w:szCs w:val="24"/>
        </w:rPr>
        <w:t xml:space="preserve"> pit for </w:t>
      </w:r>
      <w:proofErr w:type="spellStart"/>
      <w:r w:rsidRPr="003F7202">
        <w:rPr>
          <w:bCs/>
          <w:color w:val="auto"/>
          <w:szCs w:val="24"/>
        </w:rPr>
        <w:t>rainwaterharvesting</w:t>
      </w:r>
      <w:proofErr w:type="spellEnd"/>
      <w:r w:rsidRPr="003F7202">
        <w:rPr>
          <w:bCs/>
          <w:color w:val="auto"/>
          <w:szCs w:val="24"/>
        </w:rPr>
        <w:t xml:space="preserve"> in </w:t>
      </w:r>
      <w:proofErr w:type="spellStart"/>
      <w:r w:rsidRPr="003F7202">
        <w:rPr>
          <w:bCs/>
          <w:color w:val="auto"/>
          <w:szCs w:val="24"/>
        </w:rPr>
        <w:t>agroforestryschemes</w:t>
      </w:r>
      <w:proofErr w:type="spellEnd"/>
      <w:r w:rsidRPr="003F7202">
        <w:rPr>
          <w:bCs/>
          <w:color w:val="auto"/>
          <w:szCs w:val="24"/>
        </w:rPr>
        <w:t xml:space="preserve"> for </w:t>
      </w:r>
      <w:proofErr w:type="spellStart"/>
      <w:r w:rsidRPr="003F7202">
        <w:rPr>
          <w:bCs/>
          <w:color w:val="auto"/>
          <w:szCs w:val="24"/>
        </w:rPr>
        <w:t>schemes</w:t>
      </w:r>
      <w:proofErr w:type="spellEnd"/>
      <w:r w:rsidRPr="003F7202">
        <w:rPr>
          <w:bCs/>
          <w:color w:val="auto"/>
          <w:szCs w:val="24"/>
        </w:rPr>
        <w:t xml:space="preserve"> for </w:t>
      </w:r>
      <w:proofErr w:type="spellStart"/>
      <w:r w:rsidRPr="003F7202">
        <w:rPr>
          <w:bCs/>
          <w:color w:val="auto"/>
          <w:szCs w:val="24"/>
        </w:rPr>
        <w:t>climate</w:t>
      </w:r>
      <w:proofErr w:type="spellEnd"/>
      <w:r w:rsidRPr="003F7202">
        <w:rPr>
          <w:bCs/>
          <w:color w:val="auto"/>
          <w:szCs w:val="24"/>
        </w:rPr>
        <w:t xml:space="preserve"> change adaptation in the </w:t>
      </w:r>
      <w:proofErr w:type="spellStart"/>
      <w:r w:rsidRPr="003F7202">
        <w:rPr>
          <w:bCs/>
          <w:color w:val="auto"/>
          <w:szCs w:val="24"/>
        </w:rPr>
        <w:t>Sudano-Sahelian</w:t>
      </w:r>
      <w:proofErr w:type="spellEnd"/>
      <w:r w:rsidRPr="003F7202">
        <w:rPr>
          <w:bCs/>
          <w:color w:val="auto"/>
          <w:szCs w:val="24"/>
        </w:rPr>
        <w:t xml:space="preserve"> Zone of Niger”. Kwame </w:t>
      </w:r>
      <w:proofErr w:type="spellStart"/>
      <w:r w:rsidRPr="003F7202">
        <w:rPr>
          <w:bCs/>
          <w:color w:val="auto"/>
          <w:szCs w:val="24"/>
        </w:rPr>
        <w:t>NkkrumahUniversity</w:t>
      </w:r>
      <w:proofErr w:type="spellEnd"/>
      <w:r w:rsidRPr="003F7202">
        <w:rPr>
          <w:bCs/>
          <w:color w:val="auto"/>
          <w:szCs w:val="24"/>
        </w:rPr>
        <w:t xml:space="preserve"> of Science and </w:t>
      </w:r>
      <w:proofErr w:type="spellStart"/>
      <w:r w:rsidRPr="003F7202">
        <w:rPr>
          <w:bCs/>
          <w:color w:val="auto"/>
          <w:szCs w:val="24"/>
        </w:rPr>
        <w:t>Technology</w:t>
      </w:r>
      <w:proofErr w:type="spellEnd"/>
      <w:r w:rsidRPr="003F7202">
        <w:rPr>
          <w:bCs/>
          <w:color w:val="auto"/>
          <w:szCs w:val="24"/>
        </w:rPr>
        <w:t xml:space="preserve">, Kumasi, </w:t>
      </w:r>
      <w:proofErr w:type="spellStart"/>
      <w:r w:rsidRPr="003F7202">
        <w:rPr>
          <w:bCs/>
          <w:color w:val="auto"/>
          <w:szCs w:val="24"/>
        </w:rPr>
        <w:t>Ghana.</w:t>
      </w:r>
      <w:r w:rsidR="003F7202" w:rsidRPr="003F7202">
        <w:rPr>
          <w:bCs/>
          <w:color w:val="auto"/>
          <w:szCs w:val="24"/>
        </w:rPr>
        <w:t>https</w:t>
      </w:r>
      <w:proofErr w:type="spellEnd"/>
      <w:r w:rsidR="003F7202" w:rsidRPr="003F7202">
        <w:rPr>
          <w:bCs/>
          <w:color w:val="auto"/>
          <w:szCs w:val="24"/>
        </w:rPr>
        <w:t>://wascal-academia.org/</w:t>
      </w:r>
      <w:proofErr w:type="spellStart"/>
      <w:r w:rsidR="003F7202" w:rsidRPr="003F7202">
        <w:rPr>
          <w:bCs/>
          <w:color w:val="auto"/>
          <w:szCs w:val="24"/>
        </w:rPr>
        <w:t>handle</w:t>
      </w:r>
      <w:proofErr w:type="spellEnd"/>
      <w:r w:rsidR="003F7202" w:rsidRPr="003F7202">
        <w:rPr>
          <w:bCs/>
          <w:color w:val="auto"/>
          <w:szCs w:val="24"/>
        </w:rPr>
        <w:t>/123456789/100</w:t>
      </w:r>
    </w:p>
    <w:p w14:paraId="449D78EC" w14:textId="77777777" w:rsidR="00CA1226" w:rsidRPr="00CA1226" w:rsidRDefault="00CA1226" w:rsidP="00CA1226">
      <w:pPr>
        <w:spacing w:after="0" w:line="360" w:lineRule="auto"/>
        <w:ind w:left="0" w:firstLine="0"/>
        <w:jc w:val="both"/>
        <w:rPr>
          <w:bCs/>
          <w:color w:val="auto"/>
          <w:szCs w:val="24"/>
        </w:rPr>
      </w:pPr>
    </w:p>
    <w:p w14:paraId="6834BFC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 xml:space="preserve">OIHABI A., MEDDICH A. (1996). « Cahiers Agricultures ». Vol. 5. </w:t>
      </w:r>
      <w:proofErr w:type="gramStart"/>
      <w:r w:rsidRPr="003F7202">
        <w:rPr>
          <w:bCs/>
          <w:color w:val="auto"/>
          <w:szCs w:val="24"/>
        </w:rPr>
        <w:t>pp:</w:t>
      </w:r>
      <w:proofErr w:type="gramEnd"/>
      <w:r w:rsidRPr="003F7202">
        <w:rPr>
          <w:bCs/>
          <w:color w:val="auto"/>
          <w:szCs w:val="24"/>
        </w:rPr>
        <w:t xml:space="preserve"> 382-386.</w:t>
      </w:r>
      <w:r w:rsidR="003F7202" w:rsidRPr="003F7202">
        <w:rPr>
          <w:bCs/>
          <w:color w:val="auto"/>
          <w:szCs w:val="24"/>
        </w:rPr>
        <w:t>https://doi.org/10.1051/</w:t>
      </w:r>
      <w:proofErr w:type="spellStart"/>
      <w:r w:rsidR="003F7202" w:rsidRPr="003F7202">
        <w:rPr>
          <w:bCs/>
          <w:color w:val="auto"/>
          <w:szCs w:val="24"/>
        </w:rPr>
        <w:t>cagri</w:t>
      </w:r>
      <w:proofErr w:type="spellEnd"/>
      <w:r w:rsidR="003F7202" w:rsidRPr="003F7202">
        <w:rPr>
          <w:bCs/>
          <w:color w:val="auto"/>
          <w:szCs w:val="24"/>
        </w:rPr>
        <w:t>/199605050382</w:t>
      </w:r>
    </w:p>
    <w:p w14:paraId="4AAD875D"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OUMAROU D.H, (2007). « Adaptation of agriculture to </w:t>
      </w:r>
      <w:proofErr w:type="spellStart"/>
      <w:proofErr w:type="gramStart"/>
      <w:r w:rsidRPr="003F7202">
        <w:rPr>
          <w:bCs/>
          <w:color w:val="auto"/>
          <w:szCs w:val="24"/>
        </w:rPr>
        <w:t>climaticchanges</w:t>
      </w:r>
      <w:proofErr w:type="spellEnd"/>
      <w:r w:rsidRPr="003F7202">
        <w:rPr>
          <w:bCs/>
          <w:color w:val="auto"/>
          <w:szCs w:val="24"/>
        </w:rPr>
        <w:t>:</w:t>
      </w:r>
      <w:proofErr w:type="gramEnd"/>
      <w:r w:rsidRPr="003F7202">
        <w:rPr>
          <w:bCs/>
          <w:color w:val="auto"/>
          <w:szCs w:val="24"/>
        </w:rPr>
        <w:t xml:space="preserve"> Cas du département de Téra au Niger du développement africain ». Mémoire de Master. Université Senghor d'Alexandrie, Egypte.</w:t>
      </w:r>
    </w:p>
    <w:p w14:paraId="7E2EC75C" w14:textId="77777777" w:rsidR="00CA1226" w:rsidRPr="00CA1226" w:rsidRDefault="00CA1226" w:rsidP="00CA1226">
      <w:pPr>
        <w:spacing w:after="0" w:line="360" w:lineRule="auto"/>
        <w:ind w:left="0" w:firstLine="0"/>
        <w:jc w:val="both"/>
        <w:rPr>
          <w:bCs/>
          <w:color w:val="auto"/>
          <w:szCs w:val="24"/>
        </w:rPr>
      </w:pPr>
    </w:p>
    <w:p w14:paraId="63A306B0" w14:textId="77777777" w:rsidR="00CA1226" w:rsidRPr="003F7202" w:rsidRDefault="00CA1226" w:rsidP="003F7202">
      <w:pPr>
        <w:pStyle w:val="ListParagraph"/>
        <w:numPr>
          <w:ilvl w:val="0"/>
          <w:numId w:val="3"/>
        </w:numPr>
        <w:spacing w:after="0" w:line="360" w:lineRule="auto"/>
        <w:jc w:val="both"/>
        <w:rPr>
          <w:bCs/>
          <w:color w:val="auto"/>
          <w:szCs w:val="24"/>
        </w:rPr>
      </w:pPr>
      <w:proofErr w:type="spellStart"/>
      <w:r w:rsidRPr="003F7202">
        <w:rPr>
          <w:bCs/>
          <w:color w:val="auto"/>
          <w:szCs w:val="24"/>
        </w:rPr>
        <w:t>Pasieczni</w:t>
      </w:r>
      <w:proofErr w:type="spellEnd"/>
      <w:r w:rsidRPr="003F7202">
        <w:rPr>
          <w:bCs/>
          <w:color w:val="auto"/>
          <w:szCs w:val="24"/>
        </w:rPr>
        <w:t xml:space="preserve"> N. &amp;</w:t>
      </w:r>
      <w:proofErr w:type="spellStart"/>
      <w:r w:rsidRPr="003F7202">
        <w:rPr>
          <w:bCs/>
          <w:color w:val="auto"/>
          <w:szCs w:val="24"/>
        </w:rPr>
        <w:t>Reij</w:t>
      </w:r>
      <w:proofErr w:type="spellEnd"/>
      <w:r w:rsidRPr="003F7202">
        <w:rPr>
          <w:bCs/>
          <w:color w:val="auto"/>
          <w:szCs w:val="24"/>
        </w:rPr>
        <w:t xml:space="preserve"> C. (2021). « </w:t>
      </w:r>
      <w:proofErr w:type="spellStart"/>
      <w:r w:rsidRPr="003F7202">
        <w:rPr>
          <w:bCs/>
          <w:color w:val="auto"/>
          <w:szCs w:val="24"/>
        </w:rPr>
        <w:t>Restoration</w:t>
      </w:r>
      <w:proofErr w:type="spellEnd"/>
      <w:r w:rsidRPr="003F7202">
        <w:rPr>
          <w:bCs/>
          <w:color w:val="auto"/>
          <w:szCs w:val="24"/>
        </w:rPr>
        <w:t xml:space="preserve"> of the </w:t>
      </w:r>
      <w:proofErr w:type="spellStart"/>
      <w:r w:rsidRPr="003F7202">
        <w:rPr>
          <w:bCs/>
          <w:color w:val="auto"/>
          <w:szCs w:val="24"/>
        </w:rPr>
        <w:t>arid</w:t>
      </w:r>
      <w:proofErr w:type="spellEnd"/>
      <w:r w:rsidRPr="003F7202">
        <w:rPr>
          <w:bCs/>
          <w:color w:val="auto"/>
          <w:szCs w:val="24"/>
        </w:rPr>
        <w:t xml:space="preserve"> lands of </w:t>
      </w:r>
      <w:proofErr w:type="spellStart"/>
      <w:r w:rsidRPr="003F7202">
        <w:rPr>
          <w:bCs/>
          <w:color w:val="auto"/>
          <w:szCs w:val="24"/>
        </w:rPr>
        <w:t>Africa</w:t>
      </w:r>
      <w:proofErr w:type="spellEnd"/>
      <w:r w:rsidRPr="003F7202">
        <w:rPr>
          <w:bCs/>
          <w:color w:val="auto"/>
          <w:szCs w:val="24"/>
        </w:rPr>
        <w:t xml:space="preserve">. » </w:t>
      </w:r>
      <w:proofErr w:type="spellStart"/>
      <w:r w:rsidRPr="003F7202">
        <w:rPr>
          <w:bCs/>
          <w:color w:val="auto"/>
          <w:szCs w:val="24"/>
        </w:rPr>
        <w:t>Tropenbos</w:t>
      </w:r>
      <w:proofErr w:type="spellEnd"/>
      <w:r w:rsidRPr="003F7202">
        <w:rPr>
          <w:bCs/>
          <w:color w:val="auto"/>
          <w:szCs w:val="24"/>
        </w:rPr>
        <w:t xml:space="preserve"> International, Ede, Pays-Bas. </w:t>
      </w:r>
      <w:proofErr w:type="gramStart"/>
      <w:r w:rsidRPr="003F7202">
        <w:rPr>
          <w:bCs/>
          <w:color w:val="auto"/>
          <w:szCs w:val="24"/>
        </w:rPr>
        <w:t>viii</w:t>
      </w:r>
      <w:proofErr w:type="gramEnd"/>
      <w:r w:rsidRPr="003F7202">
        <w:rPr>
          <w:bCs/>
          <w:color w:val="auto"/>
          <w:szCs w:val="24"/>
        </w:rPr>
        <w:t xml:space="preserve"> + 292 pp (Titre original en anglais : RestoringAfricanDrylands)</w:t>
      </w:r>
      <w:r w:rsidR="003F7202" w:rsidRPr="003F7202">
        <w:rPr>
          <w:bCs/>
          <w:color w:val="auto"/>
          <w:szCs w:val="24"/>
        </w:rPr>
        <w:t>https://www.regreeningafrica.org/wp-content/uploads/2020/12/ETFRN-News-60-Restoring-African-Drylands.pdf</w:t>
      </w:r>
    </w:p>
    <w:p w14:paraId="004467E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PDC SIMIRI (2016), Comité d'élaboration du PDC de la Commune Rurale de </w:t>
      </w:r>
      <w:proofErr w:type="spellStart"/>
      <w:r w:rsidRPr="003F7202">
        <w:rPr>
          <w:bCs/>
          <w:color w:val="auto"/>
          <w:szCs w:val="24"/>
        </w:rPr>
        <w:t>Simiri</w:t>
      </w:r>
      <w:proofErr w:type="spellEnd"/>
      <w:r w:rsidRPr="003F7202">
        <w:rPr>
          <w:bCs/>
          <w:color w:val="auto"/>
          <w:szCs w:val="24"/>
        </w:rPr>
        <w:t xml:space="preserve"> 2017-2021, 143p.</w:t>
      </w:r>
    </w:p>
    <w:p w14:paraId="5B53CEB4" w14:textId="77777777" w:rsidR="00CA1226" w:rsidRPr="00CA1226" w:rsidRDefault="00CA1226" w:rsidP="00CA1226">
      <w:pPr>
        <w:spacing w:after="0" w:line="360" w:lineRule="auto"/>
        <w:ind w:left="0" w:firstLine="0"/>
        <w:jc w:val="both"/>
        <w:rPr>
          <w:bCs/>
          <w:color w:val="auto"/>
          <w:szCs w:val="24"/>
        </w:rPr>
      </w:pPr>
    </w:p>
    <w:p w14:paraId="392DC6E7"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RECA (2013). La Petite Jachère/ une Technologie essayée au Niger Réseau national des Chambres d’Agriculture de Niger Note d’information Réseau national des Chambres d’Agriculture de Niger Note </w:t>
      </w:r>
      <w:proofErr w:type="gramStart"/>
      <w:r w:rsidRPr="003F7202">
        <w:rPr>
          <w:bCs/>
          <w:color w:val="auto"/>
          <w:szCs w:val="24"/>
        </w:rPr>
        <w:t>d’</w:t>
      </w:r>
      <w:proofErr w:type="spellStart"/>
      <w:r w:rsidRPr="003F7202">
        <w:rPr>
          <w:bCs/>
          <w:color w:val="auto"/>
          <w:szCs w:val="24"/>
        </w:rPr>
        <w:t>information.</w:t>
      </w:r>
      <w:r w:rsidR="003F7202" w:rsidRPr="003F7202">
        <w:rPr>
          <w:bCs/>
          <w:color w:val="auto"/>
          <w:szCs w:val="24"/>
        </w:rPr>
        <w:t>https</w:t>
      </w:r>
      <w:proofErr w:type="spellEnd"/>
      <w:r w:rsidR="003F7202" w:rsidRPr="003F7202">
        <w:rPr>
          <w:bCs/>
          <w:color w:val="auto"/>
          <w:szCs w:val="24"/>
        </w:rPr>
        <w:t>://reca-niger.org/spip.php?article100</w:t>
      </w:r>
      <w:proofErr w:type="gramEnd"/>
    </w:p>
    <w:p w14:paraId="2C346948"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RILLING, M.C., MUMMEY D.L. (2006). </w:t>
      </w:r>
      <w:proofErr w:type="spellStart"/>
      <w:r w:rsidRPr="003F7202">
        <w:rPr>
          <w:bCs/>
          <w:color w:val="auto"/>
          <w:szCs w:val="24"/>
        </w:rPr>
        <w:t>Mycorrhizas</w:t>
      </w:r>
      <w:proofErr w:type="spellEnd"/>
      <w:r w:rsidRPr="003F7202">
        <w:rPr>
          <w:bCs/>
          <w:color w:val="auto"/>
          <w:szCs w:val="24"/>
        </w:rPr>
        <w:t xml:space="preserve"> and </w:t>
      </w:r>
      <w:proofErr w:type="spellStart"/>
      <w:r w:rsidRPr="003F7202">
        <w:rPr>
          <w:bCs/>
          <w:color w:val="auto"/>
          <w:szCs w:val="24"/>
        </w:rPr>
        <w:t>soil</w:t>
      </w:r>
      <w:proofErr w:type="spellEnd"/>
      <w:r w:rsidRPr="003F7202">
        <w:rPr>
          <w:bCs/>
          <w:color w:val="auto"/>
          <w:szCs w:val="24"/>
        </w:rPr>
        <w:t xml:space="preserve"> </w:t>
      </w:r>
      <w:proofErr w:type="spellStart"/>
      <w:proofErr w:type="gramStart"/>
      <w:r w:rsidRPr="003F7202">
        <w:rPr>
          <w:bCs/>
          <w:color w:val="auto"/>
          <w:szCs w:val="24"/>
        </w:rPr>
        <w:t>structure.</w:t>
      </w:r>
      <w:r w:rsidR="003F7202" w:rsidRPr="003F7202">
        <w:rPr>
          <w:bCs/>
          <w:color w:val="auto"/>
          <w:szCs w:val="24"/>
        </w:rPr>
        <w:t>https</w:t>
      </w:r>
      <w:proofErr w:type="spellEnd"/>
      <w:r w:rsidR="003F7202" w:rsidRPr="003F7202">
        <w:rPr>
          <w:bCs/>
          <w:color w:val="auto"/>
          <w:szCs w:val="24"/>
        </w:rPr>
        <w:t>://doi.org/10.1111/j.1469-8137.2006.01750.x</w:t>
      </w:r>
      <w:proofErr w:type="gramEnd"/>
    </w:p>
    <w:p w14:paraId="71B7AF11" w14:textId="77777777" w:rsidR="00CA1226" w:rsidRPr="00CA1226" w:rsidRDefault="00CA1226" w:rsidP="00CA1226">
      <w:pPr>
        <w:spacing w:after="0" w:line="360" w:lineRule="auto"/>
        <w:ind w:left="0" w:firstLine="0"/>
        <w:jc w:val="both"/>
        <w:rPr>
          <w:bCs/>
          <w:color w:val="auto"/>
          <w:szCs w:val="24"/>
        </w:rPr>
      </w:pPr>
    </w:p>
    <w:p w14:paraId="2EC41D0F"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SADHANA B, (2014). </w:t>
      </w:r>
      <w:proofErr w:type="spellStart"/>
      <w:r w:rsidRPr="003F7202">
        <w:rPr>
          <w:bCs/>
          <w:color w:val="auto"/>
          <w:szCs w:val="24"/>
        </w:rPr>
        <w:t>ArbuscularMycorrhizal</w:t>
      </w:r>
      <w:proofErr w:type="spellEnd"/>
      <w:r w:rsidRPr="003F7202">
        <w:rPr>
          <w:bCs/>
          <w:color w:val="auto"/>
          <w:szCs w:val="24"/>
        </w:rPr>
        <w:t xml:space="preserve"> Fungi (AMF) as </w:t>
      </w:r>
      <w:proofErr w:type="gramStart"/>
      <w:r w:rsidRPr="003F7202">
        <w:rPr>
          <w:bCs/>
          <w:color w:val="auto"/>
          <w:szCs w:val="24"/>
        </w:rPr>
        <w:t>a</w:t>
      </w:r>
      <w:proofErr w:type="gramEnd"/>
      <w:r w:rsidRPr="003F7202">
        <w:rPr>
          <w:bCs/>
          <w:color w:val="auto"/>
          <w:szCs w:val="24"/>
        </w:rPr>
        <w:t xml:space="preserve"> Bio-</w:t>
      </w:r>
      <w:proofErr w:type="spellStart"/>
      <w:r w:rsidRPr="003F7202">
        <w:rPr>
          <w:bCs/>
          <w:color w:val="auto"/>
          <w:szCs w:val="24"/>
        </w:rPr>
        <w:t>fertilizer</w:t>
      </w:r>
      <w:proofErr w:type="spellEnd"/>
      <w:r w:rsidRPr="003F7202">
        <w:rPr>
          <w:bCs/>
          <w:color w:val="auto"/>
          <w:szCs w:val="24"/>
        </w:rPr>
        <w:t xml:space="preserve">. </w:t>
      </w:r>
      <w:proofErr w:type="spellStart"/>
      <w:r w:rsidRPr="003F7202">
        <w:rPr>
          <w:bCs/>
          <w:color w:val="auto"/>
          <w:szCs w:val="24"/>
        </w:rPr>
        <w:t>Review</w:t>
      </w:r>
      <w:proofErr w:type="spellEnd"/>
      <w:r w:rsidRPr="003F7202">
        <w:rPr>
          <w:bCs/>
          <w:color w:val="auto"/>
          <w:szCs w:val="24"/>
        </w:rPr>
        <w:t xml:space="preserve"> International Journal of </w:t>
      </w:r>
      <w:proofErr w:type="spellStart"/>
      <w:r w:rsidRPr="003F7202">
        <w:rPr>
          <w:bCs/>
          <w:color w:val="auto"/>
          <w:szCs w:val="24"/>
        </w:rPr>
        <w:t>CurrentMicrobiology</w:t>
      </w:r>
      <w:proofErr w:type="spellEnd"/>
      <w:r w:rsidRPr="003F7202">
        <w:rPr>
          <w:bCs/>
          <w:color w:val="auto"/>
          <w:szCs w:val="24"/>
        </w:rPr>
        <w:t xml:space="preserve"> and </w:t>
      </w:r>
      <w:proofErr w:type="spellStart"/>
      <w:r w:rsidRPr="003F7202">
        <w:rPr>
          <w:bCs/>
          <w:color w:val="auto"/>
          <w:szCs w:val="24"/>
        </w:rPr>
        <w:t>Applied</w:t>
      </w:r>
      <w:proofErr w:type="spellEnd"/>
      <w:r w:rsidRPr="003F7202">
        <w:rPr>
          <w:bCs/>
          <w:color w:val="auto"/>
          <w:szCs w:val="24"/>
        </w:rPr>
        <w:t xml:space="preserve"> Sciences, Vol.3.N°</w:t>
      </w:r>
      <w:proofErr w:type="gramStart"/>
      <w:r w:rsidRPr="003F7202">
        <w:rPr>
          <w:bCs/>
          <w:color w:val="auto"/>
          <w:szCs w:val="24"/>
        </w:rPr>
        <w:t>4.pp</w:t>
      </w:r>
      <w:proofErr w:type="gramEnd"/>
      <w:r w:rsidRPr="003F7202">
        <w:rPr>
          <w:bCs/>
          <w:color w:val="auto"/>
          <w:szCs w:val="24"/>
        </w:rPr>
        <w:t>:384-400.</w:t>
      </w:r>
      <w:r w:rsidR="003F7202" w:rsidRPr="003F7202">
        <w:rPr>
          <w:bCs/>
          <w:color w:val="auto"/>
          <w:szCs w:val="24"/>
        </w:rPr>
        <w:t>http://www.ijcmas.com/</w:t>
      </w:r>
    </w:p>
    <w:p w14:paraId="349B81EC" w14:textId="77777777" w:rsidR="00CA1226" w:rsidRPr="00CA1226" w:rsidRDefault="00CA1226" w:rsidP="00CA1226">
      <w:pPr>
        <w:spacing w:after="0" w:line="360" w:lineRule="auto"/>
        <w:ind w:left="0" w:firstLine="0"/>
        <w:jc w:val="both"/>
        <w:rPr>
          <w:bCs/>
          <w:color w:val="auto"/>
          <w:szCs w:val="24"/>
        </w:rPr>
      </w:pPr>
    </w:p>
    <w:p w14:paraId="4CD3FA6C"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STUTZ J.C., COPEMAN R., MARTIN C.A. &amp; Morton J.B. (2000). “Patterns of </w:t>
      </w:r>
      <w:proofErr w:type="spellStart"/>
      <w:r w:rsidRPr="003F7202">
        <w:rPr>
          <w:bCs/>
          <w:color w:val="auto"/>
          <w:szCs w:val="24"/>
        </w:rPr>
        <w:t>species</w:t>
      </w:r>
      <w:proofErr w:type="spellEnd"/>
      <w:r w:rsidRPr="003F7202">
        <w:rPr>
          <w:bCs/>
          <w:color w:val="auto"/>
          <w:szCs w:val="24"/>
        </w:rPr>
        <w:t xml:space="preserve"> composition and distribution of </w:t>
      </w:r>
      <w:proofErr w:type="spellStart"/>
      <w:r w:rsidRPr="003F7202">
        <w:rPr>
          <w:bCs/>
          <w:color w:val="auto"/>
          <w:szCs w:val="24"/>
        </w:rPr>
        <w:t>arbuscularmycorrhizal</w:t>
      </w:r>
      <w:proofErr w:type="spellEnd"/>
      <w:r w:rsidRPr="003F7202">
        <w:rPr>
          <w:bCs/>
          <w:color w:val="auto"/>
          <w:szCs w:val="24"/>
        </w:rPr>
        <w:t xml:space="preserve"> fungi in </w:t>
      </w:r>
      <w:proofErr w:type="spellStart"/>
      <w:r w:rsidRPr="003F7202">
        <w:rPr>
          <w:bCs/>
          <w:color w:val="auto"/>
          <w:szCs w:val="24"/>
        </w:rPr>
        <w:t>aridregions</w:t>
      </w:r>
      <w:proofErr w:type="spellEnd"/>
      <w:r w:rsidRPr="003F7202">
        <w:rPr>
          <w:bCs/>
          <w:color w:val="auto"/>
          <w:szCs w:val="24"/>
        </w:rPr>
        <w:t xml:space="preserve"> of </w:t>
      </w:r>
      <w:proofErr w:type="spellStart"/>
      <w:r w:rsidRPr="003F7202">
        <w:rPr>
          <w:bCs/>
          <w:color w:val="auto"/>
          <w:szCs w:val="24"/>
        </w:rPr>
        <w:t>southwestern</w:t>
      </w:r>
      <w:proofErr w:type="spellEnd"/>
      <w:r w:rsidRPr="003F7202">
        <w:rPr>
          <w:bCs/>
          <w:color w:val="auto"/>
          <w:szCs w:val="24"/>
        </w:rPr>
        <w:t xml:space="preserve"> North America and Namibia”. </w:t>
      </w:r>
      <w:proofErr w:type="spellStart"/>
      <w:r w:rsidRPr="003F7202">
        <w:rPr>
          <w:bCs/>
          <w:color w:val="auto"/>
          <w:szCs w:val="24"/>
        </w:rPr>
        <w:t>Afr</w:t>
      </w:r>
      <w:proofErr w:type="spellEnd"/>
      <w:r w:rsidRPr="003F7202">
        <w:rPr>
          <w:bCs/>
          <w:color w:val="auto"/>
          <w:szCs w:val="24"/>
        </w:rPr>
        <w:t xml:space="preserve">. Can. J. </w:t>
      </w:r>
      <w:proofErr w:type="spellStart"/>
      <w:r w:rsidRPr="003F7202">
        <w:rPr>
          <w:bCs/>
          <w:color w:val="auto"/>
          <w:szCs w:val="24"/>
        </w:rPr>
        <w:t>Bot.vol</w:t>
      </w:r>
      <w:proofErr w:type="spellEnd"/>
      <w:r w:rsidRPr="003F7202">
        <w:rPr>
          <w:bCs/>
          <w:color w:val="auto"/>
          <w:szCs w:val="24"/>
        </w:rPr>
        <w:t xml:space="preserve"> 78. </w:t>
      </w:r>
      <w:proofErr w:type="gramStart"/>
      <w:r w:rsidRPr="003F7202">
        <w:rPr>
          <w:bCs/>
          <w:color w:val="auto"/>
          <w:szCs w:val="24"/>
        </w:rPr>
        <w:t>pp:</w:t>
      </w:r>
      <w:proofErr w:type="gramEnd"/>
      <w:r w:rsidRPr="003F7202">
        <w:rPr>
          <w:bCs/>
          <w:color w:val="auto"/>
          <w:szCs w:val="24"/>
        </w:rPr>
        <w:t xml:space="preserve"> 237–245.</w:t>
      </w:r>
      <w:r w:rsidR="003F7202" w:rsidRPr="003F7202">
        <w:rPr>
          <w:bCs/>
          <w:color w:val="auto"/>
          <w:szCs w:val="24"/>
        </w:rPr>
        <w:t>https://doi.org/10.1139/b99-183</w:t>
      </w:r>
    </w:p>
    <w:p w14:paraId="7B3AEA35" w14:textId="77777777" w:rsidR="00CA1226" w:rsidRPr="00CA1226" w:rsidRDefault="00CA1226" w:rsidP="00CA1226">
      <w:pPr>
        <w:spacing w:after="0" w:line="360" w:lineRule="auto"/>
        <w:ind w:left="0" w:firstLine="0"/>
        <w:jc w:val="both"/>
        <w:rPr>
          <w:bCs/>
          <w:color w:val="auto"/>
          <w:szCs w:val="24"/>
        </w:rPr>
      </w:pPr>
    </w:p>
    <w:p w14:paraId="1E37DF74"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TIDJANI D., AMBOUTA K. J-M. &amp; BILEDERS C-L. (2009). </w:t>
      </w:r>
      <w:proofErr w:type="spellStart"/>
      <w:r w:rsidRPr="003F7202">
        <w:rPr>
          <w:bCs/>
          <w:color w:val="auto"/>
          <w:szCs w:val="24"/>
        </w:rPr>
        <w:t>Rehabilitation</w:t>
      </w:r>
      <w:proofErr w:type="spellEnd"/>
      <w:r w:rsidRPr="003F7202">
        <w:rPr>
          <w:bCs/>
          <w:color w:val="auto"/>
          <w:szCs w:val="24"/>
        </w:rPr>
        <w:t xml:space="preserve"> of a living dune by </w:t>
      </w:r>
      <w:proofErr w:type="spellStart"/>
      <w:proofErr w:type="gramStart"/>
      <w:r w:rsidRPr="003F7202">
        <w:rPr>
          <w:bCs/>
          <w:color w:val="auto"/>
          <w:szCs w:val="24"/>
        </w:rPr>
        <w:t>mechanicalfixation:oil</w:t>
      </w:r>
      <w:proofErr w:type="spellEnd"/>
      <w:proofErr w:type="gramEnd"/>
      <w:r w:rsidRPr="003F7202">
        <w:rPr>
          <w:bCs/>
          <w:color w:val="auto"/>
          <w:szCs w:val="24"/>
        </w:rPr>
        <w:t xml:space="preserve"> flow, </w:t>
      </w:r>
      <w:proofErr w:type="spellStart"/>
      <w:r w:rsidRPr="003F7202">
        <w:rPr>
          <w:bCs/>
          <w:color w:val="auto"/>
          <w:szCs w:val="24"/>
        </w:rPr>
        <w:t>sunfertility</w:t>
      </w:r>
      <w:proofErr w:type="spellEnd"/>
      <w:r w:rsidRPr="003F7202">
        <w:rPr>
          <w:bCs/>
          <w:color w:val="auto"/>
          <w:szCs w:val="24"/>
        </w:rPr>
        <w:t xml:space="preserve"> and </w:t>
      </w:r>
      <w:proofErr w:type="spellStart"/>
      <w:r w:rsidRPr="003F7202">
        <w:rPr>
          <w:bCs/>
          <w:color w:val="auto"/>
          <w:szCs w:val="24"/>
        </w:rPr>
        <w:t>herbaceousbiodiversity</w:t>
      </w:r>
      <w:proofErr w:type="spellEnd"/>
      <w:r w:rsidRPr="003F7202">
        <w:rPr>
          <w:bCs/>
          <w:color w:val="auto"/>
          <w:szCs w:val="24"/>
        </w:rPr>
        <w:t xml:space="preserve">. Géo-Eco-Trop.Vol.33. </w:t>
      </w:r>
      <w:proofErr w:type="gramStart"/>
      <w:r w:rsidRPr="003F7202">
        <w:rPr>
          <w:bCs/>
          <w:color w:val="auto"/>
          <w:szCs w:val="24"/>
        </w:rPr>
        <w:t>pp</w:t>
      </w:r>
      <w:proofErr w:type="gramEnd"/>
      <w:r w:rsidRPr="003F7202">
        <w:rPr>
          <w:bCs/>
          <w:color w:val="auto"/>
          <w:szCs w:val="24"/>
        </w:rPr>
        <w:t xml:space="preserve"> : 81 - 98</w:t>
      </w:r>
      <w:r w:rsidR="003F7202" w:rsidRPr="003F7202">
        <w:rPr>
          <w:bCs/>
          <w:color w:val="auto"/>
          <w:szCs w:val="24"/>
        </w:rPr>
        <w:t>https://www.geoecotrop.be/index.php/geoecotrop/issue/view/33</w:t>
      </w:r>
    </w:p>
    <w:p w14:paraId="608423B4" w14:textId="77777777" w:rsidR="00CA1226" w:rsidRPr="00CA1226" w:rsidRDefault="00CA1226" w:rsidP="00CA1226">
      <w:pPr>
        <w:spacing w:after="0" w:line="360" w:lineRule="auto"/>
        <w:ind w:left="0" w:firstLine="0"/>
        <w:jc w:val="both"/>
        <w:rPr>
          <w:bCs/>
          <w:color w:val="auto"/>
          <w:szCs w:val="24"/>
        </w:rPr>
      </w:pPr>
    </w:p>
    <w:p w14:paraId="485AA3E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TISDALL J.M. (1991). “</w:t>
      </w:r>
      <w:proofErr w:type="spellStart"/>
      <w:r w:rsidRPr="003F7202">
        <w:rPr>
          <w:bCs/>
          <w:color w:val="auto"/>
          <w:szCs w:val="24"/>
        </w:rPr>
        <w:t>Fungalhyphae</w:t>
      </w:r>
      <w:proofErr w:type="spellEnd"/>
      <w:r w:rsidRPr="003F7202">
        <w:rPr>
          <w:bCs/>
          <w:color w:val="auto"/>
          <w:szCs w:val="24"/>
        </w:rPr>
        <w:t xml:space="preserve"> and structural </w:t>
      </w:r>
      <w:proofErr w:type="spellStart"/>
      <w:r w:rsidRPr="003F7202">
        <w:rPr>
          <w:bCs/>
          <w:color w:val="auto"/>
          <w:szCs w:val="24"/>
        </w:rPr>
        <w:t>stability</w:t>
      </w:r>
      <w:proofErr w:type="spellEnd"/>
      <w:r w:rsidRPr="003F7202">
        <w:rPr>
          <w:bCs/>
          <w:color w:val="auto"/>
          <w:szCs w:val="24"/>
        </w:rPr>
        <w:t xml:space="preserve"> of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Aust</w:t>
      </w:r>
      <w:proofErr w:type="spellEnd"/>
      <w:r w:rsidRPr="003F7202">
        <w:rPr>
          <w:bCs/>
          <w:color w:val="auto"/>
          <w:szCs w:val="24"/>
        </w:rPr>
        <w:t xml:space="preserve">. J. </w:t>
      </w:r>
      <w:proofErr w:type="spellStart"/>
      <w:r w:rsidRPr="003F7202">
        <w:rPr>
          <w:bCs/>
          <w:color w:val="auto"/>
          <w:szCs w:val="24"/>
        </w:rPr>
        <w:t>Soil</w:t>
      </w:r>
      <w:proofErr w:type="spellEnd"/>
      <w:r w:rsidRPr="003F7202">
        <w:rPr>
          <w:bCs/>
          <w:color w:val="auto"/>
          <w:szCs w:val="24"/>
        </w:rPr>
        <w:t xml:space="preserve"> Res.,</w:t>
      </w:r>
      <w:proofErr w:type="gramStart"/>
      <w:r w:rsidRPr="003F7202">
        <w:rPr>
          <w:bCs/>
          <w:color w:val="auto"/>
          <w:szCs w:val="24"/>
        </w:rPr>
        <w:t>29:</w:t>
      </w:r>
      <w:proofErr w:type="gramEnd"/>
      <w:r w:rsidRPr="003F7202">
        <w:rPr>
          <w:bCs/>
          <w:color w:val="auto"/>
          <w:szCs w:val="24"/>
        </w:rPr>
        <w:t xml:space="preserve"> 729-743</w:t>
      </w:r>
      <w:r w:rsidR="003F7202" w:rsidRPr="003F7202">
        <w:rPr>
          <w:bCs/>
          <w:color w:val="auto"/>
          <w:szCs w:val="24"/>
        </w:rPr>
        <w:t>https://doi.org/10.1071/SR9910729</w:t>
      </w:r>
    </w:p>
    <w:p w14:paraId="584FBEBF" w14:textId="77777777" w:rsidR="00CA1226" w:rsidRPr="00CA1226" w:rsidRDefault="00CA1226" w:rsidP="00CA1226">
      <w:pPr>
        <w:spacing w:after="0" w:line="360" w:lineRule="auto"/>
        <w:ind w:left="0" w:firstLine="0"/>
        <w:jc w:val="both"/>
        <w:rPr>
          <w:bCs/>
          <w:color w:val="auto"/>
          <w:szCs w:val="24"/>
        </w:rPr>
      </w:pPr>
    </w:p>
    <w:p w14:paraId="065584B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TRAORE K., HIEN F. &amp; HIEN V. (2003). </w:t>
      </w:r>
      <w:proofErr w:type="spellStart"/>
      <w:r w:rsidRPr="003F7202">
        <w:rPr>
          <w:bCs/>
          <w:color w:val="auto"/>
          <w:szCs w:val="24"/>
        </w:rPr>
        <w:t>Durability</w:t>
      </w:r>
      <w:proofErr w:type="spellEnd"/>
      <w:r w:rsidRPr="003F7202">
        <w:rPr>
          <w:bCs/>
          <w:color w:val="auto"/>
          <w:szCs w:val="24"/>
        </w:rPr>
        <w:t xml:space="preserve"> of the </w:t>
      </w:r>
      <w:proofErr w:type="spellStart"/>
      <w:r w:rsidRPr="003F7202">
        <w:rPr>
          <w:bCs/>
          <w:color w:val="auto"/>
          <w:szCs w:val="24"/>
        </w:rPr>
        <w:t>existing</w:t>
      </w:r>
      <w:proofErr w:type="spellEnd"/>
      <w:r w:rsidRPr="003F7202">
        <w:rPr>
          <w:bCs/>
          <w:color w:val="auto"/>
          <w:szCs w:val="24"/>
        </w:rPr>
        <w:t xml:space="preserve"> system in the </w:t>
      </w:r>
      <w:proofErr w:type="spellStart"/>
      <w:r w:rsidRPr="003F7202">
        <w:rPr>
          <w:bCs/>
          <w:color w:val="auto"/>
          <w:szCs w:val="24"/>
        </w:rPr>
        <w:t>northern</w:t>
      </w:r>
      <w:proofErr w:type="spellEnd"/>
      <w:r w:rsidRPr="003F7202">
        <w:rPr>
          <w:bCs/>
          <w:color w:val="auto"/>
          <w:szCs w:val="24"/>
        </w:rPr>
        <w:t xml:space="preserve"> zone of Burkina </w:t>
      </w:r>
      <w:proofErr w:type="spellStart"/>
      <w:proofErr w:type="gramStart"/>
      <w:r w:rsidRPr="003F7202">
        <w:rPr>
          <w:bCs/>
          <w:color w:val="auto"/>
          <w:szCs w:val="24"/>
        </w:rPr>
        <w:t>Faso:Study</w:t>
      </w:r>
      <w:proofErr w:type="spellEnd"/>
      <w:proofErr w:type="gramEnd"/>
      <w:r w:rsidRPr="003F7202">
        <w:rPr>
          <w:bCs/>
          <w:color w:val="auto"/>
          <w:szCs w:val="24"/>
        </w:rPr>
        <w:t xml:space="preserve"> of the flow of </w:t>
      </w:r>
      <w:proofErr w:type="spellStart"/>
      <w:r w:rsidRPr="003F7202">
        <w:rPr>
          <w:bCs/>
          <w:color w:val="auto"/>
          <w:szCs w:val="24"/>
        </w:rPr>
        <w:t>organicmaterials</w:t>
      </w:r>
      <w:proofErr w:type="spellEnd"/>
      <w:r w:rsidRPr="003F7202">
        <w:rPr>
          <w:bCs/>
          <w:color w:val="auto"/>
          <w:szCs w:val="24"/>
        </w:rPr>
        <w:t xml:space="preserve"> in the exploitation and management of agricultural production. Symposium Niamey “</w:t>
      </w:r>
      <w:proofErr w:type="spellStart"/>
      <w:r w:rsidRPr="003F7202">
        <w:rPr>
          <w:bCs/>
          <w:color w:val="auto"/>
          <w:szCs w:val="24"/>
        </w:rPr>
        <w:t>Sustainable</w:t>
      </w:r>
      <w:proofErr w:type="spellEnd"/>
      <w:r w:rsidRPr="003F7202">
        <w:rPr>
          <w:bCs/>
          <w:color w:val="auto"/>
          <w:szCs w:val="24"/>
        </w:rPr>
        <w:t xml:space="preserve"> Dry Land Agriculture System”.</w:t>
      </w:r>
    </w:p>
    <w:p w14:paraId="19D07C4E" w14:textId="77777777" w:rsidR="00CA1226" w:rsidRPr="00CA1226" w:rsidRDefault="00CA1226" w:rsidP="00CA1226">
      <w:pPr>
        <w:spacing w:after="0" w:line="360" w:lineRule="auto"/>
        <w:ind w:left="0" w:firstLine="0"/>
        <w:jc w:val="both"/>
        <w:rPr>
          <w:bCs/>
          <w:color w:val="auto"/>
          <w:szCs w:val="24"/>
        </w:rPr>
      </w:pPr>
    </w:p>
    <w:p w14:paraId="6E3D756E"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TROUVELOT A, KOUGH J.L, GIANINAZZI V. (1986). </w:t>
      </w:r>
      <w:proofErr w:type="gramStart"/>
      <w:r w:rsidRPr="003F7202">
        <w:rPr>
          <w:bCs/>
          <w:color w:val="auto"/>
          <w:szCs w:val="24"/>
        </w:rPr>
        <w:t>«Mesure</w:t>
      </w:r>
      <w:proofErr w:type="gramEnd"/>
      <w:r w:rsidRPr="003F7202">
        <w:rPr>
          <w:bCs/>
          <w:color w:val="auto"/>
          <w:szCs w:val="24"/>
        </w:rPr>
        <w:t xml:space="preserve"> de taux de </w:t>
      </w:r>
      <w:proofErr w:type="spellStart"/>
      <w:r w:rsidRPr="003F7202">
        <w:rPr>
          <w:bCs/>
          <w:color w:val="auto"/>
          <w:szCs w:val="24"/>
        </w:rPr>
        <w:t>mycorrhization</w:t>
      </w:r>
      <w:proofErr w:type="spellEnd"/>
      <w:r w:rsidRPr="003F7202">
        <w:rPr>
          <w:bCs/>
          <w:color w:val="auto"/>
          <w:szCs w:val="24"/>
        </w:rPr>
        <w:t xml:space="preserve"> VA d'un système radiculaire. </w:t>
      </w:r>
      <w:proofErr w:type="spellStart"/>
      <w:r w:rsidRPr="003F7202">
        <w:rPr>
          <w:bCs/>
          <w:color w:val="auto"/>
          <w:szCs w:val="24"/>
        </w:rPr>
        <w:t>Search</w:t>
      </w:r>
      <w:proofErr w:type="spellEnd"/>
      <w:r w:rsidRPr="003F7202">
        <w:rPr>
          <w:bCs/>
          <w:color w:val="auto"/>
          <w:szCs w:val="24"/>
        </w:rPr>
        <w:t xml:space="preserve"> for </w:t>
      </w:r>
      <w:proofErr w:type="spellStart"/>
      <w:r w:rsidRPr="003F7202">
        <w:rPr>
          <w:bCs/>
          <w:color w:val="auto"/>
          <w:szCs w:val="24"/>
        </w:rPr>
        <w:t>estimatingmethods</w:t>
      </w:r>
      <w:proofErr w:type="spellEnd"/>
      <w:r w:rsidRPr="003F7202">
        <w:rPr>
          <w:bCs/>
          <w:color w:val="auto"/>
          <w:szCs w:val="24"/>
        </w:rPr>
        <w:t xml:space="preserve"> for a </w:t>
      </w:r>
      <w:proofErr w:type="spellStart"/>
      <w:r w:rsidRPr="003F7202">
        <w:rPr>
          <w:bCs/>
          <w:color w:val="auto"/>
          <w:szCs w:val="24"/>
        </w:rPr>
        <w:t>meaningfulmeaning</w:t>
      </w:r>
      <w:proofErr w:type="spellEnd"/>
      <w:r w:rsidRPr="003F7202">
        <w:rPr>
          <w:bCs/>
          <w:color w:val="auto"/>
          <w:szCs w:val="24"/>
        </w:rPr>
        <w:t xml:space="preserve"> ». In </w:t>
      </w:r>
      <w:proofErr w:type="spellStart"/>
      <w:r w:rsidRPr="003F7202">
        <w:rPr>
          <w:bCs/>
          <w:color w:val="auto"/>
          <w:szCs w:val="24"/>
        </w:rPr>
        <w:t>physiological</w:t>
      </w:r>
      <w:proofErr w:type="spellEnd"/>
      <w:r w:rsidRPr="003F7202">
        <w:rPr>
          <w:bCs/>
          <w:color w:val="auto"/>
          <w:szCs w:val="24"/>
        </w:rPr>
        <w:t xml:space="preserve"> and </w:t>
      </w:r>
      <w:proofErr w:type="spellStart"/>
      <w:r w:rsidRPr="003F7202">
        <w:rPr>
          <w:bCs/>
          <w:color w:val="auto"/>
          <w:szCs w:val="24"/>
        </w:rPr>
        <w:t>genetic</w:t>
      </w:r>
      <w:proofErr w:type="spellEnd"/>
      <w:r w:rsidRPr="003F7202">
        <w:rPr>
          <w:bCs/>
          <w:color w:val="auto"/>
          <w:szCs w:val="24"/>
        </w:rPr>
        <w:t xml:space="preserve"> aspects of </w:t>
      </w:r>
      <w:proofErr w:type="spellStart"/>
      <w:r w:rsidRPr="003F7202">
        <w:rPr>
          <w:bCs/>
          <w:color w:val="auto"/>
          <w:szCs w:val="24"/>
        </w:rPr>
        <w:t>mycorhizical</w:t>
      </w:r>
      <w:proofErr w:type="spellEnd"/>
      <w:r w:rsidRPr="003F7202">
        <w:rPr>
          <w:bCs/>
          <w:color w:val="auto"/>
          <w:szCs w:val="24"/>
        </w:rPr>
        <w:t xml:space="preserve">, V. </w:t>
      </w:r>
      <w:proofErr w:type="spellStart"/>
      <w:r w:rsidRPr="003F7202">
        <w:rPr>
          <w:bCs/>
          <w:color w:val="auto"/>
          <w:szCs w:val="24"/>
        </w:rPr>
        <w:t>Gianinazzi</w:t>
      </w:r>
      <w:proofErr w:type="spellEnd"/>
      <w:r w:rsidRPr="003F7202">
        <w:rPr>
          <w:bCs/>
          <w:color w:val="auto"/>
          <w:szCs w:val="24"/>
        </w:rPr>
        <w:t xml:space="preserve">-Pearson et S. </w:t>
      </w:r>
      <w:proofErr w:type="spellStart"/>
      <w:r w:rsidRPr="003F7202">
        <w:rPr>
          <w:bCs/>
          <w:color w:val="auto"/>
          <w:szCs w:val="24"/>
        </w:rPr>
        <w:t>Gianinazzi</w:t>
      </w:r>
      <w:proofErr w:type="spellEnd"/>
      <w:r w:rsidRPr="003F7202">
        <w:rPr>
          <w:bCs/>
          <w:color w:val="auto"/>
          <w:szCs w:val="24"/>
        </w:rPr>
        <w:t>). (</w:t>
      </w:r>
      <w:proofErr w:type="spellStart"/>
      <w:proofErr w:type="gramStart"/>
      <w:r w:rsidRPr="003F7202">
        <w:rPr>
          <w:bCs/>
          <w:color w:val="auto"/>
          <w:szCs w:val="24"/>
        </w:rPr>
        <w:t>edit</w:t>
      </w:r>
      <w:proofErr w:type="spellEnd"/>
      <w:proofErr w:type="gramEnd"/>
      <w:r w:rsidRPr="003F7202">
        <w:rPr>
          <w:bCs/>
          <w:color w:val="auto"/>
          <w:szCs w:val="24"/>
        </w:rPr>
        <w:t>), INRA, Paris. pp. 217-221.</w:t>
      </w:r>
      <w:r w:rsidR="003F7202" w:rsidRPr="003F7202">
        <w:rPr>
          <w:bCs/>
          <w:color w:val="auto"/>
          <w:szCs w:val="24"/>
        </w:rPr>
        <w:t>https://www.cabidigitallibrary.org/doi/10.1079/9780851985622.0000</w:t>
      </w:r>
    </w:p>
    <w:p w14:paraId="46CEE689" w14:textId="77777777" w:rsidR="00CA1226" w:rsidRPr="00CA1226" w:rsidRDefault="00CA1226" w:rsidP="00CA1226">
      <w:pPr>
        <w:spacing w:after="0" w:line="360" w:lineRule="auto"/>
        <w:ind w:left="0" w:firstLine="0"/>
        <w:jc w:val="both"/>
        <w:rPr>
          <w:bCs/>
          <w:color w:val="auto"/>
          <w:szCs w:val="24"/>
        </w:rPr>
      </w:pPr>
    </w:p>
    <w:p w14:paraId="0A6EED11"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VAN DER HEIJDEN M.G.A., BOLIER T., WWMKEN, A., SANDERS I. R. (1998). “</w:t>
      </w:r>
      <w:proofErr w:type="spellStart"/>
      <w:r w:rsidRPr="003F7202">
        <w:rPr>
          <w:bCs/>
          <w:color w:val="auto"/>
          <w:szCs w:val="24"/>
        </w:rPr>
        <w:t>Differentarbuscularmycorrhizalfungalspecies</w:t>
      </w:r>
      <w:proofErr w:type="spellEnd"/>
      <w:r w:rsidRPr="003F7202">
        <w:rPr>
          <w:bCs/>
          <w:color w:val="auto"/>
          <w:szCs w:val="24"/>
        </w:rPr>
        <w:t xml:space="preserve"> are </w:t>
      </w:r>
      <w:proofErr w:type="spellStart"/>
      <w:r w:rsidRPr="003F7202">
        <w:rPr>
          <w:bCs/>
          <w:color w:val="auto"/>
          <w:szCs w:val="24"/>
        </w:rPr>
        <w:t>potentialdeterminants</w:t>
      </w:r>
      <w:proofErr w:type="spellEnd"/>
      <w:r w:rsidRPr="003F7202">
        <w:rPr>
          <w:bCs/>
          <w:color w:val="auto"/>
          <w:szCs w:val="24"/>
        </w:rPr>
        <w:t xml:space="preserve"> of plant </w:t>
      </w:r>
      <w:proofErr w:type="spellStart"/>
      <w:r w:rsidRPr="003F7202">
        <w:rPr>
          <w:bCs/>
          <w:color w:val="auto"/>
          <w:szCs w:val="24"/>
        </w:rPr>
        <w:t>community</w:t>
      </w:r>
      <w:proofErr w:type="spellEnd"/>
      <w:r w:rsidRPr="003F7202">
        <w:rPr>
          <w:bCs/>
          <w:color w:val="auto"/>
          <w:szCs w:val="24"/>
        </w:rPr>
        <w:t xml:space="preserve"> structure”. </w:t>
      </w:r>
      <w:proofErr w:type="spellStart"/>
      <w:r w:rsidRPr="003F7202">
        <w:rPr>
          <w:bCs/>
          <w:color w:val="auto"/>
          <w:szCs w:val="24"/>
        </w:rPr>
        <w:t>Ecology</w:t>
      </w:r>
      <w:proofErr w:type="spellEnd"/>
      <w:r w:rsidRPr="003F7202">
        <w:rPr>
          <w:bCs/>
          <w:color w:val="auto"/>
          <w:szCs w:val="24"/>
        </w:rPr>
        <w:t xml:space="preserve">, vol </w:t>
      </w:r>
      <w:proofErr w:type="gramStart"/>
      <w:r w:rsidRPr="003F7202">
        <w:rPr>
          <w:bCs/>
          <w:color w:val="auto"/>
          <w:szCs w:val="24"/>
        </w:rPr>
        <w:t>79:</w:t>
      </w:r>
      <w:proofErr w:type="gramEnd"/>
      <w:r w:rsidRPr="003F7202">
        <w:rPr>
          <w:bCs/>
          <w:color w:val="auto"/>
          <w:szCs w:val="24"/>
        </w:rPr>
        <w:t xml:space="preserve"> 2082-2091.</w:t>
      </w:r>
      <w:r w:rsidR="003F7202" w:rsidRPr="003F7202">
        <w:rPr>
          <w:bCs/>
          <w:color w:val="auto"/>
          <w:szCs w:val="24"/>
        </w:rPr>
        <w:t>https://doi.org/10.1890/0012-9658(1998)079[2082:DAMFSA]2.0.CO;2</w:t>
      </w:r>
    </w:p>
    <w:p w14:paraId="5C8949BD" w14:textId="77777777" w:rsidR="00CA1226" w:rsidRPr="00CA1226" w:rsidRDefault="00CA1226" w:rsidP="00CA1226">
      <w:pPr>
        <w:spacing w:after="0" w:line="360" w:lineRule="auto"/>
        <w:ind w:left="0" w:firstLine="0"/>
        <w:jc w:val="both"/>
        <w:rPr>
          <w:bCs/>
          <w:color w:val="auto"/>
          <w:szCs w:val="24"/>
        </w:rPr>
      </w:pPr>
    </w:p>
    <w:p w14:paraId="19DECA14"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WALIGORA C. &amp; VIAN J-F. (2010). Relations racines et sole un monde de communication et d'équilibres pp. 18-27-</w:t>
      </w:r>
    </w:p>
    <w:p w14:paraId="12FB22C2"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WALKER C. (1982). “</w:t>
      </w:r>
      <w:proofErr w:type="spellStart"/>
      <w:r w:rsidRPr="003F7202">
        <w:rPr>
          <w:bCs/>
          <w:color w:val="auto"/>
          <w:szCs w:val="24"/>
        </w:rPr>
        <w:t>Systematics</w:t>
      </w:r>
      <w:proofErr w:type="spellEnd"/>
      <w:r w:rsidRPr="003F7202">
        <w:rPr>
          <w:bCs/>
          <w:color w:val="auto"/>
          <w:szCs w:val="24"/>
        </w:rPr>
        <w:t xml:space="preserve"> and </w:t>
      </w:r>
      <w:proofErr w:type="spellStart"/>
      <w:r w:rsidRPr="003F7202">
        <w:rPr>
          <w:bCs/>
          <w:color w:val="auto"/>
          <w:szCs w:val="24"/>
        </w:rPr>
        <w:t>taxonomy</w:t>
      </w:r>
      <w:proofErr w:type="spellEnd"/>
      <w:r w:rsidRPr="003F7202">
        <w:rPr>
          <w:bCs/>
          <w:color w:val="auto"/>
          <w:szCs w:val="24"/>
        </w:rPr>
        <w:t xml:space="preserve"> of </w:t>
      </w:r>
      <w:proofErr w:type="spellStart"/>
      <w:r w:rsidRPr="003F7202">
        <w:rPr>
          <w:bCs/>
          <w:color w:val="auto"/>
          <w:szCs w:val="24"/>
        </w:rPr>
        <w:t>arbuscularendomycorhizal</w:t>
      </w:r>
      <w:proofErr w:type="spellEnd"/>
      <w:r w:rsidRPr="003F7202">
        <w:rPr>
          <w:bCs/>
          <w:color w:val="auto"/>
          <w:szCs w:val="24"/>
        </w:rPr>
        <w:t xml:space="preserve"> fungi (</w:t>
      </w:r>
      <w:proofErr w:type="spellStart"/>
      <w:r w:rsidRPr="003F7202">
        <w:rPr>
          <w:bCs/>
          <w:color w:val="auto"/>
          <w:szCs w:val="24"/>
        </w:rPr>
        <w:t>Glomales</w:t>
      </w:r>
      <w:proofErr w:type="spellEnd"/>
      <w:r w:rsidRPr="003F7202">
        <w:rPr>
          <w:bCs/>
          <w:color w:val="auto"/>
          <w:szCs w:val="24"/>
        </w:rPr>
        <w:t xml:space="preserve">) a possible </w:t>
      </w:r>
      <w:proofErr w:type="spellStart"/>
      <w:r w:rsidRPr="003F7202">
        <w:rPr>
          <w:bCs/>
          <w:color w:val="auto"/>
          <w:szCs w:val="24"/>
        </w:rPr>
        <w:t>wayforward</w:t>
      </w:r>
      <w:proofErr w:type="spellEnd"/>
      <w:r w:rsidRPr="003F7202">
        <w:rPr>
          <w:bCs/>
          <w:color w:val="auto"/>
          <w:szCs w:val="24"/>
        </w:rPr>
        <w:t>”. Elsevier/INRA. Agronomy</w:t>
      </w:r>
      <w:proofErr w:type="gramStart"/>
      <w:r w:rsidRPr="003F7202">
        <w:rPr>
          <w:bCs/>
          <w:color w:val="auto"/>
          <w:szCs w:val="24"/>
        </w:rPr>
        <w:t>12:</w:t>
      </w:r>
      <w:proofErr w:type="gramEnd"/>
      <w:r w:rsidRPr="003F7202">
        <w:rPr>
          <w:bCs/>
          <w:color w:val="auto"/>
          <w:szCs w:val="24"/>
        </w:rPr>
        <w:t>887-897.</w:t>
      </w:r>
      <w:r w:rsidR="003F7202" w:rsidRPr="003F7202">
        <w:rPr>
          <w:bCs/>
          <w:color w:val="auto"/>
          <w:szCs w:val="24"/>
        </w:rPr>
        <w:t>https://doi.org/10.1051/agro:19921026</w:t>
      </w:r>
    </w:p>
    <w:p w14:paraId="47711683" w14:textId="77777777" w:rsidR="00CA1226" w:rsidRPr="00CA1226" w:rsidRDefault="00CA1226" w:rsidP="00CA1226">
      <w:pPr>
        <w:spacing w:after="0" w:line="360" w:lineRule="auto"/>
        <w:ind w:left="0" w:firstLine="0"/>
        <w:jc w:val="both"/>
        <w:rPr>
          <w:bCs/>
          <w:color w:val="auto"/>
          <w:szCs w:val="24"/>
        </w:rPr>
      </w:pPr>
    </w:p>
    <w:p w14:paraId="5879759B"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WALKLEY A. &amp; BLACK A. (1934). “An </w:t>
      </w:r>
      <w:proofErr w:type="spellStart"/>
      <w:r w:rsidRPr="003F7202">
        <w:rPr>
          <w:bCs/>
          <w:color w:val="auto"/>
          <w:szCs w:val="24"/>
        </w:rPr>
        <w:t>examination</w:t>
      </w:r>
      <w:proofErr w:type="spellEnd"/>
      <w:r w:rsidRPr="003F7202">
        <w:rPr>
          <w:bCs/>
          <w:color w:val="auto"/>
          <w:szCs w:val="24"/>
        </w:rPr>
        <w:t xml:space="preserve"> of the </w:t>
      </w:r>
      <w:proofErr w:type="spellStart"/>
      <w:r w:rsidRPr="003F7202">
        <w:rPr>
          <w:bCs/>
          <w:color w:val="auto"/>
          <w:szCs w:val="24"/>
        </w:rPr>
        <w:t>Degtjareffmethod</w:t>
      </w:r>
      <w:proofErr w:type="spellEnd"/>
      <w:r w:rsidRPr="003F7202">
        <w:rPr>
          <w:bCs/>
          <w:color w:val="auto"/>
          <w:szCs w:val="24"/>
        </w:rPr>
        <w:t xml:space="preserve"> for </w:t>
      </w:r>
      <w:proofErr w:type="spellStart"/>
      <w:r w:rsidRPr="003F7202">
        <w:rPr>
          <w:bCs/>
          <w:color w:val="auto"/>
          <w:szCs w:val="24"/>
        </w:rPr>
        <w:t>determiningsoilorganicmatter</w:t>
      </w:r>
      <w:proofErr w:type="spellEnd"/>
      <w:r w:rsidRPr="003F7202">
        <w:rPr>
          <w:bCs/>
          <w:color w:val="auto"/>
          <w:szCs w:val="24"/>
        </w:rPr>
        <w:t xml:space="preserve"> and a </w:t>
      </w:r>
      <w:proofErr w:type="spellStart"/>
      <w:r w:rsidRPr="003F7202">
        <w:rPr>
          <w:bCs/>
          <w:color w:val="auto"/>
          <w:szCs w:val="24"/>
        </w:rPr>
        <w:t>proposed</w:t>
      </w:r>
      <w:proofErr w:type="spellEnd"/>
      <w:r w:rsidRPr="003F7202">
        <w:rPr>
          <w:bCs/>
          <w:color w:val="auto"/>
          <w:szCs w:val="24"/>
        </w:rPr>
        <w:t xml:space="preserve"> modification of the </w:t>
      </w:r>
      <w:proofErr w:type="spellStart"/>
      <w:r w:rsidRPr="003F7202">
        <w:rPr>
          <w:bCs/>
          <w:color w:val="auto"/>
          <w:szCs w:val="24"/>
        </w:rPr>
        <w:t>chromicacid</w:t>
      </w:r>
      <w:proofErr w:type="spellEnd"/>
      <w:r w:rsidRPr="003F7202">
        <w:rPr>
          <w:bCs/>
          <w:color w:val="auto"/>
          <w:szCs w:val="24"/>
        </w:rPr>
        <w:t xml:space="preserve"> titration </w:t>
      </w:r>
      <w:proofErr w:type="spellStart"/>
      <w:r w:rsidRPr="003F7202">
        <w:rPr>
          <w:bCs/>
          <w:color w:val="auto"/>
          <w:szCs w:val="24"/>
        </w:rPr>
        <w:t>method</w:t>
      </w:r>
      <w:proofErr w:type="spellEnd"/>
      <w:r w:rsidRPr="003F7202">
        <w:rPr>
          <w:bCs/>
          <w:color w:val="auto"/>
          <w:szCs w:val="24"/>
        </w:rPr>
        <w:t xml:space="preserve">”. </w:t>
      </w:r>
      <w:proofErr w:type="spellStart"/>
      <w:r w:rsidRPr="003F7202">
        <w:rPr>
          <w:bCs/>
          <w:color w:val="auto"/>
          <w:szCs w:val="24"/>
        </w:rPr>
        <w:t>SoilSci</w:t>
      </w:r>
      <w:proofErr w:type="spellEnd"/>
      <w:r w:rsidRPr="003F7202">
        <w:rPr>
          <w:bCs/>
          <w:color w:val="auto"/>
          <w:szCs w:val="24"/>
        </w:rPr>
        <w:t xml:space="preserve">. 37 : 29 – 38 </w:t>
      </w:r>
      <w:r w:rsidR="003F7202" w:rsidRPr="003F7202">
        <w:rPr>
          <w:bCs/>
          <w:color w:val="auto"/>
          <w:szCs w:val="24"/>
        </w:rPr>
        <w:t>https://doi.org/10.1097/00010694-193401000-00003</w:t>
      </w:r>
    </w:p>
    <w:p w14:paraId="46A1A93A" w14:textId="77777777" w:rsidR="00CA1226" w:rsidRPr="00CA1226" w:rsidRDefault="00CA1226" w:rsidP="00CA1226">
      <w:pPr>
        <w:spacing w:after="0" w:line="360" w:lineRule="auto"/>
        <w:ind w:left="0" w:firstLine="0"/>
        <w:jc w:val="both"/>
        <w:rPr>
          <w:bCs/>
          <w:color w:val="auto"/>
          <w:szCs w:val="24"/>
        </w:rPr>
      </w:pPr>
    </w:p>
    <w:p w14:paraId="42E601D1"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 xml:space="preserve">WARNER A., MOSSE B. (1982). </w:t>
      </w:r>
      <w:proofErr w:type="spellStart"/>
      <w:r w:rsidRPr="003F7202">
        <w:rPr>
          <w:bCs/>
          <w:color w:val="auto"/>
          <w:szCs w:val="24"/>
        </w:rPr>
        <w:t>Factorsaffecting</w:t>
      </w:r>
      <w:proofErr w:type="spellEnd"/>
      <w:r w:rsidRPr="003F7202">
        <w:rPr>
          <w:bCs/>
          <w:color w:val="auto"/>
          <w:szCs w:val="24"/>
        </w:rPr>
        <w:t xml:space="preserve"> the spread of </w:t>
      </w:r>
      <w:proofErr w:type="spellStart"/>
      <w:r w:rsidRPr="003F7202">
        <w:rPr>
          <w:bCs/>
          <w:color w:val="auto"/>
          <w:szCs w:val="24"/>
        </w:rPr>
        <w:t>vesicularmycorrhizal</w:t>
      </w:r>
      <w:proofErr w:type="spellEnd"/>
      <w:r w:rsidRPr="003F7202">
        <w:rPr>
          <w:bCs/>
          <w:color w:val="auto"/>
          <w:szCs w:val="24"/>
        </w:rPr>
        <w:t xml:space="preserve"> fungi in </w:t>
      </w:r>
      <w:proofErr w:type="spellStart"/>
      <w:r w:rsidRPr="003F7202">
        <w:rPr>
          <w:bCs/>
          <w:color w:val="auto"/>
          <w:szCs w:val="24"/>
        </w:rPr>
        <w:t>soil</w:t>
      </w:r>
      <w:proofErr w:type="spellEnd"/>
      <w:r w:rsidRPr="003F7202">
        <w:rPr>
          <w:bCs/>
          <w:color w:val="auto"/>
          <w:szCs w:val="24"/>
        </w:rPr>
        <w:t xml:space="preserve">. New </w:t>
      </w:r>
      <w:proofErr w:type="spellStart"/>
      <w:r w:rsidRPr="003F7202">
        <w:rPr>
          <w:bCs/>
          <w:color w:val="auto"/>
          <w:szCs w:val="24"/>
        </w:rPr>
        <w:t>Phytologist</w:t>
      </w:r>
      <w:proofErr w:type="spellEnd"/>
      <w:r w:rsidRPr="003F7202">
        <w:rPr>
          <w:bCs/>
          <w:color w:val="auto"/>
          <w:szCs w:val="24"/>
        </w:rPr>
        <w:t xml:space="preserve">. Vol. 90. </w:t>
      </w:r>
      <w:proofErr w:type="gramStart"/>
      <w:r w:rsidRPr="003F7202">
        <w:rPr>
          <w:bCs/>
          <w:color w:val="auto"/>
          <w:szCs w:val="24"/>
        </w:rPr>
        <w:t>pp:</w:t>
      </w:r>
      <w:proofErr w:type="gramEnd"/>
      <w:r w:rsidRPr="003F7202">
        <w:rPr>
          <w:bCs/>
          <w:color w:val="auto"/>
          <w:szCs w:val="24"/>
        </w:rPr>
        <w:t xml:space="preserve"> 529-536.</w:t>
      </w:r>
      <w:r w:rsidR="003F7202" w:rsidRPr="003F7202">
        <w:rPr>
          <w:bCs/>
          <w:color w:val="auto"/>
          <w:szCs w:val="24"/>
        </w:rPr>
        <w:t>https://doi.org/10.1111/j.1469-8137.1982.tb04485.x</w:t>
      </w:r>
    </w:p>
    <w:p w14:paraId="0CE09069" w14:textId="77777777" w:rsidR="00CA1226" w:rsidRPr="00CA1226" w:rsidRDefault="00CA1226" w:rsidP="00CA1226">
      <w:pPr>
        <w:spacing w:after="0" w:line="360" w:lineRule="auto"/>
        <w:ind w:left="0" w:firstLine="0"/>
        <w:jc w:val="both"/>
        <w:rPr>
          <w:bCs/>
          <w:color w:val="auto"/>
          <w:szCs w:val="24"/>
        </w:rPr>
      </w:pPr>
    </w:p>
    <w:p w14:paraId="1E10CBB0" w14:textId="77777777" w:rsidR="008B097D" w:rsidRPr="003F7202" w:rsidRDefault="00CA1226" w:rsidP="003F7202">
      <w:pPr>
        <w:pStyle w:val="ListParagraph"/>
        <w:numPr>
          <w:ilvl w:val="0"/>
          <w:numId w:val="3"/>
        </w:numPr>
        <w:spacing w:after="0" w:line="360" w:lineRule="auto"/>
        <w:jc w:val="both"/>
        <w:rPr>
          <w:color w:val="auto"/>
          <w:szCs w:val="24"/>
        </w:rPr>
        <w:sectPr w:rsidR="008B097D" w:rsidRPr="003F7202">
          <w:headerReference w:type="even" r:id="rId17"/>
          <w:headerReference w:type="default" r:id="rId18"/>
          <w:footerReference w:type="even" r:id="rId19"/>
          <w:footerReference w:type="default" r:id="rId20"/>
          <w:headerReference w:type="first" r:id="rId21"/>
          <w:footerReference w:type="first" r:id="rId22"/>
          <w:pgSz w:w="12240" w:h="15840"/>
          <w:pgMar w:top="1417" w:right="1417" w:bottom="1417" w:left="1417" w:header="720" w:footer="720" w:gutter="0"/>
          <w:cols w:space="720"/>
        </w:sectPr>
      </w:pPr>
      <w:r w:rsidRPr="003F7202">
        <w:rPr>
          <w:bCs/>
          <w:color w:val="auto"/>
          <w:szCs w:val="24"/>
        </w:rPr>
        <w:t xml:space="preserve">WEST N.E., STARK J.M., JOHNSON D.W., ABRAMS M.M., WIGHT J.R. HEGGEM </w:t>
      </w:r>
      <w:proofErr w:type="gramStart"/>
      <w:r w:rsidRPr="003F7202">
        <w:rPr>
          <w:bCs/>
          <w:color w:val="auto"/>
          <w:szCs w:val="24"/>
        </w:rPr>
        <w:t>D.,PECK</w:t>
      </w:r>
      <w:proofErr w:type="gramEnd"/>
      <w:r w:rsidRPr="003F7202">
        <w:rPr>
          <w:bCs/>
          <w:color w:val="auto"/>
          <w:szCs w:val="24"/>
        </w:rPr>
        <w:t xml:space="preserve"> S. (1994). </w:t>
      </w:r>
      <w:proofErr w:type="spellStart"/>
      <w:r w:rsidRPr="003F7202">
        <w:rPr>
          <w:bCs/>
          <w:color w:val="auto"/>
          <w:szCs w:val="24"/>
        </w:rPr>
        <w:t>Effects</w:t>
      </w:r>
      <w:proofErr w:type="spellEnd"/>
      <w:r w:rsidRPr="003F7202">
        <w:rPr>
          <w:bCs/>
          <w:color w:val="auto"/>
          <w:szCs w:val="24"/>
        </w:rPr>
        <w:t xml:space="preserve"> of </w:t>
      </w:r>
      <w:proofErr w:type="spellStart"/>
      <w:r w:rsidRPr="003F7202">
        <w:rPr>
          <w:bCs/>
          <w:color w:val="auto"/>
          <w:szCs w:val="24"/>
        </w:rPr>
        <w:t>climatic</w:t>
      </w:r>
      <w:proofErr w:type="spellEnd"/>
      <w:r w:rsidRPr="003F7202">
        <w:rPr>
          <w:bCs/>
          <w:color w:val="auto"/>
          <w:szCs w:val="24"/>
        </w:rPr>
        <w:t xml:space="preserve"> change on the </w:t>
      </w:r>
      <w:proofErr w:type="spellStart"/>
      <w:r w:rsidRPr="003F7202">
        <w:rPr>
          <w:bCs/>
          <w:color w:val="auto"/>
          <w:szCs w:val="24"/>
        </w:rPr>
        <w:t>edaphiccharacteristics</w:t>
      </w:r>
      <w:proofErr w:type="spellEnd"/>
      <w:r w:rsidRPr="003F7202">
        <w:rPr>
          <w:bCs/>
          <w:color w:val="auto"/>
          <w:szCs w:val="24"/>
        </w:rPr>
        <w:t xml:space="preserve"> of </w:t>
      </w:r>
      <w:proofErr w:type="spellStart"/>
      <w:r w:rsidRPr="003F7202">
        <w:rPr>
          <w:bCs/>
          <w:color w:val="auto"/>
          <w:szCs w:val="24"/>
        </w:rPr>
        <w:t>arid</w:t>
      </w:r>
      <w:proofErr w:type="spellEnd"/>
      <w:r w:rsidRPr="003F7202">
        <w:rPr>
          <w:bCs/>
          <w:color w:val="auto"/>
          <w:szCs w:val="24"/>
        </w:rPr>
        <w:t xml:space="preserve"> and </w:t>
      </w:r>
      <w:proofErr w:type="spellStart"/>
      <w:r w:rsidRPr="003F7202">
        <w:rPr>
          <w:bCs/>
          <w:color w:val="auto"/>
          <w:szCs w:val="24"/>
        </w:rPr>
        <w:t>semi-aridd</w:t>
      </w:r>
      <w:proofErr w:type="spellEnd"/>
      <w:r w:rsidRPr="003F7202">
        <w:rPr>
          <w:bCs/>
          <w:color w:val="auto"/>
          <w:szCs w:val="24"/>
        </w:rPr>
        <w:t xml:space="preserve"> lands of </w:t>
      </w:r>
      <w:proofErr w:type="spellStart"/>
      <w:r w:rsidRPr="003F7202">
        <w:rPr>
          <w:bCs/>
          <w:color w:val="auto"/>
          <w:szCs w:val="24"/>
        </w:rPr>
        <w:t>Nwestern</w:t>
      </w:r>
      <w:proofErr w:type="spellEnd"/>
      <w:r w:rsidRPr="003F7202">
        <w:rPr>
          <w:bCs/>
          <w:color w:val="auto"/>
          <w:szCs w:val="24"/>
        </w:rPr>
        <w:t xml:space="preserve"> North-America. </w:t>
      </w:r>
      <w:proofErr w:type="spellStart"/>
      <w:r w:rsidRPr="003F7202">
        <w:rPr>
          <w:bCs/>
          <w:color w:val="auto"/>
          <w:szCs w:val="24"/>
        </w:rPr>
        <w:t>AridSoilRes</w:t>
      </w:r>
      <w:proofErr w:type="spellEnd"/>
      <w:r w:rsidRPr="003F7202">
        <w:rPr>
          <w:bCs/>
          <w:color w:val="auto"/>
          <w:szCs w:val="24"/>
        </w:rPr>
        <w:t>. Rehabil.Vol.</w:t>
      </w:r>
      <w:proofErr w:type="gramStart"/>
      <w:r w:rsidRPr="003F7202">
        <w:rPr>
          <w:bCs/>
          <w:color w:val="auto"/>
          <w:szCs w:val="24"/>
        </w:rPr>
        <w:t>8.N</w:t>
      </w:r>
      <w:proofErr w:type="gramEnd"/>
      <w:r w:rsidRPr="003F7202">
        <w:rPr>
          <w:bCs/>
          <w:color w:val="auto"/>
          <w:szCs w:val="24"/>
        </w:rPr>
        <w:t xml:space="preserve">°4. </w:t>
      </w:r>
      <w:proofErr w:type="gramStart"/>
      <w:r w:rsidRPr="003F7202">
        <w:rPr>
          <w:bCs/>
          <w:color w:val="auto"/>
          <w:szCs w:val="24"/>
        </w:rPr>
        <w:t>pp</w:t>
      </w:r>
      <w:proofErr w:type="gramEnd"/>
      <w:r w:rsidRPr="003F7202">
        <w:rPr>
          <w:bCs/>
          <w:color w:val="auto"/>
          <w:szCs w:val="24"/>
        </w:rPr>
        <w:t xml:space="preserve"> : 307-351.</w:t>
      </w:r>
    </w:p>
    <w:p w14:paraId="0562D39E" w14:textId="77777777" w:rsidR="008B097D" w:rsidRDefault="008B097D">
      <w:pPr>
        <w:spacing w:after="0" w:line="360" w:lineRule="auto"/>
        <w:ind w:left="0" w:firstLine="0"/>
        <w:jc w:val="both"/>
        <w:rPr>
          <w:color w:val="auto"/>
          <w:szCs w:val="24"/>
          <w:lang w:val="en-US"/>
        </w:rPr>
      </w:pPr>
    </w:p>
    <w:p w14:paraId="3B5CFC1C" w14:textId="77777777" w:rsidR="008B097D" w:rsidRDefault="008B097D">
      <w:pPr>
        <w:spacing w:after="223" w:line="360" w:lineRule="auto"/>
        <w:ind w:left="0" w:firstLine="0"/>
        <w:jc w:val="both"/>
        <w:rPr>
          <w:color w:val="auto"/>
          <w:szCs w:val="24"/>
          <w:lang w:val="en-US"/>
        </w:rPr>
      </w:pPr>
    </w:p>
    <w:p w14:paraId="7940A259" w14:textId="77777777" w:rsidR="008B097D" w:rsidRDefault="008B097D">
      <w:pPr>
        <w:spacing w:after="223" w:line="360" w:lineRule="auto"/>
        <w:ind w:left="0" w:firstLine="0"/>
        <w:jc w:val="both"/>
        <w:rPr>
          <w:color w:val="auto"/>
          <w:szCs w:val="24"/>
          <w:lang w:val="en-US"/>
        </w:rPr>
      </w:pPr>
    </w:p>
    <w:p w14:paraId="3FA12AEA" w14:textId="77777777" w:rsidR="008B097D" w:rsidRDefault="008B097D">
      <w:pPr>
        <w:spacing w:after="223" w:line="360" w:lineRule="auto"/>
        <w:ind w:left="0" w:firstLine="0"/>
        <w:jc w:val="both"/>
        <w:rPr>
          <w:color w:val="auto"/>
          <w:szCs w:val="24"/>
          <w:lang w:val="en-US"/>
        </w:rPr>
      </w:pPr>
    </w:p>
    <w:p w14:paraId="24F83325" w14:textId="77777777" w:rsidR="008B097D" w:rsidRDefault="008B097D">
      <w:pPr>
        <w:spacing w:after="223" w:line="360" w:lineRule="auto"/>
        <w:ind w:left="0" w:firstLine="0"/>
        <w:jc w:val="both"/>
        <w:rPr>
          <w:color w:val="auto"/>
          <w:szCs w:val="24"/>
          <w:lang w:val="en-US"/>
        </w:rPr>
      </w:pPr>
    </w:p>
    <w:p w14:paraId="60CEC7A4" w14:textId="77777777" w:rsidR="008B097D" w:rsidRDefault="008B097D">
      <w:pPr>
        <w:spacing w:after="223" w:line="360" w:lineRule="auto"/>
        <w:ind w:left="0" w:firstLine="0"/>
        <w:jc w:val="both"/>
        <w:rPr>
          <w:color w:val="auto"/>
          <w:szCs w:val="24"/>
          <w:lang w:val="en-US"/>
        </w:rPr>
      </w:pPr>
    </w:p>
    <w:p w14:paraId="77CDB711" w14:textId="77777777" w:rsidR="008B097D" w:rsidRDefault="008B097D">
      <w:pPr>
        <w:spacing w:after="223" w:line="360" w:lineRule="auto"/>
        <w:ind w:left="0" w:firstLine="0"/>
        <w:jc w:val="both"/>
        <w:rPr>
          <w:color w:val="auto"/>
          <w:szCs w:val="24"/>
          <w:lang w:val="en-US"/>
        </w:rPr>
      </w:pPr>
    </w:p>
    <w:sectPr w:rsidR="008B097D" w:rsidSect="00150C78">
      <w:headerReference w:type="even" r:id="rId23"/>
      <w:headerReference w:type="default" r:id="rId24"/>
      <w:footerReference w:type="default" r:id="rId25"/>
      <w:headerReference w:type="first" r:id="rId26"/>
      <w:pgSz w:w="11908" w:h="16836"/>
      <w:pgMar w:top="1423" w:right="1419" w:bottom="168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540CB" w14:textId="77777777" w:rsidR="00DD4A2E" w:rsidRDefault="00DD4A2E">
      <w:pPr>
        <w:spacing w:line="240" w:lineRule="auto"/>
      </w:pPr>
      <w:r>
        <w:separator/>
      </w:r>
    </w:p>
  </w:endnote>
  <w:endnote w:type="continuationSeparator" w:id="0">
    <w:p w14:paraId="38EB4813" w14:textId="77777777" w:rsidR="00DD4A2E" w:rsidRDefault="00DD4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31B" w14:textId="77777777" w:rsidR="00E56FAB" w:rsidRDefault="00E5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D902" w14:textId="77777777" w:rsidR="00E56FAB" w:rsidRDefault="00E56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833D" w14:textId="77777777" w:rsidR="00E56FAB" w:rsidRDefault="00E56F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0608" w14:textId="77777777" w:rsidR="008B097D" w:rsidRDefault="008B0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87A90" w14:textId="77777777" w:rsidR="00DD4A2E" w:rsidRDefault="00DD4A2E">
      <w:pPr>
        <w:spacing w:after="0"/>
      </w:pPr>
      <w:r>
        <w:separator/>
      </w:r>
    </w:p>
  </w:footnote>
  <w:footnote w:type="continuationSeparator" w:id="0">
    <w:p w14:paraId="2E0BFDF6" w14:textId="77777777" w:rsidR="00DD4A2E" w:rsidRDefault="00DD4A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6656" w14:textId="77777777" w:rsidR="00E56FAB" w:rsidRDefault="00DD4A2E">
    <w:pPr>
      <w:pStyle w:val="Header"/>
    </w:pPr>
    <w:r>
      <w:rPr>
        <w:noProof/>
      </w:rPr>
      <w:pict w14:anchorId="5FB53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1"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ED13" w14:textId="77777777" w:rsidR="00E56FAB" w:rsidRDefault="00DD4A2E">
    <w:pPr>
      <w:pStyle w:val="Header"/>
    </w:pPr>
    <w:r>
      <w:rPr>
        <w:noProof/>
      </w:rPr>
      <w:pict w14:anchorId="45C8A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2"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C078" w14:textId="77777777" w:rsidR="00E56FAB" w:rsidRDefault="00DD4A2E">
    <w:pPr>
      <w:pStyle w:val="Header"/>
    </w:pPr>
    <w:r>
      <w:rPr>
        <w:noProof/>
      </w:rPr>
      <w:pict w14:anchorId="3E8D5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0" o:spid="_x0000_s2049" type="#_x0000_t136" style="position:absolute;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5419" w14:textId="77777777" w:rsidR="00E56FAB" w:rsidRDefault="00DD4A2E">
    <w:pPr>
      <w:pStyle w:val="Header"/>
    </w:pPr>
    <w:r>
      <w:rPr>
        <w:noProof/>
      </w:rPr>
      <w:pict w14:anchorId="4F6B5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4" o:spid="_x0000_s2053"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B25F" w14:textId="77777777" w:rsidR="008B097D" w:rsidRDefault="00DD4A2E">
    <w:pPr>
      <w:pStyle w:val="Header"/>
      <w:pBdr>
        <w:bottom w:val="single" w:sz="8" w:space="1" w:color="auto"/>
      </w:pBdr>
      <w:jc w:val="right"/>
    </w:pPr>
    <w:r>
      <w:rPr>
        <w:noProof/>
      </w:rPr>
      <w:pict w14:anchorId="63D42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5" o:spid="_x0000_s2054" type="#_x0000_t136" style="position:absolute;left:0;text-align:left;margin-left:0;margin-top:0;width:595.85pt;height:67.2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F867" w14:textId="77777777" w:rsidR="00E56FAB" w:rsidRDefault="00DD4A2E">
    <w:pPr>
      <w:pStyle w:val="Header"/>
    </w:pPr>
    <w:r>
      <w:rPr>
        <w:noProof/>
      </w:rPr>
      <w:pict w14:anchorId="5E15D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3" o:spid="_x0000_s2052"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02DAFA"/>
    <w:multiLevelType w:val="singleLevel"/>
    <w:tmpl w:val="9B02DAFA"/>
    <w:lvl w:ilvl="0">
      <w:start w:val="1"/>
      <w:numFmt w:val="decimal"/>
      <w:suff w:val="space"/>
      <w:lvlText w:val="%1."/>
      <w:lvlJc w:val="left"/>
    </w:lvl>
  </w:abstractNum>
  <w:abstractNum w:abstractNumId="1" w15:restartNumberingAfterBreak="0">
    <w:nsid w:val="19A7514D"/>
    <w:multiLevelType w:val="hybridMultilevel"/>
    <w:tmpl w:val="6E4A8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264A7"/>
    <w:multiLevelType w:val="multilevel"/>
    <w:tmpl w:val="3EC264A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EE7793"/>
    <w:rsid w:val="000019FF"/>
    <w:rsid w:val="00010ABF"/>
    <w:rsid w:val="0001525F"/>
    <w:rsid w:val="0004636B"/>
    <w:rsid w:val="00055E01"/>
    <w:rsid w:val="000D2ACC"/>
    <w:rsid w:val="000E2043"/>
    <w:rsid w:val="0011765B"/>
    <w:rsid w:val="001311E0"/>
    <w:rsid w:val="00150C78"/>
    <w:rsid w:val="00173FED"/>
    <w:rsid w:val="00177C6E"/>
    <w:rsid w:val="00180EAB"/>
    <w:rsid w:val="00181B41"/>
    <w:rsid w:val="001832A3"/>
    <w:rsid w:val="001E3A85"/>
    <w:rsid w:val="001E4524"/>
    <w:rsid w:val="001E7965"/>
    <w:rsid w:val="00206B42"/>
    <w:rsid w:val="00221405"/>
    <w:rsid w:val="00237B25"/>
    <w:rsid w:val="00244A0C"/>
    <w:rsid w:val="0026153C"/>
    <w:rsid w:val="00262E50"/>
    <w:rsid w:val="00267874"/>
    <w:rsid w:val="00294190"/>
    <w:rsid w:val="00315FC8"/>
    <w:rsid w:val="003350AD"/>
    <w:rsid w:val="00361120"/>
    <w:rsid w:val="00366E71"/>
    <w:rsid w:val="0038395E"/>
    <w:rsid w:val="003967A2"/>
    <w:rsid w:val="003B5BCF"/>
    <w:rsid w:val="003C2BF7"/>
    <w:rsid w:val="003D33AA"/>
    <w:rsid w:val="003D753D"/>
    <w:rsid w:val="003F23D4"/>
    <w:rsid w:val="003F7202"/>
    <w:rsid w:val="00406A66"/>
    <w:rsid w:val="00406FCF"/>
    <w:rsid w:val="00432785"/>
    <w:rsid w:val="00462B12"/>
    <w:rsid w:val="00465479"/>
    <w:rsid w:val="00494E53"/>
    <w:rsid w:val="004E362D"/>
    <w:rsid w:val="00515C6A"/>
    <w:rsid w:val="00570651"/>
    <w:rsid w:val="005A2C95"/>
    <w:rsid w:val="005C0859"/>
    <w:rsid w:val="005C2B41"/>
    <w:rsid w:val="005D2564"/>
    <w:rsid w:val="005D6F8D"/>
    <w:rsid w:val="006018FC"/>
    <w:rsid w:val="00646D33"/>
    <w:rsid w:val="00663606"/>
    <w:rsid w:val="006A034F"/>
    <w:rsid w:val="006C1DFB"/>
    <w:rsid w:val="006E32EA"/>
    <w:rsid w:val="00725546"/>
    <w:rsid w:val="0075590C"/>
    <w:rsid w:val="00773E4A"/>
    <w:rsid w:val="007847AA"/>
    <w:rsid w:val="00792048"/>
    <w:rsid w:val="00874270"/>
    <w:rsid w:val="00874B9A"/>
    <w:rsid w:val="00884254"/>
    <w:rsid w:val="008B097D"/>
    <w:rsid w:val="008C3192"/>
    <w:rsid w:val="008D2440"/>
    <w:rsid w:val="008D26B2"/>
    <w:rsid w:val="008E2AFC"/>
    <w:rsid w:val="00902332"/>
    <w:rsid w:val="00975F70"/>
    <w:rsid w:val="009B51AF"/>
    <w:rsid w:val="00A44956"/>
    <w:rsid w:val="00A5787B"/>
    <w:rsid w:val="00A63005"/>
    <w:rsid w:val="00A6554D"/>
    <w:rsid w:val="00A77265"/>
    <w:rsid w:val="00AD12A5"/>
    <w:rsid w:val="00AE1487"/>
    <w:rsid w:val="00AF3355"/>
    <w:rsid w:val="00B33BBC"/>
    <w:rsid w:val="00B56520"/>
    <w:rsid w:val="00B7699F"/>
    <w:rsid w:val="00B9131F"/>
    <w:rsid w:val="00B96241"/>
    <w:rsid w:val="00BA79DD"/>
    <w:rsid w:val="00BB44A7"/>
    <w:rsid w:val="00BC5D1A"/>
    <w:rsid w:val="00C1513A"/>
    <w:rsid w:val="00C24D71"/>
    <w:rsid w:val="00C66684"/>
    <w:rsid w:val="00C77779"/>
    <w:rsid w:val="00C84445"/>
    <w:rsid w:val="00CA1226"/>
    <w:rsid w:val="00CE6BA7"/>
    <w:rsid w:val="00D1482A"/>
    <w:rsid w:val="00D224DF"/>
    <w:rsid w:val="00D225A2"/>
    <w:rsid w:val="00D453F0"/>
    <w:rsid w:val="00D459F1"/>
    <w:rsid w:val="00D63636"/>
    <w:rsid w:val="00DB4988"/>
    <w:rsid w:val="00DC7CEE"/>
    <w:rsid w:val="00DD4A2E"/>
    <w:rsid w:val="00E21949"/>
    <w:rsid w:val="00E35217"/>
    <w:rsid w:val="00E445DA"/>
    <w:rsid w:val="00E56FAB"/>
    <w:rsid w:val="00E66E08"/>
    <w:rsid w:val="00E91470"/>
    <w:rsid w:val="00EE5626"/>
    <w:rsid w:val="00EE7793"/>
    <w:rsid w:val="00F803FC"/>
    <w:rsid w:val="00FB397D"/>
    <w:rsid w:val="00FE477A"/>
    <w:rsid w:val="107A2416"/>
    <w:rsid w:val="3C9862ED"/>
    <w:rsid w:val="4AE73E03"/>
    <w:rsid w:val="6F4917B6"/>
    <w:rsid w:val="783B7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57C3256B"/>
  <w15:docId w15:val="{031241E0-D2F1-444B-9F3C-0B7B7589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C78"/>
    <w:pPr>
      <w:spacing w:after="25" w:line="249" w:lineRule="auto"/>
      <w:ind w:left="10" w:hanging="10"/>
    </w:pPr>
    <w:rPr>
      <w:rFonts w:eastAsia="Times New Roman"/>
      <w:color w:val="000000"/>
      <w:sz w:val="24"/>
      <w:szCs w:val="22"/>
      <w:lang w:val="fr-FR" w:eastAsia="fr-FR"/>
    </w:rPr>
  </w:style>
  <w:style w:type="paragraph" w:styleId="Heading1">
    <w:name w:val="heading 1"/>
    <w:basedOn w:val="Normal"/>
    <w:next w:val="Normal"/>
    <w:link w:val="Heading1Char1"/>
    <w:uiPriority w:val="9"/>
    <w:qFormat/>
    <w:rsid w:val="00150C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unhideWhenUsed/>
    <w:qFormat/>
    <w:rsid w:val="00150C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rsid w:val="00150C78"/>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1"/>
    <w:uiPriority w:val="9"/>
    <w:unhideWhenUsed/>
    <w:qFormat/>
    <w:rsid w:val="00150C7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iPriority w:val="9"/>
    <w:unhideWhenUsed/>
    <w:qFormat/>
    <w:rsid w:val="00150C7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0C78"/>
    <w:pPr>
      <w:keepNext/>
      <w:keepLines/>
      <w:spacing w:before="200" w:after="0"/>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1"/>
    <w:uiPriority w:val="9"/>
    <w:semiHidden/>
    <w:unhideWhenUsed/>
    <w:qFormat/>
    <w:rsid w:val="00150C78"/>
    <w:pPr>
      <w:keepNext/>
      <w:keepLines/>
      <w:spacing w:before="40" w:after="0" w:line="240" w:lineRule="auto"/>
      <w:ind w:left="0" w:firstLine="0"/>
      <w:outlineLvl w:val="6"/>
    </w:pPr>
    <w:rPr>
      <w:rFonts w:asciiTheme="majorHAnsi" w:eastAsiaTheme="majorEastAsia" w:hAnsiTheme="majorHAnsi" w:cstheme="majorBidi"/>
      <w:i/>
      <w:iCs/>
      <w:color w:val="1F4E79" w:themeColor="accent1" w:themeShade="80"/>
      <w:sz w:val="22"/>
      <w:lang w:eastAsia="en-US"/>
    </w:rPr>
  </w:style>
  <w:style w:type="paragraph" w:styleId="Heading8">
    <w:name w:val="heading 8"/>
    <w:basedOn w:val="Normal"/>
    <w:next w:val="Normal"/>
    <w:link w:val="Heading8Char"/>
    <w:uiPriority w:val="9"/>
    <w:semiHidden/>
    <w:unhideWhenUsed/>
    <w:qFormat/>
    <w:rsid w:val="00150C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0C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50C78"/>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150C7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sid w:val="00150C78"/>
    <w:rPr>
      <w:sz w:val="16"/>
      <w:szCs w:val="16"/>
    </w:rPr>
  </w:style>
  <w:style w:type="paragraph" w:styleId="CommentText">
    <w:name w:val="annotation text"/>
    <w:basedOn w:val="Normal"/>
    <w:link w:val="CommentTextChar"/>
    <w:uiPriority w:val="99"/>
    <w:unhideWhenUsed/>
    <w:qFormat/>
    <w:rsid w:val="00150C7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50C78"/>
    <w:rPr>
      <w:b/>
      <w:bCs/>
    </w:rPr>
  </w:style>
  <w:style w:type="character" w:styleId="Emphasis">
    <w:name w:val="Emphasis"/>
    <w:uiPriority w:val="20"/>
    <w:qFormat/>
    <w:rsid w:val="00150C78"/>
    <w:rPr>
      <w:i/>
      <w:iCs/>
    </w:rPr>
  </w:style>
  <w:style w:type="character" w:styleId="EndnoteReference">
    <w:name w:val="endnote reference"/>
    <w:uiPriority w:val="99"/>
    <w:semiHidden/>
    <w:unhideWhenUsed/>
    <w:qFormat/>
    <w:rsid w:val="00150C78"/>
    <w:rPr>
      <w:vertAlign w:val="superscript"/>
    </w:rPr>
  </w:style>
  <w:style w:type="paragraph" w:styleId="EndnoteText">
    <w:name w:val="endnote text"/>
    <w:basedOn w:val="Normal"/>
    <w:link w:val="EndnoteTextChar"/>
    <w:uiPriority w:val="99"/>
    <w:semiHidden/>
    <w:unhideWhenUsed/>
    <w:qFormat/>
    <w:rsid w:val="00150C78"/>
    <w:pPr>
      <w:spacing w:after="0" w:line="240" w:lineRule="auto"/>
    </w:pPr>
    <w:rPr>
      <w:sz w:val="20"/>
      <w:szCs w:val="20"/>
    </w:rPr>
  </w:style>
  <w:style w:type="character" w:styleId="FollowedHyperlink">
    <w:name w:val="FollowedHyperlink"/>
    <w:uiPriority w:val="99"/>
    <w:semiHidden/>
    <w:unhideWhenUsed/>
    <w:qFormat/>
    <w:rsid w:val="00150C78"/>
    <w:rPr>
      <w:color w:val="954F72" w:themeColor="followedHyperlink"/>
      <w:u w:val="single"/>
    </w:rPr>
  </w:style>
  <w:style w:type="paragraph" w:styleId="Footer">
    <w:name w:val="footer"/>
    <w:basedOn w:val="Normal"/>
    <w:link w:val="FooterChar1"/>
    <w:uiPriority w:val="99"/>
    <w:unhideWhenUsed/>
    <w:qFormat/>
    <w:rsid w:val="00150C78"/>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FootnoteReference">
    <w:name w:val="footnote reference"/>
    <w:uiPriority w:val="99"/>
    <w:semiHidden/>
    <w:unhideWhenUsed/>
    <w:qFormat/>
    <w:rsid w:val="00150C78"/>
    <w:rPr>
      <w:vertAlign w:val="superscript"/>
    </w:rPr>
  </w:style>
  <w:style w:type="paragraph" w:styleId="FootnoteText">
    <w:name w:val="footnote text"/>
    <w:basedOn w:val="Normal"/>
    <w:link w:val="FootnoteTextChar1"/>
    <w:uiPriority w:val="99"/>
    <w:unhideWhenUsed/>
    <w:qFormat/>
    <w:rsid w:val="00150C78"/>
    <w:pPr>
      <w:spacing w:after="0" w:line="240" w:lineRule="auto"/>
      <w:ind w:left="0" w:firstLine="0"/>
    </w:pPr>
    <w:rPr>
      <w:rFonts w:asciiTheme="minorHAnsi" w:eastAsiaTheme="minorEastAsia" w:hAnsiTheme="minorHAnsi"/>
      <w:color w:val="auto"/>
      <w:sz w:val="20"/>
      <w:szCs w:val="20"/>
    </w:rPr>
  </w:style>
  <w:style w:type="paragraph" w:styleId="Header">
    <w:name w:val="header"/>
    <w:basedOn w:val="Normal"/>
    <w:link w:val="HeaderChar1"/>
    <w:uiPriority w:val="99"/>
    <w:unhideWhenUsed/>
    <w:qFormat/>
    <w:rsid w:val="00150C78"/>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Hyperlink">
    <w:name w:val="Hyperlink"/>
    <w:basedOn w:val="DefaultParagraphFont"/>
    <w:uiPriority w:val="99"/>
    <w:unhideWhenUsed/>
    <w:qFormat/>
    <w:rsid w:val="00150C78"/>
    <w:rPr>
      <w:color w:val="0563C1" w:themeColor="hyperlink"/>
      <w:u w:val="single"/>
    </w:rPr>
  </w:style>
  <w:style w:type="paragraph" w:styleId="NormalWeb">
    <w:name w:val="Normal (Web)"/>
    <w:basedOn w:val="Normal"/>
    <w:uiPriority w:val="99"/>
    <w:unhideWhenUsed/>
    <w:qFormat/>
    <w:rsid w:val="00150C78"/>
    <w:pPr>
      <w:spacing w:before="100" w:after="100" w:line="276" w:lineRule="auto"/>
      <w:ind w:left="0" w:firstLine="0"/>
      <w:jc w:val="both"/>
    </w:pPr>
    <w:rPr>
      <w:rFonts w:asciiTheme="minorHAnsi" w:eastAsiaTheme="minorEastAsia" w:hAnsiTheme="minorHAnsi" w:cstheme="minorBidi"/>
      <w:color w:val="404040"/>
      <w:sz w:val="20"/>
      <w:szCs w:val="20"/>
      <w:lang w:val="zh-CN" w:eastAsia="zh-CN" w:bidi="th-TH"/>
    </w:rPr>
  </w:style>
  <w:style w:type="paragraph" w:styleId="PlainText">
    <w:name w:val="Plain Text"/>
    <w:basedOn w:val="Normal"/>
    <w:link w:val="PlainTextChar"/>
    <w:uiPriority w:val="99"/>
    <w:semiHidden/>
    <w:unhideWhenUsed/>
    <w:qFormat/>
    <w:rsid w:val="00150C78"/>
    <w:pPr>
      <w:spacing w:after="0" w:line="240" w:lineRule="auto"/>
    </w:pPr>
    <w:rPr>
      <w:rFonts w:ascii="Courier New" w:hAnsi="Courier New" w:cs="Courier New"/>
      <w:sz w:val="21"/>
      <w:szCs w:val="21"/>
    </w:rPr>
  </w:style>
  <w:style w:type="character" w:styleId="Strong">
    <w:name w:val="Strong"/>
    <w:uiPriority w:val="22"/>
    <w:qFormat/>
    <w:rsid w:val="00150C78"/>
    <w:rPr>
      <w:b/>
      <w:bCs/>
    </w:rPr>
  </w:style>
  <w:style w:type="paragraph" w:styleId="Subtitle">
    <w:name w:val="Subtitle"/>
    <w:basedOn w:val="Normal"/>
    <w:next w:val="Normal"/>
    <w:link w:val="SubtitleChar"/>
    <w:uiPriority w:val="11"/>
    <w:qFormat/>
    <w:rsid w:val="00150C78"/>
    <w:rPr>
      <w:rFonts w:asciiTheme="majorHAnsi" w:eastAsiaTheme="majorEastAsia" w:hAnsiTheme="majorHAnsi" w:cstheme="majorBidi"/>
      <w:i/>
      <w:iCs/>
      <w:color w:val="5B9BD5" w:themeColor="accent1"/>
      <w:spacing w:val="15"/>
      <w:szCs w:val="24"/>
    </w:rPr>
  </w:style>
  <w:style w:type="table" w:styleId="TableGrid">
    <w:name w:val="Table Grid"/>
    <w:basedOn w:val="TableNormal"/>
    <w:uiPriority w:val="5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150C78"/>
    <w:pPr>
      <w:tabs>
        <w:tab w:val="right" w:leader="dot" w:pos="9061"/>
      </w:tabs>
      <w:spacing w:after="0" w:line="240" w:lineRule="auto"/>
      <w:ind w:left="0" w:firstLine="0"/>
      <w:jc w:val="both"/>
    </w:pPr>
    <w:rPr>
      <w:rFonts w:ascii="Calibri" w:eastAsia="Calibri" w:hAnsi="Calibri"/>
      <w:color w:val="auto"/>
      <w:sz w:val="22"/>
      <w:lang w:eastAsia="en-US"/>
    </w:rPr>
  </w:style>
  <w:style w:type="paragraph" w:styleId="Title">
    <w:name w:val="Title"/>
    <w:basedOn w:val="Normal"/>
    <w:next w:val="Normal"/>
    <w:link w:val="TitleChar1"/>
    <w:uiPriority w:val="10"/>
    <w:qFormat/>
    <w:rsid w:val="00150C78"/>
    <w:pPr>
      <w:pBdr>
        <w:bottom w:val="single" w:sz="8" w:space="4" w:color="5B9BD5" w:themeColor="accent1"/>
      </w:pBdr>
      <w:spacing w:after="300" w:line="240" w:lineRule="auto"/>
      <w:ind w:left="0" w:firstLine="0"/>
      <w:contextualSpacing/>
    </w:pPr>
    <w:rPr>
      <w:rFonts w:asciiTheme="majorHAnsi" w:eastAsiaTheme="majorEastAsia" w:hAnsiTheme="majorHAnsi" w:cstheme="majorBidi"/>
      <w:color w:val="323E4F" w:themeColor="text2" w:themeShade="BF"/>
      <w:spacing w:val="5"/>
      <w:sz w:val="52"/>
      <w:szCs w:val="52"/>
      <w:lang w:val="en-US" w:eastAsia="en-US"/>
    </w:rPr>
  </w:style>
  <w:style w:type="paragraph" w:styleId="TOC1">
    <w:name w:val="toc 1"/>
    <w:basedOn w:val="Normal"/>
    <w:next w:val="Normal"/>
    <w:uiPriority w:val="39"/>
    <w:unhideWhenUsed/>
    <w:qFormat/>
    <w:rsid w:val="00150C78"/>
    <w:pPr>
      <w:spacing w:before="120" w:after="120" w:line="240" w:lineRule="auto"/>
      <w:ind w:left="0" w:firstLine="0"/>
    </w:pPr>
    <w:rPr>
      <w:rFonts w:asciiTheme="minorHAnsi" w:eastAsia="Calibri" w:hAnsiTheme="minorHAnsi"/>
      <w:b/>
      <w:bCs/>
      <w:caps/>
      <w:color w:val="auto"/>
      <w:sz w:val="20"/>
      <w:szCs w:val="20"/>
      <w:lang w:eastAsia="en-US"/>
    </w:rPr>
  </w:style>
  <w:style w:type="paragraph" w:styleId="TOC2">
    <w:name w:val="toc 2"/>
    <w:basedOn w:val="Normal"/>
    <w:next w:val="Normal"/>
    <w:uiPriority w:val="39"/>
    <w:unhideWhenUsed/>
    <w:qFormat/>
    <w:rsid w:val="00150C78"/>
    <w:pPr>
      <w:spacing w:after="0" w:line="240" w:lineRule="auto"/>
      <w:ind w:left="220" w:firstLine="0"/>
    </w:pPr>
    <w:rPr>
      <w:rFonts w:asciiTheme="minorHAnsi" w:eastAsia="Calibri" w:hAnsiTheme="minorHAnsi"/>
      <w:smallCaps/>
      <w:color w:val="auto"/>
      <w:sz w:val="20"/>
      <w:szCs w:val="20"/>
      <w:lang w:eastAsia="en-US"/>
    </w:rPr>
  </w:style>
  <w:style w:type="paragraph" w:styleId="TOC3">
    <w:name w:val="toc 3"/>
    <w:basedOn w:val="Normal"/>
    <w:next w:val="Normal"/>
    <w:uiPriority w:val="39"/>
    <w:unhideWhenUsed/>
    <w:qFormat/>
    <w:rsid w:val="00150C78"/>
    <w:pPr>
      <w:spacing w:after="0" w:line="240" w:lineRule="auto"/>
      <w:ind w:left="440" w:firstLine="0"/>
    </w:pPr>
    <w:rPr>
      <w:rFonts w:asciiTheme="minorHAnsi" w:eastAsia="Calibri" w:hAnsiTheme="minorHAnsi"/>
      <w:i/>
      <w:iCs/>
      <w:color w:val="auto"/>
      <w:sz w:val="20"/>
      <w:szCs w:val="20"/>
      <w:lang w:eastAsia="en-US"/>
    </w:rPr>
  </w:style>
  <w:style w:type="paragraph" w:styleId="TOC4">
    <w:name w:val="toc 4"/>
    <w:basedOn w:val="Normal"/>
    <w:next w:val="Normal"/>
    <w:uiPriority w:val="39"/>
    <w:unhideWhenUsed/>
    <w:qFormat/>
    <w:rsid w:val="00150C78"/>
    <w:pPr>
      <w:spacing w:after="0" w:line="240" w:lineRule="auto"/>
      <w:ind w:left="660" w:firstLine="0"/>
    </w:pPr>
    <w:rPr>
      <w:rFonts w:asciiTheme="minorHAnsi" w:eastAsia="Calibri" w:hAnsiTheme="minorHAnsi"/>
      <w:color w:val="auto"/>
      <w:sz w:val="18"/>
      <w:szCs w:val="18"/>
      <w:lang w:eastAsia="en-US"/>
    </w:rPr>
  </w:style>
  <w:style w:type="paragraph" w:styleId="TOC5">
    <w:name w:val="toc 5"/>
    <w:basedOn w:val="Normal"/>
    <w:next w:val="Normal"/>
    <w:uiPriority w:val="39"/>
    <w:unhideWhenUsed/>
    <w:qFormat/>
    <w:rsid w:val="00150C78"/>
    <w:pPr>
      <w:spacing w:after="0" w:line="240" w:lineRule="auto"/>
      <w:ind w:left="880" w:firstLine="0"/>
    </w:pPr>
    <w:rPr>
      <w:rFonts w:asciiTheme="minorHAnsi" w:eastAsia="Calibri" w:hAnsiTheme="minorHAnsi"/>
      <w:color w:val="auto"/>
      <w:sz w:val="18"/>
      <w:szCs w:val="18"/>
      <w:lang w:eastAsia="en-US"/>
    </w:rPr>
  </w:style>
  <w:style w:type="paragraph" w:styleId="TOC6">
    <w:name w:val="toc 6"/>
    <w:basedOn w:val="Normal"/>
    <w:next w:val="Normal"/>
    <w:uiPriority w:val="39"/>
    <w:unhideWhenUsed/>
    <w:qFormat/>
    <w:rsid w:val="00150C78"/>
    <w:pPr>
      <w:spacing w:after="0" w:line="240" w:lineRule="auto"/>
      <w:ind w:left="1100" w:firstLine="0"/>
    </w:pPr>
    <w:rPr>
      <w:rFonts w:asciiTheme="minorHAnsi" w:eastAsia="Calibri" w:hAnsiTheme="minorHAnsi"/>
      <w:color w:val="auto"/>
      <w:sz w:val="18"/>
      <w:szCs w:val="18"/>
      <w:lang w:eastAsia="en-US"/>
    </w:rPr>
  </w:style>
  <w:style w:type="paragraph" w:styleId="TOC7">
    <w:name w:val="toc 7"/>
    <w:basedOn w:val="Normal"/>
    <w:next w:val="Normal"/>
    <w:uiPriority w:val="39"/>
    <w:unhideWhenUsed/>
    <w:qFormat/>
    <w:rsid w:val="00150C78"/>
    <w:pPr>
      <w:spacing w:after="0" w:line="240" w:lineRule="auto"/>
      <w:ind w:left="1320" w:firstLine="0"/>
    </w:pPr>
    <w:rPr>
      <w:rFonts w:asciiTheme="minorHAnsi" w:eastAsia="Calibri" w:hAnsiTheme="minorHAnsi"/>
      <w:color w:val="auto"/>
      <w:sz w:val="18"/>
      <w:szCs w:val="18"/>
      <w:lang w:eastAsia="en-US"/>
    </w:rPr>
  </w:style>
  <w:style w:type="paragraph" w:styleId="TOC8">
    <w:name w:val="toc 8"/>
    <w:basedOn w:val="Normal"/>
    <w:next w:val="Normal"/>
    <w:uiPriority w:val="39"/>
    <w:unhideWhenUsed/>
    <w:qFormat/>
    <w:rsid w:val="00150C78"/>
    <w:pPr>
      <w:spacing w:after="0" w:line="240" w:lineRule="auto"/>
      <w:ind w:left="1540" w:firstLine="0"/>
    </w:pPr>
    <w:rPr>
      <w:rFonts w:asciiTheme="minorHAnsi" w:eastAsia="Calibri" w:hAnsiTheme="minorHAnsi"/>
      <w:color w:val="auto"/>
      <w:sz w:val="18"/>
      <w:szCs w:val="18"/>
      <w:lang w:eastAsia="en-US"/>
    </w:rPr>
  </w:style>
  <w:style w:type="paragraph" w:styleId="TOC9">
    <w:name w:val="toc 9"/>
    <w:basedOn w:val="Normal"/>
    <w:next w:val="Normal"/>
    <w:uiPriority w:val="39"/>
    <w:unhideWhenUsed/>
    <w:qFormat/>
    <w:rsid w:val="00150C78"/>
    <w:pPr>
      <w:spacing w:after="0" w:line="240" w:lineRule="auto"/>
      <w:ind w:left="1760" w:firstLine="0"/>
    </w:pPr>
    <w:rPr>
      <w:rFonts w:asciiTheme="minorHAnsi" w:eastAsia="Calibri" w:hAnsiTheme="minorHAnsi"/>
      <w:color w:val="auto"/>
      <w:sz w:val="18"/>
      <w:szCs w:val="18"/>
      <w:lang w:eastAsia="en-US"/>
    </w:rPr>
  </w:style>
  <w:style w:type="table" w:styleId="LightShading-Accent1">
    <w:name w:val="Light Shading Accent 1"/>
    <w:basedOn w:val="TableNormal"/>
    <w:uiPriority w:val="60"/>
    <w:rsid w:val="00150C78"/>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uiPriority w:val="9"/>
    <w:qFormat/>
    <w:rsid w:val="00150C7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qFormat/>
    <w:rsid w:val="00150C78"/>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qFormat/>
    <w:rsid w:val="00150C78"/>
    <w:rPr>
      <w:rFonts w:asciiTheme="majorHAnsi" w:eastAsiaTheme="majorEastAsia" w:hAnsiTheme="majorHAnsi" w:cstheme="majorBidi"/>
      <w:b/>
      <w:bCs/>
      <w:color w:val="5B9BD5" w:themeColor="accent1"/>
    </w:rPr>
  </w:style>
  <w:style w:type="character" w:customStyle="1" w:styleId="Heading4Char">
    <w:name w:val="Heading 4 Char"/>
    <w:uiPriority w:val="9"/>
    <w:qFormat/>
    <w:rsid w:val="00150C78"/>
    <w:rPr>
      <w:rFonts w:asciiTheme="majorHAnsi" w:eastAsiaTheme="majorEastAsia" w:hAnsiTheme="majorHAnsi" w:cstheme="majorBidi"/>
      <w:b/>
      <w:bCs/>
      <w:i/>
      <w:iCs/>
      <w:color w:val="5B9BD5" w:themeColor="accent1"/>
    </w:rPr>
  </w:style>
  <w:style w:type="character" w:customStyle="1" w:styleId="Heading5Char">
    <w:name w:val="Heading 5 Char"/>
    <w:uiPriority w:val="9"/>
    <w:qFormat/>
    <w:rsid w:val="00150C78"/>
    <w:rPr>
      <w:rFonts w:asciiTheme="majorHAnsi" w:eastAsiaTheme="majorEastAsia" w:hAnsiTheme="majorHAnsi" w:cstheme="majorBidi"/>
      <w:color w:val="1F4E79" w:themeColor="accent1" w:themeShade="80"/>
    </w:rPr>
  </w:style>
  <w:style w:type="character" w:customStyle="1" w:styleId="Heading6Char">
    <w:name w:val="Heading 6 Char"/>
    <w:link w:val="Heading6"/>
    <w:uiPriority w:val="9"/>
    <w:qFormat/>
    <w:rsid w:val="00150C78"/>
    <w:rPr>
      <w:rFonts w:asciiTheme="majorHAnsi" w:eastAsiaTheme="majorEastAsia" w:hAnsiTheme="majorHAnsi" w:cstheme="majorBidi"/>
      <w:i/>
      <w:iCs/>
      <w:color w:val="1F4E79" w:themeColor="accent1" w:themeShade="80"/>
    </w:rPr>
  </w:style>
  <w:style w:type="character" w:customStyle="1" w:styleId="Heading7Char">
    <w:name w:val="Heading 7 Char"/>
    <w:uiPriority w:val="9"/>
    <w:qFormat/>
    <w:rsid w:val="00150C78"/>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qFormat/>
    <w:rsid w:val="00150C78"/>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qFormat/>
    <w:rsid w:val="00150C78"/>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qFormat/>
    <w:rsid w:val="00150C78"/>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link w:val="Subtitle"/>
    <w:uiPriority w:val="11"/>
    <w:qFormat/>
    <w:rsid w:val="00150C78"/>
    <w:rPr>
      <w:rFonts w:asciiTheme="majorHAnsi" w:eastAsiaTheme="majorEastAsia" w:hAnsiTheme="majorHAnsi" w:cstheme="majorBidi"/>
      <w:i/>
      <w:iCs/>
      <w:color w:val="5B9BD5" w:themeColor="accent1"/>
      <w:spacing w:val="15"/>
      <w:sz w:val="24"/>
      <w:szCs w:val="24"/>
    </w:rPr>
  </w:style>
  <w:style w:type="character" w:customStyle="1" w:styleId="Emphaseintense1">
    <w:name w:val="Emphase intense1"/>
    <w:uiPriority w:val="21"/>
    <w:qFormat/>
    <w:rsid w:val="00150C78"/>
    <w:rPr>
      <w:b/>
      <w:bCs/>
      <w:i/>
      <w:iCs/>
      <w:color w:val="5B9BD5" w:themeColor="accent1"/>
    </w:rPr>
  </w:style>
  <w:style w:type="paragraph" w:styleId="Quote">
    <w:name w:val="Quote"/>
    <w:basedOn w:val="Normal"/>
    <w:next w:val="Normal"/>
    <w:link w:val="QuoteChar"/>
    <w:uiPriority w:val="29"/>
    <w:qFormat/>
    <w:rsid w:val="00150C78"/>
    <w:rPr>
      <w:i/>
      <w:iCs/>
      <w:color w:val="000000" w:themeColor="text1"/>
    </w:rPr>
  </w:style>
  <w:style w:type="character" w:customStyle="1" w:styleId="QuoteChar">
    <w:name w:val="Quote Char"/>
    <w:link w:val="Quote"/>
    <w:uiPriority w:val="29"/>
    <w:qFormat/>
    <w:rsid w:val="00150C78"/>
    <w:rPr>
      <w:i/>
      <w:iCs/>
      <w:color w:val="000000" w:themeColor="text1"/>
    </w:rPr>
  </w:style>
  <w:style w:type="paragraph" w:styleId="IntenseQuote">
    <w:name w:val="Intense Quote"/>
    <w:basedOn w:val="Normal"/>
    <w:next w:val="Normal"/>
    <w:link w:val="IntenseQuoteChar"/>
    <w:uiPriority w:val="30"/>
    <w:qFormat/>
    <w:rsid w:val="00150C7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link w:val="IntenseQuote"/>
    <w:uiPriority w:val="30"/>
    <w:qFormat/>
    <w:rsid w:val="00150C78"/>
    <w:rPr>
      <w:b/>
      <w:bCs/>
      <w:i/>
      <w:iCs/>
      <w:color w:val="5B9BD5" w:themeColor="accent1"/>
    </w:rPr>
  </w:style>
  <w:style w:type="character" w:customStyle="1" w:styleId="Rfrenceple1">
    <w:name w:val="Référence pâle1"/>
    <w:uiPriority w:val="31"/>
    <w:qFormat/>
    <w:rsid w:val="00150C78"/>
    <w:rPr>
      <w:smallCaps/>
      <w:color w:val="ED7D31" w:themeColor="accent2"/>
      <w:u w:val="single"/>
    </w:rPr>
  </w:style>
  <w:style w:type="character" w:customStyle="1" w:styleId="Rfrenceintense1">
    <w:name w:val="Référence intense1"/>
    <w:uiPriority w:val="32"/>
    <w:qFormat/>
    <w:rsid w:val="00150C78"/>
    <w:rPr>
      <w:b/>
      <w:bCs/>
      <w:smallCaps/>
      <w:color w:val="ED7D31" w:themeColor="accent2"/>
      <w:spacing w:val="5"/>
      <w:u w:val="single"/>
    </w:rPr>
  </w:style>
  <w:style w:type="character" w:customStyle="1" w:styleId="Titredulivre1">
    <w:name w:val="Titre du livre1"/>
    <w:uiPriority w:val="33"/>
    <w:qFormat/>
    <w:rsid w:val="00150C78"/>
    <w:rPr>
      <w:b/>
      <w:bCs/>
      <w:smallCaps/>
      <w:spacing w:val="5"/>
    </w:rPr>
  </w:style>
  <w:style w:type="character" w:customStyle="1" w:styleId="FootnoteTextChar">
    <w:name w:val="Footnote Text Char"/>
    <w:uiPriority w:val="99"/>
    <w:semiHidden/>
    <w:qFormat/>
    <w:rsid w:val="00150C78"/>
    <w:rPr>
      <w:sz w:val="20"/>
      <w:szCs w:val="20"/>
    </w:rPr>
  </w:style>
  <w:style w:type="character" w:customStyle="1" w:styleId="EndnoteTextChar">
    <w:name w:val="Endnote Text Char"/>
    <w:link w:val="EndnoteText"/>
    <w:uiPriority w:val="99"/>
    <w:semiHidden/>
    <w:qFormat/>
    <w:rsid w:val="00150C78"/>
    <w:rPr>
      <w:sz w:val="20"/>
      <w:szCs w:val="20"/>
    </w:rPr>
  </w:style>
  <w:style w:type="character" w:customStyle="1" w:styleId="PlainTextChar">
    <w:name w:val="Plain Text Char"/>
    <w:link w:val="PlainText"/>
    <w:uiPriority w:val="99"/>
    <w:qFormat/>
    <w:rsid w:val="00150C78"/>
    <w:rPr>
      <w:rFonts w:ascii="Courier New" w:hAnsi="Courier New" w:cs="Courier New"/>
      <w:sz w:val="21"/>
      <w:szCs w:val="21"/>
    </w:rPr>
  </w:style>
  <w:style w:type="character" w:customStyle="1" w:styleId="HeaderChar">
    <w:name w:val="Header Char"/>
    <w:uiPriority w:val="99"/>
    <w:rsid w:val="00150C78"/>
  </w:style>
  <w:style w:type="character" w:customStyle="1" w:styleId="FooterChar">
    <w:name w:val="Footer Char"/>
    <w:uiPriority w:val="99"/>
    <w:rsid w:val="00150C78"/>
  </w:style>
  <w:style w:type="table" w:customStyle="1" w:styleId="TableGrid0">
    <w:name w:val="TableGrid"/>
    <w:uiPriority w:val="99"/>
    <w:rsid w:val="00150C78"/>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150C78"/>
    <w:pPr>
      <w:ind w:left="720"/>
      <w:contextualSpacing/>
    </w:pPr>
  </w:style>
  <w:style w:type="character" w:customStyle="1" w:styleId="CommentTextChar">
    <w:name w:val="Comment Text Char"/>
    <w:basedOn w:val="DefaultParagraphFont"/>
    <w:link w:val="CommentText"/>
    <w:uiPriority w:val="99"/>
    <w:rsid w:val="00150C78"/>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rsid w:val="00150C78"/>
    <w:rPr>
      <w:rFonts w:ascii="Times New Roman" w:eastAsia="Times New Roman" w:hAnsi="Times New Roman" w:cs="Times New Roman"/>
      <w:b/>
      <w:bCs/>
      <w:color w:val="000000"/>
      <w:sz w:val="20"/>
      <w:szCs w:val="20"/>
    </w:rPr>
  </w:style>
  <w:style w:type="paragraph" w:customStyle="1" w:styleId="Rvision1">
    <w:name w:val="Révision1"/>
    <w:hidden/>
    <w:uiPriority w:val="99"/>
    <w:semiHidden/>
    <w:rsid w:val="00150C78"/>
    <w:rPr>
      <w:rFonts w:eastAsia="Times New Roman"/>
      <w:color w:val="000000"/>
      <w:sz w:val="24"/>
      <w:szCs w:val="22"/>
      <w:lang w:val="fr-FR" w:eastAsia="fr-FR"/>
    </w:rPr>
  </w:style>
  <w:style w:type="character" w:customStyle="1" w:styleId="BalloonTextChar">
    <w:name w:val="Balloon Text Char"/>
    <w:basedOn w:val="DefaultParagraphFont"/>
    <w:link w:val="BalloonText"/>
    <w:uiPriority w:val="99"/>
    <w:semiHidden/>
    <w:rsid w:val="00150C78"/>
    <w:rPr>
      <w:rFonts w:ascii="Segoe UI" w:eastAsia="Times New Roman" w:hAnsi="Segoe UI" w:cs="Segoe UI"/>
      <w:color w:val="000000"/>
      <w:sz w:val="18"/>
      <w:szCs w:val="18"/>
    </w:rPr>
  </w:style>
  <w:style w:type="character" w:customStyle="1" w:styleId="Heading1Char1">
    <w:name w:val="Heading 1 Char1"/>
    <w:basedOn w:val="DefaultParagraphFont"/>
    <w:link w:val="Heading1"/>
    <w:uiPriority w:val="9"/>
    <w:rsid w:val="00150C78"/>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rsid w:val="00150C78"/>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sid w:val="00150C78"/>
    <w:rPr>
      <w:rFonts w:asciiTheme="majorHAnsi" w:eastAsiaTheme="majorEastAsia" w:hAnsiTheme="majorHAnsi" w:cstheme="majorBidi"/>
      <w:color w:val="1F4E79" w:themeColor="accent1" w:themeShade="80"/>
      <w:sz w:val="24"/>
      <w:szCs w:val="24"/>
    </w:rPr>
  </w:style>
  <w:style w:type="character" w:customStyle="1" w:styleId="Heading4Char1">
    <w:name w:val="Heading 4 Char1"/>
    <w:basedOn w:val="DefaultParagraphFont"/>
    <w:link w:val="Heading4"/>
    <w:uiPriority w:val="9"/>
    <w:rsid w:val="00150C78"/>
    <w:rPr>
      <w:rFonts w:asciiTheme="majorHAnsi" w:eastAsiaTheme="majorEastAsia" w:hAnsiTheme="majorHAnsi" w:cstheme="majorBidi"/>
      <w:i/>
      <w:iCs/>
      <w:color w:val="2E74B5" w:themeColor="accent1" w:themeShade="BF"/>
      <w:sz w:val="24"/>
    </w:rPr>
  </w:style>
  <w:style w:type="character" w:customStyle="1" w:styleId="Heading5Char1">
    <w:name w:val="Heading 5 Char1"/>
    <w:basedOn w:val="DefaultParagraphFont"/>
    <w:link w:val="Heading5"/>
    <w:uiPriority w:val="9"/>
    <w:rsid w:val="00150C78"/>
    <w:rPr>
      <w:rFonts w:asciiTheme="majorHAnsi" w:eastAsiaTheme="majorEastAsia" w:hAnsiTheme="majorHAnsi" w:cstheme="majorBidi"/>
      <w:color w:val="2E74B5" w:themeColor="accent1" w:themeShade="BF"/>
      <w:sz w:val="24"/>
    </w:rPr>
  </w:style>
  <w:style w:type="paragraph" w:styleId="NoSpacing">
    <w:name w:val="No Spacing"/>
    <w:uiPriority w:val="1"/>
    <w:qFormat/>
    <w:rsid w:val="00150C78"/>
    <w:pPr>
      <w:ind w:left="10" w:hanging="10"/>
    </w:pPr>
    <w:rPr>
      <w:rFonts w:eastAsia="Times New Roman"/>
      <w:color w:val="000000"/>
      <w:sz w:val="24"/>
      <w:szCs w:val="22"/>
      <w:lang w:val="fr-FR" w:eastAsia="fr-FR"/>
    </w:rPr>
  </w:style>
  <w:style w:type="character" w:customStyle="1" w:styleId="Heading7Char1">
    <w:name w:val="Heading 7 Char1"/>
    <w:basedOn w:val="DefaultParagraphFont"/>
    <w:link w:val="Heading7"/>
    <w:uiPriority w:val="9"/>
    <w:semiHidden/>
    <w:rsid w:val="00150C78"/>
    <w:rPr>
      <w:rFonts w:asciiTheme="majorHAnsi" w:eastAsiaTheme="majorEastAsia" w:hAnsiTheme="majorHAnsi" w:cstheme="majorBidi"/>
      <w:i/>
      <w:iCs/>
      <w:color w:val="1F4E79" w:themeColor="accent1" w:themeShade="80"/>
      <w:lang w:eastAsia="en-US"/>
    </w:rPr>
  </w:style>
  <w:style w:type="table" w:customStyle="1" w:styleId="Grilledutableau1">
    <w:name w:val="Grille du tableau1"/>
    <w:basedOn w:val="TableNormal"/>
    <w:uiPriority w:val="3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3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uiPriority w:val="5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50C78"/>
    <w:rPr>
      <w:rFonts w:ascii="Times New Roman" w:eastAsia="Times New Roman" w:hAnsi="Times New Roman" w:cs="Times New Roman"/>
      <w:color w:val="000000"/>
      <w:sz w:val="24"/>
    </w:rPr>
  </w:style>
  <w:style w:type="character" w:customStyle="1" w:styleId="HeaderChar1">
    <w:name w:val="Header Char1"/>
    <w:basedOn w:val="DefaultParagraphFont"/>
    <w:link w:val="Header"/>
    <w:uiPriority w:val="99"/>
    <w:rsid w:val="00150C78"/>
    <w:rPr>
      <w:rFonts w:ascii="Calibri" w:eastAsia="Calibri" w:hAnsi="Calibri" w:cs="Times New Roman"/>
      <w:lang w:eastAsia="en-US"/>
    </w:rPr>
  </w:style>
  <w:style w:type="character" w:customStyle="1" w:styleId="FooterChar1">
    <w:name w:val="Footer Char1"/>
    <w:basedOn w:val="DefaultParagraphFont"/>
    <w:link w:val="Footer"/>
    <w:uiPriority w:val="99"/>
    <w:rsid w:val="00150C78"/>
    <w:rPr>
      <w:rFonts w:ascii="Calibri" w:eastAsia="Calibri" w:hAnsi="Calibri" w:cs="Times New Roman"/>
      <w:lang w:eastAsia="en-US"/>
    </w:rPr>
  </w:style>
  <w:style w:type="character" w:styleId="PlaceholderText">
    <w:name w:val="Placeholder Text"/>
    <w:basedOn w:val="DefaultParagraphFont"/>
    <w:uiPriority w:val="99"/>
    <w:semiHidden/>
    <w:rsid w:val="00150C78"/>
    <w:rPr>
      <w:color w:val="808080"/>
    </w:rPr>
  </w:style>
  <w:style w:type="character" w:customStyle="1" w:styleId="Hgkelc">
    <w:name w:val="Hgkelc"/>
    <w:basedOn w:val="DefaultParagraphFont"/>
    <w:uiPriority w:val="99"/>
    <w:rsid w:val="00150C78"/>
  </w:style>
  <w:style w:type="table" w:customStyle="1" w:styleId="Grilledutableau4">
    <w:name w:val="Grille du tableau4"/>
    <w:basedOn w:val="TableNormal"/>
    <w:uiPriority w:val="59"/>
    <w:rsid w:val="00150C7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50C78"/>
    <w:pPr>
      <w:tabs>
        <w:tab w:val="decimal" w:pos="360"/>
      </w:tabs>
      <w:spacing w:after="200" w:line="276" w:lineRule="auto"/>
      <w:ind w:left="0" w:firstLine="0"/>
    </w:pPr>
    <w:rPr>
      <w:rFonts w:asciiTheme="minorHAnsi" w:eastAsiaTheme="minorEastAsia" w:hAnsiTheme="minorHAnsi"/>
      <w:color w:val="auto"/>
      <w:sz w:val="22"/>
    </w:rPr>
  </w:style>
  <w:style w:type="character" w:customStyle="1" w:styleId="FootnoteTextChar1">
    <w:name w:val="Footnote Text Char1"/>
    <w:basedOn w:val="DefaultParagraphFont"/>
    <w:link w:val="FootnoteText"/>
    <w:uiPriority w:val="99"/>
    <w:rsid w:val="00150C78"/>
    <w:rPr>
      <w:rFonts w:cs="Times New Roman"/>
      <w:sz w:val="20"/>
      <w:szCs w:val="20"/>
    </w:rPr>
  </w:style>
  <w:style w:type="character" w:customStyle="1" w:styleId="Emphaseple1">
    <w:name w:val="Emphase pâle1"/>
    <w:basedOn w:val="DefaultParagraphFont"/>
    <w:uiPriority w:val="19"/>
    <w:qFormat/>
    <w:rsid w:val="00150C78"/>
    <w:rPr>
      <w:i/>
      <w:iCs/>
    </w:rPr>
  </w:style>
  <w:style w:type="paragraph" w:customStyle="1" w:styleId="En-ttedetabledesmatires1">
    <w:name w:val="En-tête de table des matières1"/>
    <w:basedOn w:val="Heading1"/>
    <w:next w:val="Normal"/>
    <w:uiPriority w:val="39"/>
    <w:unhideWhenUsed/>
    <w:qFormat/>
    <w:rsid w:val="00150C78"/>
    <w:pPr>
      <w:spacing w:line="259" w:lineRule="auto"/>
      <w:ind w:left="0" w:firstLine="0"/>
    </w:pPr>
  </w:style>
  <w:style w:type="paragraph" w:customStyle="1" w:styleId="Default">
    <w:name w:val="Default"/>
    <w:uiPriority w:val="99"/>
    <w:rsid w:val="00150C78"/>
    <w:rPr>
      <w:rFonts w:eastAsiaTheme="minorHAnsi"/>
      <w:color w:val="000000"/>
      <w:sz w:val="24"/>
      <w:szCs w:val="24"/>
      <w:lang w:val="fr-FR" w:eastAsia="en-US"/>
    </w:rPr>
  </w:style>
  <w:style w:type="table" w:customStyle="1" w:styleId="TableGrid1">
    <w:name w:val="TableGrid1"/>
    <w:uiPriority w:val="99"/>
    <w:rsid w:val="00150C78"/>
    <w:tblPr>
      <w:tblCellMar>
        <w:top w:w="0" w:type="dxa"/>
        <w:left w:w="0" w:type="dxa"/>
        <w:bottom w:w="0" w:type="dxa"/>
        <w:right w:w="0" w:type="dxa"/>
      </w:tblCellMar>
    </w:tblPr>
  </w:style>
  <w:style w:type="character" w:customStyle="1" w:styleId="TitleChar1">
    <w:name w:val="Title Char1"/>
    <w:basedOn w:val="DefaultParagraphFont"/>
    <w:link w:val="Title"/>
    <w:uiPriority w:val="10"/>
    <w:rsid w:val="00150C78"/>
    <w:rPr>
      <w:rFonts w:asciiTheme="majorHAnsi" w:eastAsiaTheme="majorEastAsia" w:hAnsiTheme="majorHAnsi" w:cstheme="majorBidi"/>
      <w:color w:val="323E4F" w:themeColor="text2" w:themeShade="BF"/>
      <w:spacing w:val="5"/>
      <w:sz w:val="52"/>
      <w:szCs w:val="52"/>
      <w:lang w:val="en-US" w:eastAsia="en-US"/>
    </w:rPr>
  </w:style>
  <w:style w:type="table" w:customStyle="1" w:styleId="TableGrid2">
    <w:name w:val="TableGrid2"/>
    <w:uiPriority w:val="99"/>
    <w:rsid w:val="00150C78"/>
    <w:tblPr>
      <w:tblCellMar>
        <w:top w:w="0" w:type="dxa"/>
        <w:left w:w="0" w:type="dxa"/>
        <w:bottom w:w="0" w:type="dxa"/>
        <w:right w:w="0" w:type="dxa"/>
      </w:tblCellMar>
    </w:tblPr>
  </w:style>
  <w:style w:type="table" w:customStyle="1" w:styleId="TableGrid3">
    <w:name w:val="TableGrid3"/>
    <w:uiPriority w:val="99"/>
    <w:rsid w:val="00150C78"/>
    <w:tblPr>
      <w:tblCellMar>
        <w:top w:w="0" w:type="dxa"/>
        <w:left w:w="0" w:type="dxa"/>
        <w:bottom w:w="0" w:type="dxa"/>
        <w:right w:w="0" w:type="dxa"/>
      </w:tblCellMar>
    </w:tblPr>
  </w:style>
  <w:style w:type="table" w:customStyle="1" w:styleId="TableGrid4">
    <w:name w:val="TableGrid4"/>
    <w:uiPriority w:val="99"/>
    <w:rsid w:val="00150C78"/>
    <w:tblPr>
      <w:tblCellMar>
        <w:top w:w="0" w:type="dxa"/>
        <w:left w:w="0" w:type="dxa"/>
        <w:bottom w:w="0" w:type="dxa"/>
        <w:right w:w="0" w:type="dxa"/>
      </w:tblCellMar>
    </w:tblPr>
  </w:style>
  <w:style w:type="table" w:customStyle="1" w:styleId="Grilledutableau5">
    <w:name w:val="Grille du tableau5"/>
    <w:basedOn w:val="TableNormal"/>
    <w:uiPriority w:val="39"/>
    <w:rsid w:val="00150C78"/>
    <w:rPr>
      <w:rFonts w:eastAsia="Calibri"/>
      <w:kern w:val="2"/>
      <w:lang w:val="zh-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6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footer" Target="footer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r>
              <a:rPr lang="en-US"/>
              <a:t>Spores density </a:t>
            </a:r>
          </a:p>
        </c:rich>
      </c:tx>
      <c:overlay val="0"/>
      <c:spPr>
        <a:noFill/>
        <a:ln>
          <a:noFill/>
        </a:ln>
        <a:effectLst/>
      </c:spPr>
    </c:title>
    <c:autoTitleDeleted val="0"/>
    <c:plotArea>
      <c:layout/>
      <c:barChart>
        <c:barDir val="col"/>
        <c:grouping val="clustered"/>
        <c:varyColors val="0"/>
        <c:ser>
          <c:idx val="0"/>
          <c:order val="0"/>
          <c:tx>
            <c:strRef>
              <c:f>Feuil1!$D$98</c:f>
              <c:strCache>
                <c:ptCount val="1"/>
                <c:pt idx="0">
                  <c:v>Densité des spores</c:v>
                </c:pt>
              </c:strCache>
            </c:strRef>
          </c:tx>
          <c:spPr>
            <a:solidFill>
              <a:schemeClr val="accent1"/>
            </a:solidFill>
            <a:ln>
              <a:noFill/>
            </a:ln>
            <a:effectLst/>
          </c:spPr>
          <c:invertIfNegative val="0"/>
          <c:cat>
            <c:strRef>
              <c:f>Feuil1!$C$99:$C$100</c:f>
              <c:strCache>
                <c:ptCount val="2"/>
                <c:pt idx="0">
                  <c:v>Glomus</c:v>
                </c:pt>
                <c:pt idx="1">
                  <c:v>Ggaspoara</c:v>
                </c:pt>
              </c:strCache>
            </c:strRef>
          </c:cat>
          <c:val>
            <c:numRef>
              <c:f>Feuil1!$D$99:$D$100</c:f>
              <c:numCache>
                <c:formatCode>General</c:formatCode>
                <c:ptCount val="2"/>
                <c:pt idx="0">
                  <c:v>652</c:v>
                </c:pt>
                <c:pt idx="1">
                  <c:v>253</c:v>
                </c:pt>
              </c:numCache>
            </c:numRef>
          </c:val>
          <c:extLst>
            <c:ext xmlns:c16="http://schemas.microsoft.com/office/drawing/2014/chart" uri="{C3380CC4-5D6E-409C-BE32-E72D297353CC}">
              <c16:uniqueId val="{00000000-DCA8-4CFF-BCD8-FED1AB5625D6}"/>
            </c:ext>
          </c:extLst>
        </c:ser>
        <c:dLbls>
          <c:showLegendKey val="0"/>
          <c:showVal val="0"/>
          <c:showCatName val="0"/>
          <c:showSerName val="0"/>
          <c:showPercent val="0"/>
          <c:showBubbleSize val="0"/>
        </c:dLbls>
        <c:gapWidth val="219"/>
        <c:overlap val="-27"/>
        <c:axId val="-265240224"/>
        <c:axId val="-265230976"/>
      </c:barChart>
      <c:catAx>
        <c:axId val="-26524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265230976"/>
        <c:crosses val="autoZero"/>
        <c:auto val="1"/>
        <c:lblAlgn val="ctr"/>
        <c:lblOffset val="100"/>
        <c:noMultiLvlLbl val="0"/>
      </c:catAx>
      <c:valAx>
        <c:axId val="-26523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265240224"/>
        <c:crosses val="autoZero"/>
        <c:crossBetween val="between"/>
      </c:valAx>
      <c:spPr>
        <a:noFill/>
        <a:ln>
          <a:noFill/>
        </a:ln>
        <a:effectLst/>
      </c:spPr>
    </c:plotArea>
    <c:plotVisOnly val="1"/>
    <c:dispBlanksAs val="gap"/>
    <c:showDLblsOverMax val="0"/>
    <c:extLst>
      <c:ext uri="{0b15fc19-7d7d-44ad-8c2d-2c3a37ce22c3}">
        <chartProps xmlns="https://web.wps.cn/et/2018/main" chartId="{90a92fb2-9e0a-4b7f-9ae6-641348b088ea}"/>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960BE-F3C3-4C0D-B905-2A5A72BB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28</Pages>
  <Words>6649</Words>
  <Characters>37905</Characters>
  <Application>Microsoft Office Word</Application>
  <DocSecurity>0</DocSecurity>
  <Lines>315</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youchalat</dc:creator>
  <cp:lastModifiedBy>SDI 1022</cp:lastModifiedBy>
  <cp:revision>28</cp:revision>
  <dcterms:created xsi:type="dcterms:W3CDTF">2025-11-17T07:29:00Z</dcterms:created>
  <dcterms:modified xsi:type="dcterms:W3CDTF">2026-01-13T06:49:00Z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2634D7993809497DB2751E63D6A20367_12</vt:lpwstr>
  </property>
</Properties>
</file>