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53791" w14:textId="373737EB" w:rsidR="00CB6838" w:rsidRPr="00791B6B" w:rsidRDefault="00A24B05" w:rsidP="004A5EC1">
      <w:pPr>
        <w:jc w:val="center"/>
        <w:rPr>
          <w:rFonts w:ascii="Times New Roman" w:hAnsi="Times New Roman" w:cs="Times New Roman"/>
          <w:b/>
          <w:sz w:val="24"/>
          <w:szCs w:val="24"/>
        </w:rPr>
      </w:pPr>
      <w:r w:rsidRPr="00791B6B">
        <w:rPr>
          <w:rFonts w:ascii="Times New Roman" w:hAnsi="Times New Roman" w:cs="Times New Roman"/>
          <w:b/>
          <w:sz w:val="24"/>
          <w:szCs w:val="24"/>
        </w:rPr>
        <w:t xml:space="preserve">TARGETED AND IMMUNOTHERAPEUTIC APPROACHES IN CANCER: </w:t>
      </w:r>
      <w:r w:rsidR="00FC3C04">
        <w:rPr>
          <w:rFonts w:ascii="Times New Roman" w:hAnsi="Times New Roman" w:cs="Times New Roman"/>
          <w:b/>
          <w:sz w:val="24"/>
          <w:szCs w:val="24"/>
        </w:rPr>
        <w:t xml:space="preserve">A NARRATIVE REVIEW OF </w:t>
      </w:r>
      <w:r w:rsidRPr="00791B6B">
        <w:rPr>
          <w:rFonts w:ascii="Times New Roman" w:hAnsi="Times New Roman" w:cs="Times New Roman"/>
          <w:b/>
          <w:sz w:val="24"/>
          <w:szCs w:val="24"/>
        </w:rPr>
        <w:t>EVOLVING EVIDENCE AND CLINICAL IMPLICATIONS</w:t>
      </w:r>
    </w:p>
    <w:p w14:paraId="737F4359" w14:textId="77777777" w:rsidR="00791B6B" w:rsidRPr="00791B6B" w:rsidRDefault="00791B6B" w:rsidP="004A5EC1">
      <w:pPr>
        <w:jc w:val="center"/>
        <w:rPr>
          <w:rFonts w:ascii="Times New Roman" w:hAnsi="Times New Roman" w:cs="Times New Roman"/>
          <w:b/>
          <w:sz w:val="24"/>
          <w:szCs w:val="24"/>
        </w:rPr>
      </w:pPr>
    </w:p>
    <w:p w14:paraId="66B440CA" w14:textId="77777777" w:rsidR="00020375" w:rsidRPr="00791B6B" w:rsidRDefault="00020375" w:rsidP="004A5EC1">
      <w:pPr>
        <w:jc w:val="both"/>
        <w:rPr>
          <w:rFonts w:ascii="Times New Roman" w:hAnsi="Times New Roman" w:cs="Times New Roman"/>
          <w:b/>
          <w:sz w:val="24"/>
          <w:szCs w:val="24"/>
        </w:rPr>
      </w:pPr>
    </w:p>
    <w:p w14:paraId="2C267B06" w14:textId="77777777" w:rsidR="00020375" w:rsidRDefault="00020375" w:rsidP="004A5EC1">
      <w:pPr>
        <w:jc w:val="both"/>
        <w:rPr>
          <w:rFonts w:ascii="Times New Roman" w:hAnsi="Times New Roman" w:cs="Times New Roman"/>
          <w:b/>
          <w:sz w:val="24"/>
          <w:szCs w:val="24"/>
        </w:rPr>
      </w:pPr>
      <w:r w:rsidRPr="00791B6B">
        <w:rPr>
          <w:rFonts w:ascii="Times New Roman" w:hAnsi="Times New Roman" w:cs="Times New Roman"/>
          <w:b/>
          <w:sz w:val="24"/>
          <w:szCs w:val="24"/>
        </w:rPr>
        <w:t>ABSTRACT:</w:t>
      </w:r>
    </w:p>
    <w:p w14:paraId="38BA1B57" w14:textId="77777777" w:rsidR="00A912BD" w:rsidRPr="00A912BD" w:rsidRDefault="00A912BD" w:rsidP="00A912BD">
      <w:pPr>
        <w:jc w:val="both"/>
        <w:rPr>
          <w:rFonts w:ascii="Times New Roman" w:hAnsi="Times New Roman" w:cs="Times New Roman"/>
          <w:sz w:val="24"/>
          <w:szCs w:val="24"/>
        </w:rPr>
      </w:pPr>
      <w:r w:rsidRPr="00A912BD">
        <w:rPr>
          <w:rFonts w:ascii="Times New Roman" w:hAnsi="Times New Roman" w:cs="Times New Roman"/>
          <w:sz w:val="24"/>
          <w:szCs w:val="24"/>
        </w:rPr>
        <w:t>Cancer treatment has undergone a profound transformation over the past two decades, evolving from non-specific cytotoxic chemotherapy toward precision-based targeted therapies and immunotherapeutic strategies. Advances in molecular oncology have enabled the identification of oncogenic drivers, aberrant signaling pathways, and immune regulatory mechanisms that govern tumor initiation, progression, and therapeutic resistance. Targeted therapies selectively inhibit key molecular alterations, such as receptor tyrosine kinases, intracellular kinases, and cell-cycle regulators, resulting in improved efficacy and reduced systemic toxicity compared with conventional chemotherapy. Concurrently, immunotherapy has revolutionized cancer management by restoring antitumor immune surveillance through immune checkpoint inhibition, adoptive cell therapies, cancer vaccines, and cytokine-based approaches.</w:t>
      </w:r>
    </w:p>
    <w:p w14:paraId="56B79AEA" w14:textId="77777777" w:rsidR="00A912BD" w:rsidRPr="00A912BD" w:rsidRDefault="00A912BD" w:rsidP="00A912BD">
      <w:pPr>
        <w:jc w:val="both"/>
        <w:rPr>
          <w:rFonts w:ascii="Times New Roman" w:hAnsi="Times New Roman" w:cs="Times New Roman"/>
          <w:sz w:val="24"/>
          <w:szCs w:val="24"/>
        </w:rPr>
      </w:pPr>
      <w:r w:rsidRPr="00A912BD">
        <w:rPr>
          <w:rFonts w:ascii="Times New Roman" w:hAnsi="Times New Roman" w:cs="Times New Roman"/>
          <w:sz w:val="24"/>
          <w:szCs w:val="24"/>
        </w:rPr>
        <w:t>Despite significant clinical success, both targeted therapy and immunotherapy face critical challenges, including intrinsic and acquired resistance, limited durability of responses, immune evasion, and treatment-related toxicities. Tumor heterogeneity, adaptive signaling rewiring, and the immunosuppressive tumor microenvironment substantially contribute to therapeutic failure. Emerging evidence underscores the pivotal role of immune cell infiltration, metabolic reprogramming, and immune checkpoint pathways in shaping treatment outcomes. Biomarkers such as tumor mutational burden, mismatch repair deficiency, PD-L1 expression, and gene expression signatures have shown promise in patient stratification and therapeutic decision-making, although their predictive accuracy remains imperfect.</w:t>
      </w:r>
    </w:p>
    <w:p w14:paraId="379F67D8" w14:textId="5CBEF9B1" w:rsidR="00A912BD" w:rsidRPr="00A912BD" w:rsidRDefault="00A912BD" w:rsidP="00A912BD">
      <w:pPr>
        <w:jc w:val="both"/>
        <w:rPr>
          <w:rFonts w:ascii="Times New Roman" w:hAnsi="Times New Roman" w:cs="Times New Roman"/>
          <w:sz w:val="24"/>
          <w:szCs w:val="24"/>
        </w:rPr>
      </w:pPr>
      <w:r w:rsidRPr="00A912BD">
        <w:rPr>
          <w:rFonts w:ascii="Times New Roman" w:hAnsi="Times New Roman" w:cs="Times New Roman"/>
          <w:sz w:val="24"/>
          <w:szCs w:val="24"/>
        </w:rPr>
        <w:t>This narrative review comprehensively examines the molecular basis and clinical applications of targeted and immunotherapeutic approaches across multiple cancer types. A structured literature search was conducted using databases including PubMed, Scopus, and Google Scholar, focusing on peer-reviewed articles published primarily between 2010 and 2024, with emphasis on recent clinical trials and translational studies. Key mechanisms of action, landmark clinical evidence, approved agents, resistance mechanisms, and immune-related adverse events are discussed. Special emphasis is placed on rational combination strategies integrating targeted therapy with immunotherapy to enhance antitumor efficacy, overcome resistance, and improve long-term clinical outcomes. Additionally, emerging therapeutic strategies, novel biomarkers, and future directions in precision oncology are highlighted. Overall, the integration of targeted therapy and immunotherapy represents a paradigm shift in oncology, offering the potential for more durable, effective, and individualized cancer treatment.</w:t>
      </w:r>
    </w:p>
    <w:p w14:paraId="08C0EF11" w14:textId="77777777" w:rsidR="00020375" w:rsidRPr="00791B6B" w:rsidRDefault="00020375"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lastRenderedPageBreak/>
        <w:t>KEY WORDS:</w:t>
      </w:r>
    </w:p>
    <w:p w14:paraId="6CA01E1D" w14:textId="77777777" w:rsidR="00020375" w:rsidRPr="00791B6B" w:rsidRDefault="00020375"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Targeted </w:t>
      </w:r>
      <w:proofErr w:type="gramStart"/>
      <w:r w:rsidRPr="00791B6B">
        <w:rPr>
          <w:rFonts w:ascii="Times New Roman" w:hAnsi="Times New Roman" w:cs="Times New Roman"/>
          <w:sz w:val="24"/>
          <w:szCs w:val="24"/>
        </w:rPr>
        <w:t>therapy;  Immunotherapy</w:t>
      </w:r>
      <w:proofErr w:type="gramEnd"/>
      <w:r w:rsidRPr="00791B6B">
        <w:rPr>
          <w:rFonts w:ascii="Times New Roman" w:hAnsi="Times New Roman" w:cs="Times New Roman"/>
          <w:sz w:val="24"/>
          <w:szCs w:val="24"/>
        </w:rPr>
        <w:t>;  Immune checkpoint inhibitors;  Precision oncology;  Cancer treatment;  Molecular targeted agents.</w:t>
      </w:r>
    </w:p>
    <w:p w14:paraId="55B02E8D" w14:textId="77777777" w:rsidR="00020375" w:rsidRPr="00791B6B" w:rsidRDefault="00020375"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INTRODUCTION:</w:t>
      </w:r>
    </w:p>
    <w:p w14:paraId="62F6C657"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Cancer remains a leading cause of morbidity and mortality worldwide despite substantial advances in prevention, early detection, and therapeutic interventions. The disease encompasses a heterogeneous group of disorders characterized by uncontrolled cellular proliferation, genomic instability, metabolic reprogramming, immune evasion, and metastatic potential [1]. Traditional treatment modalities such as surgery, radiotherapy, and cytotoxic chemotherapy have contributed significantly to improved survival in many malignancies; however, these approaches are often limited by non-specific toxicity, narrow therapeutic indices, and the eventual development of resistance [2].</w:t>
      </w:r>
    </w:p>
    <w:p w14:paraId="3023DFC2"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The limitations of conventional therapies have driven the evolution of oncology toward more precise, mechanism-based treatment strategies. Advances in molecular biology, genomics, and bioinformatics have enabled detailed characterization of the genetic and epigenetic alterations that underpin </w:t>
      </w:r>
      <w:r w:rsidR="00910879" w:rsidRPr="00791B6B">
        <w:rPr>
          <w:rFonts w:ascii="Times New Roman" w:hAnsi="Times New Roman" w:cs="Times New Roman"/>
          <w:sz w:val="24"/>
          <w:szCs w:val="24"/>
        </w:rPr>
        <w:t>tumor genesis</w:t>
      </w:r>
      <w:r w:rsidRPr="00791B6B">
        <w:rPr>
          <w:rFonts w:ascii="Times New Roman" w:hAnsi="Times New Roman" w:cs="Times New Roman"/>
          <w:sz w:val="24"/>
          <w:szCs w:val="24"/>
        </w:rPr>
        <w:t>. Simultaneously, breakthroughs in tumor immunology have reshaped understanding of the dynamic interactions between cancer cells and the host immune system [3]. Together, these scientific developments have laid the foundation for targeted therapy and immunotherapy, which now represent central pillars of modern cancer management.</w:t>
      </w:r>
    </w:p>
    <w:p w14:paraId="6B4BDB62"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Targeted therapies are designed to selectively inhibit molecular pathways that are essential for tumor cell survival and proliferation. These pathways often involve oncogenic driver mutations or aberrantly activated signaling cascades that distinguish cancer cells from normal tissues [4]. By focusing on tumor-specific vulnerabilities, targeted agents aim to maximize therapeutic efficacy while minimizing systemic toxicity. In parallel, immunotherapeutic approaches seek to harness the patient’s own immune system to recognize and eliminate malignant cells by reversing tumor-induced immune suppression [5].</w:t>
      </w:r>
    </w:p>
    <w:p w14:paraId="582C2A7F"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The clinical success of both targeted therapy and immunotherapy has transformed treatment paradigms across multiple cancer types, including melanoma, lung cancer, breast cancer, renal </w:t>
      </w:r>
      <w:r w:rsidRPr="00791B6B">
        <w:rPr>
          <w:rFonts w:ascii="Times New Roman" w:hAnsi="Times New Roman" w:cs="Times New Roman"/>
          <w:sz w:val="24"/>
          <w:szCs w:val="24"/>
        </w:rPr>
        <w:lastRenderedPageBreak/>
        <w:t>cell carcinoma, and hematologic malignancies [6–8]. Importantly, accumulating evidence suggests that these approaches are biologically interconnected rather than mutually exclusive. Targeted therapies can modulate the tumor microenvironment and influence immune responses, while immunotherapy outcomes may depend on tumor-specific molecular features [9]. As a result, combination strategies integrating targeted agents and immunotherapies have emerged as a promising avenue to improve response rates and durability of benefit [10].</w:t>
      </w:r>
    </w:p>
    <w:p w14:paraId="3167398E" w14:textId="77777777" w:rsidR="00C4265C"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This review critically examines the evolving evidence supporting targeted and immunotherapeutic approaches in cancer. It explores their biological rationale, major therapeutic classes, mechanisms of resistance, biomarker-driven patient selection, and clinical implications, with a focus on how these strategies are reshaping contemporary oncology practice.</w:t>
      </w:r>
    </w:p>
    <w:p w14:paraId="487DF381" w14:textId="4B81B819" w:rsidR="00DC34C3" w:rsidRDefault="00DC34C3" w:rsidP="00C11D1A">
      <w:pPr>
        <w:spacing w:line="360" w:lineRule="auto"/>
        <w:jc w:val="both"/>
        <w:rPr>
          <w:rFonts w:ascii="Times New Roman" w:hAnsi="Times New Roman" w:cs="Times New Roman"/>
          <w:sz w:val="24"/>
          <w:szCs w:val="24"/>
        </w:rPr>
      </w:pPr>
      <w:r w:rsidRPr="00DC34C3">
        <w:rPr>
          <w:rFonts w:ascii="Times New Roman" w:hAnsi="Times New Roman" w:cs="Times New Roman"/>
          <w:sz w:val="24"/>
          <w:szCs w:val="24"/>
        </w:rPr>
        <w:t>This narrative review focuses primarily on targeted and immunotherapeutic agents that have received regulatory approval across major solid and hematologic malignancies, while also discussing selected investigational and emerging strategies currently under clinical evaluation to provide insight into evolving therapeutic directions [41,48,50,61–68]. The primary aim of this review is to synthesize contemporary molecular and immunologic evidence, summarize clinically relevant approved therapies, examine mechanisms of resistance, and highlight rational combination strategies that are reshaping modern oncology practice [23,41,43,54]. The discussion predominantly addresses adult malignancies, as the majority of landmark clinical trials and regulatory approvals have been established in adult populations, with pediatric malignancies discussed only where mechanistically relevant and not as the primary focus of this review [20,21,46].</w:t>
      </w:r>
    </w:p>
    <w:p w14:paraId="73D82CB1" w14:textId="77777777" w:rsidR="009A107A" w:rsidRPr="00791B6B" w:rsidRDefault="009A107A" w:rsidP="00C11D1A">
      <w:pPr>
        <w:spacing w:line="360" w:lineRule="auto"/>
        <w:jc w:val="both"/>
        <w:rPr>
          <w:rFonts w:ascii="Times New Roman" w:hAnsi="Times New Roman" w:cs="Times New Roman"/>
          <w:sz w:val="24"/>
          <w:szCs w:val="24"/>
        </w:rPr>
      </w:pPr>
    </w:p>
    <w:p w14:paraId="6017DA3F" w14:textId="473781D4" w:rsidR="004A5EC1" w:rsidRPr="00791B6B" w:rsidRDefault="00D608A4" w:rsidP="00C11D1A">
      <w:pPr>
        <w:spacing w:line="360" w:lineRule="auto"/>
        <w:rPr>
          <w:rFonts w:ascii="Times New Roman" w:hAnsi="Times New Roman" w:cs="Times New Roman"/>
          <w:b/>
          <w:sz w:val="24"/>
          <w:szCs w:val="24"/>
        </w:rPr>
      </w:pPr>
      <w:r>
        <w:rPr>
          <w:rFonts w:ascii="Times New Roman" w:hAnsi="Times New Roman" w:cs="Times New Roman"/>
          <w:b/>
          <w:sz w:val="24"/>
          <w:szCs w:val="24"/>
        </w:rPr>
        <w:t>Table</w:t>
      </w:r>
      <w:r w:rsidR="00AD1CDF" w:rsidRPr="00791B6B">
        <w:rPr>
          <w:rFonts w:ascii="Times New Roman" w:hAnsi="Times New Roman" w:cs="Times New Roman"/>
          <w:b/>
          <w:sz w:val="24"/>
          <w:szCs w:val="24"/>
        </w:rPr>
        <w:t xml:space="preserve"> 1: </w:t>
      </w:r>
      <w:r w:rsidR="004A5EC1" w:rsidRPr="00791B6B">
        <w:rPr>
          <w:rFonts w:ascii="Times New Roman" w:hAnsi="Times New Roman" w:cs="Times New Roman"/>
          <w:b/>
          <w:sz w:val="24"/>
          <w:szCs w:val="24"/>
        </w:rPr>
        <w:t xml:space="preserve">Comparison of Conventional </w:t>
      </w:r>
      <w:r w:rsidR="00211159">
        <w:rPr>
          <w:rFonts w:ascii="Times New Roman" w:hAnsi="Times New Roman" w:cs="Times New Roman"/>
          <w:b/>
          <w:sz w:val="24"/>
          <w:szCs w:val="24"/>
        </w:rPr>
        <w:t>chemotherapy,</w:t>
      </w:r>
      <w:r w:rsidR="00C71388" w:rsidRPr="00791B6B">
        <w:rPr>
          <w:rFonts w:ascii="Times New Roman" w:hAnsi="Times New Roman" w:cs="Times New Roman"/>
          <w:b/>
          <w:sz w:val="24"/>
          <w:szCs w:val="24"/>
        </w:rPr>
        <w:t xml:space="preserve"> targeted </w:t>
      </w:r>
      <w:r w:rsidR="00211159">
        <w:rPr>
          <w:rFonts w:ascii="Times New Roman" w:hAnsi="Times New Roman" w:cs="Times New Roman"/>
          <w:b/>
          <w:sz w:val="24"/>
          <w:szCs w:val="24"/>
        </w:rPr>
        <w:t xml:space="preserve">therapy </w:t>
      </w:r>
      <w:r w:rsidR="00C71388" w:rsidRPr="00791B6B">
        <w:rPr>
          <w:rFonts w:ascii="Times New Roman" w:hAnsi="Times New Roman" w:cs="Times New Roman"/>
          <w:b/>
          <w:sz w:val="24"/>
          <w:szCs w:val="24"/>
        </w:rPr>
        <w:t>and immunotherapy:</w:t>
      </w:r>
    </w:p>
    <w:tbl>
      <w:tblPr>
        <w:tblStyle w:val="TableGrid"/>
        <w:tblW w:w="0" w:type="auto"/>
        <w:tblLook w:val="04A0" w:firstRow="1" w:lastRow="0" w:firstColumn="1" w:lastColumn="0" w:noHBand="0" w:noVBand="1"/>
      </w:tblPr>
      <w:tblGrid>
        <w:gridCol w:w="2082"/>
        <w:gridCol w:w="2345"/>
        <w:gridCol w:w="2113"/>
        <w:gridCol w:w="2612"/>
      </w:tblGrid>
      <w:tr w:rsidR="00DC13AF" w:rsidRPr="00791B6B" w14:paraId="22693AA9" w14:textId="77777777" w:rsidTr="00DC13AF">
        <w:trPr>
          <w:trHeight w:val="1154"/>
        </w:trPr>
        <w:tc>
          <w:tcPr>
            <w:tcW w:w="2082" w:type="dxa"/>
          </w:tcPr>
          <w:p w14:paraId="0E1C7EAD"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Feature</w:t>
            </w:r>
          </w:p>
        </w:tc>
        <w:tc>
          <w:tcPr>
            <w:tcW w:w="2345" w:type="dxa"/>
          </w:tcPr>
          <w:p w14:paraId="763479E0"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Conventional chemotherapy</w:t>
            </w:r>
          </w:p>
        </w:tc>
        <w:tc>
          <w:tcPr>
            <w:tcW w:w="2113" w:type="dxa"/>
          </w:tcPr>
          <w:p w14:paraId="56348E12"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Targeted therapy</w:t>
            </w:r>
          </w:p>
        </w:tc>
        <w:tc>
          <w:tcPr>
            <w:tcW w:w="2612" w:type="dxa"/>
          </w:tcPr>
          <w:p w14:paraId="393B2095"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Immunotherapy</w:t>
            </w:r>
          </w:p>
          <w:p w14:paraId="2C5DB804" w14:textId="77777777" w:rsidR="00DC13AF" w:rsidRPr="00791B6B" w:rsidRDefault="00DC13AF" w:rsidP="00C11D1A">
            <w:pPr>
              <w:spacing w:line="360" w:lineRule="auto"/>
              <w:jc w:val="both"/>
              <w:rPr>
                <w:rFonts w:ascii="Times New Roman" w:hAnsi="Times New Roman" w:cs="Times New Roman"/>
                <w:b/>
                <w:sz w:val="24"/>
                <w:szCs w:val="24"/>
              </w:rPr>
            </w:pPr>
          </w:p>
        </w:tc>
      </w:tr>
      <w:tr w:rsidR="00DC13AF" w:rsidRPr="00791B6B" w14:paraId="7B6DB848" w14:textId="77777777" w:rsidTr="00DC13AF">
        <w:trPr>
          <w:trHeight w:val="568"/>
        </w:trPr>
        <w:tc>
          <w:tcPr>
            <w:tcW w:w="2082" w:type="dxa"/>
          </w:tcPr>
          <w:p w14:paraId="39FC2AA1"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Mechanism</w:t>
            </w:r>
          </w:p>
        </w:tc>
        <w:tc>
          <w:tcPr>
            <w:tcW w:w="2345" w:type="dxa"/>
          </w:tcPr>
          <w:p w14:paraId="19FC3609"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Non-specific cytotoxic effect on </w:t>
            </w:r>
            <w:r w:rsidRPr="00791B6B">
              <w:rPr>
                <w:rFonts w:ascii="Times New Roman" w:hAnsi="Times New Roman" w:cs="Times New Roman"/>
                <w:sz w:val="24"/>
                <w:szCs w:val="24"/>
              </w:rPr>
              <w:lastRenderedPageBreak/>
              <w:t>rapidly dividing cells</w:t>
            </w:r>
          </w:p>
        </w:tc>
        <w:tc>
          <w:tcPr>
            <w:tcW w:w="2113" w:type="dxa"/>
          </w:tcPr>
          <w:p w14:paraId="7BB1BF0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Inhibits specific molecular targets</w:t>
            </w:r>
            <w:r w:rsidR="00AD1CDF" w:rsidRPr="00791B6B">
              <w:rPr>
                <w:rFonts w:ascii="Times New Roman" w:hAnsi="Times New Roman" w:cs="Times New Roman"/>
                <w:sz w:val="24"/>
                <w:szCs w:val="24"/>
              </w:rPr>
              <w:t xml:space="preserve"> </w:t>
            </w:r>
            <w:r w:rsidR="00AD1CDF" w:rsidRPr="00791B6B">
              <w:rPr>
                <w:rFonts w:ascii="Times New Roman" w:hAnsi="Times New Roman" w:cs="Times New Roman"/>
                <w:sz w:val="24"/>
                <w:szCs w:val="24"/>
              </w:rPr>
              <w:lastRenderedPageBreak/>
              <w:t>involved in tumor growth</w:t>
            </w:r>
          </w:p>
        </w:tc>
        <w:tc>
          <w:tcPr>
            <w:tcW w:w="2612" w:type="dxa"/>
          </w:tcPr>
          <w:p w14:paraId="6CFB3002" w14:textId="36563746"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Activates</w:t>
            </w:r>
            <w:r w:rsidR="00D608A4">
              <w:rPr>
                <w:rFonts w:ascii="Times New Roman" w:hAnsi="Times New Roman" w:cs="Times New Roman"/>
                <w:sz w:val="24"/>
                <w:szCs w:val="24"/>
              </w:rPr>
              <w:t xml:space="preserve"> antitumor </w:t>
            </w:r>
            <w:r w:rsidRPr="00791B6B">
              <w:rPr>
                <w:rFonts w:ascii="Times New Roman" w:hAnsi="Times New Roman" w:cs="Times New Roman"/>
                <w:sz w:val="24"/>
                <w:szCs w:val="24"/>
              </w:rPr>
              <w:t xml:space="preserve"> immune response</w:t>
            </w:r>
          </w:p>
        </w:tc>
      </w:tr>
      <w:tr w:rsidR="00DC13AF" w:rsidRPr="00791B6B" w14:paraId="119F98CB" w14:textId="77777777" w:rsidTr="00DC13AF">
        <w:trPr>
          <w:trHeight w:val="568"/>
        </w:trPr>
        <w:tc>
          <w:tcPr>
            <w:tcW w:w="2082" w:type="dxa"/>
          </w:tcPr>
          <w:p w14:paraId="3B43903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Selectivity</w:t>
            </w:r>
          </w:p>
        </w:tc>
        <w:tc>
          <w:tcPr>
            <w:tcW w:w="2345" w:type="dxa"/>
          </w:tcPr>
          <w:p w14:paraId="2A00D478"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Low</w:t>
            </w:r>
          </w:p>
        </w:tc>
        <w:tc>
          <w:tcPr>
            <w:tcW w:w="2113" w:type="dxa"/>
          </w:tcPr>
          <w:p w14:paraId="7CE3B96F"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High</w:t>
            </w:r>
          </w:p>
        </w:tc>
        <w:tc>
          <w:tcPr>
            <w:tcW w:w="2612" w:type="dxa"/>
          </w:tcPr>
          <w:p w14:paraId="474DE038"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mediated tumor specificity</w:t>
            </w:r>
          </w:p>
        </w:tc>
      </w:tr>
      <w:tr w:rsidR="00DC13AF" w:rsidRPr="00791B6B" w14:paraId="7C7B1940" w14:textId="77777777" w:rsidTr="00DC13AF">
        <w:trPr>
          <w:trHeight w:val="568"/>
        </w:trPr>
        <w:tc>
          <w:tcPr>
            <w:tcW w:w="2082" w:type="dxa"/>
          </w:tcPr>
          <w:p w14:paraId="32B54C0F"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Toxicity</w:t>
            </w:r>
          </w:p>
        </w:tc>
        <w:tc>
          <w:tcPr>
            <w:tcW w:w="2345" w:type="dxa"/>
          </w:tcPr>
          <w:p w14:paraId="7033AAA5"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High systemic toxicity</w:t>
            </w:r>
          </w:p>
        </w:tc>
        <w:tc>
          <w:tcPr>
            <w:tcW w:w="2113" w:type="dxa"/>
          </w:tcPr>
          <w:p w14:paraId="09267BE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Moderate</w:t>
            </w:r>
            <w:r w:rsidR="00AD1CDF" w:rsidRPr="00791B6B">
              <w:rPr>
                <w:rFonts w:ascii="Times New Roman" w:hAnsi="Times New Roman" w:cs="Times New Roman"/>
                <w:sz w:val="24"/>
                <w:szCs w:val="24"/>
              </w:rPr>
              <w:t xml:space="preserve">, target dependent toxicity </w:t>
            </w:r>
          </w:p>
        </w:tc>
        <w:tc>
          <w:tcPr>
            <w:tcW w:w="2612" w:type="dxa"/>
          </w:tcPr>
          <w:p w14:paraId="246CC981"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related</w:t>
            </w:r>
            <w:r w:rsidR="00AD1CDF" w:rsidRPr="00791B6B">
              <w:rPr>
                <w:rFonts w:ascii="Times New Roman" w:hAnsi="Times New Roman" w:cs="Times New Roman"/>
                <w:sz w:val="24"/>
                <w:szCs w:val="24"/>
              </w:rPr>
              <w:t xml:space="preserve"> adverse events</w:t>
            </w:r>
          </w:p>
        </w:tc>
      </w:tr>
      <w:tr w:rsidR="00DC13AF" w:rsidRPr="00791B6B" w14:paraId="1C0510E1" w14:textId="77777777" w:rsidTr="00DC13AF">
        <w:trPr>
          <w:trHeight w:val="585"/>
        </w:trPr>
        <w:tc>
          <w:tcPr>
            <w:tcW w:w="2082" w:type="dxa"/>
          </w:tcPr>
          <w:p w14:paraId="19849FB8"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Resistance</w:t>
            </w:r>
          </w:p>
        </w:tc>
        <w:tc>
          <w:tcPr>
            <w:tcW w:w="2345" w:type="dxa"/>
          </w:tcPr>
          <w:p w14:paraId="0FF005E0"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Common</w:t>
            </w:r>
          </w:p>
        </w:tc>
        <w:tc>
          <w:tcPr>
            <w:tcW w:w="2113" w:type="dxa"/>
          </w:tcPr>
          <w:p w14:paraId="061E266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Common</w:t>
            </w:r>
          </w:p>
        </w:tc>
        <w:tc>
          <w:tcPr>
            <w:tcW w:w="2612" w:type="dxa"/>
          </w:tcPr>
          <w:p w14:paraId="4DB46149" w14:textId="77777777" w:rsidR="00DC13AF" w:rsidRPr="00791B6B" w:rsidRDefault="00AD1CD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Adaptive or acquired immune resistance</w:t>
            </w:r>
          </w:p>
        </w:tc>
      </w:tr>
      <w:tr w:rsidR="00DC13AF" w:rsidRPr="00791B6B" w14:paraId="46AE864B" w14:textId="77777777" w:rsidTr="00DC13AF">
        <w:trPr>
          <w:trHeight w:val="568"/>
        </w:trPr>
        <w:tc>
          <w:tcPr>
            <w:tcW w:w="2082" w:type="dxa"/>
          </w:tcPr>
          <w:p w14:paraId="096535A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Durability</w:t>
            </w:r>
          </w:p>
        </w:tc>
        <w:tc>
          <w:tcPr>
            <w:tcW w:w="2345" w:type="dxa"/>
          </w:tcPr>
          <w:p w14:paraId="0AC8C83A"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Limited</w:t>
            </w:r>
          </w:p>
        </w:tc>
        <w:tc>
          <w:tcPr>
            <w:tcW w:w="2113" w:type="dxa"/>
          </w:tcPr>
          <w:p w14:paraId="53B60A26"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Moderate</w:t>
            </w:r>
          </w:p>
        </w:tc>
        <w:tc>
          <w:tcPr>
            <w:tcW w:w="2612" w:type="dxa"/>
          </w:tcPr>
          <w:p w14:paraId="09B02CAC" w14:textId="77777777" w:rsidR="00DC13AF" w:rsidRPr="00791B6B" w:rsidRDefault="00DC13AF"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Often long standing</w:t>
            </w:r>
          </w:p>
        </w:tc>
      </w:tr>
    </w:tbl>
    <w:p w14:paraId="00803616" w14:textId="77777777" w:rsidR="00AD7E82" w:rsidRDefault="00AD7E82" w:rsidP="00C11D1A">
      <w:pPr>
        <w:spacing w:line="360" w:lineRule="auto"/>
        <w:jc w:val="both"/>
        <w:rPr>
          <w:rFonts w:ascii="Times New Roman" w:hAnsi="Times New Roman" w:cs="Times New Roman"/>
          <w:sz w:val="24"/>
          <w:szCs w:val="24"/>
        </w:rPr>
      </w:pPr>
    </w:p>
    <w:p w14:paraId="51A79F6A" w14:textId="269B92E8" w:rsidR="00AD7E82" w:rsidRDefault="00AD7E82" w:rsidP="00C11D1A">
      <w:pPr>
        <w:spacing w:line="360" w:lineRule="auto"/>
        <w:jc w:val="both"/>
        <w:rPr>
          <w:rFonts w:ascii="Times New Roman" w:hAnsi="Times New Roman" w:cs="Times New Roman"/>
          <w:sz w:val="24"/>
          <w:szCs w:val="24"/>
        </w:rPr>
      </w:pPr>
      <w:r w:rsidRPr="00AD7E82">
        <w:rPr>
          <w:rFonts w:ascii="Times New Roman" w:hAnsi="Times New Roman" w:cs="Times New Roman"/>
          <w:b/>
          <w:sz w:val="24"/>
          <w:szCs w:val="24"/>
        </w:rPr>
        <w:t>METHODOLOGY OF LITERATURE SEARCH</w:t>
      </w:r>
      <w:r>
        <w:rPr>
          <w:rFonts w:ascii="Times New Roman" w:hAnsi="Times New Roman" w:cs="Times New Roman"/>
          <w:sz w:val="24"/>
          <w:szCs w:val="24"/>
        </w:rPr>
        <w:t>:</w:t>
      </w:r>
    </w:p>
    <w:p w14:paraId="1ABAE764" w14:textId="77777777" w:rsidR="009A107A" w:rsidRPr="009A107A" w:rsidRDefault="009A107A" w:rsidP="009A107A">
      <w:pPr>
        <w:spacing w:line="360" w:lineRule="auto"/>
        <w:jc w:val="both"/>
        <w:rPr>
          <w:rFonts w:ascii="Times New Roman" w:hAnsi="Times New Roman" w:cs="Times New Roman"/>
          <w:sz w:val="24"/>
          <w:szCs w:val="24"/>
        </w:rPr>
      </w:pPr>
      <w:r w:rsidRPr="009A107A">
        <w:rPr>
          <w:rFonts w:ascii="Times New Roman" w:hAnsi="Times New Roman" w:cs="Times New Roman"/>
          <w:sz w:val="24"/>
          <w:szCs w:val="24"/>
        </w:rPr>
        <w:t>This narrative review was conducted through a structured literature search to identify relevant studies on targeted and immunotherapeutic approaches in cancer. Electronic databases including PubMed, Scopus, and Google Scholar were systematically searched using predefined keywords such as “targeted therapy,” “immunotherapy,” “immune checkpoint inhibitors,” “precision oncology,” “DNA damage response,” “PARP inhibitors,” “tumor microenvironment,” and “combination cancer therapy.”</w:t>
      </w:r>
    </w:p>
    <w:p w14:paraId="0F4BB7A8" w14:textId="77777777" w:rsidR="009A107A" w:rsidRPr="009A107A" w:rsidRDefault="009A107A" w:rsidP="009A107A">
      <w:pPr>
        <w:spacing w:line="360" w:lineRule="auto"/>
        <w:jc w:val="both"/>
        <w:rPr>
          <w:rFonts w:ascii="Times New Roman" w:hAnsi="Times New Roman" w:cs="Times New Roman"/>
          <w:sz w:val="24"/>
          <w:szCs w:val="24"/>
        </w:rPr>
      </w:pPr>
      <w:r w:rsidRPr="009A107A">
        <w:rPr>
          <w:rFonts w:ascii="Times New Roman" w:hAnsi="Times New Roman" w:cs="Times New Roman"/>
          <w:sz w:val="24"/>
          <w:szCs w:val="24"/>
        </w:rPr>
        <w:t>Peer-reviewed articles published primarily between 2010 and 2024 were included, with particular emphasis on landmark clinical trials, high-impact review articles, translational studies, and recent publications from 2022 to 2025 to capture emerging evidence and updated clinical insights. Studies were selected based on clinical relevance, methodological rigor, and contribution to understanding mechanisms of action, resistance biology, and therapeutic combinations.</w:t>
      </w:r>
    </w:p>
    <w:p w14:paraId="50DBB50C" w14:textId="66D150B7" w:rsidR="009A107A" w:rsidRDefault="009A107A" w:rsidP="009A107A">
      <w:pPr>
        <w:spacing w:line="360" w:lineRule="auto"/>
        <w:jc w:val="both"/>
        <w:rPr>
          <w:rFonts w:ascii="Times New Roman" w:hAnsi="Times New Roman" w:cs="Times New Roman"/>
          <w:sz w:val="24"/>
          <w:szCs w:val="24"/>
        </w:rPr>
      </w:pPr>
      <w:r w:rsidRPr="009A107A">
        <w:rPr>
          <w:rFonts w:ascii="Times New Roman" w:hAnsi="Times New Roman" w:cs="Times New Roman"/>
          <w:sz w:val="24"/>
          <w:szCs w:val="24"/>
        </w:rPr>
        <w:t>Only English-language publications were considered. Conference abstracts, non-peer-reviewed sources, and articles lacking sufficient methodological clarity were excluded. As a narrative review, formal systematic review protocols (e.g., PRISMA) were not applied; however, efforts were made to ensure balanced representation of major therapeutic classes and solid and hematologic malignancies.</w:t>
      </w:r>
    </w:p>
    <w:p w14:paraId="5A65F52F" w14:textId="77777777" w:rsidR="00020375" w:rsidRPr="00791B6B" w:rsidRDefault="00FA351E"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lastRenderedPageBreak/>
        <w:t>MECHANISMS OF TARGETED THERAPY</w:t>
      </w:r>
      <w:r w:rsidR="00020375" w:rsidRPr="00791B6B">
        <w:rPr>
          <w:rFonts w:ascii="Times New Roman" w:hAnsi="Times New Roman" w:cs="Times New Roman"/>
          <w:b/>
          <w:sz w:val="24"/>
          <w:szCs w:val="24"/>
        </w:rPr>
        <w:t>:</w:t>
      </w:r>
    </w:p>
    <w:p w14:paraId="147C059C" w14:textId="77777777" w:rsidR="00FA351E" w:rsidRPr="00791B6B" w:rsidRDefault="00FA351E"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Molecular Basis and Targets</w:t>
      </w:r>
    </w:p>
    <w:p w14:paraId="74EFFCF9" w14:textId="26881E20" w:rsidR="00FA351E" w:rsidRPr="00791B6B" w:rsidRDefault="00FA351E"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Targeted therapies selectively inhibit molecules essential for cancer cell survival, proliferation, angiogenesis, or metastatic </w:t>
      </w:r>
      <w:proofErr w:type="gramStart"/>
      <w:r w:rsidRPr="00791B6B">
        <w:rPr>
          <w:rFonts w:ascii="Times New Roman" w:hAnsi="Times New Roman" w:cs="Times New Roman"/>
          <w:sz w:val="24"/>
          <w:szCs w:val="24"/>
        </w:rPr>
        <w:t>spread</w:t>
      </w:r>
      <w:r w:rsidR="00643162">
        <w:rPr>
          <w:rFonts w:ascii="Times New Roman" w:hAnsi="Times New Roman" w:cs="Times New Roman"/>
          <w:sz w:val="24"/>
          <w:szCs w:val="24"/>
        </w:rPr>
        <w:t>[</w:t>
      </w:r>
      <w:proofErr w:type="gramEnd"/>
      <w:r w:rsidR="00643162">
        <w:rPr>
          <w:rFonts w:ascii="Times New Roman" w:hAnsi="Times New Roman" w:cs="Times New Roman"/>
          <w:sz w:val="24"/>
          <w:szCs w:val="24"/>
        </w:rPr>
        <w:t>61,62,66]</w:t>
      </w:r>
      <w:r w:rsidRPr="00791B6B">
        <w:rPr>
          <w:rFonts w:ascii="Times New Roman" w:hAnsi="Times New Roman" w:cs="Times New Roman"/>
          <w:sz w:val="24"/>
          <w:szCs w:val="24"/>
        </w:rPr>
        <w:t>. These include:</w:t>
      </w:r>
    </w:p>
    <w:p w14:paraId="35C8CB5A"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Receptor tyrosine kinases (RTKs):</w:t>
      </w:r>
      <w:r w:rsidRPr="00791B6B">
        <w:rPr>
          <w:rFonts w:ascii="Times New Roman" w:hAnsi="Times New Roman" w:cs="Times New Roman"/>
          <w:sz w:val="24"/>
          <w:szCs w:val="24"/>
        </w:rPr>
        <w:t xml:space="preserve"> EGFR, VEGFR, HER2</w:t>
      </w:r>
    </w:p>
    <w:p w14:paraId="732E0EF0"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Signal transduction intermediates</w:t>
      </w:r>
      <w:r w:rsidRPr="00791B6B">
        <w:rPr>
          <w:rFonts w:ascii="Times New Roman" w:hAnsi="Times New Roman" w:cs="Times New Roman"/>
          <w:sz w:val="24"/>
          <w:szCs w:val="24"/>
        </w:rPr>
        <w:t>: BRAF, MEK, PI3K</w:t>
      </w:r>
    </w:p>
    <w:p w14:paraId="490005D2" w14:textId="77777777" w:rsidR="00FA351E" w:rsidRPr="00791B6B"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Hormone receptors:</w:t>
      </w:r>
      <w:r w:rsidRPr="00791B6B">
        <w:rPr>
          <w:rFonts w:ascii="Times New Roman" w:hAnsi="Times New Roman" w:cs="Times New Roman"/>
          <w:sz w:val="24"/>
          <w:szCs w:val="24"/>
        </w:rPr>
        <w:t xml:space="preserve"> estrogen and androgen receptors</w:t>
      </w:r>
    </w:p>
    <w:p w14:paraId="20EC3437" w14:textId="77777777" w:rsidR="00FA351E" w:rsidRDefault="00FA351E" w:rsidP="00C11D1A">
      <w:pPr>
        <w:pStyle w:val="ListParagraph"/>
        <w:numPr>
          <w:ilvl w:val="0"/>
          <w:numId w:val="1"/>
        </w:numPr>
        <w:spacing w:line="360" w:lineRule="auto"/>
        <w:jc w:val="both"/>
        <w:rPr>
          <w:rFonts w:ascii="Times New Roman" w:hAnsi="Times New Roman" w:cs="Times New Roman"/>
          <w:sz w:val="24"/>
          <w:szCs w:val="24"/>
        </w:rPr>
      </w:pPr>
      <w:r w:rsidRPr="00791B6B">
        <w:rPr>
          <w:rFonts w:ascii="Times New Roman" w:hAnsi="Times New Roman" w:cs="Times New Roman"/>
          <w:b/>
          <w:sz w:val="24"/>
          <w:szCs w:val="24"/>
        </w:rPr>
        <w:t>Cell cycle regulators:</w:t>
      </w:r>
      <w:r w:rsidRPr="00791B6B">
        <w:rPr>
          <w:rFonts w:ascii="Times New Roman" w:hAnsi="Times New Roman" w:cs="Times New Roman"/>
          <w:sz w:val="24"/>
          <w:szCs w:val="24"/>
        </w:rPr>
        <w:t xml:space="preserve"> CDK4/6</w:t>
      </w:r>
    </w:p>
    <w:p w14:paraId="2A7C45EC" w14:textId="435A8C25" w:rsidR="00643162" w:rsidRPr="00D608A4" w:rsidRDefault="00D608A4" w:rsidP="00D608A4">
      <w:pPr>
        <w:spacing w:line="360" w:lineRule="auto"/>
        <w:jc w:val="both"/>
        <w:rPr>
          <w:rFonts w:ascii="Times New Roman" w:hAnsi="Times New Roman" w:cs="Times New Roman"/>
          <w:sz w:val="24"/>
          <w:szCs w:val="24"/>
        </w:rPr>
      </w:pPr>
      <w:r w:rsidRPr="00D608A4">
        <w:rPr>
          <w:rFonts w:ascii="Times New Roman" w:hAnsi="Times New Roman" w:cs="Times New Roman"/>
          <w:sz w:val="24"/>
          <w:szCs w:val="24"/>
        </w:rPr>
        <w:t>T</w:t>
      </w:r>
      <w:r w:rsidR="00643162" w:rsidRPr="00D608A4">
        <w:rPr>
          <w:rFonts w:ascii="Times New Roman" w:hAnsi="Times New Roman" w:cs="Times New Roman"/>
          <w:sz w:val="24"/>
          <w:szCs w:val="24"/>
        </w:rPr>
        <w:t xml:space="preserve">hese molecular targets represent the core drivers of oncogenic signaling across multiple solid and hematological </w:t>
      </w:r>
      <w:proofErr w:type="gramStart"/>
      <w:r w:rsidR="00643162" w:rsidRPr="00D608A4">
        <w:rPr>
          <w:rFonts w:ascii="Times New Roman" w:hAnsi="Times New Roman" w:cs="Times New Roman"/>
          <w:sz w:val="24"/>
          <w:szCs w:val="24"/>
        </w:rPr>
        <w:t>malignancies[</w:t>
      </w:r>
      <w:proofErr w:type="gramEnd"/>
      <w:r w:rsidR="00643162" w:rsidRPr="00D608A4">
        <w:rPr>
          <w:rFonts w:ascii="Times New Roman" w:hAnsi="Times New Roman" w:cs="Times New Roman"/>
          <w:sz w:val="24"/>
          <w:szCs w:val="24"/>
        </w:rPr>
        <w:t>66-69]</w:t>
      </w:r>
    </w:p>
    <w:p w14:paraId="209BDD2D" w14:textId="77777777" w:rsidR="004154E2" w:rsidRPr="00791B6B" w:rsidRDefault="00FA351E"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By disrupting these oncogenic pathways, targeted agents minimize off-target effects and improve tolerability compared with conventional chemotherapy. </w:t>
      </w:r>
      <w:r w:rsidR="004154E2" w:rsidRPr="00791B6B">
        <w:rPr>
          <w:rFonts w:ascii="Times New Roman" w:hAnsi="Times New Roman" w:cs="Times New Roman"/>
          <w:sz w:val="24"/>
          <w:szCs w:val="24"/>
        </w:rPr>
        <w:t>Many cancers are driven by activating mutations or overexpression of receptor tyrosine kinases such as EGFR, HER2, and VEGFR, which initiate downstream signaling cascades promoting uncontrolled cell growth [6–9]. Inhibition of these receptors or their downstream mediators, including BRAF, MEK, PI3K, and CDK4/6, has led to substantial improvements in clinical outcomes [10–12].</w:t>
      </w:r>
    </w:p>
    <w:p w14:paraId="1680CDDC" w14:textId="77777777" w:rsidR="00FA351E" w:rsidRDefault="004154E2"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Unlike conventional chemotherapy, targeted agents are designed to exploit tumor-specific vulnerabilities, thereby reducing off-target toxicity and improving tolerability. The clinical success of imatinib in chronic myeloid leukemia established proof-of-concept for molecularly targeted therapy and paved the way for the development of numerous kinase inhibitors across solid and hematological malignancies [6].</w:t>
      </w:r>
    </w:p>
    <w:p w14:paraId="10FA77F2" w14:textId="77777777" w:rsidR="009A107A" w:rsidRPr="00791B6B" w:rsidRDefault="009A107A" w:rsidP="00C11D1A">
      <w:pPr>
        <w:spacing w:line="360" w:lineRule="auto"/>
        <w:jc w:val="both"/>
        <w:rPr>
          <w:rFonts w:ascii="Times New Roman" w:hAnsi="Times New Roman" w:cs="Times New Roman"/>
          <w:sz w:val="24"/>
          <w:szCs w:val="24"/>
        </w:rPr>
      </w:pPr>
    </w:p>
    <w:p w14:paraId="66662179" w14:textId="6F2AADCE" w:rsidR="00C71388" w:rsidRPr="00791B6B" w:rsidRDefault="00D608A4" w:rsidP="00C11D1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2942DE" w:rsidRPr="00791B6B">
        <w:rPr>
          <w:rFonts w:ascii="Times New Roman" w:hAnsi="Times New Roman" w:cs="Times New Roman"/>
          <w:b/>
          <w:sz w:val="24"/>
          <w:szCs w:val="24"/>
        </w:rPr>
        <w:t xml:space="preserve">2: </w:t>
      </w:r>
      <w:r>
        <w:rPr>
          <w:rFonts w:ascii="Times New Roman" w:hAnsi="Times New Roman" w:cs="Times New Roman"/>
          <w:b/>
          <w:sz w:val="24"/>
          <w:szCs w:val="24"/>
        </w:rPr>
        <w:t>Targeted therapeutic agents categorized by molecular targets and cancer type:</w:t>
      </w:r>
    </w:p>
    <w:tbl>
      <w:tblPr>
        <w:tblStyle w:val="TableGrid"/>
        <w:tblW w:w="0" w:type="auto"/>
        <w:tblLook w:val="04A0" w:firstRow="1" w:lastRow="0" w:firstColumn="1" w:lastColumn="0" w:noHBand="0" w:noVBand="1"/>
      </w:tblPr>
      <w:tblGrid>
        <w:gridCol w:w="2394"/>
        <w:gridCol w:w="2394"/>
        <w:gridCol w:w="2394"/>
        <w:gridCol w:w="2394"/>
      </w:tblGrid>
      <w:tr w:rsidR="00DC13AF" w:rsidRPr="00791B6B" w14:paraId="24F611BD" w14:textId="77777777" w:rsidTr="00DC13AF">
        <w:tc>
          <w:tcPr>
            <w:tcW w:w="2394" w:type="dxa"/>
          </w:tcPr>
          <w:p w14:paraId="771F13C4"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Drug class</w:t>
            </w:r>
          </w:p>
        </w:tc>
        <w:tc>
          <w:tcPr>
            <w:tcW w:w="2394" w:type="dxa"/>
          </w:tcPr>
          <w:p w14:paraId="7E464D38"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Molecular targets</w:t>
            </w:r>
          </w:p>
        </w:tc>
        <w:tc>
          <w:tcPr>
            <w:tcW w:w="2394" w:type="dxa"/>
          </w:tcPr>
          <w:p w14:paraId="6A0D69D5" w14:textId="77777777" w:rsidR="00DC13AF" w:rsidRPr="00791B6B" w:rsidRDefault="00DC13AF"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Cancer types</w:t>
            </w:r>
          </w:p>
        </w:tc>
        <w:tc>
          <w:tcPr>
            <w:tcW w:w="2394" w:type="dxa"/>
          </w:tcPr>
          <w:p w14:paraId="1FA20066" w14:textId="77777777" w:rsidR="00DC13AF" w:rsidRPr="00791B6B" w:rsidRDefault="00167CDD"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Example agents</w:t>
            </w:r>
          </w:p>
        </w:tc>
      </w:tr>
      <w:tr w:rsidR="00CB5991" w:rsidRPr="00791B6B" w14:paraId="7009754D" w14:textId="77777777" w:rsidTr="00CB5991">
        <w:trPr>
          <w:trHeight w:val="448"/>
        </w:trPr>
        <w:tc>
          <w:tcPr>
            <w:tcW w:w="2394" w:type="dxa"/>
            <w:vMerge w:val="restart"/>
          </w:tcPr>
          <w:p w14:paraId="0F133A7B" w14:textId="77777777" w:rsidR="00CB5991" w:rsidRPr="00791B6B"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TKIs</w:t>
            </w:r>
          </w:p>
        </w:tc>
        <w:tc>
          <w:tcPr>
            <w:tcW w:w="2394" w:type="dxa"/>
          </w:tcPr>
          <w:p w14:paraId="6FB74AB6" w14:textId="684ACC42" w:rsidR="00CB5991" w:rsidRPr="00791B6B"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EGFR</w:t>
            </w:r>
          </w:p>
        </w:tc>
        <w:tc>
          <w:tcPr>
            <w:tcW w:w="2394" w:type="dxa"/>
          </w:tcPr>
          <w:p w14:paraId="65BA13A3" w14:textId="100BEF7B" w:rsidR="00CB5991" w:rsidRPr="00791B6B"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 xml:space="preserve"> Lung cancer</w:t>
            </w:r>
          </w:p>
        </w:tc>
        <w:tc>
          <w:tcPr>
            <w:tcW w:w="2394" w:type="dxa"/>
          </w:tcPr>
          <w:p w14:paraId="2E90473B" w14:textId="176441ED" w:rsidR="00CB5991" w:rsidRPr="00791B6B"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Erlotinib</w:t>
            </w:r>
          </w:p>
        </w:tc>
      </w:tr>
      <w:tr w:rsidR="00CB5991" w:rsidRPr="00791B6B" w14:paraId="6DACE3D5" w14:textId="77777777" w:rsidTr="00CB5991">
        <w:trPr>
          <w:trHeight w:val="407"/>
        </w:trPr>
        <w:tc>
          <w:tcPr>
            <w:tcW w:w="2394" w:type="dxa"/>
            <w:vMerge/>
          </w:tcPr>
          <w:p w14:paraId="03EDB636" w14:textId="77777777" w:rsidR="00CB5991" w:rsidRPr="00791B6B" w:rsidRDefault="00CB5991" w:rsidP="00C11D1A">
            <w:pPr>
              <w:spacing w:line="360" w:lineRule="auto"/>
              <w:jc w:val="both"/>
              <w:rPr>
                <w:rFonts w:ascii="Times New Roman" w:hAnsi="Times New Roman" w:cs="Times New Roman"/>
                <w:sz w:val="24"/>
                <w:szCs w:val="24"/>
              </w:rPr>
            </w:pPr>
          </w:p>
        </w:tc>
        <w:tc>
          <w:tcPr>
            <w:tcW w:w="2394" w:type="dxa"/>
          </w:tcPr>
          <w:p w14:paraId="5173F2FC" w14:textId="36E806F3" w:rsidR="00CB5991"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ALK</w:t>
            </w:r>
          </w:p>
        </w:tc>
        <w:tc>
          <w:tcPr>
            <w:tcW w:w="2394" w:type="dxa"/>
          </w:tcPr>
          <w:p w14:paraId="683D7E51" w14:textId="5D48DA51" w:rsidR="00CB5991"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ALK-positive NSCLC</w:t>
            </w:r>
          </w:p>
        </w:tc>
        <w:tc>
          <w:tcPr>
            <w:tcW w:w="2394" w:type="dxa"/>
          </w:tcPr>
          <w:p w14:paraId="1A23E24A" w14:textId="3FD352F5" w:rsidR="00CB5991" w:rsidRDefault="00CB5991" w:rsidP="00C11D1A">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C</w:t>
            </w:r>
            <w:r w:rsidRPr="00791B6B">
              <w:rPr>
                <w:rFonts w:ascii="Times New Roman" w:hAnsi="Times New Roman" w:cs="Times New Roman"/>
                <w:sz w:val="24"/>
                <w:szCs w:val="24"/>
              </w:rPr>
              <w:t>rizotinib</w:t>
            </w:r>
            <w:proofErr w:type="spellEnd"/>
          </w:p>
        </w:tc>
      </w:tr>
      <w:tr w:rsidR="00CB5991" w:rsidRPr="00791B6B" w14:paraId="7F3C909D" w14:textId="77777777" w:rsidTr="00DC13AF">
        <w:trPr>
          <w:trHeight w:val="408"/>
        </w:trPr>
        <w:tc>
          <w:tcPr>
            <w:tcW w:w="2394" w:type="dxa"/>
            <w:vMerge/>
          </w:tcPr>
          <w:p w14:paraId="2AE897EA" w14:textId="77777777" w:rsidR="00CB5991" w:rsidRPr="00791B6B" w:rsidRDefault="00CB5991" w:rsidP="00C11D1A">
            <w:pPr>
              <w:spacing w:line="360" w:lineRule="auto"/>
              <w:jc w:val="both"/>
              <w:rPr>
                <w:rFonts w:ascii="Times New Roman" w:hAnsi="Times New Roman" w:cs="Times New Roman"/>
                <w:sz w:val="24"/>
                <w:szCs w:val="24"/>
              </w:rPr>
            </w:pPr>
          </w:p>
        </w:tc>
        <w:tc>
          <w:tcPr>
            <w:tcW w:w="2394" w:type="dxa"/>
          </w:tcPr>
          <w:p w14:paraId="3818BFDA" w14:textId="6F5BFC39" w:rsidR="00CB5991" w:rsidRDefault="00CB5991" w:rsidP="00C11D1A">
            <w:pPr>
              <w:spacing w:line="360" w:lineRule="auto"/>
              <w:rPr>
                <w:rFonts w:ascii="Times New Roman" w:hAnsi="Times New Roman" w:cs="Times New Roman"/>
                <w:sz w:val="24"/>
                <w:szCs w:val="24"/>
              </w:rPr>
            </w:pPr>
            <w:r w:rsidRPr="00791B6B">
              <w:rPr>
                <w:rFonts w:ascii="Times New Roman" w:hAnsi="Times New Roman" w:cs="Times New Roman"/>
                <w:sz w:val="24"/>
                <w:szCs w:val="24"/>
              </w:rPr>
              <w:t>BRAF</w:t>
            </w:r>
            <w:r>
              <w:rPr>
                <w:rFonts w:ascii="Times New Roman" w:hAnsi="Times New Roman" w:cs="Times New Roman"/>
                <w:sz w:val="24"/>
                <w:szCs w:val="24"/>
              </w:rPr>
              <w:t xml:space="preserve"> V600E</w:t>
            </w:r>
          </w:p>
        </w:tc>
        <w:tc>
          <w:tcPr>
            <w:tcW w:w="2394" w:type="dxa"/>
          </w:tcPr>
          <w:p w14:paraId="2884F1DA" w14:textId="0B231E2A" w:rsidR="00CB5991"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Melanoma</w:t>
            </w:r>
          </w:p>
        </w:tc>
        <w:tc>
          <w:tcPr>
            <w:tcW w:w="2394" w:type="dxa"/>
          </w:tcPr>
          <w:p w14:paraId="0F3F0201" w14:textId="612ABE4C" w:rsidR="00CB5991" w:rsidRDefault="00CB5991" w:rsidP="00C11D1A">
            <w:pPr>
              <w:spacing w:line="360" w:lineRule="auto"/>
              <w:rPr>
                <w:rFonts w:ascii="Times New Roman" w:hAnsi="Times New Roman" w:cs="Times New Roman"/>
                <w:sz w:val="24"/>
                <w:szCs w:val="24"/>
              </w:rPr>
            </w:pPr>
            <w:r>
              <w:rPr>
                <w:rFonts w:ascii="Times New Roman" w:hAnsi="Times New Roman" w:cs="Times New Roman"/>
                <w:sz w:val="24"/>
                <w:szCs w:val="24"/>
              </w:rPr>
              <w:t>Vemurafenib</w:t>
            </w:r>
          </w:p>
        </w:tc>
      </w:tr>
      <w:tr w:rsidR="00CB5991" w:rsidRPr="00791B6B" w14:paraId="01216BCB" w14:textId="77777777" w:rsidTr="00CB5991">
        <w:trPr>
          <w:trHeight w:val="421"/>
        </w:trPr>
        <w:tc>
          <w:tcPr>
            <w:tcW w:w="2394" w:type="dxa"/>
            <w:vMerge w:val="restart"/>
          </w:tcPr>
          <w:p w14:paraId="35E60721" w14:textId="77777777" w:rsidR="00CB5991" w:rsidRPr="00791B6B"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Monoclonal antibodies</w:t>
            </w:r>
          </w:p>
        </w:tc>
        <w:tc>
          <w:tcPr>
            <w:tcW w:w="2394" w:type="dxa"/>
          </w:tcPr>
          <w:p w14:paraId="54AC5614" w14:textId="0F75EA06" w:rsidR="00CB5991" w:rsidRPr="00791B6B"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HER2</w:t>
            </w:r>
          </w:p>
        </w:tc>
        <w:tc>
          <w:tcPr>
            <w:tcW w:w="2394" w:type="dxa"/>
          </w:tcPr>
          <w:p w14:paraId="726F15FA" w14:textId="3B083F68" w:rsidR="00CB5991" w:rsidRPr="00791B6B"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HER2-Positive breast cancer</w:t>
            </w:r>
          </w:p>
        </w:tc>
        <w:tc>
          <w:tcPr>
            <w:tcW w:w="2394" w:type="dxa"/>
          </w:tcPr>
          <w:p w14:paraId="2AAB1A6C" w14:textId="73D00782" w:rsidR="00CB5991" w:rsidRPr="00791B6B"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Trastuzumab</w:t>
            </w:r>
            <w:r w:rsidRPr="00791B6B">
              <w:rPr>
                <w:rFonts w:ascii="Times New Roman" w:hAnsi="Times New Roman" w:cs="Times New Roman"/>
                <w:sz w:val="24"/>
                <w:szCs w:val="24"/>
              </w:rPr>
              <w:t xml:space="preserve"> </w:t>
            </w:r>
          </w:p>
        </w:tc>
      </w:tr>
      <w:tr w:rsidR="00CB5991" w:rsidRPr="00791B6B" w14:paraId="071D1648" w14:textId="77777777" w:rsidTr="00DC13AF">
        <w:trPr>
          <w:trHeight w:val="408"/>
        </w:trPr>
        <w:tc>
          <w:tcPr>
            <w:tcW w:w="2394" w:type="dxa"/>
            <w:vMerge/>
          </w:tcPr>
          <w:p w14:paraId="42C86E73" w14:textId="77777777" w:rsidR="00CB5991" w:rsidRPr="00791B6B" w:rsidRDefault="00CB5991" w:rsidP="00C11D1A">
            <w:pPr>
              <w:spacing w:line="360" w:lineRule="auto"/>
              <w:jc w:val="both"/>
              <w:rPr>
                <w:rFonts w:ascii="Times New Roman" w:hAnsi="Times New Roman" w:cs="Times New Roman"/>
                <w:sz w:val="24"/>
                <w:szCs w:val="24"/>
              </w:rPr>
            </w:pPr>
          </w:p>
        </w:tc>
        <w:tc>
          <w:tcPr>
            <w:tcW w:w="2394" w:type="dxa"/>
          </w:tcPr>
          <w:p w14:paraId="1E4205ED" w14:textId="0E207D5C" w:rsidR="00CB5991"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VEGF</w:t>
            </w:r>
          </w:p>
        </w:tc>
        <w:tc>
          <w:tcPr>
            <w:tcW w:w="2394" w:type="dxa"/>
          </w:tcPr>
          <w:p w14:paraId="65EA07E6" w14:textId="78A312C9" w:rsidR="00CB5991"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Colorectal cancer</w:t>
            </w:r>
          </w:p>
        </w:tc>
        <w:tc>
          <w:tcPr>
            <w:tcW w:w="2394" w:type="dxa"/>
          </w:tcPr>
          <w:p w14:paraId="5E3DE23D" w14:textId="72CB1420" w:rsidR="00CB5991"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Bevacizumab</w:t>
            </w:r>
          </w:p>
        </w:tc>
      </w:tr>
      <w:tr w:rsidR="00CB5991" w:rsidRPr="00791B6B" w14:paraId="0CCBA5BD" w14:textId="77777777" w:rsidTr="00CB5991">
        <w:trPr>
          <w:trHeight w:val="408"/>
        </w:trPr>
        <w:tc>
          <w:tcPr>
            <w:tcW w:w="2394" w:type="dxa"/>
            <w:vMerge w:val="restart"/>
          </w:tcPr>
          <w:p w14:paraId="7A30F3F4" w14:textId="77777777" w:rsidR="00CB5991" w:rsidRPr="00791B6B"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CDK Inhibitors</w:t>
            </w:r>
          </w:p>
        </w:tc>
        <w:tc>
          <w:tcPr>
            <w:tcW w:w="2394" w:type="dxa"/>
          </w:tcPr>
          <w:p w14:paraId="430BD419" w14:textId="58075710" w:rsidR="00CB5991" w:rsidRPr="00791B6B" w:rsidRDefault="00CB5991"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CDK4/6</w:t>
            </w:r>
          </w:p>
        </w:tc>
        <w:tc>
          <w:tcPr>
            <w:tcW w:w="2394" w:type="dxa"/>
          </w:tcPr>
          <w:p w14:paraId="37D49D39" w14:textId="4675504C" w:rsidR="00CB5991" w:rsidRPr="00791B6B"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HR-Positive breast cancer</w:t>
            </w:r>
          </w:p>
        </w:tc>
        <w:tc>
          <w:tcPr>
            <w:tcW w:w="2394" w:type="dxa"/>
          </w:tcPr>
          <w:p w14:paraId="72A05AE3" w14:textId="77777777" w:rsidR="00CB5991" w:rsidRPr="00791B6B" w:rsidRDefault="00CB5991" w:rsidP="00C11D1A">
            <w:p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Palbociclib</w:t>
            </w:r>
            <w:proofErr w:type="spellEnd"/>
          </w:p>
        </w:tc>
      </w:tr>
      <w:tr w:rsidR="00CB5991" w:rsidRPr="00791B6B" w14:paraId="399B8F2F" w14:textId="77777777" w:rsidTr="00DC13AF">
        <w:trPr>
          <w:trHeight w:val="421"/>
        </w:trPr>
        <w:tc>
          <w:tcPr>
            <w:tcW w:w="2394" w:type="dxa"/>
            <w:vMerge/>
          </w:tcPr>
          <w:p w14:paraId="5D38D278" w14:textId="77777777" w:rsidR="00CB5991" w:rsidRPr="00791B6B" w:rsidRDefault="00CB5991" w:rsidP="00C11D1A">
            <w:pPr>
              <w:spacing w:line="360" w:lineRule="auto"/>
              <w:jc w:val="both"/>
              <w:rPr>
                <w:rFonts w:ascii="Times New Roman" w:hAnsi="Times New Roman" w:cs="Times New Roman"/>
                <w:sz w:val="24"/>
                <w:szCs w:val="24"/>
              </w:rPr>
            </w:pPr>
          </w:p>
        </w:tc>
        <w:tc>
          <w:tcPr>
            <w:tcW w:w="2394" w:type="dxa"/>
          </w:tcPr>
          <w:p w14:paraId="67EF2AAB" w14:textId="0FDACD6C" w:rsidR="00CB5991" w:rsidRPr="00791B6B"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PARP</w:t>
            </w:r>
          </w:p>
        </w:tc>
        <w:tc>
          <w:tcPr>
            <w:tcW w:w="2394" w:type="dxa"/>
          </w:tcPr>
          <w:p w14:paraId="5D44E399" w14:textId="280D478E" w:rsidR="00CB5991" w:rsidRDefault="00CB5991" w:rsidP="00C11D1A">
            <w:pPr>
              <w:spacing w:line="360" w:lineRule="auto"/>
              <w:jc w:val="both"/>
              <w:rPr>
                <w:rFonts w:ascii="Times New Roman" w:hAnsi="Times New Roman" w:cs="Times New Roman"/>
                <w:sz w:val="24"/>
                <w:szCs w:val="24"/>
              </w:rPr>
            </w:pPr>
            <w:r>
              <w:rPr>
                <w:rFonts w:ascii="Times New Roman" w:hAnsi="Times New Roman" w:cs="Times New Roman"/>
                <w:sz w:val="24"/>
                <w:szCs w:val="24"/>
              </w:rPr>
              <w:t>Ovarian Cancer</w:t>
            </w:r>
          </w:p>
        </w:tc>
        <w:tc>
          <w:tcPr>
            <w:tcW w:w="2394" w:type="dxa"/>
          </w:tcPr>
          <w:p w14:paraId="36DC39A0" w14:textId="207EC996" w:rsidR="00CB5991" w:rsidRPr="00791B6B" w:rsidRDefault="00CB5991" w:rsidP="00C11D1A">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Olaparib</w:t>
            </w:r>
            <w:proofErr w:type="spellEnd"/>
          </w:p>
        </w:tc>
      </w:tr>
    </w:tbl>
    <w:p w14:paraId="7BA1ED18" w14:textId="77777777" w:rsidR="00C4265C" w:rsidRPr="00791B6B" w:rsidRDefault="00C4265C" w:rsidP="00C11D1A">
      <w:pPr>
        <w:spacing w:line="360" w:lineRule="auto"/>
        <w:jc w:val="both"/>
        <w:rPr>
          <w:rFonts w:ascii="Times New Roman" w:hAnsi="Times New Roman" w:cs="Times New Roman"/>
          <w:b/>
          <w:noProof/>
          <w:sz w:val="24"/>
          <w:szCs w:val="24"/>
        </w:rPr>
      </w:pPr>
      <w:r w:rsidRPr="00791B6B">
        <w:rPr>
          <w:rFonts w:ascii="Times New Roman" w:hAnsi="Times New Roman" w:cs="Times New Roman"/>
          <w:b/>
          <w:sz w:val="24"/>
          <w:szCs w:val="24"/>
        </w:rPr>
        <w:t>Tyrosine Kinase Inhibitors:</w:t>
      </w:r>
    </w:p>
    <w:p w14:paraId="0E119CB8"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Tyrosine kinases play a central role in regulating cellular processes such as proliferation, differentiation, migration, and survival. Dysregulation of these enzymes through mutations, amplifications, or chromosomal rearrangements contributes to oncogenesis in numerous malignancies [8]. Tyrosine kinase inhibitors (TKIs) act by competitively inhibiting ATP-binding sites, thereby preventing downstream signal transduction.</w:t>
      </w:r>
    </w:p>
    <w:p w14:paraId="54B60101"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clinical success of TKIs was first demonstrated in chronic myeloid leukemia with inhibitors targeting the BCR–ABL fusion protein, leading to unprecedented improvements in survival [6]. This success validated the concept that targeting a dominant oncogenic driver could profoundly alter disease course. Subsequently, TKIs targeting EGFR, ALK, and ROS1 have demonstrated significant efficacy in molecularly selected patients with non-small cell lung cancer [9–11]. Similarly, BRAF and MEK inhibitors have improved outcomes in melanoma harboring BRAF V600 mutations [10].</w:t>
      </w:r>
    </w:p>
    <w:p w14:paraId="65516C1C" w14:textId="77777777" w:rsidR="00C4265C" w:rsidRPr="00791B6B" w:rsidRDefault="00C4265C" w:rsidP="00C11D1A">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high initial response rates, resistance to TKIs frequently develops due to secondary mutations, activation of bypass signaling pathways, or phenotypic transformation [29]. These challenges have prompted the development of next-generation inhibitors and rational combination strategies to overcome resistance mechanisms [56].</w:t>
      </w:r>
    </w:p>
    <w:p w14:paraId="7FAD6BD3" w14:textId="77777777" w:rsidR="00C4265C" w:rsidRPr="00791B6B" w:rsidRDefault="00C4265C" w:rsidP="00C11D1A">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Monoclonal Antibodies:</w:t>
      </w:r>
    </w:p>
    <w:p w14:paraId="3B0E6EF2"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Monoclonal antibodies constitute another major class of targeted therapeutics. These agents are designed to recognize specific extracellular antigens expressed on tumor cells or within the tumor microenvironment. Their mechanisms of action include blockade of ligand–receptor </w:t>
      </w:r>
      <w:r w:rsidRPr="00791B6B">
        <w:rPr>
          <w:rFonts w:ascii="Times New Roman" w:hAnsi="Times New Roman" w:cs="Times New Roman"/>
          <w:sz w:val="24"/>
          <w:szCs w:val="24"/>
        </w:rPr>
        <w:lastRenderedPageBreak/>
        <w:t>interactions, induction of antibody-dependent cellular cytotoxicity, complement activation, and delivery of cytotoxic conjugates [7].</w:t>
      </w:r>
    </w:p>
    <w:p w14:paraId="33C305F8" w14:textId="77777777"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Antibodies targeting HER2 have dramatically improved outcomes in HER2-positive breast cancer, while agents directed against VEGF have demonstrated benefit in colorectal, lung, and renal cell carcinomas [7,13]. In addition to direct antitumor effects, monoclonal antibodies can modulate immune responses, further blurring the distinction between targeted therapy and immunotherapy [45].</w:t>
      </w:r>
    </w:p>
    <w:p w14:paraId="5BC8BC94" w14:textId="77777777" w:rsidR="00C4265C" w:rsidRPr="00791B6B" w:rsidRDefault="00C4265C"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Cell cycle and Intracellular signaling Inhibitors:</w:t>
      </w:r>
    </w:p>
    <w:p w14:paraId="3EF77087" w14:textId="77777777" w:rsidR="00C4265C" w:rsidRDefault="00CF6706"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Loss of normal cell cycle regulation is a fundamental feature observed across multiple cancer types</w:t>
      </w:r>
      <w:r w:rsidR="00C4265C" w:rsidRPr="00791B6B">
        <w:rPr>
          <w:rFonts w:ascii="Times New Roman" w:hAnsi="Times New Roman" w:cs="Times New Roman"/>
          <w:sz w:val="24"/>
          <w:szCs w:val="24"/>
        </w:rPr>
        <w:t>. Cyclin-dependent kinase (CDK) inhibitors, particularly those targeting CDK4 and CDK6, arrest tumor cells in the G1 phase of the cell cycle and have demonstrated substantial benefit in hormone receptor–positive breast cancer [12]. Inhibitors targeting intracellular signaling pathways such as PI3K, AKT, and mTOR have further expanded therapeutic options for patients with advanced malignancies [15].</w:t>
      </w:r>
    </w:p>
    <w:p w14:paraId="2478696D" w14:textId="5D752F36" w:rsidR="007A6ED8" w:rsidRDefault="007A6ED8" w:rsidP="004A5EC1">
      <w:pPr>
        <w:spacing w:line="360" w:lineRule="auto"/>
        <w:jc w:val="both"/>
        <w:rPr>
          <w:rFonts w:ascii="Times New Roman" w:hAnsi="Times New Roman" w:cs="Times New Roman"/>
          <w:sz w:val="24"/>
          <w:szCs w:val="24"/>
        </w:rPr>
      </w:pPr>
      <w:r w:rsidRPr="007A6ED8">
        <w:rPr>
          <w:rFonts w:ascii="Times New Roman" w:hAnsi="Times New Roman" w:cs="Times New Roman"/>
          <w:sz w:val="24"/>
          <w:szCs w:val="24"/>
        </w:rPr>
        <w:t xml:space="preserve">Targeting the DNA damage response (DDR) pathway has emerged as an important therapeutic strategy within the broader landscape of targeted oncology. </w:t>
      </w:r>
      <w:proofErr w:type="gramStart"/>
      <w:r w:rsidRPr="007A6ED8">
        <w:rPr>
          <w:rFonts w:ascii="Times New Roman" w:hAnsi="Times New Roman" w:cs="Times New Roman"/>
          <w:sz w:val="24"/>
          <w:szCs w:val="24"/>
        </w:rPr>
        <w:t>Poly(</w:t>
      </w:r>
      <w:proofErr w:type="gramEnd"/>
      <w:r w:rsidRPr="007A6ED8">
        <w:rPr>
          <w:rFonts w:ascii="Times New Roman" w:hAnsi="Times New Roman" w:cs="Times New Roman"/>
          <w:sz w:val="24"/>
          <w:szCs w:val="24"/>
        </w:rPr>
        <w:t xml:space="preserve">ADP-ribose) polymerase (PARP) inhibitors exploit defects in homologous recombination repair, particularly in tumors harboring BRCA1/2 mutations or homologous recombination deficiency (HRD), through the concept of synthetic lethality. By inhibiting PARP-mediated single-strand DNA repair, these agents promote accumulation of DNA damage, ultimately leading to tumor cell death. Clinical evidence supports the efficacy of PARP inhibitors such as </w:t>
      </w:r>
      <w:proofErr w:type="spellStart"/>
      <w:r w:rsidRPr="007A6ED8">
        <w:rPr>
          <w:rFonts w:ascii="Times New Roman" w:hAnsi="Times New Roman" w:cs="Times New Roman"/>
          <w:sz w:val="24"/>
          <w:szCs w:val="24"/>
        </w:rPr>
        <w:t>olaparib</w:t>
      </w:r>
      <w:proofErr w:type="spellEnd"/>
      <w:r w:rsidRPr="007A6ED8">
        <w:rPr>
          <w:rFonts w:ascii="Times New Roman" w:hAnsi="Times New Roman" w:cs="Times New Roman"/>
          <w:sz w:val="24"/>
          <w:szCs w:val="24"/>
        </w:rPr>
        <w:t xml:space="preserve">, niraparib, </w:t>
      </w:r>
      <w:proofErr w:type="spellStart"/>
      <w:r w:rsidRPr="007A6ED8">
        <w:rPr>
          <w:rFonts w:ascii="Times New Roman" w:hAnsi="Times New Roman" w:cs="Times New Roman"/>
          <w:sz w:val="24"/>
          <w:szCs w:val="24"/>
        </w:rPr>
        <w:t>talazoparib</w:t>
      </w:r>
      <w:proofErr w:type="spellEnd"/>
      <w:r w:rsidRPr="007A6ED8">
        <w:rPr>
          <w:rFonts w:ascii="Times New Roman" w:hAnsi="Times New Roman" w:cs="Times New Roman"/>
          <w:sz w:val="24"/>
          <w:szCs w:val="24"/>
        </w:rPr>
        <w:t>, and rucaparib in ovarian, breast, prostate, and pancreatic cancers. However, resistance mechanisms—including restoration of homologous recombination function, replication fork stabilization, and drug efflux—have increasingly been recognized as major clinical challenges. Recent comprehensive analyses further synthesize evolving clinical evidence and resistance biology, highlighting ongoing efforts to optimize patient selection and combination strategies in DDR-targeted therapy (PMID: 40426953)</w:t>
      </w:r>
      <w:r>
        <w:rPr>
          <w:rFonts w:ascii="Times New Roman" w:hAnsi="Times New Roman" w:cs="Times New Roman"/>
          <w:sz w:val="24"/>
          <w:szCs w:val="24"/>
        </w:rPr>
        <w:t>[69]</w:t>
      </w:r>
      <w:r w:rsidRPr="007A6ED8">
        <w:rPr>
          <w:rFonts w:ascii="Times New Roman" w:hAnsi="Times New Roman" w:cs="Times New Roman"/>
          <w:sz w:val="24"/>
          <w:szCs w:val="24"/>
        </w:rPr>
        <w:t>.</w:t>
      </w:r>
    </w:p>
    <w:p w14:paraId="3A701D6D" w14:textId="7A9CA808" w:rsidR="00195D62" w:rsidRDefault="00195D62" w:rsidP="004A5EC1">
      <w:pPr>
        <w:spacing w:line="360" w:lineRule="auto"/>
        <w:jc w:val="both"/>
        <w:rPr>
          <w:rFonts w:ascii="Times New Roman" w:hAnsi="Times New Roman" w:cs="Times New Roman"/>
          <w:b/>
          <w:sz w:val="24"/>
          <w:szCs w:val="24"/>
        </w:rPr>
      </w:pPr>
      <w:r w:rsidRPr="00195D62">
        <w:rPr>
          <w:rFonts w:ascii="Times New Roman" w:hAnsi="Times New Roman" w:cs="Times New Roman"/>
          <w:b/>
          <w:sz w:val="24"/>
          <w:szCs w:val="24"/>
        </w:rPr>
        <w:t>Table</w:t>
      </w:r>
      <w:r w:rsidR="00D608A4">
        <w:rPr>
          <w:rFonts w:ascii="Times New Roman" w:hAnsi="Times New Roman" w:cs="Times New Roman"/>
          <w:b/>
          <w:sz w:val="24"/>
          <w:szCs w:val="24"/>
        </w:rPr>
        <w:t xml:space="preserve"> </w:t>
      </w:r>
      <w:r w:rsidRPr="00195D62">
        <w:rPr>
          <w:rFonts w:ascii="Times New Roman" w:hAnsi="Times New Roman" w:cs="Times New Roman"/>
          <w:b/>
          <w:sz w:val="24"/>
          <w:szCs w:val="24"/>
        </w:rPr>
        <w:t>3</w:t>
      </w:r>
      <w:r w:rsidR="00D608A4">
        <w:rPr>
          <w:rFonts w:ascii="Times New Roman" w:hAnsi="Times New Roman" w:cs="Times New Roman"/>
          <w:b/>
          <w:sz w:val="24"/>
          <w:szCs w:val="24"/>
        </w:rPr>
        <w:t>.</w:t>
      </w:r>
      <w:r w:rsidRPr="00195D62">
        <w:rPr>
          <w:rFonts w:ascii="Times New Roman" w:hAnsi="Times New Roman" w:cs="Times New Roman"/>
          <w:b/>
          <w:sz w:val="24"/>
          <w:szCs w:val="24"/>
        </w:rPr>
        <w:t xml:space="preserve"> Targeted therapies modulating DNA damage response pathways:</w:t>
      </w:r>
    </w:p>
    <w:tbl>
      <w:tblPr>
        <w:tblStyle w:val="TableGrid"/>
        <w:tblW w:w="0" w:type="auto"/>
        <w:tblLook w:val="04A0" w:firstRow="1" w:lastRow="0" w:firstColumn="1" w:lastColumn="0" w:noHBand="0" w:noVBand="1"/>
      </w:tblPr>
      <w:tblGrid>
        <w:gridCol w:w="3192"/>
        <w:gridCol w:w="3192"/>
        <w:gridCol w:w="3192"/>
      </w:tblGrid>
      <w:tr w:rsidR="00195D62" w14:paraId="0302245A" w14:textId="77777777" w:rsidTr="00195D62">
        <w:tc>
          <w:tcPr>
            <w:tcW w:w="3192" w:type="dxa"/>
          </w:tcPr>
          <w:p w14:paraId="697D5FC3" w14:textId="5430458D" w:rsidR="00195D62" w:rsidRDefault="00195D62" w:rsidP="004A5EC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Molecular Target</w:t>
            </w:r>
          </w:p>
        </w:tc>
        <w:tc>
          <w:tcPr>
            <w:tcW w:w="3192" w:type="dxa"/>
          </w:tcPr>
          <w:p w14:paraId="09CFABB6" w14:textId="5AE919D9" w:rsidR="00195D62" w:rsidRDefault="00195D62" w:rsidP="004A5EC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Example Agents </w:t>
            </w:r>
          </w:p>
        </w:tc>
        <w:tc>
          <w:tcPr>
            <w:tcW w:w="3192" w:type="dxa"/>
          </w:tcPr>
          <w:p w14:paraId="7EFB1FDC" w14:textId="5742F151" w:rsidR="00195D62" w:rsidRDefault="00195D62" w:rsidP="004A5EC1">
            <w:pPr>
              <w:spacing w:line="360" w:lineRule="auto"/>
              <w:jc w:val="both"/>
              <w:rPr>
                <w:rFonts w:ascii="Times New Roman" w:hAnsi="Times New Roman" w:cs="Times New Roman"/>
                <w:b/>
                <w:sz w:val="24"/>
                <w:szCs w:val="24"/>
              </w:rPr>
            </w:pPr>
            <w:r>
              <w:rPr>
                <w:rFonts w:ascii="Times New Roman" w:hAnsi="Times New Roman" w:cs="Times New Roman"/>
                <w:b/>
                <w:sz w:val="24"/>
                <w:szCs w:val="24"/>
              </w:rPr>
              <w:t>Cancer Type</w:t>
            </w:r>
          </w:p>
        </w:tc>
      </w:tr>
      <w:tr w:rsidR="00195D62" w14:paraId="16AF202D" w14:textId="77777777" w:rsidTr="00195D62">
        <w:tc>
          <w:tcPr>
            <w:tcW w:w="3192" w:type="dxa"/>
          </w:tcPr>
          <w:p w14:paraId="043933B1" w14:textId="29E008A8"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PARP</w:t>
            </w:r>
          </w:p>
        </w:tc>
        <w:tc>
          <w:tcPr>
            <w:tcW w:w="3192" w:type="dxa"/>
          </w:tcPr>
          <w:p w14:paraId="2180BA1D" w14:textId="12B8CD28" w:rsidR="00195D62" w:rsidRPr="00211159" w:rsidRDefault="00211159" w:rsidP="004A5EC1">
            <w:pPr>
              <w:spacing w:line="360" w:lineRule="auto"/>
              <w:jc w:val="both"/>
              <w:rPr>
                <w:rFonts w:ascii="Times New Roman" w:hAnsi="Times New Roman" w:cs="Times New Roman"/>
                <w:sz w:val="24"/>
                <w:szCs w:val="24"/>
              </w:rPr>
            </w:pPr>
            <w:proofErr w:type="spellStart"/>
            <w:r w:rsidRPr="00211159">
              <w:rPr>
                <w:rFonts w:ascii="Times New Roman" w:hAnsi="Times New Roman" w:cs="Times New Roman"/>
                <w:sz w:val="24"/>
                <w:szCs w:val="24"/>
              </w:rPr>
              <w:t>Olaparib</w:t>
            </w:r>
            <w:proofErr w:type="spellEnd"/>
          </w:p>
        </w:tc>
        <w:tc>
          <w:tcPr>
            <w:tcW w:w="3192" w:type="dxa"/>
          </w:tcPr>
          <w:p w14:paraId="6270A677" w14:textId="56A32CE1"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Ovarian, Breast, Prostate</w:t>
            </w:r>
          </w:p>
        </w:tc>
      </w:tr>
      <w:tr w:rsidR="00195D62" w14:paraId="47F724AB" w14:textId="77777777" w:rsidTr="00195D62">
        <w:tc>
          <w:tcPr>
            <w:tcW w:w="3192" w:type="dxa"/>
          </w:tcPr>
          <w:p w14:paraId="57722095" w14:textId="4CFD9A2A"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PARP</w:t>
            </w:r>
          </w:p>
        </w:tc>
        <w:tc>
          <w:tcPr>
            <w:tcW w:w="3192" w:type="dxa"/>
          </w:tcPr>
          <w:p w14:paraId="5058E3D9" w14:textId="38CD418E"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Niraparib</w:t>
            </w:r>
          </w:p>
        </w:tc>
        <w:tc>
          <w:tcPr>
            <w:tcW w:w="3192" w:type="dxa"/>
          </w:tcPr>
          <w:p w14:paraId="7D29CF00" w14:textId="33984193"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Ovarian</w:t>
            </w:r>
          </w:p>
        </w:tc>
      </w:tr>
      <w:tr w:rsidR="00195D62" w14:paraId="34A822D8" w14:textId="77777777" w:rsidTr="00195D62">
        <w:tc>
          <w:tcPr>
            <w:tcW w:w="3192" w:type="dxa"/>
          </w:tcPr>
          <w:p w14:paraId="6F467CB9" w14:textId="381022B6"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PARP</w:t>
            </w:r>
          </w:p>
        </w:tc>
        <w:tc>
          <w:tcPr>
            <w:tcW w:w="3192" w:type="dxa"/>
          </w:tcPr>
          <w:p w14:paraId="7E2BC5C8" w14:textId="3558C685" w:rsidR="00195D62" w:rsidRPr="00211159" w:rsidRDefault="00211159" w:rsidP="004A5EC1">
            <w:pPr>
              <w:spacing w:line="360" w:lineRule="auto"/>
              <w:jc w:val="both"/>
              <w:rPr>
                <w:rFonts w:ascii="Times New Roman" w:hAnsi="Times New Roman" w:cs="Times New Roman"/>
                <w:sz w:val="24"/>
                <w:szCs w:val="24"/>
              </w:rPr>
            </w:pPr>
            <w:proofErr w:type="spellStart"/>
            <w:r w:rsidRPr="00211159">
              <w:rPr>
                <w:rFonts w:ascii="Times New Roman" w:hAnsi="Times New Roman" w:cs="Times New Roman"/>
                <w:sz w:val="24"/>
                <w:szCs w:val="24"/>
              </w:rPr>
              <w:t>Talazoparib</w:t>
            </w:r>
            <w:proofErr w:type="spellEnd"/>
          </w:p>
        </w:tc>
        <w:tc>
          <w:tcPr>
            <w:tcW w:w="3192" w:type="dxa"/>
          </w:tcPr>
          <w:p w14:paraId="704F7E2B" w14:textId="29B6F1A1"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Breast</w:t>
            </w:r>
          </w:p>
        </w:tc>
      </w:tr>
      <w:tr w:rsidR="00195D62" w14:paraId="3B6087D8" w14:textId="77777777" w:rsidTr="00195D62">
        <w:tc>
          <w:tcPr>
            <w:tcW w:w="3192" w:type="dxa"/>
          </w:tcPr>
          <w:p w14:paraId="314D8F9D" w14:textId="5E1077B5"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PARP</w:t>
            </w:r>
          </w:p>
        </w:tc>
        <w:tc>
          <w:tcPr>
            <w:tcW w:w="3192" w:type="dxa"/>
          </w:tcPr>
          <w:p w14:paraId="078B3708" w14:textId="29C49F4E"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Rucaparib</w:t>
            </w:r>
          </w:p>
        </w:tc>
        <w:tc>
          <w:tcPr>
            <w:tcW w:w="3192" w:type="dxa"/>
          </w:tcPr>
          <w:p w14:paraId="02CADBD7" w14:textId="6A607C89" w:rsidR="00195D62" w:rsidRPr="00211159" w:rsidRDefault="00211159" w:rsidP="004A5EC1">
            <w:pPr>
              <w:spacing w:line="360" w:lineRule="auto"/>
              <w:jc w:val="both"/>
              <w:rPr>
                <w:rFonts w:ascii="Times New Roman" w:hAnsi="Times New Roman" w:cs="Times New Roman"/>
                <w:sz w:val="24"/>
                <w:szCs w:val="24"/>
              </w:rPr>
            </w:pPr>
            <w:r w:rsidRPr="00211159">
              <w:rPr>
                <w:rFonts w:ascii="Times New Roman" w:hAnsi="Times New Roman" w:cs="Times New Roman"/>
                <w:sz w:val="24"/>
                <w:szCs w:val="24"/>
              </w:rPr>
              <w:t>Ovarian, Prostate</w:t>
            </w:r>
          </w:p>
        </w:tc>
      </w:tr>
    </w:tbl>
    <w:p w14:paraId="63668258" w14:textId="77777777" w:rsidR="00195D62" w:rsidRPr="00195D62" w:rsidRDefault="00195D62" w:rsidP="004A5EC1">
      <w:pPr>
        <w:spacing w:line="360" w:lineRule="auto"/>
        <w:jc w:val="both"/>
        <w:rPr>
          <w:rFonts w:ascii="Times New Roman" w:hAnsi="Times New Roman" w:cs="Times New Roman"/>
          <w:b/>
          <w:sz w:val="24"/>
          <w:szCs w:val="24"/>
        </w:rPr>
      </w:pPr>
    </w:p>
    <w:p w14:paraId="35A4C110" w14:textId="77777777" w:rsidR="002942DE"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Although targeted therapies have significantly improved clinical outcomes, their effectiveness is often limited by tumor heterogeneity and adaptive resistance. These limitations highlight the need for integrated treatment approaches that address both tumor-intrinsic and immune-mediated mechanisms of disease progression.</w:t>
      </w:r>
    </w:p>
    <w:p w14:paraId="0C8F4A5F" w14:textId="7C89E244" w:rsidR="00910879" w:rsidRPr="00791B6B" w:rsidRDefault="001F6AAF" w:rsidP="004A5E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C94259" wp14:editId="00DD55AC">
            <wp:extent cx="6199606" cy="3749040"/>
            <wp:effectExtent l="19050" t="19050" r="10795"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 b="9292"/>
                    <a:stretch/>
                  </pic:blipFill>
                  <pic:spPr bwMode="auto">
                    <a:xfrm>
                      <a:off x="0" y="0"/>
                      <a:ext cx="6228812" cy="37667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24E3E5" w14:textId="00F09ABA" w:rsidR="002942DE" w:rsidRDefault="00D608A4" w:rsidP="002942DE">
      <w:pPr>
        <w:spacing w:line="360" w:lineRule="auto"/>
        <w:rPr>
          <w:rFonts w:ascii="Times New Roman" w:hAnsi="Times New Roman" w:cs="Times New Roman"/>
          <w:b/>
          <w:sz w:val="24"/>
          <w:szCs w:val="24"/>
        </w:rPr>
      </w:pPr>
      <w:bookmarkStart w:id="0" w:name="_GoBack"/>
      <w:r>
        <w:rPr>
          <w:rFonts w:ascii="Times New Roman" w:hAnsi="Times New Roman" w:cs="Times New Roman"/>
          <w:b/>
          <w:sz w:val="24"/>
          <w:szCs w:val="24"/>
        </w:rPr>
        <w:t>Fig</w:t>
      </w:r>
      <w:bookmarkEnd w:id="0"/>
      <w:r>
        <w:rPr>
          <w:rFonts w:ascii="Times New Roman" w:hAnsi="Times New Roman" w:cs="Times New Roman"/>
          <w:b/>
          <w:sz w:val="24"/>
          <w:szCs w:val="24"/>
        </w:rPr>
        <w:t xml:space="preserve">ure 1. </w:t>
      </w:r>
      <w:r w:rsidR="002942DE" w:rsidRPr="00791B6B">
        <w:rPr>
          <w:rFonts w:ascii="Times New Roman" w:hAnsi="Times New Roman" w:cs="Times New Roman"/>
          <w:b/>
          <w:sz w:val="24"/>
          <w:szCs w:val="24"/>
        </w:rPr>
        <w:t xml:space="preserve">Mechanism of action of targeted therapies </w:t>
      </w:r>
      <w:r>
        <w:rPr>
          <w:rFonts w:ascii="Times New Roman" w:hAnsi="Times New Roman" w:cs="Times New Roman"/>
          <w:b/>
          <w:sz w:val="24"/>
          <w:szCs w:val="24"/>
        </w:rPr>
        <w:t xml:space="preserve">targeting key oncogenic signaling pathways in cancer cells. </w:t>
      </w:r>
    </w:p>
    <w:p w14:paraId="5247A9AC" w14:textId="77BD6AE4" w:rsidR="002942DE" w:rsidRDefault="002A2B7D" w:rsidP="002942DE">
      <w:pPr>
        <w:spacing w:line="360" w:lineRule="auto"/>
        <w:rPr>
          <w:rFonts w:ascii="Times New Roman" w:hAnsi="Times New Roman" w:cs="Times New Roman"/>
          <w:sz w:val="24"/>
          <w:szCs w:val="24"/>
        </w:rPr>
      </w:pPr>
      <w:r>
        <w:rPr>
          <w:rFonts w:ascii="Times New Roman" w:hAnsi="Times New Roman" w:cs="Times New Roman"/>
          <w:sz w:val="24"/>
          <w:szCs w:val="24"/>
        </w:rPr>
        <w:t xml:space="preserve">Recent innovations increasingly integrate novel molecular targets and strategies to enhance durability </w:t>
      </w:r>
      <w:r w:rsidR="002D16F8">
        <w:rPr>
          <w:rFonts w:ascii="Times New Roman" w:hAnsi="Times New Roman" w:cs="Times New Roman"/>
          <w:sz w:val="24"/>
          <w:szCs w:val="24"/>
        </w:rPr>
        <w:t xml:space="preserve">and overcome </w:t>
      </w:r>
      <w:proofErr w:type="gramStart"/>
      <w:r w:rsidR="002D16F8">
        <w:rPr>
          <w:rFonts w:ascii="Times New Roman" w:hAnsi="Times New Roman" w:cs="Times New Roman"/>
          <w:sz w:val="24"/>
          <w:szCs w:val="24"/>
        </w:rPr>
        <w:t>resistance[</w:t>
      </w:r>
      <w:proofErr w:type="gramEnd"/>
      <w:r w:rsidR="002D16F8">
        <w:rPr>
          <w:rFonts w:ascii="Times New Roman" w:hAnsi="Times New Roman" w:cs="Times New Roman"/>
          <w:sz w:val="24"/>
          <w:szCs w:val="24"/>
        </w:rPr>
        <w:t>61,27,29]</w:t>
      </w:r>
    </w:p>
    <w:p w14:paraId="38BAA098" w14:textId="77777777" w:rsidR="002D16F8" w:rsidRPr="002D16F8" w:rsidRDefault="002D16F8" w:rsidP="002942DE">
      <w:pPr>
        <w:spacing w:line="360" w:lineRule="auto"/>
        <w:rPr>
          <w:rFonts w:ascii="Times New Roman" w:hAnsi="Times New Roman" w:cs="Times New Roman"/>
          <w:sz w:val="24"/>
          <w:szCs w:val="24"/>
        </w:rPr>
      </w:pPr>
    </w:p>
    <w:p w14:paraId="22451177" w14:textId="77777777" w:rsidR="00EF161B"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IMMUNOTHERAPEUTIC APPROACHES IN CANCER:</w:t>
      </w:r>
    </w:p>
    <w:p w14:paraId="4EBBBDDF" w14:textId="77777777" w:rsidR="009D0AC9"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Immune Surveillance and Tumor Immune Evasion</w:t>
      </w:r>
      <w:r w:rsidR="00FB0AE0" w:rsidRPr="00791B6B">
        <w:rPr>
          <w:rFonts w:ascii="Times New Roman" w:hAnsi="Times New Roman" w:cs="Times New Roman"/>
          <w:b/>
          <w:sz w:val="24"/>
          <w:szCs w:val="24"/>
        </w:rPr>
        <w:t>:</w:t>
      </w:r>
    </w:p>
    <w:p w14:paraId="13700455" w14:textId="31045A2F" w:rsidR="009D0AC9" w:rsidRPr="00791B6B" w:rsidRDefault="009D0AC9"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immune system plays a crucial role in recognizing and eliminating malignant cells through a process known as cancer immune surveillance. However, tumor cells can acquire mechanisms that allow them to evade immune detection and destruction, leading to tumor progression and metastasis [3,4,47]. These mechanisms include downregulation of tumor antigens, impairment of antigen presentation machinery, secretion of immunosuppressive cytokines, and activation of inhibitory immune checkpoint pathways [27,29].</w:t>
      </w:r>
      <w:r w:rsidR="002D16F8">
        <w:rPr>
          <w:rFonts w:ascii="Times New Roman" w:hAnsi="Times New Roman" w:cs="Times New Roman"/>
          <w:sz w:val="24"/>
          <w:szCs w:val="24"/>
        </w:rPr>
        <w:t xml:space="preserve"> Emerging checkpoint and combination strategies continue to expand clinical </w:t>
      </w:r>
      <w:proofErr w:type="gramStart"/>
      <w:r w:rsidR="002D16F8">
        <w:rPr>
          <w:rFonts w:ascii="Times New Roman" w:hAnsi="Times New Roman" w:cs="Times New Roman"/>
          <w:sz w:val="24"/>
          <w:szCs w:val="24"/>
        </w:rPr>
        <w:t>application[</w:t>
      </w:r>
      <w:proofErr w:type="gramEnd"/>
      <w:r w:rsidR="002D16F8">
        <w:rPr>
          <w:rFonts w:ascii="Times New Roman" w:hAnsi="Times New Roman" w:cs="Times New Roman"/>
          <w:sz w:val="24"/>
          <w:szCs w:val="24"/>
        </w:rPr>
        <w:t>13-18,65-66,67].</w:t>
      </w:r>
    </w:p>
    <w:p w14:paraId="4B62EF12" w14:textId="77777777" w:rsidR="009D0AC9" w:rsidRPr="00791B6B" w:rsidRDefault="009D0AC9"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concept of cancer immunoediting describes the dynamic interaction between the immune system and tumor cells, encompassing phases of elimination, equilibrium, and escape. During the escape phase, tumors exploit immune regulatory pathways to suppress effective antitumor responses, thereby enabling disease progression [47,60].</w:t>
      </w:r>
    </w:p>
    <w:p w14:paraId="2D7A563D" w14:textId="12D01FFE" w:rsidR="00167CDD" w:rsidRPr="00791B6B" w:rsidRDefault="00195D62" w:rsidP="002942DE">
      <w:pPr>
        <w:spacing w:line="360" w:lineRule="auto"/>
        <w:rPr>
          <w:rFonts w:ascii="Times New Roman" w:hAnsi="Times New Roman" w:cs="Times New Roman"/>
          <w:b/>
          <w:sz w:val="24"/>
          <w:szCs w:val="24"/>
        </w:rPr>
      </w:pPr>
      <w:r>
        <w:rPr>
          <w:rFonts w:ascii="Times New Roman" w:hAnsi="Times New Roman" w:cs="Times New Roman"/>
          <w:b/>
          <w:sz w:val="24"/>
          <w:szCs w:val="24"/>
        </w:rPr>
        <w:t>Table 4</w:t>
      </w:r>
      <w:r w:rsidR="00D608A4">
        <w:rPr>
          <w:rFonts w:ascii="Times New Roman" w:hAnsi="Times New Roman" w:cs="Times New Roman"/>
          <w:b/>
          <w:sz w:val="24"/>
          <w:szCs w:val="24"/>
        </w:rPr>
        <w:t xml:space="preserve">. </w:t>
      </w:r>
      <w:r w:rsidR="002942DE" w:rsidRPr="00791B6B">
        <w:rPr>
          <w:rFonts w:ascii="Times New Roman" w:hAnsi="Times New Roman" w:cs="Times New Roman"/>
          <w:b/>
          <w:sz w:val="24"/>
          <w:szCs w:val="24"/>
        </w:rPr>
        <w:t>C</w:t>
      </w:r>
      <w:r w:rsidR="00293FF7" w:rsidRPr="00791B6B">
        <w:rPr>
          <w:rFonts w:ascii="Times New Roman" w:hAnsi="Times New Roman" w:cs="Times New Roman"/>
          <w:b/>
          <w:sz w:val="24"/>
          <w:szCs w:val="24"/>
        </w:rPr>
        <w:t xml:space="preserve">lassification of immunotherapeutic approaches in cancer:               </w:t>
      </w:r>
    </w:p>
    <w:tbl>
      <w:tblPr>
        <w:tblStyle w:val="TableGrid"/>
        <w:tblW w:w="0" w:type="auto"/>
        <w:tblLook w:val="04A0" w:firstRow="1" w:lastRow="0" w:firstColumn="1" w:lastColumn="0" w:noHBand="0" w:noVBand="1"/>
      </w:tblPr>
      <w:tblGrid>
        <w:gridCol w:w="2388"/>
        <w:gridCol w:w="2393"/>
        <w:gridCol w:w="2392"/>
        <w:gridCol w:w="2403"/>
      </w:tblGrid>
      <w:tr w:rsidR="00167CDD" w:rsidRPr="00791B6B" w14:paraId="49E39B38" w14:textId="77777777" w:rsidTr="00167CDD">
        <w:tc>
          <w:tcPr>
            <w:tcW w:w="2394" w:type="dxa"/>
          </w:tcPr>
          <w:p w14:paraId="494B2DB0"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 xml:space="preserve">Type </w:t>
            </w:r>
          </w:p>
        </w:tc>
        <w:tc>
          <w:tcPr>
            <w:tcW w:w="2394" w:type="dxa"/>
          </w:tcPr>
          <w:p w14:paraId="6424965F"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Target/mechanism</w:t>
            </w:r>
          </w:p>
        </w:tc>
        <w:tc>
          <w:tcPr>
            <w:tcW w:w="2394" w:type="dxa"/>
          </w:tcPr>
          <w:p w14:paraId="6AA9A7C1" w14:textId="77777777"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Examples</w:t>
            </w:r>
          </w:p>
        </w:tc>
        <w:tc>
          <w:tcPr>
            <w:tcW w:w="2394" w:type="dxa"/>
          </w:tcPr>
          <w:p w14:paraId="099590E0" w14:textId="4935FDDC" w:rsidR="00167CDD" w:rsidRPr="00791B6B" w:rsidRDefault="00167CD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Approved Indications</w:t>
            </w:r>
            <w:r w:rsidR="007D0D26">
              <w:rPr>
                <w:rFonts w:ascii="Times New Roman" w:hAnsi="Times New Roman" w:cs="Times New Roman"/>
                <w:b/>
                <w:sz w:val="24"/>
                <w:szCs w:val="24"/>
              </w:rPr>
              <w:t>(Solid Tumors)</w:t>
            </w:r>
          </w:p>
        </w:tc>
      </w:tr>
      <w:tr w:rsidR="007D0D26" w:rsidRPr="00791B6B" w14:paraId="767D11DF" w14:textId="77777777" w:rsidTr="007D0D26">
        <w:trPr>
          <w:trHeight w:val="1549"/>
        </w:trPr>
        <w:tc>
          <w:tcPr>
            <w:tcW w:w="2394" w:type="dxa"/>
            <w:vMerge w:val="restart"/>
          </w:tcPr>
          <w:p w14:paraId="3BC695E0" w14:textId="77777777" w:rsidR="007D0D26" w:rsidRPr="00791B6B" w:rsidRDefault="007D0D26" w:rsidP="00167CDD">
            <w:pPr>
              <w:spacing w:line="360" w:lineRule="auto"/>
              <w:rPr>
                <w:rFonts w:ascii="Times New Roman" w:hAnsi="Times New Roman" w:cs="Times New Roman"/>
                <w:sz w:val="24"/>
                <w:szCs w:val="24"/>
              </w:rPr>
            </w:pPr>
            <w:r w:rsidRPr="00791B6B">
              <w:rPr>
                <w:rFonts w:ascii="Times New Roman" w:hAnsi="Times New Roman" w:cs="Times New Roman"/>
                <w:sz w:val="24"/>
                <w:szCs w:val="24"/>
              </w:rPr>
              <w:t>Check point inhibitors</w:t>
            </w:r>
          </w:p>
        </w:tc>
        <w:tc>
          <w:tcPr>
            <w:tcW w:w="2394" w:type="dxa"/>
          </w:tcPr>
          <w:p w14:paraId="04C49C42" w14:textId="77777777" w:rsidR="007D0D26" w:rsidRDefault="007D0D26" w:rsidP="00167CDD">
            <w:pPr>
              <w:spacing w:line="360" w:lineRule="auto"/>
              <w:rPr>
                <w:rFonts w:ascii="Times New Roman" w:hAnsi="Times New Roman" w:cs="Times New Roman"/>
                <w:sz w:val="24"/>
                <w:szCs w:val="24"/>
              </w:rPr>
            </w:pPr>
            <w:r>
              <w:rPr>
                <w:rFonts w:ascii="Times New Roman" w:hAnsi="Times New Roman" w:cs="Times New Roman"/>
                <w:sz w:val="24"/>
                <w:szCs w:val="24"/>
              </w:rPr>
              <w:t>PD-1</w:t>
            </w:r>
          </w:p>
          <w:p w14:paraId="6C0B69D5" w14:textId="77777777" w:rsidR="007D0D26" w:rsidRDefault="007D0D26" w:rsidP="00167CDD">
            <w:pPr>
              <w:spacing w:line="360" w:lineRule="auto"/>
              <w:rPr>
                <w:rFonts w:ascii="Times New Roman" w:hAnsi="Times New Roman" w:cs="Times New Roman"/>
                <w:sz w:val="24"/>
                <w:szCs w:val="24"/>
              </w:rPr>
            </w:pPr>
          </w:p>
          <w:p w14:paraId="69A6C814" w14:textId="77777777" w:rsidR="007D0D26" w:rsidRDefault="007D0D26" w:rsidP="00167CDD">
            <w:pPr>
              <w:spacing w:line="360" w:lineRule="auto"/>
              <w:rPr>
                <w:rFonts w:ascii="Times New Roman" w:hAnsi="Times New Roman" w:cs="Times New Roman"/>
                <w:sz w:val="24"/>
                <w:szCs w:val="24"/>
              </w:rPr>
            </w:pPr>
          </w:p>
          <w:p w14:paraId="4C7086BE" w14:textId="51B36A50" w:rsidR="007D0D26" w:rsidRPr="00791B6B" w:rsidRDefault="007D0D26" w:rsidP="00167CDD">
            <w:pPr>
              <w:spacing w:line="360" w:lineRule="auto"/>
              <w:rPr>
                <w:rFonts w:ascii="Times New Roman" w:hAnsi="Times New Roman" w:cs="Times New Roman"/>
                <w:sz w:val="24"/>
                <w:szCs w:val="24"/>
              </w:rPr>
            </w:pPr>
          </w:p>
        </w:tc>
        <w:tc>
          <w:tcPr>
            <w:tcW w:w="2394" w:type="dxa"/>
          </w:tcPr>
          <w:p w14:paraId="0CE80007" w14:textId="77777777" w:rsidR="007D0D26" w:rsidRDefault="007D0D26"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Nivolumab, Pembrolizumab</w:t>
            </w:r>
          </w:p>
          <w:p w14:paraId="71518703" w14:textId="77777777" w:rsidR="007D0D26" w:rsidRDefault="007D0D26" w:rsidP="004A5EC1">
            <w:pPr>
              <w:spacing w:line="360" w:lineRule="auto"/>
              <w:jc w:val="both"/>
              <w:rPr>
                <w:rFonts w:ascii="Times New Roman" w:hAnsi="Times New Roman" w:cs="Times New Roman"/>
                <w:sz w:val="24"/>
                <w:szCs w:val="24"/>
              </w:rPr>
            </w:pPr>
          </w:p>
          <w:p w14:paraId="13EE1519" w14:textId="3F4D6130" w:rsidR="007D0D26" w:rsidRPr="00791B6B" w:rsidRDefault="007D0D26" w:rsidP="004A5EC1">
            <w:pPr>
              <w:spacing w:line="360" w:lineRule="auto"/>
              <w:jc w:val="both"/>
              <w:rPr>
                <w:rFonts w:ascii="Times New Roman" w:hAnsi="Times New Roman" w:cs="Times New Roman"/>
                <w:sz w:val="24"/>
                <w:szCs w:val="24"/>
              </w:rPr>
            </w:pPr>
          </w:p>
        </w:tc>
        <w:tc>
          <w:tcPr>
            <w:tcW w:w="2394" w:type="dxa"/>
          </w:tcPr>
          <w:p w14:paraId="2FAC0D0A" w14:textId="24B60647" w:rsidR="007D0D26" w:rsidRPr="00791B6B" w:rsidRDefault="007D0D26" w:rsidP="007D0D26">
            <w:pPr>
              <w:spacing w:line="360" w:lineRule="auto"/>
              <w:rPr>
                <w:rFonts w:ascii="Times New Roman" w:hAnsi="Times New Roman" w:cs="Times New Roman"/>
                <w:sz w:val="24"/>
                <w:szCs w:val="24"/>
              </w:rPr>
            </w:pPr>
            <w:r>
              <w:rPr>
                <w:rFonts w:ascii="Times New Roman" w:hAnsi="Times New Roman" w:cs="Times New Roman"/>
                <w:sz w:val="24"/>
                <w:szCs w:val="24"/>
              </w:rPr>
              <w:t>Melanoma, NSCLC, RCC, HCC, Gastric cancer, MSI-H colorectal cancer</w:t>
            </w:r>
          </w:p>
        </w:tc>
      </w:tr>
      <w:tr w:rsidR="007D0D26" w:rsidRPr="00791B6B" w14:paraId="50ED7955" w14:textId="77777777" w:rsidTr="007D0D26">
        <w:trPr>
          <w:trHeight w:val="842"/>
        </w:trPr>
        <w:tc>
          <w:tcPr>
            <w:tcW w:w="2394" w:type="dxa"/>
            <w:vMerge/>
          </w:tcPr>
          <w:p w14:paraId="1E2DF911" w14:textId="77777777" w:rsidR="007D0D26" w:rsidRPr="00791B6B" w:rsidRDefault="007D0D26" w:rsidP="00167CDD">
            <w:pPr>
              <w:spacing w:line="360" w:lineRule="auto"/>
              <w:rPr>
                <w:rFonts w:ascii="Times New Roman" w:hAnsi="Times New Roman" w:cs="Times New Roman"/>
                <w:sz w:val="24"/>
                <w:szCs w:val="24"/>
              </w:rPr>
            </w:pPr>
          </w:p>
        </w:tc>
        <w:tc>
          <w:tcPr>
            <w:tcW w:w="2394" w:type="dxa"/>
          </w:tcPr>
          <w:p w14:paraId="41C90BDF" w14:textId="77777777" w:rsidR="007D0D26" w:rsidRDefault="007D0D26" w:rsidP="00167CDD">
            <w:pPr>
              <w:spacing w:line="360" w:lineRule="auto"/>
              <w:rPr>
                <w:rFonts w:ascii="Times New Roman" w:hAnsi="Times New Roman" w:cs="Times New Roman"/>
                <w:sz w:val="24"/>
                <w:szCs w:val="24"/>
              </w:rPr>
            </w:pPr>
            <w:r>
              <w:rPr>
                <w:rFonts w:ascii="Times New Roman" w:hAnsi="Times New Roman" w:cs="Times New Roman"/>
                <w:sz w:val="24"/>
                <w:szCs w:val="24"/>
              </w:rPr>
              <w:t>PD-L1</w:t>
            </w:r>
          </w:p>
          <w:p w14:paraId="64B8D1A6" w14:textId="2868ACC5" w:rsidR="007D0D26" w:rsidRDefault="007D0D26" w:rsidP="00167CDD">
            <w:pPr>
              <w:spacing w:line="360" w:lineRule="auto"/>
              <w:rPr>
                <w:rFonts w:ascii="Times New Roman" w:hAnsi="Times New Roman" w:cs="Times New Roman"/>
                <w:sz w:val="24"/>
                <w:szCs w:val="24"/>
              </w:rPr>
            </w:pPr>
          </w:p>
        </w:tc>
        <w:tc>
          <w:tcPr>
            <w:tcW w:w="2394" w:type="dxa"/>
          </w:tcPr>
          <w:p w14:paraId="214FAA4B" w14:textId="485BEEC8" w:rsidR="007D0D26" w:rsidRPr="00791B6B" w:rsidRDefault="007D0D26" w:rsidP="004A5EC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Atezolizumab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Durvalumab</w:t>
            </w:r>
            <w:proofErr w:type="spellEnd"/>
          </w:p>
        </w:tc>
        <w:tc>
          <w:tcPr>
            <w:tcW w:w="2394" w:type="dxa"/>
          </w:tcPr>
          <w:p w14:paraId="0844C2AF" w14:textId="45E04EA6" w:rsidR="007D0D26" w:rsidRDefault="007D0D26" w:rsidP="007D0D26">
            <w:pPr>
              <w:spacing w:line="360" w:lineRule="auto"/>
              <w:rPr>
                <w:rFonts w:ascii="Times New Roman" w:hAnsi="Times New Roman" w:cs="Times New Roman"/>
                <w:sz w:val="24"/>
                <w:szCs w:val="24"/>
              </w:rPr>
            </w:pPr>
            <w:r>
              <w:rPr>
                <w:rFonts w:ascii="Times New Roman" w:hAnsi="Times New Roman" w:cs="Times New Roman"/>
                <w:sz w:val="24"/>
                <w:szCs w:val="24"/>
              </w:rPr>
              <w:t>NSCLC, HCC, Urothelial carcinoma</w:t>
            </w:r>
          </w:p>
        </w:tc>
      </w:tr>
      <w:tr w:rsidR="007D0D26" w:rsidRPr="00791B6B" w14:paraId="1DC66684" w14:textId="77777777" w:rsidTr="00167CDD">
        <w:trPr>
          <w:trHeight w:val="489"/>
        </w:trPr>
        <w:tc>
          <w:tcPr>
            <w:tcW w:w="2394" w:type="dxa"/>
            <w:vMerge/>
          </w:tcPr>
          <w:p w14:paraId="5D216B80" w14:textId="77777777" w:rsidR="007D0D26" w:rsidRPr="00791B6B" w:rsidRDefault="007D0D26" w:rsidP="00167CDD">
            <w:pPr>
              <w:spacing w:line="360" w:lineRule="auto"/>
              <w:rPr>
                <w:rFonts w:ascii="Times New Roman" w:hAnsi="Times New Roman" w:cs="Times New Roman"/>
                <w:sz w:val="24"/>
                <w:szCs w:val="24"/>
              </w:rPr>
            </w:pPr>
          </w:p>
        </w:tc>
        <w:tc>
          <w:tcPr>
            <w:tcW w:w="2394" w:type="dxa"/>
          </w:tcPr>
          <w:p w14:paraId="6625F280" w14:textId="37433583" w:rsidR="007D0D26" w:rsidRDefault="007D0D26" w:rsidP="00167CDD">
            <w:pPr>
              <w:spacing w:line="360" w:lineRule="auto"/>
              <w:rPr>
                <w:rFonts w:ascii="Times New Roman" w:hAnsi="Times New Roman" w:cs="Times New Roman"/>
                <w:sz w:val="24"/>
                <w:szCs w:val="24"/>
              </w:rPr>
            </w:pPr>
            <w:r w:rsidRPr="00791B6B">
              <w:rPr>
                <w:rFonts w:ascii="Times New Roman" w:hAnsi="Times New Roman" w:cs="Times New Roman"/>
                <w:sz w:val="24"/>
                <w:szCs w:val="24"/>
              </w:rPr>
              <w:t>CTLA-4</w:t>
            </w:r>
          </w:p>
        </w:tc>
        <w:tc>
          <w:tcPr>
            <w:tcW w:w="2394" w:type="dxa"/>
          </w:tcPr>
          <w:p w14:paraId="58D51302" w14:textId="15FA8F66" w:rsidR="007D0D26" w:rsidRDefault="007D0D26" w:rsidP="004A5EC1">
            <w:pPr>
              <w:spacing w:line="360" w:lineRule="auto"/>
              <w:jc w:val="both"/>
              <w:rPr>
                <w:rFonts w:ascii="Times New Roman" w:hAnsi="Times New Roman" w:cs="Times New Roman"/>
                <w:sz w:val="24"/>
                <w:szCs w:val="24"/>
              </w:rPr>
            </w:pPr>
            <w:r>
              <w:rPr>
                <w:rFonts w:ascii="Times New Roman" w:hAnsi="Times New Roman" w:cs="Times New Roman"/>
                <w:sz w:val="24"/>
                <w:szCs w:val="24"/>
              </w:rPr>
              <w:t>Ipilimumab</w:t>
            </w:r>
          </w:p>
        </w:tc>
        <w:tc>
          <w:tcPr>
            <w:tcW w:w="2394" w:type="dxa"/>
          </w:tcPr>
          <w:p w14:paraId="01470CE5" w14:textId="3758CCAB" w:rsidR="007D0D26" w:rsidRDefault="007D0D26" w:rsidP="007D0D26">
            <w:pPr>
              <w:spacing w:line="360" w:lineRule="auto"/>
              <w:rPr>
                <w:rFonts w:ascii="Times New Roman" w:hAnsi="Times New Roman" w:cs="Times New Roman"/>
                <w:sz w:val="24"/>
                <w:szCs w:val="24"/>
              </w:rPr>
            </w:pPr>
            <w:r>
              <w:rPr>
                <w:rFonts w:ascii="Times New Roman" w:hAnsi="Times New Roman" w:cs="Times New Roman"/>
                <w:sz w:val="24"/>
                <w:szCs w:val="24"/>
              </w:rPr>
              <w:t>Melanoma, RCC</w:t>
            </w:r>
          </w:p>
        </w:tc>
      </w:tr>
      <w:tr w:rsidR="00167CDD" w:rsidRPr="00791B6B" w14:paraId="735B742D" w14:textId="77777777" w:rsidTr="00167CDD">
        <w:tc>
          <w:tcPr>
            <w:tcW w:w="2394" w:type="dxa"/>
          </w:tcPr>
          <w:p w14:paraId="37237EAA" w14:textId="61AEE8C4"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CAR-T Therapy</w:t>
            </w:r>
          </w:p>
        </w:tc>
        <w:tc>
          <w:tcPr>
            <w:tcW w:w="2394" w:type="dxa"/>
          </w:tcPr>
          <w:p w14:paraId="67BF13E6"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CD19, BCMA</w:t>
            </w:r>
          </w:p>
        </w:tc>
        <w:tc>
          <w:tcPr>
            <w:tcW w:w="2394" w:type="dxa"/>
          </w:tcPr>
          <w:p w14:paraId="286B5E16" w14:textId="77777777" w:rsidR="00167CDD" w:rsidRPr="00791B6B" w:rsidRDefault="00167CDD" w:rsidP="004A5EC1">
            <w:p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Tisagenlecleucel</w:t>
            </w:r>
            <w:proofErr w:type="spellEnd"/>
          </w:p>
        </w:tc>
        <w:tc>
          <w:tcPr>
            <w:tcW w:w="2394" w:type="dxa"/>
          </w:tcPr>
          <w:p w14:paraId="3A052B50" w14:textId="4C35CB94" w:rsidR="00167CDD" w:rsidRPr="00791B6B" w:rsidRDefault="007D0D26" w:rsidP="007D0D26">
            <w:pPr>
              <w:spacing w:line="360" w:lineRule="auto"/>
              <w:rPr>
                <w:rFonts w:ascii="Times New Roman" w:hAnsi="Times New Roman" w:cs="Times New Roman"/>
                <w:sz w:val="24"/>
                <w:szCs w:val="24"/>
              </w:rPr>
            </w:pPr>
            <w:r>
              <w:rPr>
                <w:rFonts w:ascii="Times New Roman" w:hAnsi="Times New Roman" w:cs="Times New Roman"/>
                <w:sz w:val="24"/>
                <w:szCs w:val="24"/>
              </w:rPr>
              <w:t>B- Cell ALL, DLBCL(Hematologic)</w:t>
            </w:r>
          </w:p>
        </w:tc>
      </w:tr>
      <w:tr w:rsidR="00167CDD" w:rsidRPr="00791B6B" w14:paraId="1FBC18AE" w14:textId="77777777" w:rsidTr="00167CDD">
        <w:tc>
          <w:tcPr>
            <w:tcW w:w="2394" w:type="dxa"/>
          </w:tcPr>
          <w:p w14:paraId="1684D391" w14:textId="77777777"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Cancer vaccines</w:t>
            </w:r>
          </w:p>
        </w:tc>
        <w:tc>
          <w:tcPr>
            <w:tcW w:w="2394" w:type="dxa"/>
          </w:tcPr>
          <w:p w14:paraId="00B526D7" w14:textId="5B127753" w:rsidR="00167CDD" w:rsidRPr="00791B6B" w:rsidRDefault="00167CD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Tumor </w:t>
            </w:r>
            <w:r w:rsidR="007D0D26">
              <w:rPr>
                <w:rFonts w:ascii="Times New Roman" w:hAnsi="Times New Roman" w:cs="Times New Roman"/>
                <w:sz w:val="24"/>
                <w:szCs w:val="24"/>
              </w:rPr>
              <w:t xml:space="preserve">associated </w:t>
            </w:r>
            <w:r w:rsidRPr="00791B6B">
              <w:rPr>
                <w:rFonts w:ascii="Times New Roman" w:hAnsi="Times New Roman" w:cs="Times New Roman"/>
                <w:sz w:val="24"/>
                <w:szCs w:val="24"/>
              </w:rPr>
              <w:lastRenderedPageBreak/>
              <w:t>antigens</w:t>
            </w:r>
          </w:p>
        </w:tc>
        <w:tc>
          <w:tcPr>
            <w:tcW w:w="2394" w:type="dxa"/>
          </w:tcPr>
          <w:p w14:paraId="409FAC52" w14:textId="77777777" w:rsidR="00167CDD" w:rsidRPr="00791B6B" w:rsidRDefault="00167CDD" w:rsidP="004A5EC1">
            <w:p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lastRenderedPageBreak/>
              <w:t>Sipuleucel</w:t>
            </w:r>
            <w:proofErr w:type="spellEnd"/>
            <w:r w:rsidRPr="00791B6B">
              <w:rPr>
                <w:rFonts w:ascii="Times New Roman" w:hAnsi="Times New Roman" w:cs="Times New Roman"/>
                <w:sz w:val="24"/>
                <w:szCs w:val="24"/>
              </w:rPr>
              <w:t>-T</w:t>
            </w:r>
          </w:p>
        </w:tc>
        <w:tc>
          <w:tcPr>
            <w:tcW w:w="2394" w:type="dxa"/>
          </w:tcPr>
          <w:p w14:paraId="48A291B1"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Prostate cancer</w:t>
            </w:r>
          </w:p>
        </w:tc>
      </w:tr>
      <w:tr w:rsidR="00167CDD" w:rsidRPr="00791B6B" w14:paraId="781C8EAA" w14:textId="77777777" w:rsidTr="00167CDD">
        <w:tc>
          <w:tcPr>
            <w:tcW w:w="2394" w:type="dxa"/>
          </w:tcPr>
          <w:p w14:paraId="0E0B9BD6"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Oncolytic virus</w:t>
            </w:r>
          </w:p>
        </w:tc>
        <w:tc>
          <w:tcPr>
            <w:tcW w:w="2394" w:type="dxa"/>
          </w:tcPr>
          <w:p w14:paraId="6E66254D" w14:textId="1FB4897E" w:rsidR="00167CDD" w:rsidRPr="00791B6B" w:rsidRDefault="007D0D26" w:rsidP="00843FB7">
            <w:pPr>
              <w:spacing w:line="360" w:lineRule="auto"/>
              <w:rPr>
                <w:rFonts w:ascii="Times New Roman" w:hAnsi="Times New Roman" w:cs="Times New Roman"/>
                <w:sz w:val="24"/>
                <w:szCs w:val="24"/>
              </w:rPr>
            </w:pPr>
            <w:r>
              <w:rPr>
                <w:rFonts w:ascii="Times New Roman" w:hAnsi="Times New Roman" w:cs="Times New Roman"/>
                <w:sz w:val="24"/>
                <w:szCs w:val="24"/>
              </w:rPr>
              <w:t>Tumor lysis + Immune activation</w:t>
            </w:r>
          </w:p>
        </w:tc>
        <w:tc>
          <w:tcPr>
            <w:tcW w:w="2394" w:type="dxa"/>
          </w:tcPr>
          <w:p w14:paraId="5FB1DC87" w14:textId="77777777" w:rsidR="00167CDD" w:rsidRPr="00791B6B" w:rsidRDefault="00843FB7"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T-VEC</w:t>
            </w:r>
          </w:p>
        </w:tc>
        <w:tc>
          <w:tcPr>
            <w:tcW w:w="2394" w:type="dxa"/>
          </w:tcPr>
          <w:p w14:paraId="45661410" w14:textId="46CFD990" w:rsidR="00167CDD" w:rsidRPr="00791B6B" w:rsidRDefault="007D0D26" w:rsidP="004A5EC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Advanced </w:t>
            </w:r>
            <w:r w:rsidR="00843FB7" w:rsidRPr="00791B6B">
              <w:rPr>
                <w:rFonts w:ascii="Times New Roman" w:hAnsi="Times New Roman" w:cs="Times New Roman"/>
                <w:sz w:val="24"/>
                <w:szCs w:val="24"/>
              </w:rPr>
              <w:t>Melanoma</w:t>
            </w:r>
          </w:p>
        </w:tc>
      </w:tr>
    </w:tbl>
    <w:p w14:paraId="7A99FC53" w14:textId="77777777" w:rsidR="00293FF7" w:rsidRPr="00791B6B" w:rsidRDefault="00293FF7" w:rsidP="004A5EC1">
      <w:pPr>
        <w:spacing w:line="360" w:lineRule="auto"/>
        <w:jc w:val="both"/>
        <w:rPr>
          <w:rFonts w:ascii="Times New Roman" w:hAnsi="Times New Roman" w:cs="Times New Roman"/>
          <w:sz w:val="24"/>
          <w:szCs w:val="24"/>
        </w:rPr>
      </w:pPr>
    </w:p>
    <w:p w14:paraId="00720400" w14:textId="77777777" w:rsidR="009D0AC9" w:rsidRPr="00791B6B" w:rsidRDefault="009D0AC9"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Immune Checkpoint Inhibitors</w:t>
      </w:r>
      <w:r w:rsidR="00FB0AE0" w:rsidRPr="00791B6B">
        <w:rPr>
          <w:rFonts w:ascii="Times New Roman" w:hAnsi="Times New Roman" w:cs="Times New Roman"/>
          <w:b/>
          <w:sz w:val="24"/>
          <w:szCs w:val="24"/>
        </w:rPr>
        <w:t>:</w:t>
      </w:r>
    </w:p>
    <w:p w14:paraId="3110339E"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 checkpoints are inhibitory signaling pathways that regulate T-cell activation and prevent autoimmunity. Tumors frequently exploit these checkpoints to suppress antitumor immunity. The most extensively studied immune checkpoints include cytotoxic T-lymphocyte–associated protein 4 (CTLA-4) and programmed cell death protein 1 (PD-1) and its ligand PD-L1 [3,4].</w:t>
      </w:r>
    </w:p>
    <w:p w14:paraId="5598F00B"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Checkpoint inhibitors targeting CTLA-4 (ipilimumab), PD-1 (nivolumab, pembrolizumab), and PD-L1 (atezolizumab) have demonstrated durable clinical responses across a broad spectrum of malignancies, including melanoma, non-small cell lung cancer, renal cell carcinoma, gastric cancer, colorectal cancer with microsatellite instability, and hepatocellular carcinoma [13–18,36–38]. Unlike cytotoxic chemotherapy, immune checkpoint inhibitors can produce long-lasting tumor control due to the establishment of immunological memory [41,48].</w:t>
      </w:r>
    </w:p>
    <w:p w14:paraId="673DAB73" w14:textId="77777777" w:rsidR="0073771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these successes, only a subset of patients responds to immune checkpoint blockade, highlighting the need for predictive biomarkers and combination strategies to enhance efficacy [31–34].</w:t>
      </w:r>
    </w:p>
    <w:p w14:paraId="43E74E04" w14:textId="77777777" w:rsidR="00FD38E7" w:rsidRPr="00791B6B" w:rsidRDefault="00FD38E7" w:rsidP="004A5EC1">
      <w:pPr>
        <w:spacing w:line="360" w:lineRule="auto"/>
        <w:jc w:val="both"/>
        <w:rPr>
          <w:rFonts w:ascii="Times New Roman" w:hAnsi="Times New Roman" w:cs="Times New Roman"/>
          <w:sz w:val="24"/>
          <w:szCs w:val="24"/>
        </w:rPr>
      </w:pPr>
      <w:r w:rsidRPr="00791B6B">
        <w:rPr>
          <w:rFonts w:ascii="Times New Roman" w:hAnsi="Times New Roman" w:cs="Times New Roman"/>
          <w:noProof/>
          <w:sz w:val="24"/>
          <w:szCs w:val="24"/>
        </w:rPr>
        <w:drawing>
          <wp:inline distT="0" distB="0" distL="0" distR="0" wp14:anchorId="1893293B" wp14:editId="21EABC51">
            <wp:extent cx="5435600" cy="2651760"/>
            <wp:effectExtent l="19050" t="19050" r="1270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348"/>
                    <a:stretch/>
                  </pic:blipFill>
                  <pic:spPr bwMode="auto">
                    <a:xfrm>
                      <a:off x="0" y="0"/>
                      <a:ext cx="5435600" cy="26517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BA8D73B" w14:textId="508F8046" w:rsidR="002942DE" w:rsidRPr="00791B6B" w:rsidRDefault="001F6AAF" w:rsidP="002942DE">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Figure 2.</w:t>
      </w:r>
      <w:r w:rsidR="002942DE" w:rsidRPr="00791B6B">
        <w:rPr>
          <w:rFonts w:ascii="Times New Roman" w:hAnsi="Times New Roman" w:cs="Times New Roman"/>
          <w:b/>
          <w:sz w:val="24"/>
          <w:szCs w:val="24"/>
        </w:rPr>
        <w:t xml:space="preserve"> Mechanism of </w:t>
      </w:r>
      <w:r w:rsidR="002B2BBB">
        <w:rPr>
          <w:rFonts w:ascii="Times New Roman" w:hAnsi="Times New Roman" w:cs="Times New Roman"/>
          <w:b/>
          <w:sz w:val="24"/>
          <w:szCs w:val="24"/>
        </w:rPr>
        <w:t xml:space="preserve">action </w:t>
      </w:r>
      <w:proofErr w:type="gramStart"/>
      <w:r w:rsidR="002B2BBB">
        <w:rPr>
          <w:rFonts w:ascii="Times New Roman" w:hAnsi="Times New Roman" w:cs="Times New Roman"/>
          <w:b/>
          <w:sz w:val="24"/>
          <w:szCs w:val="24"/>
        </w:rPr>
        <w:t>of  immune</w:t>
      </w:r>
      <w:proofErr w:type="gramEnd"/>
      <w:r w:rsidR="002B2BBB">
        <w:rPr>
          <w:rFonts w:ascii="Times New Roman" w:hAnsi="Times New Roman" w:cs="Times New Roman"/>
          <w:b/>
          <w:sz w:val="24"/>
          <w:szCs w:val="24"/>
        </w:rPr>
        <w:t xml:space="preserve"> checkpoint inhibitors in cancer immunotherapy</w:t>
      </w:r>
      <w:r w:rsidR="002942DE" w:rsidRPr="00791B6B">
        <w:rPr>
          <w:rFonts w:ascii="Times New Roman" w:hAnsi="Times New Roman" w:cs="Times New Roman"/>
          <w:b/>
          <w:sz w:val="24"/>
          <w:szCs w:val="24"/>
        </w:rPr>
        <w:t>.</w:t>
      </w:r>
    </w:p>
    <w:p w14:paraId="3755BBDD" w14:textId="77777777" w:rsidR="002942DE" w:rsidRPr="00791B6B" w:rsidRDefault="002942DE" w:rsidP="002942DE">
      <w:pPr>
        <w:spacing w:line="360" w:lineRule="auto"/>
        <w:rPr>
          <w:rFonts w:ascii="Times New Roman" w:hAnsi="Times New Roman" w:cs="Times New Roman"/>
          <w:b/>
          <w:sz w:val="24"/>
          <w:szCs w:val="24"/>
        </w:rPr>
      </w:pPr>
    </w:p>
    <w:p w14:paraId="6F14E76C" w14:textId="77777777" w:rsidR="000C7E3C"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Adoptive Cell Therapies and CAR-T Cells:</w:t>
      </w:r>
    </w:p>
    <w:p w14:paraId="0FFF07C8"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Adoptive cell therapy (ACT) represents another major immunotherapeutic modality involving the ex vivo expansion or genetic modification of immune cells prior to reinfusion into the patient. Chimeric antigen receptor (CAR) T-cell therapy has shown remarkable efficacy in hematological malignancies such as acute lymphoblastic leukemia and aggressive B-cell lymphomas [19–21].</w:t>
      </w:r>
    </w:p>
    <w:p w14:paraId="45DA4CB6"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CAR-T cells are genetically engineered to express synthetic receptors that recognize tumor-specific antigens independent of major histocompatibility complex (MHC) presentation, enabling potent cytotoxic activity against malignant cells [19]. However, the application of CAR-T therapy in solid tumors remains challenging due to antigen heterogeneity, limited tumor infiltration, and immunosuppressive tumor microenvironments [51,58].</w:t>
      </w:r>
    </w:p>
    <w:p w14:paraId="62BDBFC7" w14:textId="77777777" w:rsidR="00FD38E7"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Tumor-infiltrating lymphocyte (TIL) therapy has also demonstrated clinical benefit in melanoma, underscoring the therapeutic potential of harnessing naturally occurring tumor-reactive immune cells [22].</w:t>
      </w:r>
    </w:p>
    <w:p w14:paraId="24731115"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Cancer Vaccines and Emerging Immunotherapies:</w:t>
      </w:r>
    </w:p>
    <w:p w14:paraId="6D6319A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Therapeutic cancer vaccines aim to stimulate immune responses against tumor-associated or tumor-specific antigens. Although early vaccine strategies produced limited clinical benefit, advances in antigen selection, delivery platforms, and immune adjuvants have renewed interest in this approach [49].</w:t>
      </w:r>
    </w:p>
    <w:p w14:paraId="0DDC49BB"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Other emerging immunotherapeutic strategies include bispecific antibodies, oncolytic viruses, and innate immune modulators. These approaches seek to broaden the scope of immunotherapy beyond checkpoint inhibition and cellular therapies, potentially benefiting patients who do not respond to existing treatments [48,50].</w:t>
      </w:r>
    </w:p>
    <w:p w14:paraId="57053C9C" w14:textId="77777777" w:rsidR="00C4265C" w:rsidRPr="00791B6B" w:rsidRDefault="00C4265C"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COMBINATION OF TARGETED THERAPY AND IMMUNOTHERAPY:</w:t>
      </w:r>
    </w:p>
    <w:p w14:paraId="6DA7C885" w14:textId="7977D0F3" w:rsidR="0050376F" w:rsidRDefault="007D3DDD" w:rsidP="004A5EC1">
      <w:pPr>
        <w:spacing w:line="360" w:lineRule="auto"/>
        <w:jc w:val="both"/>
        <w:rPr>
          <w:rFonts w:ascii="Times New Roman" w:hAnsi="Times New Roman" w:cs="Times New Roman"/>
          <w:sz w:val="24"/>
          <w:szCs w:val="24"/>
        </w:rPr>
      </w:pPr>
      <w:r w:rsidRPr="007D3DDD">
        <w:rPr>
          <w:rFonts w:ascii="Times New Roman" w:hAnsi="Times New Roman" w:cs="Times New Roman"/>
          <w:sz w:val="24"/>
          <w:szCs w:val="24"/>
        </w:rPr>
        <w:lastRenderedPageBreak/>
        <w:t>As discussed in the resistance mechanisms section, tumor-intrinsic signaling pathways, epigenetic adaptations, and immune evasion strategies contribute significantly to therapeutic failure. Building on this established biological framework, combination strategies integrating targeted therapy with immunotherapy aim to translate mechanistic insights into improved clinical efficacy, durability of respo</w:t>
      </w:r>
      <w:r>
        <w:rPr>
          <w:rFonts w:ascii="Times New Roman" w:hAnsi="Times New Roman" w:cs="Times New Roman"/>
          <w:sz w:val="24"/>
          <w:szCs w:val="24"/>
        </w:rPr>
        <w:t>nse, and resistance prevention.</w:t>
      </w:r>
    </w:p>
    <w:p w14:paraId="4EC324F0" w14:textId="77F9969A" w:rsidR="00C4265C" w:rsidRPr="00791B6B" w:rsidRDefault="00C4265C"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Clinical trials evaluating combinations of immune checkpoint inhibitors with VEGF inhibitors, BRAF/MEK inhibitors, or tyrosine kinase inhibitors have demonstrated improved response rates and progression-free survival in cancers such as melanoma, renal cell carcinoma, and hepatocellular carcinoma [26,38,42]. However, combination strategies are associated with increased toxicity, underscoring the need for careful patient selection and optimized dosing strategies [39,40].</w:t>
      </w:r>
      <w:r w:rsidR="00A709CB">
        <w:rPr>
          <w:rFonts w:ascii="Times New Roman" w:hAnsi="Times New Roman" w:cs="Times New Roman"/>
          <w:sz w:val="24"/>
          <w:szCs w:val="24"/>
        </w:rPr>
        <w:t xml:space="preserve"> </w:t>
      </w:r>
      <w:r w:rsidR="00A709CB" w:rsidRPr="00A709CB">
        <w:rPr>
          <w:rFonts w:ascii="Times New Roman" w:hAnsi="Times New Roman" w:cs="Times New Roman"/>
          <w:sz w:val="24"/>
          <w:szCs w:val="24"/>
        </w:rPr>
        <w:t>While several combination regimens have received regulatory approval in selected malignancies, many targeted therapy–immunotherapy combinations remain investigational and are currently being evaluated in ongoing clinical trials t</w:t>
      </w:r>
      <w:r w:rsidR="00625731">
        <w:rPr>
          <w:rFonts w:ascii="Times New Roman" w:hAnsi="Times New Roman" w:cs="Times New Roman"/>
          <w:sz w:val="24"/>
          <w:szCs w:val="24"/>
        </w:rPr>
        <w:t>o optimize efficacy and safety.</w:t>
      </w:r>
      <w:r w:rsidR="007D3DDD">
        <w:rPr>
          <w:rFonts w:ascii="Times New Roman" w:hAnsi="Times New Roman" w:cs="Times New Roman"/>
          <w:sz w:val="24"/>
          <w:szCs w:val="24"/>
        </w:rPr>
        <w:t xml:space="preserve"> </w:t>
      </w:r>
      <w:r w:rsidR="007D3DDD" w:rsidRPr="007D3DDD">
        <w:rPr>
          <w:rFonts w:ascii="Times New Roman" w:hAnsi="Times New Roman" w:cs="Times New Roman"/>
          <w:sz w:val="24"/>
          <w:szCs w:val="24"/>
        </w:rPr>
        <w:t>Based on the established immunomodulatory effects of VEGF inhibition, combinations of anti-angiogenic agents with immune checkpoint inhibitors have demonstrated improved efficacy in renal cell carcinoma and hepatocellu</w:t>
      </w:r>
      <w:r w:rsidR="007D3DDD">
        <w:rPr>
          <w:rFonts w:ascii="Times New Roman" w:hAnsi="Times New Roman" w:cs="Times New Roman"/>
          <w:sz w:val="24"/>
          <w:szCs w:val="24"/>
        </w:rPr>
        <w:t>lar carcinoma [26,38,42,61–65].</w:t>
      </w:r>
    </w:p>
    <w:p w14:paraId="2F6CF6DC" w14:textId="16BA66FB" w:rsidR="003653B5" w:rsidRPr="00791B6B" w:rsidRDefault="00D61A57" w:rsidP="003653B5">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therapeutic outcomes</w:t>
      </w:r>
      <w:r w:rsidR="003653B5" w:rsidRPr="00791B6B">
        <w:rPr>
          <w:rFonts w:ascii="Times New Roman" w:hAnsi="Times New Roman" w:cs="Times New Roman"/>
          <w:sz w:val="24"/>
          <w:szCs w:val="24"/>
        </w:rPr>
        <w:t>, combination approaches also modulate multiple dimensions of tumor biology, including angiogenesis, metabolic adaptation, and i</w:t>
      </w:r>
      <w:r w:rsidR="0050376F">
        <w:rPr>
          <w:rFonts w:ascii="Times New Roman" w:hAnsi="Times New Roman" w:cs="Times New Roman"/>
          <w:sz w:val="24"/>
          <w:szCs w:val="24"/>
        </w:rPr>
        <w:t>mmune evasion pathways</w:t>
      </w:r>
      <w:r w:rsidR="003653B5" w:rsidRPr="00791B6B">
        <w:rPr>
          <w:rFonts w:ascii="Times New Roman" w:hAnsi="Times New Roman" w:cs="Times New Roman"/>
          <w:sz w:val="24"/>
          <w:szCs w:val="24"/>
        </w:rPr>
        <w:t xml:space="preserve">. </w:t>
      </w:r>
    </w:p>
    <w:p w14:paraId="02473070" w14:textId="2AC864E7" w:rsidR="003653B5" w:rsidRPr="00791B6B" w:rsidRDefault="00D61A57" w:rsidP="003653B5">
      <w:pPr>
        <w:spacing w:line="360" w:lineRule="auto"/>
        <w:jc w:val="both"/>
        <w:rPr>
          <w:rFonts w:ascii="Times New Roman" w:hAnsi="Times New Roman" w:cs="Times New Roman"/>
          <w:sz w:val="24"/>
          <w:szCs w:val="24"/>
        </w:rPr>
      </w:pPr>
      <w:r>
        <w:rPr>
          <w:rFonts w:ascii="Times New Roman" w:hAnsi="Times New Roman" w:cs="Times New Roman"/>
          <w:sz w:val="24"/>
          <w:szCs w:val="24"/>
        </w:rPr>
        <w:t>Accumulating data</w:t>
      </w:r>
      <w:r w:rsidR="003653B5" w:rsidRPr="00791B6B">
        <w:rPr>
          <w:rFonts w:ascii="Times New Roman" w:hAnsi="Times New Roman" w:cs="Times New Roman"/>
          <w:sz w:val="24"/>
          <w:szCs w:val="24"/>
        </w:rPr>
        <w:t xml:space="preserve"> suggests that the timing and sequencing of targeted therapy and immunotherapy play a critical role in determining therapeutic outcomes. Preclinical and clinical studies indicate that short-term targeted therapy priming may enhance immunogenic cell death and promote durable immune memory when followed by immune checkpoint blockade [24,49,55]. However, prolonged exposure to certain targeted agents may induce immune suppression or T-cell exhaustion, highlighting the need for rational scheduling strategies [29,54].</w:t>
      </w:r>
    </w:p>
    <w:p w14:paraId="0019FC5A"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Biomarker-driven patient selection remains essential for optimizing combination regimens. Tumor mutational burden, mismatch repair deficiency, PD-L1 expression, and immune gene expression signatures have been associated with improved responses to combination therapy, although their predictive value varies across tumor types [32–35,58]. In addition, dynamic </w:t>
      </w:r>
      <w:r w:rsidRPr="00791B6B">
        <w:rPr>
          <w:rFonts w:ascii="Times New Roman" w:hAnsi="Times New Roman" w:cs="Times New Roman"/>
          <w:sz w:val="24"/>
          <w:szCs w:val="24"/>
        </w:rPr>
        <w:lastRenderedPageBreak/>
        <w:t>biomarkers reflecting changes in the tumor microenvironment during treatment may offer superior guidance for therapeutic decision-making [36,57].</w:t>
      </w:r>
    </w:p>
    <w:p w14:paraId="7FF2BCFE"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Despite promising advances, combination therapy poses challenges related to overlapping toxicities, immune-related adverse events, and increased treatment costs. Immune-mediated toxicities affecting the skin, gastrointestinal tract, endocrine organs, and liver have been reported at higher frequencies with combination regimens, necessitating vigilant monitoring and multidisciplinary management [41,42]. Ongoing clinical trials are focused on identifying optimal dose intensities, novel combinations, and next-generation agents with improved safety profiles [46,50,60].</w:t>
      </w:r>
    </w:p>
    <w:p w14:paraId="1E496B3C" w14:textId="77777777" w:rsidR="003653B5"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Overall, the integration of targeted therapy with immunotherapy represents a pivotal strategy to overcome therapeutic resistance and enhance long-term disease control. Continued translational research and well-designed clinical trials are essential to refine combination approaches and translate mechanistic insights into personalized cancer treatment paradigms [43,47,56].</w:t>
      </w:r>
    </w:p>
    <w:p w14:paraId="022974DD" w14:textId="748D75ED" w:rsidR="005B7E54" w:rsidRDefault="005B7E54" w:rsidP="003653B5">
      <w:pPr>
        <w:spacing w:line="360" w:lineRule="auto"/>
        <w:jc w:val="both"/>
        <w:rPr>
          <w:rFonts w:ascii="Times New Roman" w:hAnsi="Times New Roman" w:cs="Times New Roman"/>
          <w:b/>
          <w:sz w:val="24"/>
          <w:szCs w:val="24"/>
        </w:rPr>
      </w:pPr>
      <w:r w:rsidRPr="005B7E54">
        <w:rPr>
          <w:rFonts w:ascii="Times New Roman" w:hAnsi="Times New Roman" w:cs="Times New Roman"/>
          <w:b/>
          <w:sz w:val="24"/>
          <w:szCs w:val="24"/>
        </w:rPr>
        <w:t>Therapeutic Sequencing and Timing Considerations:</w:t>
      </w:r>
    </w:p>
    <w:p w14:paraId="71F1F5A3" w14:textId="65065023" w:rsidR="005B7E54" w:rsidRDefault="009D6A73" w:rsidP="003653B5">
      <w:pPr>
        <w:spacing w:line="360" w:lineRule="auto"/>
        <w:jc w:val="both"/>
        <w:rPr>
          <w:rFonts w:ascii="Times New Roman" w:hAnsi="Times New Roman" w:cs="Times New Roman"/>
          <w:sz w:val="24"/>
          <w:szCs w:val="24"/>
        </w:rPr>
      </w:pPr>
      <w:r w:rsidRPr="009D6A73">
        <w:rPr>
          <w:rFonts w:ascii="Times New Roman" w:hAnsi="Times New Roman" w:cs="Times New Roman"/>
          <w:sz w:val="24"/>
          <w:szCs w:val="24"/>
        </w:rPr>
        <w:t>Accumulating evidence suggests that the sequence and timing of targeted therapy and immunotherapy critically influence therapeutic efficacy and durability of response. Short-term administration of targeted agents may act as an immunologic priming strategy by enhancing tumor antigen presentation, increasing immune cell infiltration, and modulating the tumor microenvironment to favor antitumor immunity, thereby sensitizing tumors to subsequent immune checkpoint blockade [23,25,59,61–64]. In contrast, immunotherapy primarily contributes to durable disease control through immune memory and sustained immune surveillance, making it particularly effective when deployed after tumor debulking or immune priming by targeted therapy [41,48,65–67]. Importantly, prolonged exposure to certain targeted agents may induce immune suppression or T-cell exhaustion, underscoring the need for optimized sequencing rather than continuous combination approaches [29,54,60]. Emerging clinical and translational studies support adaptive and biomarker-guided sequencing strategies to maximize efficacy while minimizing toxicity and resistance [52,55,64–68].</w:t>
      </w:r>
    </w:p>
    <w:p w14:paraId="07126E86" w14:textId="77777777" w:rsidR="009A107A" w:rsidRDefault="009A107A" w:rsidP="003653B5">
      <w:pPr>
        <w:spacing w:line="360" w:lineRule="auto"/>
        <w:jc w:val="both"/>
        <w:rPr>
          <w:rFonts w:ascii="Times New Roman" w:hAnsi="Times New Roman" w:cs="Times New Roman"/>
          <w:sz w:val="24"/>
          <w:szCs w:val="24"/>
        </w:rPr>
      </w:pPr>
    </w:p>
    <w:p w14:paraId="6926CFB0" w14:textId="77777777" w:rsidR="009A107A" w:rsidRDefault="009A107A" w:rsidP="003653B5">
      <w:pPr>
        <w:spacing w:line="360" w:lineRule="auto"/>
        <w:jc w:val="both"/>
        <w:rPr>
          <w:rFonts w:ascii="Times New Roman" w:hAnsi="Times New Roman" w:cs="Times New Roman"/>
          <w:sz w:val="24"/>
          <w:szCs w:val="24"/>
        </w:rPr>
      </w:pPr>
    </w:p>
    <w:p w14:paraId="3E3D4A92" w14:textId="0C2179F7" w:rsidR="009D6A73" w:rsidRDefault="00195D62" w:rsidP="003653B5">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No: 5</w:t>
      </w:r>
      <w:r w:rsidR="009D6A73" w:rsidRPr="009D6A73">
        <w:rPr>
          <w:rFonts w:ascii="Times New Roman" w:hAnsi="Times New Roman" w:cs="Times New Roman"/>
          <w:b/>
          <w:sz w:val="24"/>
          <w:szCs w:val="24"/>
        </w:rPr>
        <w:t xml:space="preserve"> Approved Targeted Therapy- Immunotherapy combinations, Indications, and key Toxicities:</w:t>
      </w:r>
    </w:p>
    <w:tbl>
      <w:tblPr>
        <w:tblStyle w:val="TableGrid"/>
        <w:tblW w:w="0" w:type="auto"/>
        <w:tblLook w:val="04A0" w:firstRow="1" w:lastRow="0" w:firstColumn="1" w:lastColumn="0" w:noHBand="0" w:noVBand="1"/>
      </w:tblPr>
      <w:tblGrid>
        <w:gridCol w:w="2394"/>
        <w:gridCol w:w="2394"/>
        <w:gridCol w:w="2394"/>
        <w:gridCol w:w="2394"/>
      </w:tblGrid>
      <w:tr w:rsidR="009D6A73" w14:paraId="239C781D" w14:textId="77777777" w:rsidTr="009D6A73">
        <w:tc>
          <w:tcPr>
            <w:tcW w:w="2394" w:type="dxa"/>
          </w:tcPr>
          <w:p w14:paraId="18228ADC" w14:textId="742E0460" w:rsidR="009D6A73" w:rsidRDefault="009D6A73" w:rsidP="003653B5">
            <w:pPr>
              <w:spacing w:line="360" w:lineRule="auto"/>
              <w:jc w:val="both"/>
              <w:rPr>
                <w:rFonts w:ascii="Times New Roman" w:hAnsi="Times New Roman" w:cs="Times New Roman"/>
                <w:b/>
                <w:sz w:val="24"/>
                <w:szCs w:val="24"/>
              </w:rPr>
            </w:pPr>
            <w:r>
              <w:rPr>
                <w:rFonts w:ascii="Times New Roman" w:hAnsi="Times New Roman" w:cs="Times New Roman"/>
                <w:b/>
                <w:sz w:val="24"/>
                <w:szCs w:val="24"/>
              </w:rPr>
              <w:t>Combination</w:t>
            </w:r>
          </w:p>
        </w:tc>
        <w:tc>
          <w:tcPr>
            <w:tcW w:w="2394" w:type="dxa"/>
          </w:tcPr>
          <w:p w14:paraId="0035CB9B" w14:textId="246AD7C1" w:rsidR="009D6A73" w:rsidRDefault="009D6A73" w:rsidP="003653B5">
            <w:pPr>
              <w:spacing w:line="360" w:lineRule="auto"/>
              <w:jc w:val="both"/>
              <w:rPr>
                <w:rFonts w:ascii="Times New Roman" w:hAnsi="Times New Roman" w:cs="Times New Roman"/>
                <w:b/>
                <w:sz w:val="24"/>
                <w:szCs w:val="24"/>
              </w:rPr>
            </w:pPr>
            <w:r>
              <w:rPr>
                <w:rFonts w:ascii="Times New Roman" w:hAnsi="Times New Roman" w:cs="Times New Roman"/>
                <w:b/>
                <w:sz w:val="24"/>
                <w:szCs w:val="24"/>
              </w:rPr>
              <w:t>Cancer Type</w:t>
            </w:r>
          </w:p>
        </w:tc>
        <w:tc>
          <w:tcPr>
            <w:tcW w:w="2394" w:type="dxa"/>
          </w:tcPr>
          <w:p w14:paraId="2AD096D5" w14:textId="31E3CAC6" w:rsidR="009D6A73" w:rsidRDefault="009D6A73" w:rsidP="003653B5">
            <w:pPr>
              <w:spacing w:line="360" w:lineRule="auto"/>
              <w:jc w:val="both"/>
              <w:rPr>
                <w:rFonts w:ascii="Times New Roman" w:hAnsi="Times New Roman" w:cs="Times New Roman"/>
                <w:b/>
                <w:sz w:val="24"/>
                <w:szCs w:val="24"/>
              </w:rPr>
            </w:pPr>
            <w:r>
              <w:rPr>
                <w:rFonts w:ascii="Times New Roman" w:hAnsi="Times New Roman" w:cs="Times New Roman"/>
                <w:b/>
                <w:sz w:val="24"/>
                <w:szCs w:val="24"/>
              </w:rPr>
              <w:t>Approval Status</w:t>
            </w:r>
          </w:p>
        </w:tc>
        <w:tc>
          <w:tcPr>
            <w:tcW w:w="2394" w:type="dxa"/>
          </w:tcPr>
          <w:p w14:paraId="1F373296" w14:textId="0AE6E899" w:rsidR="009D6A73" w:rsidRDefault="009D6A73" w:rsidP="003653B5">
            <w:pPr>
              <w:spacing w:line="360" w:lineRule="auto"/>
              <w:jc w:val="both"/>
              <w:rPr>
                <w:rFonts w:ascii="Times New Roman" w:hAnsi="Times New Roman" w:cs="Times New Roman"/>
                <w:b/>
                <w:sz w:val="24"/>
                <w:szCs w:val="24"/>
              </w:rPr>
            </w:pPr>
            <w:r>
              <w:rPr>
                <w:rFonts w:ascii="Times New Roman" w:hAnsi="Times New Roman" w:cs="Times New Roman"/>
                <w:b/>
                <w:sz w:val="24"/>
                <w:szCs w:val="24"/>
              </w:rPr>
              <w:t>Key Toxicities</w:t>
            </w:r>
          </w:p>
        </w:tc>
      </w:tr>
      <w:tr w:rsidR="009D6A73" w14:paraId="3BA48455" w14:textId="77777777" w:rsidTr="009D6A73">
        <w:tc>
          <w:tcPr>
            <w:tcW w:w="2394" w:type="dxa"/>
          </w:tcPr>
          <w:p w14:paraId="44B8BF49" w14:textId="261BD682" w:rsidR="009D6A73" w:rsidRPr="008D3748" w:rsidRDefault="009D6A73" w:rsidP="003653B5">
            <w:pPr>
              <w:spacing w:line="360" w:lineRule="auto"/>
              <w:jc w:val="both"/>
              <w:rPr>
                <w:rFonts w:ascii="Times New Roman" w:hAnsi="Times New Roman" w:cs="Times New Roman"/>
                <w:sz w:val="24"/>
                <w:szCs w:val="24"/>
              </w:rPr>
            </w:pPr>
            <w:proofErr w:type="spellStart"/>
            <w:r w:rsidRPr="008D3748">
              <w:rPr>
                <w:rFonts w:ascii="Times New Roman" w:hAnsi="Times New Roman" w:cs="Times New Roman"/>
                <w:sz w:val="24"/>
                <w:szCs w:val="24"/>
              </w:rPr>
              <w:t>Atezo</w:t>
            </w:r>
            <w:r w:rsidR="008D3748" w:rsidRPr="008D3748">
              <w:rPr>
                <w:rFonts w:ascii="Times New Roman" w:hAnsi="Times New Roman" w:cs="Times New Roman"/>
                <w:sz w:val="24"/>
                <w:szCs w:val="24"/>
              </w:rPr>
              <w:t>lizumab</w:t>
            </w:r>
            <w:proofErr w:type="spellEnd"/>
            <w:r w:rsidR="008D3748" w:rsidRPr="008D3748">
              <w:rPr>
                <w:rFonts w:ascii="Times New Roman" w:hAnsi="Times New Roman" w:cs="Times New Roman"/>
                <w:sz w:val="24"/>
                <w:szCs w:val="24"/>
              </w:rPr>
              <w:t>+ Bevacizumab</w:t>
            </w:r>
          </w:p>
        </w:tc>
        <w:tc>
          <w:tcPr>
            <w:tcW w:w="2394" w:type="dxa"/>
          </w:tcPr>
          <w:p w14:paraId="7E8F29AF" w14:textId="1500F420"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HCC</w:t>
            </w:r>
          </w:p>
        </w:tc>
        <w:tc>
          <w:tcPr>
            <w:tcW w:w="2394" w:type="dxa"/>
          </w:tcPr>
          <w:p w14:paraId="553F1A6E" w14:textId="60A21A42"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Approved</w:t>
            </w:r>
          </w:p>
        </w:tc>
        <w:tc>
          <w:tcPr>
            <w:tcW w:w="2394" w:type="dxa"/>
          </w:tcPr>
          <w:p w14:paraId="70E5D18A" w14:textId="45D63D61"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 xml:space="preserve">Hypertension, </w:t>
            </w:r>
            <w:proofErr w:type="spellStart"/>
            <w:r w:rsidRPr="008D3748">
              <w:rPr>
                <w:rFonts w:ascii="Times New Roman" w:hAnsi="Times New Roman" w:cs="Times New Roman"/>
                <w:sz w:val="24"/>
                <w:szCs w:val="24"/>
              </w:rPr>
              <w:t>irAEs</w:t>
            </w:r>
            <w:proofErr w:type="spellEnd"/>
          </w:p>
        </w:tc>
      </w:tr>
      <w:tr w:rsidR="009D6A73" w14:paraId="0EA4AF59" w14:textId="77777777" w:rsidTr="009D6A73">
        <w:tc>
          <w:tcPr>
            <w:tcW w:w="2394" w:type="dxa"/>
          </w:tcPr>
          <w:p w14:paraId="31758B9E" w14:textId="46FD7F31"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 xml:space="preserve">Pembrolizumab+ </w:t>
            </w:r>
            <w:proofErr w:type="spellStart"/>
            <w:r w:rsidRPr="008D3748">
              <w:rPr>
                <w:rFonts w:ascii="Times New Roman" w:hAnsi="Times New Roman" w:cs="Times New Roman"/>
                <w:sz w:val="24"/>
                <w:szCs w:val="24"/>
              </w:rPr>
              <w:t>Axitinib</w:t>
            </w:r>
            <w:proofErr w:type="spellEnd"/>
          </w:p>
        </w:tc>
        <w:tc>
          <w:tcPr>
            <w:tcW w:w="2394" w:type="dxa"/>
          </w:tcPr>
          <w:p w14:paraId="057A04F8" w14:textId="0605432F"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RCC</w:t>
            </w:r>
          </w:p>
        </w:tc>
        <w:tc>
          <w:tcPr>
            <w:tcW w:w="2394" w:type="dxa"/>
          </w:tcPr>
          <w:p w14:paraId="351D4608" w14:textId="12EF2763"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Approved</w:t>
            </w:r>
          </w:p>
        </w:tc>
        <w:tc>
          <w:tcPr>
            <w:tcW w:w="2394" w:type="dxa"/>
          </w:tcPr>
          <w:p w14:paraId="3F1473A1" w14:textId="7BC6B51D"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Hepatitis, Fatigue</w:t>
            </w:r>
          </w:p>
        </w:tc>
      </w:tr>
      <w:tr w:rsidR="009D6A73" w14:paraId="4515E639" w14:textId="77777777" w:rsidTr="009D6A73">
        <w:tc>
          <w:tcPr>
            <w:tcW w:w="2394" w:type="dxa"/>
          </w:tcPr>
          <w:p w14:paraId="5EE7A439" w14:textId="111F0390"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Nivolumab+ Ipilimumab</w:t>
            </w:r>
          </w:p>
        </w:tc>
        <w:tc>
          <w:tcPr>
            <w:tcW w:w="2394" w:type="dxa"/>
          </w:tcPr>
          <w:p w14:paraId="77941611" w14:textId="6DD85FAF"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Melanoma</w:t>
            </w:r>
          </w:p>
        </w:tc>
        <w:tc>
          <w:tcPr>
            <w:tcW w:w="2394" w:type="dxa"/>
          </w:tcPr>
          <w:p w14:paraId="071F7195" w14:textId="20DBBB81"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Approved</w:t>
            </w:r>
          </w:p>
        </w:tc>
        <w:tc>
          <w:tcPr>
            <w:tcW w:w="2394" w:type="dxa"/>
          </w:tcPr>
          <w:p w14:paraId="5C5507B7" w14:textId="28B51251" w:rsidR="009D6A73" w:rsidRPr="008D3748" w:rsidRDefault="008D3748" w:rsidP="003653B5">
            <w:pPr>
              <w:spacing w:line="360" w:lineRule="auto"/>
              <w:jc w:val="both"/>
              <w:rPr>
                <w:rFonts w:ascii="Times New Roman" w:hAnsi="Times New Roman" w:cs="Times New Roman"/>
                <w:sz w:val="24"/>
                <w:szCs w:val="24"/>
              </w:rPr>
            </w:pPr>
            <w:r w:rsidRPr="008D3748">
              <w:rPr>
                <w:rFonts w:ascii="Times New Roman" w:hAnsi="Times New Roman" w:cs="Times New Roman"/>
                <w:sz w:val="24"/>
                <w:szCs w:val="24"/>
              </w:rPr>
              <w:t>Colitis, Endocrinopathies</w:t>
            </w:r>
          </w:p>
        </w:tc>
      </w:tr>
    </w:tbl>
    <w:p w14:paraId="458C67B8" w14:textId="77777777" w:rsidR="008D3748" w:rsidRPr="009D6A73" w:rsidRDefault="008D3748" w:rsidP="003653B5">
      <w:pPr>
        <w:spacing w:line="360" w:lineRule="auto"/>
        <w:jc w:val="both"/>
        <w:rPr>
          <w:rFonts w:ascii="Times New Roman" w:hAnsi="Times New Roman" w:cs="Times New Roman"/>
          <w:b/>
          <w:sz w:val="24"/>
          <w:szCs w:val="24"/>
        </w:rPr>
      </w:pPr>
    </w:p>
    <w:p w14:paraId="01A39539" w14:textId="77777777" w:rsidR="00EF161B"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TUMOR MICROENVIRONMENT AND BIOMARKERS:</w:t>
      </w:r>
    </w:p>
    <w:p w14:paraId="7BA05690"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Tumor Microenvironment and Immune Modulation</w:t>
      </w:r>
    </w:p>
    <w:p w14:paraId="5125CE9E" w14:textId="77777777" w:rsidR="00EF76B3"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tumor microenvironment (TME) is a complex ecosystem composed of cancer cells, stromal cells, immune cells, and extracellular matrix components. Immunosuppressive cell populations such as regulatory T cells, myeloid-derived suppressor cells, and tumor-associated macrophages contribute to immune evasion and resistance to therapy [27,60].</w:t>
      </w:r>
    </w:p>
    <w:p w14:paraId="0F048130" w14:textId="5596235E" w:rsidR="002D16F8" w:rsidRPr="00791B6B" w:rsidRDefault="002D16F8" w:rsidP="004A5EC1">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Tumor immune dynamics and host factors such as the gut microbiome influence therapeutic response and </w:t>
      </w:r>
      <w:proofErr w:type="gramStart"/>
      <w:r>
        <w:rPr>
          <w:rFonts w:ascii="Times New Roman" w:hAnsi="Times New Roman" w:cs="Times New Roman"/>
          <w:sz w:val="24"/>
          <w:szCs w:val="24"/>
        </w:rPr>
        <w:t>resistance[</w:t>
      </w:r>
      <w:proofErr w:type="gramEnd"/>
      <w:r>
        <w:rPr>
          <w:rFonts w:ascii="Times New Roman" w:hAnsi="Times New Roman" w:cs="Times New Roman"/>
          <w:sz w:val="24"/>
          <w:szCs w:val="24"/>
        </w:rPr>
        <w:t>27,32,38,68].</w:t>
      </w:r>
    </w:p>
    <w:p w14:paraId="327475F7"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Oncogenic signaling pathways within tumor cells can actively shape the immune landscape of the TME. For instance, aberrant activation of β-catenin signaling has been associated with immune exclusion and resistance to immune checkpoint blockade [28]. Targeted therapies that modulate these pathways may reprogram the TME to enhance immune responsiveness [25,45].</w:t>
      </w:r>
    </w:p>
    <w:p w14:paraId="38DE5428" w14:textId="535BDDD1" w:rsidR="00CA0798" w:rsidRPr="00791B6B" w:rsidRDefault="001F6AAF" w:rsidP="004A5EC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D7BC036" wp14:editId="29ADCFEA">
            <wp:extent cx="5960853" cy="3840480"/>
            <wp:effectExtent l="19050" t="19050" r="2095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3" b="6741"/>
                    <a:stretch/>
                  </pic:blipFill>
                  <pic:spPr bwMode="auto">
                    <a:xfrm>
                      <a:off x="0" y="0"/>
                      <a:ext cx="5994608" cy="38622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44F4AB0" w14:textId="634CFAE7" w:rsidR="005E04BC" w:rsidRPr="00791B6B" w:rsidRDefault="002B2BBB" w:rsidP="005E04BC">
      <w:pPr>
        <w:spacing w:line="360" w:lineRule="auto"/>
        <w:rPr>
          <w:rFonts w:ascii="Times New Roman" w:hAnsi="Times New Roman" w:cs="Times New Roman"/>
          <w:b/>
          <w:sz w:val="24"/>
          <w:szCs w:val="24"/>
        </w:rPr>
      </w:pPr>
      <w:r>
        <w:rPr>
          <w:rFonts w:ascii="Times New Roman" w:hAnsi="Times New Roman" w:cs="Times New Roman"/>
          <w:b/>
          <w:sz w:val="24"/>
          <w:szCs w:val="24"/>
        </w:rPr>
        <w:t>Figure 3. Components of the tumor microenvironment contributing to immune evasion and therapy resistance</w:t>
      </w:r>
      <w:r w:rsidR="005E04BC" w:rsidRPr="00791B6B">
        <w:rPr>
          <w:rFonts w:ascii="Times New Roman" w:hAnsi="Times New Roman" w:cs="Times New Roman"/>
          <w:b/>
          <w:sz w:val="24"/>
          <w:szCs w:val="24"/>
        </w:rPr>
        <w:t>.</w:t>
      </w:r>
    </w:p>
    <w:p w14:paraId="30F118B5" w14:textId="77777777" w:rsidR="005E04BC" w:rsidRPr="00791B6B" w:rsidRDefault="005E04BC" w:rsidP="005E04BC">
      <w:pPr>
        <w:spacing w:line="360" w:lineRule="auto"/>
        <w:rPr>
          <w:rFonts w:ascii="Times New Roman" w:hAnsi="Times New Roman" w:cs="Times New Roman"/>
          <w:b/>
          <w:sz w:val="24"/>
          <w:szCs w:val="24"/>
        </w:rPr>
      </w:pPr>
    </w:p>
    <w:p w14:paraId="2C4D9845" w14:textId="77777777" w:rsidR="00EF161B"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Biomarkers for patient selection</w:t>
      </w:r>
    </w:p>
    <w:p w14:paraId="37D7519B"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identification of predictive biomarkers is essential for optimizing the clinical use of targeted therapy and immunotherapy. PD-L1 expression, although imperfect, has been used to predict response to PD-1/PD-L1 inhibitors in several tumor types [31,34]. Tumor mutational burden (TMB) has emerged as an additional biomarker, with higher mutational loads associated with increased neoantigen formation and improved immunotherapy response [31,32].</w:t>
      </w:r>
    </w:p>
    <w:p w14:paraId="5A62662C"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Mismatch repair deficiency and microsatellite instability represent robust predictive biomarkers for immune checkpoint inhibitor efficacy, particularly in colorectal and other gastrointestinal cancers [33]. Advances in genomic profiling and molecular diagnostics continue to refine patient stratification and support personalized treatment approaches [38,52].</w:t>
      </w:r>
    </w:p>
    <w:p w14:paraId="30E2476C" w14:textId="113408F9" w:rsidR="001F5077" w:rsidRDefault="00F63A85" w:rsidP="004A5EC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LIMITATIONS OF BIOMARKERS IN REAL WORLD CLINICAL PRACTICE:</w:t>
      </w:r>
    </w:p>
    <w:p w14:paraId="1FAE0CD0"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Despite their critical role in precision oncology, many predictive and prognostic biomarkers demonstrate limited translation from controlled clinical trials to real-world practice. One major limitation is tumor heterogeneity, where spatial and temporal genetic variability within and between tumor sites leads to inconsistent biomarker expression, reducing predictive accuracy from a single biopsy sample [24,47,56]. In addition, clonal evolution under therapeutic pressure can alter biomarker status over time, resulting in treatment resistance despite initial biomarker positivity [23,52,57].</w:t>
      </w:r>
    </w:p>
    <w:p w14:paraId="732E4DC4"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Another significant challenge is technical and analytical variability. Differences in assay platforms, antibody clones, sequencing depth, and interpretation thresholds across laboratories contribute to inconsistent biomarker results and poor reproducibility in routine practice [30,45,58]. Pre-analytical factors such as tissue handling, fixation time, and sample quality further compromise biomarker reliability, particularly in resource-limited clinical settings [29,60].</w:t>
      </w:r>
    </w:p>
    <w:p w14:paraId="526A5FF9"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Biomarkers validated in clinical trials often fail to account for patient-related factors encountered in real-world populations, including comorbidities, prior therapies, polypharmacy, and poor performance status, which may alter therapeutic response independent of biomarker status [38,39,61]. Furthermore, many biomarkers are developed based on single-pathway dependency models, whereas cancer progression is driven by complex, redundant signaling networks that can bypass the targeted pathway [6,8,53].</w:t>
      </w:r>
    </w:p>
    <w:p w14:paraId="55F0B264"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Limited clinical utility and accessibility also hinder biomarker adoption. High cost, limited availability of advanced molecular testing, long turnaround times, and lack of standardized testing guidelines restrict routine implementation, particularly in low- and middle-income settings [42,44,62]. Additionally, some biomarkers demonstrate statistical significance without sufficient clinical benefit, leading to marginal improvements that do not translate into meaningful patient outcomes [43,63].</w:t>
      </w:r>
    </w:p>
    <w:p w14:paraId="414F1060" w14:textId="6A8685FC"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Finally, inadequate prospective validation and lack of integration with dynamic biomarkers, such as circulating tumor DNA, immune signatures, and real-time functional assays, further limit real-world effectiveness [48–50,64–68]. Collectively, these limitations underscore the need for multi-</w:t>
      </w:r>
      <w:r w:rsidRPr="00F63A85">
        <w:rPr>
          <w:rFonts w:ascii="Times New Roman" w:hAnsi="Times New Roman" w:cs="Times New Roman"/>
          <w:sz w:val="24"/>
          <w:szCs w:val="24"/>
        </w:rPr>
        <w:lastRenderedPageBreak/>
        <w:t>parameter, longitudinal, and context-specific biomarker strategies to improve the real-worl</w:t>
      </w:r>
      <w:r>
        <w:rPr>
          <w:rFonts w:ascii="Times New Roman" w:hAnsi="Times New Roman" w:cs="Times New Roman"/>
          <w:sz w:val="24"/>
          <w:szCs w:val="24"/>
        </w:rPr>
        <w:t>d impact of precision oncology.</w:t>
      </w:r>
    </w:p>
    <w:p w14:paraId="0BF68F0A" w14:textId="77777777" w:rsidR="000C7E3C"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MECHANISMS:</w:t>
      </w:r>
    </w:p>
    <w:p w14:paraId="0CDA1913"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Resistance remains a major obstacle to both targeted therapy and immunotherapy. In targeted therapy, resistance often arises through secondary mutations, pathway reactivation, or activation of compensatory signaling networks [29,56]. In immunotherapy, resistance mechanisms include loss of antigen presentation, defects in interferon signaling, and immune exclusion from the tumor microenvironment [28–30].</w:t>
      </w:r>
    </w:p>
    <w:p w14:paraId="2600A85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Understanding resistance biology has informed the development of next-generation agents and rational combination strategies designed to overcome therapeutic failure [52,53].</w:t>
      </w:r>
    </w:p>
    <w:p w14:paraId="02472BE3"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to Targeted Therapy</w:t>
      </w:r>
    </w:p>
    <w:p w14:paraId="7F6B56DD"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Although targeted therapies often produce rapid tumor regression, resistance frequently develops through secondary mutations, pathway reactivation, or activation of compensatory signaling networks [23,56]. For example, secondary mutations in EGFR or BCR-ABL can render tumors resistant to tyrosine kinase inhibitors, necessitating next-generation inhibitors or combination regimens [6,8,56].</w:t>
      </w:r>
    </w:p>
    <w:p w14:paraId="53F04D5A" w14:textId="77777777" w:rsidR="00EF161B"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Tumor heterogeneity further complicates targeted therapy by enabling the selection of resistant subclones under therapeutic pressure [24].</w:t>
      </w:r>
    </w:p>
    <w:p w14:paraId="44D46A35"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addition to secondary mutations, resistance to targeted therapy is frequently mediated by activation of parallel or downstream signaling pathways that bypass the inhibited target. For instance, activation of the PI3K/AKT/mTOR axis or upregulation of alternative receptor tyrosine kinases such as MET and HER3 can sustain tumor survival despite effective inhibition of the primary oncogenic driver [25,48,60]. Such adaptive rewiring of signaling networks underscores the dynamic nature of tumor cell plasticity under therapeutic pressure.</w:t>
      </w:r>
    </w:p>
    <w:p w14:paraId="23FB5E67"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Epigenetic alterations have also emerged as important contributors to resistance, influencing gene expression without changes in the underlying DNA sequence. Alterations in chromatin remodeling, DNA methylation, and histone modification can promote drug tolerance states, </w:t>
      </w:r>
      <w:r w:rsidRPr="00791B6B">
        <w:rPr>
          <w:rFonts w:ascii="Times New Roman" w:hAnsi="Times New Roman" w:cs="Times New Roman"/>
          <w:sz w:val="24"/>
          <w:szCs w:val="24"/>
        </w:rPr>
        <w:lastRenderedPageBreak/>
        <w:t xml:space="preserve">allowing cancer cells to reflectively evade targeted agents and re-establish tumor growth [24,52,56]. These reversible drug-tolerant </w:t>
      </w:r>
      <w:proofErr w:type="spellStart"/>
      <w:r w:rsidRPr="00791B6B">
        <w:rPr>
          <w:rFonts w:ascii="Times New Roman" w:hAnsi="Times New Roman" w:cs="Times New Roman"/>
          <w:sz w:val="24"/>
          <w:szCs w:val="24"/>
        </w:rPr>
        <w:t>persister</w:t>
      </w:r>
      <w:proofErr w:type="spellEnd"/>
      <w:r w:rsidRPr="00791B6B">
        <w:rPr>
          <w:rFonts w:ascii="Times New Roman" w:hAnsi="Times New Roman" w:cs="Times New Roman"/>
          <w:sz w:val="24"/>
          <w:szCs w:val="24"/>
        </w:rPr>
        <w:t xml:space="preserve"> cells represent a major obstacle to long-term disease control.</w:t>
      </w:r>
    </w:p>
    <w:p w14:paraId="7D616583"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tumor microenvironment further plays a pivotal role in mediating resistance to targeted therapy. Stromal cells, cancer-associated fibroblasts, and immune cells can secrete growth factors and cytokines that activate compensatory survival pathways in tumor cells, thereby reducing drug sensitivity [27,45,57]. Hypoxia within the tumor microenvironment has also been shown to alter drug penetration and promote selection of more aggressive, therapy-resistant phenotypes [38,53].</w:t>
      </w:r>
    </w:p>
    <w:p w14:paraId="55FDB246" w14:textId="77777777" w:rsidR="00D61A57" w:rsidRDefault="003653B5" w:rsidP="00F63A8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Clinical evidence increasingly supports the use of combination strategies to delay or overcome resistance to targeted therapy. Dual inhibition of oncogenic pathways, such as combined BRAF and MEK inhibition, has demonstrated improved durability of response and reduced emergence of resistance compared to monotherapy [9,10,46]. Similarly, integration of targeted agents with immunotherapy has shown promise in counteracting resistance by enhancing tumor immunogenicity and immune-mediated tumor clearance [23,26,59].</w:t>
      </w:r>
    </w:p>
    <w:p w14:paraId="675E4FF2" w14:textId="07C6095D" w:rsidR="00F63A85" w:rsidRPr="00F63A85" w:rsidRDefault="00D61A57" w:rsidP="00F63A85">
      <w:pPr>
        <w:spacing w:line="360" w:lineRule="auto"/>
        <w:jc w:val="both"/>
        <w:rPr>
          <w:rFonts w:ascii="Times New Roman" w:hAnsi="Times New Roman" w:cs="Times New Roman"/>
          <w:sz w:val="24"/>
          <w:szCs w:val="24"/>
        </w:rPr>
      </w:pPr>
      <w:r>
        <w:rPr>
          <w:rFonts w:ascii="Times New Roman" w:hAnsi="Times New Roman" w:cs="Times New Roman"/>
          <w:sz w:val="24"/>
          <w:szCs w:val="24"/>
        </w:rPr>
        <w:t>Accumulating data</w:t>
      </w:r>
      <w:r w:rsidR="00F63A85" w:rsidRPr="00F63A85">
        <w:rPr>
          <w:rFonts w:ascii="Times New Roman" w:hAnsi="Times New Roman" w:cs="Times New Roman"/>
          <w:sz w:val="24"/>
          <w:szCs w:val="24"/>
        </w:rPr>
        <w:t xml:space="preserve"> indicates that resistance to targeted therapy is not solely driven by fixed genetic alterations but is frequently mediated by epigenetic reprogramming, which enables cancer cells to reversibly adapt to therapeutic pressure without acquiring new mutations. Epigenetic modifications, including changes in DNA methylation, histone modifications, and chromatin remodeling, can alter transcriptional programs that promote survival in the presence of targeted agents [24,52,56]. These adaptive epigenetic states allow tumor cells to downregulate dependency on the inhibited oncogenic pathway and activate alternative survival mechanisms, thereby reducing drug sensitivity. Importantly, such epigenetic alterations are often reversible, contributing to transient drug tolerance rather than permanent resistance, and highlighting their role in early treatment failure [52,58].</w:t>
      </w:r>
    </w:p>
    <w:p w14:paraId="282DF120"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 xml:space="preserve">Lineage plasticity represents another critical mechanism of resistance, particularly in tumors exposed to prolonged targeted therapy. Under selective pressure, cancer cells may undergo phenotypic switching or transdifferentiation, adopting alternative lineage states that are less dependent on the original oncogenic driver [29,53,60]. This phenomenon has been well </w:t>
      </w:r>
      <w:r w:rsidRPr="00F63A85">
        <w:rPr>
          <w:rFonts w:ascii="Times New Roman" w:hAnsi="Times New Roman" w:cs="Times New Roman"/>
          <w:sz w:val="24"/>
          <w:szCs w:val="24"/>
        </w:rPr>
        <w:lastRenderedPageBreak/>
        <w:t>documented in multiple malignancies, where epithelial tumors transition toward mesenchymal or stem-like phenotypes, resulting in reduced susceptibility to kinase inhibitors [24,56]. Lineage plasticity is frequently driven by epigenetic regulators and transcriptional reprogramming rather than genomic mutations, allowing tumor cells to dynamically evade targeted therapy while maintaining proliferative capacity [58,59].</w:t>
      </w:r>
    </w:p>
    <w:p w14:paraId="058815EC" w14:textId="77777777" w:rsidR="00F63A85" w:rsidRPr="00F63A85"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 xml:space="preserve">Closely related to these adaptive processes is the emergence of drug-tolerant </w:t>
      </w:r>
      <w:proofErr w:type="spellStart"/>
      <w:r w:rsidRPr="00F63A85">
        <w:rPr>
          <w:rFonts w:ascii="Times New Roman" w:hAnsi="Times New Roman" w:cs="Times New Roman"/>
          <w:sz w:val="24"/>
          <w:szCs w:val="24"/>
        </w:rPr>
        <w:t>persister</w:t>
      </w:r>
      <w:proofErr w:type="spellEnd"/>
      <w:r w:rsidRPr="00F63A85">
        <w:rPr>
          <w:rFonts w:ascii="Times New Roman" w:hAnsi="Times New Roman" w:cs="Times New Roman"/>
          <w:sz w:val="24"/>
          <w:szCs w:val="24"/>
        </w:rPr>
        <w:t xml:space="preserve"> (DTP) cells, a small subpopulation of cancer cells that survive initial exposure to targeted agents by entering a slow-cycling or quiescent state [52,56]. DTP cells are characterized by profound epigenetic remodeling, altered metabolic programs, and enhanced stress response pathways, enabling temporary survival under drug pressure [24,68]. Although these cells do not exhibit classical resistance mutations, they provide a reservoir from which fully resistant clones can eventually arise following prolonged therapy or additional genetic alterations [52,60]. The persistence of these cells contributes to minimal residual disease and is a major barrier to durable responses with targeted monotherapy.</w:t>
      </w:r>
    </w:p>
    <w:p w14:paraId="45CF065D" w14:textId="50BDA22D" w:rsidR="00F63A85" w:rsidRPr="00791B6B" w:rsidRDefault="00F63A85" w:rsidP="00F63A85">
      <w:pPr>
        <w:spacing w:line="360" w:lineRule="auto"/>
        <w:jc w:val="both"/>
        <w:rPr>
          <w:rFonts w:ascii="Times New Roman" w:hAnsi="Times New Roman" w:cs="Times New Roman"/>
          <w:sz w:val="24"/>
          <w:szCs w:val="24"/>
        </w:rPr>
      </w:pPr>
      <w:r w:rsidRPr="00F63A85">
        <w:rPr>
          <w:rFonts w:ascii="Times New Roman" w:hAnsi="Times New Roman" w:cs="Times New Roman"/>
          <w:sz w:val="24"/>
          <w:szCs w:val="24"/>
        </w:rPr>
        <w:t xml:space="preserve">Increasing evidence suggests that epigenetic resistance, lineage plasticity, and drug-tolerant </w:t>
      </w:r>
      <w:proofErr w:type="spellStart"/>
      <w:r w:rsidRPr="00F63A85">
        <w:rPr>
          <w:rFonts w:ascii="Times New Roman" w:hAnsi="Times New Roman" w:cs="Times New Roman"/>
          <w:sz w:val="24"/>
          <w:szCs w:val="24"/>
        </w:rPr>
        <w:t>persister</w:t>
      </w:r>
      <w:proofErr w:type="spellEnd"/>
      <w:r w:rsidRPr="00F63A85">
        <w:rPr>
          <w:rFonts w:ascii="Times New Roman" w:hAnsi="Times New Roman" w:cs="Times New Roman"/>
          <w:sz w:val="24"/>
          <w:szCs w:val="24"/>
        </w:rPr>
        <w:t xml:space="preserve"> states are interconnected processes rather than independent mechanisms. Together, they reflect the intrinsic phenotypic plasticity of cancer cells and underscore the limitations of targeting single oncogenic pathways [56,59]. These findings have important therapeutic implications, supporting the development of combination strategies that integrate targeted therapy with epigenetic modulators or immunotherapy to eliminate adaptive cell states and delay or prevent resistance [23,52,60]. Understanding these non-genetic resistance mechanisms is therefore essential for improving the durability of targeted treatment responses and optimizing precision oncology approaches.</w:t>
      </w:r>
    </w:p>
    <w:p w14:paraId="02F4DBE9" w14:textId="051A1529"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Collectively, these findings highlight that resistance to targeted therapy is multifactorial, involving genetic</w:t>
      </w:r>
      <w:r w:rsidR="009861B3">
        <w:rPr>
          <w:rFonts w:ascii="Times New Roman" w:hAnsi="Times New Roman" w:cs="Times New Roman"/>
          <w:sz w:val="24"/>
          <w:szCs w:val="24"/>
        </w:rPr>
        <w:t xml:space="preserve"> alterations</w:t>
      </w:r>
      <w:r w:rsidRPr="00791B6B">
        <w:rPr>
          <w:rFonts w:ascii="Times New Roman" w:hAnsi="Times New Roman" w:cs="Times New Roman"/>
          <w:sz w:val="24"/>
          <w:szCs w:val="24"/>
        </w:rPr>
        <w:t>, epigenetic</w:t>
      </w:r>
      <w:r w:rsidR="009861B3">
        <w:rPr>
          <w:rFonts w:ascii="Times New Roman" w:hAnsi="Times New Roman" w:cs="Times New Roman"/>
          <w:sz w:val="24"/>
          <w:szCs w:val="24"/>
        </w:rPr>
        <w:t xml:space="preserve"> reprogramming</w:t>
      </w:r>
      <w:r w:rsidRPr="00791B6B">
        <w:rPr>
          <w:rFonts w:ascii="Times New Roman" w:hAnsi="Times New Roman" w:cs="Times New Roman"/>
          <w:sz w:val="24"/>
          <w:szCs w:val="24"/>
        </w:rPr>
        <w:t>,</w:t>
      </w:r>
      <w:r w:rsidR="005B7E54">
        <w:rPr>
          <w:rFonts w:ascii="Times New Roman" w:hAnsi="Times New Roman" w:cs="Times New Roman"/>
          <w:sz w:val="24"/>
          <w:szCs w:val="24"/>
        </w:rPr>
        <w:t xml:space="preserve"> lineage plasticity,</w:t>
      </w:r>
      <w:r w:rsidRPr="00791B6B">
        <w:rPr>
          <w:rFonts w:ascii="Times New Roman" w:hAnsi="Times New Roman" w:cs="Times New Roman"/>
          <w:sz w:val="24"/>
          <w:szCs w:val="24"/>
        </w:rPr>
        <w:t xml:space="preserve"> </w:t>
      </w:r>
      <w:r w:rsidR="005B7E54">
        <w:rPr>
          <w:rFonts w:ascii="Times New Roman" w:hAnsi="Times New Roman" w:cs="Times New Roman"/>
          <w:sz w:val="24"/>
          <w:szCs w:val="24"/>
        </w:rPr>
        <w:t xml:space="preserve">Drug- tolerant </w:t>
      </w:r>
      <w:proofErr w:type="spellStart"/>
      <w:r w:rsidR="005B7E54">
        <w:rPr>
          <w:rFonts w:ascii="Times New Roman" w:hAnsi="Times New Roman" w:cs="Times New Roman"/>
          <w:sz w:val="24"/>
          <w:szCs w:val="24"/>
        </w:rPr>
        <w:t>persister</w:t>
      </w:r>
      <w:proofErr w:type="spellEnd"/>
      <w:r w:rsidR="005B7E54">
        <w:rPr>
          <w:rFonts w:ascii="Times New Roman" w:hAnsi="Times New Roman" w:cs="Times New Roman"/>
          <w:sz w:val="24"/>
          <w:szCs w:val="24"/>
        </w:rPr>
        <w:t xml:space="preserve"> cells </w:t>
      </w:r>
      <w:r w:rsidRPr="00791B6B">
        <w:rPr>
          <w:rFonts w:ascii="Times New Roman" w:hAnsi="Times New Roman" w:cs="Times New Roman"/>
          <w:sz w:val="24"/>
          <w:szCs w:val="24"/>
        </w:rPr>
        <w:t xml:space="preserve">and microenvironmental mechanisms. </w:t>
      </w:r>
    </w:p>
    <w:p w14:paraId="06A53D89" w14:textId="77777777" w:rsidR="00EF76B3" w:rsidRPr="00791B6B" w:rsidRDefault="00EF76B3"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Resistance to Immunotherapy</w:t>
      </w:r>
    </w:p>
    <w:p w14:paraId="0C36539E"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Resistance to immunotherapy can be classified as primary, adaptive, or acquired. Primary resistance may arise from lack of tumor immunogenicity or impaired antigen presentation, while </w:t>
      </w:r>
      <w:r w:rsidRPr="00791B6B">
        <w:rPr>
          <w:rFonts w:ascii="Times New Roman" w:hAnsi="Times New Roman" w:cs="Times New Roman"/>
          <w:sz w:val="24"/>
          <w:szCs w:val="24"/>
        </w:rPr>
        <w:lastRenderedPageBreak/>
        <w:t>acquired resistance can result from mutations affecting interferon signaling or antigen processing pathways [29,30,52].</w:t>
      </w:r>
    </w:p>
    <w:p w14:paraId="1B328A44" w14:textId="77777777" w:rsidR="00EF76B3" w:rsidRPr="00791B6B" w:rsidRDefault="00EF76B3"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immunosuppressive tumor microenvironment also plays a key role in limiting immunotherapy efficacy. Overcoming resistance requires novel therapeutic targets, combination approaches, and improved biomarker-driven strategies [24,53].</w:t>
      </w:r>
    </w:p>
    <w:p w14:paraId="7CEF0DEC"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Emerging evidence indicates that tumor-intrinsic signaling alterations substantially contribute to immune escape. Loss-of-function mutations in components of the antigen presentation machinery, including β2-microglobulin and major histocompatibility complex (MHC) class I molecules, can prevent effective recognition of tumor cells by cytotoxic T lymphocytes, thereby conferring resistance to immune checkpoint inhibitors [30,31,52]. Additionally, defects in interferon-γ signaling pathways impair downstream immune activation and reduce sensitivity to T-cell-mediated cytotoxicity [29,56].</w:t>
      </w:r>
    </w:p>
    <w:p w14:paraId="79F60B05"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metabolic landscape of the tumor microenvironment further influences immunotherapy outcomes. Tumor-driven hypoxia, increased lactate production, and nutrient competition can suppress effector T-cell function while promoting the expansion of regulatory T cells and myeloid-derived suppressor cells [27,53,60]. These immunosuppressive conditions limit immune cell infiltration and reduce the durability of therapeutic responses, particularly in “cold” tumors characterized by low baseline immune activity [24,45].</w:t>
      </w:r>
    </w:p>
    <w:p w14:paraId="6F11BB6B"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Epigenetic reprogramming has also been implicated in resistance to immunotherapy. Alterations in chromatin remodeling and DNA methylation can silence genes involved in antigen processing and immune recognition, thereby diminishing tumor immunogenicity [58,59]. Such epigenetic changes may occur dynamically under therapeutic pressure, emphasizing the need for combinatorial strategies that incorporate epigenetic modulators alongside immunotherapeutic agents [52,53].</w:t>
      </w:r>
    </w:p>
    <w:p w14:paraId="164FFAC6" w14:textId="77777777" w:rsidR="003653B5" w:rsidRPr="00791B6B" w:rsidRDefault="003653B5" w:rsidP="003653B5">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To address these resistance mechanisms, current research focuses on rational combination approaches integrating immune checkpoint blockade with targeted therapies, cancer vaccines, oncolytic viruses, and adoptive cell-based therapies [23,46,54]. Biomarker-guided patient stratification using tumor mutational burden, microsatellite instability, and immune gene expression signatures has shown promise in optimizing treatment selection and improving </w:t>
      </w:r>
      <w:r w:rsidRPr="00791B6B">
        <w:rPr>
          <w:rFonts w:ascii="Times New Roman" w:hAnsi="Times New Roman" w:cs="Times New Roman"/>
          <w:sz w:val="24"/>
          <w:szCs w:val="24"/>
        </w:rPr>
        <w:lastRenderedPageBreak/>
        <w:t>clinical outcomes [32–35,57]. Collectively, overcoming resistance to immunotherapy will require a comprehensive understanding of tumor biology, immune dynamics, and therapeutic interactions to enable personalized and durable cancer treatment strategies [55,60].</w:t>
      </w:r>
    </w:p>
    <w:p w14:paraId="15543DFF" w14:textId="77777777" w:rsidR="00C169B1" w:rsidRPr="00791B6B"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CLINICAL IM</w:t>
      </w:r>
      <w:r w:rsidR="00FB0AE0" w:rsidRPr="00791B6B">
        <w:rPr>
          <w:rFonts w:ascii="Times New Roman" w:hAnsi="Times New Roman" w:cs="Times New Roman"/>
          <w:b/>
          <w:sz w:val="24"/>
          <w:szCs w:val="24"/>
        </w:rPr>
        <w:t>PLICATIONS AND COMBINATION STRATEGIES</w:t>
      </w:r>
      <w:r w:rsidRPr="00791B6B">
        <w:rPr>
          <w:rFonts w:ascii="Times New Roman" w:hAnsi="Times New Roman" w:cs="Times New Roman"/>
          <w:b/>
          <w:sz w:val="24"/>
          <w:szCs w:val="24"/>
        </w:rPr>
        <w:t>:</w:t>
      </w:r>
    </w:p>
    <w:p w14:paraId="5BDB1EBA"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Rationale for combining Targeted Therapy and Immunotherapy:</w:t>
      </w:r>
    </w:p>
    <w:p w14:paraId="00369D2A"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While targeted therapies and immunotherapeutic approaches have independently transformed cancer treatment, each modality has inherent limitations. Targeted therapies often produce rapid tumor regression but are frequently associated with acquired resistance, whereas immunotherapy can generate durable responses but benefits only a subset of patients [23,29]. These complementary strengths and weaknesses provide a strong biological rationale for combining both strategies to achieve improved and sustained antitumor effects.</w:t>
      </w:r>
    </w:p>
    <w:p w14:paraId="4A3814B2"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Targeted therapies can modulate tumor biology in ways that enhance immune recognition. Inhibition of oncogenic signaling pathways has been shown to increase tumor antigen expression, improve antigen presentation, and promote infiltration of immune effector cells into the tumor microenvironment [45,59]. Additionally, targeted agents can reduce immunosuppressive cytokine signaling and normalize tumor vasculature, thereby facilitating immune cell access to tumor sites [26].</w:t>
      </w:r>
    </w:p>
    <w:p w14:paraId="647ED298"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Conversely, immunotherapy may enhance the durability of responses to targeted agents by eliminating residual tumor cells and preventing clonal escape. This bidirectional interaction underscores the potential of combination regimens to overcome resistance mechanisms that limit the efficacy of monotherapy approaches [35].</w:t>
      </w:r>
    </w:p>
    <w:p w14:paraId="706208F4" w14:textId="77777777" w:rsidR="00FB0AE0" w:rsidRPr="00791B6B" w:rsidRDefault="00FB0AE0"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Clinical evidence supporting combination Approaches:</w:t>
      </w:r>
    </w:p>
    <w:p w14:paraId="7BFE5C84"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Clinical trials evaluating combinations of targeted therapy and immunotherapy have demonstrated encouraging results in several malignancies. In renal cell carcinoma, the combination of immune checkpoint inhibitors with anti-angiogenic agents has resulted in superior progression-free and overall survival compared with standard targeted therapy alone [26,46]. Similar benefits have been observed in hepatocellular carcinoma and non-small cell lung </w:t>
      </w:r>
      <w:r w:rsidRPr="00791B6B">
        <w:rPr>
          <w:rFonts w:ascii="Times New Roman" w:hAnsi="Times New Roman" w:cs="Times New Roman"/>
          <w:sz w:val="24"/>
          <w:szCs w:val="24"/>
        </w:rPr>
        <w:lastRenderedPageBreak/>
        <w:t>cancer, where anti-VEGF or kinase inhibitors combined with checkpoint blockade improved response rates and survival outcomes [38,42].</w:t>
      </w:r>
    </w:p>
    <w:p w14:paraId="68303919" w14:textId="77777777" w:rsidR="00FB0AE0" w:rsidRPr="00791B6B" w:rsidRDefault="00FB0AE0"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melanoma, combining BRAF and MEK inhibitors with immune checkpoint inhibitors has shown enhanced antitumor activity; however, early studies revealed increased toxicity, highlighting the importance of optimizing treatment sequencing and dosing strategies [10,43]. These findings emphasize that while combination therapy holds significant promise, careful clinical evaluation is essential to balance efficacy and safety.</w:t>
      </w:r>
    </w:p>
    <w:p w14:paraId="1D0B6BBF" w14:textId="77777777" w:rsidR="00FB0AE0" w:rsidRPr="00791B6B" w:rsidRDefault="008B503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Toxicity and safety considerations:</w:t>
      </w:r>
    </w:p>
    <w:p w14:paraId="5A3134EF"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Combination strategies frequently increase the risk of adverse events due to overlapping or synergistic toxicities. Targeted therapies are typically associated with predictable, mechanism-based side effects such as dermatologic reactions, hypertension, and metabolic disturbances, whereas immunotherapy can cause immune-related adverse events affecting multiple organ systems [39].</w:t>
      </w:r>
    </w:p>
    <w:p w14:paraId="2CC897A8"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Immune-related toxicities may involve the skin, gastrointestinal tract, liver, endocrine organs, and lungs, and can range from mild to life-threatening. Early recognition and prompt management using immunosuppressive therapies such as corticosteroids are critical for preventing severe complications [40]. As combination regimens become more prevalent, multidisciplinary collaboration and standardized toxicity management protocols are increasingly important in clinical practice.</w:t>
      </w:r>
    </w:p>
    <w:p w14:paraId="266ED1EA" w14:textId="77777777" w:rsidR="008B503D" w:rsidRPr="00791B6B" w:rsidRDefault="008B503D"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Implications for Personalized Care:</w:t>
      </w:r>
    </w:p>
    <w:p w14:paraId="0477B53C"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integration of targeted therapy and immunotherapy has accelerated the shift toward personalized oncology. Molecular profiling, immune phenotyping, and biomarker-driven patient selection are now central to treatment decision-making [54,55]. Personalized approaches allow clinicians to identify patients most likely to benefit from specific therapies while minimizing unnecessary toxicity.</w:t>
      </w:r>
    </w:p>
    <w:p w14:paraId="7F706D40" w14:textId="77777777" w:rsidR="008B503D" w:rsidRPr="00791B6B"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Advances in genomic sequencing, transcriptomic analysis, and computational modeling are expected to further refine treatment selection and optimize combination strategies. As understanding of tumor biology and immune regulation deepens, individualized therapeutic </w:t>
      </w:r>
      <w:r w:rsidRPr="00791B6B">
        <w:rPr>
          <w:rFonts w:ascii="Times New Roman" w:hAnsi="Times New Roman" w:cs="Times New Roman"/>
          <w:sz w:val="24"/>
          <w:szCs w:val="24"/>
        </w:rPr>
        <w:lastRenderedPageBreak/>
        <w:t>regimens tailored to each patient’s molecular and immunologic profile will become increasingly feasible [41].</w:t>
      </w:r>
    </w:p>
    <w:p w14:paraId="094CCFE7" w14:textId="77777777" w:rsidR="00C169B1"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CONCLUSION:</w:t>
      </w:r>
    </w:p>
    <w:p w14:paraId="575E580E" w14:textId="02CFB319" w:rsidR="000B0C59" w:rsidRPr="000B0C59" w:rsidRDefault="000B0C59" w:rsidP="004A5EC1">
      <w:pPr>
        <w:spacing w:line="360" w:lineRule="auto"/>
        <w:jc w:val="both"/>
        <w:rPr>
          <w:rFonts w:ascii="Times New Roman" w:hAnsi="Times New Roman" w:cs="Times New Roman"/>
          <w:sz w:val="24"/>
          <w:szCs w:val="24"/>
        </w:rPr>
      </w:pPr>
      <w:r w:rsidRPr="000B0C59">
        <w:rPr>
          <w:rFonts w:ascii="Times New Roman" w:hAnsi="Times New Roman" w:cs="Times New Roman"/>
          <w:sz w:val="24"/>
          <w:szCs w:val="24"/>
        </w:rPr>
        <w:t>Targeted therapy and immunotherapy have fundamentally transformed cancer management by enabling more precise, mechanism-based treatment strategies. Despite substantial clinical success, challenges such as therapeutic resistance, tumor heterogeneity, immune evasion, and treatment-related toxicities continue to limit long-term efficacy. Increasing evidence supports the rational integration of targeted agents with immunotherapeutic approaches to enhance antitumor responses and overcome resistance mechanisms. Advances in biomarker-driven patient selection and a deeper understanding of tumor–immune interactions are expected to further optimize treatment outcomes. Overall, the continued convergence of targeted therapy and immunotherapy represents a critical step toward more effective and personalized cancer care.</w:t>
      </w:r>
    </w:p>
    <w:p w14:paraId="3D99B0D2" w14:textId="77777777" w:rsidR="008B503D" w:rsidRDefault="008B503D" w:rsidP="004A5EC1">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In conclusion, the convergence of molecular oncology and tumor immunology has opened new avenues for cancer treatment. As evidence continues to evolve, targeted and immunotherapeutic approaches will remain central to advancing clinical outcomes and improving the quality of life for patients with cancer.</w:t>
      </w:r>
    </w:p>
    <w:p w14:paraId="1861706C" w14:textId="77777777" w:rsidR="00791B6B" w:rsidRDefault="00791B6B" w:rsidP="004A5EC1">
      <w:pPr>
        <w:spacing w:line="360" w:lineRule="auto"/>
        <w:jc w:val="both"/>
        <w:rPr>
          <w:rFonts w:ascii="Times New Roman" w:hAnsi="Times New Roman" w:cs="Times New Roman"/>
          <w:sz w:val="24"/>
          <w:szCs w:val="24"/>
        </w:rPr>
      </w:pPr>
    </w:p>
    <w:p w14:paraId="2038F54A" w14:textId="77777777" w:rsidR="00791B6B" w:rsidRPr="00791B6B" w:rsidRDefault="00791B6B" w:rsidP="00791B6B">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FUTURE DIRECTIONS</w:t>
      </w:r>
    </w:p>
    <w:p w14:paraId="4426D1A7" w14:textId="77777777" w:rsidR="00791B6B" w:rsidRPr="00791B6B" w:rsidRDefault="00791B6B" w:rsidP="00791B6B">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Emerging Trends and future perspectives:</w:t>
      </w:r>
    </w:p>
    <w:p w14:paraId="2045CF3C" w14:textId="77777777" w:rsid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The future of cancer therapy lies in continued integration of targeted and immunotherapeutic approaches with emerging technologies. Novel immune checkpoints, next-generation targeted inhibitors, and advanced cellular therapies are under active investigation and may expand the range of treatable malignancies [48,50].</w:t>
      </w:r>
    </w:p>
    <w:p w14:paraId="64FA3DEF" w14:textId="398BF2D3" w:rsidR="00463AB8" w:rsidRPr="00791B6B" w:rsidRDefault="00463AB8" w:rsidP="00791B6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Continued advancements including next-generation agents, biomarkers, and personalized vaccines are poised to further improve </w:t>
      </w:r>
      <w:proofErr w:type="gramStart"/>
      <w:r>
        <w:rPr>
          <w:rFonts w:ascii="Times New Roman" w:hAnsi="Times New Roman" w:cs="Times New Roman"/>
          <w:sz w:val="24"/>
          <w:szCs w:val="24"/>
        </w:rPr>
        <w:t>outcomes[</w:t>
      </w:r>
      <w:proofErr w:type="gramEnd"/>
      <w:r>
        <w:rPr>
          <w:rFonts w:ascii="Times New Roman" w:hAnsi="Times New Roman" w:cs="Times New Roman"/>
          <w:sz w:val="24"/>
          <w:szCs w:val="24"/>
        </w:rPr>
        <w:t>65,66,67].</w:t>
      </w:r>
    </w:p>
    <w:p w14:paraId="312BE2ED"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Beyond expanding the spectrum of treatable malignancies, precision oncology is increasingly centered on individualized treatment strategies driven by molecular profiling and immune </w:t>
      </w:r>
      <w:r w:rsidRPr="00791B6B">
        <w:rPr>
          <w:rFonts w:ascii="Times New Roman" w:hAnsi="Times New Roman" w:cs="Times New Roman"/>
          <w:sz w:val="24"/>
          <w:szCs w:val="24"/>
        </w:rPr>
        <w:lastRenderedPageBreak/>
        <w:t>characterization. Comprehensive genomic sequencing, transcriptomic analysis, and immune phenotyping are enabling more accurate stratification of patients, thereby facilitating tailored therapeutic interventions and improving clinical outcomes [41,42,54].</w:t>
      </w:r>
    </w:p>
    <w:p w14:paraId="7BAD656D" w14:textId="53090664"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Personalized cancer vaccines, developed using patient-specific neoantigens, have demonstrated the potential to induce robust and durable antitumor immune responses by enhancing immune specificity and minimizing off-target effects [49,55]. In parallel, adoptive cell therapies, including engineered T-cell receptor and </w:t>
      </w:r>
      <w:r w:rsidR="0097611F">
        <w:rPr>
          <w:rFonts w:ascii="Times New Roman" w:hAnsi="Times New Roman" w:cs="Times New Roman"/>
          <w:sz w:val="24"/>
          <w:szCs w:val="24"/>
        </w:rPr>
        <w:t>chimeric antigen receptor (CAR)</w:t>
      </w:r>
      <w:r w:rsidRPr="00791B6B">
        <w:rPr>
          <w:rFonts w:ascii="Times New Roman" w:hAnsi="Times New Roman" w:cs="Times New Roman"/>
          <w:sz w:val="24"/>
          <w:szCs w:val="24"/>
        </w:rPr>
        <w:t>based approaches, are being refined to improve efficacy, persistence, and safety across both hematologic and solid malignancies [46,57].</w:t>
      </w:r>
    </w:p>
    <w:p w14:paraId="461903CE"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Additionally, growing evidence highlights the role of the tumor microenvironment, host microbiome, and metabolic reprogramming in modulating therapeutic response. Targeting these factors may further enhance the effectiveness of immunotherapy and targeted agents while mitigating resistance mechanisms [45,52]. Advances in artificial intelligence and machine learning are also being increasingly applied to integrate multidimensional datasets, enabling the identification of predictive biomarkers, optimization of treatment sequencing, and real-time adaptation of therapeutic strategies [44,58].</w:t>
      </w:r>
    </w:p>
    <w:p w14:paraId="48B3BD64"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Collectively, these emerging approaches underscore a paradigm shift toward fully personalized cancer care. Continued translational research, biomarker-driven clinical trials, and interdisciplinary collaboration will be essential to translate these innovations into routine clinical practice and extend the benefits of targeted therapy and immunotherapy to a broader patient population [50,59,60].</w:t>
      </w:r>
    </w:p>
    <w:p w14:paraId="32759113"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Personalized cancer vaccines, designed using patient-specific neoantigens, represent a promising strategy to enhance immune specificity and efficacy [49]. Additionally, modulation of the tumor microbiome and metabolic pathways has emerged as a potential means of improving immunotherapy response [52]. Advances in artificial intelligence and machine learning are also being leveraged to identify predictive biomarkers and optimize treatment sequencing [44].</w:t>
      </w:r>
    </w:p>
    <w:p w14:paraId="634B6762" w14:textId="77777777" w:rsidR="00791B6B" w:rsidRPr="00791B6B" w:rsidRDefault="00791B6B" w:rsidP="00791B6B">
      <w:p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Ongoing research efforts aim to overcome resistance, reduce toxicity, and extend the benefits of immunotherapy and targeted therapy to a broader patient population. Rational trial design and </w:t>
      </w:r>
      <w:r w:rsidRPr="00791B6B">
        <w:rPr>
          <w:rFonts w:ascii="Times New Roman" w:hAnsi="Times New Roman" w:cs="Times New Roman"/>
          <w:sz w:val="24"/>
          <w:szCs w:val="24"/>
        </w:rPr>
        <w:lastRenderedPageBreak/>
        <w:t>real-world evidence will play a crucial role in translating these innovations into routine clinical practice.</w:t>
      </w:r>
    </w:p>
    <w:p w14:paraId="11C702F7" w14:textId="77777777" w:rsidR="00791B6B" w:rsidRPr="00791B6B" w:rsidRDefault="00791B6B" w:rsidP="00791B6B">
      <w:pPr>
        <w:rPr>
          <w:rFonts w:ascii="Arial" w:eastAsia="Times New Roman" w:hAnsi="Arial" w:cs="Arial"/>
          <w:b/>
          <w:bCs/>
          <w:lang w:val="en-GB" w:eastAsia="en-GB"/>
        </w:rPr>
      </w:pPr>
      <w:r w:rsidRPr="00791B6B">
        <w:rPr>
          <w:rFonts w:ascii="Arial" w:eastAsia="Times New Roman" w:hAnsi="Arial" w:cs="Arial"/>
          <w:b/>
          <w:bCs/>
          <w:lang w:val="en-GB" w:eastAsia="en-GB"/>
        </w:rPr>
        <w:t>COMPETING INTERESTS DISCLAIMER:</w:t>
      </w:r>
    </w:p>
    <w:p w14:paraId="1AC966A5" w14:textId="77777777" w:rsidR="00791B6B" w:rsidRPr="00791B6B" w:rsidRDefault="00791B6B" w:rsidP="00791B6B">
      <w:pPr>
        <w:rPr>
          <w:rFonts w:ascii="Calibri" w:eastAsia="Times New Roman" w:hAnsi="Calibri" w:cs="Times New Roman"/>
          <w:lang w:val="en-GB" w:eastAsia="en-GB"/>
        </w:rPr>
      </w:pPr>
      <w:r w:rsidRPr="00791B6B">
        <w:rPr>
          <w:rFonts w:ascii="Arial" w:eastAsia="Times New Roman" w:hAnsi="Arial" w:cs="Arial"/>
          <w:lang w:val="en-GB" w:eastAsia="en-GB"/>
        </w:rPr>
        <w:t>Authors have declared that they have no known competing financial interests OR non-financial interests OR personal relationships that could have appeared to influence the work reported in this paper.</w:t>
      </w:r>
    </w:p>
    <w:p w14:paraId="3BC09843" w14:textId="77777777" w:rsidR="008707BA" w:rsidRPr="006D64AE" w:rsidRDefault="008707BA" w:rsidP="008707BA">
      <w:pPr>
        <w:keepNext/>
        <w:keepLines/>
        <w:spacing w:before="120" w:after="120" w:line="360" w:lineRule="auto"/>
        <w:jc w:val="both"/>
        <w:outlineLvl w:val="1"/>
        <w:rPr>
          <w:rFonts w:ascii="Times New Roman" w:eastAsia="Times New Roman" w:hAnsi="Times New Roman" w:cs="Times New Roman"/>
          <w:bCs/>
          <w:sz w:val="24"/>
          <w:szCs w:val="24"/>
          <w:highlight w:val="yellow"/>
          <w:lang w:eastAsia="en-IN"/>
        </w:rPr>
      </w:pPr>
      <w:bookmarkStart w:id="1" w:name="_Hlk218867759"/>
      <w:r w:rsidRPr="006D64AE">
        <w:rPr>
          <w:rFonts w:ascii="Times New Roman" w:eastAsia="Times New Roman" w:hAnsi="Times New Roman" w:cs="Times New Roman"/>
          <w:bCs/>
          <w:sz w:val="24"/>
          <w:szCs w:val="24"/>
          <w:highlight w:val="yellow"/>
          <w:lang w:eastAsia="en-IN"/>
        </w:rPr>
        <w:t>Disclaimer (Artificial intelligence)</w:t>
      </w:r>
    </w:p>
    <w:p w14:paraId="669E22C5" w14:textId="77777777" w:rsidR="008707BA" w:rsidRPr="006D64AE" w:rsidRDefault="008707BA" w:rsidP="008707BA">
      <w:pPr>
        <w:keepNext/>
        <w:keepLines/>
        <w:spacing w:before="120" w:after="120" w:line="360" w:lineRule="auto"/>
        <w:jc w:val="both"/>
        <w:outlineLvl w:val="1"/>
        <w:rPr>
          <w:rFonts w:ascii="Times New Roman" w:eastAsia="Times New Roman" w:hAnsi="Times New Roman" w:cs="Times New Roman"/>
          <w:bCs/>
          <w:sz w:val="24"/>
          <w:szCs w:val="24"/>
          <w:lang w:eastAsia="en-IN"/>
        </w:rPr>
      </w:pPr>
      <w:r w:rsidRPr="006D64AE">
        <w:rPr>
          <w:rFonts w:ascii="Times New Roman" w:eastAsia="Times New Roman" w:hAnsi="Times New Roman" w:cs="Times New Roman"/>
          <w:bCs/>
          <w:sz w:val="24"/>
          <w:szCs w:val="24"/>
          <w:highlight w:val="yellow"/>
          <w:lang w:eastAsia="en-IN"/>
        </w:rPr>
        <w:t>Author(s) hereby declare that NO generative AI technologies such as Large Language Models (</w:t>
      </w:r>
      <w:proofErr w:type="spellStart"/>
      <w:r w:rsidRPr="006D64AE">
        <w:rPr>
          <w:rFonts w:ascii="Times New Roman" w:eastAsia="Times New Roman" w:hAnsi="Times New Roman" w:cs="Times New Roman"/>
          <w:bCs/>
          <w:sz w:val="24"/>
          <w:szCs w:val="24"/>
          <w:highlight w:val="yellow"/>
          <w:lang w:eastAsia="en-IN"/>
        </w:rPr>
        <w:t>ChatGPT</w:t>
      </w:r>
      <w:proofErr w:type="spellEnd"/>
      <w:r w:rsidRPr="006D64AE">
        <w:rPr>
          <w:rFonts w:ascii="Times New Roman" w:eastAsia="Times New Roman" w:hAnsi="Times New Roman" w:cs="Times New Roman"/>
          <w:bCs/>
          <w:sz w:val="24"/>
          <w:szCs w:val="24"/>
          <w:highlight w:val="yellow"/>
          <w:lang w:eastAsia="en-IN"/>
        </w:rPr>
        <w:t>, COPILOT, etc.) and text-to-image generators have been used during the writing or editing of this manuscript.</w:t>
      </w:r>
      <w:r w:rsidRPr="006D64AE">
        <w:rPr>
          <w:rFonts w:ascii="Times New Roman" w:eastAsia="Times New Roman" w:hAnsi="Times New Roman" w:cs="Times New Roman"/>
          <w:bCs/>
          <w:sz w:val="24"/>
          <w:szCs w:val="24"/>
          <w:lang w:eastAsia="en-IN"/>
        </w:rPr>
        <w:t xml:space="preserve"> </w:t>
      </w:r>
    </w:p>
    <w:bookmarkEnd w:id="1"/>
    <w:p w14:paraId="6320D940" w14:textId="77777777" w:rsidR="00791B6B" w:rsidRPr="00791B6B" w:rsidRDefault="00791B6B" w:rsidP="004A5EC1">
      <w:pPr>
        <w:spacing w:line="360" w:lineRule="auto"/>
        <w:jc w:val="both"/>
        <w:rPr>
          <w:rFonts w:ascii="Times New Roman" w:hAnsi="Times New Roman" w:cs="Times New Roman"/>
          <w:sz w:val="24"/>
          <w:szCs w:val="24"/>
        </w:rPr>
      </w:pPr>
    </w:p>
    <w:p w14:paraId="4C213564" w14:textId="77777777" w:rsidR="00C169B1" w:rsidRPr="00791B6B" w:rsidRDefault="00C169B1" w:rsidP="004A5EC1">
      <w:pPr>
        <w:spacing w:line="360" w:lineRule="auto"/>
        <w:jc w:val="both"/>
        <w:rPr>
          <w:rFonts w:ascii="Times New Roman" w:hAnsi="Times New Roman" w:cs="Times New Roman"/>
          <w:b/>
          <w:sz w:val="24"/>
          <w:szCs w:val="24"/>
        </w:rPr>
      </w:pPr>
      <w:r w:rsidRPr="00791B6B">
        <w:rPr>
          <w:rFonts w:ascii="Times New Roman" w:hAnsi="Times New Roman" w:cs="Times New Roman"/>
          <w:b/>
          <w:sz w:val="24"/>
          <w:szCs w:val="24"/>
        </w:rPr>
        <w:t>REFERENCES:</w:t>
      </w:r>
    </w:p>
    <w:p w14:paraId="310A13A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Hanahan D, Weinberg RA. Hallmarks of cancer: the next generation. Cell. 2011;144(5):646–674.</w:t>
      </w:r>
    </w:p>
    <w:p w14:paraId="6AA0845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Mellman I, Coukos G, Dranoff G. Cancer immunotherapy comes of age. Nature. 2011;480(7378):480–489.</w:t>
      </w:r>
    </w:p>
    <w:p w14:paraId="2B030BC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Pardoll</w:t>
      </w:r>
      <w:proofErr w:type="spellEnd"/>
      <w:r w:rsidRPr="00791B6B">
        <w:rPr>
          <w:rFonts w:ascii="Times New Roman" w:hAnsi="Times New Roman" w:cs="Times New Roman"/>
          <w:sz w:val="24"/>
          <w:szCs w:val="24"/>
        </w:rPr>
        <w:t xml:space="preserve"> DM. The blockade of immune checkpoints in cancer immunotherapy. Nat Rev Cancer. 2012;12(4):252–264.</w:t>
      </w:r>
    </w:p>
    <w:p w14:paraId="2EE78DE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Chen DS, Mellman I. Oncology meets immunology: the cancer-immunity cycle. Immunity. 2013;39(1):1–10.</w:t>
      </w:r>
    </w:p>
    <w:p w14:paraId="043BFB7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Sharma P, Allison JP. The future of immune checkpoint therapy. Science. 2015;348(6230):56–61.</w:t>
      </w:r>
    </w:p>
    <w:p w14:paraId="0C2AB33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Druker BJ, et al. Efficacy and safety of a specific inhibitor of the BCR-ABL tyrosine kinase in chronic myeloid leukemia. N Engl J Med. 2001;344(14):1031–1037.</w:t>
      </w:r>
    </w:p>
    <w:p w14:paraId="5D29F4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Slamon DJ, et al. Use of chemotherapy plus a monoclonal antibody against HER2 for metastatic breast cancer. N Engl J Med. 2001;344(11):783–792.</w:t>
      </w:r>
    </w:p>
    <w:p w14:paraId="2D89998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Lynch TJ, et al. Activating mutations in the epidermal growth factor receptor underlying responsiveness to gefitinib. N Engl J Med. 2004;350(21):2129–2139.</w:t>
      </w:r>
    </w:p>
    <w:p w14:paraId="12D46DF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Chapman PB, et al. Improved survival with vemurafenib in melanoma with BRAF V600E mutation. N Engl J Med. 2011;364(26):2507–2516.</w:t>
      </w:r>
    </w:p>
    <w:p w14:paraId="7A8BA253"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Flaherty KT, et al. Combined BRAF and MEK inhibition in </w:t>
      </w:r>
      <w:r w:rsidR="00AF0ECE" w:rsidRPr="00791B6B">
        <w:rPr>
          <w:rFonts w:ascii="Times New Roman" w:hAnsi="Times New Roman" w:cs="Times New Roman"/>
          <w:sz w:val="24"/>
          <w:szCs w:val="24"/>
        </w:rPr>
        <w:t xml:space="preserve">      </w:t>
      </w:r>
      <w:r w:rsidRPr="00791B6B">
        <w:rPr>
          <w:rFonts w:ascii="Times New Roman" w:hAnsi="Times New Roman" w:cs="Times New Roman"/>
          <w:sz w:val="24"/>
          <w:szCs w:val="24"/>
        </w:rPr>
        <w:t>melanoma. N Engl J Med. 2012;367(18):1694–1703.</w:t>
      </w:r>
    </w:p>
    <w:p w14:paraId="59DF45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Shaw AT, et al. Crizotinib versus chemotherapy in advanced ALK-positive lung cancer. N Engl J Med. 2013;368(25):2385–2394.</w:t>
      </w:r>
    </w:p>
    <w:p w14:paraId="656DFFC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Finn RS, et al. Palbociclib and letrozole in advanced breast cancer. N Engl J Med. 2016;375(20):1925–1936.</w:t>
      </w:r>
    </w:p>
    <w:p w14:paraId="47FB529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Hodi FS, et al. Improved survival with ipilimumab in patients with metastatic melanoma. N Engl J Med. 2010;363(8):711–723.</w:t>
      </w:r>
    </w:p>
    <w:p w14:paraId="0F9CFD2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Topalian SL, et al. Safety, activity, and immune correlates of anti-PD-1 antibody in cancer. N Engl J Med. 2012;366(26):2443–2454.</w:t>
      </w:r>
    </w:p>
    <w:p w14:paraId="14A933F0"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Brahmer JR, et al. Nivolumab versus docetaxel in advanced squamous-cell lung cancer. N Engl J Med. 2015;373(2):123–135.</w:t>
      </w:r>
    </w:p>
    <w:p w14:paraId="3A3A4572"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Herbst RS, et al. Pembrolizumab versus docetaxel for previously treated NSCLC. N Engl J Med. 2016;375(19):1823–1833.</w:t>
      </w:r>
    </w:p>
    <w:p w14:paraId="6886F64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Motzer RJ, et al. Nivolumab versus everolimus in advanced renal-cell carcinoma. N Engl J Med. 2015;373(19):1803–1813.</w:t>
      </w:r>
    </w:p>
    <w:p w14:paraId="1CA3407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Larkin J, et al. Combined nivolumab and ipilimumab or monotherapy in melanoma. N Engl J Med. 2015;373(1):23–34.</w:t>
      </w:r>
    </w:p>
    <w:p w14:paraId="3DEDB974"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June CH, et al. CAR T cell immunotherapy for human cancer. Science. 2018;359(6382):1361–1365.</w:t>
      </w:r>
    </w:p>
    <w:p w14:paraId="63F059E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Maude SL, et al. </w:t>
      </w:r>
      <w:proofErr w:type="spellStart"/>
      <w:r w:rsidRPr="00791B6B">
        <w:rPr>
          <w:rFonts w:ascii="Times New Roman" w:hAnsi="Times New Roman" w:cs="Times New Roman"/>
          <w:sz w:val="24"/>
          <w:szCs w:val="24"/>
        </w:rPr>
        <w:t>Tisagenlecleucel</w:t>
      </w:r>
      <w:proofErr w:type="spellEnd"/>
      <w:r w:rsidRPr="00791B6B">
        <w:rPr>
          <w:rFonts w:ascii="Times New Roman" w:hAnsi="Times New Roman" w:cs="Times New Roman"/>
          <w:sz w:val="24"/>
          <w:szCs w:val="24"/>
        </w:rPr>
        <w:t xml:space="preserve"> in children and young adults with B-cell ALL. N Engl J Med. 2018;378(5):439–448.</w:t>
      </w:r>
    </w:p>
    <w:p w14:paraId="16B5C6B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Neelapu</w:t>
      </w:r>
      <w:proofErr w:type="spellEnd"/>
      <w:r w:rsidRPr="00791B6B">
        <w:rPr>
          <w:rFonts w:ascii="Times New Roman" w:hAnsi="Times New Roman" w:cs="Times New Roman"/>
          <w:sz w:val="24"/>
          <w:szCs w:val="24"/>
        </w:rPr>
        <w:t xml:space="preserve"> SS, et al. </w:t>
      </w:r>
      <w:proofErr w:type="spellStart"/>
      <w:r w:rsidRPr="00791B6B">
        <w:rPr>
          <w:rFonts w:ascii="Times New Roman" w:hAnsi="Times New Roman" w:cs="Times New Roman"/>
          <w:sz w:val="24"/>
          <w:szCs w:val="24"/>
        </w:rPr>
        <w:t>Axicabtagene</w:t>
      </w:r>
      <w:proofErr w:type="spellEnd"/>
      <w:r w:rsidRPr="00791B6B">
        <w:rPr>
          <w:rFonts w:ascii="Times New Roman" w:hAnsi="Times New Roman" w:cs="Times New Roman"/>
          <w:sz w:val="24"/>
          <w:szCs w:val="24"/>
        </w:rPr>
        <w:t xml:space="preserve"> </w:t>
      </w:r>
      <w:proofErr w:type="spellStart"/>
      <w:r w:rsidRPr="00791B6B">
        <w:rPr>
          <w:rFonts w:ascii="Times New Roman" w:hAnsi="Times New Roman" w:cs="Times New Roman"/>
          <w:sz w:val="24"/>
          <w:szCs w:val="24"/>
        </w:rPr>
        <w:t>ciloleucel</w:t>
      </w:r>
      <w:proofErr w:type="spellEnd"/>
      <w:r w:rsidRPr="00791B6B">
        <w:rPr>
          <w:rFonts w:ascii="Times New Roman" w:hAnsi="Times New Roman" w:cs="Times New Roman"/>
          <w:sz w:val="24"/>
          <w:szCs w:val="24"/>
        </w:rPr>
        <w:t xml:space="preserve"> CAR T-cell therapy in refractory lymphoma. N Engl J Med. 2017;377(26):2531–2544.</w:t>
      </w:r>
    </w:p>
    <w:p w14:paraId="56942A9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Rosenberg SA, et al. Adoptive cell transfer: a clinical path to effective cancer immunotherapy. Nat Rev Cancer. 2008;8(4):299–308.</w:t>
      </w:r>
    </w:p>
    <w:p w14:paraId="0D340A0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Gotwals P, et al. Prospects for combining targeted and conventional cancer therapy with immunotherapy. Nat Rev Cancer. 2017;17(5):286–301.</w:t>
      </w:r>
    </w:p>
    <w:p w14:paraId="20726AF8"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O’Donnell JS, et al. Resistance to cancer immunotherapy. Nat Rev Clin Oncol. 2019;16(3):151–167.</w:t>
      </w:r>
    </w:p>
    <w:p w14:paraId="607E623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Ribas A, et al. Oncogene-targeted therapy and immune checkpoint blockade. Clin Cancer Res. 2014;20(17):4253–4261.</w:t>
      </w:r>
    </w:p>
    <w:p w14:paraId="6B89D12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McDermott DF, et al. Atezolizumab plus bevacizumab vs sunitinib in RCC. Lancet. 2018;391(10124):1053–1064.</w:t>
      </w:r>
    </w:p>
    <w:p w14:paraId="212ADAA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Gajewski TF, et al. Immune resistance in the tumor microenvironment. Nat Immunol. 2013;14(10):1014–1022.</w:t>
      </w:r>
    </w:p>
    <w:p w14:paraId="0414208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Spranger S, et al. Tumor-intrinsic β-catenin signaling prevents anti-tumor immunity. Nature. 2015;523(7559):231–235.</w:t>
      </w:r>
    </w:p>
    <w:p w14:paraId="133184D0"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Sharma P, et al. Primary, adaptive, and acquired resistance to cancer immunotherapy. Cell. 2017;168(4):707–723.</w:t>
      </w:r>
    </w:p>
    <w:p w14:paraId="6DC0CCE4"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Zaretsky JM, et al. Mutations associated with resistance to PD-1 blockade. N Engl J Med. 2016;375(9):819–829.</w:t>
      </w:r>
    </w:p>
    <w:p w14:paraId="188142E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Rizvi NA, et al. Mutational landscape determines sensitivity to PD-1 blockade. Science. 2015;348(6230):124–128.</w:t>
      </w:r>
    </w:p>
    <w:p w14:paraId="31F0B6B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Goodman AM, et al. Tumor mutational burden as an independent predictor. Mol Cancer Ther. 2017;16(11):2598–2608.</w:t>
      </w:r>
    </w:p>
    <w:p w14:paraId="7A9D7A2A"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Le DT, et al. Mismatch repair deficiency predicts response to PD-1 blockade. Science. 2017;357(6349):409–413.</w:t>
      </w:r>
    </w:p>
    <w:p w14:paraId="0664A39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Hegde PS, et al. Predictive biomarkers for immune checkpoint inhibitors. Nat Rev Clin Oncol. 2016;13(6):337–350.</w:t>
      </w:r>
    </w:p>
    <w:p w14:paraId="5DE53F02"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Emens LA, et al. Immunotherapy in breast cancer. Nat Rev Clin Oncol. 2017;14(5):273–290.</w:t>
      </w:r>
    </w:p>
    <w:p w14:paraId="3EAF176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Fuchs CS, et al. Pembrolizumab monotherapy in gastric cancer. Lancet. 2018;391(10125):1817–1828.</w:t>
      </w:r>
    </w:p>
    <w:p w14:paraId="5E22996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Overman MJ, et al. Nivolumab in MSI-H metastatic colorectal cancer. Lancet Oncol. 2017;18(9):1182–1191.</w:t>
      </w:r>
    </w:p>
    <w:p w14:paraId="7064A27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Finn RS, et al. Atezolizumab plus bevacizumab in hepatocellular carcinoma. N Engl J Med. 2020;382(20):1894–1905.</w:t>
      </w:r>
    </w:p>
    <w:p w14:paraId="5FBAA8F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Postow</w:t>
      </w:r>
      <w:proofErr w:type="spellEnd"/>
      <w:r w:rsidRPr="00791B6B">
        <w:rPr>
          <w:rFonts w:ascii="Times New Roman" w:hAnsi="Times New Roman" w:cs="Times New Roman"/>
          <w:sz w:val="24"/>
          <w:szCs w:val="24"/>
        </w:rPr>
        <w:t xml:space="preserve"> MA, et al. Immune-related adverse events. N Engl J Med. 2018;378(2):158–168.</w:t>
      </w:r>
    </w:p>
    <w:p w14:paraId="16F0186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Weber JS, et al. Management of immune-related toxicities. J Clin Oncol. 2015;33(36):4046–4056.</w:t>
      </w:r>
    </w:p>
    <w:p w14:paraId="13E585CF"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Wolchok</w:t>
      </w:r>
      <w:proofErr w:type="spellEnd"/>
      <w:r w:rsidRPr="00791B6B">
        <w:rPr>
          <w:rFonts w:ascii="Times New Roman" w:hAnsi="Times New Roman" w:cs="Times New Roman"/>
          <w:sz w:val="24"/>
          <w:szCs w:val="24"/>
        </w:rPr>
        <w:t xml:space="preserve"> JD, et al. Emerging concepts in cancer immunotherapy. Cell. 2021;184(1):15–31.</w:t>
      </w:r>
    </w:p>
    <w:p w14:paraId="674B0DD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Llovet JM, et al. Targeted therapies and immunotherapy in HCC. Nat Rev Gastroenterol Hepatol. 2021;18(5):299–312.</w:t>
      </w:r>
    </w:p>
    <w:p w14:paraId="455FFC4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Smyth MJ, et al. Combination cancer immunotherapies. Nat Rev Clin Oncol. 2016;13(3):143–158.</w:t>
      </w:r>
    </w:p>
    <w:p w14:paraId="0E5E089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Ribas</w:t>
      </w:r>
      <w:proofErr w:type="spellEnd"/>
      <w:r w:rsidRPr="00791B6B">
        <w:rPr>
          <w:rFonts w:ascii="Times New Roman" w:hAnsi="Times New Roman" w:cs="Times New Roman"/>
          <w:sz w:val="24"/>
          <w:szCs w:val="24"/>
        </w:rPr>
        <w:t xml:space="preserve"> A, </w:t>
      </w:r>
      <w:proofErr w:type="spellStart"/>
      <w:r w:rsidRPr="00791B6B">
        <w:rPr>
          <w:rFonts w:ascii="Times New Roman" w:hAnsi="Times New Roman" w:cs="Times New Roman"/>
          <w:sz w:val="24"/>
          <w:szCs w:val="24"/>
        </w:rPr>
        <w:t>Wolchok</w:t>
      </w:r>
      <w:proofErr w:type="spellEnd"/>
      <w:r w:rsidRPr="00791B6B">
        <w:rPr>
          <w:rFonts w:ascii="Times New Roman" w:hAnsi="Times New Roman" w:cs="Times New Roman"/>
          <w:sz w:val="24"/>
          <w:szCs w:val="24"/>
        </w:rPr>
        <w:t xml:space="preserve"> JD. Cancer immunotherapy using checkpoint blockade. Science. 2018;359(6382):1350–1355.</w:t>
      </w:r>
    </w:p>
    <w:p w14:paraId="487C1F55"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Galluzzi L, et al. Immunological effects of conventional and targeted anticancer therapies. Nat Rev Immunol. 2018;18(9):545–561.</w:t>
      </w:r>
    </w:p>
    <w:p w14:paraId="5CCAEC9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Hellmann MD, et al. Nivolumab plus ipilimumab in lung cancer. N Engl J Med. 2019;381(21):2020–2031.</w:t>
      </w:r>
    </w:p>
    <w:p w14:paraId="6FE398EC"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Schreiber RD, et al. Cancer immunoediting: integrating immunity’s roles. Science. 2011;331(6024):1565–1570.</w:t>
      </w:r>
    </w:p>
    <w:p w14:paraId="096E92C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Sanmamed</w:t>
      </w:r>
      <w:proofErr w:type="spellEnd"/>
      <w:r w:rsidRPr="00791B6B">
        <w:rPr>
          <w:rFonts w:ascii="Times New Roman" w:hAnsi="Times New Roman" w:cs="Times New Roman"/>
          <w:sz w:val="24"/>
          <w:szCs w:val="24"/>
        </w:rPr>
        <w:t xml:space="preserve"> MF, Chen L. A paradigm shift in cancer immunotherapy. Cell. 2018;175(2):313–326.</w:t>
      </w:r>
    </w:p>
    <w:p w14:paraId="72022F5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van der Burg SH, et al. Therapeutic vaccines in cancer. Nat Rev Cancer. 2016;16(4):219–232.</w:t>
      </w:r>
    </w:p>
    <w:p w14:paraId="58DFF6C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Tang J, et al. The clinical landscape of immunotherapy combinations. Nat Rev Drug </w:t>
      </w:r>
      <w:proofErr w:type="spellStart"/>
      <w:r w:rsidRPr="00791B6B">
        <w:rPr>
          <w:rFonts w:ascii="Times New Roman" w:hAnsi="Times New Roman" w:cs="Times New Roman"/>
          <w:sz w:val="24"/>
          <w:szCs w:val="24"/>
        </w:rPr>
        <w:t>Discov</w:t>
      </w:r>
      <w:proofErr w:type="spellEnd"/>
      <w:r w:rsidRPr="00791B6B">
        <w:rPr>
          <w:rFonts w:ascii="Times New Roman" w:hAnsi="Times New Roman" w:cs="Times New Roman"/>
          <w:sz w:val="24"/>
          <w:szCs w:val="24"/>
        </w:rPr>
        <w:t>. 2021;20(9):663–684.</w:t>
      </w:r>
    </w:p>
    <w:p w14:paraId="230AEAAA"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Kalos M, et al. CAR-T cell therapy challenges. Nat Rev Clin Oncol. 2019;16(11):695–712.</w:t>
      </w:r>
    </w:p>
    <w:p w14:paraId="74D94256"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Jhunjhunwala S, et al. Cancer immunotherapy resistance. Nat Rev Cancer. 2021;21(10):713–729.</w:t>
      </w:r>
    </w:p>
    <w:p w14:paraId="4DD2E17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Luke JJ, et al. Biology of immunotherapy resistance. Nat Rev Clin Oncol. 2017;14(11):683–700.</w:t>
      </w:r>
    </w:p>
    <w:p w14:paraId="2E21692E"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Bagchi S, et al. Biomarkers in immuno-oncology. Trends Mol Med. 2021;27(11):1036–1048.</w:t>
      </w:r>
    </w:p>
    <w:p w14:paraId="52CCCB59"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Klempner SJ, et al. Tumor mutational burden as a biomarker. Cancer Treat Rev. </w:t>
      </w:r>
      <w:proofErr w:type="gramStart"/>
      <w:r w:rsidRPr="00791B6B">
        <w:rPr>
          <w:rFonts w:ascii="Times New Roman" w:hAnsi="Times New Roman" w:cs="Times New Roman"/>
          <w:sz w:val="24"/>
          <w:szCs w:val="24"/>
        </w:rPr>
        <w:t>2020;84:101966</w:t>
      </w:r>
      <w:proofErr w:type="gramEnd"/>
      <w:r w:rsidRPr="00791B6B">
        <w:rPr>
          <w:rFonts w:ascii="Times New Roman" w:hAnsi="Times New Roman" w:cs="Times New Roman"/>
          <w:sz w:val="24"/>
          <w:szCs w:val="24"/>
        </w:rPr>
        <w:t>.</w:t>
      </w:r>
    </w:p>
    <w:p w14:paraId="15A1F3AB"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Liu J, et al. Mechanisms of resistance to targeted therapy. Signal </w:t>
      </w:r>
      <w:proofErr w:type="spellStart"/>
      <w:r w:rsidRPr="00791B6B">
        <w:rPr>
          <w:rFonts w:ascii="Times New Roman" w:hAnsi="Times New Roman" w:cs="Times New Roman"/>
          <w:sz w:val="24"/>
          <w:szCs w:val="24"/>
        </w:rPr>
        <w:t>Transduct</w:t>
      </w:r>
      <w:proofErr w:type="spellEnd"/>
      <w:r w:rsidRPr="00791B6B">
        <w:rPr>
          <w:rFonts w:ascii="Times New Roman" w:hAnsi="Times New Roman" w:cs="Times New Roman"/>
          <w:sz w:val="24"/>
          <w:szCs w:val="24"/>
        </w:rPr>
        <w:t xml:space="preserve"> Target </w:t>
      </w:r>
      <w:proofErr w:type="spellStart"/>
      <w:r w:rsidRPr="00791B6B">
        <w:rPr>
          <w:rFonts w:ascii="Times New Roman" w:hAnsi="Times New Roman" w:cs="Times New Roman"/>
          <w:sz w:val="24"/>
          <w:szCs w:val="24"/>
        </w:rPr>
        <w:t>Ther</w:t>
      </w:r>
      <w:proofErr w:type="spellEnd"/>
      <w:r w:rsidRPr="00791B6B">
        <w:rPr>
          <w:rFonts w:ascii="Times New Roman" w:hAnsi="Times New Roman" w:cs="Times New Roman"/>
          <w:sz w:val="24"/>
          <w:szCs w:val="24"/>
        </w:rPr>
        <w:t xml:space="preserve">. </w:t>
      </w:r>
      <w:proofErr w:type="gramStart"/>
      <w:r w:rsidRPr="00791B6B">
        <w:rPr>
          <w:rFonts w:ascii="Times New Roman" w:hAnsi="Times New Roman" w:cs="Times New Roman"/>
          <w:sz w:val="24"/>
          <w:szCs w:val="24"/>
        </w:rPr>
        <w:t>2021;6:92</w:t>
      </w:r>
      <w:proofErr w:type="gramEnd"/>
      <w:r w:rsidRPr="00791B6B">
        <w:rPr>
          <w:rFonts w:ascii="Times New Roman" w:hAnsi="Times New Roman" w:cs="Times New Roman"/>
          <w:sz w:val="24"/>
          <w:szCs w:val="24"/>
        </w:rPr>
        <w:t>.</w:t>
      </w:r>
    </w:p>
    <w:p w14:paraId="010DB4E7"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lastRenderedPageBreak/>
        <w:t xml:space="preserve">Sharma A, et al. Tumor microenvironment and immunotherapy. Front Immunol. </w:t>
      </w:r>
      <w:proofErr w:type="gramStart"/>
      <w:r w:rsidRPr="00791B6B">
        <w:rPr>
          <w:rFonts w:ascii="Times New Roman" w:hAnsi="Times New Roman" w:cs="Times New Roman"/>
          <w:sz w:val="24"/>
          <w:szCs w:val="24"/>
        </w:rPr>
        <w:t>2017;8:1391</w:t>
      </w:r>
      <w:proofErr w:type="gramEnd"/>
      <w:r w:rsidRPr="00791B6B">
        <w:rPr>
          <w:rFonts w:ascii="Times New Roman" w:hAnsi="Times New Roman" w:cs="Times New Roman"/>
          <w:sz w:val="24"/>
          <w:szCs w:val="24"/>
        </w:rPr>
        <w:t>.</w:t>
      </w:r>
    </w:p>
    <w:p w14:paraId="05E1A3DD"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 xml:space="preserve">Kruger S, et al. Immune resistance in solid tumors. </w:t>
      </w:r>
      <w:proofErr w:type="spellStart"/>
      <w:r w:rsidRPr="00791B6B">
        <w:rPr>
          <w:rFonts w:ascii="Times New Roman" w:hAnsi="Times New Roman" w:cs="Times New Roman"/>
          <w:sz w:val="24"/>
          <w:szCs w:val="24"/>
        </w:rPr>
        <w:t>Oncoimmunology</w:t>
      </w:r>
      <w:proofErr w:type="spellEnd"/>
      <w:r w:rsidRPr="00791B6B">
        <w:rPr>
          <w:rFonts w:ascii="Times New Roman" w:hAnsi="Times New Roman" w:cs="Times New Roman"/>
          <w:sz w:val="24"/>
          <w:szCs w:val="24"/>
        </w:rPr>
        <w:t>. 2019;8(2</w:t>
      </w:r>
      <w:proofErr w:type="gramStart"/>
      <w:r w:rsidRPr="00791B6B">
        <w:rPr>
          <w:rFonts w:ascii="Times New Roman" w:hAnsi="Times New Roman" w:cs="Times New Roman"/>
          <w:sz w:val="24"/>
          <w:szCs w:val="24"/>
        </w:rPr>
        <w:t>):e</w:t>
      </w:r>
      <w:proofErr w:type="gramEnd"/>
      <w:r w:rsidRPr="00791B6B">
        <w:rPr>
          <w:rFonts w:ascii="Times New Roman" w:hAnsi="Times New Roman" w:cs="Times New Roman"/>
          <w:sz w:val="24"/>
          <w:szCs w:val="24"/>
        </w:rPr>
        <w:t>1497253.</w:t>
      </w:r>
    </w:p>
    <w:p w14:paraId="3C5813A1" w14:textId="77777777" w:rsidR="00C169B1" w:rsidRPr="00791B6B" w:rsidRDefault="00C169B1" w:rsidP="00AF0ECE">
      <w:pPr>
        <w:pStyle w:val="ListParagraph"/>
        <w:numPr>
          <w:ilvl w:val="0"/>
          <w:numId w:val="4"/>
        </w:numPr>
        <w:spacing w:line="360" w:lineRule="auto"/>
        <w:jc w:val="both"/>
        <w:rPr>
          <w:rFonts w:ascii="Times New Roman" w:hAnsi="Times New Roman" w:cs="Times New Roman"/>
          <w:sz w:val="24"/>
          <w:szCs w:val="24"/>
        </w:rPr>
      </w:pPr>
      <w:r w:rsidRPr="00791B6B">
        <w:rPr>
          <w:rFonts w:ascii="Times New Roman" w:hAnsi="Times New Roman" w:cs="Times New Roman"/>
          <w:sz w:val="24"/>
          <w:szCs w:val="24"/>
        </w:rPr>
        <w:t>Vanneman M, Dranoff G. Combining immunotherapy and targeted therapies. Nat Rev Cancer. 2012;12(4):237–251.</w:t>
      </w:r>
    </w:p>
    <w:p w14:paraId="19F5CB42" w14:textId="77777777" w:rsidR="00C169B1" w:rsidRDefault="00C169B1" w:rsidP="00AF0ECE">
      <w:pPr>
        <w:pStyle w:val="ListParagraph"/>
        <w:numPr>
          <w:ilvl w:val="0"/>
          <w:numId w:val="4"/>
        </w:numPr>
        <w:spacing w:line="360" w:lineRule="auto"/>
        <w:jc w:val="both"/>
        <w:rPr>
          <w:rFonts w:ascii="Times New Roman" w:hAnsi="Times New Roman" w:cs="Times New Roman"/>
          <w:sz w:val="24"/>
          <w:szCs w:val="24"/>
        </w:rPr>
      </w:pPr>
      <w:proofErr w:type="spellStart"/>
      <w:r w:rsidRPr="00791B6B">
        <w:rPr>
          <w:rFonts w:ascii="Times New Roman" w:hAnsi="Times New Roman" w:cs="Times New Roman"/>
          <w:sz w:val="24"/>
          <w:szCs w:val="24"/>
        </w:rPr>
        <w:t>Binnewies</w:t>
      </w:r>
      <w:proofErr w:type="spellEnd"/>
      <w:r w:rsidRPr="00791B6B">
        <w:rPr>
          <w:rFonts w:ascii="Times New Roman" w:hAnsi="Times New Roman" w:cs="Times New Roman"/>
          <w:sz w:val="24"/>
          <w:szCs w:val="24"/>
        </w:rPr>
        <w:t xml:space="preserve"> M, et al. Understanding the tumor immune microenvironment. Nat Med. 2018;24(5):541–550.</w:t>
      </w:r>
    </w:p>
    <w:p w14:paraId="5139CD8B" w14:textId="229A681C" w:rsidR="00643162" w:rsidRPr="00643162" w:rsidRDefault="00643162" w:rsidP="00643162">
      <w:pPr>
        <w:pStyle w:val="ListParagraph"/>
        <w:numPr>
          <w:ilvl w:val="0"/>
          <w:numId w:val="4"/>
        </w:numPr>
        <w:spacing w:line="360" w:lineRule="auto"/>
        <w:jc w:val="both"/>
        <w:rPr>
          <w:rFonts w:ascii="Times New Roman" w:hAnsi="Times New Roman" w:cs="Times New Roman"/>
          <w:sz w:val="24"/>
          <w:szCs w:val="24"/>
        </w:rPr>
      </w:pPr>
      <w:r w:rsidRPr="00643162">
        <w:rPr>
          <w:rFonts w:ascii="Times New Roman" w:hAnsi="Times New Roman" w:cs="Times New Roman"/>
          <w:sz w:val="24"/>
          <w:szCs w:val="24"/>
        </w:rPr>
        <w:t>Wang X, Ma S, Zhu S, Zhu L, Guo W. Advances in Immunotherapy and Targeted Therapy of Malignant Melanoma. Biomedicines. 2025;13(1):225. doi:10.3390/biomedicines13010225</w:t>
      </w:r>
    </w:p>
    <w:p w14:paraId="318F2025" w14:textId="5FA8339E"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r w:rsidRPr="00643162">
        <w:rPr>
          <w:rFonts w:ascii="Times New Roman" w:hAnsi="Times New Roman" w:cs="Times New Roman"/>
          <w:sz w:val="24"/>
          <w:szCs w:val="24"/>
        </w:rPr>
        <w:t>Luo N. Advances in Targeted Immunotherapy in Cancers. Int J Mol Sci. 2023;24(24):17475. doi:10.3390/ijms242417475</w:t>
      </w:r>
    </w:p>
    <w:p w14:paraId="5AD0EC54" w14:textId="1B70DC7D"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r w:rsidRPr="00643162">
        <w:rPr>
          <w:rFonts w:ascii="Times New Roman" w:hAnsi="Times New Roman" w:cs="Times New Roman"/>
          <w:sz w:val="24"/>
          <w:szCs w:val="24"/>
        </w:rPr>
        <w:t xml:space="preserve">Underwood PW, Ruff SM, </w:t>
      </w:r>
      <w:proofErr w:type="spellStart"/>
      <w:r w:rsidRPr="00643162">
        <w:rPr>
          <w:rFonts w:ascii="Times New Roman" w:hAnsi="Times New Roman" w:cs="Times New Roman"/>
          <w:sz w:val="24"/>
          <w:szCs w:val="24"/>
        </w:rPr>
        <w:t>Pawlik</w:t>
      </w:r>
      <w:proofErr w:type="spellEnd"/>
      <w:r w:rsidRPr="00643162">
        <w:rPr>
          <w:rFonts w:ascii="Times New Roman" w:hAnsi="Times New Roman" w:cs="Times New Roman"/>
          <w:sz w:val="24"/>
          <w:szCs w:val="24"/>
        </w:rPr>
        <w:t xml:space="preserve"> TM. Update on Targeted Therapy and Immunotherapy for Metastatic Colorectal Cancer. Cells. 2024;13(3):245. doi:10.3390/cells13030245</w:t>
      </w:r>
    </w:p>
    <w:p w14:paraId="1C0737E5" w14:textId="1750D32A"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r w:rsidRPr="00643162">
        <w:rPr>
          <w:rFonts w:ascii="Times New Roman" w:hAnsi="Times New Roman" w:cs="Times New Roman"/>
          <w:sz w:val="24"/>
          <w:szCs w:val="24"/>
        </w:rPr>
        <w:t xml:space="preserve">Singh M, Morris VK, </w:t>
      </w:r>
      <w:proofErr w:type="spellStart"/>
      <w:r w:rsidRPr="00643162">
        <w:rPr>
          <w:rFonts w:ascii="Times New Roman" w:hAnsi="Times New Roman" w:cs="Times New Roman"/>
          <w:sz w:val="24"/>
          <w:szCs w:val="24"/>
        </w:rPr>
        <w:t>Bandey</w:t>
      </w:r>
      <w:proofErr w:type="spellEnd"/>
      <w:r w:rsidRPr="00643162">
        <w:rPr>
          <w:rFonts w:ascii="Times New Roman" w:hAnsi="Times New Roman" w:cs="Times New Roman"/>
          <w:sz w:val="24"/>
          <w:szCs w:val="24"/>
        </w:rPr>
        <w:t xml:space="preserve"> IN, Hong DS, </w:t>
      </w:r>
      <w:proofErr w:type="spellStart"/>
      <w:r w:rsidRPr="00643162">
        <w:rPr>
          <w:rFonts w:ascii="Times New Roman" w:hAnsi="Times New Roman" w:cs="Times New Roman"/>
          <w:sz w:val="24"/>
          <w:szCs w:val="24"/>
        </w:rPr>
        <w:t>Kopetz</w:t>
      </w:r>
      <w:proofErr w:type="spellEnd"/>
      <w:r w:rsidRPr="00643162">
        <w:rPr>
          <w:rFonts w:ascii="Times New Roman" w:hAnsi="Times New Roman" w:cs="Times New Roman"/>
          <w:sz w:val="24"/>
          <w:szCs w:val="24"/>
        </w:rPr>
        <w:t xml:space="preserve"> S. Advancements in combining targeted therapy and immunotherapy for colorectal cancer. Trends Cancer. 2024;10(7):598–609. doi:10.1016/j.trecan.2024.05.001</w:t>
      </w:r>
    </w:p>
    <w:p w14:paraId="5BF81CD0" w14:textId="53BE573A"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r w:rsidRPr="00643162">
        <w:rPr>
          <w:rFonts w:ascii="Times New Roman" w:hAnsi="Times New Roman" w:cs="Times New Roman"/>
          <w:sz w:val="24"/>
          <w:szCs w:val="24"/>
        </w:rPr>
        <w:t>McNeil V, Lee SW. Advancing Cancer Treatment: A Review of Immune Checkpoint Inhibitors and Combination Strategies. Cancers. 2025;17(9):1408. doi:10.3390/cancers17091408</w:t>
      </w:r>
    </w:p>
    <w:p w14:paraId="5876427C" w14:textId="50385C69"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proofErr w:type="spellStart"/>
      <w:r w:rsidRPr="00643162">
        <w:rPr>
          <w:rFonts w:ascii="Times New Roman" w:hAnsi="Times New Roman" w:cs="Times New Roman"/>
          <w:sz w:val="24"/>
          <w:szCs w:val="24"/>
        </w:rPr>
        <w:t>Stefanska</w:t>
      </w:r>
      <w:proofErr w:type="spellEnd"/>
      <w:r w:rsidRPr="00643162">
        <w:rPr>
          <w:rFonts w:ascii="Times New Roman" w:hAnsi="Times New Roman" w:cs="Times New Roman"/>
          <w:sz w:val="24"/>
          <w:szCs w:val="24"/>
        </w:rPr>
        <w:t xml:space="preserve"> B, Rabbani SA. Immunotherapy in cancer: novel approaches and future perspectives. Br J </w:t>
      </w:r>
      <w:proofErr w:type="spellStart"/>
      <w:r w:rsidRPr="00643162">
        <w:rPr>
          <w:rFonts w:ascii="Times New Roman" w:hAnsi="Times New Roman" w:cs="Times New Roman"/>
          <w:sz w:val="24"/>
          <w:szCs w:val="24"/>
        </w:rPr>
        <w:t>Pharmacol</w:t>
      </w:r>
      <w:proofErr w:type="spellEnd"/>
      <w:r w:rsidRPr="00643162">
        <w:rPr>
          <w:rFonts w:ascii="Times New Roman" w:hAnsi="Times New Roman" w:cs="Times New Roman"/>
          <w:sz w:val="24"/>
          <w:szCs w:val="24"/>
        </w:rPr>
        <w:t>. 2025. doi:10.1111/bph.70296</w:t>
      </w:r>
    </w:p>
    <w:p w14:paraId="4BE1709A" w14:textId="4BD815D5" w:rsidR="00643162" w:rsidRPr="00643162" w:rsidRDefault="00643162" w:rsidP="00643162">
      <w:pPr>
        <w:pStyle w:val="ListParagraph"/>
        <w:numPr>
          <w:ilvl w:val="0"/>
          <w:numId w:val="4"/>
        </w:numPr>
        <w:spacing w:line="360" w:lineRule="auto"/>
        <w:rPr>
          <w:rFonts w:ascii="Times New Roman" w:hAnsi="Times New Roman" w:cs="Times New Roman"/>
          <w:sz w:val="24"/>
          <w:szCs w:val="24"/>
        </w:rPr>
      </w:pPr>
      <w:r w:rsidRPr="00643162">
        <w:rPr>
          <w:rFonts w:ascii="Times New Roman" w:hAnsi="Times New Roman" w:cs="Times New Roman"/>
          <w:sz w:val="24"/>
          <w:szCs w:val="24"/>
        </w:rPr>
        <w:t xml:space="preserve">Zhao S, Zhao H, Yang W, et al. The next generation of immunotherapies for lung cancers. Nat Rev Clin Oncol. </w:t>
      </w:r>
      <w:proofErr w:type="gramStart"/>
      <w:r w:rsidRPr="00643162">
        <w:rPr>
          <w:rFonts w:ascii="Times New Roman" w:hAnsi="Times New Roman" w:cs="Times New Roman"/>
          <w:sz w:val="24"/>
          <w:szCs w:val="24"/>
        </w:rPr>
        <w:t>2025;22:592</w:t>
      </w:r>
      <w:proofErr w:type="gramEnd"/>
      <w:r w:rsidRPr="00643162">
        <w:rPr>
          <w:rFonts w:ascii="Times New Roman" w:hAnsi="Times New Roman" w:cs="Times New Roman"/>
          <w:sz w:val="24"/>
          <w:szCs w:val="24"/>
        </w:rPr>
        <w:t>–616. doi:10.1038/s41571-025-01035-9</w:t>
      </w:r>
    </w:p>
    <w:p w14:paraId="0409F75C" w14:textId="188DDBB1" w:rsidR="00643162" w:rsidRDefault="00643162" w:rsidP="00643162">
      <w:pPr>
        <w:pStyle w:val="ListParagraph"/>
        <w:numPr>
          <w:ilvl w:val="0"/>
          <w:numId w:val="4"/>
        </w:numPr>
        <w:spacing w:line="360" w:lineRule="auto"/>
        <w:rPr>
          <w:rFonts w:ascii="Times New Roman" w:hAnsi="Times New Roman" w:cs="Times New Roman"/>
          <w:sz w:val="24"/>
          <w:szCs w:val="24"/>
        </w:rPr>
      </w:pPr>
      <w:proofErr w:type="spellStart"/>
      <w:r w:rsidRPr="00643162">
        <w:rPr>
          <w:rFonts w:ascii="Times New Roman" w:hAnsi="Times New Roman" w:cs="Times New Roman"/>
          <w:sz w:val="24"/>
          <w:szCs w:val="24"/>
        </w:rPr>
        <w:t>Elkrief</w:t>
      </w:r>
      <w:proofErr w:type="spellEnd"/>
      <w:r w:rsidRPr="00643162">
        <w:rPr>
          <w:rFonts w:ascii="Times New Roman" w:hAnsi="Times New Roman" w:cs="Times New Roman"/>
          <w:sz w:val="24"/>
          <w:szCs w:val="24"/>
        </w:rPr>
        <w:t xml:space="preserve"> A, Pidgeon R, </w:t>
      </w:r>
      <w:proofErr w:type="spellStart"/>
      <w:r w:rsidRPr="00643162">
        <w:rPr>
          <w:rFonts w:ascii="Times New Roman" w:hAnsi="Times New Roman" w:cs="Times New Roman"/>
          <w:sz w:val="24"/>
          <w:szCs w:val="24"/>
        </w:rPr>
        <w:t>Maleki</w:t>
      </w:r>
      <w:proofErr w:type="spellEnd"/>
      <w:r w:rsidRPr="00643162">
        <w:rPr>
          <w:rFonts w:ascii="Times New Roman" w:hAnsi="Times New Roman" w:cs="Times New Roman"/>
          <w:sz w:val="24"/>
          <w:szCs w:val="24"/>
        </w:rPr>
        <w:t xml:space="preserve"> </w:t>
      </w:r>
      <w:proofErr w:type="spellStart"/>
      <w:r w:rsidRPr="00643162">
        <w:rPr>
          <w:rFonts w:ascii="Times New Roman" w:hAnsi="Times New Roman" w:cs="Times New Roman"/>
          <w:sz w:val="24"/>
          <w:szCs w:val="24"/>
        </w:rPr>
        <w:t>Vareki</w:t>
      </w:r>
      <w:proofErr w:type="spellEnd"/>
      <w:r w:rsidRPr="00643162">
        <w:rPr>
          <w:rFonts w:ascii="Times New Roman" w:hAnsi="Times New Roman" w:cs="Times New Roman"/>
          <w:sz w:val="24"/>
          <w:szCs w:val="24"/>
        </w:rPr>
        <w:t xml:space="preserve"> S, et al. The gut microbiome as a target in cancer immunotherapy. Nat Rev Drug </w:t>
      </w:r>
      <w:proofErr w:type="spellStart"/>
      <w:r w:rsidRPr="00643162">
        <w:rPr>
          <w:rFonts w:ascii="Times New Roman" w:hAnsi="Times New Roman" w:cs="Times New Roman"/>
          <w:sz w:val="24"/>
          <w:szCs w:val="24"/>
        </w:rPr>
        <w:t>Discov</w:t>
      </w:r>
      <w:proofErr w:type="spellEnd"/>
      <w:r w:rsidRPr="00643162">
        <w:rPr>
          <w:rFonts w:ascii="Times New Roman" w:hAnsi="Times New Roman" w:cs="Times New Roman"/>
          <w:sz w:val="24"/>
          <w:szCs w:val="24"/>
        </w:rPr>
        <w:t xml:space="preserve">. </w:t>
      </w:r>
      <w:proofErr w:type="gramStart"/>
      <w:r w:rsidRPr="00643162">
        <w:rPr>
          <w:rFonts w:ascii="Times New Roman" w:hAnsi="Times New Roman" w:cs="Times New Roman"/>
          <w:sz w:val="24"/>
          <w:szCs w:val="24"/>
        </w:rPr>
        <w:t>2025;24:685</w:t>
      </w:r>
      <w:proofErr w:type="gramEnd"/>
      <w:r w:rsidRPr="00643162">
        <w:rPr>
          <w:rFonts w:ascii="Times New Roman" w:hAnsi="Times New Roman" w:cs="Times New Roman"/>
          <w:sz w:val="24"/>
          <w:szCs w:val="24"/>
        </w:rPr>
        <w:t>–704. doi:10.1038/s41573-025-01211-7</w:t>
      </w:r>
      <w:r>
        <w:rPr>
          <w:rFonts w:ascii="Times New Roman" w:hAnsi="Times New Roman" w:cs="Times New Roman"/>
          <w:sz w:val="24"/>
          <w:szCs w:val="24"/>
        </w:rPr>
        <w:t>.</w:t>
      </w:r>
    </w:p>
    <w:p w14:paraId="5563C6A1" w14:textId="73534B1B" w:rsidR="007A6ED8" w:rsidRPr="00791B6B" w:rsidRDefault="007A6ED8" w:rsidP="007A6ED8">
      <w:pPr>
        <w:pStyle w:val="ListParagraph"/>
        <w:numPr>
          <w:ilvl w:val="0"/>
          <w:numId w:val="4"/>
        </w:numPr>
        <w:spacing w:line="360" w:lineRule="auto"/>
        <w:rPr>
          <w:rFonts w:ascii="Times New Roman" w:hAnsi="Times New Roman" w:cs="Times New Roman"/>
          <w:sz w:val="24"/>
          <w:szCs w:val="24"/>
        </w:rPr>
      </w:pPr>
      <w:proofErr w:type="spellStart"/>
      <w:r w:rsidRPr="007A6ED8">
        <w:rPr>
          <w:rFonts w:ascii="Times New Roman" w:hAnsi="Times New Roman" w:cs="Times New Roman"/>
          <w:sz w:val="24"/>
          <w:szCs w:val="24"/>
        </w:rPr>
        <w:t>Apelian</w:t>
      </w:r>
      <w:proofErr w:type="spellEnd"/>
      <w:r w:rsidRPr="007A6ED8">
        <w:rPr>
          <w:rFonts w:ascii="Times New Roman" w:hAnsi="Times New Roman" w:cs="Times New Roman"/>
          <w:sz w:val="24"/>
          <w:szCs w:val="24"/>
        </w:rPr>
        <w:t xml:space="preserve"> S, </w:t>
      </w:r>
      <w:proofErr w:type="spellStart"/>
      <w:r w:rsidRPr="007A6ED8">
        <w:rPr>
          <w:rFonts w:ascii="Times New Roman" w:hAnsi="Times New Roman" w:cs="Times New Roman"/>
          <w:sz w:val="24"/>
          <w:szCs w:val="24"/>
        </w:rPr>
        <w:t>Martincuks</w:t>
      </w:r>
      <w:proofErr w:type="spellEnd"/>
      <w:r w:rsidRPr="007A6ED8">
        <w:rPr>
          <w:rFonts w:ascii="Times New Roman" w:hAnsi="Times New Roman" w:cs="Times New Roman"/>
          <w:sz w:val="24"/>
          <w:szCs w:val="24"/>
        </w:rPr>
        <w:t xml:space="preserve"> A, </w:t>
      </w:r>
      <w:proofErr w:type="spellStart"/>
      <w:r w:rsidRPr="007A6ED8">
        <w:rPr>
          <w:rFonts w:ascii="Times New Roman" w:hAnsi="Times New Roman" w:cs="Times New Roman"/>
          <w:sz w:val="24"/>
          <w:szCs w:val="24"/>
        </w:rPr>
        <w:t>Whittum</w:t>
      </w:r>
      <w:proofErr w:type="spellEnd"/>
      <w:r w:rsidRPr="007A6ED8">
        <w:rPr>
          <w:rFonts w:ascii="Times New Roman" w:hAnsi="Times New Roman" w:cs="Times New Roman"/>
          <w:sz w:val="24"/>
          <w:szCs w:val="24"/>
        </w:rPr>
        <w:t xml:space="preserve"> M, Yasukawa M, </w:t>
      </w:r>
      <w:proofErr w:type="spellStart"/>
      <w:r w:rsidRPr="007A6ED8">
        <w:rPr>
          <w:rFonts w:ascii="Times New Roman" w:hAnsi="Times New Roman" w:cs="Times New Roman"/>
          <w:sz w:val="24"/>
          <w:szCs w:val="24"/>
        </w:rPr>
        <w:t>Nguy</w:t>
      </w:r>
      <w:proofErr w:type="spellEnd"/>
      <w:r w:rsidRPr="007A6ED8">
        <w:rPr>
          <w:rFonts w:ascii="Times New Roman" w:hAnsi="Times New Roman" w:cs="Times New Roman"/>
          <w:sz w:val="24"/>
          <w:szCs w:val="24"/>
        </w:rPr>
        <w:t xml:space="preserve"> L, </w:t>
      </w:r>
      <w:proofErr w:type="spellStart"/>
      <w:r w:rsidRPr="007A6ED8">
        <w:rPr>
          <w:rFonts w:ascii="Times New Roman" w:hAnsi="Times New Roman" w:cs="Times New Roman"/>
          <w:sz w:val="24"/>
          <w:szCs w:val="24"/>
        </w:rPr>
        <w:t>Mathyk</w:t>
      </w:r>
      <w:proofErr w:type="spellEnd"/>
      <w:r w:rsidRPr="007A6ED8">
        <w:rPr>
          <w:rFonts w:ascii="Times New Roman" w:hAnsi="Times New Roman" w:cs="Times New Roman"/>
          <w:sz w:val="24"/>
          <w:szCs w:val="24"/>
        </w:rPr>
        <w:t xml:space="preserve"> B, </w:t>
      </w:r>
      <w:proofErr w:type="spellStart"/>
      <w:r w:rsidRPr="007A6ED8">
        <w:rPr>
          <w:rFonts w:ascii="Times New Roman" w:hAnsi="Times New Roman" w:cs="Times New Roman"/>
          <w:sz w:val="24"/>
          <w:szCs w:val="24"/>
        </w:rPr>
        <w:t>Andikyan</w:t>
      </w:r>
      <w:proofErr w:type="spellEnd"/>
      <w:r w:rsidRPr="007A6ED8">
        <w:rPr>
          <w:rFonts w:ascii="Times New Roman" w:hAnsi="Times New Roman" w:cs="Times New Roman"/>
          <w:sz w:val="24"/>
          <w:szCs w:val="24"/>
        </w:rPr>
        <w:t xml:space="preserve"> V, Anderson ML, Rutherford T, Cristea M, Stewart D, Kohut A. PARP Inhibitors in Ovarian Cancer: Resistance Mechanisms, Clinical Evidence, and Evolving Strategies. Biomedicines. 2025;13(5):1126. doi:10.3390/biomedicines13051126. </w:t>
      </w:r>
    </w:p>
    <w:p w14:paraId="05836D4F" w14:textId="77777777" w:rsidR="00C169B1" w:rsidRPr="00791B6B" w:rsidRDefault="00C169B1" w:rsidP="00643162">
      <w:pPr>
        <w:spacing w:line="360" w:lineRule="auto"/>
        <w:rPr>
          <w:rFonts w:ascii="Times New Roman" w:hAnsi="Times New Roman" w:cs="Times New Roman"/>
          <w:sz w:val="24"/>
          <w:szCs w:val="24"/>
        </w:rPr>
      </w:pPr>
    </w:p>
    <w:p w14:paraId="1E052A5F" w14:textId="77777777" w:rsidR="00EF76B3" w:rsidRPr="00791B6B" w:rsidRDefault="00EF76B3" w:rsidP="00643162">
      <w:pPr>
        <w:spacing w:line="360" w:lineRule="auto"/>
        <w:rPr>
          <w:rFonts w:ascii="Times New Roman" w:hAnsi="Times New Roman" w:cs="Times New Roman"/>
          <w:b/>
          <w:sz w:val="24"/>
          <w:szCs w:val="24"/>
        </w:rPr>
      </w:pPr>
    </w:p>
    <w:p w14:paraId="47373A9B" w14:textId="77777777" w:rsidR="00EF76B3" w:rsidRPr="00791B6B" w:rsidRDefault="00EF76B3" w:rsidP="00643162">
      <w:pPr>
        <w:spacing w:line="360" w:lineRule="auto"/>
        <w:rPr>
          <w:rFonts w:ascii="Times New Roman" w:hAnsi="Times New Roman" w:cs="Times New Roman"/>
          <w:b/>
          <w:sz w:val="24"/>
          <w:szCs w:val="24"/>
        </w:rPr>
      </w:pPr>
    </w:p>
    <w:p w14:paraId="2CD019B6" w14:textId="77777777" w:rsidR="00EF76B3" w:rsidRPr="00791B6B" w:rsidRDefault="00EF76B3" w:rsidP="00643162">
      <w:pPr>
        <w:spacing w:line="360" w:lineRule="auto"/>
        <w:rPr>
          <w:rFonts w:ascii="Times New Roman" w:hAnsi="Times New Roman" w:cs="Times New Roman"/>
          <w:b/>
          <w:sz w:val="24"/>
          <w:szCs w:val="24"/>
        </w:rPr>
      </w:pPr>
    </w:p>
    <w:p w14:paraId="467726F2" w14:textId="77777777" w:rsidR="00EF76B3" w:rsidRPr="00791B6B" w:rsidRDefault="00EF76B3" w:rsidP="00643162">
      <w:pPr>
        <w:spacing w:line="360" w:lineRule="auto"/>
        <w:rPr>
          <w:rFonts w:ascii="Times New Roman" w:hAnsi="Times New Roman" w:cs="Times New Roman"/>
          <w:b/>
          <w:sz w:val="24"/>
          <w:szCs w:val="24"/>
        </w:rPr>
      </w:pPr>
    </w:p>
    <w:p w14:paraId="641DE4DC" w14:textId="77777777" w:rsidR="00EF76B3" w:rsidRPr="00791B6B" w:rsidRDefault="00EF76B3" w:rsidP="00643162">
      <w:pPr>
        <w:spacing w:line="360" w:lineRule="auto"/>
        <w:rPr>
          <w:rFonts w:ascii="Times New Roman" w:hAnsi="Times New Roman" w:cs="Times New Roman"/>
          <w:b/>
          <w:sz w:val="24"/>
          <w:szCs w:val="24"/>
        </w:rPr>
      </w:pPr>
    </w:p>
    <w:p w14:paraId="69E1A8AE" w14:textId="77777777" w:rsidR="00020375" w:rsidRPr="00791B6B" w:rsidRDefault="00020375" w:rsidP="004A5EC1">
      <w:pPr>
        <w:spacing w:line="360" w:lineRule="auto"/>
        <w:jc w:val="both"/>
        <w:rPr>
          <w:rFonts w:ascii="Times New Roman" w:hAnsi="Times New Roman" w:cs="Times New Roman"/>
          <w:sz w:val="24"/>
          <w:szCs w:val="24"/>
        </w:rPr>
      </w:pPr>
    </w:p>
    <w:p w14:paraId="11111679" w14:textId="77777777" w:rsidR="00020375" w:rsidRPr="00791B6B" w:rsidRDefault="00020375" w:rsidP="004A5EC1">
      <w:pPr>
        <w:spacing w:line="360" w:lineRule="auto"/>
        <w:jc w:val="both"/>
        <w:rPr>
          <w:rFonts w:ascii="Times New Roman" w:hAnsi="Times New Roman" w:cs="Times New Roman"/>
          <w:sz w:val="24"/>
          <w:szCs w:val="24"/>
        </w:rPr>
      </w:pPr>
    </w:p>
    <w:p w14:paraId="5797CBB7" w14:textId="77777777" w:rsidR="00020375" w:rsidRPr="00791B6B" w:rsidRDefault="00020375" w:rsidP="004A5EC1">
      <w:pPr>
        <w:spacing w:line="360" w:lineRule="auto"/>
        <w:jc w:val="both"/>
        <w:rPr>
          <w:rFonts w:ascii="Times New Roman" w:hAnsi="Times New Roman" w:cs="Times New Roman"/>
          <w:sz w:val="24"/>
          <w:szCs w:val="24"/>
        </w:rPr>
      </w:pPr>
    </w:p>
    <w:p w14:paraId="756F0850" w14:textId="77777777" w:rsidR="00020375" w:rsidRPr="00791B6B" w:rsidRDefault="00020375" w:rsidP="004A5EC1">
      <w:pPr>
        <w:spacing w:line="360" w:lineRule="auto"/>
        <w:jc w:val="both"/>
        <w:rPr>
          <w:rFonts w:ascii="Times New Roman" w:hAnsi="Times New Roman" w:cs="Times New Roman"/>
          <w:sz w:val="24"/>
          <w:szCs w:val="24"/>
        </w:rPr>
      </w:pPr>
    </w:p>
    <w:p w14:paraId="3F9EE74A" w14:textId="77777777" w:rsidR="00020375" w:rsidRPr="00791B6B" w:rsidRDefault="00020375" w:rsidP="004A5EC1">
      <w:pPr>
        <w:spacing w:line="360" w:lineRule="auto"/>
        <w:jc w:val="both"/>
        <w:rPr>
          <w:rFonts w:ascii="Times New Roman" w:hAnsi="Times New Roman" w:cs="Times New Roman"/>
          <w:sz w:val="24"/>
          <w:szCs w:val="24"/>
        </w:rPr>
      </w:pPr>
    </w:p>
    <w:p w14:paraId="4E1BD008" w14:textId="77777777" w:rsidR="00020375" w:rsidRPr="00791B6B" w:rsidRDefault="00020375" w:rsidP="004A5EC1">
      <w:pPr>
        <w:spacing w:line="360" w:lineRule="auto"/>
        <w:jc w:val="both"/>
        <w:rPr>
          <w:rFonts w:ascii="Times New Roman" w:hAnsi="Times New Roman" w:cs="Times New Roman"/>
          <w:sz w:val="24"/>
          <w:szCs w:val="24"/>
        </w:rPr>
      </w:pPr>
    </w:p>
    <w:p w14:paraId="1C08AE0E" w14:textId="77777777" w:rsidR="00020375" w:rsidRPr="00791B6B" w:rsidRDefault="00020375" w:rsidP="004A5EC1">
      <w:pPr>
        <w:spacing w:line="360" w:lineRule="auto"/>
        <w:jc w:val="both"/>
        <w:rPr>
          <w:rFonts w:ascii="Times New Roman" w:hAnsi="Times New Roman" w:cs="Times New Roman"/>
          <w:sz w:val="24"/>
          <w:szCs w:val="24"/>
        </w:rPr>
      </w:pPr>
    </w:p>
    <w:p w14:paraId="140A1F30" w14:textId="77777777" w:rsidR="00020375" w:rsidRPr="00791B6B" w:rsidRDefault="00020375" w:rsidP="004A5EC1">
      <w:pPr>
        <w:spacing w:line="360" w:lineRule="auto"/>
        <w:jc w:val="both"/>
        <w:rPr>
          <w:rFonts w:ascii="Times New Roman" w:hAnsi="Times New Roman" w:cs="Times New Roman"/>
          <w:sz w:val="24"/>
          <w:szCs w:val="24"/>
        </w:rPr>
      </w:pPr>
    </w:p>
    <w:p w14:paraId="635B2E94" w14:textId="77777777" w:rsidR="00020375" w:rsidRPr="00791B6B" w:rsidRDefault="00020375" w:rsidP="004A5EC1">
      <w:pPr>
        <w:spacing w:line="360" w:lineRule="auto"/>
        <w:jc w:val="both"/>
        <w:rPr>
          <w:rFonts w:ascii="Times New Roman" w:hAnsi="Times New Roman" w:cs="Times New Roman"/>
          <w:sz w:val="24"/>
          <w:szCs w:val="24"/>
        </w:rPr>
      </w:pPr>
    </w:p>
    <w:p w14:paraId="3C16E22C" w14:textId="77777777" w:rsidR="00020375" w:rsidRPr="00791B6B" w:rsidRDefault="00020375" w:rsidP="004A5EC1">
      <w:pPr>
        <w:spacing w:line="360" w:lineRule="auto"/>
        <w:jc w:val="both"/>
        <w:rPr>
          <w:rFonts w:ascii="Times New Roman" w:hAnsi="Times New Roman" w:cs="Times New Roman"/>
          <w:sz w:val="24"/>
          <w:szCs w:val="24"/>
        </w:rPr>
      </w:pPr>
    </w:p>
    <w:p w14:paraId="54EF75DE" w14:textId="77777777" w:rsidR="00020375" w:rsidRPr="00791B6B" w:rsidRDefault="00020375" w:rsidP="004A5EC1">
      <w:pPr>
        <w:spacing w:line="360" w:lineRule="auto"/>
        <w:jc w:val="both"/>
        <w:rPr>
          <w:rFonts w:ascii="Times New Roman" w:hAnsi="Times New Roman" w:cs="Times New Roman"/>
          <w:sz w:val="24"/>
          <w:szCs w:val="24"/>
        </w:rPr>
      </w:pPr>
    </w:p>
    <w:p w14:paraId="0189B539" w14:textId="77777777" w:rsidR="00020375" w:rsidRPr="00791B6B" w:rsidRDefault="00020375" w:rsidP="004A5EC1">
      <w:pPr>
        <w:spacing w:line="360" w:lineRule="auto"/>
        <w:jc w:val="both"/>
        <w:rPr>
          <w:rFonts w:ascii="Times New Roman" w:hAnsi="Times New Roman" w:cs="Times New Roman"/>
          <w:sz w:val="24"/>
          <w:szCs w:val="24"/>
        </w:rPr>
      </w:pPr>
    </w:p>
    <w:p w14:paraId="1AF9EA95" w14:textId="77777777" w:rsidR="00020375" w:rsidRPr="00791B6B" w:rsidRDefault="00020375" w:rsidP="004A5EC1">
      <w:pPr>
        <w:spacing w:line="360" w:lineRule="auto"/>
        <w:jc w:val="both"/>
        <w:rPr>
          <w:rFonts w:ascii="Times New Roman" w:hAnsi="Times New Roman" w:cs="Times New Roman"/>
          <w:b/>
          <w:sz w:val="24"/>
          <w:szCs w:val="24"/>
        </w:rPr>
      </w:pPr>
    </w:p>
    <w:p w14:paraId="00A90351" w14:textId="77777777" w:rsidR="00A24B05" w:rsidRPr="00791B6B" w:rsidRDefault="00A24B05" w:rsidP="004A5EC1">
      <w:pPr>
        <w:spacing w:line="360" w:lineRule="auto"/>
        <w:jc w:val="both"/>
        <w:rPr>
          <w:rFonts w:ascii="Times New Roman" w:hAnsi="Times New Roman" w:cs="Times New Roman"/>
          <w:sz w:val="24"/>
          <w:szCs w:val="24"/>
        </w:rPr>
      </w:pPr>
    </w:p>
    <w:p w14:paraId="6EF0E758" w14:textId="77777777" w:rsidR="00A24B05" w:rsidRPr="00791B6B" w:rsidRDefault="00A24B05" w:rsidP="004A5EC1">
      <w:pPr>
        <w:jc w:val="both"/>
        <w:rPr>
          <w:rFonts w:ascii="Times New Roman" w:hAnsi="Times New Roman" w:cs="Times New Roman"/>
          <w:sz w:val="24"/>
          <w:szCs w:val="24"/>
        </w:rPr>
      </w:pPr>
    </w:p>
    <w:sectPr w:rsidR="00A24B05" w:rsidRPr="00791B6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B12DBE" w14:textId="77777777" w:rsidR="00B30827" w:rsidRDefault="00B30827" w:rsidP="00E0257A">
      <w:pPr>
        <w:spacing w:after="0" w:line="240" w:lineRule="auto"/>
      </w:pPr>
      <w:r>
        <w:separator/>
      </w:r>
    </w:p>
  </w:endnote>
  <w:endnote w:type="continuationSeparator" w:id="0">
    <w:p w14:paraId="2255398C" w14:textId="77777777" w:rsidR="00B30827" w:rsidRDefault="00B30827" w:rsidP="00E02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B210" w14:textId="77777777" w:rsidR="00E0257A" w:rsidRDefault="00E02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DFDB" w14:textId="77777777" w:rsidR="00E0257A" w:rsidRDefault="00E02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97F48" w14:textId="77777777" w:rsidR="00E0257A" w:rsidRDefault="00E02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A90BEE" w14:textId="77777777" w:rsidR="00B30827" w:rsidRDefault="00B30827" w:rsidP="00E0257A">
      <w:pPr>
        <w:spacing w:after="0" w:line="240" w:lineRule="auto"/>
      </w:pPr>
      <w:r>
        <w:separator/>
      </w:r>
    </w:p>
  </w:footnote>
  <w:footnote w:type="continuationSeparator" w:id="0">
    <w:p w14:paraId="62028F44" w14:textId="77777777" w:rsidR="00B30827" w:rsidRDefault="00B30827" w:rsidP="00E02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19ECB" w14:textId="6370419B" w:rsidR="00E0257A" w:rsidRDefault="00B30827">
    <w:pPr>
      <w:pStyle w:val="Header"/>
    </w:pPr>
    <w:r>
      <w:rPr>
        <w:noProof/>
      </w:rPr>
      <w:pict w14:anchorId="5DD8DB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07795" w14:textId="5C38E67F" w:rsidR="00E0257A" w:rsidRDefault="00B30827">
    <w:pPr>
      <w:pStyle w:val="Header"/>
    </w:pPr>
    <w:r>
      <w:rPr>
        <w:noProof/>
      </w:rPr>
      <w:pict w14:anchorId="0E75E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9B218" w14:textId="678E2015" w:rsidR="00E0257A" w:rsidRDefault="00B30827">
    <w:pPr>
      <w:pStyle w:val="Header"/>
    </w:pPr>
    <w:r>
      <w:rPr>
        <w:noProof/>
      </w:rPr>
      <w:pict w14:anchorId="0B5F7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9298F"/>
    <w:multiLevelType w:val="hybridMultilevel"/>
    <w:tmpl w:val="0FEAE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790A5A"/>
    <w:multiLevelType w:val="hybridMultilevel"/>
    <w:tmpl w:val="8F623746"/>
    <w:lvl w:ilvl="0" w:tplc="0409000F">
      <w:start w:val="1"/>
      <w:numFmt w:val="decimal"/>
      <w:lvlText w:val="%1."/>
      <w:lvlJc w:val="left"/>
      <w:pPr>
        <w:ind w:left="360" w:hanging="360"/>
      </w:pPr>
    </w:lvl>
    <w:lvl w:ilvl="1" w:tplc="04090019">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 w15:restartNumberingAfterBreak="0">
    <w:nsid w:val="59222FA0"/>
    <w:multiLevelType w:val="hybridMultilevel"/>
    <w:tmpl w:val="729A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A7411"/>
    <w:multiLevelType w:val="hybridMultilevel"/>
    <w:tmpl w:val="EE66512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4B05"/>
    <w:rsid w:val="00020375"/>
    <w:rsid w:val="00052A45"/>
    <w:rsid w:val="000A7436"/>
    <w:rsid w:val="000B0C59"/>
    <w:rsid w:val="000C7E3C"/>
    <w:rsid w:val="00100D36"/>
    <w:rsid w:val="001461A0"/>
    <w:rsid w:val="00167CDD"/>
    <w:rsid w:val="00195D62"/>
    <w:rsid w:val="001F3889"/>
    <w:rsid w:val="001F5077"/>
    <w:rsid w:val="001F6AAF"/>
    <w:rsid w:val="00200C94"/>
    <w:rsid w:val="00211159"/>
    <w:rsid w:val="00293FF7"/>
    <w:rsid w:val="002942DE"/>
    <w:rsid w:val="00295919"/>
    <w:rsid w:val="002A2B7D"/>
    <w:rsid w:val="002B2BBB"/>
    <w:rsid w:val="002D16F8"/>
    <w:rsid w:val="003245A0"/>
    <w:rsid w:val="0032502D"/>
    <w:rsid w:val="00357D1D"/>
    <w:rsid w:val="003653B5"/>
    <w:rsid w:val="003E2031"/>
    <w:rsid w:val="004154E2"/>
    <w:rsid w:val="0044435A"/>
    <w:rsid w:val="00463AB8"/>
    <w:rsid w:val="0047010F"/>
    <w:rsid w:val="004A5EC1"/>
    <w:rsid w:val="004F4815"/>
    <w:rsid w:val="0050376F"/>
    <w:rsid w:val="00564232"/>
    <w:rsid w:val="005B7E54"/>
    <w:rsid w:val="005E04BC"/>
    <w:rsid w:val="005E1415"/>
    <w:rsid w:val="00625731"/>
    <w:rsid w:val="00643162"/>
    <w:rsid w:val="00665BF0"/>
    <w:rsid w:val="00687340"/>
    <w:rsid w:val="006916AE"/>
    <w:rsid w:val="00737713"/>
    <w:rsid w:val="00746798"/>
    <w:rsid w:val="00791B6B"/>
    <w:rsid w:val="007A6ED8"/>
    <w:rsid w:val="007D0CF4"/>
    <w:rsid w:val="007D0D26"/>
    <w:rsid w:val="007D3DDD"/>
    <w:rsid w:val="00814D05"/>
    <w:rsid w:val="00843FB7"/>
    <w:rsid w:val="008707BA"/>
    <w:rsid w:val="008B503D"/>
    <w:rsid w:val="008D3748"/>
    <w:rsid w:val="00904BA0"/>
    <w:rsid w:val="00910879"/>
    <w:rsid w:val="009128BD"/>
    <w:rsid w:val="00967911"/>
    <w:rsid w:val="0097611F"/>
    <w:rsid w:val="009861B3"/>
    <w:rsid w:val="009A107A"/>
    <w:rsid w:val="009D0AC9"/>
    <w:rsid w:val="009D6A73"/>
    <w:rsid w:val="00A07B83"/>
    <w:rsid w:val="00A24B05"/>
    <w:rsid w:val="00A52761"/>
    <w:rsid w:val="00A709CB"/>
    <w:rsid w:val="00A846CE"/>
    <w:rsid w:val="00A912BD"/>
    <w:rsid w:val="00AD1CDF"/>
    <w:rsid w:val="00AD7E82"/>
    <w:rsid w:val="00AF0ECE"/>
    <w:rsid w:val="00B30827"/>
    <w:rsid w:val="00BC644F"/>
    <w:rsid w:val="00C04BBE"/>
    <w:rsid w:val="00C11D1A"/>
    <w:rsid w:val="00C13774"/>
    <w:rsid w:val="00C169B1"/>
    <w:rsid w:val="00C4265C"/>
    <w:rsid w:val="00C71388"/>
    <w:rsid w:val="00CA0798"/>
    <w:rsid w:val="00CB5991"/>
    <w:rsid w:val="00CB6838"/>
    <w:rsid w:val="00CF6186"/>
    <w:rsid w:val="00CF6706"/>
    <w:rsid w:val="00D608A4"/>
    <w:rsid w:val="00D61A57"/>
    <w:rsid w:val="00D80A65"/>
    <w:rsid w:val="00D84330"/>
    <w:rsid w:val="00DC13AF"/>
    <w:rsid w:val="00DC34C3"/>
    <w:rsid w:val="00E0257A"/>
    <w:rsid w:val="00E94F6F"/>
    <w:rsid w:val="00EE2FF8"/>
    <w:rsid w:val="00EE5AC9"/>
    <w:rsid w:val="00EF161B"/>
    <w:rsid w:val="00EF76B3"/>
    <w:rsid w:val="00F2624D"/>
    <w:rsid w:val="00F5741A"/>
    <w:rsid w:val="00F63A85"/>
    <w:rsid w:val="00FA351E"/>
    <w:rsid w:val="00FB0AE0"/>
    <w:rsid w:val="00FC3C04"/>
    <w:rsid w:val="00FC419B"/>
    <w:rsid w:val="00FD3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137DB9"/>
  <w15:docId w15:val="{C3363F1E-8C84-4526-B007-C07786BFF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51E"/>
    <w:pPr>
      <w:ind w:left="720"/>
      <w:contextualSpacing/>
    </w:pPr>
  </w:style>
  <w:style w:type="paragraph" w:styleId="BalloonText">
    <w:name w:val="Balloon Text"/>
    <w:basedOn w:val="Normal"/>
    <w:link w:val="BalloonTextChar"/>
    <w:uiPriority w:val="99"/>
    <w:semiHidden/>
    <w:unhideWhenUsed/>
    <w:rsid w:val="004A5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5EC1"/>
    <w:rPr>
      <w:rFonts w:ascii="Tahoma" w:hAnsi="Tahoma" w:cs="Tahoma"/>
      <w:sz w:val="16"/>
      <w:szCs w:val="16"/>
    </w:rPr>
  </w:style>
  <w:style w:type="table" w:styleId="TableGrid">
    <w:name w:val="Table Grid"/>
    <w:basedOn w:val="TableNormal"/>
    <w:uiPriority w:val="39"/>
    <w:rsid w:val="00DC1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1B6B"/>
    <w:rPr>
      <w:color w:val="0000FF" w:themeColor="hyperlink"/>
      <w:u w:val="single"/>
    </w:rPr>
  </w:style>
  <w:style w:type="character" w:customStyle="1" w:styleId="UnresolvedMention1">
    <w:name w:val="Unresolved Mention1"/>
    <w:basedOn w:val="DefaultParagraphFont"/>
    <w:uiPriority w:val="99"/>
    <w:semiHidden/>
    <w:unhideWhenUsed/>
    <w:rsid w:val="00791B6B"/>
    <w:rPr>
      <w:color w:val="605E5C"/>
      <w:shd w:val="clear" w:color="auto" w:fill="E1DFDD"/>
    </w:rPr>
  </w:style>
  <w:style w:type="paragraph" w:styleId="Header">
    <w:name w:val="header"/>
    <w:basedOn w:val="Normal"/>
    <w:link w:val="HeaderChar"/>
    <w:uiPriority w:val="99"/>
    <w:unhideWhenUsed/>
    <w:rsid w:val="00E025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257A"/>
  </w:style>
  <w:style w:type="paragraph" w:styleId="Footer">
    <w:name w:val="footer"/>
    <w:basedOn w:val="Normal"/>
    <w:link w:val="FooterChar"/>
    <w:uiPriority w:val="99"/>
    <w:unhideWhenUsed/>
    <w:rsid w:val="00E025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2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8413</Words>
  <Characters>47958</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Editor GP 005</cp:lastModifiedBy>
  <cp:revision>3</cp:revision>
  <dcterms:created xsi:type="dcterms:W3CDTF">2026-02-11T14:41:00Z</dcterms:created>
  <dcterms:modified xsi:type="dcterms:W3CDTF">2026-02-17T08:29:00Z</dcterms:modified>
</cp:coreProperties>
</file>