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210" w:rsidRDefault="000E4210" w:rsidP="00277F29">
      <w:pPr>
        <w:pStyle w:val="Author"/>
        <w:spacing w:line="240" w:lineRule="auto"/>
        <w:ind w:left="720"/>
        <w:rPr>
          <w:rFonts w:ascii="Arial" w:hAnsi="Arial" w:cs="Arial"/>
          <w:bCs/>
          <w:iCs/>
          <w:kern w:val="28"/>
          <w:sz w:val="36"/>
        </w:rPr>
      </w:pPr>
    </w:p>
    <w:p w:rsidR="006B0D88" w:rsidRDefault="006B0D88" w:rsidP="00D221CE">
      <w:pPr>
        <w:pStyle w:val="Author"/>
        <w:spacing w:line="240" w:lineRule="auto"/>
        <w:ind w:left="720"/>
        <w:rPr>
          <w:rFonts w:ascii="Arial" w:hAnsi="Arial" w:cs="Arial"/>
          <w:bCs/>
          <w:iCs/>
          <w:kern w:val="28"/>
          <w:sz w:val="36"/>
        </w:rPr>
      </w:pPr>
      <w:r w:rsidRPr="00CC75DD">
        <w:rPr>
          <w:rFonts w:ascii="Sans Serif" w:hAnsi="Sans Serif"/>
          <w:color w:val="0C0C0C"/>
          <w:sz w:val="18"/>
          <w:szCs w:val="18"/>
          <w:u w:val="single"/>
        </w:rPr>
        <w:t>Original Research</w:t>
      </w:r>
      <w:r>
        <w:rPr>
          <w:rFonts w:ascii="Sans Serif" w:hAnsi="Sans Serif"/>
          <w:color w:val="0C0C0C"/>
          <w:sz w:val="18"/>
          <w:szCs w:val="18"/>
          <w:u w:val="single"/>
        </w:rPr>
        <w:t xml:space="preserve"> Article</w:t>
      </w:r>
    </w:p>
    <w:p w:rsidR="00D618FB" w:rsidRPr="00D618FB" w:rsidRDefault="00D618FB" w:rsidP="00D221CE">
      <w:pPr>
        <w:pStyle w:val="Author"/>
        <w:spacing w:line="240" w:lineRule="auto"/>
        <w:ind w:left="720"/>
        <w:rPr>
          <w:rFonts w:ascii="Arial" w:hAnsi="Arial" w:cs="Arial"/>
          <w:bCs/>
          <w:iCs/>
          <w:kern w:val="28"/>
          <w:sz w:val="36"/>
        </w:rPr>
      </w:pPr>
      <w:r>
        <w:rPr>
          <w:rFonts w:ascii="Arial" w:hAnsi="Arial" w:cs="Arial"/>
          <w:bCs/>
          <w:iCs/>
          <w:kern w:val="28"/>
          <w:sz w:val="36"/>
        </w:rPr>
        <w:t>P</w:t>
      </w:r>
      <w:r w:rsidRPr="00D618FB">
        <w:rPr>
          <w:rFonts w:ascii="Arial" w:hAnsi="Arial" w:cs="Arial"/>
          <w:bCs/>
          <w:iCs/>
          <w:kern w:val="28"/>
          <w:sz w:val="36"/>
        </w:rPr>
        <w:t>revalence and patterns of breast lesions among women presenting with palpable breast lumps at Kiambu Level 5 H</w:t>
      </w:r>
      <w:r>
        <w:rPr>
          <w:rFonts w:ascii="Arial" w:hAnsi="Arial" w:cs="Arial"/>
          <w:bCs/>
          <w:iCs/>
          <w:kern w:val="28"/>
          <w:sz w:val="36"/>
        </w:rPr>
        <w:t>ospital in Kiambu County, Kenya</w:t>
      </w:r>
    </w:p>
    <w:p w:rsidR="00A258C3" w:rsidRPr="00790ADA" w:rsidRDefault="00A258C3" w:rsidP="00441B6F">
      <w:pPr>
        <w:pStyle w:val="Author"/>
        <w:spacing w:line="240" w:lineRule="auto"/>
        <w:jc w:val="both"/>
        <w:rPr>
          <w:rFonts w:ascii="Arial" w:hAnsi="Arial" w:cs="Arial"/>
          <w:sz w:val="36"/>
        </w:rPr>
      </w:pPr>
    </w:p>
    <w:p w:rsidR="009A39A7" w:rsidRDefault="009A39A7"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635A61" w:rsidP="00441B6F">
      <w:pPr>
        <w:pStyle w:val="Copyright"/>
        <w:spacing w:after="0" w:line="240" w:lineRule="auto"/>
        <w:jc w:val="both"/>
        <w:rPr>
          <w:rFonts w:ascii="Arial" w:hAnsi="Arial" w:cs="Arial"/>
        </w:rPr>
        <w:sectPr w:rsidR="00B01FCD" w:rsidRPr="00FB3A86" w:rsidSect="00D343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6C19D4" wp14:editId="5127C5B0">
                <wp:extent cx="5303520" cy="0"/>
                <wp:effectExtent l="15240" t="17780" r="1524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4FA8A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D221CE" w:rsidRDefault="00C1233D" w:rsidP="00441B6F">
            <w:pPr>
              <w:pStyle w:val="Body"/>
              <w:spacing w:after="0"/>
              <w:rPr>
                <w:rFonts w:ascii="Arial" w:eastAsia="Calibri" w:hAnsi="Arial" w:cs="Arial"/>
                <w:szCs w:val="22"/>
              </w:rPr>
            </w:pPr>
            <w:r w:rsidRPr="00C1233D">
              <w:rPr>
                <w:rFonts w:ascii="Arial" w:eastAsia="Calibri" w:hAnsi="Arial" w:cs="Arial"/>
                <w:b/>
                <w:szCs w:val="22"/>
              </w:rPr>
              <w:t>Background</w:t>
            </w:r>
            <w:r>
              <w:rPr>
                <w:rFonts w:ascii="Arial" w:eastAsia="Calibri" w:hAnsi="Arial" w:cs="Arial"/>
                <w:b/>
                <w:szCs w:val="22"/>
              </w:rPr>
              <w:t>:</w:t>
            </w:r>
            <w:r>
              <w:rPr>
                <w:rFonts w:ascii="Arial" w:eastAsia="Calibri" w:hAnsi="Arial" w:cs="Arial"/>
                <w:szCs w:val="22"/>
              </w:rPr>
              <w:t xml:space="preserve"> </w:t>
            </w:r>
            <w:r w:rsidR="00D618FB" w:rsidRPr="00D618FB">
              <w:rPr>
                <w:rFonts w:ascii="Arial" w:eastAsia="Calibri" w:hAnsi="Arial" w:cs="Arial"/>
                <w:szCs w:val="22"/>
              </w:rPr>
              <w:t>Breast cancer remains a major public health challenge in low- and middle-income countries, disproportionately affecting women. It is a multifactorial disease arising from complex interactions between genetic, molecular, hormonal, environmental, and lifestyle factors. Evaluation of palpable breast lumps using fine needle aspiration cytology (FNAC) plays a critical role in the early detection and characterization of breast lesions. This study aimed to determine the prevalence and patterns of breast cytological lesions among women presenting with palpable breast lumps at Kiambu Level 5 Hospital, Kiambu County, Kenya.</w:t>
            </w:r>
            <w:r w:rsidR="00D618FB">
              <w:rPr>
                <w:rFonts w:ascii="Arial" w:eastAsia="Calibri" w:hAnsi="Arial" w:cs="Arial"/>
                <w:szCs w:val="22"/>
              </w:rPr>
              <w:t xml:space="preserve"> </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3A0070">
              <w:rPr>
                <w:rFonts w:ascii="Arial" w:eastAsia="Calibri" w:hAnsi="Arial" w:cs="Arial"/>
                <w:szCs w:val="22"/>
              </w:rPr>
              <w:t xml:space="preserve"> </w:t>
            </w:r>
            <w:r w:rsidR="003A0070" w:rsidRPr="003A0070">
              <w:rPr>
                <w:rFonts w:ascii="Arial" w:eastAsia="Calibri" w:hAnsi="Arial" w:cs="Arial"/>
                <w:szCs w:val="22"/>
              </w:rPr>
              <w:t>Prospe</w:t>
            </w:r>
            <w:r w:rsidR="00E12F94">
              <w:rPr>
                <w:rFonts w:ascii="Arial" w:eastAsia="Calibri" w:hAnsi="Arial" w:cs="Arial"/>
                <w:szCs w:val="22"/>
              </w:rPr>
              <w:t>ctive cross-sectional</w:t>
            </w:r>
            <w:r w:rsidR="003A0070" w:rsidRPr="003A0070">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A0070">
              <w:rPr>
                <w:rFonts w:ascii="Arial" w:eastAsia="Calibri" w:hAnsi="Arial" w:cs="Arial"/>
                <w:szCs w:val="22"/>
              </w:rPr>
              <w:t xml:space="preserve"> </w:t>
            </w:r>
            <w:r w:rsidR="00D618FB">
              <w:rPr>
                <w:rFonts w:ascii="Arial" w:eastAsia="Calibri" w:hAnsi="Arial" w:cs="Arial"/>
                <w:szCs w:val="22"/>
              </w:rPr>
              <w:t xml:space="preserve">This study was done at </w:t>
            </w:r>
            <w:r w:rsidR="003A0070" w:rsidRPr="003A0070">
              <w:rPr>
                <w:rFonts w:ascii="Arial" w:eastAsia="Calibri" w:hAnsi="Arial" w:cs="Arial"/>
                <w:szCs w:val="22"/>
              </w:rPr>
              <w:t>Kiambu level 5 Hospital</w:t>
            </w:r>
            <w:r w:rsidR="003A0070">
              <w:t xml:space="preserve"> </w:t>
            </w:r>
            <w:r w:rsidR="003A0070" w:rsidRPr="003A0070">
              <w:rPr>
                <w:rFonts w:ascii="Arial" w:eastAsia="Calibri" w:hAnsi="Arial" w:cs="Arial"/>
                <w:szCs w:val="22"/>
              </w:rPr>
              <w:t>FNAC</w:t>
            </w:r>
            <w:r w:rsidR="003A0070">
              <w:rPr>
                <w:rFonts w:ascii="Arial" w:eastAsia="Calibri" w:hAnsi="Arial" w:cs="Arial"/>
                <w:szCs w:val="22"/>
              </w:rPr>
              <w:t xml:space="preserve"> Clinic, between June 2024 and May 2025.</w:t>
            </w:r>
          </w:p>
          <w:p w:rsidR="00542DA6"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618FB">
              <w:rPr>
                <w:rFonts w:ascii="Arial" w:eastAsia="Calibri" w:hAnsi="Arial" w:cs="Arial"/>
                <w:szCs w:val="22"/>
              </w:rPr>
              <w:t>A</w:t>
            </w:r>
            <w:r w:rsidR="00256674">
              <w:rPr>
                <w:rFonts w:ascii="Arial" w:eastAsia="Calibri" w:hAnsi="Arial" w:cs="Arial"/>
                <w:szCs w:val="22"/>
              </w:rPr>
              <w:t xml:space="preserve"> total of</w:t>
            </w:r>
            <w:r w:rsidR="00AB0F96">
              <w:rPr>
                <w:rFonts w:ascii="Arial" w:eastAsia="Calibri" w:hAnsi="Arial" w:cs="Arial"/>
                <w:szCs w:val="22"/>
              </w:rPr>
              <w:t xml:space="preserve"> 185 women aged between 18 and 80 years of age who </w:t>
            </w:r>
            <w:r w:rsidR="00D618FB">
              <w:rPr>
                <w:rFonts w:ascii="Arial" w:eastAsia="Calibri" w:hAnsi="Arial" w:cs="Arial"/>
                <w:szCs w:val="22"/>
              </w:rPr>
              <w:t xml:space="preserve">were </w:t>
            </w:r>
            <w:r w:rsidR="00AB0F96">
              <w:rPr>
                <w:rFonts w:ascii="Arial" w:eastAsia="Calibri" w:hAnsi="Arial" w:cs="Arial"/>
                <w:szCs w:val="22"/>
              </w:rPr>
              <w:t>attend</w:t>
            </w:r>
            <w:r w:rsidR="00D618FB">
              <w:rPr>
                <w:rFonts w:ascii="Arial" w:eastAsia="Calibri" w:hAnsi="Arial" w:cs="Arial"/>
                <w:szCs w:val="22"/>
              </w:rPr>
              <w:t>ing</w:t>
            </w:r>
            <w:r w:rsidR="00AB0F96">
              <w:rPr>
                <w:rFonts w:ascii="Arial" w:eastAsia="Calibri" w:hAnsi="Arial" w:cs="Arial"/>
                <w:szCs w:val="22"/>
              </w:rPr>
              <w:t xml:space="preserve"> breast FNAC </w:t>
            </w:r>
            <w:r w:rsidR="0043590D">
              <w:rPr>
                <w:rFonts w:ascii="Arial" w:eastAsia="Calibri" w:hAnsi="Arial" w:cs="Arial"/>
                <w:szCs w:val="22"/>
              </w:rPr>
              <w:t xml:space="preserve">clinic and consented to </w:t>
            </w:r>
            <w:r w:rsidR="00D618FB">
              <w:rPr>
                <w:rFonts w:ascii="Arial" w:eastAsia="Calibri" w:hAnsi="Arial" w:cs="Arial"/>
                <w:szCs w:val="22"/>
              </w:rPr>
              <w:t xml:space="preserve">participate were recruited in this study. </w:t>
            </w:r>
            <w:r w:rsidR="0043590D">
              <w:rPr>
                <w:rFonts w:ascii="Arial" w:eastAsia="Calibri" w:hAnsi="Arial" w:cs="Arial"/>
                <w:szCs w:val="22"/>
              </w:rPr>
              <w:t xml:space="preserve"> Breast FNAC samples were obtained using a needle and syringe and were stained using Papanicolaou technique and the br</w:t>
            </w:r>
            <w:r w:rsidR="00A11746">
              <w:rPr>
                <w:rFonts w:ascii="Arial" w:eastAsia="Calibri" w:hAnsi="Arial" w:cs="Arial"/>
                <w:szCs w:val="22"/>
              </w:rPr>
              <w:t>east lesions were evaluated</w:t>
            </w:r>
            <w:r w:rsidR="0043590D">
              <w:rPr>
                <w:rFonts w:ascii="Arial" w:eastAsia="Calibri" w:hAnsi="Arial" w:cs="Arial"/>
                <w:szCs w:val="22"/>
              </w:rPr>
              <w:t xml:space="preserve"> </w:t>
            </w:r>
            <w:r w:rsidR="00A11746">
              <w:rPr>
                <w:rFonts w:ascii="Arial" w:eastAsia="Calibri" w:hAnsi="Arial" w:cs="Arial"/>
                <w:szCs w:val="22"/>
              </w:rPr>
              <w:t>microscopically</w:t>
            </w:r>
            <w:r w:rsidR="00D618FB">
              <w:rPr>
                <w:rFonts w:ascii="Arial" w:eastAsia="Calibri" w:hAnsi="Arial" w:cs="Arial"/>
                <w:szCs w:val="22"/>
              </w:rPr>
              <w:t xml:space="preserve"> </w:t>
            </w:r>
            <w:r w:rsidR="00D618FB" w:rsidRPr="00D618FB">
              <w:rPr>
                <w:rFonts w:ascii="Arial" w:eastAsia="Calibri" w:hAnsi="Arial" w:cs="Arial"/>
                <w:szCs w:val="22"/>
              </w:rPr>
              <w:t>for cytological diagnosis</w:t>
            </w:r>
            <w:r w:rsidR="004738A1">
              <w:rPr>
                <w:rFonts w:ascii="Arial" w:eastAsia="Calibri" w:hAnsi="Arial" w:cs="Arial"/>
                <w:szCs w:val="22"/>
              </w:rPr>
              <w:t xml:space="preserve">. </w:t>
            </w:r>
            <w:r w:rsidR="00D618FB" w:rsidRPr="00D618FB">
              <w:rPr>
                <w:rFonts w:ascii="Arial" w:eastAsia="Calibri" w:hAnsi="Arial" w:cs="Arial"/>
                <w:szCs w:val="22"/>
              </w:rPr>
              <w:t>Associations between breast cytological lesions and sociodemographic factors were assessed using the chi-square test.</w:t>
            </w:r>
            <w:r w:rsidR="00D618FB">
              <w:rPr>
                <w:rFonts w:ascii="Arial" w:eastAsia="Calibri" w:hAnsi="Arial" w:cs="Arial"/>
                <w:szCs w:val="22"/>
              </w:rPr>
              <w:t xml:space="preserve"> </w:t>
            </w:r>
          </w:p>
          <w:p w:rsidR="00481D5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437AD">
              <w:rPr>
                <w:rFonts w:ascii="Arial" w:eastAsia="Calibri" w:hAnsi="Arial" w:cs="Arial"/>
                <w:szCs w:val="22"/>
              </w:rPr>
              <w:t>Among the 185 participants, overall</w:t>
            </w:r>
            <w:r w:rsidR="00481D5A">
              <w:rPr>
                <w:rFonts w:ascii="Arial" w:eastAsia="Calibri" w:hAnsi="Arial" w:cs="Arial"/>
                <w:szCs w:val="22"/>
              </w:rPr>
              <w:t xml:space="preserve"> 169</w:t>
            </w:r>
            <w:r w:rsidR="009A1BD7">
              <w:rPr>
                <w:rFonts w:ascii="Arial" w:eastAsia="Calibri" w:hAnsi="Arial" w:cs="Arial"/>
                <w:szCs w:val="22"/>
              </w:rPr>
              <w:t xml:space="preserve"> cases</w:t>
            </w:r>
            <w:r w:rsidR="00481D5A">
              <w:rPr>
                <w:rFonts w:ascii="Arial" w:eastAsia="Calibri" w:hAnsi="Arial" w:cs="Arial"/>
                <w:szCs w:val="22"/>
              </w:rPr>
              <w:t xml:space="preserve"> (91.4%) </w:t>
            </w:r>
            <w:r w:rsidR="009A1BD7">
              <w:rPr>
                <w:rFonts w:ascii="Arial" w:eastAsia="Calibri" w:hAnsi="Arial" w:cs="Arial"/>
                <w:szCs w:val="22"/>
              </w:rPr>
              <w:t>were</w:t>
            </w:r>
            <w:r w:rsidR="00481D5A">
              <w:rPr>
                <w:rFonts w:ascii="Arial" w:eastAsia="Calibri" w:hAnsi="Arial" w:cs="Arial"/>
                <w:szCs w:val="22"/>
              </w:rPr>
              <w:t xml:space="preserve"> confirmed to be</w:t>
            </w:r>
            <w:r w:rsidR="005437AD">
              <w:rPr>
                <w:rFonts w:ascii="Arial" w:eastAsia="Calibri" w:hAnsi="Arial" w:cs="Arial"/>
                <w:szCs w:val="22"/>
              </w:rPr>
              <w:t xml:space="preserve"> benign lesions w</w:t>
            </w:r>
            <w:r w:rsidR="00481D5A">
              <w:rPr>
                <w:rFonts w:ascii="Arial" w:eastAsia="Calibri" w:hAnsi="Arial" w:cs="Arial"/>
                <w:szCs w:val="22"/>
              </w:rPr>
              <w:t>hile 16</w:t>
            </w:r>
            <w:r w:rsidR="009A1BD7">
              <w:rPr>
                <w:rFonts w:ascii="Arial" w:eastAsia="Calibri" w:hAnsi="Arial" w:cs="Arial"/>
                <w:szCs w:val="22"/>
              </w:rPr>
              <w:t xml:space="preserve"> cases</w:t>
            </w:r>
            <w:r w:rsidR="00481D5A">
              <w:rPr>
                <w:rFonts w:ascii="Arial" w:eastAsia="Calibri" w:hAnsi="Arial" w:cs="Arial"/>
                <w:szCs w:val="22"/>
              </w:rPr>
              <w:t xml:space="preserve"> (8.6%) </w:t>
            </w:r>
            <w:r w:rsidR="009A1BD7">
              <w:rPr>
                <w:rFonts w:ascii="Arial" w:eastAsia="Calibri" w:hAnsi="Arial" w:cs="Arial"/>
                <w:szCs w:val="22"/>
              </w:rPr>
              <w:t>were</w:t>
            </w:r>
            <w:r w:rsidR="00481D5A">
              <w:rPr>
                <w:rFonts w:ascii="Arial" w:eastAsia="Calibri" w:hAnsi="Arial" w:cs="Arial"/>
                <w:szCs w:val="22"/>
              </w:rPr>
              <w:t xml:space="preserve"> confirmed to be</w:t>
            </w:r>
            <w:r w:rsidR="005437AD">
              <w:rPr>
                <w:rFonts w:ascii="Arial" w:eastAsia="Calibri" w:hAnsi="Arial" w:cs="Arial"/>
                <w:szCs w:val="22"/>
              </w:rPr>
              <w:t xml:space="preserve"> malignant lesions. Fibroadenoma was the most encountered benign breast lesion</w:t>
            </w:r>
            <w:r w:rsidR="00481D5A">
              <w:rPr>
                <w:rFonts w:ascii="Arial" w:eastAsia="Calibri" w:hAnsi="Arial" w:cs="Arial"/>
                <w:szCs w:val="22"/>
              </w:rPr>
              <w:t xml:space="preserve"> account</w:t>
            </w:r>
            <w:r w:rsidR="00F65A01">
              <w:rPr>
                <w:rFonts w:ascii="Arial" w:eastAsia="Calibri" w:hAnsi="Arial" w:cs="Arial"/>
                <w:szCs w:val="22"/>
              </w:rPr>
              <w:t>ing</w:t>
            </w:r>
            <w:r w:rsidR="00481D5A">
              <w:rPr>
                <w:rFonts w:ascii="Arial" w:eastAsia="Calibri" w:hAnsi="Arial" w:cs="Arial"/>
                <w:szCs w:val="22"/>
              </w:rPr>
              <w:t xml:space="preserve"> for 110 cases (65.1%) </w:t>
            </w:r>
            <w:r w:rsidR="00542DA6">
              <w:rPr>
                <w:rFonts w:ascii="Arial" w:eastAsia="Calibri" w:hAnsi="Arial" w:cs="Arial"/>
                <w:szCs w:val="22"/>
              </w:rPr>
              <w:t>while Invasive</w:t>
            </w:r>
            <w:r w:rsidR="00F65A01" w:rsidRPr="00F65A01">
              <w:rPr>
                <w:rFonts w:ascii="Arial" w:eastAsia="Calibri" w:hAnsi="Arial" w:cs="Arial"/>
                <w:szCs w:val="22"/>
              </w:rPr>
              <w:t xml:space="preserve"> ductal carcinoma (IDC) was the predominant malignant lesion, identified in 15 cases (93.8%).</w:t>
            </w:r>
            <w:r w:rsidR="00F65A01">
              <w:t xml:space="preserve"> </w:t>
            </w:r>
            <w:r w:rsidR="00150E4A">
              <w:rPr>
                <w:rFonts w:ascii="Arial" w:eastAsia="Calibri" w:hAnsi="Arial" w:cs="Arial"/>
                <w:szCs w:val="22"/>
              </w:rPr>
              <w:t xml:space="preserve">Several </w:t>
            </w:r>
            <w:r w:rsidR="00150E4A" w:rsidRPr="00150E4A">
              <w:rPr>
                <w:rFonts w:ascii="Arial" w:eastAsia="Calibri" w:hAnsi="Arial" w:cs="Arial"/>
                <w:szCs w:val="22"/>
              </w:rPr>
              <w:t>sociodemographic</w:t>
            </w:r>
            <w:r w:rsidR="0002377C" w:rsidRPr="0002377C">
              <w:rPr>
                <w:rFonts w:ascii="Arial" w:eastAsia="Calibri" w:hAnsi="Arial" w:cs="Arial"/>
                <w:szCs w:val="22"/>
              </w:rPr>
              <w:t xml:space="preserve"> factors showed significant a</w:t>
            </w:r>
            <w:r w:rsidR="0002377C">
              <w:rPr>
                <w:rFonts w:ascii="Arial" w:eastAsia="Calibri" w:hAnsi="Arial" w:cs="Arial"/>
                <w:szCs w:val="22"/>
              </w:rPr>
              <w:t>ssociations with breast lesions</w:t>
            </w:r>
            <w:r w:rsidR="00F65A01">
              <w:rPr>
                <w:rFonts w:ascii="Arial" w:eastAsia="Calibri" w:hAnsi="Arial" w:cs="Arial"/>
                <w:szCs w:val="22"/>
              </w:rPr>
              <w:t>;</w:t>
            </w:r>
            <w:r w:rsidR="0002377C">
              <w:rPr>
                <w:rFonts w:ascii="Arial" w:eastAsia="Calibri" w:hAnsi="Arial" w:cs="Arial"/>
                <w:szCs w:val="22"/>
              </w:rPr>
              <w:t xml:space="preserve"> however,</w:t>
            </w:r>
            <w:r w:rsidR="0002377C">
              <w:t xml:space="preserve"> </w:t>
            </w:r>
            <w:r w:rsidR="0002377C">
              <w:rPr>
                <w:rFonts w:ascii="Arial" w:eastAsia="Calibri" w:hAnsi="Arial" w:cs="Arial"/>
                <w:szCs w:val="22"/>
              </w:rPr>
              <w:t>education level</w:t>
            </w:r>
            <w:r w:rsidR="0002377C" w:rsidRPr="0002377C">
              <w:rPr>
                <w:rFonts w:ascii="Arial" w:eastAsia="Calibri" w:hAnsi="Arial" w:cs="Arial"/>
                <w:szCs w:val="22"/>
              </w:rPr>
              <w:t xml:space="preserve">, previous </w:t>
            </w:r>
            <w:r w:rsidR="0002377C">
              <w:rPr>
                <w:rFonts w:ascii="Arial" w:eastAsia="Calibri" w:hAnsi="Arial" w:cs="Arial"/>
                <w:szCs w:val="22"/>
              </w:rPr>
              <w:t xml:space="preserve">breast </w:t>
            </w:r>
            <w:r w:rsidR="00F65A01">
              <w:rPr>
                <w:rFonts w:ascii="Arial" w:eastAsia="Calibri" w:hAnsi="Arial" w:cs="Arial"/>
                <w:szCs w:val="22"/>
              </w:rPr>
              <w:t xml:space="preserve">history of breast </w:t>
            </w:r>
            <w:r w:rsidR="0002377C">
              <w:rPr>
                <w:rFonts w:ascii="Arial" w:eastAsia="Calibri" w:hAnsi="Arial" w:cs="Arial"/>
                <w:szCs w:val="22"/>
              </w:rPr>
              <w:t>FNAC</w:t>
            </w:r>
            <w:r w:rsidR="0002377C" w:rsidRPr="0002377C">
              <w:rPr>
                <w:rFonts w:ascii="Arial" w:eastAsia="Calibri" w:hAnsi="Arial" w:cs="Arial"/>
                <w:szCs w:val="22"/>
              </w:rPr>
              <w:t>, e</w:t>
            </w:r>
            <w:r w:rsidR="0002377C">
              <w:rPr>
                <w:rFonts w:ascii="Arial" w:eastAsia="Calibri" w:hAnsi="Arial" w:cs="Arial"/>
                <w:szCs w:val="22"/>
              </w:rPr>
              <w:t xml:space="preserve">xposure to radiation and </w:t>
            </w:r>
            <w:r w:rsidR="0002377C" w:rsidRPr="0002377C">
              <w:rPr>
                <w:rFonts w:ascii="Arial" w:eastAsia="Calibri" w:hAnsi="Arial" w:cs="Arial"/>
                <w:szCs w:val="22"/>
              </w:rPr>
              <w:t>history</w:t>
            </w:r>
            <w:r w:rsidR="0002377C">
              <w:rPr>
                <w:rFonts w:ascii="Arial" w:eastAsia="Calibri" w:hAnsi="Arial" w:cs="Arial"/>
                <w:szCs w:val="22"/>
              </w:rPr>
              <w:t xml:space="preserve"> of tobacco smoking </w:t>
            </w:r>
            <w:r w:rsidR="0002377C" w:rsidRPr="0002377C">
              <w:rPr>
                <w:rFonts w:ascii="Arial" w:eastAsia="Calibri" w:hAnsi="Arial" w:cs="Arial"/>
                <w:szCs w:val="22"/>
              </w:rPr>
              <w:t>we</w:t>
            </w:r>
            <w:r w:rsidR="0002377C">
              <w:rPr>
                <w:rFonts w:ascii="Arial" w:eastAsia="Calibri" w:hAnsi="Arial" w:cs="Arial"/>
                <w:szCs w:val="22"/>
              </w:rPr>
              <w:t>re not significantly associated</w:t>
            </w:r>
            <w:r w:rsidR="00740F20">
              <w:rPr>
                <w:rFonts w:ascii="Arial" w:eastAsia="Calibri" w:hAnsi="Arial" w:cs="Arial"/>
                <w:szCs w:val="22"/>
              </w:rPr>
              <w:t>.</w:t>
            </w:r>
            <w:r w:rsidR="0002377C" w:rsidRPr="0002377C">
              <w:rPr>
                <w:rFonts w:ascii="Arial" w:eastAsia="Calibri" w:hAnsi="Arial" w:cs="Arial"/>
                <w:szCs w:val="22"/>
              </w:rPr>
              <w:t xml:space="preserve"> </w:t>
            </w:r>
            <w:r w:rsidR="0002377C">
              <w:rPr>
                <w:rFonts w:ascii="Arial" w:eastAsia="Calibri" w:hAnsi="Arial" w:cs="Arial"/>
                <w:szCs w:val="22"/>
              </w:rPr>
              <w:t xml:space="preserve"> </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740F20">
              <w:rPr>
                <w:rFonts w:ascii="Arial" w:eastAsia="Calibri" w:hAnsi="Arial" w:cs="Arial"/>
                <w:szCs w:val="22"/>
              </w:rPr>
              <w:t xml:space="preserve"> </w:t>
            </w:r>
            <w:r w:rsidR="00740F20" w:rsidRPr="00740F20">
              <w:rPr>
                <w:rFonts w:ascii="Arial" w:eastAsia="Calibri" w:hAnsi="Arial" w:cs="Arial"/>
                <w:szCs w:val="22"/>
              </w:rPr>
              <w:t xml:space="preserve">The prevalence of benign breast lesions among women with palpable breast lumps was 91.4%, with fibroadenoma being the most frequent benign lesion. Malignant lesions accounted for 8.6%, with invasive ductal carcinoma (IDC) as the predominant </w:t>
            </w:r>
            <w:r w:rsidR="00F65A01">
              <w:rPr>
                <w:rFonts w:ascii="Arial" w:eastAsia="Calibri" w:hAnsi="Arial" w:cs="Arial"/>
                <w:szCs w:val="22"/>
              </w:rPr>
              <w:t>malignant lesion</w:t>
            </w:r>
            <w:r w:rsidR="00740F20" w:rsidRPr="00BA1B01">
              <w:rPr>
                <w:rFonts w:ascii="Arial" w:eastAsia="Calibri" w:hAnsi="Arial" w:cs="Arial"/>
                <w:szCs w:val="22"/>
              </w:rPr>
              <w:t xml:space="preserve"> </w:t>
            </w:r>
          </w:p>
          <w:p w:rsidR="00505F06" w:rsidRPr="00BA1B01" w:rsidRDefault="00150E4A" w:rsidP="00441B6F">
            <w:pPr>
              <w:pStyle w:val="Body"/>
              <w:spacing w:after="0"/>
              <w:rPr>
                <w:rFonts w:ascii="Arial" w:eastAsia="Calibri" w:hAnsi="Arial" w:cs="Arial"/>
                <w:szCs w:val="22"/>
              </w:rPr>
            </w:pPr>
            <w:r>
              <w:rPr>
                <w:rFonts w:ascii="Arial" w:eastAsia="Calibri" w:hAnsi="Arial" w:cs="Arial"/>
                <w:szCs w:val="22"/>
              </w:rPr>
              <w:t xml:space="preserve"> </w:t>
            </w:r>
          </w:p>
        </w:tc>
      </w:tr>
    </w:tbl>
    <w:p w:rsidR="00636EB2" w:rsidRDefault="00636EB2" w:rsidP="00441B6F">
      <w:pPr>
        <w:pStyle w:val="Body"/>
        <w:spacing w:after="0"/>
        <w:rPr>
          <w:rFonts w:ascii="Arial" w:hAnsi="Arial" w:cs="Arial"/>
          <w:i/>
        </w:rPr>
      </w:pPr>
    </w:p>
    <w:p w:rsidR="00F65A01" w:rsidRPr="005D7FEA" w:rsidRDefault="00A24E7E" w:rsidP="00E9732D">
      <w:pPr>
        <w:pStyle w:val="Body"/>
        <w:rPr>
          <w:rFonts w:ascii="Arial" w:hAnsi="Arial" w:cs="Arial"/>
          <w:b/>
          <w:i/>
        </w:rPr>
      </w:pPr>
      <w:r w:rsidRPr="005D7FEA">
        <w:rPr>
          <w:rFonts w:ascii="Arial" w:hAnsi="Arial" w:cs="Arial"/>
          <w:i/>
        </w:rPr>
        <w:t>Keywords:</w:t>
      </w:r>
      <w:r w:rsidR="00F65A01" w:rsidRPr="005D7FEA">
        <w:rPr>
          <w:rFonts w:ascii="Arial" w:hAnsi="Arial" w:cs="Arial"/>
          <w:b/>
          <w:i/>
        </w:rPr>
        <w:t xml:space="preserve"> </w:t>
      </w:r>
      <w:r w:rsidR="00F65A01" w:rsidRPr="005D7FEA">
        <w:rPr>
          <w:rFonts w:ascii="Arial" w:hAnsi="Arial" w:cs="Arial"/>
          <w:i/>
        </w:rPr>
        <w:t>Breast lesions</w:t>
      </w:r>
      <w:r w:rsidR="00F65A01" w:rsidRPr="005D7FEA">
        <w:rPr>
          <w:rFonts w:ascii="Arial" w:hAnsi="Arial" w:cs="Arial"/>
          <w:b/>
          <w:i/>
        </w:rPr>
        <w:t xml:space="preserve">, </w:t>
      </w:r>
      <w:r w:rsidR="00F65A01" w:rsidRPr="005D7FEA">
        <w:rPr>
          <w:rFonts w:ascii="Arial" w:hAnsi="Arial" w:cs="Arial"/>
          <w:i/>
        </w:rPr>
        <w:t>Palpable breast lumps</w:t>
      </w:r>
      <w:r w:rsidR="00F65A01" w:rsidRPr="005D7FEA">
        <w:rPr>
          <w:rFonts w:ascii="Arial" w:hAnsi="Arial" w:cs="Arial"/>
          <w:b/>
          <w:i/>
        </w:rPr>
        <w:t xml:space="preserve">, </w:t>
      </w:r>
      <w:r w:rsidR="00F65A01" w:rsidRPr="005D7FEA">
        <w:rPr>
          <w:rFonts w:ascii="Arial" w:hAnsi="Arial" w:cs="Arial"/>
          <w:i/>
        </w:rPr>
        <w:t>Fine needle aspiration cytology (FNAC)</w:t>
      </w:r>
      <w:r w:rsidR="00F65A01" w:rsidRPr="005D7FEA">
        <w:rPr>
          <w:rFonts w:ascii="Arial" w:hAnsi="Arial" w:cs="Arial"/>
          <w:b/>
          <w:i/>
        </w:rPr>
        <w:t xml:space="preserve">, </w:t>
      </w:r>
      <w:r w:rsidR="00F65A01" w:rsidRPr="005D7FEA">
        <w:rPr>
          <w:rFonts w:ascii="Arial" w:hAnsi="Arial" w:cs="Arial"/>
          <w:i/>
        </w:rPr>
        <w:t>Fibroadenoma</w:t>
      </w:r>
      <w:r w:rsidR="00F65A01" w:rsidRPr="005D7FEA">
        <w:rPr>
          <w:rFonts w:ascii="Arial" w:hAnsi="Arial" w:cs="Arial"/>
          <w:b/>
          <w:i/>
        </w:rPr>
        <w:t xml:space="preserve">, </w:t>
      </w:r>
      <w:r w:rsidR="00F65A01" w:rsidRPr="005D7FEA">
        <w:rPr>
          <w:rFonts w:ascii="Arial" w:hAnsi="Arial" w:cs="Arial"/>
          <w:i/>
        </w:rPr>
        <w:t>Invasive ductal carcinoma</w:t>
      </w:r>
      <w:r w:rsidR="00A05ADD">
        <w:rPr>
          <w:rFonts w:ascii="Arial" w:hAnsi="Arial" w:cs="Arial"/>
          <w:i/>
        </w:rPr>
        <w:t>, Kenya</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C90A7F" w:rsidRDefault="00C90A7F" w:rsidP="00C90A7F">
      <w:pPr>
        <w:pStyle w:val="Body"/>
        <w:spacing w:after="0"/>
        <w:rPr>
          <w:rFonts w:ascii="Arial" w:hAnsi="Arial" w:cs="Arial"/>
        </w:rPr>
      </w:pPr>
      <w:r w:rsidRPr="00C90A7F">
        <w:rPr>
          <w:rFonts w:ascii="Arial" w:hAnsi="Arial" w:cs="Arial"/>
        </w:rPr>
        <w:t xml:space="preserve">Breast cancer remains a major public health challenge globally, particularly in low- and middle-income countries (LMICs), where it disproportionately affects women. It is the most prevalent cancer among women worldwide and ranks as the fourth leading cause of cancer-related mortality. According to the World Health Organization (WHO), more than 2.29 </w:t>
      </w:r>
      <w:r w:rsidRPr="00C90A7F">
        <w:rPr>
          <w:rFonts w:ascii="Arial" w:hAnsi="Arial" w:cs="Arial"/>
        </w:rPr>
        <w:lastRenderedPageBreak/>
        <w:t>million new cases of breast cancer and over 666,000 deaths were recorded globally in 2022. Breast cancer accounted for 11.5% of all newly diagnosed cancers in both sexes and 23.8% of all cancers affecting women. While incidence and mortality rates have declined in high-income countries due to improved screening and treatment strategies, these rates continue to rise in LMICs (</w:t>
      </w:r>
      <w:r>
        <w:rPr>
          <w:rFonts w:ascii="Arial" w:hAnsi="Arial" w:cs="Arial"/>
        </w:rPr>
        <w:t>1, 2)</w:t>
      </w:r>
      <w:r w:rsidRPr="00C90A7F">
        <w:rPr>
          <w:rFonts w:ascii="Arial" w:hAnsi="Arial" w:cs="Arial"/>
        </w:rPr>
        <w:t>.</w:t>
      </w:r>
      <w:r>
        <w:rPr>
          <w:rFonts w:ascii="Arial" w:hAnsi="Arial" w:cs="Arial"/>
        </w:rPr>
        <w:t xml:space="preserve"> </w:t>
      </w:r>
    </w:p>
    <w:p w:rsidR="00C90A7F" w:rsidRPr="00C90A7F" w:rsidRDefault="00C90A7F" w:rsidP="00C90A7F">
      <w:pPr>
        <w:pStyle w:val="Body"/>
        <w:spacing w:after="0"/>
        <w:rPr>
          <w:rFonts w:ascii="Arial" w:hAnsi="Arial" w:cs="Arial"/>
        </w:rPr>
      </w:pPr>
      <w:r w:rsidRPr="00C90A7F">
        <w:rPr>
          <w:rFonts w:ascii="Arial" w:hAnsi="Arial" w:cs="Arial"/>
        </w:rPr>
        <w:t>In Africa, breast cancer is regarded as a life-threatening disease and remains the leading cancer among women in terms of both incidence and mortality. In 2022, the continent recorded over 198,000 new cases of breast cancer, representing 29.2% of all cancers affecting women</w:t>
      </w:r>
      <w:r w:rsidR="00863400">
        <w:rPr>
          <w:rFonts w:ascii="Arial" w:hAnsi="Arial" w:cs="Arial"/>
        </w:rPr>
        <w:t xml:space="preserve"> (1)</w:t>
      </w:r>
      <w:r w:rsidRPr="00C90A7F">
        <w:rPr>
          <w:rFonts w:ascii="Arial" w:hAnsi="Arial" w:cs="Arial"/>
        </w:rPr>
        <w:t>. During the same period, more than 91,000 deaths were attributed to breast cancer, accounting for 11.9% of cancer-related mortality in both sexes. In Eastern Africa, breast cancer was the second most frequently diagnosed cancer among women in 2022, following cervical cancer, with over 47,300 new cases (22.0%) and approximately 25,300 deaths (10.7%) reported. In Kenya, breast cancer was ranked as the most common cancer among women in 2022, accounting for 25.5% of all female cancer cases, with 7,243 new cases and 3,398 deaths (11.6%) recorded (</w:t>
      </w:r>
      <w:r w:rsidR="00863400">
        <w:rPr>
          <w:rFonts w:ascii="Arial" w:hAnsi="Arial" w:cs="Arial"/>
        </w:rPr>
        <w:t xml:space="preserve">1, 3). </w:t>
      </w:r>
    </w:p>
    <w:p w:rsidR="00C90A7F" w:rsidRPr="00C90A7F" w:rsidRDefault="00C90A7F" w:rsidP="00C90A7F">
      <w:pPr>
        <w:pStyle w:val="Body"/>
        <w:spacing w:after="0"/>
        <w:rPr>
          <w:rFonts w:ascii="Arial" w:hAnsi="Arial" w:cs="Arial"/>
        </w:rPr>
      </w:pPr>
      <w:r w:rsidRPr="00C90A7F">
        <w:rPr>
          <w:rFonts w:ascii="Arial" w:hAnsi="Arial" w:cs="Arial"/>
        </w:rPr>
        <w:t>The higher incidence and mortality rates of breast cancer observed in developing countries compared to developed nations have been attributed to multiple factors, including limited access to diagnostic facilities, inadequate screening programs, low levels of public awareness, and delayed health-seeking behavior. Consequently, many patients present at advanced stages of the disease, which complicates effective management and contributes to poor treatment outcomes and increased mortality. Addressing these disparities remains a critical public health priority in resource-limited settings (</w:t>
      </w:r>
      <w:r w:rsidR="00863400">
        <w:rPr>
          <w:rFonts w:ascii="Arial" w:hAnsi="Arial" w:cs="Arial"/>
        </w:rPr>
        <w:t>4</w:t>
      </w:r>
      <w:r w:rsidRPr="00C90A7F">
        <w:rPr>
          <w:rFonts w:ascii="Arial" w:hAnsi="Arial" w:cs="Arial"/>
        </w:rPr>
        <w:t>).</w:t>
      </w:r>
      <w:r w:rsidR="008145BE" w:rsidRPr="008145BE">
        <w:t xml:space="preserve"> </w:t>
      </w:r>
      <w:r w:rsidR="008145BE" w:rsidRPr="008145BE">
        <w:rPr>
          <w:rFonts w:ascii="Arial" w:hAnsi="Arial" w:cs="Arial"/>
        </w:rPr>
        <w:t xml:space="preserve">Fine needle aspiration cytology (FNAC) is a popular screening approach for breast cancer owing to its affordability, reliability, and minimal invasiveness, reducing the need for surgical </w:t>
      </w:r>
      <w:r w:rsidR="008145BE">
        <w:rPr>
          <w:rFonts w:ascii="Arial" w:hAnsi="Arial" w:cs="Arial"/>
        </w:rPr>
        <w:t>intervention (1</w:t>
      </w:r>
      <w:r w:rsidR="008145BE" w:rsidRPr="008145BE">
        <w:rPr>
          <w:rFonts w:ascii="Arial" w:hAnsi="Arial" w:cs="Arial"/>
        </w:rPr>
        <w:t>3).</w:t>
      </w:r>
      <w:r w:rsidR="004523A1">
        <w:rPr>
          <w:rFonts w:ascii="Arial" w:hAnsi="Arial" w:cs="Arial"/>
        </w:rPr>
        <w:t xml:space="preserve"> Despites it advantages, </w:t>
      </w:r>
      <w:r w:rsidR="004523A1" w:rsidRPr="004523A1">
        <w:rPr>
          <w:rFonts w:ascii="Arial" w:hAnsi="Arial" w:cs="Arial"/>
        </w:rPr>
        <w:t>FNAC has certain limitations. Performing FNAC prior to mammography may interfere with radiological interpretation, and the procedure can be associated with pain or discomfort. Additionally, FNAC may occasionally yield insufficient cellular material for accurate diagnos</w:t>
      </w:r>
      <w:r w:rsidR="004523A1">
        <w:rPr>
          <w:rFonts w:ascii="Arial" w:hAnsi="Arial" w:cs="Arial"/>
        </w:rPr>
        <w:t>is</w:t>
      </w:r>
      <w:r w:rsidR="00121B61" w:rsidRPr="00121B61">
        <w:t xml:space="preserve"> </w:t>
      </w:r>
      <w:r w:rsidR="00121B61" w:rsidRPr="00121B61">
        <w:rPr>
          <w:rFonts w:ascii="Arial" w:hAnsi="Arial" w:cs="Arial"/>
        </w:rPr>
        <w:t>necessitating the use of CNB</w:t>
      </w:r>
      <w:r w:rsidR="00121B61">
        <w:rPr>
          <w:rFonts w:ascii="Arial" w:hAnsi="Arial" w:cs="Arial"/>
        </w:rPr>
        <w:t xml:space="preserve"> </w:t>
      </w:r>
      <w:r w:rsidR="004523A1">
        <w:rPr>
          <w:rFonts w:ascii="Arial" w:hAnsi="Arial" w:cs="Arial"/>
        </w:rPr>
        <w:t>(14</w:t>
      </w:r>
      <w:r w:rsidR="004523A1" w:rsidRPr="004523A1">
        <w:rPr>
          <w:rFonts w:ascii="Arial" w:hAnsi="Arial" w:cs="Arial"/>
        </w:rPr>
        <w:t>)</w:t>
      </w:r>
      <w:r w:rsidR="00121B61">
        <w:rPr>
          <w:rFonts w:ascii="Arial" w:hAnsi="Arial" w:cs="Arial"/>
        </w:rPr>
        <w:t>.</w:t>
      </w:r>
      <w:r w:rsidR="00343868" w:rsidRPr="00343868">
        <w:t xml:space="preserve"> </w:t>
      </w:r>
      <w:r w:rsidR="00343868" w:rsidRPr="00343868">
        <w:rPr>
          <w:rFonts w:ascii="Arial" w:hAnsi="Arial" w:cs="Arial"/>
        </w:rPr>
        <w:t>For patients presenting with palpable breast masses, both FNAC and core-needle biopsies (CNB) are the preferred pre-operative diagnostic approaches. However, histopathology is still categorized as the gold standard for definitive identification, as well as characterization, of breast lesions. FNAC is particularly useful for distinguishing whether palpable masses are benign or malignant</w:t>
      </w:r>
      <w:r w:rsidR="00582504">
        <w:rPr>
          <w:rFonts w:ascii="Arial" w:hAnsi="Arial" w:cs="Arial"/>
        </w:rPr>
        <w:t xml:space="preserve"> (15, 16</w:t>
      </w:r>
      <w:r w:rsidR="00343868">
        <w:rPr>
          <w:rFonts w:ascii="Arial" w:hAnsi="Arial" w:cs="Arial"/>
        </w:rPr>
        <w:t>)</w:t>
      </w:r>
      <w:r w:rsidR="00582504">
        <w:rPr>
          <w:rFonts w:ascii="Arial" w:hAnsi="Arial" w:cs="Arial"/>
        </w:rPr>
        <w:t xml:space="preserve">. </w:t>
      </w:r>
      <w:r w:rsidR="00582504" w:rsidRPr="00582504">
        <w:rPr>
          <w:rFonts w:ascii="Arial" w:hAnsi="Arial" w:cs="Arial"/>
        </w:rPr>
        <w:t>Tumors identified at early stages are often small, predominantly benign, and associated with favorable prognoses, making them highly treatable. In contrast, malignant tumors tend to exhibit aggressive growth, faster progression, and poorer prognoses</w:t>
      </w:r>
      <w:r w:rsidR="00582504">
        <w:rPr>
          <w:rFonts w:ascii="Arial" w:hAnsi="Arial" w:cs="Arial"/>
        </w:rPr>
        <w:t xml:space="preserve"> (17)</w:t>
      </w:r>
    </w:p>
    <w:p w:rsidR="00AE22DC" w:rsidRDefault="00AE22DC" w:rsidP="00441B6F">
      <w:pPr>
        <w:pStyle w:val="Body"/>
        <w:spacing w:after="0"/>
        <w:rPr>
          <w:rFonts w:ascii="Arial" w:hAnsi="Arial" w:cs="Arial"/>
        </w:rPr>
      </w:pPr>
    </w:p>
    <w:p w:rsidR="00863400" w:rsidRDefault="00863400" w:rsidP="00441B6F">
      <w:pPr>
        <w:pStyle w:val="Body"/>
        <w:spacing w:after="0"/>
        <w:rPr>
          <w:rFonts w:ascii="Arial" w:hAnsi="Arial" w:cs="Arial"/>
        </w:rPr>
      </w:pPr>
      <w:r w:rsidRPr="00863400">
        <w:rPr>
          <w:rFonts w:ascii="Arial" w:hAnsi="Arial" w:cs="Arial"/>
        </w:rPr>
        <w:t>Although cytological assessment plays a critical role in distinguishing benign from malignant breast lesions and guiding clinical management, there is limited local data on the cytological patterns and prevalence of breast lesions among women attending Kiambu Level 5 Hospital. This evidence gap hampers effective early detection, resource allocation, and the development of targeted diagnostic and management strategies. Given that Kiambu County ranked third nationally in new cancer cases in 2022, with breast cancer as the leading malignancy, this study was undertaken to characterize the cytological features and determine the prevalence of breast lesions among women presenting with palpable breast lumps, thereby providing essential data to inform clinical practice, public health interventions, and policy development within the county.</w:t>
      </w:r>
    </w:p>
    <w:p w:rsidR="00863400" w:rsidRPr="00FB3A86" w:rsidRDefault="00863400" w:rsidP="00441B6F">
      <w:pPr>
        <w:pStyle w:val="Body"/>
        <w:spacing w:after="0"/>
        <w:rPr>
          <w:rFonts w:ascii="Arial" w:hAnsi="Arial" w:cs="Arial"/>
        </w:rPr>
      </w:pPr>
    </w:p>
    <w:p w:rsidR="00790ADA" w:rsidRPr="00FB3A86" w:rsidRDefault="00EE6489" w:rsidP="00441B6F">
      <w:pPr>
        <w:pStyle w:val="AbstHead"/>
        <w:spacing w:after="0"/>
        <w:jc w:val="both"/>
        <w:rPr>
          <w:rFonts w:ascii="Arial" w:hAnsi="Arial" w:cs="Arial"/>
        </w:rPr>
      </w:pPr>
      <w:r>
        <w:rPr>
          <w:rFonts w:ascii="Arial" w:hAnsi="Arial" w:cs="Arial"/>
        </w:rPr>
        <w:t>2. MATERIAL AND METHODS</w:t>
      </w:r>
      <w:r w:rsidR="00902823">
        <w:rPr>
          <w:rFonts w:ascii="Arial" w:hAnsi="Arial" w:cs="Arial"/>
        </w:rPr>
        <w:t xml:space="preserve"> </w:t>
      </w:r>
    </w:p>
    <w:p w:rsidR="00790ADA" w:rsidRPr="00FB3A86" w:rsidRDefault="00790ADA" w:rsidP="00441B6F">
      <w:pPr>
        <w:pStyle w:val="Body"/>
        <w:spacing w:after="0"/>
        <w:rPr>
          <w:rFonts w:ascii="Arial" w:hAnsi="Arial" w:cs="Arial"/>
        </w:rPr>
      </w:pPr>
    </w:p>
    <w:p w:rsidR="00EE6489" w:rsidRDefault="00AA74E0" w:rsidP="00441B6F">
      <w:pPr>
        <w:pStyle w:val="Body"/>
        <w:spacing w:after="0"/>
        <w:rPr>
          <w:rFonts w:ascii="Arial" w:hAnsi="Arial" w:cs="Arial"/>
          <w:b/>
          <w:sz w:val="22"/>
        </w:rPr>
      </w:pPr>
      <w:r w:rsidRPr="00C30A0F">
        <w:rPr>
          <w:rFonts w:ascii="Arial" w:hAnsi="Arial" w:cs="Arial"/>
          <w:b/>
          <w:caps/>
          <w:sz w:val="22"/>
        </w:rPr>
        <w:t>2.1</w:t>
      </w:r>
      <w:r w:rsidR="007C717B" w:rsidRPr="007C717B">
        <w:t xml:space="preserve"> </w:t>
      </w:r>
      <w:r w:rsidR="00EE6489">
        <w:rPr>
          <w:rFonts w:ascii="Arial" w:hAnsi="Arial" w:cs="Arial"/>
          <w:b/>
          <w:sz w:val="22"/>
        </w:rPr>
        <w:t>S</w:t>
      </w:r>
      <w:r w:rsidR="00EE6489" w:rsidRPr="007C717B">
        <w:rPr>
          <w:rFonts w:ascii="Arial" w:hAnsi="Arial" w:cs="Arial"/>
          <w:b/>
          <w:sz w:val="22"/>
        </w:rPr>
        <w:t xml:space="preserve">tudy </w:t>
      </w:r>
      <w:r w:rsidR="00EE6489">
        <w:rPr>
          <w:rFonts w:ascii="Arial" w:hAnsi="Arial" w:cs="Arial"/>
          <w:b/>
          <w:sz w:val="22"/>
        </w:rPr>
        <w:t>Area and S</w:t>
      </w:r>
      <w:r w:rsidR="00EE6489" w:rsidRPr="007C717B">
        <w:rPr>
          <w:rFonts w:ascii="Arial" w:hAnsi="Arial" w:cs="Arial"/>
          <w:b/>
          <w:sz w:val="22"/>
        </w:rPr>
        <w:t xml:space="preserve">tudy population     </w:t>
      </w:r>
    </w:p>
    <w:p w:rsidR="00EE6489" w:rsidRDefault="00EE6489" w:rsidP="00441B6F">
      <w:pPr>
        <w:pStyle w:val="Body"/>
        <w:spacing w:after="0"/>
        <w:rPr>
          <w:rFonts w:ascii="Arial" w:hAnsi="Arial" w:cs="Arial"/>
        </w:rPr>
      </w:pPr>
    </w:p>
    <w:p w:rsidR="00937AA8" w:rsidRDefault="00EE6489" w:rsidP="00441B6F">
      <w:pPr>
        <w:pStyle w:val="Body"/>
        <w:spacing w:after="0"/>
        <w:rPr>
          <w:rFonts w:ascii="Arial" w:hAnsi="Arial" w:cs="Arial"/>
        </w:rPr>
      </w:pPr>
      <w:r>
        <w:rPr>
          <w:rFonts w:ascii="Arial" w:hAnsi="Arial" w:cs="Arial"/>
        </w:rPr>
        <w:t>This research was conducted in Kiambu Level 5 Hospital in F</w:t>
      </w:r>
      <w:r w:rsidR="00937AA8">
        <w:rPr>
          <w:rFonts w:ascii="Arial" w:hAnsi="Arial" w:cs="Arial"/>
        </w:rPr>
        <w:t>N</w:t>
      </w:r>
      <w:r>
        <w:rPr>
          <w:rFonts w:ascii="Arial" w:hAnsi="Arial" w:cs="Arial"/>
        </w:rPr>
        <w:t>A</w:t>
      </w:r>
      <w:r w:rsidR="00937AA8">
        <w:rPr>
          <w:rFonts w:ascii="Arial" w:hAnsi="Arial" w:cs="Arial"/>
        </w:rPr>
        <w:t>C</w:t>
      </w:r>
      <w:r>
        <w:rPr>
          <w:rFonts w:ascii="Arial" w:hAnsi="Arial" w:cs="Arial"/>
        </w:rPr>
        <w:t xml:space="preserve"> </w:t>
      </w:r>
      <w:r w:rsidR="00937AA8">
        <w:rPr>
          <w:rFonts w:ascii="Arial" w:hAnsi="Arial" w:cs="Arial"/>
        </w:rPr>
        <w:t xml:space="preserve">Clinic. The study population was comprised of 185 </w:t>
      </w:r>
      <w:r w:rsidR="00937AA8" w:rsidRPr="00937AA8">
        <w:rPr>
          <w:rFonts w:ascii="Arial" w:hAnsi="Arial" w:cs="Arial"/>
        </w:rPr>
        <w:t>women with palpable breast lumps</w:t>
      </w:r>
      <w:r w:rsidR="00937AA8">
        <w:rPr>
          <w:rFonts w:ascii="Arial" w:hAnsi="Arial" w:cs="Arial"/>
        </w:rPr>
        <w:t xml:space="preserve"> aged between 18-80 years attending</w:t>
      </w:r>
      <w:r w:rsidR="00937AA8" w:rsidRPr="00937AA8">
        <w:t xml:space="preserve"> </w:t>
      </w:r>
      <w:r w:rsidR="00937AA8" w:rsidRPr="00937AA8">
        <w:rPr>
          <w:rFonts w:ascii="Arial" w:hAnsi="Arial" w:cs="Arial"/>
        </w:rPr>
        <w:t>FNAC Clinic</w:t>
      </w:r>
      <w:r w:rsidR="00937AA8">
        <w:rPr>
          <w:rFonts w:ascii="Arial" w:hAnsi="Arial" w:cs="Arial"/>
        </w:rPr>
        <w:t xml:space="preserve"> at Kiambu Level 5 Hospital.</w:t>
      </w:r>
    </w:p>
    <w:p w:rsidR="00AA74E0" w:rsidRDefault="00937AA8" w:rsidP="00441B6F">
      <w:pPr>
        <w:pStyle w:val="Body"/>
        <w:spacing w:after="0"/>
        <w:rPr>
          <w:rFonts w:ascii="Arial" w:hAnsi="Arial" w:cs="Arial"/>
        </w:rPr>
      </w:pPr>
      <w:r>
        <w:rPr>
          <w:rFonts w:ascii="Arial" w:hAnsi="Arial" w:cs="Arial"/>
        </w:rPr>
        <w:t xml:space="preserve"> </w:t>
      </w:r>
    </w:p>
    <w:p w:rsidR="00BD31D3" w:rsidRDefault="00BD31D3" w:rsidP="00BD31D3">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1E41DB" w:rsidRPr="001E41DB">
        <w:rPr>
          <w:rFonts w:ascii="Arial" w:hAnsi="Arial" w:cs="Arial"/>
          <w:b/>
          <w:u w:val="single"/>
        </w:rPr>
        <w:t xml:space="preserve">Inclusion Criteria </w:t>
      </w:r>
    </w:p>
    <w:p w:rsidR="001E41DB" w:rsidRDefault="001E41DB" w:rsidP="00BD31D3">
      <w:pPr>
        <w:pStyle w:val="Body"/>
        <w:spacing w:after="0"/>
        <w:rPr>
          <w:rFonts w:ascii="Arial" w:hAnsi="Arial" w:cs="Arial"/>
          <w:b/>
          <w:sz w:val="22"/>
        </w:rPr>
      </w:pPr>
    </w:p>
    <w:p w:rsidR="00BD31D3" w:rsidRDefault="0014642B" w:rsidP="001E41DB">
      <w:pPr>
        <w:pStyle w:val="Body"/>
        <w:spacing w:after="0"/>
        <w:jc w:val="left"/>
        <w:rPr>
          <w:rFonts w:ascii="Arial" w:hAnsi="Arial" w:cs="Arial"/>
        </w:rPr>
      </w:pPr>
      <w:r>
        <w:rPr>
          <w:rFonts w:ascii="Arial" w:hAnsi="Arial" w:cs="Arial"/>
        </w:rPr>
        <w:t>This</w:t>
      </w:r>
      <w:r w:rsidR="001E41DB" w:rsidRPr="001E41DB">
        <w:rPr>
          <w:rFonts w:ascii="Arial" w:hAnsi="Arial" w:cs="Arial"/>
        </w:rPr>
        <w:t xml:space="preserve"> study included only women who were aged 18 years and above who presented with palpable breast lumps at Kiambu Level 5 Hospital and were referred for FNAC</w:t>
      </w:r>
      <w:r w:rsidR="001E41DB">
        <w:rPr>
          <w:rFonts w:ascii="Arial" w:hAnsi="Arial" w:cs="Arial"/>
        </w:rPr>
        <w:t xml:space="preserve"> and </w:t>
      </w:r>
      <w:r w:rsidR="001E41DB" w:rsidRPr="001E41DB">
        <w:rPr>
          <w:rFonts w:ascii="Arial" w:hAnsi="Arial" w:cs="Arial"/>
        </w:rPr>
        <w:t>provided written informed consent</w:t>
      </w:r>
      <w:r w:rsidR="001E41DB">
        <w:rPr>
          <w:rFonts w:ascii="Arial" w:hAnsi="Arial" w:cs="Arial"/>
        </w:rPr>
        <w:t xml:space="preserve">. </w:t>
      </w:r>
    </w:p>
    <w:p w:rsidR="001E41DB" w:rsidRPr="001E41DB" w:rsidRDefault="001E41DB" w:rsidP="001E41DB">
      <w:pPr>
        <w:pStyle w:val="Body"/>
        <w:spacing w:after="0"/>
        <w:jc w:val="left"/>
        <w:rPr>
          <w:rFonts w:ascii="Arial" w:hAnsi="Arial" w:cs="Arial"/>
        </w:rPr>
      </w:pPr>
    </w:p>
    <w:p w:rsidR="00BD31D3" w:rsidRDefault="001E41DB" w:rsidP="00BD31D3">
      <w:pPr>
        <w:pStyle w:val="Body"/>
        <w:spacing w:after="0"/>
        <w:rPr>
          <w:rFonts w:ascii="Arial" w:hAnsi="Arial" w:cs="Arial"/>
          <w:b/>
          <w:u w:val="single"/>
        </w:rPr>
      </w:pPr>
      <w:r>
        <w:rPr>
          <w:rFonts w:ascii="Arial" w:hAnsi="Arial" w:cs="Arial"/>
          <w:b/>
          <w:u w:val="single"/>
        </w:rPr>
        <w:t>2</w:t>
      </w:r>
      <w:r w:rsidR="00A4568B">
        <w:rPr>
          <w:rFonts w:ascii="Arial" w:hAnsi="Arial" w:cs="Arial"/>
          <w:b/>
          <w:u w:val="single"/>
        </w:rPr>
        <w:t>.1.2</w:t>
      </w:r>
      <w:r w:rsidRPr="00902823">
        <w:rPr>
          <w:rFonts w:ascii="Arial" w:hAnsi="Arial" w:cs="Arial"/>
          <w:b/>
          <w:u w:val="single"/>
        </w:rPr>
        <w:t xml:space="preserve"> </w:t>
      </w:r>
      <w:r w:rsidRPr="001E41DB">
        <w:rPr>
          <w:rFonts w:ascii="Arial" w:hAnsi="Arial" w:cs="Arial"/>
          <w:b/>
          <w:u w:val="single"/>
        </w:rPr>
        <w:t xml:space="preserve">Exclusion Criteria </w:t>
      </w:r>
    </w:p>
    <w:p w:rsidR="001E41DB" w:rsidRDefault="001E41DB" w:rsidP="00BD31D3">
      <w:pPr>
        <w:pStyle w:val="Body"/>
        <w:spacing w:after="0"/>
        <w:rPr>
          <w:rFonts w:ascii="Arial" w:hAnsi="Arial" w:cs="Arial"/>
          <w:b/>
          <w:sz w:val="22"/>
        </w:rPr>
      </w:pPr>
    </w:p>
    <w:p w:rsidR="00A4568B" w:rsidRDefault="00A4568B" w:rsidP="00BD31D3">
      <w:pPr>
        <w:pStyle w:val="Body"/>
        <w:spacing w:after="0"/>
        <w:rPr>
          <w:rFonts w:ascii="Arial" w:hAnsi="Arial" w:cs="Arial"/>
        </w:rPr>
      </w:pPr>
      <w:r w:rsidRPr="00A4568B">
        <w:rPr>
          <w:rFonts w:ascii="Arial" w:hAnsi="Arial" w:cs="Arial"/>
        </w:rPr>
        <w:t>Wom</w:t>
      </w:r>
      <w:r>
        <w:rPr>
          <w:rFonts w:ascii="Arial" w:hAnsi="Arial" w:cs="Arial"/>
        </w:rPr>
        <w:t>en below</w:t>
      </w:r>
      <w:r w:rsidRPr="00A4568B">
        <w:rPr>
          <w:rFonts w:ascii="Arial" w:hAnsi="Arial" w:cs="Arial"/>
        </w:rPr>
        <w:t xml:space="preserve"> 18 years, those who did not have palpable breast lumps, and those who declined to consent to the study were excluded. Moreover, women already undergoing breast cancer treatment or who had previously undergone a mastectomy were also not eligible for participation.</w:t>
      </w:r>
    </w:p>
    <w:p w:rsidR="007138E7" w:rsidRDefault="007138E7" w:rsidP="00BD31D3">
      <w:pPr>
        <w:pStyle w:val="Body"/>
        <w:spacing w:after="0"/>
        <w:rPr>
          <w:rFonts w:ascii="Arial" w:hAnsi="Arial" w:cs="Arial"/>
        </w:rPr>
      </w:pPr>
    </w:p>
    <w:p w:rsidR="007138E7" w:rsidRDefault="00144203" w:rsidP="00144203">
      <w:pPr>
        <w:pStyle w:val="Body"/>
        <w:numPr>
          <w:ilvl w:val="1"/>
          <w:numId w:val="34"/>
        </w:numPr>
        <w:spacing w:after="0"/>
        <w:rPr>
          <w:rFonts w:ascii="Arial" w:hAnsi="Arial" w:cs="Arial"/>
          <w:b/>
          <w:sz w:val="22"/>
        </w:rPr>
      </w:pPr>
      <w:r w:rsidRPr="00144203">
        <w:rPr>
          <w:rFonts w:ascii="Arial" w:hAnsi="Arial" w:cs="Arial"/>
          <w:b/>
          <w:sz w:val="22"/>
        </w:rPr>
        <w:t>Fine Needle Aspirate Cytology</w:t>
      </w:r>
      <w:r w:rsidR="00CF7E17">
        <w:rPr>
          <w:rFonts w:ascii="Arial" w:hAnsi="Arial" w:cs="Arial"/>
          <w:b/>
          <w:sz w:val="22"/>
        </w:rPr>
        <w:t xml:space="preserve"> (FNAC)</w:t>
      </w:r>
      <w:r w:rsidRPr="00144203">
        <w:rPr>
          <w:rFonts w:ascii="Arial" w:hAnsi="Arial" w:cs="Arial"/>
          <w:b/>
          <w:sz w:val="22"/>
        </w:rPr>
        <w:t xml:space="preserve"> Sampling</w:t>
      </w:r>
    </w:p>
    <w:p w:rsidR="007138E7" w:rsidRPr="00A4568B" w:rsidRDefault="007138E7" w:rsidP="00BD31D3">
      <w:pPr>
        <w:pStyle w:val="Body"/>
        <w:spacing w:after="0"/>
        <w:rPr>
          <w:rFonts w:ascii="Arial" w:hAnsi="Arial" w:cs="Arial"/>
        </w:rPr>
      </w:pPr>
    </w:p>
    <w:p w:rsidR="00BD31D3" w:rsidRDefault="00144203" w:rsidP="00441B6F">
      <w:pPr>
        <w:pStyle w:val="Body"/>
        <w:spacing w:after="0"/>
        <w:rPr>
          <w:rFonts w:ascii="Arial" w:hAnsi="Arial" w:cs="Arial"/>
        </w:rPr>
      </w:pPr>
      <w:r w:rsidRPr="00144203">
        <w:rPr>
          <w:rFonts w:ascii="Arial" w:hAnsi="Arial" w:cs="Arial"/>
        </w:rPr>
        <w:lastRenderedPageBreak/>
        <w:t>The FNAC procedure was performed by an experienced pathologist/clinical cytologist in accordance with established laboratory guidelines and stan</w:t>
      </w:r>
      <w:r>
        <w:rPr>
          <w:rFonts w:ascii="Arial" w:hAnsi="Arial" w:cs="Arial"/>
        </w:rPr>
        <w:t>dard operating procedures</w:t>
      </w:r>
      <w:r w:rsidRPr="00144203">
        <w:rPr>
          <w:rFonts w:ascii="Arial" w:hAnsi="Arial" w:cs="Arial"/>
        </w:rPr>
        <w:t>.</w:t>
      </w:r>
      <w:r w:rsidR="00CF7E17">
        <w:rPr>
          <w:rFonts w:ascii="Arial" w:hAnsi="Arial" w:cs="Arial"/>
        </w:rPr>
        <w:t xml:space="preserve"> The aspiration was conducted using the conventional palpation-guided technique, without the use of ultrasound guidance.</w:t>
      </w:r>
    </w:p>
    <w:p w:rsidR="00144203" w:rsidRDefault="00144203" w:rsidP="00441B6F">
      <w:pPr>
        <w:pStyle w:val="Body"/>
        <w:spacing w:after="0"/>
        <w:rPr>
          <w:rFonts w:ascii="Arial" w:hAnsi="Arial" w:cs="Arial"/>
        </w:rPr>
      </w:pPr>
    </w:p>
    <w:p w:rsidR="00FE5278" w:rsidRDefault="0076632F" w:rsidP="00FE5278">
      <w:pPr>
        <w:pStyle w:val="Body"/>
        <w:numPr>
          <w:ilvl w:val="1"/>
          <w:numId w:val="34"/>
        </w:numPr>
        <w:spacing w:after="0"/>
        <w:rPr>
          <w:rFonts w:ascii="Arial" w:hAnsi="Arial" w:cs="Arial"/>
          <w:b/>
          <w:sz w:val="22"/>
        </w:rPr>
      </w:pPr>
      <w:r>
        <w:rPr>
          <w:rFonts w:ascii="Arial" w:hAnsi="Arial" w:cs="Arial"/>
          <w:b/>
          <w:sz w:val="22"/>
        </w:rPr>
        <w:t xml:space="preserve">Data collection and Techniques </w:t>
      </w:r>
      <w:r w:rsidR="007138E7">
        <w:rPr>
          <w:rFonts w:ascii="Arial" w:hAnsi="Arial" w:cs="Arial"/>
          <w:b/>
          <w:sz w:val="22"/>
        </w:rPr>
        <w:t xml:space="preserve"> </w:t>
      </w:r>
    </w:p>
    <w:p w:rsidR="00FE5278" w:rsidRDefault="00FE5278" w:rsidP="00FE5278">
      <w:pPr>
        <w:pStyle w:val="Body"/>
        <w:spacing w:after="0"/>
        <w:ind w:left="360"/>
        <w:rPr>
          <w:rFonts w:ascii="Arial" w:hAnsi="Arial" w:cs="Arial"/>
          <w:b/>
          <w:sz w:val="22"/>
        </w:rPr>
      </w:pPr>
    </w:p>
    <w:p w:rsidR="0076632F" w:rsidRPr="00837A86" w:rsidRDefault="00FE5278" w:rsidP="00837A86">
      <w:pPr>
        <w:pStyle w:val="Body"/>
        <w:rPr>
          <w:rFonts w:ascii="Arial" w:hAnsi="Arial" w:cs="Arial"/>
        </w:rPr>
      </w:pPr>
      <w:r w:rsidRPr="00FE5278">
        <w:rPr>
          <w:rFonts w:ascii="Arial" w:hAnsi="Arial" w:cs="Arial"/>
        </w:rPr>
        <w:t xml:space="preserve">The study recruited one hundred and eighty five women with palpable breast lumps attending FNAC clinic between June 2024 and May 2025. This study recruited participants using purposive sampling technique. A structured questionnaire was used to collect the social demographic features like age, alcohol consumption history, number of offsprings, previous breast FNAC, tobacco smoking history, educational level, age at first child birth, use of contraceptives, previous radiation exposure, family history of breast cancer and BMI. Breast FNAC samples were obtained using a needle and syringe and the cell materials spread on the slide and fixed. The specimens were labeled, stained using </w:t>
      </w:r>
      <w:r w:rsidR="0014642B" w:rsidRPr="00FE5278">
        <w:rPr>
          <w:rFonts w:ascii="Arial" w:hAnsi="Arial" w:cs="Arial"/>
        </w:rPr>
        <w:t>Pap</w:t>
      </w:r>
      <w:r w:rsidR="0014642B" w:rsidRPr="0014642B">
        <w:rPr>
          <w:rFonts w:ascii="Arial" w:hAnsi="Arial" w:cs="Arial"/>
        </w:rPr>
        <w:t>anicolaou</w:t>
      </w:r>
      <w:r w:rsidR="00850E91">
        <w:rPr>
          <w:rFonts w:ascii="Arial" w:hAnsi="Arial" w:cs="Arial"/>
        </w:rPr>
        <w:t xml:space="preserve"> stain</w:t>
      </w:r>
      <w:r w:rsidRPr="00FE5278">
        <w:rPr>
          <w:rFonts w:ascii="Arial" w:hAnsi="Arial" w:cs="Arial"/>
        </w:rPr>
        <w:t xml:space="preserve"> and evaluated by the principal investigator. Reporting and signing out of the reports was done by a qualified, licensed, experienced clinical cytologist. The International Academy of Cytology Yokohama system for reporting breast FNAC 2019 was used. All participants whose cytological results were atypical, suspicious for malignancy or malignant were referred for histopathology.</w:t>
      </w:r>
      <w:r>
        <w:rPr>
          <w:rFonts w:ascii="Arial" w:hAnsi="Arial" w:cs="Arial"/>
        </w:rPr>
        <w:t xml:space="preserve"> </w:t>
      </w:r>
    </w:p>
    <w:p w:rsidR="00334C32" w:rsidRDefault="00334C32" w:rsidP="00334C32">
      <w:pPr>
        <w:pStyle w:val="Body"/>
        <w:spacing w:after="0"/>
        <w:rPr>
          <w:rFonts w:ascii="Arial" w:hAnsi="Arial" w:cs="Arial"/>
          <w:b/>
          <w:sz w:val="22"/>
        </w:rPr>
      </w:pPr>
      <w:r w:rsidRPr="00C30A0F">
        <w:rPr>
          <w:rFonts w:ascii="Arial" w:hAnsi="Arial" w:cs="Arial"/>
          <w:b/>
          <w:caps/>
          <w:sz w:val="22"/>
        </w:rPr>
        <w:t>2.</w:t>
      </w:r>
      <w:r w:rsidR="007138E7">
        <w:rPr>
          <w:rFonts w:ascii="Arial" w:hAnsi="Arial" w:cs="Arial"/>
          <w:b/>
          <w:caps/>
          <w:sz w:val="22"/>
        </w:rPr>
        <w:t>4</w:t>
      </w:r>
      <w:r w:rsidRPr="007C717B">
        <w:t xml:space="preserve"> </w:t>
      </w:r>
      <w:r>
        <w:rPr>
          <w:rFonts w:ascii="Arial" w:hAnsi="Arial" w:cs="Arial"/>
          <w:b/>
          <w:sz w:val="22"/>
        </w:rPr>
        <w:t>Data analysis</w:t>
      </w:r>
    </w:p>
    <w:p w:rsidR="00334C32" w:rsidRDefault="00334C32" w:rsidP="00334C32">
      <w:pPr>
        <w:pStyle w:val="Body"/>
        <w:spacing w:after="0"/>
        <w:rPr>
          <w:rFonts w:ascii="Arial" w:hAnsi="Arial" w:cs="Arial"/>
          <w:b/>
          <w:sz w:val="22"/>
        </w:rPr>
      </w:pPr>
    </w:p>
    <w:p w:rsidR="00505F06" w:rsidRDefault="008F0B5C" w:rsidP="00441B6F">
      <w:pPr>
        <w:pStyle w:val="Body"/>
        <w:spacing w:after="0"/>
        <w:rPr>
          <w:rFonts w:ascii="Arial" w:hAnsi="Arial" w:cs="Arial"/>
        </w:rPr>
      </w:pPr>
      <w:r w:rsidRPr="00334C32">
        <w:rPr>
          <w:rFonts w:ascii="Arial" w:hAnsi="Arial" w:cs="Arial"/>
        </w:rPr>
        <w:t>The</w:t>
      </w:r>
      <w:r w:rsidR="00334C32" w:rsidRPr="00334C32">
        <w:rPr>
          <w:rFonts w:ascii="Arial" w:hAnsi="Arial" w:cs="Arial"/>
        </w:rPr>
        <w:t xml:space="preserve"> statistical package for the social s</w:t>
      </w:r>
      <w:r w:rsidR="00334C32">
        <w:rPr>
          <w:rFonts w:ascii="Arial" w:hAnsi="Arial" w:cs="Arial"/>
        </w:rPr>
        <w:t>ciences (SPSS-Version 18) software was employed</w:t>
      </w:r>
      <w:r w:rsidR="00334C32" w:rsidRPr="00334C32">
        <w:rPr>
          <w:rFonts w:ascii="Arial" w:hAnsi="Arial" w:cs="Arial"/>
        </w:rPr>
        <w:t xml:space="preserve"> in data analysis</w:t>
      </w:r>
      <w:r w:rsidR="00334C32">
        <w:rPr>
          <w:rFonts w:ascii="Arial" w:hAnsi="Arial" w:cs="Arial"/>
        </w:rPr>
        <w:t>.</w:t>
      </w:r>
      <w:r w:rsidR="00334C32" w:rsidRPr="00334C32">
        <w:rPr>
          <w:rFonts w:ascii="Arial" w:hAnsi="Arial" w:cs="Arial"/>
        </w:rPr>
        <w:t xml:space="preserve"> Percentages an</w:t>
      </w:r>
      <w:r w:rsidR="00317099">
        <w:rPr>
          <w:rFonts w:ascii="Arial" w:hAnsi="Arial" w:cs="Arial"/>
        </w:rPr>
        <w:t xml:space="preserve">d absolute numbers were used to </w:t>
      </w:r>
      <w:r w:rsidR="00334C32" w:rsidRPr="00334C32">
        <w:rPr>
          <w:rFonts w:ascii="Arial" w:hAnsi="Arial" w:cs="Arial"/>
        </w:rPr>
        <w:t>present the variables. Comparison of the categorical data among groups was done using the chi-square test</w:t>
      </w:r>
      <w:r w:rsidR="00317099">
        <w:rPr>
          <w:rFonts w:ascii="Arial" w:hAnsi="Arial" w:cs="Arial"/>
        </w:rPr>
        <w:t xml:space="preserve"> </w:t>
      </w:r>
      <w:r w:rsidR="00317099" w:rsidRPr="00317099">
        <w:rPr>
          <w:rFonts w:ascii="Arial" w:hAnsi="Arial" w:cs="Arial"/>
        </w:rPr>
        <w:t>with the confid</w:t>
      </w:r>
      <w:r w:rsidR="00317099">
        <w:rPr>
          <w:rFonts w:ascii="Arial" w:hAnsi="Arial" w:cs="Arial"/>
        </w:rPr>
        <w:t xml:space="preserve">ence interval at 95% and </w:t>
      </w:r>
      <w:r w:rsidR="00AF2E21" w:rsidRPr="00AF2E21">
        <w:rPr>
          <w:rFonts w:ascii="Arial" w:hAnsi="Arial" w:cs="Arial"/>
          <w:i/>
        </w:rPr>
        <w:t>P</w:t>
      </w:r>
      <w:r w:rsidR="00317099" w:rsidRPr="00317099">
        <w:rPr>
          <w:rFonts w:ascii="Arial" w:hAnsi="Arial" w:cs="Arial"/>
        </w:rPr>
        <w:t>≤ 0.05 considered to be statistically significant.</w:t>
      </w:r>
    </w:p>
    <w:p w:rsidR="00334C32" w:rsidRDefault="00334C32"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656899" w:rsidRDefault="00656899" w:rsidP="00441B6F">
      <w:pPr>
        <w:pStyle w:val="Head1"/>
        <w:spacing w:after="0"/>
        <w:jc w:val="both"/>
        <w:rPr>
          <w:rFonts w:ascii="Arial" w:hAnsi="Arial" w:cs="Arial"/>
        </w:rPr>
      </w:pPr>
    </w:p>
    <w:p w:rsidR="00790ADA" w:rsidRDefault="00656899" w:rsidP="00441B6F">
      <w:pPr>
        <w:pStyle w:val="Head1"/>
        <w:spacing w:after="0"/>
        <w:jc w:val="both"/>
        <w:rPr>
          <w:rFonts w:ascii="Arial" w:hAnsi="Arial" w:cs="Arial"/>
        </w:rPr>
      </w:pPr>
      <w:r w:rsidRPr="00656899">
        <w:rPr>
          <w:rFonts w:ascii="Arial" w:hAnsi="Arial" w:cs="Arial"/>
        </w:rPr>
        <w:t>3.</w:t>
      </w:r>
      <w:r>
        <w:rPr>
          <w:rFonts w:ascii="Arial" w:hAnsi="Arial" w:cs="Arial"/>
        </w:rPr>
        <w:t>1</w:t>
      </w:r>
      <w:r w:rsidRPr="00656899">
        <w:rPr>
          <w:rFonts w:ascii="Arial" w:hAnsi="Arial" w:cs="Arial"/>
        </w:rPr>
        <w:t xml:space="preserve"> RESULTS </w:t>
      </w:r>
    </w:p>
    <w:p w:rsidR="00C4231F" w:rsidRDefault="00C4231F" w:rsidP="00441B6F">
      <w:pPr>
        <w:pStyle w:val="Head1"/>
        <w:spacing w:after="0"/>
        <w:jc w:val="both"/>
        <w:rPr>
          <w:rFonts w:ascii="Arial" w:hAnsi="Arial" w:cs="Arial"/>
        </w:rPr>
      </w:pPr>
    </w:p>
    <w:p w:rsidR="00C4231F" w:rsidRDefault="00C4231F" w:rsidP="00441B6F">
      <w:pPr>
        <w:pStyle w:val="Body"/>
        <w:spacing w:after="0"/>
        <w:rPr>
          <w:rFonts w:ascii="Arial" w:hAnsi="Arial" w:cs="Arial"/>
        </w:rPr>
      </w:pPr>
      <w:r w:rsidRPr="00C4231F">
        <w:rPr>
          <w:rFonts w:ascii="Arial" w:hAnsi="Arial" w:cs="Arial"/>
          <w:b/>
          <w:u w:val="single"/>
        </w:rPr>
        <w:t>3.1.1</w:t>
      </w:r>
      <w:r>
        <w:rPr>
          <w:rFonts w:ascii="Arial" w:hAnsi="Arial" w:cs="Arial"/>
          <w:b/>
          <w:u w:val="single"/>
        </w:rPr>
        <w:t xml:space="preserve"> </w:t>
      </w:r>
      <w:r w:rsidRPr="00C4231F">
        <w:rPr>
          <w:rFonts w:ascii="Arial" w:hAnsi="Arial" w:cs="Arial"/>
          <w:b/>
          <w:u w:val="single"/>
        </w:rPr>
        <w:t>Cytological Classification based on the International Academy of Cytology Yokohama S</w:t>
      </w:r>
      <w:r>
        <w:rPr>
          <w:rFonts w:ascii="Arial" w:hAnsi="Arial" w:cs="Arial"/>
          <w:b/>
          <w:u w:val="single"/>
        </w:rPr>
        <w:t>ystem for Reporting Breast</w:t>
      </w:r>
      <w:r w:rsidR="00BA1573">
        <w:rPr>
          <w:rFonts w:ascii="Arial" w:hAnsi="Arial" w:cs="Arial"/>
          <w:b/>
          <w:u w:val="single"/>
        </w:rPr>
        <w:t xml:space="preserve"> </w:t>
      </w:r>
      <w:r>
        <w:rPr>
          <w:rFonts w:ascii="Arial" w:hAnsi="Arial" w:cs="Arial"/>
          <w:b/>
          <w:u w:val="single"/>
        </w:rPr>
        <w:t>FNAC</w:t>
      </w:r>
      <w:r w:rsidR="00BA1573" w:rsidRPr="00BA1573">
        <w:rPr>
          <w:rFonts w:ascii="Arial" w:hAnsi="Arial" w:cs="Arial"/>
          <w:b/>
          <w:u w:val="single"/>
        </w:rPr>
        <w:t xml:space="preserve"> 2019</w:t>
      </w:r>
      <w:r w:rsidR="00BA1573">
        <w:rPr>
          <w:rFonts w:ascii="Arial" w:hAnsi="Arial" w:cs="Arial"/>
          <w:b/>
          <w:u w:val="single"/>
        </w:rPr>
        <w:t xml:space="preserve"> </w:t>
      </w:r>
      <w:r w:rsidRPr="00C4231F">
        <w:rPr>
          <w:rFonts w:ascii="Arial" w:hAnsi="Arial" w:cs="Arial"/>
          <w:b/>
          <w:u w:val="single"/>
        </w:rPr>
        <w:t xml:space="preserve"> </w:t>
      </w:r>
    </w:p>
    <w:p w:rsidR="00C4231F" w:rsidRDefault="00C4231F" w:rsidP="00441B6F">
      <w:pPr>
        <w:pStyle w:val="Body"/>
        <w:spacing w:after="0"/>
        <w:rPr>
          <w:rFonts w:ascii="Arial" w:hAnsi="Arial" w:cs="Arial"/>
        </w:rPr>
      </w:pPr>
    </w:p>
    <w:p w:rsidR="00C4231F" w:rsidRDefault="00C4231F" w:rsidP="00441B6F">
      <w:pPr>
        <w:pStyle w:val="Body"/>
        <w:spacing w:after="0"/>
        <w:rPr>
          <w:rFonts w:ascii="Arial" w:hAnsi="Arial" w:cs="Arial"/>
        </w:rPr>
      </w:pPr>
      <w:r w:rsidRPr="00C4231F">
        <w:rPr>
          <w:rFonts w:ascii="Arial" w:hAnsi="Arial" w:cs="Arial"/>
        </w:rPr>
        <w:t>Out of 185 participants, 165 (89.2%) were classified as Benign, 2 (1.1%) as Atypical, 14 (7.5 %) as Suspicious of malignancy, and 4 (2.2%) as Malignant. There were no insufficient smears rep</w:t>
      </w:r>
      <w:r>
        <w:rPr>
          <w:rFonts w:ascii="Arial" w:hAnsi="Arial" w:cs="Arial"/>
        </w:rPr>
        <w:t>orted in this study. (Figure 1</w:t>
      </w:r>
      <w:r w:rsidRPr="00C4231F">
        <w:rPr>
          <w:rFonts w:ascii="Arial" w:hAnsi="Arial" w:cs="Arial"/>
        </w:rPr>
        <w:t xml:space="preserve">) </w:t>
      </w:r>
    </w:p>
    <w:p w:rsidR="00FB4E82" w:rsidRDefault="00FB4E82" w:rsidP="00441B6F">
      <w:pPr>
        <w:pStyle w:val="Body"/>
        <w:spacing w:after="0"/>
        <w:rPr>
          <w:rFonts w:ascii="Arial" w:hAnsi="Arial" w:cs="Arial"/>
        </w:rPr>
      </w:pPr>
    </w:p>
    <w:p w:rsidR="00FB4E82" w:rsidRPr="00FB4E82" w:rsidRDefault="00FB4E82" w:rsidP="00FB4E82">
      <w:pPr>
        <w:pStyle w:val="Body"/>
        <w:rPr>
          <w:rFonts w:ascii="Arial" w:hAnsi="Arial" w:cs="Arial"/>
        </w:rPr>
      </w:pPr>
      <w:r w:rsidRPr="00FB4E82">
        <w:rPr>
          <w:rFonts w:ascii="Arial" w:hAnsi="Arial" w:cs="Arial"/>
          <w:b/>
          <w:u w:val="single"/>
        </w:rPr>
        <w:t>3</w:t>
      </w:r>
      <w:r>
        <w:rPr>
          <w:rFonts w:ascii="Arial" w:hAnsi="Arial" w:cs="Arial"/>
          <w:b/>
          <w:u w:val="single"/>
        </w:rPr>
        <w:t xml:space="preserve">.1.2 </w:t>
      </w:r>
      <w:r w:rsidRPr="00FB4E82">
        <w:rPr>
          <w:rFonts w:ascii="Arial" w:hAnsi="Arial" w:cs="Arial"/>
          <w:b/>
          <w:u w:val="single"/>
        </w:rPr>
        <w:t xml:space="preserve">Prevalence of Benign and Malignant Breast Lesions </w:t>
      </w:r>
    </w:p>
    <w:p w:rsidR="00FB4E82" w:rsidRDefault="00FB4E82" w:rsidP="00FB4E82">
      <w:pPr>
        <w:pStyle w:val="Body"/>
        <w:rPr>
          <w:rFonts w:ascii="Arial" w:hAnsi="Arial" w:cs="Arial"/>
        </w:rPr>
      </w:pPr>
      <w:r w:rsidRPr="00FB4E82">
        <w:rPr>
          <w:rFonts w:ascii="Arial" w:hAnsi="Arial" w:cs="Arial"/>
        </w:rPr>
        <w:t>Among the participants who presented with palpable breast lumps, cytological findings categorized under the International Academy of Cytology (IAC) Yokohama System revealed that 20 cases fell under the categories of atypical, suspicious for malignancy, or malignant. These</w:t>
      </w:r>
      <w:r>
        <w:rPr>
          <w:rFonts w:ascii="Arial" w:hAnsi="Arial" w:cs="Arial"/>
        </w:rPr>
        <w:t xml:space="preserve"> 20</w:t>
      </w:r>
      <w:r w:rsidRPr="00FB4E82">
        <w:rPr>
          <w:rFonts w:ascii="Arial" w:hAnsi="Arial" w:cs="Arial"/>
        </w:rPr>
        <w:t xml:space="preserve"> cases were subsequently subjected to histopathological evaluation to confirm the nature of the lesions. Upon further analysis, two cases that were initially classified as atypical, along with two cases initially categorized as suspicious for malignancy, were histologically confirmed to be benign fibroadenomas. The remaining 16 cases were confirmed as malignant, with diagnoses of invasive ductal carcinoma (IDC) and invasive lobu</w:t>
      </w:r>
      <w:r>
        <w:rPr>
          <w:rFonts w:ascii="Arial" w:hAnsi="Arial" w:cs="Arial"/>
        </w:rPr>
        <w:t xml:space="preserve">lar carcinoma (ILC) being made. </w:t>
      </w:r>
    </w:p>
    <w:p w:rsidR="00FB4E82" w:rsidRDefault="00FB4E82" w:rsidP="00FB4E82">
      <w:pPr>
        <w:pStyle w:val="Body"/>
        <w:rPr>
          <w:rFonts w:ascii="Arial" w:hAnsi="Arial" w:cs="Arial"/>
        </w:rPr>
      </w:pPr>
      <w:r w:rsidRPr="00FB4E82">
        <w:rPr>
          <w:rFonts w:ascii="Arial" w:hAnsi="Arial" w:cs="Arial"/>
        </w:rPr>
        <w:t>Overall, 169 participants were confirmed to have benign breast lesions, while 16 participants were found to have malignant lesions</w:t>
      </w:r>
      <w:r>
        <w:rPr>
          <w:rFonts w:ascii="Arial" w:hAnsi="Arial" w:cs="Arial"/>
        </w:rPr>
        <w:t>.</w:t>
      </w:r>
      <w:r w:rsidRPr="00FB4E82">
        <w:t xml:space="preserve"> </w:t>
      </w:r>
      <w:r w:rsidRPr="00FB4E82">
        <w:rPr>
          <w:rFonts w:ascii="Arial" w:hAnsi="Arial" w:cs="Arial"/>
        </w:rPr>
        <w:t>This corresponds to a benign lesion prevalence of 91.4% and a malignant lesion prevalence of 8.6% among women with palpable breast lump</w:t>
      </w:r>
      <w:r>
        <w:rPr>
          <w:rFonts w:ascii="Arial" w:hAnsi="Arial" w:cs="Arial"/>
        </w:rPr>
        <w:t xml:space="preserve">s (Table </w:t>
      </w:r>
      <w:r w:rsidRPr="00FB4E82">
        <w:rPr>
          <w:rFonts w:ascii="Arial" w:hAnsi="Arial" w:cs="Arial"/>
        </w:rPr>
        <w:t>1)</w:t>
      </w:r>
    </w:p>
    <w:p w:rsidR="00106CB1" w:rsidRDefault="00106CB1" w:rsidP="00106CB1">
      <w:pPr>
        <w:pStyle w:val="Body"/>
        <w:spacing w:after="0"/>
        <w:rPr>
          <w:rFonts w:ascii="Arial" w:hAnsi="Arial" w:cs="Arial"/>
          <w:b/>
          <w:u w:val="single"/>
        </w:rPr>
      </w:pPr>
      <w:r w:rsidRPr="00106CB1">
        <w:rPr>
          <w:rFonts w:ascii="Arial" w:hAnsi="Arial" w:cs="Arial"/>
          <w:b/>
          <w:u w:val="single"/>
        </w:rPr>
        <w:t>3.1.</w:t>
      </w:r>
      <w:r>
        <w:rPr>
          <w:rFonts w:ascii="Arial" w:hAnsi="Arial" w:cs="Arial"/>
          <w:b/>
          <w:u w:val="single"/>
        </w:rPr>
        <w:t>3</w:t>
      </w:r>
      <w:r w:rsidRPr="00106CB1">
        <w:rPr>
          <w:rFonts w:ascii="Arial" w:hAnsi="Arial" w:cs="Arial"/>
          <w:b/>
          <w:u w:val="single"/>
        </w:rPr>
        <w:t xml:space="preserve"> Patterns of Breast</w:t>
      </w:r>
      <w:r w:rsidR="008F6662">
        <w:rPr>
          <w:rFonts w:ascii="Arial" w:hAnsi="Arial" w:cs="Arial"/>
          <w:b/>
          <w:u w:val="single"/>
        </w:rPr>
        <w:t xml:space="preserve"> Lesions among Women </w:t>
      </w:r>
      <w:r w:rsidRPr="00106CB1">
        <w:rPr>
          <w:rFonts w:ascii="Arial" w:hAnsi="Arial" w:cs="Arial"/>
          <w:b/>
          <w:u w:val="single"/>
        </w:rPr>
        <w:t xml:space="preserve">with Palpable Breast Lumps </w:t>
      </w:r>
    </w:p>
    <w:p w:rsidR="00106CB1" w:rsidRPr="00106CB1" w:rsidRDefault="00106CB1" w:rsidP="00106CB1">
      <w:pPr>
        <w:pStyle w:val="Body"/>
        <w:spacing w:after="0"/>
        <w:rPr>
          <w:rFonts w:ascii="Arial" w:hAnsi="Arial" w:cs="Arial"/>
        </w:rPr>
      </w:pPr>
    </w:p>
    <w:p w:rsidR="00106CB1" w:rsidRPr="00106CB1" w:rsidRDefault="00FB4E82" w:rsidP="00106CB1">
      <w:pPr>
        <w:pStyle w:val="Body"/>
        <w:rPr>
          <w:rFonts w:ascii="Arial" w:hAnsi="Arial" w:cs="Arial"/>
        </w:rPr>
      </w:pPr>
      <w:r w:rsidRPr="00FB4E82">
        <w:rPr>
          <w:rFonts w:ascii="Arial" w:hAnsi="Arial" w:cs="Arial"/>
        </w:rPr>
        <w:t xml:space="preserve"> </w:t>
      </w:r>
      <w:r w:rsidR="00106CB1" w:rsidRPr="00106CB1">
        <w:rPr>
          <w:rFonts w:ascii="Arial" w:hAnsi="Arial" w:cs="Arial"/>
        </w:rPr>
        <w:t>Among the 169 participants who were diagnosed with benign breast lesions, fibroadenoma emerged as the most frequently encountered lesion, accounting for 110 cases (65.1%). This was followed by lipoma, observed in 27 participants (16%), and fibrocystic changes, which were identified in 19 cases (11.1%). Other less common benign lesions included galactocele (6 cases, 3.6%), fat necrosis (5 cases, 3%), and phyllodes tumor as well as inflammatory lymph nodes, each reported in a single participant (0.6%).</w:t>
      </w:r>
      <w:r w:rsidR="004C4239" w:rsidRPr="004C4239">
        <w:t xml:space="preserve"> </w:t>
      </w:r>
      <w:r w:rsidR="004C4239">
        <w:t>(</w:t>
      </w:r>
      <w:r w:rsidR="004C4239" w:rsidRPr="004C4239">
        <w:rPr>
          <w:rFonts w:ascii="Arial" w:hAnsi="Arial" w:cs="Arial"/>
        </w:rPr>
        <w:t>Table 2</w:t>
      </w:r>
      <w:r w:rsidR="004C4239">
        <w:rPr>
          <w:rFonts w:ascii="Arial" w:hAnsi="Arial" w:cs="Arial"/>
        </w:rPr>
        <w:t>)</w:t>
      </w:r>
    </w:p>
    <w:p w:rsidR="00106CB1" w:rsidRDefault="00106CB1" w:rsidP="00106CB1">
      <w:pPr>
        <w:pStyle w:val="Body"/>
        <w:spacing w:after="0"/>
        <w:rPr>
          <w:rFonts w:ascii="Arial" w:hAnsi="Arial" w:cs="Arial"/>
        </w:rPr>
      </w:pPr>
      <w:r w:rsidRPr="00106CB1">
        <w:rPr>
          <w:rFonts w:ascii="Arial" w:hAnsi="Arial" w:cs="Arial"/>
        </w:rPr>
        <w:t xml:space="preserve">For the malignant lesions, invasive ductal carcinoma (IDC) was the predominant type, diagnosed in 15 out of 16 malignant cases (93.8%). Invasive lobular carcinoma (ILC) was observed in </w:t>
      </w:r>
      <w:r w:rsidR="004C4239">
        <w:rPr>
          <w:rFonts w:ascii="Arial" w:hAnsi="Arial" w:cs="Arial"/>
        </w:rPr>
        <w:t>only one case (6.2%) (</w:t>
      </w:r>
      <w:r>
        <w:rPr>
          <w:rFonts w:ascii="Arial" w:hAnsi="Arial" w:cs="Arial"/>
        </w:rPr>
        <w:t xml:space="preserve">Table </w:t>
      </w:r>
      <w:r w:rsidRPr="00106CB1">
        <w:rPr>
          <w:rFonts w:ascii="Arial" w:hAnsi="Arial" w:cs="Arial"/>
        </w:rPr>
        <w:t xml:space="preserve">3) </w:t>
      </w:r>
    </w:p>
    <w:p w:rsidR="009F0340" w:rsidRDefault="009F0340" w:rsidP="00106CB1">
      <w:pPr>
        <w:pStyle w:val="Body"/>
        <w:spacing w:after="0"/>
        <w:rPr>
          <w:rFonts w:ascii="Arial" w:hAnsi="Arial" w:cs="Arial"/>
        </w:rPr>
      </w:pPr>
    </w:p>
    <w:p w:rsidR="00ED0636" w:rsidRDefault="00ED0636" w:rsidP="00106CB1">
      <w:pPr>
        <w:pStyle w:val="Body"/>
        <w:spacing w:after="0"/>
        <w:rPr>
          <w:rFonts w:ascii="Arial" w:hAnsi="Arial" w:cs="Arial"/>
        </w:rPr>
      </w:pPr>
    </w:p>
    <w:p w:rsidR="00106CB1" w:rsidRPr="00106CB1" w:rsidRDefault="00106CB1" w:rsidP="00106CB1">
      <w:pPr>
        <w:pStyle w:val="Body"/>
        <w:rPr>
          <w:rFonts w:ascii="Arial" w:hAnsi="Arial" w:cs="Arial"/>
          <w:b/>
          <w:u w:val="single"/>
        </w:rPr>
      </w:pPr>
      <w:r w:rsidRPr="00106CB1">
        <w:rPr>
          <w:rFonts w:ascii="Arial" w:hAnsi="Arial" w:cs="Arial"/>
          <w:b/>
          <w:u w:val="single"/>
        </w:rPr>
        <w:t>3.1.</w:t>
      </w:r>
      <w:r>
        <w:rPr>
          <w:rFonts w:ascii="Arial" w:hAnsi="Arial" w:cs="Arial"/>
          <w:b/>
          <w:u w:val="single"/>
        </w:rPr>
        <w:t xml:space="preserve">4 </w:t>
      </w:r>
      <w:r w:rsidRPr="00106CB1">
        <w:rPr>
          <w:rFonts w:ascii="Arial" w:hAnsi="Arial" w:cs="Arial"/>
          <w:b/>
          <w:u w:val="single"/>
        </w:rPr>
        <w:t>The risk factors associated with breas</w:t>
      </w:r>
      <w:r w:rsidR="008F6662">
        <w:rPr>
          <w:rFonts w:ascii="Arial" w:hAnsi="Arial" w:cs="Arial"/>
          <w:b/>
          <w:u w:val="single"/>
        </w:rPr>
        <w:t>t lesions among women</w:t>
      </w:r>
      <w:r w:rsidRPr="00106CB1">
        <w:rPr>
          <w:rFonts w:ascii="Arial" w:hAnsi="Arial" w:cs="Arial"/>
          <w:b/>
          <w:u w:val="single"/>
        </w:rPr>
        <w:t xml:space="preserve"> with palpable breast lumps </w:t>
      </w:r>
    </w:p>
    <w:p w:rsidR="00D74E90" w:rsidRDefault="00D74E90" w:rsidP="00106CB1">
      <w:pPr>
        <w:pStyle w:val="Body"/>
        <w:spacing w:after="0"/>
        <w:rPr>
          <w:rFonts w:ascii="Arial" w:hAnsi="Arial" w:cs="Arial"/>
        </w:rPr>
      </w:pPr>
      <w:r w:rsidRPr="00D74E90">
        <w:rPr>
          <w:rFonts w:ascii="Arial" w:hAnsi="Arial" w:cs="Arial"/>
        </w:rPr>
        <w:t>The majority of benign lesions were observed in the youngest age group (18–27 years), with 85 cases (45.9%).</w:t>
      </w:r>
      <w:r w:rsidRPr="00D74E90">
        <w:t xml:space="preserve"> </w:t>
      </w:r>
      <w:r w:rsidRPr="00D74E90">
        <w:rPr>
          <w:rFonts w:ascii="Arial" w:hAnsi="Arial" w:cs="Arial"/>
        </w:rPr>
        <w:t xml:space="preserve">In contrast, the least number of benign lesions was seen in the oldest age group (68–77 years), with only 3 cases (1.6%). Malignant lesions were distributed across the middle to older age groups, with the highest number observed in the 48–57-year age group (6 cases, 3.2%), followed by 4 cases each in the 28–37 and 38–47 age groups. </w:t>
      </w:r>
      <w:r>
        <w:rPr>
          <w:rFonts w:ascii="Arial" w:hAnsi="Arial" w:cs="Arial"/>
        </w:rPr>
        <w:t>A</w:t>
      </w:r>
      <w:r w:rsidRPr="00D74E90">
        <w:rPr>
          <w:rFonts w:ascii="Arial" w:hAnsi="Arial" w:cs="Arial"/>
        </w:rPr>
        <w:t>ge was significantly associated with the type of breast lesion identified among women with palpable breast lumps</w:t>
      </w:r>
      <w:r>
        <w:rPr>
          <w:rFonts w:ascii="Arial" w:hAnsi="Arial" w:cs="Arial"/>
        </w:rPr>
        <w:t xml:space="preserve"> </w:t>
      </w:r>
      <w:r w:rsidRPr="00D74E90">
        <w:rPr>
          <w:rFonts w:ascii="Arial" w:hAnsi="Arial" w:cs="Arial"/>
        </w:rPr>
        <w:t>(</w:t>
      </w:r>
      <w:r w:rsidRPr="00D74E90">
        <w:rPr>
          <w:rFonts w:ascii="Arial" w:hAnsi="Arial" w:cs="Arial"/>
          <w:i/>
        </w:rPr>
        <w:t>P</w:t>
      </w:r>
      <w:r>
        <w:rPr>
          <w:rFonts w:ascii="Arial" w:hAnsi="Arial" w:cs="Arial"/>
        </w:rPr>
        <w:t xml:space="preserve"> = 0.001)</w:t>
      </w:r>
      <w:r w:rsidR="00B7467A">
        <w:rPr>
          <w:rFonts w:ascii="Arial" w:hAnsi="Arial" w:cs="Arial"/>
        </w:rPr>
        <w:t>.</w:t>
      </w:r>
      <w:r w:rsidRPr="00D74E90">
        <w:rPr>
          <w:rFonts w:ascii="Arial" w:hAnsi="Arial" w:cs="Arial"/>
        </w:rPr>
        <w:t xml:space="preserve">  </w:t>
      </w:r>
      <w:r w:rsidR="00B7467A">
        <w:rPr>
          <w:rFonts w:ascii="Arial" w:hAnsi="Arial" w:cs="Arial"/>
        </w:rPr>
        <w:t>(Table 4</w:t>
      </w:r>
      <w:r w:rsidR="00B7467A" w:rsidRPr="00B7467A">
        <w:rPr>
          <w:rFonts w:ascii="Arial" w:hAnsi="Arial" w:cs="Arial"/>
        </w:rPr>
        <w:t>)</w:t>
      </w:r>
    </w:p>
    <w:p w:rsidR="00E67CF7" w:rsidRDefault="00E67CF7" w:rsidP="00106CB1">
      <w:pPr>
        <w:pStyle w:val="Body"/>
        <w:spacing w:after="0"/>
        <w:rPr>
          <w:rFonts w:ascii="Arial" w:hAnsi="Arial" w:cs="Arial"/>
        </w:rPr>
      </w:pPr>
    </w:p>
    <w:p w:rsidR="007B791D" w:rsidRDefault="00106CB1" w:rsidP="008F0B5C">
      <w:pPr>
        <w:pStyle w:val="Body"/>
        <w:spacing w:after="0"/>
        <w:rPr>
          <w:rFonts w:ascii="Arial" w:hAnsi="Arial" w:cs="Arial"/>
        </w:rPr>
      </w:pPr>
      <w:r w:rsidRPr="00106CB1">
        <w:rPr>
          <w:rFonts w:ascii="Arial" w:hAnsi="Arial" w:cs="Arial"/>
        </w:rPr>
        <w:t xml:space="preserve"> </w:t>
      </w:r>
      <w:r w:rsidR="007B791D" w:rsidRPr="007B791D">
        <w:rPr>
          <w:rFonts w:ascii="Arial" w:hAnsi="Arial" w:cs="Arial"/>
        </w:rPr>
        <w:t xml:space="preserve">The number of offspring and the age at first childbirth were evaluated as potential risk factors associated with the </w:t>
      </w:r>
      <w:r w:rsidR="007B791D">
        <w:rPr>
          <w:rFonts w:ascii="Arial" w:hAnsi="Arial" w:cs="Arial"/>
        </w:rPr>
        <w:t>benign and</w:t>
      </w:r>
      <w:r w:rsidR="007B791D" w:rsidRPr="007B791D">
        <w:rPr>
          <w:rFonts w:ascii="Arial" w:hAnsi="Arial" w:cs="Arial"/>
        </w:rPr>
        <w:t xml:space="preserve"> malignant </w:t>
      </w:r>
      <w:r w:rsidR="007B791D">
        <w:rPr>
          <w:rFonts w:ascii="Arial" w:hAnsi="Arial" w:cs="Arial"/>
        </w:rPr>
        <w:t>breast lesions.</w:t>
      </w:r>
      <w:r w:rsidR="00FA1FE0" w:rsidRPr="00FA1FE0">
        <w:t xml:space="preserve"> </w:t>
      </w:r>
      <w:r w:rsidR="00FA1FE0" w:rsidRPr="00FA1FE0">
        <w:rPr>
          <w:rFonts w:ascii="Arial" w:hAnsi="Arial" w:cs="Arial"/>
        </w:rPr>
        <w:t>The number of offspring was statistically significantly associated with the type of breast lesion (</w:t>
      </w:r>
      <w:r w:rsidR="00FA1FE0" w:rsidRPr="00FA1FE0">
        <w:rPr>
          <w:rFonts w:ascii="Arial" w:hAnsi="Arial" w:cs="Arial"/>
          <w:i/>
        </w:rPr>
        <w:t xml:space="preserve">P </w:t>
      </w:r>
      <w:r w:rsidR="00FA1FE0">
        <w:rPr>
          <w:rFonts w:ascii="Arial" w:hAnsi="Arial" w:cs="Arial"/>
        </w:rPr>
        <w:t>= 0.0001).</w:t>
      </w:r>
      <w:r w:rsidR="00FA1FE0" w:rsidRPr="00FA1FE0">
        <w:t xml:space="preserve"> </w:t>
      </w:r>
      <w:r w:rsidR="009F0340">
        <w:rPr>
          <w:rFonts w:ascii="Arial" w:hAnsi="Arial" w:cs="Arial"/>
        </w:rPr>
        <w:t xml:space="preserve"> </w:t>
      </w:r>
      <w:r w:rsidR="00FA1FE0" w:rsidRPr="00FA1FE0">
        <w:rPr>
          <w:rFonts w:ascii="Arial" w:hAnsi="Arial" w:cs="Arial"/>
        </w:rPr>
        <w:t xml:space="preserve">The association between age at first childbirth and breast lesions was </w:t>
      </w:r>
      <w:r w:rsidR="009F0340">
        <w:rPr>
          <w:rFonts w:ascii="Arial" w:hAnsi="Arial" w:cs="Arial"/>
        </w:rPr>
        <w:t xml:space="preserve">also found to be </w:t>
      </w:r>
      <w:r w:rsidR="00FA1FE0" w:rsidRPr="00FA1FE0">
        <w:rPr>
          <w:rFonts w:ascii="Arial" w:hAnsi="Arial" w:cs="Arial"/>
        </w:rPr>
        <w:t>statistically significant (</w:t>
      </w:r>
      <w:r w:rsidR="00FA1FE0" w:rsidRPr="00FA1FE0">
        <w:rPr>
          <w:rFonts w:ascii="Arial" w:hAnsi="Arial" w:cs="Arial"/>
          <w:i/>
        </w:rPr>
        <w:t>P</w:t>
      </w:r>
      <w:r w:rsidR="00FA1FE0" w:rsidRPr="00FA1FE0">
        <w:rPr>
          <w:rFonts w:ascii="Arial" w:hAnsi="Arial" w:cs="Arial"/>
        </w:rPr>
        <w:t xml:space="preserve"> = 0.031),</w:t>
      </w:r>
      <w:r w:rsidR="00FA1FE0">
        <w:rPr>
          <w:rFonts w:ascii="Arial" w:hAnsi="Arial" w:cs="Arial"/>
        </w:rPr>
        <w:t xml:space="preserve"> {Table 5</w:t>
      </w:r>
      <w:r w:rsidR="00FA1FE0" w:rsidRPr="00FA1FE0">
        <w:rPr>
          <w:rFonts w:ascii="Arial" w:hAnsi="Arial" w:cs="Arial"/>
        </w:rPr>
        <w:t>}.</w:t>
      </w:r>
    </w:p>
    <w:p w:rsidR="00577F9A" w:rsidRDefault="00577F9A" w:rsidP="00106CB1">
      <w:pPr>
        <w:pStyle w:val="Body"/>
        <w:spacing w:after="0"/>
        <w:rPr>
          <w:rFonts w:ascii="Arial" w:hAnsi="Arial" w:cs="Arial"/>
        </w:rPr>
      </w:pPr>
    </w:p>
    <w:p w:rsidR="00577F9A" w:rsidRDefault="00577F9A" w:rsidP="00577F9A">
      <w:pPr>
        <w:rPr>
          <w:rFonts w:ascii="Arial" w:hAnsi="Arial" w:cs="Arial"/>
        </w:rPr>
      </w:pPr>
      <w:r w:rsidRPr="00577F9A">
        <w:rPr>
          <w:rFonts w:ascii="Arial" w:hAnsi="Arial" w:cs="Arial"/>
        </w:rPr>
        <w:t>Out of the 185 participants, 13 (7.0%) reported a history of tobacco smoking, while the majority, 172 (93.0%), had never smoked. Among the smokers, all 13 (7.0%) were diagnosed with benign lesions, and none had malignant lesions. The</w:t>
      </w:r>
      <w:r w:rsidR="009F0340">
        <w:rPr>
          <w:rFonts w:ascii="Arial" w:hAnsi="Arial" w:cs="Arial"/>
        </w:rPr>
        <w:t xml:space="preserve">re was no statistically significant association between tobacco smoking and the type of breast </w:t>
      </w:r>
      <w:r w:rsidR="006326E5">
        <w:rPr>
          <w:rFonts w:ascii="Arial" w:hAnsi="Arial" w:cs="Arial"/>
        </w:rPr>
        <w:t>lesions</w:t>
      </w:r>
      <w:r w:rsidR="006326E5" w:rsidRPr="00577F9A">
        <w:rPr>
          <w:rFonts w:ascii="Arial" w:hAnsi="Arial" w:cs="Arial"/>
        </w:rPr>
        <w:t xml:space="preserve"> </w:t>
      </w:r>
      <w:r w:rsidR="006326E5">
        <w:rPr>
          <w:rFonts w:ascii="Arial" w:hAnsi="Arial" w:cs="Arial"/>
        </w:rPr>
        <w:t>(</w:t>
      </w:r>
      <w:r w:rsidRPr="004C4239">
        <w:rPr>
          <w:rFonts w:ascii="Arial" w:hAnsi="Arial" w:cs="Arial"/>
          <w:i/>
        </w:rPr>
        <w:t>P</w:t>
      </w:r>
      <w:r w:rsidRPr="00577F9A">
        <w:rPr>
          <w:rFonts w:ascii="Arial" w:hAnsi="Arial" w:cs="Arial"/>
        </w:rPr>
        <w:t xml:space="preserve"> = 0.250). </w:t>
      </w:r>
    </w:p>
    <w:p w:rsidR="00577F9A" w:rsidRDefault="00577F9A" w:rsidP="00577F9A">
      <w:pPr>
        <w:rPr>
          <w:rFonts w:ascii="Arial" w:hAnsi="Arial" w:cs="Arial"/>
        </w:rPr>
      </w:pPr>
      <w:r w:rsidRPr="00577F9A">
        <w:rPr>
          <w:rFonts w:ascii="Arial" w:hAnsi="Arial" w:cs="Arial"/>
        </w:rPr>
        <w:t xml:space="preserve">Regarding alcohol consumption, 38 participants (20.5%) reported having consumed alcohol, while 147 (79.5%) had not. Among the alcohol consumers, 31 (16.8%) were diagnosed with benign lesions, and 7 (3.8%) had malignant lesions. A chi-square test revealed a statistically significant association between alcohol consumption and breast lesion classification (P = 0.016) </w:t>
      </w:r>
      <w:r w:rsidR="009F0340">
        <w:rPr>
          <w:rFonts w:ascii="Arial" w:hAnsi="Arial" w:cs="Arial"/>
        </w:rPr>
        <w:t>{</w:t>
      </w:r>
      <w:r w:rsidRPr="00577F9A">
        <w:rPr>
          <w:rFonts w:ascii="Arial" w:hAnsi="Arial" w:cs="Arial"/>
        </w:rPr>
        <w:t>Table 6</w:t>
      </w:r>
      <w:r w:rsidR="009F0340">
        <w:rPr>
          <w:rFonts w:ascii="Arial" w:hAnsi="Arial" w:cs="Arial"/>
        </w:rPr>
        <w:t>}</w:t>
      </w:r>
      <w:r w:rsidRPr="00577F9A">
        <w:rPr>
          <w:rFonts w:ascii="Arial" w:hAnsi="Arial" w:cs="Arial"/>
        </w:rPr>
        <w:t xml:space="preserve">. </w:t>
      </w:r>
    </w:p>
    <w:p w:rsidR="00E67CF7" w:rsidRDefault="00E67CF7" w:rsidP="00106CB1">
      <w:pPr>
        <w:pStyle w:val="Body"/>
        <w:spacing w:after="0"/>
        <w:rPr>
          <w:rFonts w:ascii="Arial" w:hAnsi="Arial" w:cs="Arial"/>
        </w:rPr>
      </w:pPr>
    </w:p>
    <w:p w:rsidR="00577F9A" w:rsidRDefault="00E67CF7" w:rsidP="00106CB1">
      <w:pPr>
        <w:pStyle w:val="Body"/>
        <w:spacing w:after="0"/>
      </w:pPr>
      <w:r w:rsidRPr="00E67CF7">
        <w:rPr>
          <w:rFonts w:ascii="Arial" w:hAnsi="Arial" w:cs="Arial"/>
        </w:rPr>
        <w:t>Among the 185 participants, the majority had attained secondary education (119, 64.3%), with 107 (57.8%) presenting benign lesions and 12 (6.5%) diagnosed with malignant lesions</w:t>
      </w:r>
      <w:r>
        <w:rPr>
          <w:rFonts w:ascii="Arial" w:hAnsi="Arial" w:cs="Arial"/>
        </w:rPr>
        <w:t>.</w:t>
      </w:r>
      <w:r w:rsidRPr="00E67CF7">
        <w:t xml:space="preserve"> </w:t>
      </w:r>
      <w:r w:rsidRPr="00E67CF7">
        <w:rPr>
          <w:rFonts w:ascii="Arial" w:hAnsi="Arial" w:cs="Arial"/>
        </w:rPr>
        <w:t>A chi-square test revealed no statistically significant association between level of education and breast lesion categorization (</w:t>
      </w:r>
      <w:r w:rsidRPr="00E67CF7">
        <w:rPr>
          <w:rFonts w:ascii="Arial" w:hAnsi="Arial" w:cs="Arial"/>
          <w:i/>
        </w:rPr>
        <w:t xml:space="preserve">P </w:t>
      </w:r>
      <w:r w:rsidRPr="00E67CF7">
        <w:rPr>
          <w:rFonts w:ascii="Arial" w:hAnsi="Arial" w:cs="Arial"/>
        </w:rPr>
        <w:t>= 0.319).</w:t>
      </w:r>
      <w:r w:rsidRPr="00E67CF7">
        <w:t xml:space="preserve"> </w:t>
      </w:r>
    </w:p>
    <w:p w:rsidR="00E67CF7" w:rsidRDefault="00E67CF7" w:rsidP="00106CB1">
      <w:pPr>
        <w:pStyle w:val="Body"/>
        <w:spacing w:after="0"/>
        <w:rPr>
          <w:rFonts w:ascii="Arial" w:hAnsi="Arial" w:cs="Arial"/>
        </w:rPr>
      </w:pPr>
      <w:r w:rsidRPr="00E67CF7">
        <w:rPr>
          <w:rFonts w:ascii="Arial" w:hAnsi="Arial" w:cs="Arial"/>
        </w:rPr>
        <w:t xml:space="preserve">In terms of history of prior breast FNAC, 178 participants (96.2%) had never undergone the procedure, while only 7 (3.8%) had </w:t>
      </w:r>
      <w:r w:rsidR="009F0340">
        <w:rPr>
          <w:rFonts w:ascii="Arial" w:hAnsi="Arial" w:cs="Arial"/>
        </w:rPr>
        <w:t>a prior breast FNAC before this study was done</w:t>
      </w:r>
      <w:proofErr w:type="gramStart"/>
      <w:r w:rsidR="009F0340">
        <w:rPr>
          <w:rFonts w:ascii="Arial" w:hAnsi="Arial" w:cs="Arial"/>
        </w:rPr>
        <w:t xml:space="preserve">. </w:t>
      </w:r>
      <w:r>
        <w:rPr>
          <w:rFonts w:ascii="Arial" w:hAnsi="Arial" w:cs="Arial"/>
        </w:rPr>
        <w:t>.</w:t>
      </w:r>
      <w:proofErr w:type="gramEnd"/>
      <w:r w:rsidRPr="00E67CF7">
        <w:t xml:space="preserve"> </w:t>
      </w:r>
      <w:r w:rsidR="009F0340">
        <w:rPr>
          <w:rFonts w:ascii="Arial" w:hAnsi="Arial" w:cs="Arial"/>
        </w:rPr>
        <w:t>T</w:t>
      </w:r>
      <w:r w:rsidRPr="00E67CF7">
        <w:rPr>
          <w:rFonts w:ascii="Arial" w:hAnsi="Arial" w:cs="Arial"/>
        </w:rPr>
        <w:t>here was no statistically significant association between prior breast FNAC and breast lesion classi</w:t>
      </w:r>
      <w:r>
        <w:rPr>
          <w:rFonts w:ascii="Arial" w:hAnsi="Arial" w:cs="Arial"/>
        </w:rPr>
        <w:t>fication (</w:t>
      </w:r>
      <w:r w:rsidRPr="00E67CF7">
        <w:rPr>
          <w:rFonts w:ascii="Arial" w:hAnsi="Arial" w:cs="Arial"/>
          <w:i/>
        </w:rPr>
        <w:t>P</w:t>
      </w:r>
      <w:r>
        <w:rPr>
          <w:rFonts w:ascii="Arial" w:hAnsi="Arial" w:cs="Arial"/>
        </w:rPr>
        <w:t xml:space="preserve"> = 0.589) {Table 7</w:t>
      </w:r>
      <w:r w:rsidRPr="00E67CF7">
        <w:rPr>
          <w:rFonts w:ascii="Arial" w:hAnsi="Arial" w:cs="Arial"/>
        </w:rPr>
        <w:t>}</w:t>
      </w:r>
    </w:p>
    <w:p w:rsidR="00E67CF7" w:rsidRDefault="00E67CF7" w:rsidP="00106CB1">
      <w:pPr>
        <w:pStyle w:val="Body"/>
        <w:spacing w:after="0"/>
        <w:rPr>
          <w:rFonts w:ascii="Arial" w:hAnsi="Arial" w:cs="Arial"/>
        </w:rPr>
      </w:pPr>
    </w:p>
    <w:p w:rsidR="00142140" w:rsidRDefault="00FA1FE0" w:rsidP="00106CB1">
      <w:pPr>
        <w:pStyle w:val="Body"/>
        <w:spacing w:after="0"/>
        <w:rPr>
          <w:rFonts w:ascii="Arial" w:hAnsi="Arial" w:cs="Arial"/>
        </w:rPr>
      </w:pPr>
      <w:r w:rsidRPr="00FA1FE0">
        <w:rPr>
          <w:rFonts w:ascii="Arial" w:hAnsi="Arial" w:cs="Arial"/>
        </w:rPr>
        <w:t xml:space="preserve"> </w:t>
      </w:r>
      <w:r w:rsidR="00142140" w:rsidRPr="00142140">
        <w:rPr>
          <w:rFonts w:ascii="Arial" w:hAnsi="Arial" w:cs="Arial"/>
        </w:rPr>
        <w:t>A majority of participants had a normal BMI (156, 84.3%), with 149 (80.5%) presenting benign lesions and 7 (3.8%) with malignant lesions. A chi-square test revealed a statistically significant association between BMI and the categorization of breast lesions (</w:t>
      </w:r>
      <w:r w:rsidR="00142140" w:rsidRPr="00142140">
        <w:rPr>
          <w:rFonts w:ascii="Arial" w:hAnsi="Arial" w:cs="Arial"/>
          <w:i/>
        </w:rPr>
        <w:t>P</w:t>
      </w:r>
      <w:r w:rsidR="00142140" w:rsidRPr="00142140">
        <w:rPr>
          <w:rFonts w:ascii="Arial" w:hAnsi="Arial" w:cs="Arial"/>
        </w:rPr>
        <w:t xml:space="preserve"> = 0.000)</w:t>
      </w:r>
    </w:p>
    <w:p w:rsidR="00142140" w:rsidRDefault="00142140" w:rsidP="00106CB1">
      <w:pPr>
        <w:pStyle w:val="Body"/>
        <w:spacing w:after="0"/>
        <w:rPr>
          <w:rFonts w:ascii="Arial" w:hAnsi="Arial" w:cs="Arial"/>
        </w:rPr>
      </w:pPr>
      <w:r w:rsidRPr="00142140">
        <w:rPr>
          <w:rFonts w:ascii="Arial" w:hAnsi="Arial" w:cs="Arial"/>
        </w:rPr>
        <w:t xml:space="preserve">Regarding family history, 153 participants (82.7%) reported no family history of breast cancer, among whom 143 (77.2%) had benign lesions and 10 (5.5%) had malignant lesions. </w:t>
      </w:r>
      <w:r w:rsidR="00577F9A" w:rsidRPr="00577F9A">
        <w:rPr>
          <w:rFonts w:ascii="Arial" w:hAnsi="Arial" w:cs="Arial"/>
        </w:rPr>
        <w:t>The association between family history of breast cancer and lesion type was also statistically significant (</w:t>
      </w:r>
      <w:r w:rsidR="00577F9A" w:rsidRPr="00577F9A">
        <w:rPr>
          <w:rFonts w:ascii="Arial" w:hAnsi="Arial" w:cs="Arial"/>
          <w:i/>
          <w:sz w:val="18"/>
        </w:rPr>
        <w:t>P</w:t>
      </w:r>
      <w:r w:rsidR="00577F9A">
        <w:rPr>
          <w:rFonts w:ascii="Arial" w:hAnsi="Arial" w:cs="Arial"/>
        </w:rPr>
        <w:t xml:space="preserve"> = 0.025) {Table 8</w:t>
      </w:r>
      <w:r w:rsidR="00577F9A" w:rsidRPr="00577F9A">
        <w:rPr>
          <w:rFonts w:ascii="Arial" w:hAnsi="Arial" w:cs="Arial"/>
        </w:rPr>
        <w:t>}</w:t>
      </w:r>
      <w:r w:rsidR="00577F9A">
        <w:rPr>
          <w:rFonts w:ascii="Arial" w:hAnsi="Arial" w:cs="Arial"/>
        </w:rPr>
        <w:t xml:space="preserve"> </w:t>
      </w:r>
    </w:p>
    <w:p w:rsidR="00577F9A" w:rsidRDefault="00577F9A" w:rsidP="00106CB1">
      <w:pPr>
        <w:pStyle w:val="Body"/>
        <w:spacing w:after="0"/>
        <w:rPr>
          <w:rFonts w:ascii="Arial" w:hAnsi="Arial" w:cs="Arial"/>
        </w:rPr>
      </w:pPr>
    </w:p>
    <w:p w:rsidR="00577F9A" w:rsidRDefault="00577F9A" w:rsidP="00106CB1">
      <w:pPr>
        <w:pStyle w:val="Body"/>
        <w:spacing w:after="0"/>
        <w:rPr>
          <w:rFonts w:ascii="Arial" w:hAnsi="Arial" w:cs="Arial"/>
        </w:rPr>
      </w:pPr>
      <w:r w:rsidRPr="00577F9A">
        <w:rPr>
          <w:rFonts w:ascii="Arial" w:hAnsi="Arial" w:cs="Arial"/>
        </w:rPr>
        <w:t>A majority of the participants reported using hormonal contraceptives (129, 69.7%). Among these, 114 (61.6%) had benign breast lesions, while 15 (8.1%) had malignant lesions. A chi-square test showed a statistically significant association between the use of hormonal contraceptives and the type of breast lesion (</w:t>
      </w:r>
      <w:r w:rsidRPr="00577F9A">
        <w:rPr>
          <w:rFonts w:ascii="Arial" w:hAnsi="Arial" w:cs="Arial"/>
          <w:i/>
          <w:sz w:val="18"/>
        </w:rPr>
        <w:t>P</w:t>
      </w:r>
      <w:r w:rsidRPr="00577F9A">
        <w:rPr>
          <w:rFonts w:ascii="Arial" w:hAnsi="Arial" w:cs="Arial"/>
        </w:rPr>
        <w:t xml:space="preserve"> = 0.029) </w:t>
      </w:r>
    </w:p>
    <w:p w:rsidR="00577F9A" w:rsidRDefault="00577F9A" w:rsidP="00106CB1">
      <w:pPr>
        <w:pStyle w:val="Body"/>
        <w:spacing w:after="0"/>
        <w:rPr>
          <w:rFonts w:ascii="Arial" w:hAnsi="Arial" w:cs="Arial"/>
        </w:rPr>
      </w:pPr>
      <w:r w:rsidRPr="00577F9A">
        <w:rPr>
          <w:rFonts w:ascii="Arial" w:hAnsi="Arial" w:cs="Arial"/>
        </w:rPr>
        <w:t xml:space="preserve">In terms of radiation exposure, most participants (156, 84.3%) had not been exposed to radiation. Of these, 143 (77.2%) had benign lesions and 13 (7.1%) had malignant lesions. The chi-square analysis revealed no statistically significant association between radiation exposure and the type of breast lesion </w:t>
      </w:r>
      <w:r w:rsidRPr="00577F9A">
        <w:rPr>
          <w:rFonts w:ascii="Arial" w:hAnsi="Arial" w:cs="Arial"/>
          <w:i/>
        </w:rPr>
        <w:t>(P</w:t>
      </w:r>
      <w:r w:rsidRPr="00577F9A">
        <w:rPr>
          <w:rFonts w:ascii="Arial" w:hAnsi="Arial" w:cs="Arial"/>
        </w:rPr>
        <w:t xml:space="preserve"> </w:t>
      </w:r>
      <w:r>
        <w:rPr>
          <w:rFonts w:ascii="Arial" w:hAnsi="Arial" w:cs="Arial"/>
        </w:rPr>
        <w:t>= 0.723) {Table 9</w:t>
      </w:r>
      <w:r w:rsidRPr="00577F9A">
        <w:rPr>
          <w:rFonts w:ascii="Arial" w:hAnsi="Arial" w:cs="Arial"/>
        </w:rPr>
        <w:t>}</w:t>
      </w:r>
    </w:p>
    <w:p w:rsidR="00577F9A" w:rsidRDefault="00577F9A" w:rsidP="00106CB1">
      <w:pPr>
        <w:pStyle w:val="Body"/>
        <w:spacing w:after="0"/>
        <w:rPr>
          <w:rFonts w:ascii="Arial" w:hAnsi="Arial" w:cs="Arial"/>
        </w:rPr>
      </w:pPr>
    </w:p>
    <w:p w:rsidR="00122C8A" w:rsidRDefault="00122C8A" w:rsidP="00441B6F">
      <w:pPr>
        <w:pStyle w:val="Body"/>
        <w:spacing w:after="0"/>
        <w:rPr>
          <w:rFonts w:ascii="Arial" w:hAnsi="Arial" w:cs="Arial"/>
        </w:rPr>
      </w:pPr>
    </w:p>
    <w:p w:rsidR="00122C8A" w:rsidRDefault="00122C8A" w:rsidP="00441B6F">
      <w:pPr>
        <w:pStyle w:val="Body"/>
        <w:spacing w:after="0"/>
        <w:rPr>
          <w:rFonts w:ascii="Arial" w:hAnsi="Arial" w:cs="Arial"/>
        </w:rPr>
      </w:pPr>
    </w:p>
    <w:p w:rsidR="00122C8A" w:rsidRDefault="00122C8A" w:rsidP="009D2218">
      <w:pPr>
        <w:pStyle w:val="Body"/>
        <w:spacing w:after="0"/>
        <w:jc w:val="center"/>
        <w:rPr>
          <w:rFonts w:ascii="Arial" w:hAnsi="Arial" w:cs="Arial"/>
        </w:rPr>
      </w:pPr>
      <w:r w:rsidRPr="00021488">
        <w:rPr>
          <w:rFonts w:ascii="Arial" w:eastAsia="Calibri" w:hAnsi="Arial" w:cs="Arial"/>
          <w:iCs/>
          <w:noProof/>
        </w:rPr>
        <w:lastRenderedPageBreak/>
        <w:drawing>
          <wp:inline distT="0" distB="0" distL="0" distR="0" wp14:anchorId="00B0115F" wp14:editId="7D9724C7">
            <wp:extent cx="50292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C8A" w:rsidRDefault="00122C8A" w:rsidP="00E9732D">
      <w:pPr>
        <w:pStyle w:val="Body"/>
        <w:tabs>
          <w:tab w:val="left" w:pos="7680"/>
        </w:tabs>
        <w:spacing w:after="0" w:line="480" w:lineRule="auto"/>
        <w:rPr>
          <w:rFonts w:ascii="Arial" w:hAnsi="Arial" w:cs="Arial"/>
        </w:rPr>
      </w:pPr>
    </w:p>
    <w:p w:rsidR="00923167" w:rsidRDefault="00923167" w:rsidP="002A6545">
      <w:pPr>
        <w:tabs>
          <w:tab w:val="left" w:pos="1080"/>
        </w:tabs>
        <w:spacing w:line="480" w:lineRule="auto"/>
        <w:jc w:val="both"/>
        <w:rPr>
          <w:rFonts w:ascii="Arial" w:hAnsi="Arial"/>
          <w:b/>
        </w:rPr>
      </w:pPr>
      <w:r>
        <w:rPr>
          <w:rFonts w:ascii="Arial" w:hAnsi="Arial"/>
          <w:b/>
        </w:rPr>
        <w:t>Figure 1</w:t>
      </w:r>
      <w:r w:rsidRPr="00923167">
        <w:rPr>
          <w:rFonts w:ascii="Arial" w:hAnsi="Arial"/>
          <w:b/>
        </w:rPr>
        <w:t>: International Academy of Cytology Yokohama System for Reportin</w:t>
      </w:r>
      <w:r>
        <w:rPr>
          <w:rFonts w:ascii="Arial" w:hAnsi="Arial"/>
          <w:b/>
        </w:rPr>
        <w:t>g Breast FNA</w:t>
      </w:r>
      <w:r w:rsidRPr="00923167">
        <w:rPr>
          <w:rFonts w:ascii="Arial" w:hAnsi="Arial"/>
          <w:b/>
        </w:rPr>
        <w:t>C</w:t>
      </w:r>
      <w:r w:rsidR="005820AB">
        <w:rPr>
          <w:rFonts w:ascii="Arial" w:hAnsi="Arial"/>
          <w:b/>
        </w:rPr>
        <w:t xml:space="preserve"> (2019)</w:t>
      </w:r>
    </w:p>
    <w:p w:rsidR="00863BD3" w:rsidRDefault="009500A6" w:rsidP="002A6545">
      <w:pPr>
        <w:tabs>
          <w:tab w:val="left" w:pos="1080"/>
        </w:tabs>
        <w:spacing w:line="480" w:lineRule="auto"/>
        <w:jc w:val="both"/>
        <w:rPr>
          <w:rFonts w:ascii="Arial" w:hAnsi="Arial"/>
          <w:b/>
        </w:rPr>
      </w:pPr>
      <w:r>
        <w:rPr>
          <w:rFonts w:ascii="Arial" w:hAnsi="Arial"/>
          <w:b/>
        </w:rPr>
        <w:t>Table 1.</w:t>
      </w:r>
      <w:r w:rsidR="002F4197" w:rsidRPr="002F4197">
        <w:rPr>
          <w:rFonts w:ascii="Arial" w:hAnsi="Arial"/>
          <w:b/>
        </w:rPr>
        <w:t>Fine-Needle Aspiration Cytology and histopathology result</w:t>
      </w:r>
    </w:p>
    <w:tbl>
      <w:tblPr>
        <w:tblStyle w:val="TableGrid2"/>
        <w:tblW w:w="91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7"/>
        <w:gridCol w:w="2699"/>
        <w:gridCol w:w="2519"/>
      </w:tblGrid>
      <w:tr w:rsidR="00AF08B4" w:rsidRPr="00AF08B4" w:rsidTr="00AF08B4">
        <w:trPr>
          <w:trHeight w:val="556"/>
          <w:jc w:val="center"/>
        </w:trPr>
        <w:tc>
          <w:tcPr>
            <w:tcW w:w="3977" w:type="dxa"/>
            <w:tcBorders>
              <w:top w:val="single" w:sz="4" w:space="0" w:color="auto"/>
              <w:left w:val="nil"/>
              <w:bottom w:val="nil"/>
              <w:right w:val="nil"/>
            </w:tcBorders>
            <w:hideMark/>
          </w:tcPr>
          <w:p w:rsidR="00AF08B4" w:rsidRPr="00AF08B4" w:rsidRDefault="00AF08B4" w:rsidP="00F142A7">
            <w:pPr>
              <w:pStyle w:val="ListParagraph"/>
              <w:ind w:left="540"/>
              <w:rPr>
                <w:rFonts w:ascii="Arial" w:eastAsia="Calibri" w:hAnsi="Arial" w:cs="Arial"/>
                <w:b/>
                <w:iCs/>
                <w:sz w:val="20"/>
                <w:szCs w:val="20"/>
              </w:rPr>
            </w:pPr>
            <w:bookmarkStart w:id="0" w:name="_Toc210294197"/>
            <w:r w:rsidRPr="00AF08B4">
              <w:rPr>
                <w:rFonts w:ascii="Arial" w:eastAsia="Calibri" w:hAnsi="Arial" w:cs="Arial"/>
                <w:b/>
                <w:bCs/>
                <w:iCs/>
                <w:sz w:val="20"/>
                <w:szCs w:val="20"/>
              </w:rPr>
              <w:t>General categorization</w:t>
            </w:r>
            <w:bookmarkEnd w:id="0"/>
          </w:p>
        </w:tc>
        <w:tc>
          <w:tcPr>
            <w:tcW w:w="2699" w:type="dxa"/>
            <w:tcBorders>
              <w:top w:val="single" w:sz="4" w:space="0" w:color="auto"/>
              <w:left w:val="nil"/>
              <w:bottom w:val="nil"/>
              <w:right w:val="nil"/>
            </w:tcBorders>
            <w:hideMark/>
          </w:tcPr>
          <w:p w:rsidR="00AF08B4" w:rsidRPr="00AF08B4" w:rsidRDefault="00AF08B4" w:rsidP="008944F0">
            <w:pPr>
              <w:pStyle w:val="ListParagraph"/>
              <w:ind w:left="540"/>
              <w:jc w:val="center"/>
              <w:rPr>
                <w:rFonts w:ascii="Arial" w:eastAsia="Calibri" w:hAnsi="Arial" w:cs="Arial"/>
                <w:b/>
                <w:iCs/>
                <w:sz w:val="20"/>
                <w:szCs w:val="20"/>
              </w:rPr>
            </w:pPr>
            <w:bookmarkStart w:id="1" w:name="_Toc210294198"/>
            <w:r w:rsidRPr="00AF08B4">
              <w:rPr>
                <w:rFonts w:ascii="Arial" w:eastAsia="Calibri" w:hAnsi="Arial" w:cs="Arial"/>
                <w:b/>
                <w:iCs/>
                <w:sz w:val="20"/>
                <w:szCs w:val="20"/>
              </w:rPr>
              <w:t>Frequency</w:t>
            </w:r>
            <w:bookmarkEnd w:id="1"/>
          </w:p>
        </w:tc>
        <w:tc>
          <w:tcPr>
            <w:tcW w:w="2519" w:type="dxa"/>
            <w:tcBorders>
              <w:top w:val="single" w:sz="4" w:space="0" w:color="auto"/>
              <w:left w:val="nil"/>
              <w:bottom w:val="nil"/>
              <w:right w:val="nil"/>
            </w:tcBorders>
            <w:hideMark/>
          </w:tcPr>
          <w:p w:rsidR="00AF08B4" w:rsidRPr="00AF08B4" w:rsidRDefault="00AF08B4" w:rsidP="008944F0">
            <w:pPr>
              <w:pStyle w:val="ListParagraph"/>
              <w:ind w:left="540"/>
              <w:jc w:val="center"/>
              <w:rPr>
                <w:rFonts w:ascii="Arial" w:eastAsia="Calibri" w:hAnsi="Arial" w:cs="Arial"/>
                <w:b/>
                <w:iCs/>
                <w:sz w:val="20"/>
                <w:szCs w:val="20"/>
              </w:rPr>
            </w:pPr>
            <w:bookmarkStart w:id="2" w:name="_Toc210294199"/>
            <w:r w:rsidRPr="00AF08B4">
              <w:rPr>
                <w:rFonts w:ascii="Arial" w:eastAsia="Calibri" w:hAnsi="Arial" w:cs="Arial"/>
                <w:b/>
                <w:iCs/>
                <w:sz w:val="20"/>
                <w:szCs w:val="20"/>
              </w:rPr>
              <w:t>Percent</w:t>
            </w:r>
            <w:bookmarkEnd w:id="2"/>
          </w:p>
        </w:tc>
      </w:tr>
      <w:tr w:rsidR="00AF08B4" w:rsidRPr="00AF08B4" w:rsidTr="00AF08B4">
        <w:trPr>
          <w:trHeight w:val="541"/>
          <w:jc w:val="center"/>
        </w:trPr>
        <w:tc>
          <w:tcPr>
            <w:tcW w:w="3977" w:type="dxa"/>
            <w:tcBorders>
              <w:top w:val="nil"/>
              <w:left w:val="nil"/>
              <w:bottom w:val="nil"/>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3" w:name="_Toc210294200"/>
            <w:r w:rsidRPr="00AF08B4">
              <w:rPr>
                <w:rFonts w:ascii="Arial" w:eastAsia="Calibri" w:hAnsi="Arial" w:cs="Arial"/>
                <w:iCs/>
                <w:sz w:val="20"/>
                <w:szCs w:val="20"/>
              </w:rPr>
              <w:t>Benign</w:t>
            </w:r>
            <w:bookmarkEnd w:id="3"/>
          </w:p>
        </w:tc>
        <w:tc>
          <w:tcPr>
            <w:tcW w:w="269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4" w:name="_Toc210294201"/>
            <w:r w:rsidRPr="00AF08B4">
              <w:rPr>
                <w:rFonts w:ascii="Arial" w:eastAsia="Calibri" w:hAnsi="Arial" w:cs="Arial"/>
                <w:iCs/>
                <w:sz w:val="20"/>
                <w:szCs w:val="20"/>
              </w:rPr>
              <w:t>169</w:t>
            </w:r>
            <w:bookmarkEnd w:id="4"/>
          </w:p>
        </w:tc>
        <w:tc>
          <w:tcPr>
            <w:tcW w:w="251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5" w:name="_Toc210294202"/>
            <w:r w:rsidRPr="00AF08B4">
              <w:rPr>
                <w:rFonts w:ascii="Arial" w:eastAsia="Calibri" w:hAnsi="Arial" w:cs="Arial"/>
                <w:iCs/>
                <w:sz w:val="20"/>
                <w:szCs w:val="20"/>
              </w:rPr>
              <w:t>91.4</w:t>
            </w:r>
            <w:bookmarkEnd w:id="5"/>
          </w:p>
        </w:tc>
      </w:tr>
      <w:tr w:rsidR="00AF08B4" w:rsidRPr="00AF08B4" w:rsidTr="00AF08B4">
        <w:trPr>
          <w:trHeight w:val="638"/>
          <w:jc w:val="center"/>
        </w:trPr>
        <w:tc>
          <w:tcPr>
            <w:tcW w:w="3977" w:type="dxa"/>
            <w:tcBorders>
              <w:top w:val="nil"/>
              <w:left w:val="nil"/>
              <w:bottom w:val="nil"/>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6" w:name="_Toc210294203"/>
            <w:r w:rsidRPr="00AF08B4">
              <w:rPr>
                <w:rFonts w:ascii="Arial" w:eastAsia="Calibri" w:hAnsi="Arial" w:cs="Arial"/>
                <w:iCs/>
                <w:sz w:val="20"/>
                <w:szCs w:val="20"/>
              </w:rPr>
              <w:t>Malignant</w:t>
            </w:r>
            <w:bookmarkEnd w:id="6"/>
          </w:p>
        </w:tc>
        <w:tc>
          <w:tcPr>
            <w:tcW w:w="269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7" w:name="_Toc210294204"/>
            <w:r w:rsidRPr="00AF08B4">
              <w:rPr>
                <w:rFonts w:ascii="Arial" w:eastAsia="Calibri" w:hAnsi="Arial" w:cs="Arial"/>
                <w:iCs/>
                <w:sz w:val="20"/>
                <w:szCs w:val="20"/>
              </w:rPr>
              <w:t>16</w:t>
            </w:r>
            <w:bookmarkEnd w:id="7"/>
          </w:p>
        </w:tc>
        <w:tc>
          <w:tcPr>
            <w:tcW w:w="251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8" w:name="_Toc210294205"/>
            <w:r w:rsidRPr="00AF08B4">
              <w:rPr>
                <w:rFonts w:ascii="Arial" w:eastAsia="Calibri" w:hAnsi="Arial" w:cs="Arial"/>
                <w:iCs/>
                <w:sz w:val="20"/>
                <w:szCs w:val="20"/>
              </w:rPr>
              <w:t>8.6</w:t>
            </w:r>
            <w:bookmarkEnd w:id="8"/>
          </w:p>
        </w:tc>
      </w:tr>
      <w:tr w:rsidR="00AF08B4" w:rsidRPr="00AF08B4" w:rsidTr="00AF08B4">
        <w:trPr>
          <w:trHeight w:val="572"/>
          <w:jc w:val="center"/>
        </w:trPr>
        <w:tc>
          <w:tcPr>
            <w:tcW w:w="3977" w:type="dxa"/>
            <w:tcBorders>
              <w:top w:val="nil"/>
              <w:left w:val="nil"/>
              <w:bottom w:val="single" w:sz="4" w:space="0" w:color="auto"/>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9" w:name="_Toc210294206"/>
            <w:r w:rsidRPr="00AF08B4">
              <w:rPr>
                <w:rFonts w:ascii="Arial" w:eastAsia="Calibri" w:hAnsi="Arial" w:cs="Arial"/>
                <w:b/>
                <w:iCs/>
                <w:sz w:val="20"/>
                <w:szCs w:val="20"/>
              </w:rPr>
              <w:t>Total</w:t>
            </w:r>
            <w:bookmarkEnd w:id="9"/>
          </w:p>
        </w:tc>
        <w:tc>
          <w:tcPr>
            <w:tcW w:w="2699" w:type="dxa"/>
            <w:tcBorders>
              <w:top w:val="nil"/>
              <w:left w:val="nil"/>
              <w:bottom w:val="single" w:sz="4" w:space="0" w:color="auto"/>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10" w:name="_Toc210294207"/>
            <w:r w:rsidRPr="00AF08B4">
              <w:rPr>
                <w:rFonts w:ascii="Arial" w:eastAsia="Calibri" w:hAnsi="Arial" w:cs="Arial"/>
                <w:b/>
                <w:iCs/>
                <w:sz w:val="20"/>
                <w:szCs w:val="20"/>
              </w:rPr>
              <w:t>185</w:t>
            </w:r>
            <w:bookmarkEnd w:id="10"/>
          </w:p>
        </w:tc>
        <w:tc>
          <w:tcPr>
            <w:tcW w:w="2519" w:type="dxa"/>
            <w:tcBorders>
              <w:top w:val="nil"/>
              <w:left w:val="nil"/>
              <w:bottom w:val="single" w:sz="4" w:space="0" w:color="auto"/>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11" w:name="_Toc210294208"/>
            <w:r w:rsidRPr="00AF08B4">
              <w:rPr>
                <w:rFonts w:ascii="Arial" w:eastAsia="Calibri" w:hAnsi="Arial" w:cs="Arial"/>
                <w:b/>
                <w:iCs/>
                <w:sz w:val="20"/>
                <w:szCs w:val="20"/>
              </w:rPr>
              <w:t>100.0</w:t>
            </w:r>
            <w:bookmarkEnd w:id="11"/>
          </w:p>
        </w:tc>
      </w:tr>
    </w:tbl>
    <w:p w:rsidR="002F4197" w:rsidRDefault="002F4197" w:rsidP="002A6545">
      <w:pPr>
        <w:pStyle w:val="BodyText3"/>
        <w:tabs>
          <w:tab w:val="left" w:pos="1080"/>
        </w:tabs>
        <w:spacing w:after="0" w:line="480" w:lineRule="auto"/>
        <w:ind w:left="1080" w:hanging="1080"/>
        <w:jc w:val="both"/>
        <w:rPr>
          <w:rFonts w:ascii="Arial" w:hAnsi="Arial"/>
          <w:bCs/>
          <w:i/>
          <w:sz w:val="18"/>
        </w:rPr>
      </w:pPr>
    </w:p>
    <w:p w:rsidR="002F4197" w:rsidRDefault="002F4197" w:rsidP="007A14A2">
      <w:pPr>
        <w:spacing w:line="480" w:lineRule="auto"/>
        <w:ind w:left="540"/>
        <w:contextualSpacing/>
        <w:jc w:val="both"/>
        <w:rPr>
          <w:rFonts w:ascii="Arial" w:eastAsia="Calibri" w:hAnsi="Arial" w:cs="Arial"/>
          <w:b/>
          <w:bCs/>
          <w:iCs/>
        </w:rPr>
      </w:pPr>
      <w:r>
        <w:rPr>
          <w:rFonts w:ascii="Arial" w:eastAsia="Calibri" w:hAnsi="Arial" w:cs="Arial"/>
          <w:b/>
          <w:iCs/>
        </w:rPr>
        <w:t xml:space="preserve">Table </w:t>
      </w:r>
      <w:r w:rsidRPr="002F4197">
        <w:rPr>
          <w:rFonts w:ascii="Arial" w:eastAsia="Calibri" w:hAnsi="Arial" w:cs="Arial"/>
          <w:b/>
          <w:iCs/>
        </w:rPr>
        <w:t>2:</w:t>
      </w:r>
      <w:r w:rsidRPr="002F4197">
        <w:rPr>
          <w:rFonts w:ascii="Arial" w:eastAsia="Calibri" w:hAnsi="Arial" w:cs="Arial"/>
          <w:b/>
          <w:bCs/>
          <w:color w:val="000000"/>
        </w:rPr>
        <w:t xml:space="preserve"> </w:t>
      </w:r>
      <w:r w:rsidRPr="002F4197">
        <w:rPr>
          <w:rFonts w:ascii="Arial" w:eastAsia="Calibri" w:hAnsi="Arial" w:cs="Arial"/>
          <w:b/>
          <w:bCs/>
          <w:iCs/>
        </w:rPr>
        <w:t>Benign Breast Lesions Patterns</w:t>
      </w:r>
    </w:p>
    <w:tbl>
      <w:tblPr>
        <w:tblStyle w:val="TableGrid3"/>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2"/>
        <w:gridCol w:w="2340"/>
        <w:gridCol w:w="2448"/>
      </w:tblGrid>
      <w:tr w:rsidR="00AF08B4" w:rsidRPr="00AF08B4" w:rsidTr="00AF08B4">
        <w:trPr>
          <w:jc w:val="center"/>
        </w:trPr>
        <w:tc>
          <w:tcPr>
            <w:tcW w:w="3942" w:type="dxa"/>
            <w:tcBorders>
              <w:top w:val="single" w:sz="4" w:space="0" w:color="auto"/>
              <w:left w:val="nil"/>
              <w:bottom w:val="single" w:sz="4" w:space="0" w:color="auto"/>
              <w:right w:val="nil"/>
            </w:tcBorders>
            <w:hideMark/>
          </w:tcPr>
          <w:p w:rsidR="00AF08B4" w:rsidRPr="00AF08B4" w:rsidRDefault="00AF08B4" w:rsidP="00495F9A">
            <w:pPr>
              <w:tabs>
                <w:tab w:val="left" w:pos="2190"/>
              </w:tabs>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b/>
                <w:bCs/>
                <w:color w:val="000000"/>
                <w:sz w:val="20"/>
                <w:szCs w:val="20"/>
              </w:rPr>
              <w:t>Benign Patterns</w:t>
            </w:r>
            <w:r w:rsidRPr="00AF08B4">
              <w:rPr>
                <w:rFonts w:ascii="Arial" w:hAnsi="Arial" w:cs="Arial"/>
                <w:b/>
                <w:bCs/>
                <w:color w:val="000000"/>
                <w:sz w:val="20"/>
                <w:szCs w:val="20"/>
              </w:rPr>
              <w:tab/>
            </w:r>
          </w:p>
        </w:tc>
        <w:tc>
          <w:tcPr>
            <w:tcW w:w="2340"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Frequency</w:t>
            </w:r>
          </w:p>
        </w:tc>
        <w:tc>
          <w:tcPr>
            <w:tcW w:w="2448"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Percent</w:t>
            </w:r>
          </w:p>
        </w:tc>
      </w:tr>
      <w:tr w:rsidR="00AF08B4" w:rsidRPr="00AF08B4" w:rsidTr="00AF08B4">
        <w:trPr>
          <w:jc w:val="center"/>
        </w:trPr>
        <w:tc>
          <w:tcPr>
            <w:tcW w:w="3942"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Fibroadenoma</w:t>
            </w:r>
          </w:p>
        </w:tc>
        <w:tc>
          <w:tcPr>
            <w:tcW w:w="2340"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110</w:t>
            </w:r>
          </w:p>
        </w:tc>
        <w:tc>
          <w:tcPr>
            <w:tcW w:w="2448"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65.1</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Fat Necrosis</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5</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3.0</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Fibrocystic</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19</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11.1</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Phyllodes Tumor</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0.6</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Lipoma</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27</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16</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Galactocele</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3.6</w:t>
            </w:r>
          </w:p>
        </w:tc>
      </w:tr>
      <w:tr w:rsidR="00AF08B4" w:rsidRPr="00AF08B4" w:rsidTr="00AF08B4">
        <w:trPr>
          <w:jc w:val="center"/>
        </w:trPr>
        <w:tc>
          <w:tcPr>
            <w:tcW w:w="3942"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Inflammatory lymph node</w:t>
            </w:r>
          </w:p>
        </w:tc>
        <w:tc>
          <w:tcPr>
            <w:tcW w:w="2340"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0.6</w:t>
            </w:r>
          </w:p>
        </w:tc>
      </w:tr>
      <w:tr w:rsidR="00AF08B4" w:rsidRPr="00AF08B4" w:rsidTr="00AF08B4">
        <w:trPr>
          <w:jc w:val="center"/>
        </w:trPr>
        <w:tc>
          <w:tcPr>
            <w:tcW w:w="3942"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Total</w:t>
            </w:r>
          </w:p>
        </w:tc>
        <w:tc>
          <w:tcPr>
            <w:tcW w:w="2340"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169</w:t>
            </w:r>
          </w:p>
        </w:tc>
        <w:tc>
          <w:tcPr>
            <w:tcW w:w="2448"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100.0</w:t>
            </w:r>
          </w:p>
        </w:tc>
      </w:tr>
    </w:tbl>
    <w:p w:rsidR="002F4197" w:rsidRPr="002F4197" w:rsidRDefault="002F4197" w:rsidP="00D974F9">
      <w:pPr>
        <w:autoSpaceDE w:val="0"/>
        <w:autoSpaceDN w:val="0"/>
        <w:adjustRightInd w:val="0"/>
        <w:spacing w:line="480" w:lineRule="auto"/>
        <w:rPr>
          <w:rFonts w:ascii="Arial" w:eastAsia="Calibri" w:hAnsi="Arial" w:cs="Arial"/>
          <w:b/>
        </w:rPr>
      </w:pPr>
    </w:p>
    <w:p w:rsidR="002F4197" w:rsidRPr="002F4197" w:rsidRDefault="002F4197" w:rsidP="00D974F9">
      <w:pPr>
        <w:autoSpaceDE w:val="0"/>
        <w:autoSpaceDN w:val="0"/>
        <w:adjustRightInd w:val="0"/>
        <w:spacing w:line="480" w:lineRule="auto"/>
        <w:rPr>
          <w:rFonts w:ascii="Arial" w:eastAsia="Calibri" w:hAnsi="Arial" w:cs="Arial"/>
          <w:b/>
        </w:rPr>
      </w:pPr>
      <w:r>
        <w:rPr>
          <w:rFonts w:ascii="Arial" w:eastAsia="Calibri" w:hAnsi="Arial" w:cs="Arial"/>
          <w:b/>
          <w:iCs/>
        </w:rPr>
        <w:t xml:space="preserve">         </w:t>
      </w:r>
      <w:r w:rsidR="004C4239">
        <w:rPr>
          <w:rFonts w:ascii="Arial" w:eastAsia="Calibri" w:hAnsi="Arial" w:cs="Arial"/>
          <w:b/>
          <w:iCs/>
        </w:rPr>
        <w:t>Table 3</w:t>
      </w:r>
      <w:r w:rsidRPr="002F4197">
        <w:rPr>
          <w:rFonts w:ascii="Arial" w:eastAsia="Calibri" w:hAnsi="Arial" w:cs="Arial"/>
          <w:b/>
          <w:iCs/>
        </w:rPr>
        <w:t>: Malignant Breast Lesions Patterns</w:t>
      </w:r>
    </w:p>
    <w:p w:rsidR="00AF08B4" w:rsidRPr="002F4197" w:rsidRDefault="00AF08B4" w:rsidP="00325719">
      <w:pPr>
        <w:tabs>
          <w:tab w:val="left" w:pos="3802"/>
        </w:tabs>
        <w:autoSpaceDE w:val="0"/>
        <w:autoSpaceDN w:val="0"/>
        <w:adjustRightInd w:val="0"/>
        <w:rPr>
          <w:rFonts w:ascii="Arial" w:eastAsia="Calibri" w:hAnsi="Arial" w:cs="Arial"/>
        </w:rPr>
      </w:pPr>
      <w:r>
        <w:rPr>
          <w:rFonts w:ascii="Arial" w:eastAsia="Calibri" w:hAnsi="Arial" w:cs="Arial"/>
        </w:rPr>
        <w:tab/>
      </w:r>
    </w:p>
    <w:tbl>
      <w:tblPr>
        <w:tblStyle w:val="TableGrid4"/>
        <w:tblW w:w="88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2"/>
        <w:gridCol w:w="2340"/>
        <w:gridCol w:w="2448"/>
      </w:tblGrid>
      <w:tr w:rsidR="00AF08B4" w:rsidTr="00AF08B4">
        <w:trPr>
          <w:jc w:val="center"/>
        </w:trPr>
        <w:tc>
          <w:tcPr>
            <w:tcW w:w="4032"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 xml:space="preserve">  Malignant    </w:t>
            </w:r>
            <w:r w:rsidRPr="00AF08B4">
              <w:rPr>
                <w:rFonts w:ascii="Arial" w:hAnsi="Arial" w:cs="Arial"/>
                <w:b/>
                <w:bCs/>
                <w:color w:val="000000"/>
                <w:sz w:val="20"/>
                <w:szCs w:val="20"/>
              </w:rPr>
              <w:t>Patterns</w:t>
            </w:r>
          </w:p>
        </w:tc>
        <w:tc>
          <w:tcPr>
            <w:tcW w:w="2340"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Frequency</w:t>
            </w:r>
          </w:p>
        </w:tc>
        <w:tc>
          <w:tcPr>
            <w:tcW w:w="2448"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Percent</w:t>
            </w:r>
          </w:p>
        </w:tc>
      </w:tr>
      <w:tr w:rsidR="00AF08B4" w:rsidTr="00AF08B4">
        <w:trPr>
          <w:jc w:val="center"/>
        </w:trPr>
        <w:tc>
          <w:tcPr>
            <w:tcW w:w="4032"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IDC</w:t>
            </w:r>
          </w:p>
        </w:tc>
        <w:tc>
          <w:tcPr>
            <w:tcW w:w="2340"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15</w:t>
            </w:r>
          </w:p>
        </w:tc>
        <w:tc>
          <w:tcPr>
            <w:tcW w:w="2448"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93.8</w:t>
            </w:r>
          </w:p>
        </w:tc>
      </w:tr>
      <w:tr w:rsidR="00AF08B4" w:rsidTr="00AF08B4">
        <w:trPr>
          <w:jc w:val="center"/>
        </w:trPr>
        <w:tc>
          <w:tcPr>
            <w:tcW w:w="4032"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ILC</w:t>
            </w:r>
          </w:p>
        </w:tc>
        <w:tc>
          <w:tcPr>
            <w:tcW w:w="2340"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6.2</w:t>
            </w:r>
          </w:p>
        </w:tc>
      </w:tr>
      <w:tr w:rsidR="00AF08B4" w:rsidTr="00AF08B4">
        <w:trPr>
          <w:jc w:val="center"/>
        </w:trPr>
        <w:tc>
          <w:tcPr>
            <w:tcW w:w="4032"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Total</w:t>
            </w:r>
          </w:p>
        </w:tc>
        <w:tc>
          <w:tcPr>
            <w:tcW w:w="2340"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16</w:t>
            </w:r>
          </w:p>
        </w:tc>
        <w:tc>
          <w:tcPr>
            <w:tcW w:w="2448"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100.0</w:t>
            </w:r>
          </w:p>
        </w:tc>
      </w:tr>
    </w:tbl>
    <w:p w:rsidR="00157267" w:rsidRDefault="00157267" w:rsidP="00D974F9">
      <w:pPr>
        <w:pStyle w:val="BodyText3"/>
        <w:tabs>
          <w:tab w:val="left" w:pos="1080"/>
        </w:tabs>
        <w:spacing w:after="0" w:line="480" w:lineRule="auto"/>
        <w:ind w:left="1080" w:hanging="1080"/>
        <w:jc w:val="both"/>
        <w:rPr>
          <w:rFonts w:ascii="Arial" w:hAnsi="Arial"/>
          <w:bCs/>
          <w:sz w:val="18"/>
        </w:rPr>
      </w:pPr>
    </w:p>
    <w:p w:rsidR="001E54C6" w:rsidRPr="001E54C6" w:rsidRDefault="001E54C6" w:rsidP="00D974F9">
      <w:pPr>
        <w:spacing w:line="480" w:lineRule="auto"/>
        <w:rPr>
          <w:rFonts w:ascii="Arial" w:hAnsi="Arial" w:cs="Arial"/>
          <w:b/>
        </w:rPr>
      </w:pPr>
      <w:r>
        <w:rPr>
          <w:rFonts w:ascii="Arial" w:hAnsi="Arial" w:cs="Arial"/>
          <w:b/>
          <w:bCs/>
        </w:rPr>
        <w:t>Table 4</w:t>
      </w:r>
      <w:r w:rsidRPr="001E54C6">
        <w:rPr>
          <w:rFonts w:ascii="Arial" w:hAnsi="Arial" w:cs="Arial"/>
          <w:b/>
          <w:bCs/>
        </w:rPr>
        <w:t xml:space="preserve">: Age Group versus General Categorization of Breast Lesions </w:t>
      </w:r>
    </w:p>
    <w:p w:rsidR="00325719" w:rsidRPr="001E54C6" w:rsidRDefault="00325719" w:rsidP="00325719">
      <w:pPr>
        <w:tabs>
          <w:tab w:val="left" w:pos="3732"/>
        </w:tabs>
        <w:autoSpaceDE w:val="0"/>
        <w:autoSpaceDN w:val="0"/>
        <w:adjustRightInd w:val="0"/>
        <w:rPr>
          <w:rFonts w:ascii="Arial" w:hAnsi="Arial" w:cs="Arial"/>
        </w:rPr>
      </w:pPr>
      <w:r>
        <w:rPr>
          <w:rFonts w:ascii="Arial" w:hAnsi="Arial" w:cs="Arial"/>
        </w:rPr>
        <w:lastRenderedPageBreak/>
        <w:tab/>
      </w:r>
    </w:p>
    <w:tbl>
      <w:tblPr>
        <w:tblStyle w:val="TableGrid5"/>
        <w:tblW w:w="88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6"/>
        <w:gridCol w:w="1169"/>
        <w:gridCol w:w="1170"/>
        <w:gridCol w:w="1350"/>
        <w:gridCol w:w="810"/>
        <w:gridCol w:w="1050"/>
        <w:gridCol w:w="840"/>
        <w:gridCol w:w="900"/>
      </w:tblGrid>
      <w:tr w:rsidR="00325719" w:rsidRPr="00325719" w:rsidTr="00325719">
        <w:trPr>
          <w:jc w:val="center"/>
        </w:trPr>
        <w:tc>
          <w:tcPr>
            <w:tcW w:w="7935" w:type="dxa"/>
            <w:gridSpan w:val="7"/>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bCs/>
                <w:color w:val="000000"/>
                <w:sz w:val="20"/>
                <w:szCs w:val="20"/>
              </w:rPr>
              <w:t>Age Group versus General Categorization of Breast Lesions</w:t>
            </w:r>
          </w:p>
        </w:tc>
        <w:tc>
          <w:tcPr>
            <w:tcW w:w="900" w:type="dxa"/>
            <w:tcBorders>
              <w:top w:val="single" w:sz="4" w:space="0" w:color="auto"/>
              <w:left w:val="nil"/>
              <w:bottom w:val="nil"/>
              <w:right w:val="nil"/>
            </w:tcBorders>
          </w:tcPr>
          <w:p w:rsidR="00325719" w:rsidRPr="00325719" w:rsidRDefault="00325719" w:rsidP="00976363">
            <w:pPr>
              <w:autoSpaceDE w:val="0"/>
              <w:autoSpaceDN w:val="0"/>
              <w:adjustRightInd w:val="0"/>
              <w:ind w:right="60"/>
              <w:contextualSpacing/>
              <w:jc w:val="both"/>
              <w:rPr>
                <w:rFonts w:ascii="Arial" w:hAnsi="Arial" w:cs="Arial"/>
                <w:color w:val="000000"/>
                <w:sz w:val="20"/>
                <w:szCs w:val="20"/>
              </w:rPr>
            </w:pPr>
          </w:p>
        </w:tc>
      </w:tr>
      <w:tr w:rsidR="00325719" w:rsidRPr="00325719" w:rsidTr="00325719">
        <w:trPr>
          <w:jc w:val="center"/>
        </w:trPr>
        <w:tc>
          <w:tcPr>
            <w:tcW w:w="1546"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Age Group (years)</w:t>
            </w:r>
          </w:p>
        </w:tc>
        <w:tc>
          <w:tcPr>
            <w:tcW w:w="4499" w:type="dxa"/>
            <w:gridSpan w:val="4"/>
            <w:hideMark/>
          </w:tcPr>
          <w:p w:rsidR="00325719" w:rsidRPr="00325719" w:rsidRDefault="00325719" w:rsidP="00976363">
            <w:pPr>
              <w:autoSpaceDE w:val="0"/>
              <w:autoSpaceDN w:val="0"/>
              <w:adjustRightInd w:val="0"/>
              <w:ind w:left="60" w:right="60"/>
              <w:contextualSpacing/>
              <w:rPr>
                <w:rFonts w:ascii="Arial" w:hAnsi="Arial" w:cs="Arial"/>
                <w:b/>
                <w:color w:val="000000"/>
                <w:sz w:val="20"/>
                <w:szCs w:val="20"/>
              </w:rPr>
            </w:pPr>
            <w:r w:rsidRPr="00325719">
              <w:rPr>
                <w:rFonts w:ascii="Arial" w:hAnsi="Arial" w:cs="Arial"/>
                <w:b/>
                <w:bCs/>
                <w:color w:val="000000"/>
                <w:sz w:val="20"/>
                <w:szCs w:val="20"/>
              </w:rPr>
              <w:t xml:space="preserve">General Categorization of Breast Lesions </w:t>
            </w:r>
          </w:p>
        </w:tc>
        <w:tc>
          <w:tcPr>
            <w:tcW w:w="105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84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312"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90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trHeight w:val="305"/>
          <w:jc w:val="center"/>
        </w:trPr>
        <w:tc>
          <w:tcPr>
            <w:tcW w:w="1546"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16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Benign</w:t>
            </w:r>
          </w:p>
        </w:tc>
        <w:tc>
          <w:tcPr>
            <w:tcW w:w="117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147" w:right="60"/>
              <w:contextualSpacing/>
              <w:jc w:val="both"/>
              <w:rPr>
                <w:rFonts w:ascii="Arial" w:hAnsi="Arial" w:cs="Arial"/>
                <w:color w:val="000000"/>
                <w:sz w:val="20"/>
                <w:szCs w:val="20"/>
              </w:rPr>
            </w:pPr>
            <w:r w:rsidRPr="00325719">
              <w:rPr>
                <w:rFonts w:ascii="Arial" w:hAnsi="Arial" w:cs="Arial"/>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w:t>
            </w:r>
          </w:p>
        </w:tc>
        <w:tc>
          <w:tcPr>
            <w:tcW w:w="105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84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90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 18-27</w:t>
            </w:r>
          </w:p>
        </w:tc>
        <w:tc>
          <w:tcPr>
            <w:tcW w:w="1169"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85</w:t>
            </w:r>
          </w:p>
        </w:tc>
        <w:tc>
          <w:tcPr>
            <w:tcW w:w="117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45.9</w:t>
            </w:r>
          </w:p>
        </w:tc>
        <w:tc>
          <w:tcPr>
            <w:tcW w:w="135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81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237"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1050"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85</w:t>
            </w:r>
          </w:p>
        </w:tc>
        <w:tc>
          <w:tcPr>
            <w:tcW w:w="840"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sz w:val="20"/>
                <w:szCs w:val="20"/>
              </w:rPr>
              <w:t xml:space="preserve">45.9 </w:t>
            </w:r>
          </w:p>
        </w:tc>
        <w:tc>
          <w:tcPr>
            <w:tcW w:w="90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0.001</w:t>
            </w: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28-37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35</w:t>
            </w:r>
          </w:p>
        </w:tc>
        <w:tc>
          <w:tcPr>
            <w:tcW w:w="117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18.9</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2.2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39</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21.1</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38-47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23</w:t>
            </w:r>
          </w:p>
        </w:tc>
        <w:tc>
          <w:tcPr>
            <w:tcW w:w="117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12.4</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2.2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27</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14.6</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48-57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17</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9.2</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3.2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23</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12.4</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58-67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3.4</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1.0</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8</w:t>
            </w:r>
          </w:p>
        </w:tc>
        <w:tc>
          <w:tcPr>
            <w:tcW w:w="840" w:type="dxa"/>
            <w:hideMark/>
          </w:tcPr>
          <w:p w:rsidR="00325719" w:rsidRPr="00325719" w:rsidRDefault="00325719" w:rsidP="00976363">
            <w:pPr>
              <w:autoSpaceDE w:val="0"/>
              <w:autoSpaceDN w:val="0"/>
              <w:adjustRightInd w:val="0"/>
              <w:ind w:left="177" w:right="60"/>
              <w:contextualSpacing/>
              <w:jc w:val="both"/>
              <w:rPr>
                <w:rFonts w:ascii="Arial" w:hAnsi="Arial" w:cs="Arial"/>
                <w:b/>
                <w:color w:val="000000"/>
                <w:sz w:val="20"/>
                <w:szCs w:val="20"/>
              </w:rPr>
            </w:pPr>
            <w:r w:rsidRPr="00325719">
              <w:rPr>
                <w:rFonts w:ascii="Arial" w:hAnsi="Arial" w:cs="Arial"/>
                <w:b/>
                <w:sz w:val="20"/>
                <w:szCs w:val="20"/>
              </w:rPr>
              <w:t>4.4</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68-77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1.6</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810" w:type="dxa"/>
            <w:hideMark/>
          </w:tcPr>
          <w:p w:rsidR="00325719" w:rsidRPr="00325719" w:rsidRDefault="00325719" w:rsidP="00976363">
            <w:pPr>
              <w:autoSpaceDE w:val="0"/>
              <w:autoSpaceDN w:val="0"/>
              <w:adjustRightInd w:val="0"/>
              <w:ind w:left="237"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3</w:t>
            </w:r>
          </w:p>
        </w:tc>
        <w:tc>
          <w:tcPr>
            <w:tcW w:w="840" w:type="dxa"/>
            <w:hideMark/>
          </w:tcPr>
          <w:p w:rsidR="00325719" w:rsidRPr="00325719" w:rsidRDefault="00325719" w:rsidP="00976363">
            <w:pPr>
              <w:autoSpaceDE w:val="0"/>
              <w:autoSpaceDN w:val="0"/>
              <w:adjustRightInd w:val="0"/>
              <w:ind w:left="117" w:right="60"/>
              <w:contextualSpacing/>
              <w:jc w:val="both"/>
              <w:rPr>
                <w:rFonts w:ascii="Arial" w:hAnsi="Arial" w:cs="Arial"/>
                <w:b/>
                <w:color w:val="000000"/>
                <w:sz w:val="20"/>
                <w:szCs w:val="20"/>
              </w:rPr>
            </w:pPr>
            <w:r w:rsidRPr="00325719">
              <w:rPr>
                <w:rFonts w:ascii="Arial" w:hAnsi="Arial" w:cs="Arial"/>
                <w:b/>
                <w:sz w:val="20"/>
                <w:szCs w:val="20"/>
              </w:rPr>
              <w:t>1.6</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70"/>
          <w:jc w:val="center"/>
        </w:trPr>
        <w:tc>
          <w:tcPr>
            <w:tcW w:w="154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116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169</w:t>
            </w:r>
          </w:p>
        </w:tc>
        <w:tc>
          <w:tcPr>
            <w:tcW w:w="117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color w:val="000000"/>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16</w:t>
            </w:r>
          </w:p>
        </w:tc>
        <w:tc>
          <w:tcPr>
            <w:tcW w:w="81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color w:val="000000"/>
                <w:sz w:val="20"/>
                <w:szCs w:val="20"/>
              </w:rPr>
              <w:t>8.6</w:t>
            </w:r>
          </w:p>
        </w:tc>
        <w:tc>
          <w:tcPr>
            <w:tcW w:w="10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185</w:t>
            </w:r>
          </w:p>
        </w:tc>
        <w:tc>
          <w:tcPr>
            <w:tcW w:w="840" w:type="dxa"/>
            <w:tcBorders>
              <w:top w:val="nil"/>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sz w:val="20"/>
                <w:szCs w:val="20"/>
              </w:rPr>
              <w:t>100.0</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bl>
    <w:p w:rsidR="002F4197" w:rsidRDefault="002F4197" w:rsidP="00D974F9">
      <w:pPr>
        <w:pStyle w:val="BodyText3"/>
        <w:tabs>
          <w:tab w:val="left" w:pos="1080"/>
        </w:tabs>
        <w:spacing w:after="0" w:line="480" w:lineRule="auto"/>
        <w:ind w:left="1080" w:hanging="1080"/>
        <w:rPr>
          <w:rFonts w:ascii="Arial" w:hAnsi="Arial"/>
          <w:bCs/>
          <w:sz w:val="18"/>
        </w:rPr>
      </w:pPr>
    </w:p>
    <w:p w:rsidR="001E54C6" w:rsidRDefault="001E54C6" w:rsidP="00D974F9">
      <w:pPr>
        <w:pStyle w:val="BodyText3"/>
        <w:tabs>
          <w:tab w:val="left" w:pos="1080"/>
        </w:tabs>
        <w:spacing w:after="0" w:line="480" w:lineRule="auto"/>
        <w:ind w:left="1080" w:hanging="1080"/>
        <w:jc w:val="both"/>
        <w:rPr>
          <w:rFonts w:ascii="Arial" w:hAnsi="Arial" w:cs="Arial"/>
          <w:b/>
          <w:bCs/>
          <w:sz w:val="20"/>
          <w:szCs w:val="20"/>
        </w:rPr>
      </w:pPr>
      <w:r w:rsidRPr="001E54C6">
        <w:rPr>
          <w:rFonts w:ascii="Arial" w:hAnsi="Arial" w:cs="Arial"/>
          <w:b/>
          <w:bCs/>
          <w:sz w:val="20"/>
          <w:szCs w:val="20"/>
        </w:rPr>
        <w:t>Table 5: Number of Offsprings and Age at First Child Birth versus General Categorization of Breast Lesions</w:t>
      </w:r>
    </w:p>
    <w:p w:rsidR="00325719" w:rsidRPr="001E54C6" w:rsidRDefault="00325719" w:rsidP="00325719">
      <w:pPr>
        <w:pStyle w:val="BodyText3"/>
        <w:tabs>
          <w:tab w:val="left" w:pos="1080"/>
        </w:tabs>
        <w:spacing w:after="0"/>
        <w:ind w:left="1080" w:hanging="1080"/>
        <w:jc w:val="both"/>
        <w:rPr>
          <w:rFonts w:ascii="Arial" w:hAnsi="Arial" w:cs="Arial"/>
          <w:b/>
          <w:bCs/>
          <w:sz w:val="20"/>
          <w:szCs w:val="20"/>
        </w:rPr>
      </w:pPr>
      <w:r>
        <w:rPr>
          <w:rFonts w:ascii="Arial" w:hAnsi="Arial" w:cs="Arial"/>
          <w:b/>
          <w:bCs/>
          <w:sz w:val="20"/>
          <w:szCs w:val="20"/>
        </w:rPr>
        <w:tab/>
      </w:r>
    </w:p>
    <w:tbl>
      <w:tblPr>
        <w:tblStyle w:val="TableGrid6"/>
        <w:tblW w:w="9375" w:type="dxa"/>
        <w:jc w:val="center"/>
        <w:tblLayout w:type="fixed"/>
        <w:tblLook w:val="04A0" w:firstRow="1" w:lastRow="0" w:firstColumn="1" w:lastColumn="0" w:noHBand="0" w:noVBand="1"/>
      </w:tblPr>
      <w:tblGrid>
        <w:gridCol w:w="1726"/>
        <w:gridCol w:w="1259"/>
        <w:gridCol w:w="900"/>
        <w:gridCol w:w="1350"/>
        <w:gridCol w:w="990"/>
        <w:gridCol w:w="990"/>
        <w:gridCol w:w="900"/>
        <w:gridCol w:w="1260"/>
      </w:tblGrid>
      <w:tr w:rsidR="00325719" w:rsidRPr="00325719" w:rsidTr="00325719">
        <w:trPr>
          <w:jc w:val="center"/>
        </w:trPr>
        <w:tc>
          <w:tcPr>
            <w:tcW w:w="1726"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Number of Offsprings </w:t>
            </w:r>
          </w:p>
        </w:tc>
        <w:tc>
          <w:tcPr>
            <w:tcW w:w="4499" w:type="dxa"/>
            <w:gridSpan w:val="4"/>
            <w:tcBorders>
              <w:top w:val="single" w:sz="4" w:space="0" w:color="auto"/>
              <w:left w:val="nil"/>
              <w:bottom w:val="nil"/>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99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90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6"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126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jc w:val="center"/>
        </w:trPr>
        <w:tc>
          <w:tcPr>
            <w:tcW w:w="1726"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1259"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Benign </w:t>
            </w:r>
          </w:p>
        </w:tc>
        <w:tc>
          <w:tcPr>
            <w:tcW w:w="90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Malignant </w:t>
            </w:r>
          </w:p>
        </w:tc>
        <w:tc>
          <w:tcPr>
            <w:tcW w:w="99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99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r>
      <w:tr w:rsidR="00325719" w:rsidRPr="00325719" w:rsidTr="00325719">
        <w:trPr>
          <w:jc w:val="center"/>
        </w:trPr>
        <w:tc>
          <w:tcPr>
            <w:tcW w:w="1726"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 xml:space="preserve"> 0</w:t>
            </w:r>
          </w:p>
        </w:tc>
        <w:tc>
          <w:tcPr>
            <w:tcW w:w="1259"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52</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28.1</w:t>
            </w:r>
          </w:p>
        </w:tc>
        <w:tc>
          <w:tcPr>
            <w:tcW w:w="135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52</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28.1</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0.0001</w:t>
            </w: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22.6</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43</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23.2</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40</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21.7</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46</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24.9</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15</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8.2</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21</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11.4</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18</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9.7</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9.7</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1.1</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2.2</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15"/>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0.5</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0.5</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30"/>
          <w:jc w:val="center"/>
        </w:trPr>
        <w:tc>
          <w:tcPr>
            <w:tcW w:w="172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Total </w:t>
            </w:r>
          </w:p>
        </w:tc>
        <w:tc>
          <w:tcPr>
            <w:tcW w:w="1259"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169</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8.6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185</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100.0</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 Age at First Child Birth</w:t>
            </w:r>
            <w:r w:rsidRPr="00325719">
              <w:rPr>
                <w:rFonts w:ascii="Arial" w:hAnsi="Arial" w:cs="Arial"/>
                <w:sz w:val="20"/>
                <w:szCs w:val="20"/>
              </w:rPr>
              <w:t xml:space="preserve"> (</w:t>
            </w:r>
            <w:r w:rsidRPr="00325719">
              <w:rPr>
                <w:rFonts w:ascii="Arial" w:hAnsi="Arial" w:cs="Arial"/>
                <w:b/>
                <w:color w:val="000000"/>
                <w:sz w:val="20"/>
                <w:szCs w:val="20"/>
              </w:rPr>
              <w:t>years)</w:t>
            </w:r>
          </w:p>
        </w:tc>
        <w:tc>
          <w:tcPr>
            <w:tcW w:w="4499" w:type="dxa"/>
            <w:gridSpan w:val="4"/>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99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90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6"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jc w:val="center"/>
        </w:trPr>
        <w:tc>
          <w:tcPr>
            <w:tcW w:w="1726"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25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Benign</w:t>
            </w:r>
          </w:p>
        </w:tc>
        <w:tc>
          <w:tcPr>
            <w:tcW w:w="90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17"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Malignant </w:t>
            </w:r>
          </w:p>
        </w:tc>
        <w:tc>
          <w:tcPr>
            <w:tcW w:w="99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99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Below 18</w:t>
            </w:r>
          </w:p>
        </w:tc>
        <w:tc>
          <w:tcPr>
            <w:tcW w:w="1259"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10</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5.4</w:t>
            </w:r>
          </w:p>
        </w:tc>
        <w:tc>
          <w:tcPr>
            <w:tcW w:w="135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0.5</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11</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5.9</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0.031</w:t>
            </w: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 xml:space="preserve">18 and Above </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107</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57.9</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15</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8.1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122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65.9</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15"/>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N/A</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28.1</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28.1</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30"/>
          <w:jc w:val="center"/>
        </w:trPr>
        <w:tc>
          <w:tcPr>
            <w:tcW w:w="172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Total </w:t>
            </w:r>
          </w:p>
        </w:tc>
        <w:tc>
          <w:tcPr>
            <w:tcW w:w="1259"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169</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8.6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185</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100.0</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bl>
    <w:p w:rsidR="00394587" w:rsidRDefault="00394587" w:rsidP="000E622A">
      <w:pPr>
        <w:pStyle w:val="BodyText3"/>
        <w:tabs>
          <w:tab w:val="left" w:pos="1080"/>
        </w:tabs>
        <w:spacing w:line="480" w:lineRule="auto"/>
        <w:ind w:left="1080" w:hanging="1080"/>
        <w:jc w:val="both"/>
        <w:rPr>
          <w:rFonts w:ascii="Arial" w:hAnsi="Arial" w:cs="Arial"/>
          <w:b/>
          <w:bCs/>
          <w:sz w:val="20"/>
          <w:szCs w:val="20"/>
        </w:rPr>
      </w:pPr>
    </w:p>
    <w:p w:rsidR="00325719" w:rsidRPr="00F142A7" w:rsidRDefault="001E54C6" w:rsidP="000E622A">
      <w:pPr>
        <w:pStyle w:val="BodyText3"/>
        <w:tabs>
          <w:tab w:val="left" w:pos="1080"/>
        </w:tabs>
        <w:spacing w:line="480" w:lineRule="auto"/>
        <w:ind w:left="1080" w:hanging="1080"/>
        <w:jc w:val="both"/>
        <w:rPr>
          <w:rFonts w:ascii="Arial" w:hAnsi="Arial" w:cs="Arial"/>
          <w:b/>
          <w:bCs/>
          <w:sz w:val="20"/>
          <w:szCs w:val="20"/>
        </w:rPr>
      </w:pPr>
      <w:r w:rsidRPr="001E54C6">
        <w:rPr>
          <w:rFonts w:ascii="Arial" w:hAnsi="Arial" w:cs="Arial"/>
          <w:b/>
          <w:bCs/>
          <w:sz w:val="20"/>
          <w:szCs w:val="20"/>
        </w:rPr>
        <w:t xml:space="preserve">Table 6: History of Tobacco Smoking and Alcohol Consumption versus General Categorization of Breast Lesions </w:t>
      </w:r>
      <w:r w:rsidR="00325719">
        <w:rPr>
          <w:rFonts w:ascii="Arial" w:hAnsi="Arial" w:cs="Arial"/>
          <w:bCs/>
          <w:sz w:val="20"/>
          <w:szCs w:val="20"/>
        </w:rPr>
        <w:tab/>
      </w:r>
    </w:p>
    <w:tbl>
      <w:tblPr>
        <w:tblStyle w:val="TableGrid"/>
        <w:tblW w:w="9135" w:type="dxa"/>
        <w:jc w:val="center"/>
        <w:tblLayout w:type="fixed"/>
        <w:tblLook w:val="04A0" w:firstRow="1" w:lastRow="0" w:firstColumn="1" w:lastColumn="0" w:noHBand="0" w:noVBand="1"/>
      </w:tblPr>
      <w:tblGrid>
        <w:gridCol w:w="1773"/>
        <w:gridCol w:w="1303"/>
        <w:gridCol w:w="369"/>
        <w:gridCol w:w="531"/>
        <w:gridCol w:w="138"/>
        <w:gridCol w:w="1255"/>
        <w:gridCol w:w="754"/>
        <w:gridCol w:w="1171"/>
        <w:gridCol w:w="837"/>
        <w:gridCol w:w="1004"/>
      </w:tblGrid>
      <w:tr w:rsidR="00325719" w:rsidRPr="00325719" w:rsidTr="005F57BE">
        <w:trPr>
          <w:trHeight w:val="179"/>
          <w:jc w:val="center"/>
        </w:trPr>
        <w:tc>
          <w:tcPr>
            <w:tcW w:w="7296" w:type="dxa"/>
            <w:gridSpan w:val="8"/>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bCs/>
                <w:color w:val="000000"/>
                <w:sz w:val="20"/>
                <w:szCs w:val="20"/>
              </w:rPr>
              <w:t>History of Tobacco Smoking and Alcohol Consumption versus General Categorization of Breast Lesions</w:t>
            </w:r>
          </w:p>
        </w:tc>
        <w:tc>
          <w:tcPr>
            <w:tcW w:w="837" w:type="dxa"/>
            <w:tcBorders>
              <w:top w:val="single" w:sz="4" w:space="0" w:color="auto"/>
              <w:left w:val="nil"/>
              <w:bottom w:val="single" w:sz="4" w:space="0" w:color="auto"/>
              <w:right w:val="nil"/>
            </w:tcBorders>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p>
        </w:tc>
        <w:tc>
          <w:tcPr>
            <w:tcW w:w="1004" w:type="dxa"/>
            <w:tcBorders>
              <w:top w:val="single" w:sz="4" w:space="0" w:color="auto"/>
              <w:left w:val="nil"/>
              <w:bottom w:val="single" w:sz="4" w:space="0" w:color="auto"/>
              <w:right w:val="nil"/>
            </w:tcBorders>
          </w:tcPr>
          <w:p w:rsidR="00325719" w:rsidRPr="00325719" w:rsidRDefault="00325719" w:rsidP="00976363">
            <w:pPr>
              <w:autoSpaceDE w:val="0"/>
              <w:autoSpaceDN w:val="0"/>
              <w:adjustRightInd w:val="0"/>
              <w:ind w:right="60"/>
              <w:contextualSpacing/>
              <w:jc w:val="center"/>
              <w:rPr>
                <w:rFonts w:ascii="Arial" w:hAnsi="Arial" w:cs="Arial"/>
                <w:color w:val="000000"/>
                <w:sz w:val="20"/>
                <w:szCs w:val="20"/>
              </w:rPr>
            </w:pPr>
          </w:p>
        </w:tc>
      </w:tr>
      <w:tr w:rsidR="00325719" w:rsidRPr="00325719" w:rsidTr="005F57BE">
        <w:trPr>
          <w:trHeight w:val="179"/>
          <w:jc w:val="center"/>
        </w:trPr>
        <w:tc>
          <w:tcPr>
            <w:tcW w:w="1774"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History of Tobacco Smoking</w:t>
            </w:r>
          </w:p>
        </w:tc>
        <w:tc>
          <w:tcPr>
            <w:tcW w:w="4351" w:type="dxa"/>
            <w:gridSpan w:val="6"/>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1171"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Total</w:t>
            </w:r>
          </w:p>
        </w:tc>
        <w:tc>
          <w:tcPr>
            <w:tcW w:w="837"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w:t>
            </w:r>
          </w:p>
        </w:tc>
        <w:tc>
          <w:tcPr>
            <w:tcW w:w="1004"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r w:rsidRPr="00325719">
              <w:rPr>
                <w:rFonts w:ascii="Arial" w:hAnsi="Arial" w:cs="Arial"/>
                <w:b/>
                <w:i/>
                <w:color w:val="000000"/>
                <w:sz w:val="20"/>
                <w:szCs w:val="20"/>
              </w:rPr>
              <w:t>P-Value</w:t>
            </w:r>
          </w:p>
        </w:tc>
      </w:tr>
      <w:tr w:rsidR="00325719" w:rsidRPr="00325719" w:rsidTr="00325719">
        <w:trPr>
          <w:trHeight w:val="179"/>
          <w:jc w:val="center"/>
        </w:trPr>
        <w:tc>
          <w:tcPr>
            <w:tcW w:w="7296"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130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color w:val="000000"/>
                <w:sz w:val="20"/>
                <w:szCs w:val="20"/>
              </w:rPr>
              <w:t>Benign</w:t>
            </w:r>
          </w:p>
        </w:tc>
        <w:tc>
          <w:tcPr>
            <w:tcW w:w="900" w:type="dxa"/>
            <w:gridSpan w:val="2"/>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color w:val="000000"/>
                <w:sz w:val="20"/>
                <w:szCs w:val="20"/>
              </w:rPr>
              <w:t>%</w:t>
            </w:r>
          </w:p>
        </w:tc>
        <w:tc>
          <w:tcPr>
            <w:tcW w:w="1393" w:type="dxa"/>
            <w:gridSpan w:val="2"/>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color w:val="000000"/>
                <w:sz w:val="20"/>
                <w:szCs w:val="20"/>
              </w:rPr>
              <w:t>Malignant</w:t>
            </w:r>
          </w:p>
        </w:tc>
        <w:tc>
          <w:tcPr>
            <w:tcW w:w="75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color w:val="000000"/>
                <w:sz w:val="20"/>
                <w:szCs w:val="20"/>
              </w:rPr>
              <w:t>%</w:t>
            </w:r>
          </w:p>
        </w:tc>
        <w:tc>
          <w:tcPr>
            <w:tcW w:w="1171"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837"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r>
      <w:tr w:rsidR="00325719" w:rsidRPr="00325719" w:rsidTr="00325719">
        <w:trPr>
          <w:trHeight w:val="179"/>
          <w:jc w:val="center"/>
        </w:trPr>
        <w:tc>
          <w:tcPr>
            <w:tcW w:w="177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YES</w:t>
            </w:r>
          </w:p>
        </w:tc>
        <w:tc>
          <w:tcPr>
            <w:tcW w:w="130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w:t>
            </w:r>
          </w:p>
        </w:tc>
        <w:tc>
          <w:tcPr>
            <w:tcW w:w="900"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7.0</w:t>
            </w:r>
          </w:p>
        </w:tc>
        <w:tc>
          <w:tcPr>
            <w:tcW w:w="1393"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0</w:t>
            </w:r>
          </w:p>
        </w:tc>
        <w:tc>
          <w:tcPr>
            <w:tcW w:w="75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0</w:t>
            </w:r>
          </w:p>
        </w:tc>
        <w:tc>
          <w:tcPr>
            <w:tcW w:w="1171"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w:t>
            </w:r>
          </w:p>
        </w:tc>
        <w:tc>
          <w:tcPr>
            <w:tcW w:w="837"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7.0</w:t>
            </w:r>
          </w:p>
        </w:tc>
        <w:tc>
          <w:tcPr>
            <w:tcW w:w="1004"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r w:rsidRPr="00325719">
              <w:rPr>
                <w:rFonts w:ascii="Arial" w:hAnsi="Arial" w:cs="Arial"/>
                <w:b/>
                <w:color w:val="000000"/>
                <w:sz w:val="20"/>
                <w:szCs w:val="20"/>
              </w:rPr>
              <w:t>0.250</w:t>
            </w:r>
          </w:p>
        </w:tc>
      </w:tr>
      <w:tr w:rsidR="00325719" w:rsidRPr="00325719" w:rsidTr="00325719">
        <w:trPr>
          <w:trHeight w:val="179"/>
          <w:jc w:val="center"/>
        </w:trPr>
        <w:tc>
          <w:tcPr>
            <w:tcW w:w="177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NO</w:t>
            </w:r>
          </w:p>
        </w:tc>
        <w:tc>
          <w:tcPr>
            <w:tcW w:w="130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156</w:t>
            </w:r>
          </w:p>
        </w:tc>
        <w:tc>
          <w:tcPr>
            <w:tcW w:w="900"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84.3</w:t>
            </w:r>
          </w:p>
        </w:tc>
        <w:tc>
          <w:tcPr>
            <w:tcW w:w="1393"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16</w:t>
            </w:r>
          </w:p>
        </w:tc>
        <w:tc>
          <w:tcPr>
            <w:tcW w:w="75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8.7</w:t>
            </w:r>
          </w:p>
        </w:tc>
        <w:tc>
          <w:tcPr>
            <w:tcW w:w="1171"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172</w:t>
            </w:r>
          </w:p>
        </w:tc>
        <w:tc>
          <w:tcPr>
            <w:tcW w:w="837" w:type="dxa"/>
            <w:tcBorders>
              <w:top w:val="nil"/>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93.0</w:t>
            </w:r>
          </w:p>
        </w:tc>
        <w:tc>
          <w:tcPr>
            <w:tcW w:w="1004" w:type="dxa"/>
            <w:vMerge w:val="restart"/>
            <w:tcBorders>
              <w:top w:val="nil"/>
              <w:left w:val="nil"/>
              <w:bottom w:val="single" w:sz="4" w:space="0" w:color="auto"/>
              <w:right w:val="nil"/>
            </w:tcBorders>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p>
        </w:tc>
      </w:tr>
      <w:tr w:rsidR="00325719" w:rsidRPr="00325719" w:rsidTr="00325719">
        <w:trPr>
          <w:trHeight w:val="179"/>
          <w:jc w:val="center"/>
        </w:trPr>
        <w:tc>
          <w:tcPr>
            <w:tcW w:w="177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Total</w:t>
            </w:r>
          </w:p>
        </w:tc>
        <w:tc>
          <w:tcPr>
            <w:tcW w:w="130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169</w:t>
            </w:r>
          </w:p>
        </w:tc>
        <w:tc>
          <w:tcPr>
            <w:tcW w:w="900"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91.3</w:t>
            </w:r>
          </w:p>
        </w:tc>
        <w:tc>
          <w:tcPr>
            <w:tcW w:w="139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8.7</w:t>
            </w:r>
          </w:p>
        </w:tc>
        <w:tc>
          <w:tcPr>
            <w:tcW w:w="1171"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185</w:t>
            </w:r>
          </w:p>
        </w:tc>
        <w:tc>
          <w:tcPr>
            <w:tcW w:w="837"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100.0</w:t>
            </w: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r>
      <w:tr w:rsidR="00325719" w:rsidRPr="00325719" w:rsidTr="00325719">
        <w:trPr>
          <w:trHeight w:val="179"/>
          <w:jc w:val="center"/>
        </w:trPr>
        <w:tc>
          <w:tcPr>
            <w:tcW w:w="1774"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Alcohol Consumption</w:t>
            </w:r>
          </w:p>
        </w:tc>
        <w:tc>
          <w:tcPr>
            <w:tcW w:w="4351" w:type="dxa"/>
            <w:gridSpan w:val="6"/>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bCs/>
                <w:sz w:val="20"/>
                <w:szCs w:val="20"/>
              </w:rPr>
              <w:t>General Categorization of Breast Lesions</w:t>
            </w:r>
          </w:p>
        </w:tc>
        <w:tc>
          <w:tcPr>
            <w:tcW w:w="1171"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Total</w:t>
            </w:r>
          </w:p>
        </w:tc>
        <w:tc>
          <w:tcPr>
            <w:tcW w:w="837"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color w:val="000000"/>
                <w:sz w:val="20"/>
                <w:szCs w:val="20"/>
              </w:rPr>
              <w:t>%</w:t>
            </w:r>
          </w:p>
        </w:tc>
        <w:tc>
          <w:tcPr>
            <w:tcW w:w="1004"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i/>
                <w:sz w:val="20"/>
                <w:szCs w:val="20"/>
              </w:rPr>
              <w:t>P-Value</w:t>
            </w:r>
          </w:p>
        </w:tc>
      </w:tr>
      <w:tr w:rsidR="00325719" w:rsidRPr="00325719" w:rsidTr="00325719">
        <w:trPr>
          <w:trHeight w:val="179"/>
          <w:jc w:val="center"/>
        </w:trPr>
        <w:tc>
          <w:tcPr>
            <w:tcW w:w="7296"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167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Benign</w:t>
            </w:r>
          </w:p>
        </w:tc>
        <w:tc>
          <w:tcPr>
            <w:tcW w:w="669"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b/>
                <w:color w:val="000000"/>
                <w:sz w:val="20"/>
                <w:szCs w:val="20"/>
              </w:rPr>
              <w:t>%</w:t>
            </w:r>
          </w:p>
        </w:tc>
        <w:tc>
          <w:tcPr>
            <w:tcW w:w="1255"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Malignant</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b/>
                <w:color w:val="000000"/>
                <w:sz w:val="20"/>
                <w:szCs w:val="20"/>
              </w:rPr>
              <w:t>%</w:t>
            </w:r>
          </w:p>
        </w:tc>
        <w:tc>
          <w:tcPr>
            <w:tcW w:w="1171"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837"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1004"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r>
      <w:tr w:rsidR="00325719" w:rsidRPr="00325719" w:rsidTr="00325719">
        <w:trPr>
          <w:trHeight w:val="179"/>
          <w:jc w:val="center"/>
        </w:trPr>
        <w:tc>
          <w:tcPr>
            <w:tcW w:w="177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YES</w:t>
            </w:r>
          </w:p>
        </w:tc>
        <w:tc>
          <w:tcPr>
            <w:tcW w:w="1673"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31</w:t>
            </w:r>
          </w:p>
        </w:tc>
        <w:tc>
          <w:tcPr>
            <w:tcW w:w="669"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16.7</w:t>
            </w:r>
          </w:p>
        </w:tc>
        <w:tc>
          <w:tcPr>
            <w:tcW w:w="1255"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w:t>
            </w:r>
          </w:p>
        </w:tc>
        <w:tc>
          <w:tcPr>
            <w:tcW w:w="75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3.8</w:t>
            </w:r>
          </w:p>
        </w:tc>
        <w:tc>
          <w:tcPr>
            <w:tcW w:w="1171"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38</w:t>
            </w:r>
          </w:p>
        </w:tc>
        <w:tc>
          <w:tcPr>
            <w:tcW w:w="837"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20.5</w:t>
            </w:r>
          </w:p>
        </w:tc>
        <w:tc>
          <w:tcPr>
            <w:tcW w:w="100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0.016</w:t>
            </w:r>
          </w:p>
        </w:tc>
      </w:tr>
      <w:tr w:rsidR="00325719" w:rsidRPr="00325719" w:rsidTr="00325719">
        <w:trPr>
          <w:trHeight w:val="179"/>
          <w:jc w:val="center"/>
        </w:trPr>
        <w:tc>
          <w:tcPr>
            <w:tcW w:w="177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NO</w:t>
            </w:r>
          </w:p>
        </w:tc>
        <w:tc>
          <w:tcPr>
            <w:tcW w:w="1673"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138</w:t>
            </w:r>
          </w:p>
        </w:tc>
        <w:tc>
          <w:tcPr>
            <w:tcW w:w="669"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74.6</w:t>
            </w:r>
          </w:p>
        </w:tc>
        <w:tc>
          <w:tcPr>
            <w:tcW w:w="1255"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9</w:t>
            </w:r>
          </w:p>
        </w:tc>
        <w:tc>
          <w:tcPr>
            <w:tcW w:w="75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4.9</w:t>
            </w:r>
          </w:p>
        </w:tc>
        <w:tc>
          <w:tcPr>
            <w:tcW w:w="1171"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147</w:t>
            </w:r>
          </w:p>
        </w:tc>
        <w:tc>
          <w:tcPr>
            <w:tcW w:w="837" w:type="dxa"/>
            <w:tcBorders>
              <w:top w:val="nil"/>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79.5</w:t>
            </w:r>
          </w:p>
        </w:tc>
        <w:tc>
          <w:tcPr>
            <w:tcW w:w="1004" w:type="dxa"/>
            <w:vMerge w:val="restart"/>
            <w:tcBorders>
              <w:top w:val="nil"/>
              <w:left w:val="nil"/>
              <w:bottom w:val="single" w:sz="4" w:space="0" w:color="auto"/>
              <w:right w:val="nil"/>
            </w:tcBorders>
          </w:tcPr>
          <w:p w:rsidR="00325719" w:rsidRPr="00325719" w:rsidRDefault="00325719" w:rsidP="00976363">
            <w:pPr>
              <w:contextualSpacing/>
              <w:jc w:val="center"/>
              <w:rPr>
                <w:rFonts w:ascii="Arial" w:hAnsi="Arial" w:cs="Arial"/>
                <w:b/>
                <w:sz w:val="20"/>
                <w:szCs w:val="20"/>
              </w:rPr>
            </w:pPr>
          </w:p>
        </w:tc>
      </w:tr>
      <w:tr w:rsidR="00325719" w:rsidRPr="00325719" w:rsidTr="00325719">
        <w:trPr>
          <w:trHeight w:val="179"/>
          <w:jc w:val="center"/>
        </w:trPr>
        <w:tc>
          <w:tcPr>
            <w:tcW w:w="177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Total</w:t>
            </w:r>
          </w:p>
        </w:tc>
        <w:tc>
          <w:tcPr>
            <w:tcW w:w="167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169</w:t>
            </w:r>
          </w:p>
        </w:tc>
        <w:tc>
          <w:tcPr>
            <w:tcW w:w="669"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91.3</w:t>
            </w:r>
          </w:p>
        </w:tc>
        <w:tc>
          <w:tcPr>
            <w:tcW w:w="1255"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8.7</w:t>
            </w:r>
          </w:p>
        </w:tc>
        <w:tc>
          <w:tcPr>
            <w:tcW w:w="1171"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185</w:t>
            </w:r>
          </w:p>
        </w:tc>
        <w:tc>
          <w:tcPr>
            <w:tcW w:w="837"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100.0</w:t>
            </w: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r>
    </w:tbl>
    <w:p w:rsidR="00CF1365" w:rsidRPr="001E54C6" w:rsidRDefault="00CF1365" w:rsidP="007D1AEC">
      <w:pPr>
        <w:pStyle w:val="BodyText3"/>
        <w:tabs>
          <w:tab w:val="left" w:pos="1993"/>
        </w:tabs>
        <w:spacing w:line="480" w:lineRule="auto"/>
        <w:ind w:left="1080" w:hanging="1080"/>
        <w:jc w:val="both"/>
        <w:rPr>
          <w:rFonts w:ascii="Arial" w:hAnsi="Arial" w:cs="Arial"/>
          <w:bCs/>
          <w:sz w:val="20"/>
          <w:szCs w:val="20"/>
        </w:rPr>
      </w:pPr>
    </w:p>
    <w:p w:rsidR="00157267" w:rsidRDefault="00157267" w:rsidP="007D1AEC">
      <w:pPr>
        <w:pStyle w:val="BodyText3"/>
        <w:tabs>
          <w:tab w:val="left" w:pos="1080"/>
        </w:tabs>
        <w:spacing w:after="0" w:line="480" w:lineRule="auto"/>
        <w:ind w:left="1080" w:hanging="1080"/>
        <w:jc w:val="both"/>
        <w:rPr>
          <w:rFonts w:ascii="Arial" w:hAnsi="Arial"/>
          <w:bCs/>
          <w:sz w:val="18"/>
        </w:rPr>
      </w:pPr>
    </w:p>
    <w:p w:rsidR="00CF1365" w:rsidRDefault="00CF1365" w:rsidP="007D1AEC">
      <w:pPr>
        <w:pStyle w:val="BodyText3"/>
        <w:tabs>
          <w:tab w:val="left" w:pos="1080"/>
        </w:tabs>
        <w:spacing w:line="480" w:lineRule="auto"/>
        <w:ind w:left="1080" w:hanging="1080"/>
        <w:jc w:val="both"/>
        <w:rPr>
          <w:rFonts w:ascii="Arial" w:hAnsi="Arial" w:cs="Arial"/>
          <w:b/>
          <w:bCs/>
          <w:sz w:val="20"/>
          <w:szCs w:val="20"/>
        </w:rPr>
      </w:pPr>
      <w:r w:rsidRPr="00CF1365">
        <w:rPr>
          <w:rFonts w:ascii="Arial" w:hAnsi="Arial" w:cs="Arial"/>
          <w:b/>
          <w:bCs/>
          <w:sz w:val="20"/>
          <w:szCs w:val="20"/>
        </w:rPr>
        <w:lastRenderedPageBreak/>
        <w:t>Table 7: Level of Education and History of Prior Breast FNAC versus General Categorization of Breast Lesions</w:t>
      </w:r>
    </w:p>
    <w:p w:rsidR="008944F0" w:rsidRPr="002A6545" w:rsidRDefault="00394587" w:rsidP="00394587">
      <w:pPr>
        <w:pStyle w:val="BodyText3"/>
        <w:tabs>
          <w:tab w:val="left" w:pos="1935"/>
        </w:tabs>
        <w:ind w:left="1080" w:hanging="1080"/>
        <w:jc w:val="both"/>
        <w:rPr>
          <w:rFonts w:ascii="Arial" w:hAnsi="Arial" w:cs="Arial"/>
          <w:b/>
          <w:bCs/>
          <w:sz w:val="20"/>
          <w:szCs w:val="20"/>
        </w:rPr>
      </w:pPr>
      <w:r>
        <w:rPr>
          <w:rFonts w:ascii="Arial" w:hAnsi="Arial" w:cs="Arial"/>
          <w:b/>
          <w:bCs/>
          <w:sz w:val="20"/>
          <w:szCs w:val="20"/>
        </w:rPr>
        <w:tab/>
      </w:r>
    </w:p>
    <w:tbl>
      <w:tblPr>
        <w:tblStyle w:val="TableGrid7"/>
        <w:tblW w:w="8790" w:type="dxa"/>
        <w:jc w:val="center"/>
        <w:tblLayout w:type="fixed"/>
        <w:tblLook w:val="04A0" w:firstRow="1" w:lastRow="0" w:firstColumn="1" w:lastColumn="0" w:noHBand="0" w:noVBand="1"/>
      </w:tblPr>
      <w:tblGrid>
        <w:gridCol w:w="1637"/>
        <w:gridCol w:w="1169"/>
        <w:gridCol w:w="810"/>
        <w:gridCol w:w="1350"/>
        <w:gridCol w:w="810"/>
        <w:gridCol w:w="900"/>
        <w:gridCol w:w="955"/>
        <w:gridCol w:w="1159"/>
      </w:tblGrid>
      <w:tr w:rsidR="008944F0" w:rsidRPr="008944F0" w:rsidTr="008944F0">
        <w:trPr>
          <w:trHeight w:val="863"/>
          <w:jc w:val="center"/>
        </w:trPr>
        <w:tc>
          <w:tcPr>
            <w:tcW w:w="7631" w:type="dxa"/>
            <w:gridSpan w:val="7"/>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jc w:val="both"/>
              <w:rPr>
                <w:rFonts w:ascii="Arial" w:hAnsi="Arial" w:cs="Arial"/>
                <w:color w:val="000000"/>
                <w:sz w:val="20"/>
                <w:szCs w:val="20"/>
              </w:rPr>
            </w:pPr>
            <w:r w:rsidRPr="008944F0">
              <w:rPr>
                <w:rFonts w:ascii="Arial" w:hAnsi="Arial" w:cs="Arial"/>
                <w:b/>
                <w:bCs/>
                <w:color w:val="000000"/>
                <w:sz w:val="20"/>
                <w:szCs w:val="20"/>
              </w:rPr>
              <w:t>Level of Education and History of Prior Breast FNAC versus General Categorization of Breast Lesions</w:t>
            </w:r>
          </w:p>
        </w:tc>
        <w:tc>
          <w:tcPr>
            <w:tcW w:w="1159" w:type="dxa"/>
            <w:tcBorders>
              <w:top w:val="single" w:sz="4" w:space="0" w:color="auto"/>
              <w:left w:val="nil"/>
              <w:bottom w:val="single" w:sz="4" w:space="0" w:color="auto"/>
              <w:right w:val="nil"/>
            </w:tcBorders>
          </w:tcPr>
          <w:p w:rsidR="008944F0" w:rsidRPr="008944F0" w:rsidRDefault="008944F0" w:rsidP="00E01546">
            <w:pPr>
              <w:autoSpaceDE w:val="0"/>
              <w:autoSpaceDN w:val="0"/>
              <w:adjustRightInd w:val="0"/>
              <w:ind w:right="60"/>
              <w:contextualSpacing/>
              <w:jc w:val="both"/>
              <w:rPr>
                <w:rFonts w:ascii="Arial" w:hAnsi="Arial" w:cs="Arial"/>
                <w:color w:val="000000"/>
                <w:sz w:val="20"/>
                <w:szCs w:val="20"/>
              </w:rPr>
            </w:pPr>
          </w:p>
        </w:tc>
      </w:tr>
      <w:tr w:rsidR="008944F0" w:rsidRPr="008944F0" w:rsidTr="008944F0">
        <w:trPr>
          <w:trHeight w:val="1109"/>
          <w:jc w:val="center"/>
        </w:trPr>
        <w:tc>
          <w:tcPr>
            <w:tcW w:w="1637"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Level of Education</w:t>
            </w:r>
          </w:p>
        </w:tc>
        <w:tc>
          <w:tcPr>
            <w:tcW w:w="4139" w:type="dxa"/>
            <w:gridSpan w:val="4"/>
            <w:tcBorders>
              <w:top w:val="single" w:sz="4" w:space="0" w:color="auto"/>
              <w:left w:val="nil"/>
              <w:bottom w:val="nil"/>
              <w:right w:val="nil"/>
            </w:tcBorders>
            <w:hideMark/>
          </w:tcPr>
          <w:p w:rsidR="008944F0" w:rsidRPr="00F142A7"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00"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955"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44"/>
          <w:jc w:val="center"/>
        </w:trPr>
        <w:tc>
          <w:tcPr>
            <w:tcW w:w="1637"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 xml:space="preserve">Benign </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5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00"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955"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39"/>
          <w:jc w:val="center"/>
        </w:trPr>
        <w:tc>
          <w:tcPr>
            <w:tcW w:w="1637"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Primary</w:t>
            </w:r>
          </w:p>
        </w:tc>
        <w:tc>
          <w:tcPr>
            <w:tcW w:w="1169"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18</w:t>
            </w:r>
          </w:p>
        </w:tc>
        <w:tc>
          <w:tcPr>
            <w:tcW w:w="81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9.8</w:t>
            </w:r>
          </w:p>
        </w:tc>
        <w:tc>
          <w:tcPr>
            <w:tcW w:w="135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3</w:t>
            </w:r>
          </w:p>
        </w:tc>
        <w:tc>
          <w:tcPr>
            <w:tcW w:w="81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1.6</w:t>
            </w:r>
          </w:p>
        </w:tc>
        <w:tc>
          <w:tcPr>
            <w:tcW w:w="900" w:type="dxa"/>
            <w:tcBorders>
              <w:top w:val="single" w:sz="4" w:space="0" w:color="auto"/>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21</w:t>
            </w:r>
          </w:p>
        </w:tc>
        <w:tc>
          <w:tcPr>
            <w:tcW w:w="955" w:type="dxa"/>
            <w:tcBorders>
              <w:top w:val="single" w:sz="4" w:space="0" w:color="auto"/>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11.4</w:t>
            </w: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color w:val="000000"/>
                <w:sz w:val="20"/>
                <w:szCs w:val="20"/>
              </w:rPr>
              <w:t>0.319</w:t>
            </w:r>
          </w:p>
        </w:tc>
      </w:tr>
      <w:tr w:rsidR="008944F0" w:rsidRPr="008944F0" w:rsidTr="008944F0">
        <w:trPr>
          <w:trHeight w:val="554"/>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Secondary</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107</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57.8</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12</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6.5</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119</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64.3</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39"/>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College</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43</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23.2</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0.6</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44</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23.8</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54"/>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Never Attended School</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0.5</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0.5</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330"/>
          <w:jc w:val="center"/>
        </w:trPr>
        <w:tc>
          <w:tcPr>
            <w:tcW w:w="1637"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169</w:t>
            </w:r>
          </w:p>
        </w:tc>
        <w:tc>
          <w:tcPr>
            <w:tcW w:w="81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91.3</w:t>
            </w:r>
          </w:p>
        </w:tc>
        <w:tc>
          <w:tcPr>
            <w:tcW w:w="135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16</w:t>
            </w:r>
          </w:p>
        </w:tc>
        <w:tc>
          <w:tcPr>
            <w:tcW w:w="81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8.7</w:t>
            </w:r>
          </w:p>
        </w:tc>
        <w:tc>
          <w:tcPr>
            <w:tcW w:w="90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185</w:t>
            </w:r>
          </w:p>
        </w:tc>
        <w:tc>
          <w:tcPr>
            <w:tcW w:w="955"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100.0</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1094"/>
          <w:jc w:val="center"/>
        </w:trPr>
        <w:tc>
          <w:tcPr>
            <w:tcW w:w="1637"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Done FNAC</w:t>
            </w:r>
            <w:r w:rsidRPr="008944F0">
              <w:rPr>
                <w:rFonts w:ascii="Arial" w:hAnsi="Arial" w:cs="Arial"/>
                <w:b/>
                <w:bCs/>
                <w:sz w:val="20"/>
                <w:szCs w:val="20"/>
              </w:rPr>
              <w:t xml:space="preserve"> </w:t>
            </w:r>
            <w:r w:rsidRPr="008944F0">
              <w:rPr>
                <w:rFonts w:ascii="Arial" w:hAnsi="Arial" w:cs="Arial"/>
                <w:b/>
                <w:bCs/>
                <w:color w:val="000000"/>
                <w:sz w:val="20"/>
                <w:szCs w:val="20"/>
              </w:rPr>
              <w:t>Previously</w:t>
            </w:r>
          </w:p>
        </w:tc>
        <w:tc>
          <w:tcPr>
            <w:tcW w:w="4139" w:type="dxa"/>
            <w:gridSpan w:val="4"/>
            <w:tcBorders>
              <w:top w:val="single" w:sz="4" w:space="0" w:color="auto"/>
              <w:left w:val="nil"/>
              <w:bottom w:val="nil"/>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00"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955" w:type="dxa"/>
            <w:vMerge w:val="restart"/>
            <w:tcBorders>
              <w:top w:val="single" w:sz="4" w:space="0" w:color="auto"/>
              <w:left w:val="nil"/>
              <w:bottom w:val="single" w:sz="4" w:space="0" w:color="auto"/>
              <w:right w:val="nil"/>
            </w:tcBorders>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44"/>
          <w:jc w:val="center"/>
        </w:trPr>
        <w:tc>
          <w:tcPr>
            <w:tcW w:w="1637"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 xml:space="preserve">Benign </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5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00"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955"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D76680">
        <w:trPr>
          <w:trHeight w:val="539"/>
          <w:jc w:val="center"/>
        </w:trPr>
        <w:tc>
          <w:tcPr>
            <w:tcW w:w="1637" w:type="dxa"/>
            <w:tcBorders>
              <w:top w:val="single" w:sz="4" w:space="0" w:color="auto"/>
              <w:left w:val="nil"/>
              <w:bottom w:val="nil"/>
              <w:right w:val="nil"/>
            </w:tcBorders>
            <w:hideMark/>
          </w:tcPr>
          <w:p w:rsidR="008944F0" w:rsidRPr="008944F0" w:rsidRDefault="008944F0" w:rsidP="00AD3FC9">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6</w:t>
            </w:r>
          </w:p>
        </w:tc>
        <w:tc>
          <w:tcPr>
            <w:tcW w:w="81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3.2</w:t>
            </w:r>
          </w:p>
        </w:tc>
        <w:tc>
          <w:tcPr>
            <w:tcW w:w="135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w:t>
            </w:r>
          </w:p>
        </w:tc>
        <w:tc>
          <w:tcPr>
            <w:tcW w:w="81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0.6</w:t>
            </w:r>
          </w:p>
        </w:tc>
        <w:tc>
          <w:tcPr>
            <w:tcW w:w="900" w:type="dxa"/>
            <w:tcBorders>
              <w:top w:val="single" w:sz="4" w:space="0" w:color="auto"/>
              <w:left w:val="nil"/>
              <w:bottom w:val="nil"/>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7</w:t>
            </w:r>
          </w:p>
        </w:tc>
        <w:tc>
          <w:tcPr>
            <w:tcW w:w="955" w:type="dxa"/>
            <w:tcBorders>
              <w:top w:val="single" w:sz="4" w:space="0" w:color="auto"/>
              <w:left w:val="nil"/>
              <w:bottom w:val="nil"/>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3.8</w:t>
            </w:r>
          </w:p>
        </w:tc>
        <w:tc>
          <w:tcPr>
            <w:tcW w:w="1159" w:type="dxa"/>
            <w:vMerge w:val="restart"/>
            <w:tcBorders>
              <w:top w:val="single" w:sz="4" w:space="0" w:color="auto"/>
              <w:left w:val="nil"/>
              <w:bottom w:val="single" w:sz="4" w:space="0" w:color="auto"/>
              <w:right w:val="nil"/>
            </w:tcBorders>
            <w:hideMark/>
          </w:tcPr>
          <w:p w:rsidR="008944F0" w:rsidRPr="008944F0" w:rsidRDefault="008944F0" w:rsidP="00D7668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0.589</w:t>
            </w:r>
          </w:p>
        </w:tc>
      </w:tr>
      <w:tr w:rsidR="008944F0" w:rsidRPr="008944F0" w:rsidTr="00D76680">
        <w:trPr>
          <w:trHeight w:val="554"/>
          <w:jc w:val="center"/>
        </w:trPr>
        <w:tc>
          <w:tcPr>
            <w:tcW w:w="1637" w:type="dxa"/>
            <w:tcBorders>
              <w:top w:val="nil"/>
              <w:left w:val="nil"/>
              <w:bottom w:val="nil"/>
              <w:right w:val="nil"/>
            </w:tcBorders>
            <w:hideMark/>
          </w:tcPr>
          <w:p w:rsidR="008944F0" w:rsidRPr="008944F0" w:rsidRDefault="008944F0" w:rsidP="00AD3FC9">
            <w:pPr>
              <w:contextualSpacing/>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163</w:t>
            </w:r>
          </w:p>
        </w:tc>
        <w:tc>
          <w:tcPr>
            <w:tcW w:w="81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88.1</w:t>
            </w:r>
          </w:p>
        </w:tc>
        <w:tc>
          <w:tcPr>
            <w:tcW w:w="135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15</w:t>
            </w:r>
          </w:p>
        </w:tc>
        <w:tc>
          <w:tcPr>
            <w:tcW w:w="81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8.1</w:t>
            </w:r>
          </w:p>
        </w:tc>
        <w:tc>
          <w:tcPr>
            <w:tcW w:w="900" w:type="dxa"/>
            <w:tcBorders>
              <w:top w:val="nil"/>
              <w:left w:val="nil"/>
              <w:bottom w:val="nil"/>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178</w:t>
            </w:r>
          </w:p>
        </w:tc>
        <w:tc>
          <w:tcPr>
            <w:tcW w:w="955" w:type="dxa"/>
            <w:tcBorders>
              <w:top w:val="nil"/>
              <w:left w:val="nil"/>
              <w:bottom w:val="nil"/>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96.2</w:t>
            </w:r>
          </w:p>
        </w:tc>
        <w:tc>
          <w:tcPr>
            <w:tcW w:w="1159" w:type="dxa"/>
            <w:vMerge/>
            <w:tcBorders>
              <w:top w:val="single" w:sz="4" w:space="0" w:color="auto"/>
              <w:left w:val="nil"/>
              <w:bottom w:val="single" w:sz="4" w:space="0" w:color="auto"/>
              <w:right w:val="nil"/>
            </w:tcBorders>
            <w:hideMark/>
          </w:tcPr>
          <w:p w:rsidR="008944F0" w:rsidRPr="008944F0" w:rsidRDefault="008944F0" w:rsidP="00D76680">
            <w:pPr>
              <w:rPr>
                <w:rFonts w:ascii="Arial" w:hAnsi="Arial" w:cs="Arial"/>
                <w:b/>
                <w:color w:val="000000"/>
                <w:sz w:val="20"/>
                <w:szCs w:val="20"/>
              </w:rPr>
            </w:pPr>
          </w:p>
        </w:tc>
      </w:tr>
      <w:tr w:rsidR="008944F0" w:rsidRPr="008944F0" w:rsidTr="00D76680">
        <w:trPr>
          <w:trHeight w:val="330"/>
          <w:jc w:val="center"/>
        </w:trPr>
        <w:tc>
          <w:tcPr>
            <w:tcW w:w="1637" w:type="dxa"/>
            <w:tcBorders>
              <w:top w:val="nil"/>
              <w:left w:val="nil"/>
              <w:bottom w:val="single" w:sz="4" w:space="0" w:color="auto"/>
              <w:right w:val="nil"/>
            </w:tcBorders>
            <w:hideMark/>
          </w:tcPr>
          <w:p w:rsidR="008944F0" w:rsidRPr="008944F0" w:rsidRDefault="008944F0" w:rsidP="00AD3FC9">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169</w:t>
            </w:r>
          </w:p>
        </w:tc>
        <w:tc>
          <w:tcPr>
            <w:tcW w:w="81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 xml:space="preserve">91.3 </w:t>
            </w:r>
          </w:p>
        </w:tc>
        <w:tc>
          <w:tcPr>
            <w:tcW w:w="135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16</w:t>
            </w:r>
          </w:p>
        </w:tc>
        <w:tc>
          <w:tcPr>
            <w:tcW w:w="81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8.7</w:t>
            </w:r>
          </w:p>
        </w:tc>
        <w:tc>
          <w:tcPr>
            <w:tcW w:w="90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185</w:t>
            </w:r>
          </w:p>
        </w:tc>
        <w:tc>
          <w:tcPr>
            <w:tcW w:w="955" w:type="dxa"/>
            <w:tcBorders>
              <w:top w:val="nil"/>
              <w:left w:val="nil"/>
              <w:bottom w:val="single" w:sz="4" w:space="0" w:color="auto"/>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100.0</w:t>
            </w:r>
          </w:p>
        </w:tc>
        <w:tc>
          <w:tcPr>
            <w:tcW w:w="1159" w:type="dxa"/>
            <w:vMerge/>
            <w:tcBorders>
              <w:top w:val="single" w:sz="4" w:space="0" w:color="auto"/>
              <w:left w:val="nil"/>
              <w:bottom w:val="single" w:sz="4" w:space="0" w:color="auto"/>
              <w:right w:val="nil"/>
            </w:tcBorders>
            <w:hideMark/>
          </w:tcPr>
          <w:p w:rsidR="008944F0" w:rsidRPr="008944F0" w:rsidRDefault="008944F0" w:rsidP="00D76680">
            <w:pPr>
              <w:rPr>
                <w:rFonts w:ascii="Arial" w:hAnsi="Arial" w:cs="Arial"/>
                <w:b/>
                <w:color w:val="000000"/>
                <w:sz w:val="20"/>
                <w:szCs w:val="20"/>
              </w:rPr>
            </w:pPr>
          </w:p>
        </w:tc>
      </w:tr>
    </w:tbl>
    <w:p w:rsidR="002A6545" w:rsidRDefault="002A6545" w:rsidP="007D1AEC">
      <w:pPr>
        <w:pStyle w:val="BodyText3"/>
        <w:tabs>
          <w:tab w:val="left" w:pos="1080"/>
        </w:tabs>
        <w:spacing w:line="480" w:lineRule="auto"/>
        <w:ind w:left="1080" w:hanging="1080"/>
        <w:jc w:val="both"/>
        <w:rPr>
          <w:rFonts w:ascii="Arial" w:hAnsi="Arial" w:cs="Arial"/>
          <w:bCs/>
          <w:sz w:val="20"/>
          <w:szCs w:val="20"/>
        </w:rPr>
      </w:pPr>
    </w:p>
    <w:p w:rsidR="00CF1365" w:rsidRDefault="00CF1365" w:rsidP="007D1AEC">
      <w:pPr>
        <w:pStyle w:val="BodyText3"/>
        <w:tabs>
          <w:tab w:val="left" w:pos="1080"/>
        </w:tabs>
        <w:spacing w:line="480" w:lineRule="auto"/>
        <w:ind w:left="1080" w:hanging="1080"/>
        <w:jc w:val="both"/>
        <w:rPr>
          <w:rFonts w:ascii="Arial" w:hAnsi="Arial" w:cs="Arial"/>
          <w:b/>
          <w:bCs/>
          <w:sz w:val="20"/>
          <w:szCs w:val="20"/>
        </w:rPr>
      </w:pPr>
      <w:r w:rsidRPr="00CF1365">
        <w:rPr>
          <w:rFonts w:ascii="Arial" w:hAnsi="Arial" w:cs="Arial"/>
          <w:b/>
          <w:bCs/>
          <w:sz w:val="20"/>
          <w:szCs w:val="20"/>
        </w:rPr>
        <w:t xml:space="preserve">Table 8: BMI and Family History of Breast Cancer versus General Categorization of Breast Lesions    </w:t>
      </w:r>
    </w:p>
    <w:p w:rsidR="00394587" w:rsidRPr="007A14A2" w:rsidRDefault="00394587" w:rsidP="00394587">
      <w:pPr>
        <w:pStyle w:val="BodyText3"/>
        <w:tabs>
          <w:tab w:val="left" w:pos="1981"/>
        </w:tabs>
        <w:ind w:left="1080" w:hanging="1080"/>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tbl>
      <w:tblPr>
        <w:tblStyle w:val="TableGrid"/>
        <w:tblW w:w="9030" w:type="dxa"/>
        <w:jc w:val="center"/>
        <w:tblLayout w:type="fixed"/>
        <w:tblLook w:val="04A0" w:firstRow="1" w:lastRow="0" w:firstColumn="1" w:lastColumn="0" w:noHBand="0" w:noVBand="1"/>
      </w:tblPr>
      <w:tblGrid>
        <w:gridCol w:w="2009"/>
        <w:gridCol w:w="1213"/>
        <w:gridCol w:w="954"/>
        <w:gridCol w:w="1328"/>
        <w:gridCol w:w="58"/>
        <w:gridCol w:w="752"/>
        <w:gridCol w:w="982"/>
        <w:gridCol w:w="780"/>
        <w:gridCol w:w="954"/>
      </w:tblGrid>
      <w:tr w:rsidR="00394587" w:rsidRPr="00394587" w:rsidTr="00394587">
        <w:trPr>
          <w:trHeight w:val="800"/>
          <w:jc w:val="center"/>
        </w:trPr>
        <w:tc>
          <w:tcPr>
            <w:tcW w:w="8080" w:type="dxa"/>
            <w:gridSpan w:val="8"/>
            <w:tcBorders>
              <w:top w:val="single" w:sz="4" w:space="0" w:color="auto"/>
              <w:left w:val="nil"/>
              <w:bottom w:val="nil"/>
              <w:right w:val="nil"/>
            </w:tcBorders>
            <w:hideMark/>
          </w:tcPr>
          <w:p w:rsidR="00394587" w:rsidRPr="00394587" w:rsidRDefault="00394587" w:rsidP="00394587">
            <w:pPr>
              <w:autoSpaceDE w:val="0"/>
              <w:autoSpaceDN w:val="0"/>
              <w:adjustRightInd w:val="0"/>
              <w:ind w:left="60" w:right="60"/>
              <w:contextualSpacing/>
              <w:rPr>
                <w:rFonts w:ascii="Arial" w:hAnsi="Arial" w:cs="Arial"/>
                <w:b/>
                <w:bCs/>
                <w:color w:val="000000"/>
                <w:sz w:val="20"/>
                <w:szCs w:val="20"/>
              </w:rPr>
            </w:pPr>
            <w:r w:rsidRPr="00394587">
              <w:rPr>
                <w:rFonts w:ascii="Arial" w:hAnsi="Arial" w:cs="Arial"/>
                <w:b/>
                <w:bCs/>
                <w:color w:val="000000"/>
                <w:sz w:val="20"/>
                <w:szCs w:val="20"/>
              </w:rPr>
              <w:t>BMI and Family History of Breast Cancer versus General Categorization of Breast Lesions</w:t>
            </w:r>
          </w:p>
        </w:tc>
        <w:tc>
          <w:tcPr>
            <w:tcW w:w="954" w:type="dxa"/>
            <w:tcBorders>
              <w:top w:val="single" w:sz="4" w:space="0" w:color="auto"/>
              <w:left w:val="nil"/>
              <w:bottom w:val="nil"/>
              <w:right w:val="nil"/>
            </w:tcBorders>
          </w:tcPr>
          <w:p w:rsidR="00394587" w:rsidRPr="00394587" w:rsidRDefault="00394587" w:rsidP="00394587">
            <w:pPr>
              <w:autoSpaceDE w:val="0"/>
              <w:autoSpaceDN w:val="0"/>
              <w:adjustRightInd w:val="0"/>
              <w:ind w:right="60"/>
              <w:contextualSpacing/>
              <w:rPr>
                <w:rFonts w:ascii="Arial" w:hAnsi="Arial" w:cs="Arial"/>
                <w:color w:val="000000"/>
                <w:sz w:val="20"/>
                <w:szCs w:val="20"/>
              </w:rPr>
            </w:pPr>
          </w:p>
        </w:tc>
      </w:tr>
      <w:tr w:rsidR="00394587" w:rsidRPr="008944F0" w:rsidTr="00394587">
        <w:trPr>
          <w:trHeight w:val="693"/>
          <w:jc w:val="center"/>
        </w:trPr>
        <w:tc>
          <w:tcPr>
            <w:tcW w:w="2011"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BMI</w:t>
            </w:r>
          </w:p>
        </w:tc>
        <w:tc>
          <w:tcPr>
            <w:tcW w:w="4307" w:type="dxa"/>
            <w:gridSpan w:val="5"/>
            <w:tcBorders>
              <w:top w:val="nil"/>
              <w:left w:val="nil"/>
              <w:bottom w:val="nil"/>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 xml:space="preserve">General Categorization of Breast Lesions </w:t>
            </w:r>
          </w:p>
        </w:tc>
        <w:tc>
          <w:tcPr>
            <w:tcW w:w="982"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780"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54"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394587" w:rsidRPr="008944F0" w:rsidTr="00394587">
        <w:trPr>
          <w:trHeight w:val="146"/>
          <w:jc w:val="center"/>
        </w:trPr>
        <w:tc>
          <w:tcPr>
            <w:tcW w:w="8080"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121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95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29"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gridSpan w:val="2"/>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82"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780"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954"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NORMAL</w:t>
            </w:r>
          </w:p>
        </w:tc>
        <w:tc>
          <w:tcPr>
            <w:tcW w:w="1214"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149</w:t>
            </w:r>
          </w:p>
        </w:tc>
        <w:tc>
          <w:tcPr>
            <w:tcW w:w="954"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80.5</w:t>
            </w:r>
          </w:p>
        </w:tc>
        <w:tc>
          <w:tcPr>
            <w:tcW w:w="1329"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7</w:t>
            </w:r>
          </w:p>
        </w:tc>
        <w:tc>
          <w:tcPr>
            <w:tcW w:w="810" w:type="dxa"/>
            <w:gridSpan w:val="2"/>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3.8</w:t>
            </w:r>
          </w:p>
        </w:tc>
        <w:tc>
          <w:tcPr>
            <w:tcW w:w="982" w:type="dxa"/>
            <w:tcBorders>
              <w:top w:val="single" w:sz="4" w:space="0" w:color="auto"/>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156</w:t>
            </w:r>
          </w:p>
        </w:tc>
        <w:tc>
          <w:tcPr>
            <w:tcW w:w="780" w:type="dxa"/>
            <w:tcBorders>
              <w:top w:val="single" w:sz="4" w:space="0" w:color="auto"/>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84.3</w:t>
            </w:r>
          </w:p>
        </w:tc>
        <w:tc>
          <w:tcPr>
            <w:tcW w:w="954"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0.000</w:t>
            </w:r>
          </w:p>
        </w:tc>
      </w:tr>
      <w:tr w:rsidR="00394587" w:rsidRPr="008944F0" w:rsidTr="00394587">
        <w:trPr>
          <w:trHeight w:val="549"/>
          <w:jc w:val="center"/>
        </w:trPr>
        <w:tc>
          <w:tcPr>
            <w:tcW w:w="2011"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HIGH</w:t>
            </w:r>
          </w:p>
        </w:tc>
        <w:tc>
          <w:tcPr>
            <w:tcW w:w="121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19</w:t>
            </w:r>
          </w:p>
        </w:tc>
        <w:tc>
          <w:tcPr>
            <w:tcW w:w="95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10.3</w:t>
            </w:r>
          </w:p>
        </w:tc>
        <w:tc>
          <w:tcPr>
            <w:tcW w:w="1329"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9</w:t>
            </w:r>
          </w:p>
        </w:tc>
        <w:tc>
          <w:tcPr>
            <w:tcW w:w="810" w:type="dxa"/>
            <w:gridSpan w:val="2"/>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4.9</w:t>
            </w:r>
          </w:p>
        </w:tc>
        <w:tc>
          <w:tcPr>
            <w:tcW w:w="982"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28</w:t>
            </w:r>
          </w:p>
        </w:tc>
        <w:tc>
          <w:tcPr>
            <w:tcW w:w="780"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15.1</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 xml:space="preserve"> LOW</w:t>
            </w:r>
          </w:p>
        </w:tc>
        <w:tc>
          <w:tcPr>
            <w:tcW w:w="121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w:t>
            </w:r>
          </w:p>
        </w:tc>
        <w:tc>
          <w:tcPr>
            <w:tcW w:w="95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0.5</w:t>
            </w:r>
          </w:p>
        </w:tc>
        <w:tc>
          <w:tcPr>
            <w:tcW w:w="1329"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w:t>
            </w:r>
          </w:p>
        </w:tc>
        <w:tc>
          <w:tcPr>
            <w:tcW w:w="810" w:type="dxa"/>
            <w:gridSpan w:val="2"/>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w:t>
            </w:r>
          </w:p>
        </w:tc>
        <w:tc>
          <w:tcPr>
            <w:tcW w:w="982"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w:t>
            </w:r>
          </w:p>
        </w:tc>
        <w:tc>
          <w:tcPr>
            <w:tcW w:w="780"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0.5</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335"/>
          <w:jc w:val="center"/>
        </w:trPr>
        <w:tc>
          <w:tcPr>
            <w:tcW w:w="2011"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214"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169</w:t>
            </w:r>
          </w:p>
        </w:tc>
        <w:tc>
          <w:tcPr>
            <w:tcW w:w="954"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 xml:space="preserve">91.3 </w:t>
            </w:r>
          </w:p>
        </w:tc>
        <w:tc>
          <w:tcPr>
            <w:tcW w:w="1329"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16</w:t>
            </w:r>
          </w:p>
        </w:tc>
        <w:tc>
          <w:tcPr>
            <w:tcW w:w="810" w:type="dxa"/>
            <w:gridSpan w:val="2"/>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8.7</w:t>
            </w:r>
          </w:p>
        </w:tc>
        <w:tc>
          <w:tcPr>
            <w:tcW w:w="982"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185</w:t>
            </w:r>
          </w:p>
        </w:tc>
        <w:tc>
          <w:tcPr>
            <w:tcW w:w="780"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100.0</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lastRenderedPageBreak/>
              <w:t>Family History of Breast Cancer</w:t>
            </w:r>
          </w:p>
        </w:tc>
        <w:tc>
          <w:tcPr>
            <w:tcW w:w="4307" w:type="dxa"/>
            <w:gridSpan w:val="5"/>
            <w:tcBorders>
              <w:top w:val="single" w:sz="4" w:space="0" w:color="auto"/>
              <w:left w:val="nil"/>
              <w:bottom w:val="nil"/>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82"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780"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54"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394587" w:rsidRPr="008944F0" w:rsidTr="00394587">
        <w:trPr>
          <w:trHeight w:val="146"/>
          <w:jc w:val="center"/>
        </w:trPr>
        <w:tc>
          <w:tcPr>
            <w:tcW w:w="8080"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121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95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87" w:type="dxa"/>
            <w:gridSpan w:val="2"/>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52" w:type="dxa"/>
            <w:tcBorders>
              <w:top w:val="nil"/>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color w:val="000000"/>
                <w:sz w:val="20"/>
                <w:szCs w:val="20"/>
              </w:rPr>
            </w:pPr>
            <w:r w:rsidRPr="008944F0">
              <w:rPr>
                <w:rFonts w:ascii="Arial" w:hAnsi="Arial" w:cs="Arial"/>
                <w:b/>
                <w:color w:val="000000"/>
                <w:sz w:val="20"/>
                <w:szCs w:val="20"/>
              </w:rPr>
              <w:t>%</w:t>
            </w:r>
          </w:p>
        </w:tc>
        <w:tc>
          <w:tcPr>
            <w:tcW w:w="982"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780"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49"/>
          <w:jc w:val="center"/>
        </w:trPr>
        <w:tc>
          <w:tcPr>
            <w:tcW w:w="2011"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YES</w:t>
            </w:r>
          </w:p>
        </w:tc>
        <w:tc>
          <w:tcPr>
            <w:tcW w:w="1214"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26</w:t>
            </w:r>
          </w:p>
        </w:tc>
        <w:tc>
          <w:tcPr>
            <w:tcW w:w="954"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14.1</w:t>
            </w:r>
          </w:p>
        </w:tc>
        <w:tc>
          <w:tcPr>
            <w:tcW w:w="1387" w:type="dxa"/>
            <w:gridSpan w:val="2"/>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6</w:t>
            </w:r>
          </w:p>
        </w:tc>
        <w:tc>
          <w:tcPr>
            <w:tcW w:w="752"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3.2</w:t>
            </w:r>
          </w:p>
        </w:tc>
        <w:tc>
          <w:tcPr>
            <w:tcW w:w="982" w:type="dxa"/>
            <w:tcBorders>
              <w:top w:val="single" w:sz="4" w:space="0" w:color="auto"/>
              <w:left w:val="nil"/>
              <w:bottom w:val="nil"/>
              <w:right w:val="nil"/>
            </w:tcBorders>
            <w:hideMark/>
          </w:tcPr>
          <w:p w:rsidR="00394587" w:rsidRPr="008944F0" w:rsidRDefault="00394587" w:rsidP="00DA506C">
            <w:pPr>
              <w:contextualSpacing/>
              <w:rPr>
                <w:rFonts w:ascii="Arial" w:hAnsi="Arial" w:cs="Arial"/>
                <w:b/>
                <w:sz w:val="20"/>
                <w:szCs w:val="20"/>
              </w:rPr>
            </w:pPr>
            <w:r w:rsidRPr="008944F0">
              <w:rPr>
                <w:rFonts w:ascii="Arial" w:hAnsi="Arial" w:cs="Arial"/>
                <w:b/>
                <w:sz w:val="20"/>
                <w:szCs w:val="20"/>
              </w:rPr>
              <w:t>32</w:t>
            </w:r>
          </w:p>
        </w:tc>
        <w:tc>
          <w:tcPr>
            <w:tcW w:w="780" w:type="dxa"/>
            <w:tcBorders>
              <w:top w:val="single" w:sz="4" w:space="0" w:color="auto"/>
              <w:left w:val="nil"/>
              <w:bottom w:val="nil"/>
              <w:right w:val="nil"/>
            </w:tcBorders>
            <w:hideMark/>
          </w:tcPr>
          <w:p w:rsidR="00394587" w:rsidRPr="008944F0" w:rsidRDefault="00394587" w:rsidP="00DA506C">
            <w:pPr>
              <w:contextualSpacing/>
              <w:rPr>
                <w:rFonts w:ascii="Arial" w:hAnsi="Arial" w:cs="Arial"/>
                <w:b/>
                <w:sz w:val="20"/>
                <w:szCs w:val="20"/>
              </w:rPr>
            </w:pPr>
            <w:r w:rsidRPr="008944F0">
              <w:rPr>
                <w:rFonts w:ascii="Arial" w:hAnsi="Arial" w:cs="Arial"/>
                <w:b/>
                <w:sz w:val="20"/>
                <w:szCs w:val="20"/>
              </w:rPr>
              <w:t>17.3</w:t>
            </w:r>
          </w:p>
        </w:tc>
        <w:tc>
          <w:tcPr>
            <w:tcW w:w="954" w:type="dxa"/>
            <w:vMerge w:val="restart"/>
            <w:tcBorders>
              <w:top w:val="single" w:sz="4" w:space="0" w:color="auto"/>
              <w:left w:val="nil"/>
              <w:bottom w:val="single" w:sz="4" w:space="0" w:color="auto"/>
              <w:right w:val="nil"/>
            </w:tcBorders>
            <w:hideMark/>
          </w:tcPr>
          <w:p w:rsidR="00394587" w:rsidRPr="008944F0" w:rsidRDefault="00394587" w:rsidP="00DA506C">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0.025</w:t>
            </w:r>
          </w:p>
        </w:tc>
      </w:tr>
      <w:tr w:rsidR="00394587" w:rsidRPr="008944F0" w:rsidTr="00394587">
        <w:trPr>
          <w:trHeight w:val="564"/>
          <w:jc w:val="center"/>
        </w:trPr>
        <w:tc>
          <w:tcPr>
            <w:tcW w:w="2011"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NO</w:t>
            </w:r>
          </w:p>
        </w:tc>
        <w:tc>
          <w:tcPr>
            <w:tcW w:w="1214"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143</w:t>
            </w:r>
          </w:p>
        </w:tc>
        <w:tc>
          <w:tcPr>
            <w:tcW w:w="954"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77.2</w:t>
            </w:r>
          </w:p>
        </w:tc>
        <w:tc>
          <w:tcPr>
            <w:tcW w:w="1387" w:type="dxa"/>
            <w:gridSpan w:val="2"/>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10</w:t>
            </w:r>
          </w:p>
        </w:tc>
        <w:tc>
          <w:tcPr>
            <w:tcW w:w="752"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5.5</w:t>
            </w:r>
          </w:p>
        </w:tc>
        <w:tc>
          <w:tcPr>
            <w:tcW w:w="982" w:type="dxa"/>
            <w:tcBorders>
              <w:top w:val="nil"/>
              <w:left w:val="nil"/>
              <w:bottom w:val="nil"/>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153</w:t>
            </w:r>
          </w:p>
        </w:tc>
        <w:tc>
          <w:tcPr>
            <w:tcW w:w="780" w:type="dxa"/>
            <w:tcBorders>
              <w:top w:val="nil"/>
              <w:left w:val="nil"/>
              <w:bottom w:val="nil"/>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82.7</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DA506C">
            <w:pPr>
              <w:rPr>
                <w:rFonts w:ascii="Arial" w:hAnsi="Arial" w:cs="Arial"/>
                <w:b/>
                <w:color w:val="000000"/>
                <w:sz w:val="20"/>
                <w:szCs w:val="20"/>
              </w:rPr>
            </w:pPr>
          </w:p>
        </w:tc>
      </w:tr>
      <w:tr w:rsidR="00394587" w:rsidRPr="008944F0" w:rsidTr="00394587">
        <w:trPr>
          <w:trHeight w:val="335"/>
          <w:jc w:val="center"/>
        </w:trPr>
        <w:tc>
          <w:tcPr>
            <w:tcW w:w="2011" w:type="dxa"/>
            <w:tcBorders>
              <w:top w:val="nil"/>
              <w:left w:val="nil"/>
              <w:bottom w:val="single" w:sz="4" w:space="0" w:color="auto"/>
              <w:right w:val="nil"/>
            </w:tcBorders>
            <w:hideMark/>
          </w:tcPr>
          <w:p w:rsidR="00394587" w:rsidRPr="008944F0" w:rsidRDefault="00394587" w:rsidP="00DA506C">
            <w:pPr>
              <w:autoSpaceDE w:val="0"/>
              <w:autoSpaceDN w:val="0"/>
              <w:adjustRightInd w:val="0"/>
              <w:ind w:left="60" w:right="60"/>
              <w:contextualSpacing/>
              <w:jc w:val="both"/>
              <w:rPr>
                <w:rFonts w:ascii="Arial" w:hAnsi="Arial" w:cs="Arial"/>
                <w:b/>
                <w:color w:val="000000"/>
                <w:sz w:val="20"/>
                <w:szCs w:val="20"/>
              </w:rPr>
            </w:pPr>
            <w:r w:rsidRPr="008944F0">
              <w:rPr>
                <w:rFonts w:ascii="Arial" w:hAnsi="Arial" w:cs="Arial"/>
                <w:b/>
                <w:color w:val="000000"/>
                <w:sz w:val="20"/>
                <w:szCs w:val="20"/>
              </w:rPr>
              <w:t xml:space="preserve">Total </w:t>
            </w:r>
          </w:p>
        </w:tc>
        <w:tc>
          <w:tcPr>
            <w:tcW w:w="1214"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169</w:t>
            </w:r>
          </w:p>
        </w:tc>
        <w:tc>
          <w:tcPr>
            <w:tcW w:w="954"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91.3</w:t>
            </w:r>
          </w:p>
        </w:tc>
        <w:tc>
          <w:tcPr>
            <w:tcW w:w="1387" w:type="dxa"/>
            <w:gridSpan w:val="2"/>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16</w:t>
            </w:r>
          </w:p>
        </w:tc>
        <w:tc>
          <w:tcPr>
            <w:tcW w:w="752"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 xml:space="preserve">8.7 </w:t>
            </w:r>
          </w:p>
        </w:tc>
        <w:tc>
          <w:tcPr>
            <w:tcW w:w="982"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185</w:t>
            </w:r>
          </w:p>
        </w:tc>
        <w:tc>
          <w:tcPr>
            <w:tcW w:w="780"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100.0</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DA506C">
            <w:pPr>
              <w:rPr>
                <w:rFonts w:ascii="Arial" w:hAnsi="Arial" w:cs="Arial"/>
                <w:b/>
                <w:color w:val="000000"/>
                <w:sz w:val="20"/>
                <w:szCs w:val="20"/>
              </w:rPr>
            </w:pPr>
          </w:p>
        </w:tc>
      </w:tr>
    </w:tbl>
    <w:p w:rsidR="00394587" w:rsidRDefault="00394587" w:rsidP="007D1AEC">
      <w:pPr>
        <w:spacing w:line="480" w:lineRule="auto"/>
        <w:jc w:val="both"/>
        <w:rPr>
          <w:b/>
          <w:szCs w:val="24"/>
        </w:rPr>
      </w:pPr>
    </w:p>
    <w:p w:rsidR="008944F0" w:rsidRPr="007A14A2" w:rsidRDefault="007A14A2" w:rsidP="007D1AEC">
      <w:pPr>
        <w:pStyle w:val="BodyText3"/>
        <w:tabs>
          <w:tab w:val="left" w:pos="1080"/>
        </w:tabs>
        <w:spacing w:after="0" w:line="480" w:lineRule="auto"/>
        <w:ind w:left="1080" w:hanging="1080"/>
        <w:jc w:val="both"/>
        <w:rPr>
          <w:rFonts w:ascii="Arial" w:hAnsi="Arial" w:cs="Arial"/>
          <w:b/>
          <w:bCs/>
          <w:sz w:val="20"/>
          <w:szCs w:val="20"/>
        </w:rPr>
      </w:pPr>
      <w:r w:rsidRPr="007A14A2">
        <w:rPr>
          <w:rFonts w:ascii="Arial" w:hAnsi="Arial" w:cs="Arial"/>
          <w:b/>
          <w:bCs/>
          <w:sz w:val="20"/>
          <w:szCs w:val="20"/>
        </w:rPr>
        <w:t>Table 9</w:t>
      </w:r>
      <w:r w:rsidR="00CF1365" w:rsidRPr="007A14A2">
        <w:rPr>
          <w:rFonts w:ascii="Arial" w:hAnsi="Arial" w:cs="Arial"/>
          <w:b/>
          <w:bCs/>
          <w:sz w:val="20"/>
          <w:szCs w:val="20"/>
        </w:rPr>
        <w:t>: Use of Hormonal Contraceptives and Exposure to Radiations versus General Categorization of Breast Lesions</w:t>
      </w:r>
    </w:p>
    <w:tbl>
      <w:tblPr>
        <w:tblStyle w:val="TableGrid8"/>
        <w:tblW w:w="8925" w:type="dxa"/>
        <w:jc w:val="center"/>
        <w:tblLayout w:type="fixed"/>
        <w:tblLook w:val="04A0" w:firstRow="1" w:lastRow="0" w:firstColumn="1" w:lastColumn="0" w:noHBand="0" w:noVBand="1"/>
      </w:tblPr>
      <w:tblGrid>
        <w:gridCol w:w="1925"/>
        <w:gridCol w:w="1169"/>
        <w:gridCol w:w="1036"/>
        <w:gridCol w:w="1397"/>
        <w:gridCol w:w="731"/>
        <w:gridCol w:w="939"/>
        <w:gridCol w:w="819"/>
        <w:gridCol w:w="909"/>
      </w:tblGrid>
      <w:tr w:rsidR="008944F0" w:rsidRPr="008944F0" w:rsidTr="008944F0">
        <w:trPr>
          <w:trHeight w:val="853"/>
          <w:jc w:val="center"/>
        </w:trPr>
        <w:tc>
          <w:tcPr>
            <w:tcW w:w="8016" w:type="dxa"/>
            <w:gridSpan w:val="7"/>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jc w:val="both"/>
              <w:rPr>
                <w:rFonts w:ascii="Arial" w:hAnsi="Arial" w:cs="Arial"/>
                <w:color w:val="000000"/>
                <w:sz w:val="20"/>
                <w:szCs w:val="20"/>
              </w:rPr>
            </w:pPr>
            <w:r w:rsidRPr="008944F0">
              <w:rPr>
                <w:rFonts w:ascii="Arial" w:hAnsi="Arial" w:cs="Arial"/>
                <w:b/>
                <w:bCs/>
                <w:color w:val="000000"/>
                <w:sz w:val="20"/>
                <w:szCs w:val="20"/>
              </w:rPr>
              <w:t>Use of Hormonal Contraceptives and Exposure to Radiations versus General Categorization of Breast Lesions</w:t>
            </w:r>
          </w:p>
        </w:tc>
        <w:tc>
          <w:tcPr>
            <w:tcW w:w="909" w:type="dxa"/>
            <w:tcBorders>
              <w:top w:val="single" w:sz="4" w:space="0" w:color="auto"/>
              <w:left w:val="nil"/>
              <w:bottom w:val="single" w:sz="4" w:space="0" w:color="auto"/>
              <w:right w:val="nil"/>
            </w:tcBorders>
          </w:tcPr>
          <w:p w:rsidR="008944F0" w:rsidRPr="008944F0" w:rsidRDefault="008944F0" w:rsidP="008944F0">
            <w:pPr>
              <w:autoSpaceDE w:val="0"/>
              <w:autoSpaceDN w:val="0"/>
              <w:adjustRightInd w:val="0"/>
              <w:ind w:right="60"/>
              <w:contextualSpacing/>
              <w:jc w:val="both"/>
              <w:rPr>
                <w:rFonts w:ascii="Arial" w:hAnsi="Arial" w:cs="Arial"/>
                <w:color w:val="000000"/>
                <w:sz w:val="20"/>
                <w:szCs w:val="20"/>
              </w:rPr>
            </w:pPr>
          </w:p>
        </w:tc>
      </w:tr>
      <w:tr w:rsidR="008944F0" w:rsidRPr="008944F0" w:rsidTr="008944F0">
        <w:trPr>
          <w:trHeight w:val="1032"/>
          <w:jc w:val="center"/>
        </w:trPr>
        <w:tc>
          <w:tcPr>
            <w:tcW w:w="1925"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Use of Hormonal Contraceptives</w:t>
            </w:r>
          </w:p>
        </w:tc>
        <w:tc>
          <w:tcPr>
            <w:tcW w:w="3602" w:type="dxa"/>
            <w:gridSpan w:val="3"/>
            <w:tcBorders>
              <w:top w:val="single" w:sz="4" w:space="0" w:color="auto"/>
              <w:left w:val="nil"/>
              <w:bottom w:val="nil"/>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731" w:type="dxa"/>
            <w:tcBorders>
              <w:top w:val="single" w:sz="4" w:space="0" w:color="auto"/>
              <w:left w:val="nil"/>
              <w:bottom w:val="nil"/>
              <w:right w:val="nil"/>
            </w:tcBorders>
          </w:tcPr>
          <w:p w:rsidR="008944F0" w:rsidRPr="008944F0" w:rsidRDefault="008944F0" w:rsidP="008944F0">
            <w:pPr>
              <w:autoSpaceDE w:val="0"/>
              <w:autoSpaceDN w:val="0"/>
              <w:adjustRightInd w:val="0"/>
              <w:ind w:right="60"/>
              <w:contextualSpacing/>
              <w:rPr>
                <w:rFonts w:ascii="Arial" w:hAnsi="Arial" w:cs="Arial"/>
                <w:b/>
                <w:color w:val="000000"/>
                <w:sz w:val="20"/>
                <w:szCs w:val="20"/>
              </w:rPr>
            </w:pPr>
          </w:p>
        </w:tc>
        <w:tc>
          <w:tcPr>
            <w:tcW w:w="93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81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70"/>
          <w:jc w:val="center"/>
        </w:trPr>
        <w:tc>
          <w:tcPr>
            <w:tcW w:w="1925"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1036"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97"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31"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3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81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54"/>
          <w:jc w:val="center"/>
        </w:trPr>
        <w:tc>
          <w:tcPr>
            <w:tcW w:w="1925"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114</w:t>
            </w:r>
          </w:p>
        </w:tc>
        <w:tc>
          <w:tcPr>
            <w:tcW w:w="1036"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61.6</w:t>
            </w:r>
          </w:p>
        </w:tc>
        <w:tc>
          <w:tcPr>
            <w:tcW w:w="1397"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15</w:t>
            </w:r>
          </w:p>
        </w:tc>
        <w:tc>
          <w:tcPr>
            <w:tcW w:w="731"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8.1</w:t>
            </w:r>
          </w:p>
        </w:tc>
        <w:tc>
          <w:tcPr>
            <w:tcW w:w="93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129</w:t>
            </w:r>
          </w:p>
        </w:tc>
        <w:tc>
          <w:tcPr>
            <w:tcW w:w="81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69.7</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0.029</w:t>
            </w:r>
          </w:p>
        </w:tc>
      </w:tr>
      <w:tr w:rsidR="008944F0" w:rsidRPr="008944F0" w:rsidTr="008944F0">
        <w:trPr>
          <w:trHeight w:val="636"/>
          <w:jc w:val="center"/>
        </w:trPr>
        <w:tc>
          <w:tcPr>
            <w:tcW w:w="1925"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55</w:t>
            </w:r>
          </w:p>
        </w:tc>
        <w:tc>
          <w:tcPr>
            <w:tcW w:w="1036"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29.7</w:t>
            </w:r>
          </w:p>
        </w:tc>
        <w:tc>
          <w:tcPr>
            <w:tcW w:w="1397"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w:t>
            </w:r>
          </w:p>
        </w:tc>
        <w:tc>
          <w:tcPr>
            <w:tcW w:w="731"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0.6</w:t>
            </w:r>
          </w:p>
        </w:tc>
        <w:tc>
          <w:tcPr>
            <w:tcW w:w="939" w:type="dxa"/>
            <w:tcBorders>
              <w:top w:val="nil"/>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56</w:t>
            </w:r>
          </w:p>
        </w:tc>
        <w:tc>
          <w:tcPr>
            <w:tcW w:w="819" w:type="dxa"/>
            <w:tcBorders>
              <w:top w:val="nil"/>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30.3</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389"/>
          <w:jc w:val="center"/>
        </w:trPr>
        <w:tc>
          <w:tcPr>
            <w:tcW w:w="1925"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169</w:t>
            </w:r>
          </w:p>
        </w:tc>
        <w:tc>
          <w:tcPr>
            <w:tcW w:w="1036"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91.3</w:t>
            </w:r>
          </w:p>
        </w:tc>
        <w:tc>
          <w:tcPr>
            <w:tcW w:w="1397"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16</w:t>
            </w:r>
          </w:p>
        </w:tc>
        <w:tc>
          <w:tcPr>
            <w:tcW w:w="731"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8.7</w:t>
            </w:r>
          </w:p>
        </w:tc>
        <w:tc>
          <w:tcPr>
            <w:tcW w:w="93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185</w:t>
            </w:r>
          </w:p>
        </w:tc>
        <w:tc>
          <w:tcPr>
            <w:tcW w:w="81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100.0</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36"/>
          <w:jc w:val="center"/>
        </w:trPr>
        <w:tc>
          <w:tcPr>
            <w:tcW w:w="1925"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Exposure to Radiations</w:t>
            </w:r>
          </w:p>
        </w:tc>
        <w:tc>
          <w:tcPr>
            <w:tcW w:w="4333" w:type="dxa"/>
            <w:gridSpan w:val="4"/>
            <w:tcBorders>
              <w:top w:val="single" w:sz="4" w:space="0" w:color="auto"/>
              <w:left w:val="nil"/>
              <w:bottom w:val="nil"/>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3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81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70"/>
          <w:jc w:val="center"/>
        </w:trPr>
        <w:tc>
          <w:tcPr>
            <w:tcW w:w="1925"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1036"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97"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31"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3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81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36"/>
          <w:jc w:val="center"/>
        </w:trPr>
        <w:tc>
          <w:tcPr>
            <w:tcW w:w="1925"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26</w:t>
            </w:r>
          </w:p>
        </w:tc>
        <w:tc>
          <w:tcPr>
            <w:tcW w:w="1036"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14.1</w:t>
            </w:r>
          </w:p>
        </w:tc>
        <w:tc>
          <w:tcPr>
            <w:tcW w:w="1397"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3</w:t>
            </w:r>
          </w:p>
        </w:tc>
        <w:tc>
          <w:tcPr>
            <w:tcW w:w="731"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1.6</w:t>
            </w:r>
          </w:p>
        </w:tc>
        <w:tc>
          <w:tcPr>
            <w:tcW w:w="93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29</w:t>
            </w:r>
          </w:p>
        </w:tc>
        <w:tc>
          <w:tcPr>
            <w:tcW w:w="81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15.7</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0.723</w:t>
            </w:r>
          </w:p>
        </w:tc>
      </w:tr>
      <w:tr w:rsidR="008944F0" w:rsidRPr="008944F0" w:rsidTr="008944F0">
        <w:trPr>
          <w:trHeight w:val="360"/>
          <w:jc w:val="center"/>
        </w:trPr>
        <w:tc>
          <w:tcPr>
            <w:tcW w:w="1925"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143</w:t>
            </w:r>
          </w:p>
        </w:tc>
        <w:tc>
          <w:tcPr>
            <w:tcW w:w="1036"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77.2</w:t>
            </w:r>
          </w:p>
        </w:tc>
        <w:tc>
          <w:tcPr>
            <w:tcW w:w="1397"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13</w:t>
            </w:r>
          </w:p>
        </w:tc>
        <w:tc>
          <w:tcPr>
            <w:tcW w:w="731"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7.1</w:t>
            </w:r>
          </w:p>
        </w:tc>
        <w:tc>
          <w:tcPr>
            <w:tcW w:w="939" w:type="dxa"/>
            <w:tcBorders>
              <w:top w:val="nil"/>
              <w:left w:val="nil"/>
              <w:bottom w:val="nil"/>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156</w:t>
            </w:r>
          </w:p>
        </w:tc>
        <w:tc>
          <w:tcPr>
            <w:tcW w:w="819" w:type="dxa"/>
            <w:tcBorders>
              <w:top w:val="nil"/>
              <w:left w:val="nil"/>
              <w:bottom w:val="nil"/>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84.3</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389"/>
          <w:jc w:val="center"/>
        </w:trPr>
        <w:tc>
          <w:tcPr>
            <w:tcW w:w="1925"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jc w:val="both"/>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169</w:t>
            </w:r>
          </w:p>
        </w:tc>
        <w:tc>
          <w:tcPr>
            <w:tcW w:w="1036"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91.3</w:t>
            </w:r>
          </w:p>
        </w:tc>
        <w:tc>
          <w:tcPr>
            <w:tcW w:w="1397"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16</w:t>
            </w:r>
          </w:p>
        </w:tc>
        <w:tc>
          <w:tcPr>
            <w:tcW w:w="731"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8.7</w:t>
            </w:r>
          </w:p>
        </w:tc>
        <w:tc>
          <w:tcPr>
            <w:tcW w:w="93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185</w:t>
            </w:r>
          </w:p>
        </w:tc>
        <w:tc>
          <w:tcPr>
            <w:tcW w:w="81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100.0</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bl>
    <w:p w:rsidR="00CF1365" w:rsidRPr="007A14A2" w:rsidRDefault="00CF1365" w:rsidP="007D1AEC">
      <w:pPr>
        <w:pStyle w:val="BodyText3"/>
        <w:tabs>
          <w:tab w:val="left" w:pos="1080"/>
        </w:tabs>
        <w:spacing w:after="0" w:line="480" w:lineRule="auto"/>
        <w:ind w:left="1080" w:hanging="1080"/>
        <w:jc w:val="both"/>
        <w:rPr>
          <w:rFonts w:ascii="Arial" w:hAnsi="Arial" w:cs="Arial"/>
          <w:bCs/>
          <w:sz w:val="20"/>
          <w:szCs w:val="20"/>
        </w:rPr>
      </w:pPr>
      <w:r w:rsidRPr="007A14A2">
        <w:rPr>
          <w:rFonts w:ascii="Arial" w:hAnsi="Arial" w:cs="Arial"/>
          <w:bCs/>
          <w:sz w:val="20"/>
          <w:szCs w:val="20"/>
        </w:rPr>
        <w:t xml:space="preserve"> </w:t>
      </w:r>
    </w:p>
    <w:p w:rsidR="00DB2E58" w:rsidRDefault="00DB2E58" w:rsidP="00DB2E58">
      <w:pPr>
        <w:pStyle w:val="Head1"/>
        <w:spacing w:after="0"/>
        <w:jc w:val="both"/>
        <w:rPr>
          <w:rFonts w:ascii="Arial" w:hAnsi="Arial" w:cs="Arial"/>
        </w:rPr>
      </w:pPr>
      <w:r>
        <w:rPr>
          <w:rFonts w:ascii="Arial" w:hAnsi="Arial" w:cs="Arial"/>
        </w:rPr>
        <w:t>3.2 discussion</w:t>
      </w:r>
    </w:p>
    <w:p w:rsidR="00DB2E58" w:rsidRDefault="00DB2E58" w:rsidP="00DB2E58">
      <w:pPr>
        <w:pStyle w:val="Body"/>
        <w:spacing w:after="0"/>
        <w:rPr>
          <w:rFonts w:ascii="Arial" w:hAnsi="Arial" w:cs="Arial"/>
        </w:rPr>
      </w:pPr>
    </w:p>
    <w:p w:rsidR="00DB2E58" w:rsidRDefault="00DB2E58" w:rsidP="00DB2E58">
      <w:pPr>
        <w:pStyle w:val="Body"/>
        <w:spacing w:after="0"/>
        <w:rPr>
          <w:rFonts w:ascii="Arial" w:hAnsi="Arial" w:cs="Arial"/>
        </w:rPr>
      </w:pPr>
    </w:p>
    <w:p w:rsidR="00DB2E58" w:rsidRPr="00FC4452" w:rsidRDefault="00DB2E58" w:rsidP="00DB2E58">
      <w:pPr>
        <w:pStyle w:val="Body"/>
        <w:rPr>
          <w:rFonts w:ascii="Arial" w:hAnsi="Arial" w:cs="Arial"/>
        </w:rPr>
      </w:pPr>
      <w:r>
        <w:rPr>
          <w:rFonts w:ascii="Arial" w:hAnsi="Arial" w:cs="Arial"/>
        </w:rPr>
        <w:t xml:space="preserve">Out of </w:t>
      </w:r>
      <w:r w:rsidRPr="00FC4452">
        <w:rPr>
          <w:rFonts w:ascii="Arial" w:hAnsi="Arial" w:cs="Arial"/>
        </w:rPr>
        <w:t>185 cases evaluated, 20 lesions that were initially categorized as atypical, suspicious for malignancy, or malignant underwent histopathological confirmation. Among these, two cases initially classified as atypical and another two categorized as suspicious for malignancy were histologically confirmed to be benign fibroadenomas. The remaining 16 cases were confirmed to be malignant, comprising diagnoses of invasive ductal carcinoma (IDC) and invasive lobular carcinoma (ILC).</w:t>
      </w:r>
    </w:p>
    <w:p w:rsidR="00DB2E58" w:rsidRDefault="00DB2E58" w:rsidP="00DB2E58">
      <w:pPr>
        <w:pStyle w:val="Body"/>
      </w:pPr>
      <w:r w:rsidRPr="00FC4452">
        <w:rPr>
          <w:rFonts w:ascii="Arial" w:hAnsi="Arial" w:cs="Arial"/>
        </w:rPr>
        <w:t>Thus, the overall histopathologically confirmed prevalence of benign lesions was 169 cases (91.4%), while malignant lesions accounted for 16 cases (8.6%) among</w:t>
      </w:r>
      <w:r>
        <w:rPr>
          <w:rFonts w:ascii="Arial" w:hAnsi="Arial" w:cs="Arial"/>
        </w:rPr>
        <w:t xml:space="preserve"> women</w:t>
      </w:r>
      <w:r w:rsidRPr="00FC4452">
        <w:rPr>
          <w:rFonts w:ascii="Arial" w:hAnsi="Arial" w:cs="Arial"/>
        </w:rPr>
        <w:t xml:space="preserve"> with palpable breast lumps.</w:t>
      </w:r>
      <w:r w:rsidRPr="00FC4452">
        <w:t xml:space="preserve"> </w:t>
      </w:r>
    </w:p>
    <w:p w:rsidR="00DB2E58" w:rsidRDefault="00DB2E58" w:rsidP="00DB2E58">
      <w:pPr>
        <w:pStyle w:val="Body"/>
        <w:rPr>
          <w:rFonts w:ascii="Arial" w:hAnsi="Arial" w:cs="Arial"/>
        </w:rPr>
      </w:pPr>
      <w:r w:rsidRPr="00FC4452">
        <w:rPr>
          <w:rFonts w:ascii="Arial" w:hAnsi="Arial" w:cs="Arial"/>
        </w:rPr>
        <w:t>This prevalence closely mirrors findings by Rioki et al. (2023), who reported 83.6% benign and 10.4% malignant lesions</w:t>
      </w:r>
      <w:r>
        <w:rPr>
          <w:rFonts w:ascii="Arial" w:hAnsi="Arial" w:cs="Arial"/>
        </w:rPr>
        <w:t xml:space="preserve"> (5)</w:t>
      </w:r>
      <w:r w:rsidRPr="00FC4452">
        <w:rPr>
          <w:rFonts w:ascii="Arial" w:hAnsi="Arial" w:cs="Arial"/>
        </w:rPr>
        <w:t xml:space="preserve"> However, Menapara and Kokani (2019) reported a significantly lower prevalence of benign lesions (53.8%) and a higher prevalence of malignant lesions (21.4%), while Makhija and Patil (2020) documented an even higher malignancy </w:t>
      </w:r>
      <w:r w:rsidRPr="00FC4452">
        <w:rPr>
          <w:rFonts w:ascii="Arial" w:hAnsi="Arial" w:cs="Arial"/>
        </w:rPr>
        <w:lastRenderedPageBreak/>
        <w:t>rate of 24.0%. The comparatively lower malignancy rate observed in the current study may suggest differences in the population's risk profile, age distribution, access to healthcare, or timing of clinical presentation</w:t>
      </w:r>
      <w:r>
        <w:rPr>
          <w:rFonts w:ascii="Arial" w:hAnsi="Arial" w:cs="Arial"/>
        </w:rPr>
        <w:t xml:space="preserve"> (6, 7)</w:t>
      </w:r>
    </w:p>
    <w:p w:rsidR="00DB2E58" w:rsidRDefault="00DB2E58" w:rsidP="00DB2E58">
      <w:pPr>
        <w:pStyle w:val="Body"/>
        <w:rPr>
          <w:rFonts w:ascii="Arial" w:hAnsi="Arial" w:cs="Arial"/>
        </w:rPr>
      </w:pPr>
      <w:r w:rsidRPr="00FC4452">
        <w:rPr>
          <w:rFonts w:ascii="Arial" w:hAnsi="Arial" w:cs="Arial"/>
        </w:rPr>
        <w:t>Among the 169 confirmed benign breast lesions, fibroadenoma was the most common, a</w:t>
      </w:r>
      <w:r>
        <w:rPr>
          <w:rFonts w:ascii="Arial" w:hAnsi="Arial" w:cs="Arial"/>
        </w:rPr>
        <w:t>ccounting for 110 cases (65.1%) while</w:t>
      </w:r>
      <w:r w:rsidRPr="00FC4452">
        <w:rPr>
          <w:rFonts w:ascii="Arial" w:hAnsi="Arial" w:cs="Arial"/>
        </w:rPr>
        <w:t xml:space="preserve"> inflammatory lymphadenopathy</w:t>
      </w:r>
      <w:r>
        <w:rPr>
          <w:rFonts w:ascii="Arial" w:hAnsi="Arial" w:cs="Arial"/>
        </w:rPr>
        <w:t xml:space="preserve"> reported </w:t>
      </w:r>
      <w:r w:rsidRPr="00FC4452">
        <w:rPr>
          <w:rFonts w:ascii="Arial" w:hAnsi="Arial" w:cs="Arial"/>
        </w:rPr>
        <w:t xml:space="preserve">1 case </w:t>
      </w:r>
      <w:r>
        <w:rPr>
          <w:rFonts w:ascii="Arial" w:hAnsi="Arial" w:cs="Arial"/>
        </w:rPr>
        <w:t>(</w:t>
      </w:r>
      <w:r w:rsidRPr="00FC4452">
        <w:rPr>
          <w:rFonts w:ascii="Arial" w:hAnsi="Arial" w:cs="Arial"/>
        </w:rPr>
        <w:t xml:space="preserve">0.6%). </w:t>
      </w:r>
      <w:r w:rsidRPr="00520EB1">
        <w:rPr>
          <w:rFonts w:ascii="Arial" w:hAnsi="Arial" w:cs="Arial"/>
        </w:rPr>
        <w:t>Among malignant lesions, invasive ductal carcinoma (IDC) was the predominant histological type, found in 15 out of 16 malignant cases (93.8%), while invasive lobular carcinoma (ILC) was identified in one case (6.2%).</w:t>
      </w:r>
      <w:r>
        <w:rPr>
          <w:rFonts w:ascii="Arial" w:hAnsi="Arial" w:cs="Arial"/>
        </w:rPr>
        <w:t xml:space="preserve"> </w:t>
      </w:r>
    </w:p>
    <w:p w:rsidR="00DB2E58" w:rsidRDefault="00DB2E58" w:rsidP="00DB2E58">
      <w:pPr>
        <w:pStyle w:val="Body"/>
      </w:pPr>
      <w:r w:rsidRPr="00520EB1">
        <w:rPr>
          <w:rFonts w:ascii="Arial" w:hAnsi="Arial" w:cs="Arial"/>
        </w:rPr>
        <w:t>These results are consistent with existing literature, which also identifies fibroadenoma as the most prevalent benign lesion. Rioki et al. (2023) reported fibroadenoma in 41% of benign cases, while Panjvani et al. (2013) reported a prevalence of 30.2%. Inflammatory lesions were less frequent in this study (0.6%) compared to 15.6% reported by Rioki et al., possibly reflecting differences in the studied populations or diagnostic thresholds</w:t>
      </w:r>
      <w:r>
        <w:rPr>
          <w:rFonts w:ascii="Arial" w:hAnsi="Arial" w:cs="Arial"/>
        </w:rPr>
        <w:t xml:space="preserve"> (5, 8)</w:t>
      </w:r>
      <w:r w:rsidRPr="00520EB1">
        <w:rPr>
          <w:rFonts w:ascii="Arial" w:hAnsi="Arial" w:cs="Arial"/>
        </w:rPr>
        <w:t>.</w:t>
      </w:r>
      <w:r w:rsidRPr="00520EB1">
        <w:t xml:space="preserve"> </w:t>
      </w:r>
    </w:p>
    <w:p w:rsidR="00DB2E58" w:rsidRDefault="00DB2E58" w:rsidP="00DB2E58">
      <w:pPr>
        <w:pStyle w:val="Body"/>
        <w:rPr>
          <w:rFonts w:ascii="Arial" w:hAnsi="Arial" w:cs="Arial"/>
        </w:rPr>
      </w:pPr>
      <w:r w:rsidRPr="00520EB1">
        <w:rPr>
          <w:rFonts w:ascii="Arial" w:hAnsi="Arial" w:cs="Arial"/>
        </w:rPr>
        <w:t>The dominance of IDC among malignant cases aligns with global trends, as IDC is widely recognized as the most common type of breast cancer. The observed patterns reinforce the need for high-quality cytological and histological diagnostic frameworks to accurately categorize breast lesions and inform targeted clinical intervention.</w:t>
      </w:r>
    </w:p>
    <w:p w:rsidR="00DB2E58" w:rsidRDefault="00DB2E58" w:rsidP="00DB2E58">
      <w:pPr>
        <w:pStyle w:val="Body"/>
        <w:rPr>
          <w:rFonts w:ascii="Arial" w:hAnsi="Arial" w:cs="Arial"/>
        </w:rPr>
      </w:pPr>
      <w:r w:rsidRPr="007A65CC">
        <w:rPr>
          <w:rFonts w:ascii="Arial" w:hAnsi="Arial" w:cs="Arial"/>
        </w:rPr>
        <w:t xml:space="preserve">This study found a significant association between age </w:t>
      </w:r>
      <w:r>
        <w:rPr>
          <w:rFonts w:ascii="Arial" w:hAnsi="Arial" w:cs="Arial"/>
        </w:rPr>
        <w:t>group and breast lesions</w:t>
      </w:r>
      <w:r w:rsidRPr="007A65CC">
        <w:rPr>
          <w:rFonts w:ascii="Arial" w:hAnsi="Arial" w:cs="Arial"/>
        </w:rPr>
        <w:t xml:space="preserve"> </w:t>
      </w:r>
      <w:r>
        <w:rPr>
          <w:rFonts w:ascii="Arial" w:hAnsi="Arial" w:cs="Arial"/>
        </w:rPr>
        <w:t>(</w:t>
      </w:r>
      <w:r w:rsidRPr="007A65CC">
        <w:rPr>
          <w:rFonts w:ascii="Arial" w:hAnsi="Arial" w:cs="Arial"/>
          <w:i/>
        </w:rPr>
        <w:t>P</w:t>
      </w:r>
      <w:r>
        <w:rPr>
          <w:rFonts w:ascii="Arial" w:hAnsi="Arial" w:cs="Arial"/>
        </w:rPr>
        <w:t>=</w:t>
      </w:r>
      <w:r w:rsidRPr="007A65CC">
        <w:rPr>
          <w:rFonts w:ascii="Arial" w:hAnsi="Arial" w:cs="Arial"/>
        </w:rPr>
        <w:t xml:space="preserve"> 0.001</w:t>
      </w:r>
      <w:r>
        <w:rPr>
          <w:rFonts w:ascii="Arial" w:hAnsi="Arial" w:cs="Arial"/>
        </w:rPr>
        <w:t>)</w:t>
      </w:r>
      <w:r w:rsidRPr="007A65CC">
        <w:rPr>
          <w:rFonts w:ascii="Arial" w:hAnsi="Arial" w:cs="Arial"/>
        </w:rPr>
        <w:t>. The majority of participants belonged to the age range of 18–57 years, with fibroadenoma lesions most common in the 18–27-year age group. This finding aligns with Mudassar et al. (2020), who reported a significant association between age and breast lesions (</w:t>
      </w:r>
      <w:r w:rsidRPr="007A65CC">
        <w:rPr>
          <w:rFonts w:ascii="Arial" w:hAnsi="Arial" w:cs="Arial"/>
          <w:i/>
        </w:rPr>
        <w:t>P</w:t>
      </w:r>
      <w:r w:rsidRPr="007A65CC">
        <w:rPr>
          <w:rFonts w:ascii="Arial" w:hAnsi="Arial" w:cs="Arial"/>
        </w:rPr>
        <w:t xml:space="preserve"> = 0.000). Similarly, Wondimu et al. (2021) and Khan et al. (2014) also demonstrated age as a risk factor for breast lesions with </w:t>
      </w:r>
      <w:r w:rsidRPr="007A65CC">
        <w:rPr>
          <w:rFonts w:ascii="Arial" w:hAnsi="Arial" w:cs="Arial"/>
          <w:i/>
        </w:rPr>
        <w:t>P</w:t>
      </w:r>
      <w:r w:rsidRPr="007A65CC">
        <w:rPr>
          <w:rFonts w:ascii="Arial" w:hAnsi="Arial" w:cs="Arial"/>
        </w:rPr>
        <w:t xml:space="preserve"> values of 0.015 and 0.001, respectively. The current study, alongside these prior findings, consistently highlights age as an important determinant in breast lesion occurrence</w:t>
      </w:r>
      <w:r>
        <w:rPr>
          <w:rFonts w:ascii="Arial" w:hAnsi="Arial" w:cs="Arial"/>
        </w:rPr>
        <w:t xml:space="preserve"> (9, 10, 11)</w:t>
      </w:r>
      <w:r w:rsidRPr="007A65CC">
        <w:rPr>
          <w:rFonts w:ascii="Arial" w:hAnsi="Arial" w:cs="Arial"/>
        </w:rPr>
        <w:t xml:space="preserve">. </w:t>
      </w:r>
    </w:p>
    <w:p w:rsidR="00DB2E58" w:rsidRDefault="00DB2E58" w:rsidP="00DB2E58">
      <w:pPr>
        <w:pStyle w:val="Body"/>
        <w:rPr>
          <w:rFonts w:ascii="Arial" w:hAnsi="Arial" w:cs="Arial"/>
        </w:rPr>
      </w:pPr>
      <w:r w:rsidRPr="00662780">
        <w:rPr>
          <w:rFonts w:ascii="Arial" w:hAnsi="Arial" w:cs="Arial"/>
        </w:rPr>
        <w:t xml:space="preserve">The analysis revealed statistically significant associations between the number of offspring and age at first childbirth with breast lesions, with </w:t>
      </w:r>
      <w:r w:rsidRPr="00662780">
        <w:rPr>
          <w:rFonts w:ascii="Arial" w:hAnsi="Arial" w:cs="Arial"/>
          <w:i/>
        </w:rPr>
        <w:t>P</w:t>
      </w:r>
      <w:r w:rsidRPr="00662780">
        <w:rPr>
          <w:rFonts w:ascii="Arial" w:hAnsi="Arial" w:cs="Arial"/>
        </w:rPr>
        <w:t xml:space="preserve"> values of 0.0001 and 0.031, respectively. Wondimu et al. (2021) similarly reported that age at first childbirth is significantly associated with breast cancer risk (</w:t>
      </w:r>
      <w:r w:rsidRPr="00662780">
        <w:rPr>
          <w:rFonts w:ascii="Arial" w:hAnsi="Arial" w:cs="Arial"/>
          <w:i/>
        </w:rPr>
        <w:t>P</w:t>
      </w:r>
      <w:r w:rsidRPr="00662780">
        <w:rPr>
          <w:rFonts w:ascii="Arial" w:hAnsi="Arial" w:cs="Arial"/>
        </w:rPr>
        <w:t xml:space="preserve"> = 0.001). These findings suggest that both parity and reproductive timing play critical roles in breast lesion development</w:t>
      </w:r>
      <w:r>
        <w:rPr>
          <w:rFonts w:ascii="Arial" w:hAnsi="Arial" w:cs="Arial"/>
        </w:rPr>
        <w:t xml:space="preserve"> (11)</w:t>
      </w:r>
      <w:r w:rsidRPr="00662780">
        <w:rPr>
          <w:rFonts w:ascii="Arial" w:hAnsi="Arial" w:cs="Arial"/>
        </w:rPr>
        <w:t xml:space="preserve">. </w:t>
      </w:r>
    </w:p>
    <w:p w:rsidR="00DB2E58" w:rsidRDefault="00DB2E58" w:rsidP="00DB2E58">
      <w:pPr>
        <w:pStyle w:val="Body"/>
        <w:rPr>
          <w:rFonts w:ascii="Arial" w:hAnsi="Arial" w:cs="Arial"/>
        </w:rPr>
      </w:pPr>
      <w:r w:rsidRPr="00662780">
        <w:rPr>
          <w:rFonts w:ascii="Arial" w:hAnsi="Arial" w:cs="Arial"/>
        </w:rPr>
        <w:t>The history of tobacco smoking was not significantly associated with breast cancer in this study (</w:t>
      </w:r>
      <w:r w:rsidRPr="00662780">
        <w:rPr>
          <w:rFonts w:ascii="Arial" w:hAnsi="Arial" w:cs="Arial"/>
          <w:i/>
        </w:rPr>
        <w:t>P</w:t>
      </w:r>
      <w:r>
        <w:rPr>
          <w:rFonts w:ascii="Arial" w:hAnsi="Arial" w:cs="Arial"/>
          <w:i/>
        </w:rPr>
        <w:t xml:space="preserve"> </w:t>
      </w:r>
      <w:r>
        <w:rPr>
          <w:rFonts w:ascii="Arial" w:hAnsi="Arial" w:cs="Arial"/>
        </w:rPr>
        <w:t xml:space="preserve">= </w:t>
      </w:r>
      <w:r w:rsidRPr="00662780">
        <w:rPr>
          <w:rFonts w:ascii="Arial" w:hAnsi="Arial" w:cs="Arial"/>
        </w:rPr>
        <w:t>0.250), indicating no clear relationship. However, alcohol consumption was significantly associated with breast cancer (</w:t>
      </w:r>
      <w:r w:rsidRPr="00662780">
        <w:rPr>
          <w:rFonts w:ascii="Arial" w:hAnsi="Arial" w:cs="Arial"/>
          <w:i/>
        </w:rPr>
        <w:t>P</w:t>
      </w:r>
      <w:r w:rsidRPr="00662780">
        <w:rPr>
          <w:rFonts w:ascii="Arial" w:hAnsi="Arial" w:cs="Arial"/>
        </w:rPr>
        <w:t xml:space="preserve"> = 0.016). This contrasts with Mudassar et al. (2020), who found tobacco smoking to be significantly associated with breast cancer (</w:t>
      </w:r>
      <w:r w:rsidRPr="00662780">
        <w:rPr>
          <w:rFonts w:ascii="Arial" w:hAnsi="Arial" w:cs="Arial"/>
          <w:i/>
        </w:rPr>
        <w:t>P</w:t>
      </w:r>
      <w:r w:rsidRPr="00662780">
        <w:rPr>
          <w:rFonts w:ascii="Arial" w:hAnsi="Arial" w:cs="Arial"/>
        </w:rPr>
        <w:t xml:space="preserve"> = 0.000). The lack of association here may be due to variations in smoking prevalence or patterns, while the positive association with alcohol aligns with global evidence linking alcohol intake to increased breast cancer risk through hormonal and carcinogenic pathways</w:t>
      </w:r>
      <w:r>
        <w:rPr>
          <w:rFonts w:ascii="Arial" w:hAnsi="Arial" w:cs="Arial"/>
        </w:rPr>
        <w:t xml:space="preserve"> (9)</w:t>
      </w:r>
      <w:r w:rsidRPr="00662780">
        <w:rPr>
          <w:rFonts w:ascii="Arial" w:hAnsi="Arial" w:cs="Arial"/>
        </w:rPr>
        <w:t>.</w:t>
      </w:r>
    </w:p>
    <w:p w:rsidR="00DB2E58" w:rsidRDefault="00DB2E58" w:rsidP="00DB2E58">
      <w:pPr>
        <w:pStyle w:val="Body"/>
        <w:rPr>
          <w:rFonts w:ascii="Arial" w:hAnsi="Arial" w:cs="Arial"/>
        </w:rPr>
      </w:pPr>
      <w:r w:rsidRPr="00662780">
        <w:rPr>
          <w:rFonts w:ascii="Arial" w:hAnsi="Arial" w:cs="Arial"/>
        </w:rPr>
        <w:t xml:space="preserve">Both level of education and history of prior breast FNAC were not significantly associated with breast cancer in this study, with </w:t>
      </w:r>
      <w:r w:rsidRPr="005C358A">
        <w:rPr>
          <w:rFonts w:ascii="Arial" w:hAnsi="Arial" w:cs="Arial"/>
          <w:i/>
        </w:rPr>
        <w:t>P</w:t>
      </w:r>
      <w:r w:rsidRPr="00662780">
        <w:rPr>
          <w:rFonts w:ascii="Arial" w:hAnsi="Arial" w:cs="Arial"/>
        </w:rPr>
        <w:t xml:space="preserve"> values of 0.319 and 0.589, respectively. While Sarkar et al. (2020) reported a significant association between education level and breast lesions (</w:t>
      </w:r>
      <w:r w:rsidRPr="00662780">
        <w:rPr>
          <w:rFonts w:ascii="Arial" w:hAnsi="Arial" w:cs="Arial"/>
          <w:i/>
        </w:rPr>
        <w:t>P</w:t>
      </w:r>
      <w:r w:rsidRPr="00662780">
        <w:rPr>
          <w:rFonts w:ascii="Arial" w:hAnsi="Arial" w:cs="Arial"/>
        </w:rPr>
        <w:t xml:space="preserve"> = 0.001), this discrepancy may reflect differences in study populations or healthcare access. The findings here suggest that educational status and prior FNAC procedures do not directly influence breast lesion pathology but may affect other factors such as awareness and healthcare utilization</w:t>
      </w:r>
      <w:r>
        <w:rPr>
          <w:rFonts w:ascii="Arial" w:hAnsi="Arial" w:cs="Arial"/>
        </w:rPr>
        <w:t xml:space="preserve"> (12)</w:t>
      </w:r>
      <w:r w:rsidRPr="00662780">
        <w:rPr>
          <w:rFonts w:ascii="Arial" w:hAnsi="Arial" w:cs="Arial"/>
        </w:rPr>
        <w:t>.</w:t>
      </w:r>
    </w:p>
    <w:p w:rsidR="00DB2E58" w:rsidRDefault="00DB2E58" w:rsidP="00DB2E58">
      <w:pPr>
        <w:pStyle w:val="Body"/>
        <w:rPr>
          <w:rFonts w:ascii="Arial" w:hAnsi="Arial" w:cs="Arial"/>
        </w:rPr>
      </w:pPr>
      <w:r w:rsidRPr="00157267">
        <w:rPr>
          <w:rFonts w:ascii="Arial" w:hAnsi="Arial" w:cs="Arial"/>
        </w:rPr>
        <w:t>Significant associations were identified between body ma</w:t>
      </w:r>
      <w:r>
        <w:rPr>
          <w:rFonts w:ascii="Arial" w:hAnsi="Arial" w:cs="Arial"/>
        </w:rPr>
        <w:t>ss index (BMI) and breast lesions</w:t>
      </w:r>
      <w:r w:rsidRPr="00157267">
        <w:rPr>
          <w:rFonts w:ascii="Arial" w:hAnsi="Arial" w:cs="Arial"/>
        </w:rPr>
        <w:t xml:space="preserve"> (</w:t>
      </w:r>
      <w:r w:rsidRPr="005C358A">
        <w:rPr>
          <w:rFonts w:ascii="Arial" w:hAnsi="Arial" w:cs="Arial"/>
          <w:i/>
        </w:rPr>
        <w:t>P</w:t>
      </w:r>
      <w:r w:rsidRPr="00157267">
        <w:rPr>
          <w:rFonts w:ascii="Arial" w:hAnsi="Arial" w:cs="Arial"/>
        </w:rPr>
        <w:t xml:space="preserve"> = 0.001), as well as between a family history of gen</w:t>
      </w:r>
      <w:r>
        <w:rPr>
          <w:rFonts w:ascii="Arial" w:hAnsi="Arial" w:cs="Arial"/>
        </w:rPr>
        <w:t>etic mutations and breast lesions</w:t>
      </w:r>
      <w:r w:rsidRPr="00157267">
        <w:rPr>
          <w:rFonts w:ascii="Arial" w:hAnsi="Arial" w:cs="Arial"/>
        </w:rPr>
        <w:t xml:space="preserve"> (</w:t>
      </w:r>
      <w:r w:rsidRPr="005C358A">
        <w:rPr>
          <w:rFonts w:ascii="Arial" w:hAnsi="Arial" w:cs="Arial"/>
          <w:i/>
        </w:rPr>
        <w:t>P</w:t>
      </w:r>
      <w:r w:rsidRPr="00157267">
        <w:rPr>
          <w:rFonts w:ascii="Arial" w:hAnsi="Arial" w:cs="Arial"/>
        </w:rPr>
        <w:t xml:space="preserve"> = 0.025). Consistent with these findings, Wondimu et al. (2021) reported a strong association between family history and breast cancer (</w:t>
      </w:r>
      <w:r w:rsidRPr="005C358A">
        <w:rPr>
          <w:rFonts w:ascii="Arial" w:hAnsi="Arial" w:cs="Arial"/>
          <w:i/>
        </w:rPr>
        <w:t>P</w:t>
      </w:r>
      <w:r w:rsidRPr="00157267">
        <w:rPr>
          <w:rFonts w:ascii="Arial" w:hAnsi="Arial" w:cs="Arial"/>
        </w:rPr>
        <w:t xml:space="preserve"> = 0.001), while Mudassar et al. (2020) similarly demonstrated a significant relationship between elevated BMI and breast cancer risk (</w:t>
      </w:r>
      <w:r w:rsidRPr="005C358A">
        <w:rPr>
          <w:rFonts w:ascii="Arial" w:hAnsi="Arial" w:cs="Arial"/>
          <w:i/>
        </w:rPr>
        <w:t>P</w:t>
      </w:r>
      <w:r w:rsidR="00021756">
        <w:rPr>
          <w:rFonts w:ascii="Arial" w:hAnsi="Arial" w:cs="Arial"/>
        </w:rPr>
        <w:t xml:space="preserve"> = 0.001) </w:t>
      </w:r>
      <w:r w:rsidR="00021756" w:rsidRPr="00021756">
        <w:rPr>
          <w:rFonts w:ascii="Arial" w:hAnsi="Arial" w:cs="Arial"/>
        </w:rPr>
        <w:t>and Mohammed et al (2023) reported a significant association between BMI and breast lesions (P &lt;0.001)</w:t>
      </w:r>
      <w:r w:rsidR="00021756">
        <w:rPr>
          <w:rFonts w:ascii="Arial" w:hAnsi="Arial" w:cs="Arial"/>
        </w:rPr>
        <w:t>,</w:t>
      </w:r>
      <w:r w:rsidR="00021756" w:rsidRPr="00021756">
        <w:t xml:space="preserve"> </w:t>
      </w:r>
      <w:r w:rsidR="00CE238E">
        <w:rPr>
          <w:rFonts w:ascii="Arial" w:hAnsi="Arial" w:cs="Arial"/>
        </w:rPr>
        <w:t>(18</w:t>
      </w:r>
      <w:r w:rsidR="00021756" w:rsidRPr="00021756">
        <w:rPr>
          <w:rFonts w:ascii="Arial" w:hAnsi="Arial" w:cs="Arial"/>
        </w:rPr>
        <w:t>).</w:t>
      </w:r>
      <w:r w:rsidR="00021756">
        <w:rPr>
          <w:rFonts w:ascii="Arial" w:hAnsi="Arial" w:cs="Arial"/>
        </w:rPr>
        <w:t xml:space="preserve"> </w:t>
      </w:r>
      <w:r w:rsidRPr="00157267">
        <w:rPr>
          <w:rFonts w:ascii="Arial" w:hAnsi="Arial" w:cs="Arial"/>
        </w:rPr>
        <w:t>Collectively, these findings corroborate existing literature highlighting BMI and familial predisposition as key risk factors for breast cancer, likely mediated through hormonal, genetic, and metabolic mechanisms, and underscore their importance in breast cancer risk assessment and prevention strategies</w:t>
      </w:r>
      <w:r>
        <w:rPr>
          <w:rFonts w:ascii="Arial" w:hAnsi="Arial" w:cs="Arial"/>
        </w:rPr>
        <w:t xml:space="preserve"> (9, 11)</w:t>
      </w:r>
      <w:r w:rsidRPr="00157267">
        <w:rPr>
          <w:rFonts w:ascii="Arial" w:hAnsi="Arial" w:cs="Arial"/>
        </w:rPr>
        <w:t>.</w:t>
      </w:r>
      <w:r>
        <w:rPr>
          <w:rFonts w:ascii="Arial" w:hAnsi="Arial" w:cs="Arial"/>
        </w:rPr>
        <w:t xml:space="preserve"> This</w:t>
      </w:r>
      <w:r w:rsidRPr="00662780">
        <w:rPr>
          <w:rFonts w:ascii="Arial" w:hAnsi="Arial" w:cs="Arial"/>
        </w:rPr>
        <w:t xml:space="preserve"> study identified a statistically significant association between hormonal contraceptive use and breast lesions (</w:t>
      </w:r>
      <w:r w:rsidRPr="005C358A">
        <w:rPr>
          <w:rFonts w:ascii="Arial" w:hAnsi="Arial" w:cs="Arial"/>
          <w:i/>
        </w:rPr>
        <w:t>P</w:t>
      </w:r>
      <w:r w:rsidRPr="00662780">
        <w:rPr>
          <w:rFonts w:ascii="Arial" w:hAnsi="Arial" w:cs="Arial"/>
        </w:rPr>
        <w:t xml:space="preserve"> = 0.029), whereas exposure to radiation was not significantly associated with breast cancer (</w:t>
      </w:r>
      <w:r w:rsidRPr="00662780">
        <w:rPr>
          <w:rFonts w:ascii="Arial" w:hAnsi="Arial" w:cs="Arial"/>
          <w:i/>
        </w:rPr>
        <w:t xml:space="preserve">P </w:t>
      </w:r>
      <w:r w:rsidRPr="00662780">
        <w:rPr>
          <w:rFonts w:ascii="Arial" w:hAnsi="Arial" w:cs="Arial"/>
        </w:rPr>
        <w:t>= 0.723). This is consistent with findings from Wondimu et al. (2021), who reported significant associations between hormonal contraceptive use and breast lesions (</w:t>
      </w:r>
      <w:r w:rsidRPr="00662780">
        <w:rPr>
          <w:rFonts w:ascii="Arial" w:hAnsi="Arial" w:cs="Arial"/>
          <w:i/>
        </w:rPr>
        <w:t>P</w:t>
      </w:r>
      <w:r w:rsidRPr="00662780">
        <w:rPr>
          <w:rFonts w:ascii="Arial" w:hAnsi="Arial" w:cs="Arial"/>
        </w:rPr>
        <w:t xml:space="preserve"> = 0.001), and Mudassar et al. (2020), who observed a similar association (P = 0.003) but no significant link between radiation exposure and breast cancer (</w:t>
      </w:r>
      <w:r w:rsidRPr="00BB3CA8">
        <w:rPr>
          <w:rFonts w:ascii="Arial" w:hAnsi="Arial" w:cs="Arial"/>
          <w:i/>
        </w:rPr>
        <w:t>P</w:t>
      </w:r>
      <w:r w:rsidRPr="00662780">
        <w:rPr>
          <w:rFonts w:ascii="Arial" w:hAnsi="Arial" w:cs="Arial"/>
        </w:rPr>
        <w:t xml:space="preserve"> = 0.393). The consistent low </w:t>
      </w:r>
      <w:r w:rsidRPr="00BB3CA8">
        <w:rPr>
          <w:rFonts w:ascii="Arial" w:hAnsi="Arial" w:cs="Arial"/>
          <w:i/>
        </w:rPr>
        <w:t>P</w:t>
      </w:r>
      <w:r w:rsidRPr="00662780">
        <w:rPr>
          <w:rFonts w:ascii="Arial" w:hAnsi="Arial" w:cs="Arial"/>
        </w:rPr>
        <w:t xml:space="preserve"> values across studies suggest a potential role for hormonal contraceptives in breast lesion</w:t>
      </w:r>
      <w:r>
        <w:rPr>
          <w:rFonts w:ascii="Arial" w:hAnsi="Arial" w:cs="Arial"/>
        </w:rPr>
        <w:t>s</w:t>
      </w:r>
      <w:r w:rsidRPr="00662780">
        <w:rPr>
          <w:rFonts w:ascii="Arial" w:hAnsi="Arial" w:cs="Arial"/>
        </w:rPr>
        <w:t xml:space="preserve"> development, warranting further investigation. The lack of association with radiation exposure might reflect limited sample sizes or differences in exposure levels and timing</w:t>
      </w:r>
      <w:r>
        <w:rPr>
          <w:rFonts w:ascii="Arial" w:hAnsi="Arial" w:cs="Arial"/>
        </w:rPr>
        <w:t xml:space="preserve"> (9, 11)</w:t>
      </w:r>
      <w:r w:rsidRPr="00662780">
        <w:rPr>
          <w:rFonts w:ascii="Arial" w:hAnsi="Arial" w:cs="Arial"/>
        </w:rPr>
        <w:t>.</w:t>
      </w:r>
    </w:p>
    <w:p w:rsidR="00853155" w:rsidRDefault="00F115C7" w:rsidP="00853155">
      <w:pPr>
        <w:pStyle w:val="Head1"/>
        <w:spacing w:after="0"/>
        <w:jc w:val="both"/>
        <w:rPr>
          <w:rFonts w:ascii="Arial" w:hAnsi="Arial" w:cs="Arial"/>
        </w:rPr>
      </w:pPr>
      <w:r>
        <w:rPr>
          <w:rFonts w:ascii="Arial" w:hAnsi="Arial" w:cs="Arial"/>
        </w:rPr>
        <w:lastRenderedPageBreak/>
        <w:t xml:space="preserve">3.3 </w:t>
      </w:r>
      <w:r w:rsidRPr="00F115C7">
        <w:rPr>
          <w:rFonts w:ascii="Arial" w:hAnsi="Arial" w:cs="Arial"/>
        </w:rPr>
        <w:t>Suggestions for Future Studies</w:t>
      </w:r>
      <w:r>
        <w:rPr>
          <w:rFonts w:ascii="Arial" w:hAnsi="Arial" w:cs="Arial"/>
        </w:rPr>
        <w:t xml:space="preserve"> </w:t>
      </w:r>
      <w:bookmarkStart w:id="12" w:name="_Toc210294214"/>
    </w:p>
    <w:p w:rsidR="00853155" w:rsidRDefault="00853155" w:rsidP="00853155">
      <w:pPr>
        <w:pStyle w:val="Head1"/>
        <w:spacing w:after="0"/>
        <w:jc w:val="both"/>
        <w:rPr>
          <w:rFonts w:ascii="Arial" w:hAnsi="Arial" w:cs="Arial"/>
        </w:rPr>
      </w:pPr>
    </w:p>
    <w:p w:rsidR="00F115C7" w:rsidRPr="00853155" w:rsidRDefault="00853155" w:rsidP="00853155">
      <w:pPr>
        <w:pStyle w:val="Head1"/>
        <w:spacing w:after="0"/>
        <w:jc w:val="both"/>
        <w:rPr>
          <w:rFonts w:ascii="Arial" w:hAnsi="Arial" w:cs="Arial"/>
          <w:b w:val="0"/>
          <w:sz w:val="20"/>
        </w:rPr>
      </w:pPr>
      <w:r w:rsidRPr="00853155">
        <w:rPr>
          <w:rFonts w:ascii="Arial" w:hAnsi="Arial" w:cs="Arial"/>
          <w:b w:val="0"/>
          <w:caps w:val="0"/>
          <w:sz w:val="20"/>
        </w:rPr>
        <w:t>Future research should be conducted in multiple hospitals across Kenya to establish national prevalence patterns and risk factor associations, thereby providing a broader epidemiological picture.</w:t>
      </w:r>
      <w:bookmarkEnd w:id="12"/>
    </w:p>
    <w:p w:rsidR="00790ADA" w:rsidRPr="00FB3A86" w:rsidRDefault="00790ADA" w:rsidP="007D1AEC">
      <w:pPr>
        <w:pStyle w:val="Body"/>
        <w:spacing w:after="0" w:line="480" w:lineRule="auto"/>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9C5B48">
        <w:rPr>
          <w:rFonts w:ascii="Arial" w:hAnsi="Arial" w:cs="Arial"/>
        </w:rPr>
        <w:t>Conclusion</w:t>
      </w:r>
    </w:p>
    <w:p w:rsidR="00790ADA" w:rsidRPr="00FB3A86" w:rsidRDefault="00790ADA" w:rsidP="00E9732D">
      <w:pPr>
        <w:pStyle w:val="ConcHead"/>
        <w:spacing w:after="0"/>
        <w:ind w:firstLine="720"/>
        <w:jc w:val="both"/>
        <w:rPr>
          <w:rFonts w:ascii="Arial" w:hAnsi="Arial" w:cs="Arial"/>
        </w:rPr>
      </w:pPr>
    </w:p>
    <w:p w:rsidR="00790ADA" w:rsidRDefault="00FB6C73" w:rsidP="00441B6F">
      <w:pPr>
        <w:pStyle w:val="Body"/>
        <w:spacing w:after="0"/>
        <w:rPr>
          <w:rFonts w:ascii="Arial" w:hAnsi="Arial" w:cs="Arial"/>
        </w:rPr>
      </w:pPr>
      <w:r w:rsidRPr="00FB6C73">
        <w:rPr>
          <w:rFonts w:ascii="Arial" w:hAnsi="Arial" w:cs="Arial"/>
        </w:rPr>
        <w:t>This study demonstrated that the majority of women presenting with palpable breast lumps had benign breast lesions (91.4%), with fibroadenoma being the most common benign diagnosis. Malignant lesions constituted 8.6% of cases, with invasive ductal carcinoma (IDC) identified as the predominant malignant subtype. Several factors were significantly associated with breast lesions, including age (</w:t>
      </w:r>
      <w:r w:rsidRPr="00D37A85">
        <w:rPr>
          <w:rFonts w:ascii="Arial" w:hAnsi="Arial" w:cs="Arial"/>
          <w:i/>
        </w:rPr>
        <w:t>P</w:t>
      </w:r>
      <w:r w:rsidRPr="00FB6C73">
        <w:rPr>
          <w:rFonts w:ascii="Arial" w:hAnsi="Arial" w:cs="Arial"/>
        </w:rPr>
        <w:t xml:space="preserve"> = 0.001), parity (</w:t>
      </w:r>
      <w:r w:rsidRPr="00D37A85">
        <w:rPr>
          <w:rFonts w:ascii="Arial" w:hAnsi="Arial" w:cs="Arial"/>
          <w:i/>
        </w:rPr>
        <w:t>P</w:t>
      </w:r>
      <w:r w:rsidRPr="00FB6C73">
        <w:rPr>
          <w:rFonts w:ascii="Arial" w:hAnsi="Arial" w:cs="Arial"/>
        </w:rPr>
        <w:t xml:space="preserve"> = 0.0001), age at first childbirth (</w:t>
      </w:r>
      <w:r w:rsidRPr="00D37A85">
        <w:rPr>
          <w:rFonts w:ascii="Arial" w:hAnsi="Arial" w:cs="Arial"/>
          <w:i/>
        </w:rPr>
        <w:t>P</w:t>
      </w:r>
      <w:r w:rsidRPr="00FB6C73">
        <w:rPr>
          <w:rFonts w:ascii="Arial" w:hAnsi="Arial" w:cs="Arial"/>
        </w:rPr>
        <w:t xml:space="preserve"> = 0.031), body mass index (</w:t>
      </w:r>
      <w:r w:rsidRPr="00D37A85">
        <w:rPr>
          <w:rFonts w:ascii="Arial" w:hAnsi="Arial" w:cs="Arial"/>
          <w:i/>
        </w:rPr>
        <w:t>P</w:t>
      </w:r>
      <w:r w:rsidRPr="00FB6C73">
        <w:rPr>
          <w:rFonts w:ascii="Arial" w:hAnsi="Arial" w:cs="Arial"/>
        </w:rPr>
        <w:t xml:space="preserve"> = 0.001), family history of breast cancer (</w:t>
      </w:r>
      <w:r w:rsidRPr="00D37A85">
        <w:rPr>
          <w:rFonts w:ascii="Arial" w:hAnsi="Arial" w:cs="Arial"/>
          <w:i/>
        </w:rPr>
        <w:t>P</w:t>
      </w:r>
      <w:r w:rsidRPr="00FB6C73">
        <w:rPr>
          <w:rFonts w:ascii="Arial" w:hAnsi="Arial" w:cs="Arial"/>
        </w:rPr>
        <w:t xml:space="preserve"> = 0.025), use of hormonal contraceptives (</w:t>
      </w:r>
      <w:r w:rsidRPr="00D37A85">
        <w:rPr>
          <w:rFonts w:ascii="Arial" w:hAnsi="Arial" w:cs="Arial"/>
          <w:i/>
        </w:rPr>
        <w:t>P</w:t>
      </w:r>
      <w:r w:rsidRPr="00FB6C73">
        <w:rPr>
          <w:rFonts w:ascii="Arial" w:hAnsi="Arial" w:cs="Arial"/>
        </w:rPr>
        <w:t xml:space="preserve"> = 0.029), and alcohol consumption (</w:t>
      </w:r>
      <w:r w:rsidRPr="00D37A85">
        <w:rPr>
          <w:rFonts w:ascii="Arial" w:hAnsi="Arial" w:cs="Arial"/>
          <w:i/>
        </w:rPr>
        <w:t>P</w:t>
      </w:r>
      <w:r w:rsidRPr="00FB6C73">
        <w:rPr>
          <w:rFonts w:ascii="Arial" w:hAnsi="Arial" w:cs="Arial"/>
        </w:rPr>
        <w:t xml:space="preserve"> = 0.016). In contrast, level of education (</w:t>
      </w:r>
      <w:r w:rsidRPr="00D37A85">
        <w:rPr>
          <w:rFonts w:ascii="Arial" w:hAnsi="Arial" w:cs="Arial"/>
          <w:i/>
        </w:rPr>
        <w:t>P</w:t>
      </w:r>
      <w:r w:rsidRPr="00FB6C73">
        <w:rPr>
          <w:rFonts w:ascii="Arial" w:hAnsi="Arial" w:cs="Arial"/>
        </w:rPr>
        <w:t xml:space="preserve"> = 0.319), prior history of breast FNAC (</w:t>
      </w:r>
      <w:r w:rsidRPr="00CF14E0">
        <w:rPr>
          <w:rFonts w:ascii="Arial" w:hAnsi="Arial" w:cs="Arial"/>
          <w:i/>
        </w:rPr>
        <w:t>P</w:t>
      </w:r>
      <w:r w:rsidRPr="00FB6C73">
        <w:rPr>
          <w:rFonts w:ascii="Arial" w:hAnsi="Arial" w:cs="Arial"/>
        </w:rPr>
        <w:t xml:space="preserve"> = 0.589), exposure to radiation (</w:t>
      </w:r>
      <w:r w:rsidRPr="00D37A85">
        <w:rPr>
          <w:rFonts w:ascii="Arial" w:hAnsi="Arial" w:cs="Arial"/>
          <w:i/>
        </w:rPr>
        <w:t>P</w:t>
      </w:r>
      <w:r w:rsidRPr="00FB6C73">
        <w:rPr>
          <w:rFonts w:ascii="Arial" w:hAnsi="Arial" w:cs="Arial"/>
        </w:rPr>
        <w:t xml:space="preserve"> = 0.723), and tobacco smoking history (</w:t>
      </w:r>
      <w:r w:rsidRPr="00D37A85">
        <w:rPr>
          <w:rFonts w:ascii="Arial" w:hAnsi="Arial" w:cs="Arial"/>
          <w:i/>
        </w:rPr>
        <w:t>P</w:t>
      </w:r>
      <w:r w:rsidRPr="00FB6C73">
        <w:rPr>
          <w:rFonts w:ascii="Arial" w:hAnsi="Arial" w:cs="Arial"/>
        </w:rPr>
        <w:t xml:space="preserve"> = 0.250) showed no significant association with breast lesions.</w:t>
      </w:r>
      <w:r>
        <w:rPr>
          <w:rFonts w:ascii="Arial" w:hAnsi="Arial" w:cs="Arial"/>
        </w:rPr>
        <w:t xml:space="preserve"> </w:t>
      </w:r>
    </w:p>
    <w:p w:rsidR="007D1AEC" w:rsidRPr="00FB3A86" w:rsidRDefault="00545473" w:rsidP="00441B6F">
      <w:pPr>
        <w:pStyle w:val="Body"/>
        <w:spacing w:after="0"/>
        <w:rPr>
          <w:rFonts w:ascii="Arial" w:hAnsi="Arial" w:cs="Arial"/>
        </w:rPr>
      </w:pPr>
      <w:r w:rsidRPr="00545473">
        <w:rPr>
          <w:rFonts w:ascii="Arial" w:hAnsi="Arial" w:cs="Arial"/>
        </w:rPr>
        <w:t>Significant risk factors, including age, parity, reproductive history, alcohol use, BMI, family history, and contraceptive use, highlight the value of targeted prevention and early detection strategies.</w:t>
      </w:r>
      <w:r>
        <w:rPr>
          <w:rFonts w:ascii="Arial" w:hAnsi="Arial" w:cs="Arial"/>
        </w:rPr>
        <w:t xml:space="preserve"> </w:t>
      </w:r>
      <w:r w:rsidR="001B2B77" w:rsidRPr="001B2B77">
        <w:rPr>
          <w:rFonts w:ascii="Arial" w:hAnsi="Arial" w:cs="Arial"/>
        </w:rPr>
        <w:t>FNAC is a reliable approach for preliminary diagnosis and triaging of br</w:t>
      </w:r>
      <w:r w:rsidR="001B2B77">
        <w:rPr>
          <w:rFonts w:ascii="Arial" w:hAnsi="Arial" w:cs="Arial"/>
        </w:rPr>
        <w:t>east lumps and masses</w:t>
      </w:r>
      <w:r w:rsidR="001B2B77" w:rsidRPr="001B2B77">
        <w:rPr>
          <w:rFonts w:ascii="Arial" w:hAnsi="Arial" w:cs="Arial"/>
        </w:rPr>
        <w:t>. These findings reinforce FNAC’s clinical utility as a minimally invasive, cost-effective procedure that can guide timely management decisions, especially in resource-limited settings.</w:t>
      </w:r>
    </w:p>
    <w:p w:rsidR="002D0919" w:rsidRDefault="002D0919" w:rsidP="00441B6F">
      <w:pPr>
        <w:pStyle w:val="ReferHead"/>
        <w:spacing w:after="0"/>
        <w:jc w:val="both"/>
        <w:rPr>
          <w:rFonts w:ascii="Arial" w:hAnsi="Arial" w:cs="Arial"/>
          <w:bCs/>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081ED7" w:rsidRPr="002B685A" w:rsidRDefault="00081ED7" w:rsidP="00441B6F">
      <w:pPr>
        <w:pStyle w:val="ReferHead"/>
        <w:spacing w:after="0"/>
        <w:jc w:val="both"/>
        <w:rPr>
          <w:rFonts w:ascii="Arial" w:hAnsi="Arial" w:cs="Arial"/>
          <w:bCs/>
        </w:rPr>
      </w:pPr>
    </w:p>
    <w:p w:rsidR="00F46497" w:rsidRDefault="00F46497" w:rsidP="00441B6F">
      <w:pPr>
        <w:pStyle w:val="ReferHead"/>
        <w:spacing w:after="0"/>
        <w:jc w:val="both"/>
        <w:rPr>
          <w:rFonts w:ascii="Arial" w:hAnsi="Arial" w:cs="Arial"/>
          <w:b w:val="0"/>
          <w:caps w:val="0"/>
          <w:sz w:val="20"/>
        </w:rPr>
      </w:pPr>
      <w:r>
        <w:rPr>
          <w:rFonts w:ascii="Arial" w:hAnsi="Arial" w:cs="Arial"/>
          <w:b w:val="0"/>
          <w:caps w:val="0"/>
          <w:sz w:val="20"/>
        </w:rPr>
        <w:t xml:space="preserve">The </w:t>
      </w:r>
      <w:r w:rsidRPr="00F46497">
        <w:rPr>
          <w:rFonts w:ascii="Arial" w:hAnsi="Arial" w:cs="Arial"/>
          <w:b w:val="0"/>
          <w:caps w:val="0"/>
          <w:sz w:val="20"/>
        </w:rPr>
        <w:t xml:space="preserve">participants were </w:t>
      </w:r>
      <w:r>
        <w:rPr>
          <w:rFonts w:ascii="Arial" w:hAnsi="Arial" w:cs="Arial"/>
          <w:b w:val="0"/>
          <w:caps w:val="0"/>
          <w:sz w:val="20"/>
        </w:rPr>
        <w:t xml:space="preserve">informed and </w:t>
      </w:r>
      <w:r w:rsidR="006B7AB9">
        <w:rPr>
          <w:rFonts w:ascii="Arial" w:hAnsi="Arial" w:cs="Arial"/>
          <w:b w:val="0"/>
          <w:caps w:val="0"/>
          <w:sz w:val="20"/>
        </w:rPr>
        <w:t xml:space="preserve">clarified </w:t>
      </w:r>
      <w:r w:rsidRPr="00F46497">
        <w:rPr>
          <w:rFonts w:ascii="Arial" w:hAnsi="Arial" w:cs="Arial"/>
          <w:b w:val="0"/>
          <w:caps w:val="0"/>
          <w:sz w:val="20"/>
        </w:rPr>
        <w:t>on the p</w:t>
      </w:r>
      <w:r>
        <w:rPr>
          <w:rFonts w:ascii="Arial" w:hAnsi="Arial" w:cs="Arial"/>
          <w:b w:val="0"/>
          <w:caps w:val="0"/>
          <w:sz w:val="20"/>
        </w:rPr>
        <w:t>rocedure</w:t>
      </w:r>
      <w:r w:rsidR="00C5399E">
        <w:rPr>
          <w:rFonts w:ascii="Arial" w:hAnsi="Arial" w:cs="Arial"/>
          <w:b w:val="0"/>
          <w:caps w:val="0"/>
          <w:sz w:val="20"/>
        </w:rPr>
        <w:t>, safety measures</w:t>
      </w:r>
      <w:r w:rsidR="00C853A1">
        <w:rPr>
          <w:rFonts w:ascii="Arial" w:hAnsi="Arial" w:cs="Arial"/>
          <w:b w:val="0"/>
          <w:caps w:val="0"/>
          <w:sz w:val="20"/>
        </w:rPr>
        <w:t xml:space="preserve"> and the benefits</w:t>
      </w:r>
      <w:r>
        <w:rPr>
          <w:rFonts w:ascii="Arial" w:hAnsi="Arial" w:cs="Arial"/>
          <w:b w:val="0"/>
          <w:caps w:val="0"/>
          <w:sz w:val="20"/>
        </w:rPr>
        <w:t xml:space="preserve"> </w:t>
      </w:r>
      <w:r w:rsidR="00C853A1">
        <w:rPr>
          <w:rFonts w:ascii="Arial" w:hAnsi="Arial" w:cs="Arial"/>
          <w:b w:val="0"/>
          <w:caps w:val="0"/>
          <w:sz w:val="20"/>
        </w:rPr>
        <w:t>of</w:t>
      </w:r>
      <w:r w:rsidR="00B47D45">
        <w:rPr>
          <w:rFonts w:ascii="Arial" w:hAnsi="Arial" w:cs="Arial"/>
          <w:b w:val="0"/>
          <w:caps w:val="0"/>
          <w:sz w:val="20"/>
        </w:rPr>
        <w:t xml:space="preserve"> breast</w:t>
      </w:r>
      <w:r w:rsidRPr="00F46497">
        <w:rPr>
          <w:rFonts w:ascii="Arial" w:hAnsi="Arial" w:cs="Arial"/>
          <w:b w:val="0"/>
          <w:caps w:val="0"/>
          <w:sz w:val="20"/>
        </w:rPr>
        <w:t xml:space="preserve"> cytological screening and were recruited after giving their consent.</w:t>
      </w:r>
      <w:r>
        <w:rPr>
          <w:rFonts w:ascii="Arial" w:hAnsi="Arial" w:cs="Arial"/>
          <w:b w:val="0"/>
          <w:caps w:val="0"/>
          <w:sz w:val="20"/>
        </w:rPr>
        <w:t xml:space="preserve">                      </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FD7518" w:rsidRDefault="000F6778" w:rsidP="00441B6F">
      <w:pPr>
        <w:pStyle w:val="ReferHead"/>
        <w:spacing w:after="0"/>
        <w:jc w:val="both"/>
        <w:rPr>
          <w:rFonts w:ascii="Arial" w:hAnsi="Arial" w:cs="Arial"/>
          <w:b w:val="0"/>
          <w:caps w:val="0"/>
          <w:sz w:val="20"/>
        </w:rPr>
      </w:pPr>
      <w:r>
        <w:rPr>
          <w:rFonts w:ascii="Arial" w:hAnsi="Arial" w:cs="Arial"/>
          <w:b w:val="0"/>
          <w:caps w:val="0"/>
          <w:sz w:val="20"/>
        </w:rPr>
        <w:t>This research was approved by</w:t>
      </w:r>
      <w:r w:rsidR="00567093">
        <w:rPr>
          <w:rFonts w:ascii="Arial" w:hAnsi="Arial" w:cs="Arial"/>
          <w:b w:val="0"/>
          <w:caps w:val="0"/>
          <w:sz w:val="20"/>
        </w:rPr>
        <w:t xml:space="preserve"> the</w:t>
      </w:r>
      <w:r>
        <w:rPr>
          <w:rFonts w:ascii="Arial" w:hAnsi="Arial" w:cs="Arial"/>
          <w:b w:val="0"/>
          <w:caps w:val="0"/>
          <w:sz w:val="20"/>
        </w:rPr>
        <w:t xml:space="preserve"> </w:t>
      </w:r>
      <w:r w:rsidR="00567093" w:rsidRPr="00567093">
        <w:rPr>
          <w:rFonts w:ascii="Arial" w:hAnsi="Arial" w:cs="Arial"/>
          <w:b w:val="0"/>
          <w:caps w:val="0"/>
          <w:sz w:val="20"/>
        </w:rPr>
        <w:t>Kenyatta University Ethics Review Committee</w:t>
      </w:r>
      <w:r w:rsidR="007E65DC">
        <w:rPr>
          <w:rFonts w:ascii="Arial" w:hAnsi="Arial" w:cs="Arial"/>
          <w:b w:val="0"/>
          <w:caps w:val="0"/>
          <w:sz w:val="20"/>
        </w:rPr>
        <w:t xml:space="preserve">, </w:t>
      </w:r>
      <w:r w:rsidR="00567093">
        <w:rPr>
          <w:rFonts w:ascii="Arial" w:hAnsi="Arial" w:cs="Arial"/>
          <w:b w:val="0"/>
          <w:caps w:val="0"/>
          <w:sz w:val="20"/>
        </w:rPr>
        <w:t>approval number PKU/2937/112960</w:t>
      </w:r>
      <w:r w:rsidR="00567093" w:rsidRPr="00567093">
        <w:rPr>
          <w:rFonts w:ascii="Arial" w:hAnsi="Arial" w:cs="Arial"/>
          <w:b w:val="0"/>
          <w:caps w:val="0"/>
          <w:sz w:val="20"/>
        </w:rPr>
        <w:t xml:space="preserve">, and </w:t>
      </w:r>
      <w:r w:rsidR="007E65DC">
        <w:rPr>
          <w:rFonts w:ascii="Arial" w:hAnsi="Arial" w:cs="Arial"/>
          <w:b w:val="0"/>
          <w:caps w:val="0"/>
          <w:sz w:val="20"/>
        </w:rPr>
        <w:t xml:space="preserve">a research permit obtained from </w:t>
      </w:r>
      <w:r w:rsidR="00567093" w:rsidRPr="00567093">
        <w:rPr>
          <w:rFonts w:ascii="Arial" w:hAnsi="Arial" w:cs="Arial"/>
          <w:b w:val="0"/>
          <w:caps w:val="0"/>
          <w:sz w:val="20"/>
        </w:rPr>
        <w:t>the National Commission for Science Technology and Innovation (NACOSTI)</w:t>
      </w:r>
      <w:r w:rsidR="00FD7518">
        <w:rPr>
          <w:rFonts w:ascii="Arial" w:hAnsi="Arial" w:cs="Arial"/>
          <w:b w:val="0"/>
          <w:caps w:val="0"/>
          <w:sz w:val="20"/>
        </w:rPr>
        <w:t xml:space="preserve"> </w:t>
      </w:r>
      <w:r w:rsidR="00FD7518" w:rsidRPr="00FD7518">
        <w:rPr>
          <w:rFonts w:ascii="Arial" w:hAnsi="Arial" w:cs="Arial"/>
          <w:b w:val="0"/>
          <w:caps w:val="0"/>
          <w:sz w:val="20"/>
        </w:rPr>
        <w:t>license</w:t>
      </w:r>
      <w:r w:rsidR="00FD7518">
        <w:rPr>
          <w:rFonts w:ascii="Arial" w:hAnsi="Arial" w:cs="Arial"/>
          <w:b w:val="0"/>
          <w:caps w:val="0"/>
          <w:sz w:val="20"/>
        </w:rPr>
        <w:t xml:space="preserve"> number</w:t>
      </w:r>
      <w:r w:rsidR="00FD7518" w:rsidRPr="00FD7518">
        <w:t xml:space="preserve"> </w:t>
      </w:r>
      <w:r w:rsidR="00FD7518" w:rsidRPr="00FD7518">
        <w:rPr>
          <w:rFonts w:ascii="Arial" w:hAnsi="Arial" w:cs="Arial"/>
          <w:b w:val="0"/>
          <w:caps w:val="0"/>
          <w:sz w:val="20"/>
        </w:rPr>
        <w:t>NACOSTI</w:t>
      </w:r>
      <w:r w:rsidR="00FD7518">
        <w:rPr>
          <w:rFonts w:ascii="Arial" w:hAnsi="Arial" w:cs="Arial"/>
          <w:b w:val="0"/>
          <w:caps w:val="0"/>
          <w:sz w:val="20"/>
        </w:rPr>
        <w:t>/P/24/36510.</w:t>
      </w:r>
    </w:p>
    <w:p w:rsidR="00D0435B" w:rsidRPr="00005ED1" w:rsidRDefault="00D0435B" w:rsidP="00D0435B">
      <w:pPr>
        <w:pStyle w:val="NoSpacing"/>
        <w:rPr>
          <w:rFonts w:ascii="Arial" w:hAnsi="Arial" w:cs="Arial"/>
          <w:highlight w:val="yellow"/>
        </w:rPr>
      </w:pPr>
      <w:bookmarkStart w:id="13" w:name="_Hlk198031404"/>
      <w:r w:rsidRPr="00005ED1">
        <w:rPr>
          <w:rFonts w:ascii="Arial" w:hAnsi="Arial" w:cs="Arial"/>
          <w:highlight w:val="yellow"/>
        </w:rPr>
        <w:t>Disclaimer (Artificial intelligence)</w:t>
      </w:r>
    </w:p>
    <w:p w:rsidR="00D0435B" w:rsidRPr="00005ED1" w:rsidRDefault="00D0435B" w:rsidP="00D0435B">
      <w:pPr>
        <w:pStyle w:val="NoSpacing"/>
        <w:rPr>
          <w:rFonts w:ascii="Arial" w:hAnsi="Arial" w:cs="Arial"/>
          <w:highlight w:val="yellow"/>
        </w:rPr>
      </w:pPr>
    </w:p>
    <w:p w:rsidR="00D0435B" w:rsidRPr="00005ED1" w:rsidRDefault="00D0435B" w:rsidP="00D0435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3"/>
    <w:p w:rsidR="00D0435B" w:rsidRDefault="00D0435B" w:rsidP="00D0435B">
      <w:pPr>
        <w:pStyle w:val="NoSpacing"/>
        <w:rPr>
          <w:rFonts w:ascii="Arial" w:hAnsi="Arial" w:cs="Arial"/>
        </w:rPr>
      </w:pPr>
    </w:p>
    <w:p w:rsidR="00D0435B" w:rsidRDefault="00D0435B" w:rsidP="00D0435B">
      <w:pPr>
        <w:pStyle w:val="NoSpacing"/>
        <w:rPr>
          <w:rFonts w:ascii="Arial" w:hAnsi="Arial" w:cs="Arial"/>
        </w:rPr>
      </w:pPr>
    </w:p>
    <w:p w:rsidR="00D0435B" w:rsidRPr="00005ED1" w:rsidRDefault="00D0435B" w:rsidP="00D0435B">
      <w:pPr>
        <w:pStyle w:val="NoSpacing"/>
        <w:rPr>
          <w:rFonts w:ascii="Arial" w:hAnsi="Arial" w:cs="Arial"/>
        </w:rPr>
      </w:pPr>
    </w:p>
    <w:p w:rsidR="00D54C97" w:rsidRDefault="00D54C97" w:rsidP="00441B6F">
      <w:pPr>
        <w:pStyle w:val="ReferHead"/>
        <w:spacing w:after="0"/>
        <w:jc w:val="both"/>
        <w:rPr>
          <w:rFonts w:ascii="Arial" w:hAnsi="Arial" w:cs="Arial"/>
          <w:b w:val="0"/>
          <w:caps w:val="0"/>
          <w:sz w:val="20"/>
        </w:rPr>
      </w:pPr>
      <w:bookmarkStart w:id="14" w:name="_GoBack"/>
      <w:bookmarkEnd w:id="14"/>
    </w:p>
    <w:p w:rsidR="00D54C97" w:rsidRPr="00D54C97" w:rsidRDefault="00D54C97" w:rsidP="00D54C97">
      <w:pPr>
        <w:spacing w:after="200" w:line="276" w:lineRule="auto"/>
        <w:rPr>
          <w:rFonts w:asciiTheme="minorHAnsi" w:eastAsiaTheme="minorHAnsi" w:hAnsiTheme="minorHAnsi" w:cstheme="minorBidi"/>
          <w:sz w:val="28"/>
          <w:szCs w:val="22"/>
          <w:lang w:val="en-GB"/>
        </w:rPr>
      </w:pPr>
      <w:bookmarkStart w:id="15" w:name="_Hlk219125673"/>
    </w:p>
    <w:bookmarkEnd w:id="15"/>
    <w:p w:rsidR="00D54C97" w:rsidRDefault="00D54C97" w:rsidP="00441B6F">
      <w:pPr>
        <w:pStyle w:val="ReferHead"/>
        <w:spacing w:after="0"/>
        <w:jc w:val="both"/>
        <w:rPr>
          <w:rFonts w:ascii="Arial" w:hAnsi="Arial" w:cs="Arial"/>
          <w:b w:val="0"/>
          <w:caps w:val="0"/>
          <w:sz w:val="20"/>
        </w:rPr>
      </w:pPr>
    </w:p>
    <w:p w:rsidR="00067D24" w:rsidRDefault="00067D24" w:rsidP="00441B6F">
      <w:pPr>
        <w:pStyle w:val="ReferHead"/>
        <w:spacing w:after="0"/>
        <w:jc w:val="both"/>
        <w:rPr>
          <w:rFonts w:ascii="Arial" w:hAnsi="Arial" w:cs="Arial"/>
        </w:rPr>
      </w:pPr>
    </w:p>
    <w:p w:rsidR="00743924" w:rsidRPr="00743924" w:rsidRDefault="00B01FCD" w:rsidP="00743924">
      <w:pPr>
        <w:pStyle w:val="ReferHead"/>
        <w:spacing w:after="0"/>
        <w:jc w:val="both"/>
        <w:rPr>
          <w:rFonts w:ascii="Arial" w:hAnsi="Arial" w:cs="Arial"/>
        </w:rPr>
      </w:pPr>
      <w:r w:rsidRPr="00FB3A86">
        <w:rPr>
          <w:rFonts w:ascii="Arial" w:hAnsi="Arial" w:cs="Arial"/>
        </w:rPr>
        <w:t>References</w:t>
      </w:r>
    </w:p>
    <w:p w:rsidR="00743924" w:rsidRDefault="00743924" w:rsidP="0021460C">
      <w:pPr>
        <w:pStyle w:val="ListParagraph"/>
      </w:pPr>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Bray, F., </w:t>
      </w:r>
      <w:proofErr w:type="spellStart"/>
      <w:r w:rsidRPr="007E65DC">
        <w:rPr>
          <w:rFonts w:ascii="Arial" w:hAnsi="Arial" w:cs="Arial"/>
        </w:rPr>
        <w:t>Laversanne</w:t>
      </w:r>
      <w:proofErr w:type="spellEnd"/>
      <w:r w:rsidRPr="007E65DC">
        <w:rPr>
          <w:rFonts w:ascii="Arial" w:hAnsi="Arial" w:cs="Arial"/>
        </w:rPr>
        <w:t xml:space="preserve">, M., Sung, H., Ferlay, J., Siegel, R. L., </w:t>
      </w:r>
      <w:proofErr w:type="spellStart"/>
      <w:r w:rsidRPr="007E65DC">
        <w:rPr>
          <w:rFonts w:ascii="Arial" w:hAnsi="Arial" w:cs="Arial"/>
        </w:rPr>
        <w:t>Soerjomataram</w:t>
      </w:r>
      <w:proofErr w:type="spellEnd"/>
      <w:r w:rsidRPr="007E65DC">
        <w:rPr>
          <w:rFonts w:ascii="Arial" w:hAnsi="Arial" w:cs="Arial"/>
        </w:rPr>
        <w:t>, I., &amp; Jemal, A. (2024). Global cancer statistics 2022: GLOBOCAN estimates of incidence and mortality worldwide for 36 cancers in 185 countries. </w:t>
      </w:r>
      <w:r w:rsidRPr="007E65DC">
        <w:rPr>
          <w:rFonts w:ascii="Arial" w:hAnsi="Arial" w:cs="Arial"/>
          <w:i/>
          <w:iCs/>
        </w:rPr>
        <w:t>CA: A Cancer Journal for Clinicians</w:t>
      </w:r>
      <w:r w:rsidRPr="007E65DC">
        <w:rPr>
          <w:rFonts w:ascii="Arial" w:hAnsi="Arial" w:cs="Arial"/>
        </w:rPr>
        <w:t>, </w:t>
      </w:r>
      <w:r w:rsidRPr="007E65DC">
        <w:rPr>
          <w:rFonts w:ascii="Arial" w:hAnsi="Arial" w:cs="Arial"/>
          <w:i/>
          <w:iCs/>
        </w:rPr>
        <w:t>74</w:t>
      </w:r>
      <w:r w:rsidRPr="007E65DC">
        <w:rPr>
          <w:rFonts w:ascii="Arial" w:hAnsi="Arial" w:cs="Arial"/>
        </w:rPr>
        <w:t xml:space="preserve">(3), 229-263. </w:t>
      </w:r>
      <w:hyperlink r:id="rId15" w:history="1">
        <w:r w:rsidRPr="007E65DC">
          <w:rPr>
            <w:rStyle w:val="Hyperlink"/>
            <w:rFonts w:ascii="Arial" w:hAnsi="Arial" w:cs="Arial"/>
          </w:rPr>
          <w:t>https://doi.org/10.3322/caac.21834</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Zhang, X., Yang, L., Liu, S., Cao, L. L., Wang, N., Li, H. C., &amp; Ji, J. F. (2024). Interpretation on the report of global cancer statistics 2022. </w:t>
      </w:r>
      <w:proofErr w:type="spellStart"/>
      <w:r w:rsidRPr="007E65DC">
        <w:rPr>
          <w:rFonts w:ascii="Arial" w:hAnsi="Arial" w:cs="Arial"/>
        </w:rPr>
        <w:t>Zhonghua</w:t>
      </w:r>
      <w:proofErr w:type="spellEnd"/>
      <w:r w:rsidRPr="007E65DC">
        <w:rPr>
          <w:rFonts w:ascii="Arial" w:hAnsi="Arial" w:cs="Arial"/>
        </w:rPr>
        <w:t xml:space="preserve"> </w:t>
      </w:r>
      <w:proofErr w:type="spellStart"/>
      <w:r w:rsidRPr="007E65DC">
        <w:rPr>
          <w:rFonts w:ascii="Arial" w:hAnsi="Arial" w:cs="Arial"/>
        </w:rPr>
        <w:t>zhong</w:t>
      </w:r>
      <w:proofErr w:type="spellEnd"/>
      <w:r w:rsidRPr="007E65DC">
        <w:rPr>
          <w:rFonts w:ascii="Arial" w:hAnsi="Arial" w:cs="Arial"/>
        </w:rPr>
        <w:t xml:space="preserve"> </w:t>
      </w:r>
      <w:proofErr w:type="spellStart"/>
      <w:r w:rsidRPr="007E65DC">
        <w:rPr>
          <w:rFonts w:ascii="Arial" w:hAnsi="Arial" w:cs="Arial"/>
        </w:rPr>
        <w:t>liu</w:t>
      </w:r>
      <w:proofErr w:type="spellEnd"/>
      <w:r w:rsidRPr="007E65DC">
        <w:rPr>
          <w:rFonts w:ascii="Arial" w:hAnsi="Arial" w:cs="Arial"/>
        </w:rPr>
        <w:t xml:space="preserve"> za </w:t>
      </w:r>
      <w:proofErr w:type="spellStart"/>
      <w:r w:rsidRPr="007E65DC">
        <w:rPr>
          <w:rFonts w:ascii="Arial" w:hAnsi="Arial" w:cs="Arial"/>
        </w:rPr>
        <w:t>zhi</w:t>
      </w:r>
      <w:proofErr w:type="spellEnd"/>
      <w:r w:rsidRPr="007E65DC">
        <w:rPr>
          <w:rFonts w:ascii="Arial" w:hAnsi="Arial" w:cs="Arial"/>
        </w:rPr>
        <w:t xml:space="preserve"> [Chinese Journal of Oncology], 46(7), 710-721. </w:t>
      </w:r>
    </w:p>
    <w:p w:rsidR="007E65DC" w:rsidRPr="007E65DC" w:rsidRDefault="00B6400E" w:rsidP="00E9732D">
      <w:pPr>
        <w:pStyle w:val="Body"/>
        <w:spacing w:after="0"/>
        <w:ind w:left="360"/>
        <w:rPr>
          <w:rFonts w:ascii="Arial" w:hAnsi="Arial" w:cs="Arial"/>
        </w:rPr>
      </w:pPr>
      <w:hyperlink r:id="rId16" w:history="1">
        <w:r w:rsidR="007E65DC" w:rsidRPr="007E65DC">
          <w:rPr>
            <w:rStyle w:val="Hyperlink"/>
            <w:rFonts w:ascii="Arial" w:hAnsi="Arial" w:cs="Arial"/>
          </w:rPr>
          <w:t>https://doi.org/10.3760/cma.j.cn112152-20240416-00152</w:t>
        </w:r>
      </w:hyperlink>
      <w:r w:rsidR="007E65DC"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Boucheron, P., Zietsman, A., Anele, A., Offiah, A. U., </w:t>
      </w:r>
      <w:proofErr w:type="spellStart"/>
      <w:r w:rsidRPr="007E65DC">
        <w:rPr>
          <w:rFonts w:ascii="Arial" w:hAnsi="Arial" w:cs="Arial"/>
        </w:rPr>
        <w:t>Galukande</w:t>
      </w:r>
      <w:proofErr w:type="spellEnd"/>
      <w:r w:rsidRPr="007E65DC">
        <w:rPr>
          <w:rFonts w:ascii="Arial" w:hAnsi="Arial" w:cs="Arial"/>
        </w:rPr>
        <w:t xml:space="preserve">, M., Parham, G., Pinder, L., Mo, T., Foerster, M., Schüz, J., Anderson, B. O., </w:t>
      </w:r>
      <w:proofErr w:type="spellStart"/>
      <w:r w:rsidRPr="007E65DC">
        <w:rPr>
          <w:rFonts w:ascii="Arial" w:hAnsi="Arial" w:cs="Arial"/>
        </w:rPr>
        <w:t>Nyangasi</w:t>
      </w:r>
      <w:proofErr w:type="spellEnd"/>
      <w:r w:rsidRPr="007E65DC">
        <w:rPr>
          <w:rFonts w:ascii="Arial" w:hAnsi="Arial" w:cs="Arial"/>
        </w:rPr>
        <w:t xml:space="preserve">, M., Dos-Santos-Silva, I., &amp; McCormack, V. (2025). Measuring the WHO Global Breast Cancer Initiative Pillars’ key performance indicators in Sub-Saharan Africa: experience in the African Breast Cancer—Disparities in Outcomes hospital-based cohort study. </w:t>
      </w:r>
      <w:proofErr w:type="spellStart"/>
      <w:r w:rsidRPr="007E65DC">
        <w:rPr>
          <w:rFonts w:ascii="Arial" w:hAnsi="Arial" w:cs="Arial"/>
        </w:rPr>
        <w:t>eClinicalMedicine</w:t>
      </w:r>
      <w:proofErr w:type="spellEnd"/>
      <w:r w:rsidRPr="007E65DC">
        <w:rPr>
          <w:rFonts w:ascii="Arial" w:hAnsi="Arial" w:cs="Arial"/>
        </w:rPr>
        <w:t xml:space="preserve">, 81, 103104. </w:t>
      </w:r>
      <w:hyperlink r:id="rId17" w:history="1">
        <w:r w:rsidR="00D429C9" w:rsidRPr="007E65DC">
          <w:rPr>
            <w:rStyle w:val="Hyperlink"/>
            <w:rFonts w:ascii="Arial" w:hAnsi="Arial" w:cs="Arial"/>
          </w:rPr>
          <w:t>https://doi.org/10.1016/j.eclinm.2025.103104</w:t>
        </w:r>
      </w:hyperlink>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lastRenderedPageBreak/>
        <w:t xml:space="preserve">Rivera-Franco, M. M., &amp; Leon-Rodriguez, E. (2018). Delays in breast cancer detection and treatment in developing countries. Breast Cancer: Basic and Clinical Research, 12, 1178223417752677. </w:t>
      </w:r>
      <w:hyperlink r:id="rId18" w:history="1">
        <w:r w:rsidRPr="007E65DC">
          <w:rPr>
            <w:rStyle w:val="Hyperlink"/>
            <w:rFonts w:ascii="Arial" w:hAnsi="Arial" w:cs="Arial"/>
          </w:rPr>
          <w:t>https://doi.org/10.1177/1178223417752677</w:t>
        </w:r>
      </w:hyperlink>
      <w:r w:rsidR="007E65DC"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Rioki, J. N., Muchiri, L., </w:t>
      </w:r>
      <w:proofErr w:type="spellStart"/>
      <w:r w:rsidRPr="007E65DC">
        <w:rPr>
          <w:rFonts w:ascii="Arial" w:hAnsi="Arial" w:cs="Arial"/>
        </w:rPr>
        <w:t>Mweu</w:t>
      </w:r>
      <w:proofErr w:type="spellEnd"/>
      <w:r w:rsidRPr="007E65DC">
        <w:rPr>
          <w:rFonts w:ascii="Arial" w:hAnsi="Arial" w:cs="Arial"/>
        </w:rPr>
        <w:t xml:space="preserve">, M., Songok, E., &amp; Rogena, E. (2023). Cytomorphological patterns of breast lesions among women with palpable breast lumps attending select teaching and referral hospitals in Kenya: a descriptive cross-sectional study. </w:t>
      </w:r>
      <w:r w:rsidRPr="007E65DC">
        <w:rPr>
          <w:rFonts w:ascii="Arial" w:hAnsi="Arial" w:cs="Arial"/>
          <w:i/>
          <w:iCs/>
        </w:rPr>
        <w:t>The Pan African Medical Journal</w:t>
      </w:r>
      <w:r w:rsidRPr="007E65DC">
        <w:rPr>
          <w:rFonts w:ascii="Arial" w:hAnsi="Arial" w:cs="Arial"/>
        </w:rPr>
        <w:t xml:space="preserve">, </w:t>
      </w:r>
      <w:r w:rsidRPr="007E65DC">
        <w:rPr>
          <w:rFonts w:ascii="Arial" w:hAnsi="Arial" w:cs="Arial"/>
          <w:i/>
          <w:iCs/>
        </w:rPr>
        <w:t>44</w:t>
      </w:r>
      <w:r w:rsidRPr="007E65DC">
        <w:rPr>
          <w:rFonts w:ascii="Arial" w:hAnsi="Arial" w:cs="Arial"/>
        </w:rPr>
        <w:t xml:space="preserve">, 171. </w:t>
      </w:r>
    </w:p>
    <w:p w:rsidR="007E65DC" w:rsidRPr="007E65DC" w:rsidRDefault="00B6400E" w:rsidP="00E9732D">
      <w:pPr>
        <w:pStyle w:val="Body"/>
        <w:spacing w:after="0"/>
        <w:ind w:left="360"/>
        <w:rPr>
          <w:rFonts w:ascii="Arial" w:hAnsi="Arial" w:cs="Arial"/>
        </w:rPr>
      </w:pPr>
      <w:hyperlink r:id="rId19" w:history="1">
        <w:r w:rsidR="007E65DC" w:rsidRPr="007E65DC">
          <w:rPr>
            <w:rStyle w:val="Hyperlink"/>
            <w:rFonts w:ascii="Arial" w:hAnsi="Arial" w:cs="Arial"/>
          </w:rPr>
          <w:t>https://doi.org/10.11604/pamj.2023.44.171.37755</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Menapara, C., &amp; Kokani, M. (2019). Classification of breast lumps on the basis of fine needle aspiration cytology or FNAC. </w:t>
      </w:r>
      <w:r w:rsidRPr="007E65DC">
        <w:rPr>
          <w:rFonts w:ascii="Arial" w:hAnsi="Arial" w:cs="Arial"/>
          <w:i/>
          <w:iCs/>
        </w:rPr>
        <w:t>ACHR</w:t>
      </w:r>
      <w:r w:rsidRPr="007E65DC">
        <w:rPr>
          <w:rFonts w:ascii="Arial" w:hAnsi="Arial" w:cs="Arial"/>
        </w:rPr>
        <w:t>, </w:t>
      </w:r>
      <w:r w:rsidRPr="007E65DC">
        <w:rPr>
          <w:rFonts w:ascii="Arial" w:hAnsi="Arial" w:cs="Arial"/>
          <w:i/>
          <w:iCs/>
        </w:rPr>
        <w:t>4</w:t>
      </w:r>
      <w:r w:rsidRPr="007E65DC">
        <w:rPr>
          <w:rFonts w:ascii="Arial" w:hAnsi="Arial" w:cs="Arial"/>
        </w:rPr>
        <w:t xml:space="preserve">(1), 65-69. </w:t>
      </w:r>
    </w:p>
    <w:p w:rsidR="007E65DC" w:rsidRPr="007E65DC" w:rsidRDefault="00B6400E" w:rsidP="00E9732D">
      <w:pPr>
        <w:pStyle w:val="Body"/>
        <w:spacing w:after="0"/>
        <w:ind w:left="360"/>
        <w:rPr>
          <w:rFonts w:ascii="Arial" w:hAnsi="Arial" w:cs="Arial"/>
        </w:rPr>
      </w:pPr>
      <w:hyperlink r:id="rId20" w:history="1">
        <w:r w:rsidR="007E65DC" w:rsidRPr="007E65DC">
          <w:rPr>
            <w:rStyle w:val="Hyperlink"/>
            <w:rFonts w:ascii="Arial" w:hAnsi="Arial" w:cs="Arial"/>
          </w:rPr>
          <w:t>https://doi.org/10.18231/2456-9267.2019.0011</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Makhija, S., &amp; Patil, S.B. (2020). Cytology of breast-lesions.</w:t>
      </w:r>
      <w:r w:rsidRPr="007E65DC">
        <w:rPr>
          <w:rFonts w:ascii="Arial" w:hAnsi="Arial" w:cs="Arial"/>
          <w:i/>
          <w:iCs/>
        </w:rPr>
        <w:t xml:space="preserve"> IP Archives of Cytology and Histopathology Research</w:t>
      </w:r>
      <w:r w:rsidRPr="007E65DC">
        <w:rPr>
          <w:rFonts w:ascii="Arial" w:hAnsi="Arial" w:cs="Arial"/>
        </w:rPr>
        <w:t xml:space="preserve">, </w:t>
      </w:r>
      <w:r w:rsidRPr="007E65DC">
        <w:rPr>
          <w:rFonts w:ascii="Arial" w:hAnsi="Arial" w:cs="Arial"/>
          <w:i/>
          <w:iCs/>
        </w:rPr>
        <w:t>5</w:t>
      </w:r>
      <w:r w:rsidRPr="007E65DC">
        <w:rPr>
          <w:rFonts w:ascii="Arial" w:hAnsi="Arial" w:cs="Arial"/>
        </w:rPr>
        <w:t xml:space="preserve">(1), 81-85. </w:t>
      </w:r>
      <w:hyperlink r:id="rId21" w:history="1">
        <w:r w:rsidRPr="007E65DC">
          <w:rPr>
            <w:rStyle w:val="Hyperlink"/>
            <w:rFonts w:ascii="Arial" w:hAnsi="Arial" w:cs="Arial"/>
          </w:rPr>
          <w:t>https://doi.org/10.18231/j.achr.2020.016</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Panjvani, S. I., Parikh, B. J., Parikh, S. B., Chaudhari, B. R., Patel, K. K., Gupta, G. S., </w:t>
      </w:r>
      <w:proofErr w:type="spellStart"/>
      <w:r w:rsidRPr="007E65DC">
        <w:rPr>
          <w:rFonts w:ascii="Arial" w:hAnsi="Arial" w:cs="Arial"/>
        </w:rPr>
        <w:t>Kodnani</w:t>
      </w:r>
      <w:proofErr w:type="spellEnd"/>
      <w:r w:rsidRPr="007E65DC">
        <w:rPr>
          <w:rFonts w:ascii="Arial" w:hAnsi="Arial" w:cs="Arial"/>
        </w:rPr>
        <w:t>, A. H., &amp; Anandani, G. M. (2013). Utility of fine needle aspiration cytology in the evaluation of breast lesions. </w:t>
      </w:r>
      <w:r w:rsidRPr="007E65DC">
        <w:rPr>
          <w:rFonts w:ascii="Arial" w:hAnsi="Arial" w:cs="Arial"/>
          <w:i/>
          <w:iCs/>
        </w:rPr>
        <w:t>Journal of Clinical and Diagnostic Research: JCDR</w:t>
      </w:r>
      <w:r w:rsidRPr="007E65DC">
        <w:rPr>
          <w:rFonts w:ascii="Arial" w:hAnsi="Arial" w:cs="Arial"/>
        </w:rPr>
        <w:t>, </w:t>
      </w:r>
      <w:r w:rsidRPr="007E65DC">
        <w:rPr>
          <w:rFonts w:ascii="Arial" w:hAnsi="Arial" w:cs="Arial"/>
          <w:i/>
          <w:iCs/>
        </w:rPr>
        <w:t>7</w:t>
      </w:r>
      <w:r w:rsidRPr="007E65DC">
        <w:rPr>
          <w:rFonts w:ascii="Arial" w:hAnsi="Arial" w:cs="Arial"/>
        </w:rPr>
        <w:t xml:space="preserve">(12), 2777. </w:t>
      </w:r>
      <w:hyperlink r:id="rId22" w:history="1">
        <w:r w:rsidRPr="007E65DC">
          <w:rPr>
            <w:rStyle w:val="Hyperlink"/>
            <w:rFonts w:ascii="Arial" w:hAnsi="Arial" w:cs="Arial"/>
          </w:rPr>
          <w:t>https://doi.org/10.7860/jcdr/2013/6507.3756</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Mudassar, M., Awais, M., Ikram, N., Hameed, S., Aslam, S., &amp; Baloch, F. A. (2020). Correlation of Risk Factors with Different Reporting Categories of Fine Needle Aspiration Cytology (FNAC) of Palpable Breast Lumps. Annals of Punjab Medical College, 14(2), 173-178. </w:t>
      </w:r>
      <w:hyperlink r:id="rId23" w:history="1">
        <w:r w:rsidRPr="007E65DC">
          <w:rPr>
            <w:rStyle w:val="Hyperlink"/>
            <w:rFonts w:ascii="Arial" w:hAnsi="Arial" w:cs="Arial"/>
          </w:rPr>
          <w:t>https://doi.org/10.29054/apmc/2020.864</w:t>
        </w:r>
      </w:hyperlink>
      <w:r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Khan, A., Jamali, R., Jan, M., &amp; Tasneem, M. (2014). Correlation of fine needle aspiration cytology and histopathology diagnosis in the evaluation of breast lumps. International Journal of Medical Students, 2(2), 40-43. </w:t>
      </w:r>
    </w:p>
    <w:p w:rsidR="007E65DC" w:rsidRPr="007E65DC" w:rsidRDefault="00B6400E" w:rsidP="00E9732D">
      <w:pPr>
        <w:pStyle w:val="Body"/>
        <w:spacing w:after="0"/>
        <w:ind w:left="360"/>
        <w:rPr>
          <w:rFonts w:ascii="Arial" w:hAnsi="Arial" w:cs="Arial"/>
        </w:rPr>
      </w:pPr>
      <w:hyperlink r:id="rId24" w:history="1">
        <w:r w:rsidR="007E65DC" w:rsidRPr="007E65DC">
          <w:rPr>
            <w:rStyle w:val="Hyperlink"/>
            <w:rFonts w:ascii="Arial" w:hAnsi="Arial" w:cs="Arial"/>
          </w:rPr>
          <w:t>https://doi.org/10.5195/ijms.2014.78</w:t>
        </w:r>
      </w:hyperlink>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Wondimu, A., </w:t>
      </w:r>
      <w:proofErr w:type="spellStart"/>
      <w:r w:rsidRPr="007E65DC">
        <w:rPr>
          <w:rFonts w:ascii="Arial" w:hAnsi="Arial" w:cs="Arial"/>
        </w:rPr>
        <w:t>Addissie</w:t>
      </w:r>
      <w:proofErr w:type="spellEnd"/>
      <w:r w:rsidRPr="007E65DC">
        <w:rPr>
          <w:rFonts w:ascii="Arial" w:hAnsi="Arial" w:cs="Arial"/>
        </w:rPr>
        <w:t xml:space="preserve">, A., Wienke, A., UnverzagT, S., Jemal, A., Taylor, L., &amp; </w:t>
      </w:r>
      <w:proofErr w:type="spellStart"/>
      <w:r w:rsidRPr="007E65DC">
        <w:rPr>
          <w:rFonts w:ascii="Arial" w:hAnsi="Arial" w:cs="Arial"/>
        </w:rPr>
        <w:t>Kantelhardt</w:t>
      </w:r>
      <w:proofErr w:type="spellEnd"/>
      <w:r w:rsidRPr="007E65DC">
        <w:rPr>
          <w:rFonts w:ascii="Arial" w:hAnsi="Arial" w:cs="Arial"/>
        </w:rPr>
        <w:t>, E. (2021). Breast Awareness, Self-Reported Abnormalities, and Breast Cancer in Rural Ethiopia: A Survey of 7,573 Women and Predictions of the National Burden.</w:t>
      </w:r>
    </w:p>
    <w:p w:rsidR="00D221CE" w:rsidRDefault="00D429C9" w:rsidP="007E65DC">
      <w:pPr>
        <w:pStyle w:val="Body"/>
        <w:numPr>
          <w:ilvl w:val="0"/>
          <w:numId w:val="32"/>
        </w:numPr>
        <w:spacing w:after="0"/>
        <w:rPr>
          <w:rFonts w:ascii="Arial" w:hAnsi="Arial" w:cs="Arial"/>
        </w:rPr>
      </w:pPr>
      <w:r w:rsidRPr="007E65DC">
        <w:rPr>
          <w:rFonts w:ascii="Arial" w:hAnsi="Arial" w:cs="Arial"/>
        </w:rPr>
        <w:t xml:space="preserve">Sarkar S, Ghosh D, Mahata S, Sahoo PK, Roy A, </w:t>
      </w:r>
      <w:proofErr w:type="spellStart"/>
      <w:r w:rsidRPr="007E65DC">
        <w:rPr>
          <w:rFonts w:ascii="Arial" w:hAnsi="Arial" w:cs="Arial"/>
        </w:rPr>
        <w:t>Vernekar</w:t>
      </w:r>
      <w:proofErr w:type="spellEnd"/>
      <w:r w:rsidRPr="007E65DC">
        <w:rPr>
          <w:rFonts w:ascii="Arial" w:hAnsi="Arial" w:cs="Arial"/>
        </w:rPr>
        <w:t xml:space="preserve"> M, Datta K, Mandal S, </w:t>
      </w:r>
      <w:proofErr w:type="spellStart"/>
      <w:r w:rsidRPr="007E65DC">
        <w:rPr>
          <w:rFonts w:ascii="Arial" w:hAnsi="Arial" w:cs="Arial"/>
        </w:rPr>
        <w:t>Nasare</w:t>
      </w:r>
      <w:proofErr w:type="spellEnd"/>
      <w:r w:rsidRPr="007E65DC">
        <w:rPr>
          <w:rFonts w:ascii="Arial" w:hAnsi="Arial" w:cs="Arial"/>
        </w:rPr>
        <w:t xml:space="preserve"> VD. Sociodemographic factors and clinical presentation of women attending Cancer Detection Centre, Kolkata for breast examination. J Clin Transl Res. 2020 Mar 19;5(3):132-139. PMID: 32617427; PMCID: PMC7326264.</w:t>
      </w:r>
    </w:p>
    <w:p w:rsidR="008145BE" w:rsidRDefault="008145BE" w:rsidP="008145BE">
      <w:pPr>
        <w:pStyle w:val="Body"/>
        <w:numPr>
          <w:ilvl w:val="0"/>
          <w:numId w:val="32"/>
        </w:numPr>
        <w:spacing w:after="0"/>
        <w:rPr>
          <w:rFonts w:ascii="Arial" w:hAnsi="Arial" w:cs="Arial"/>
        </w:rPr>
      </w:pPr>
      <w:r w:rsidRPr="008145BE">
        <w:rPr>
          <w:rFonts w:ascii="Arial" w:hAnsi="Arial" w:cs="Arial"/>
        </w:rPr>
        <w:t xml:space="preserve">Baloch, Z., </w:t>
      </w:r>
      <w:proofErr w:type="spellStart"/>
      <w:r w:rsidRPr="008145BE">
        <w:rPr>
          <w:rFonts w:ascii="Arial" w:hAnsi="Arial" w:cs="Arial"/>
        </w:rPr>
        <w:t>LiVolsi</w:t>
      </w:r>
      <w:proofErr w:type="spellEnd"/>
      <w:r w:rsidRPr="008145BE">
        <w:rPr>
          <w:rFonts w:ascii="Arial" w:hAnsi="Arial" w:cs="Arial"/>
        </w:rPr>
        <w:t xml:space="preserve">, V. A., Jain, P., Jain, R., </w:t>
      </w:r>
      <w:proofErr w:type="spellStart"/>
      <w:r w:rsidRPr="008145BE">
        <w:rPr>
          <w:rFonts w:ascii="Arial" w:hAnsi="Arial" w:cs="Arial"/>
        </w:rPr>
        <w:t>Aljada</w:t>
      </w:r>
      <w:proofErr w:type="spellEnd"/>
      <w:r w:rsidRPr="008145BE">
        <w:rPr>
          <w:rFonts w:ascii="Arial" w:hAnsi="Arial" w:cs="Arial"/>
        </w:rPr>
        <w:t>, I., Mandel, S., Langer, J. E. &amp; Gupta, P. K. (2003). Role of repeat fine</w:t>
      </w:r>
      <w:r w:rsidRPr="008145BE">
        <w:rPr>
          <w:rFonts w:ascii="Cambria Math" w:hAnsi="Cambria Math" w:cs="Cambria Math"/>
        </w:rPr>
        <w:t>‐</w:t>
      </w:r>
      <w:r w:rsidRPr="008145BE">
        <w:rPr>
          <w:rFonts w:ascii="Arial" w:hAnsi="Arial" w:cs="Arial"/>
        </w:rPr>
        <w:t xml:space="preserve">needle aspiration biopsy (FNAB) in the management of thyroid nodules. Diagnostic Cytopathology, 29(4), 203-206. </w:t>
      </w:r>
      <w:hyperlink r:id="rId25" w:history="1">
        <w:r w:rsidRPr="001545C1">
          <w:rPr>
            <w:rStyle w:val="Hyperlink"/>
            <w:rFonts w:ascii="Arial" w:hAnsi="Arial" w:cs="Arial"/>
          </w:rPr>
          <w:t>https://doi.org/10.1002/dc.10361</w:t>
        </w:r>
      </w:hyperlink>
      <w:r>
        <w:rPr>
          <w:rFonts w:ascii="Arial" w:hAnsi="Arial" w:cs="Arial"/>
        </w:rPr>
        <w:t xml:space="preserve"> </w:t>
      </w:r>
    </w:p>
    <w:p w:rsidR="00CE238E" w:rsidRDefault="004523A1" w:rsidP="00582504">
      <w:pPr>
        <w:pStyle w:val="Body"/>
        <w:numPr>
          <w:ilvl w:val="0"/>
          <w:numId w:val="32"/>
        </w:numPr>
        <w:spacing w:after="0"/>
        <w:rPr>
          <w:rFonts w:ascii="Arial" w:hAnsi="Arial" w:cs="Arial"/>
        </w:rPr>
      </w:pPr>
      <w:r w:rsidRPr="004523A1">
        <w:rPr>
          <w:rFonts w:ascii="Arial" w:hAnsi="Arial" w:cs="Arial"/>
        </w:rPr>
        <w:t xml:space="preserve">Tripathi, K., Yadav, R., &amp; Maurya, S. K. (2022). A comparative study between fine-needle aspiration cytology and core needle biopsy in diagnosing clinically palpable breast lumps. </w:t>
      </w:r>
      <w:proofErr w:type="spellStart"/>
      <w:r w:rsidRPr="004523A1">
        <w:rPr>
          <w:rFonts w:ascii="Arial" w:hAnsi="Arial" w:cs="Arial"/>
        </w:rPr>
        <w:t>Cureus</w:t>
      </w:r>
      <w:proofErr w:type="spellEnd"/>
      <w:r w:rsidRPr="004523A1">
        <w:rPr>
          <w:rFonts w:ascii="Arial" w:hAnsi="Arial" w:cs="Arial"/>
        </w:rPr>
        <w:t xml:space="preserve">, 14(8). </w:t>
      </w:r>
      <w:hyperlink r:id="rId26" w:history="1">
        <w:r w:rsidRPr="001545C1">
          <w:rPr>
            <w:rStyle w:val="Hyperlink"/>
            <w:rFonts w:ascii="Arial" w:hAnsi="Arial" w:cs="Arial"/>
          </w:rPr>
          <w:t>https://doi.org/10.7759/cureus.27709</w:t>
        </w:r>
      </w:hyperlink>
      <w:r>
        <w:rPr>
          <w:rFonts w:ascii="Arial" w:hAnsi="Arial" w:cs="Arial"/>
        </w:rPr>
        <w:t xml:space="preserve"> </w:t>
      </w:r>
    </w:p>
    <w:p w:rsidR="00CE238E" w:rsidRPr="00582504" w:rsidRDefault="00CE238E" w:rsidP="00582504">
      <w:pPr>
        <w:pStyle w:val="Body"/>
        <w:numPr>
          <w:ilvl w:val="0"/>
          <w:numId w:val="32"/>
        </w:numPr>
        <w:spacing w:after="0"/>
        <w:rPr>
          <w:rFonts w:ascii="Arial" w:hAnsi="Arial" w:cs="Arial"/>
        </w:rPr>
      </w:pPr>
      <w:r w:rsidRPr="00582504">
        <w:rPr>
          <w:rFonts w:ascii="Arial" w:hAnsi="Arial" w:cs="Arial"/>
        </w:rPr>
        <w:t>Quintana, L. M., &amp; Collins, L. C. (2023). Diagnostic pitfalls in breast cancer pathology with an emphasis on core needle biopsy specimens. Archives of pathology &amp; laboratory medicine, 147(9), 1025-1038.</w:t>
      </w:r>
    </w:p>
    <w:p w:rsidR="00343868" w:rsidRDefault="00343868" w:rsidP="00343868">
      <w:pPr>
        <w:pStyle w:val="Body"/>
        <w:numPr>
          <w:ilvl w:val="0"/>
          <w:numId w:val="32"/>
        </w:numPr>
        <w:spacing w:after="0"/>
        <w:rPr>
          <w:rFonts w:ascii="Arial" w:hAnsi="Arial" w:cs="Arial"/>
        </w:rPr>
      </w:pPr>
      <w:r w:rsidRPr="00343868">
        <w:rPr>
          <w:rFonts w:ascii="Arial" w:hAnsi="Arial" w:cs="Arial"/>
        </w:rPr>
        <w:t>de Cursi, J. A. T., Marques, M. E. A., de Assis Cunha Castro, C. A. C., Schmitt, F. C., &amp; Soares, C. T. (2020). Fine-Needle Aspiration Cytology (FNAC) is a reliable diagnostic tool for small breast lesions (≤ 1.0 cm): a 20-year retrospective study. Surgical and Experimental Pathology, 3(1), 29.</w:t>
      </w:r>
    </w:p>
    <w:p w:rsidR="00770022" w:rsidRPr="00770022" w:rsidRDefault="00770022" w:rsidP="00770022">
      <w:pPr>
        <w:pStyle w:val="Body"/>
        <w:numPr>
          <w:ilvl w:val="0"/>
          <w:numId w:val="32"/>
        </w:numPr>
        <w:spacing w:after="0"/>
        <w:rPr>
          <w:rFonts w:ascii="Arial" w:hAnsi="Arial" w:cs="Arial"/>
        </w:rPr>
      </w:pPr>
      <w:r w:rsidRPr="00770022">
        <w:rPr>
          <w:rFonts w:ascii="Arial" w:hAnsi="Arial" w:cs="Arial"/>
        </w:rPr>
        <w:t>Joko-</w:t>
      </w:r>
      <w:proofErr w:type="spellStart"/>
      <w:r w:rsidRPr="00770022">
        <w:rPr>
          <w:rFonts w:ascii="Arial" w:hAnsi="Arial" w:cs="Arial"/>
        </w:rPr>
        <w:t>Fru</w:t>
      </w:r>
      <w:proofErr w:type="spellEnd"/>
      <w:r w:rsidRPr="00770022">
        <w:rPr>
          <w:rFonts w:ascii="Arial" w:hAnsi="Arial" w:cs="Arial"/>
        </w:rPr>
        <w:t xml:space="preserve">, W. Y., Griesel, M., </w:t>
      </w:r>
      <w:proofErr w:type="spellStart"/>
      <w:r w:rsidRPr="00770022">
        <w:rPr>
          <w:rFonts w:ascii="Arial" w:hAnsi="Arial" w:cs="Arial"/>
        </w:rPr>
        <w:t>Mezger</w:t>
      </w:r>
      <w:proofErr w:type="spellEnd"/>
      <w:r w:rsidRPr="00770022">
        <w:rPr>
          <w:rFonts w:ascii="Arial" w:hAnsi="Arial" w:cs="Arial"/>
        </w:rPr>
        <w:t xml:space="preserve">, N. C. S., </w:t>
      </w:r>
      <w:proofErr w:type="spellStart"/>
      <w:r w:rsidRPr="00770022">
        <w:rPr>
          <w:rFonts w:ascii="Arial" w:hAnsi="Arial" w:cs="Arial"/>
        </w:rPr>
        <w:t>Hämmerl</w:t>
      </w:r>
      <w:proofErr w:type="spellEnd"/>
      <w:r w:rsidRPr="00770022">
        <w:rPr>
          <w:rFonts w:ascii="Arial" w:hAnsi="Arial" w:cs="Arial"/>
        </w:rPr>
        <w:t xml:space="preserve">, L., </w:t>
      </w:r>
      <w:proofErr w:type="spellStart"/>
      <w:r w:rsidRPr="00770022">
        <w:rPr>
          <w:rFonts w:ascii="Arial" w:hAnsi="Arial" w:cs="Arial"/>
        </w:rPr>
        <w:t>Seraphin</w:t>
      </w:r>
      <w:proofErr w:type="spellEnd"/>
      <w:r w:rsidRPr="00770022">
        <w:rPr>
          <w:rFonts w:ascii="Arial" w:hAnsi="Arial" w:cs="Arial"/>
        </w:rPr>
        <w:t xml:space="preserve">, T. P., </w:t>
      </w:r>
      <w:proofErr w:type="spellStart"/>
      <w:r w:rsidRPr="00770022">
        <w:rPr>
          <w:rFonts w:ascii="Arial" w:hAnsi="Arial" w:cs="Arial"/>
        </w:rPr>
        <w:t>Feuchtner</w:t>
      </w:r>
      <w:proofErr w:type="spellEnd"/>
      <w:r w:rsidRPr="00770022">
        <w:rPr>
          <w:rFonts w:ascii="Arial" w:hAnsi="Arial" w:cs="Arial"/>
        </w:rPr>
        <w:t xml:space="preserve">, J., ... &amp; </w:t>
      </w:r>
      <w:proofErr w:type="spellStart"/>
      <w:r w:rsidRPr="00770022">
        <w:rPr>
          <w:rFonts w:ascii="Arial" w:hAnsi="Arial" w:cs="Arial"/>
        </w:rPr>
        <w:t>Kantelhardt</w:t>
      </w:r>
      <w:proofErr w:type="spellEnd"/>
      <w:r w:rsidRPr="00770022">
        <w:rPr>
          <w:rFonts w:ascii="Arial" w:hAnsi="Arial" w:cs="Arial"/>
        </w:rPr>
        <w:t>, E. J. (2021). Breast cancer diagnostics, therapy, and outcomes in Sub-Saharan Africa: a population-based registry study. Journal of the National Comprehensive Cancer Network, 19(13), 75-85.</w:t>
      </w:r>
    </w:p>
    <w:p w:rsidR="00CE238E" w:rsidRPr="00CE238E" w:rsidRDefault="00CE238E" w:rsidP="00CE238E">
      <w:pPr>
        <w:pStyle w:val="ListParagraph"/>
        <w:numPr>
          <w:ilvl w:val="0"/>
          <w:numId w:val="32"/>
        </w:numPr>
        <w:rPr>
          <w:rFonts w:ascii="Arial" w:hAnsi="Arial" w:cs="Arial"/>
        </w:rPr>
      </w:pPr>
      <w:r w:rsidRPr="00CE238E">
        <w:rPr>
          <w:rFonts w:ascii="Arial" w:hAnsi="Arial" w:cs="Arial"/>
        </w:rPr>
        <w:t xml:space="preserve">Mohammed, A. M., Hamed, H. B., </w:t>
      </w:r>
      <w:proofErr w:type="spellStart"/>
      <w:r w:rsidRPr="00CE238E">
        <w:rPr>
          <w:rFonts w:ascii="Arial" w:hAnsi="Arial" w:cs="Arial"/>
        </w:rPr>
        <w:t>Noaman</w:t>
      </w:r>
      <w:proofErr w:type="spellEnd"/>
      <w:r w:rsidRPr="00CE238E">
        <w:rPr>
          <w:rFonts w:ascii="Arial" w:hAnsi="Arial" w:cs="Arial"/>
        </w:rPr>
        <w:t xml:space="preserve">, M. K., &amp; </w:t>
      </w:r>
      <w:proofErr w:type="spellStart"/>
      <w:r w:rsidRPr="00CE238E">
        <w:rPr>
          <w:rFonts w:ascii="Arial" w:hAnsi="Arial" w:cs="Arial"/>
        </w:rPr>
        <w:t>Alieldin</w:t>
      </w:r>
      <w:proofErr w:type="spellEnd"/>
      <w:r w:rsidRPr="00CE238E">
        <w:rPr>
          <w:rFonts w:ascii="Arial" w:hAnsi="Arial" w:cs="Arial"/>
        </w:rPr>
        <w:t xml:space="preserve">, N. (2023). Metabolic syndrome and breast cancer risk. Journal of the Egyptian National Cancer Institute, 35(1), 42.  </w:t>
      </w:r>
    </w:p>
    <w:p w:rsidR="00CE238E" w:rsidRPr="007E65DC" w:rsidRDefault="00CE238E" w:rsidP="00CE238E">
      <w:pPr>
        <w:pStyle w:val="Body"/>
        <w:spacing w:after="0"/>
        <w:ind w:left="720"/>
        <w:rPr>
          <w:rFonts w:ascii="Arial" w:hAnsi="Arial" w:cs="Arial"/>
        </w:rPr>
      </w:pPr>
    </w:p>
    <w:p w:rsidR="007E65DC" w:rsidRPr="007E65DC" w:rsidRDefault="007E65DC" w:rsidP="00E9732D">
      <w:pPr>
        <w:pStyle w:val="Body"/>
        <w:spacing w:after="0"/>
        <w:ind w:left="360"/>
        <w:rPr>
          <w:rFonts w:ascii="Arial" w:hAnsi="Arial" w:cs="Arial"/>
        </w:rPr>
      </w:pPr>
    </w:p>
    <w:p w:rsidR="00046DDA" w:rsidRDefault="00046DDA" w:rsidP="00046DDA">
      <w:pPr>
        <w:pStyle w:val="Body"/>
        <w:spacing w:after="0"/>
        <w:ind w:left="720"/>
      </w:pPr>
    </w:p>
    <w:p w:rsidR="00806B52" w:rsidRDefault="00806B52" w:rsidP="00441B6F">
      <w:pPr>
        <w:pStyle w:val="Body"/>
        <w:spacing w:after="0"/>
      </w:pPr>
    </w:p>
    <w:p w:rsidR="00067D24" w:rsidRDefault="00067D24" w:rsidP="00441B6F">
      <w:pPr>
        <w:pStyle w:val="Body"/>
        <w:spacing w:after="0"/>
      </w:pPr>
    </w:p>
    <w:p w:rsidR="00B01FCD" w:rsidRPr="00FB3A86" w:rsidRDefault="00B01FCD" w:rsidP="00441B6F">
      <w:pPr>
        <w:pStyle w:val="Appendix"/>
        <w:spacing w:after="0"/>
        <w:jc w:val="both"/>
        <w:rPr>
          <w:rFonts w:ascii="Arial" w:hAnsi="Arial" w:cs="Arial"/>
          <w:b w:val="0"/>
        </w:rPr>
      </w:pPr>
    </w:p>
    <w:sectPr w:rsidR="00B01FCD" w:rsidRPr="00FB3A86" w:rsidSect="00D34397">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00E" w:rsidRDefault="00B6400E" w:rsidP="00C37E61">
      <w:r>
        <w:separator/>
      </w:r>
    </w:p>
  </w:endnote>
  <w:endnote w:type="continuationSeparator" w:id="0">
    <w:p w:rsidR="00B6400E" w:rsidRDefault="00B640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34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34386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343868">
    <w:pPr>
      <w:pStyle w:val="Footer"/>
      <w:rPr>
        <w:rFonts w:ascii="Arial" w:hAnsi="Arial" w:cs="Arial"/>
        <w:sz w:val="16"/>
      </w:rPr>
    </w:pPr>
  </w:p>
  <w:p w:rsidR="00343868" w:rsidRDefault="0034386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343868" w:rsidRDefault="00343868">
    <w:pPr>
      <w:pStyle w:val="Footer"/>
      <w:rPr>
        <w:rFonts w:ascii="Arial" w:hAnsi="Arial" w:cs="Arial"/>
        <w:sz w:val="16"/>
      </w:rPr>
    </w:pPr>
  </w:p>
  <w:p w:rsidR="00343868" w:rsidRPr="009E048A" w:rsidRDefault="0034386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Pr="00C37E61" w:rsidRDefault="003438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00E" w:rsidRDefault="00B6400E" w:rsidP="00C37E61">
      <w:r>
        <w:separator/>
      </w:r>
    </w:p>
  </w:footnote>
  <w:footnote w:type="continuationSeparator" w:id="0">
    <w:p w:rsidR="00B6400E" w:rsidRDefault="00B640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B64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B64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Pr="00296529" w:rsidRDefault="00B6400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343868" w:rsidRPr="00296529" w:rsidRDefault="003438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343868" w:rsidRPr="00296529" w:rsidRDefault="00343868" w:rsidP="00296529">
    <w:pPr>
      <w:jc w:val="center"/>
      <w:rPr>
        <w:rFonts w:ascii="Times New Roman" w:eastAsia="Calibri" w:hAnsi="Times New Roman"/>
        <w:i/>
        <w:sz w:val="18"/>
        <w:szCs w:val="22"/>
      </w:rPr>
    </w:pPr>
    <w:r>
      <w:rPr>
        <w:rFonts w:ascii="Times New Roman" w:eastAsia="Calibri" w:hAnsi="Times New Roman"/>
        <w:i/>
        <w:sz w:val="18"/>
        <w:szCs w:val="22"/>
      </w:rPr>
      <w:t>.</w:t>
    </w:r>
  </w:p>
  <w:p w:rsidR="00343868" w:rsidRPr="00296529" w:rsidRDefault="003438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343868" w:rsidRDefault="003438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343868" w:rsidRDefault="003438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43868" w:rsidRDefault="003438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B64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B64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68" w:rsidRDefault="00B64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F91864"/>
    <w:multiLevelType w:val="multilevel"/>
    <w:tmpl w:val="D3642A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9949AD"/>
    <w:multiLevelType w:val="multilevel"/>
    <w:tmpl w:val="7BA4C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F559D8"/>
    <w:multiLevelType w:val="hybridMultilevel"/>
    <w:tmpl w:val="0B504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061B08"/>
    <w:multiLevelType w:val="hybridMultilevel"/>
    <w:tmpl w:val="78A4B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8537BAB"/>
    <w:multiLevelType w:val="hybridMultilevel"/>
    <w:tmpl w:val="E72A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C4F8E"/>
    <w:multiLevelType w:val="hybridMultilevel"/>
    <w:tmpl w:val="9F7A78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6"/>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8"/>
  </w:num>
  <w:num w:numId="19">
    <w:abstractNumId w:val="34"/>
  </w:num>
  <w:num w:numId="20">
    <w:abstractNumId w:val="14"/>
  </w:num>
  <w:num w:numId="21">
    <w:abstractNumId w:val="11"/>
  </w:num>
  <w:num w:numId="22">
    <w:abstractNumId w:val="17"/>
  </w:num>
  <w:num w:numId="23">
    <w:abstractNumId w:val="24"/>
  </w:num>
  <w:num w:numId="24">
    <w:abstractNumId w:val="31"/>
  </w:num>
  <w:num w:numId="25">
    <w:abstractNumId w:val="4"/>
  </w:num>
  <w:num w:numId="26">
    <w:abstractNumId w:val="20"/>
  </w:num>
  <w:num w:numId="27">
    <w:abstractNumId w:val="25"/>
  </w:num>
  <w:num w:numId="28">
    <w:abstractNumId w:val="33"/>
  </w:num>
  <w:num w:numId="29">
    <w:abstractNumId w:val="29"/>
  </w:num>
  <w:num w:numId="30">
    <w:abstractNumId w:val="13"/>
  </w:num>
  <w:num w:numId="31">
    <w:abstractNumId w:val="32"/>
  </w:num>
  <w:num w:numId="32">
    <w:abstractNumId w:val="12"/>
  </w:num>
  <w:num w:numId="33">
    <w:abstractNumId w:val="10"/>
  </w:num>
  <w:num w:numId="34">
    <w:abstractNumId w:val="6"/>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2662"/>
    <w:rsid w:val="00013819"/>
    <w:rsid w:val="00021488"/>
    <w:rsid w:val="00021756"/>
    <w:rsid w:val="0002377C"/>
    <w:rsid w:val="00030174"/>
    <w:rsid w:val="0004579C"/>
    <w:rsid w:val="00046C6E"/>
    <w:rsid w:val="00046DDA"/>
    <w:rsid w:val="00054D2E"/>
    <w:rsid w:val="00055DFE"/>
    <w:rsid w:val="00067D24"/>
    <w:rsid w:val="00081ED7"/>
    <w:rsid w:val="000820B9"/>
    <w:rsid w:val="000A47FA"/>
    <w:rsid w:val="000A65D3"/>
    <w:rsid w:val="000B1E33"/>
    <w:rsid w:val="000B28BC"/>
    <w:rsid w:val="000D689F"/>
    <w:rsid w:val="000E4210"/>
    <w:rsid w:val="000E622A"/>
    <w:rsid w:val="000E7B7B"/>
    <w:rsid w:val="000E7D62"/>
    <w:rsid w:val="000F6778"/>
    <w:rsid w:val="000F7E95"/>
    <w:rsid w:val="00103357"/>
    <w:rsid w:val="00106CB1"/>
    <w:rsid w:val="001172E0"/>
    <w:rsid w:val="00121B61"/>
    <w:rsid w:val="00122C8A"/>
    <w:rsid w:val="00123C9F"/>
    <w:rsid w:val="0012456F"/>
    <w:rsid w:val="00126190"/>
    <w:rsid w:val="00126391"/>
    <w:rsid w:val="00130F17"/>
    <w:rsid w:val="001320BF"/>
    <w:rsid w:val="00142140"/>
    <w:rsid w:val="00144203"/>
    <w:rsid w:val="0014642B"/>
    <w:rsid w:val="00147011"/>
    <w:rsid w:val="00150E4A"/>
    <w:rsid w:val="00157267"/>
    <w:rsid w:val="00163BC4"/>
    <w:rsid w:val="00164894"/>
    <w:rsid w:val="00170ADE"/>
    <w:rsid w:val="00191062"/>
    <w:rsid w:val="00192B72"/>
    <w:rsid w:val="001A29D8"/>
    <w:rsid w:val="001A3448"/>
    <w:rsid w:val="001A5CAA"/>
    <w:rsid w:val="001B0427"/>
    <w:rsid w:val="001B1616"/>
    <w:rsid w:val="001B2B77"/>
    <w:rsid w:val="001D1C9A"/>
    <w:rsid w:val="001D3A51"/>
    <w:rsid w:val="001E10D2"/>
    <w:rsid w:val="001E25B4"/>
    <w:rsid w:val="001E41DB"/>
    <w:rsid w:val="001E44FE"/>
    <w:rsid w:val="001E54C6"/>
    <w:rsid w:val="00200595"/>
    <w:rsid w:val="00204835"/>
    <w:rsid w:val="0020737B"/>
    <w:rsid w:val="0021460C"/>
    <w:rsid w:val="00231920"/>
    <w:rsid w:val="0023195C"/>
    <w:rsid w:val="0024282C"/>
    <w:rsid w:val="00245D33"/>
    <w:rsid w:val="002460DC"/>
    <w:rsid w:val="00250800"/>
    <w:rsid w:val="00250985"/>
    <w:rsid w:val="00251562"/>
    <w:rsid w:val="002556F6"/>
    <w:rsid w:val="00256674"/>
    <w:rsid w:val="00260ED1"/>
    <w:rsid w:val="00265B59"/>
    <w:rsid w:val="00277F29"/>
    <w:rsid w:val="00283105"/>
    <w:rsid w:val="00284C4C"/>
    <w:rsid w:val="00287E68"/>
    <w:rsid w:val="00296529"/>
    <w:rsid w:val="002A3F34"/>
    <w:rsid w:val="002A6545"/>
    <w:rsid w:val="002B27FB"/>
    <w:rsid w:val="002B685A"/>
    <w:rsid w:val="002C57D2"/>
    <w:rsid w:val="002D0919"/>
    <w:rsid w:val="002E0D56"/>
    <w:rsid w:val="002E4B7E"/>
    <w:rsid w:val="002F1032"/>
    <w:rsid w:val="002F4197"/>
    <w:rsid w:val="002F4EBA"/>
    <w:rsid w:val="00310E8D"/>
    <w:rsid w:val="003118B2"/>
    <w:rsid w:val="00315186"/>
    <w:rsid w:val="00317099"/>
    <w:rsid w:val="00325719"/>
    <w:rsid w:val="0033343E"/>
    <w:rsid w:val="00334C32"/>
    <w:rsid w:val="00336867"/>
    <w:rsid w:val="00336A43"/>
    <w:rsid w:val="00343868"/>
    <w:rsid w:val="003512C2"/>
    <w:rsid w:val="00365D29"/>
    <w:rsid w:val="00371FB6"/>
    <w:rsid w:val="003763C1"/>
    <w:rsid w:val="00376BBE"/>
    <w:rsid w:val="0039224F"/>
    <w:rsid w:val="00394587"/>
    <w:rsid w:val="003A0070"/>
    <w:rsid w:val="003A43A4"/>
    <w:rsid w:val="003A7E18"/>
    <w:rsid w:val="003B3DD2"/>
    <w:rsid w:val="003C2930"/>
    <w:rsid w:val="003C4C86"/>
    <w:rsid w:val="003C6258"/>
    <w:rsid w:val="003E2904"/>
    <w:rsid w:val="003F3CD9"/>
    <w:rsid w:val="00401927"/>
    <w:rsid w:val="0041027F"/>
    <w:rsid w:val="00412475"/>
    <w:rsid w:val="004147C0"/>
    <w:rsid w:val="00423789"/>
    <w:rsid w:val="00425745"/>
    <w:rsid w:val="0043590D"/>
    <w:rsid w:val="00440F43"/>
    <w:rsid w:val="00441B6F"/>
    <w:rsid w:val="004434B1"/>
    <w:rsid w:val="00446221"/>
    <w:rsid w:val="00450E62"/>
    <w:rsid w:val="004523A1"/>
    <w:rsid w:val="004539DB"/>
    <w:rsid w:val="00470946"/>
    <w:rsid w:val="00471A80"/>
    <w:rsid w:val="004738A1"/>
    <w:rsid w:val="0047751D"/>
    <w:rsid w:val="00481D5A"/>
    <w:rsid w:val="00487864"/>
    <w:rsid w:val="0049135E"/>
    <w:rsid w:val="00495F9A"/>
    <w:rsid w:val="004C4239"/>
    <w:rsid w:val="004D20E8"/>
    <w:rsid w:val="004D2A98"/>
    <w:rsid w:val="004D305E"/>
    <w:rsid w:val="004D4277"/>
    <w:rsid w:val="004F48EF"/>
    <w:rsid w:val="00502516"/>
    <w:rsid w:val="00505F06"/>
    <w:rsid w:val="00506828"/>
    <w:rsid w:val="00520EB1"/>
    <w:rsid w:val="0053056E"/>
    <w:rsid w:val="00536FB2"/>
    <w:rsid w:val="0054112F"/>
    <w:rsid w:val="00542DA6"/>
    <w:rsid w:val="005437AD"/>
    <w:rsid w:val="00545473"/>
    <w:rsid w:val="00554FDA"/>
    <w:rsid w:val="0056388E"/>
    <w:rsid w:val="00567093"/>
    <w:rsid w:val="0057201E"/>
    <w:rsid w:val="00577F9A"/>
    <w:rsid w:val="00581100"/>
    <w:rsid w:val="005820AB"/>
    <w:rsid w:val="00582504"/>
    <w:rsid w:val="005931E0"/>
    <w:rsid w:val="00594EA9"/>
    <w:rsid w:val="005B0BFA"/>
    <w:rsid w:val="005B53F2"/>
    <w:rsid w:val="005C358A"/>
    <w:rsid w:val="005C784C"/>
    <w:rsid w:val="005D17F6"/>
    <w:rsid w:val="005D7FEA"/>
    <w:rsid w:val="005E5539"/>
    <w:rsid w:val="005E694D"/>
    <w:rsid w:val="005F2370"/>
    <w:rsid w:val="005F57BE"/>
    <w:rsid w:val="00602BF5"/>
    <w:rsid w:val="00606DAC"/>
    <w:rsid w:val="0061464C"/>
    <w:rsid w:val="00617FDD"/>
    <w:rsid w:val="006326E5"/>
    <w:rsid w:val="00633614"/>
    <w:rsid w:val="00633F68"/>
    <w:rsid w:val="00635A61"/>
    <w:rsid w:val="00636EB2"/>
    <w:rsid w:val="006375B8"/>
    <w:rsid w:val="00656899"/>
    <w:rsid w:val="00662780"/>
    <w:rsid w:val="0066510A"/>
    <w:rsid w:val="00673F9F"/>
    <w:rsid w:val="00686953"/>
    <w:rsid w:val="00687DEA"/>
    <w:rsid w:val="00687E67"/>
    <w:rsid w:val="006967F7"/>
    <w:rsid w:val="006A250C"/>
    <w:rsid w:val="006A2FE4"/>
    <w:rsid w:val="006A68D3"/>
    <w:rsid w:val="006B0D88"/>
    <w:rsid w:val="006B21D3"/>
    <w:rsid w:val="006B57D0"/>
    <w:rsid w:val="006B7AB9"/>
    <w:rsid w:val="006C2DEA"/>
    <w:rsid w:val="006D30FF"/>
    <w:rsid w:val="006D6940"/>
    <w:rsid w:val="006E6005"/>
    <w:rsid w:val="006F11EC"/>
    <w:rsid w:val="0070082C"/>
    <w:rsid w:val="00700E30"/>
    <w:rsid w:val="007032D9"/>
    <w:rsid w:val="007138E7"/>
    <w:rsid w:val="00727181"/>
    <w:rsid w:val="0073175A"/>
    <w:rsid w:val="007369E6"/>
    <w:rsid w:val="00740F20"/>
    <w:rsid w:val="00743924"/>
    <w:rsid w:val="00746E59"/>
    <w:rsid w:val="007525B3"/>
    <w:rsid w:val="00754C9A"/>
    <w:rsid w:val="0075599A"/>
    <w:rsid w:val="00761D52"/>
    <w:rsid w:val="0076632F"/>
    <w:rsid w:val="007679D6"/>
    <w:rsid w:val="00770022"/>
    <w:rsid w:val="0077749E"/>
    <w:rsid w:val="0077793A"/>
    <w:rsid w:val="00790ADA"/>
    <w:rsid w:val="007A14A2"/>
    <w:rsid w:val="007A4FC4"/>
    <w:rsid w:val="007A65CC"/>
    <w:rsid w:val="007B39DF"/>
    <w:rsid w:val="007B791D"/>
    <w:rsid w:val="007C2651"/>
    <w:rsid w:val="007C717B"/>
    <w:rsid w:val="007D1AEC"/>
    <w:rsid w:val="007D2288"/>
    <w:rsid w:val="007E088F"/>
    <w:rsid w:val="007E65DC"/>
    <w:rsid w:val="007F7B32"/>
    <w:rsid w:val="00804BC2"/>
    <w:rsid w:val="00806B52"/>
    <w:rsid w:val="00811F41"/>
    <w:rsid w:val="0081431A"/>
    <w:rsid w:val="008145BE"/>
    <w:rsid w:val="00823F19"/>
    <w:rsid w:val="00831491"/>
    <w:rsid w:val="00831594"/>
    <w:rsid w:val="0083216F"/>
    <w:rsid w:val="00837A86"/>
    <w:rsid w:val="00837B77"/>
    <w:rsid w:val="00843E26"/>
    <w:rsid w:val="00850E91"/>
    <w:rsid w:val="00852374"/>
    <w:rsid w:val="00853155"/>
    <w:rsid w:val="00853A14"/>
    <w:rsid w:val="00860000"/>
    <w:rsid w:val="008617DC"/>
    <w:rsid w:val="00863400"/>
    <w:rsid w:val="00863BD3"/>
    <w:rsid w:val="008641ED"/>
    <w:rsid w:val="00866D66"/>
    <w:rsid w:val="008671C6"/>
    <w:rsid w:val="008741C9"/>
    <w:rsid w:val="00875803"/>
    <w:rsid w:val="00882C37"/>
    <w:rsid w:val="008942F3"/>
    <w:rsid w:val="008944F0"/>
    <w:rsid w:val="00895232"/>
    <w:rsid w:val="00896158"/>
    <w:rsid w:val="008B459E"/>
    <w:rsid w:val="008D6090"/>
    <w:rsid w:val="008E13AE"/>
    <w:rsid w:val="008E1506"/>
    <w:rsid w:val="008E710C"/>
    <w:rsid w:val="008F0B5C"/>
    <w:rsid w:val="008F3F9A"/>
    <w:rsid w:val="008F6662"/>
    <w:rsid w:val="008F69D6"/>
    <w:rsid w:val="008F7AF9"/>
    <w:rsid w:val="00902823"/>
    <w:rsid w:val="00915CA6"/>
    <w:rsid w:val="00923167"/>
    <w:rsid w:val="00927834"/>
    <w:rsid w:val="00937AA8"/>
    <w:rsid w:val="00942EAE"/>
    <w:rsid w:val="009500A6"/>
    <w:rsid w:val="00957C18"/>
    <w:rsid w:val="009659BA"/>
    <w:rsid w:val="00976363"/>
    <w:rsid w:val="00983040"/>
    <w:rsid w:val="009A1BD7"/>
    <w:rsid w:val="009A24D5"/>
    <w:rsid w:val="009A39A7"/>
    <w:rsid w:val="009B1A36"/>
    <w:rsid w:val="009B3FB9"/>
    <w:rsid w:val="009C2465"/>
    <w:rsid w:val="009C3D57"/>
    <w:rsid w:val="009C5B48"/>
    <w:rsid w:val="009D2218"/>
    <w:rsid w:val="009D35A0"/>
    <w:rsid w:val="009D7EB7"/>
    <w:rsid w:val="009E048A"/>
    <w:rsid w:val="009E08E9"/>
    <w:rsid w:val="009E3DB9"/>
    <w:rsid w:val="009E6E35"/>
    <w:rsid w:val="009F0340"/>
    <w:rsid w:val="009F0EDA"/>
    <w:rsid w:val="009F4B4F"/>
    <w:rsid w:val="00A03B96"/>
    <w:rsid w:val="00A05ADD"/>
    <w:rsid w:val="00A05B19"/>
    <w:rsid w:val="00A1134E"/>
    <w:rsid w:val="00A11746"/>
    <w:rsid w:val="00A21818"/>
    <w:rsid w:val="00A24E7E"/>
    <w:rsid w:val="00A258C3"/>
    <w:rsid w:val="00A347C0"/>
    <w:rsid w:val="00A4568B"/>
    <w:rsid w:val="00A51431"/>
    <w:rsid w:val="00A539AD"/>
    <w:rsid w:val="00A70505"/>
    <w:rsid w:val="00A94063"/>
    <w:rsid w:val="00AA6219"/>
    <w:rsid w:val="00AA74E0"/>
    <w:rsid w:val="00AB0F96"/>
    <w:rsid w:val="00AB703F"/>
    <w:rsid w:val="00AC398D"/>
    <w:rsid w:val="00AC6BB8"/>
    <w:rsid w:val="00AD3FC9"/>
    <w:rsid w:val="00AE008F"/>
    <w:rsid w:val="00AE22DC"/>
    <w:rsid w:val="00AF08B4"/>
    <w:rsid w:val="00AF2E21"/>
    <w:rsid w:val="00B01FCD"/>
    <w:rsid w:val="00B1776C"/>
    <w:rsid w:val="00B47D45"/>
    <w:rsid w:val="00B52583"/>
    <w:rsid w:val="00B52896"/>
    <w:rsid w:val="00B6400E"/>
    <w:rsid w:val="00B7467A"/>
    <w:rsid w:val="00B81E81"/>
    <w:rsid w:val="00B9207B"/>
    <w:rsid w:val="00B95236"/>
    <w:rsid w:val="00B96BD9"/>
    <w:rsid w:val="00BA1573"/>
    <w:rsid w:val="00BA1B01"/>
    <w:rsid w:val="00BA2641"/>
    <w:rsid w:val="00BB37AA"/>
    <w:rsid w:val="00BB3CA8"/>
    <w:rsid w:val="00BC53A0"/>
    <w:rsid w:val="00BC5943"/>
    <w:rsid w:val="00BD31D3"/>
    <w:rsid w:val="00BE337A"/>
    <w:rsid w:val="00BE62AD"/>
    <w:rsid w:val="00BF121F"/>
    <w:rsid w:val="00BF1F80"/>
    <w:rsid w:val="00BF38B6"/>
    <w:rsid w:val="00BF5640"/>
    <w:rsid w:val="00C01465"/>
    <w:rsid w:val="00C1233D"/>
    <w:rsid w:val="00C166EF"/>
    <w:rsid w:val="00C17EB0"/>
    <w:rsid w:val="00C27F5F"/>
    <w:rsid w:val="00C30A0F"/>
    <w:rsid w:val="00C37E61"/>
    <w:rsid w:val="00C4231F"/>
    <w:rsid w:val="00C4667C"/>
    <w:rsid w:val="00C5399E"/>
    <w:rsid w:val="00C70F1B"/>
    <w:rsid w:val="00C71A47"/>
    <w:rsid w:val="00C7464C"/>
    <w:rsid w:val="00C853A1"/>
    <w:rsid w:val="00C85588"/>
    <w:rsid w:val="00C86F26"/>
    <w:rsid w:val="00C90A7F"/>
    <w:rsid w:val="00CA6822"/>
    <w:rsid w:val="00CD5DD2"/>
    <w:rsid w:val="00CD6755"/>
    <w:rsid w:val="00CD6856"/>
    <w:rsid w:val="00CE0089"/>
    <w:rsid w:val="00CE238E"/>
    <w:rsid w:val="00CE793C"/>
    <w:rsid w:val="00CF1365"/>
    <w:rsid w:val="00CF14E0"/>
    <w:rsid w:val="00CF193C"/>
    <w:rsid w:val="00CF7E17"/>
    <w:rsid w:val="00D0435B"/>
    <w:rsid w:val="00D173F1"/>
    <w:rsid w:val="00D221CE"/>
    <w:rsid w:val="00D34397"/>
    <w:rsid w:val="00D348F5"/>
    <w:rsid w:val="00D37A85"/>
    <w:rsid w:val="00D429C9"/>
    <w:rsid w:val="00D53B3D"/>
    <w:rsid w:val="00D54C97"/>
    <w:rsid w:val="00D618FB"/>
    <w:rsid w:val="00D65D16"/>
    <w:rsid w:val="00D74CB0"/>
    <w:rsid w:val="00D74E90"/>
    <w:rsid w:val="00D76680"/>
    <w:rsid w:val="00D8295D"/>
    <w:rsid w:val="00D974F9"/>
    <w:rsid w:val="00DA506C"/>
    <w:rsid w:val="00DB2E58"/>
    <w:rsid w:val="00DC2A65"/>
    <w:rsid w:val="00DD1196"/>
    <w:rsid w:val="00DD6BBD"/>
    <w:rsid w:val="00DE15F0"/>
    <w:rsid w:val="00DE5663"/>
    <w:rsid w:val="00DE78AA"/>
    <w:rsid w:val="00E01546"/>
    <w:rsid w:val="00E053D0"/>
    <w:rsid w:val="00E053D3"/>
    <w:rsid w:val="00E06932"/>
    <w:rsid w:val="00E12F94"/>
    <w:rsid w:val="00E15994"/>
    <w:rsid w:val="00E3114E"/>
    <w:rsid w:val="00E31A70"/>
    <w:rsid w:val="00E35A7B"/>
    <w:rsid w:val="00E35B02"/>
    <w:rsid w:val="00E37655"/>
    <w:rsid w:val="00E66496"/>
    <w:rsid w:val="00E66B35"/>
    <w:rsid w:val="00E66E10"/>
    <w:rsid w:val="00E67CF7"/>
    <w:rsid w:val="00E769F6"/>
    <w:rsid w:val="00E8407C"/>
    <w:rsid w:val="00E847A2"/>
    <w:rsid w:val="00E84F3C"/>
    <w:rsid w:val="00E9732D"/>
    <w:rsid w:val="00EA012C"/>
    <w:rsid w:val="00EC2A50"/>
    <w:rsid w:val="00EC6A55"/>
    <w:rsid w:val="00ED0288"/>
    <w:rsid w:val="00ED0636"/>
    <w:rsid w:val="00EE52CB"/>
    <w:rsid w:val="00EE6489"/>
    <w:rsid w:val="00EF581D"/>
    <w:rsid w:val="00EF7FD8"/>
    <w:rsid w:val="00F06F59"/>
    <w:rsid w:val="00F115C7"/>
    <w:rsid w:val="00F142A7"/>
    <w:rsid w:val="00F17988"/>
    <w:rsid w:val="00F261C3"/>
    <w:rsid w:val="00F32C15"/>
    <w:rsid w:val="00F43312"/>
    <w:rsid w:val="00F46497"/>
    <w:rsid w:val="00F469F0"/>
    <w:rsid w:val="00F53273"/>
    <w:rsid w:val="00F65A01"/>
    <w:rsid w:val="00F752FC"/>
    <w:rsid w:val="00F755E4"/>
    <w:rsid w:val="00F77D02"/>
    <w:rsid w:val="00F86B7F"/>
    <w:rsid w:val="00F9100E"/>
    <w:rsid w:val="00F94001"/>
    <w:rsid w:val="00FA1FE0"/>
    <w:rsid w:val="00FB3A86"/>
    <w:rsid w:val="00FB4E82"/>
    <w:rsid w:val="00FB6C73"/>
    <w:rsid w:val="00FC4452"/>
    <w:rsid w:val="00FD36C8"/>
    <w:rsid w:val="00FD3EFC"/>
    <w:rsid w:val="00FD7518"/>
    <w:rsid w:val="00FE5278"/>
    <w:rsid w:val="00FE5FC2"/>
    <w:rsid w:val="00FE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40899661-507C-4A21-996C-DDAFA814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CB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2F41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B9"/>
    <w:pPr>
      <w:ind w:left="720"/>
      <w:contextualSpacing/>
    </w:pPr>
  </w:style>
  <w:style w:type="table" w:customStyle="1" w:styleId="TableGrid2">
    <w:name w:val="Table Grid2"/>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57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57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944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944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8FB"/>
    <w:rPr>
      <w:rFonts w:ascii="Helvetica" w:hAnsi="Helvetica"/>
    </w:rPr>
  </w:style>
  <w:style w:type="paragraph" w:styleId="NormalWeb">
    <w:name w:val="Normal (Web)"/>
    <w:basedOn w:val="Normal"/>
    <w:semiHidden/>
    <w:unhideWhenUsed/>
    <w:rsid w:val="00F65A01"/>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9A39A7"/>
    <w:rPr>
      <w:color w:val="605E5C"/>
      <w:shd w:val="clear" w:color="auto" w:fill="E1DFDD"/>
    </w:rPr>
  </w:style>
  <w:style w:type="paragraph" w:styleId="NoSpacing">
    <w:name w:val="No Spacing"/>
    <w:uiPriority w:val="1"/>
    <w:qFormat/>
    <w:rsid w:val="00D0435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9087182">
      <w:bodyDiv w:val="1"/>
      <w:marLeft w:val="0"/>
      <w:marRight w:val="0"/>
      <w:marTop w:val="0"/>
      <w:marBottom w:val="0"/>
      <w:divBdr>
        <w:top w:val="none" w:sz="0" w:space="0" w:color="auto"/>
        <w:left w:val="none" w:sz="0" w:space="0" w:color="auto"/>
        <w:bottom w:val="none" w:sz="0" w:space="0" w:color="auto"/>
        <w:right w:val="none" w:sz="0" w:space="0" w:color="auto"/>
      </w:divBdr>
    </w:div>
    <w:div w:id="24646828">
      <w:bodyDiv w:val="1"/>
      <w:marLeft w:val="0"/>
      <w:marRight w:val="0"/>
      <w:marTop w:val="0"/>
      <w:marBottom w:val="0"/>
      <w:divBdr>
        <w:top w:val="none" w:sz="0" w:space="0" w:color="auto"/>
        <w:left w:val="none" w:sz="0" w:space="0" w:color="auto"/>
        <w:bottom w:val="none" w:sz="0" w:space="0" w:color="auto"/>
        <w:right w:val="none" w:sz="0" w:space="0" w:color="auto"/>
      </w:divBdr>
    </w:div>
    <w:div w:id="12636174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0644480">
      <w:bodyDiv w:val="1"/>
      <w:marLeft w:val="0"/>
      <w:marRight w:val="0"/>
      <w:marTop w:val="0"/>
      <w:marBottom w:val="0"/>
      <w:divBdr>
        <w:top w:val="none" w:sz="0" w:space="0" w:color="auto"/>
        <w:left w:val="none" w:sz="0" w:space="0" w:color="auto"/>
        <w:bottom w:val="none" w:sz="0" w:space="0" w:color="auto"/>
        <w:right w:val="none" w:sz="0" w:space="0" w:color="auto"/>
      </w:divBdr>
    </w:div>
    <w:div w:id="4978882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9895011">
      <w:bodyDiv w:val="1"/>
      <w:marLeft w:val="0"/>
      <w:marRight w:val="0"/>
      <w:marTop w:val="0"/>
      <w:marBottom w:val="0"/>
      <w:divBdr>
        <w:top w:val="none" w:sz="0" w:space="0" w:color="auto"/>
        <w:left w:val="none" w:sz="0" w:space="0" w:color="auto"/>
        <w:bottom w:val="none" w:sz="0" w:space="0" w:color="auto"/>
        <w:right w:val="none" w:sz="0" w:space="0" w:color="auto"/>
      </w:divBdr>
    </w:div>
    <w:div w:id="733086115">
      <w:bodyDiv w:val="1"/>
      <w:marLeft w:val="0"/>
      <w:marRight w:val="0"/>
      <w:marTop w:val="0"/>
      <w:marBottom w:val="0"/>
      <w:divBdr>
        <w:top w:val="none" w:sz="0" w:space="0" w:color="auto"/>
        <w:left w:val="none" w:sz="0" w:space="0" w:color="auto"/>
        <w:bottom w:val="none" w:sz="0" w:space="0" w:color="auto"/>
        <w:right w:val="none" w:sz="0" w:space="0" w:color="auto"/>
      </w:divBdr>
    </w:div>
    <w:div w:id="8672586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35644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5239065">
      <w:bodyDiv w:val="1"/>
      <w:marLeft w:val="0"/>
      <w:marRight w:val="0"/>
      <w:marTop w:val="0"/>
      <w:marBottom w:val="0"/>
      <w:divBdr>
        <w:top w:val="none" w:sz="0" w:space="0" w:color="auto"/>
        <w:left w:val="none" w:sz="0" w:space="0" w:color="auto"/>
        <w:bottom w:val="none" w:sz="0" w:space="0" w:color="auto"/>
        <w:right w:val="none" w:sz="0" w:space="0" w:color="auto"/>
      </w:divBdr>
    </w:div>
    <w:div w:id="16668549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352698">
      <w:bodyDiv w:val="1"/>
      <w:marLeft w:val="0"/>
      <w:marRight w:val="0"/>
      <w:marTop w:val="0"/>
      <w:marBottom w:val="0"/>
      <w:divBdr>
        <w:top w:val="none" w:sz="0" w:space="0" w:color="auto"/>
        <w:left w:val="none" w:sz="0" w:space="0" w:color="auto"/>
        <w:bottom w:val="none" w:sz="0" w:space="0" w:color="auto"/>
        <w:right w:val="none" w:sz="0" w:space="0" w:color="auto"/>
      </w:divBdr>
    </w:div>
    <w:div w:id="18625522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178223417752677" TargetMode="External"/><Relationship Id="rId26" Type="http://schemas.openxmlformats.org/officeDocument/2006/relationships/hyperlink" Target="https://doi.org/10.7759/cureus.27709" TargetMode="External"/><Relationship Id="rId3" Type="http://schemas.openxmlformats.org/officeDocument/2006/relationships/styles" Target="styles.xml"/><Relationship Id="rId21" Type="http://schemas.openxmlformats.org/officeDocument/2006/relationships/hyperlink" Target="https://doi.org/10.18231/j.achr.2020.0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clinm.2025.103104" TargetMode="External"/><Relationship Id="rId25" Type="http://schemas.openxmlformats.org/officeDocument/2006/relationships/hyperlink" Target="https://doi.org/10.1002/dc.10361" TargetMode="External"/><Relationship Id="rId2" Type="http://schemas.openxmlformats.org/officeDocument/2006/relationships/numbering" Target="numbering.xml"/><Relationship Id="rId16" Type="http://schemas.openxmlformats.org/officeDocument/2006/relationships/hyperlink" Target="https://doi.org/10.3760/cma.j.cn112152-20240416-00152" TargetMode="External"/><Relationship Id="rId20" Type="http://schemas.openxmlformats.org/officeDocument/2006/relationships/hyperlink" Target="https://doi.org/10.18231/2456-9267.2019.001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95/ijms.2014.7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22/caac.21834" TargetMode="External"/><Relationship Id="rId23" Type="http://schemas.openxmlformats.org/officeDocument/2006/relationships/hyperlink" Target="https://doi.org/10.29054/apmc/2020.86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604/pamj.2023.44.171.377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7860/jcdr/2013/6507.3756"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Sheet1!$E$8</c:f>
              <c:strCache>
                <c:ptCount val="1"/>
                <c:pt idx="0">
                  <c:v>Frequency</c:v>
                </c:pt>
              </c:strCache>
            </c:strRef>
          </c:tx>
          <c:dPt>
            <c:idx val="0"/>
            <c:bubble3D val="0"/>
            <c:extLst>
              <c:ext xmlns:c16="http://schemas.microsoft.com/office/drawing/2014/chart" uri="{C3380CC4-5D6E-409C-BE32-E72D297353CC}">
                <c16:uniqueId val="{00000000-3418-4EFB-84AB-51996287B8A1}"/>
              </c:ext>
            </c:extLst>
          </c:dPt>
          <c:dLbls>
            <c:dLbl>
              <c:idx val="0"/>
              <c:tx>
                <c:rich>
                  <a:bodyPr/>
                  <a:lstStyle/>
                  <a:p>
                    <a:r>
                      <a:rPr lang="en-US" sz="1000">
                        <a:latin typeface="Arial" pitchFamily="34" charset="0"/>
                        <a:cs typeface="Arial" pitchFamily="34" charset="0"/>
                      </a:rPr>
                      <a:t>BENIGN
(165) 89.2%</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418-4EFB-84AB-51996287B8A1}"/>
                </c:ext>
              </c:extLst>
            </c:dLbl>
            <c:dLbl>
              <c:idx val="1"/>
              <c:layout>
                <c:manualLayout>
                  <c:x val="-9.732710967947189E-2"/>
                  <c:y val="0.12082421988918052"/>
                </c:manualLayout>
              </c:layout>
              <c:tx>
                <c:rich>
                  <a:bodyPr/>
                  <a:lstStyle/>
                  <a:p>
                    <a:r>
                      <a:rPr lang="en-US" sz="1000">
                        <a:latin typeface="Arial" pitchFamily="34" charset="0"/>
                        <a:cs typeface="Arial" pitchFamily="34" charset="0"/>
                      </a:rPr>
                      <a:t>ATYPICAL
(2) 1.1%</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18-4EFB-84AB-51996287B8A1}"/>
                </c:ext>
              </c:extLst>
            </c:dLbl>
            <c:dLbl>
              <c:idx val="2"/>
              <c:tx>
                <c:rich>
                  <a:bodyPr/>
                  <a:lstStyle/>
                  <a:p>
                    <a:r>
                      <a:rPr lang="en-US" sz="1000">
                        <a:latin typeface="Arial" pitchFamily="34" charset="0"/>
                        <a:cs typeface="Arial" pitchFamily="34" charset="0"/>
                      </a:rPr>
                      <a:t>SUSPICIOUS
(14) 7.5%</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418-4EFB-84AB-51996287B8A1}"/>
                </c:ext>
              </c:extLst>
            </c:dLbl>
            <c:dLbl>
              <c:idx val="3"/>
              <c:tx>
                <c:rich>
                  <a:bodyPr/>
                  <a:lstStyle/>
                  <a:p>
                    <a:r>
                      <a:rPr lang="en-US" sz="1000">
                        <a:latin typeface="Arial" pitchFamily="34" charset="0"/>
                        <a:cs typeface="Arial" pitchFamily="34" charset="0"/>
                      </a:rPr>
                      <a:t>MALIGNANT
(4) 2.2%</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18-4EFB-84AB-51996287B8A1}"/>
                </c:ext>
              </c:extLst>
            </c:dLbl>
            <c:dLbl>
              <c:idx val="4"/>
              <c:delete val="1"/>
              <c:extLst>
                <c:ext xmlns:c15="http://schemas.microsoft.com/office/drawing/2012/chart" uri="{CE6537A1-D6FC-4f65-9D91-7224C49458BB}"/>
                <c:ext xmlns:c16="http://schemas.microsoft.com/office/drawing/2014/chart" uri="{C3380CC4-5D6E-409C-BE32-E72D297353CC}">
                  <c16:uniqueId val="{00000004-3418-4EFB-84AB-51996287B8A1}"/>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Sheet1!$E$9:$E$13</c:f>
              <c:numCache>
                <c:formatCode>General</c:formatCode>
                <c:ptCount val="5"/>
                <c:pt idx="0">
                  <c:v>165</c:v>
                </c:pt>
                <c:pt idx="1">
                  <c:v>2</c:v>
                </c:pt>
                <c:pt idx="2">
                  <c:v>14</c:v>
                </c:pt>
                <c:pt idx="3">
                  <c:v>4</c:v>
                </c:pt>
                <c:pt idx="4">
                  <c:v>0</c:v>
                </c:pt>
              </c:numCache>
            </c:numRef>
          </c:val>
          <c:extLst>
            <c:ext xmlns:c16="http://schemas.microsoft.com/office/drawing/2014/chart" uri="{C3380CC4-5D6E-409C-BE32-E72D297353CC}">
              <c16:uniqueId val="{00000005-3418-4EFB-84AB-51996287B8A1}"/>
            </c:ext>
          </c:extLst>
        </c:ser>
        <c:ser>
          <c:idx val="1"/>
          <c:order val="1"/>
          <c:tx>
            <c:strRef>
              <c:f>Sheet1!$F$8</c:f>
              <c:strCache>
                <c:ptCount val="1"/>
                <c:pt idx="0">
                  <c:v>Percent</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Sheet1!$F$9:$F$13</c:f>
              <c:numCache>
                <c:formatCode>General</c:formatCode>
                <c:ptCount val="5"/>
                <c:pt idx="0">
                  <c:v>89.2</c:v>
                </c:pt>
                <c:pt idx="1">
                  <c:v>1.1000000000000001</c:v>
                </c:pt>
                <c:pt idx="2">
                  <c:v>7.6</c:v>
                </c:pt>
                <c:pt idx="3">
                  <c:v>2.2000000000000002</c:v>
                </c:pt>
              </c:numCache>
            </c:numRef>
          </c:val>
          <c:extLst>
            <c:ext xmlns:c16="http://schemas.microsoft.com/office/drawing/2014/chart" uri="{C3380CC4-5D6E-409C-BE32-E72D297353CC}">
              <c16:uniqueId val="{00000006-3418-4EFB-84AB-51996287B8A1}"/>
            </c:ext>
          </c:extLst>
        </c:ser>
        <c:ser>
          <c:idx val="2"/>
          <c:order val="2"/>
          <c:tx>
            <c:strRef>
              <c:f>Sheet1!$G$8</c:f>
              <c:strCache>
                <c:ptCount val="1"/>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Sheet1!$G$9:$G$13</c:f>
              <c:numCache>
                <c:formatCode>General</c:formatCode>
                <c:ptCount val="5"/>
                <c:pt idx="4">
                  <c:v>0</c:v>
                </c:pt>
              </c:numCache>
            </c:numRef>
          </c:val>
          <c:extLst>
            <c:ext xmlns:c16="http://schemas.microsoft.com/office/drawing/2014/chart" uri="{C3380CC4-5D6E-409C-BE32-E72D297353CC}">
              <c16:uniqueId val="{00000007-3418-4EFB-84AB-51996287B8A1}"/>
            </c:ext>
          </c:extLst>
        </c:ser>
        <c:ser>
          <c:idx val="3"/>
          <c:order val="3"/>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Sheet1!$D$7</c:f>
              <c:numCache>
                <c:formatCode>General</c:formatCode>
                <c:ptCount val="1"/>
              </c:numCache>
            </c:numRef>
          </c:val>
          <c:extLst>
            <c:ext xmlns:c16="http://schemas.microsoft.com/office/drawing/2014/chart" uri="{C3380CC4-5D6E-409C-BE32-E72D297353CC}">
              <c16:uniqueId val="{00000008-3418-4EFB-84AB-51996287B8A1}"/>
            </c:ext>
          </c:extLst>
        </c:ser>
        <c:ser>
          <c:idx val="4"/>
          <c:order val="4"/>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Sheet1!$E$7</c:f>
              <c:numCache>
                <c:formatCode>General</c:formatCode>
                <c:ptCount val="1"/>
              </c:numCache>
            </c:numRef>
          </c:val>
          <c:extLst>
            <c:ext xmlns:c16="http://schemas.microsoft.com/office/drawing/2014/chart" uri="{C3380CC4-5D6E-409C-BE32-E72D297353CC}">
              <c16:uniqueId val="{00000009-3418-4EFB-84AB-51996287B8A1}"/>
            </c:ext>
          </c:extLst>
        </c:ser>
        <c:ser>
          <c:idx val="5"/>
          <c:order val="5"/>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Sheet1!$F$7</c:f>
              <c:numCache>
                <c:formatCode>General</c:formatCode>
                <c:ptCount val="1"/>
              </c:numCache>
            </c:numRef>
          </c:val>
          <c:extLst>
            <c:ext xmlns:c16="http://schemas.microsoft.com/office/drawing/2014/chart" uri="{C3380CC4-5D6E-409C-BE32-E72D297353CC}">
              <c16:uniqueId val="{0000000A-3418-4EFB-84AB-51996287B8A1}"/>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sz="10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C8C6-15A6-4354-A7B7-A5845339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1902</TotalTime>
  <Pages>11</Pages>
  <Words>5093</Words>
  <Characters>29033</Characters>
  <Application>Microsoft Office Word</Application>
  <DocSecurity>0</DocSecurity>
  <Lines>241</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Disclaimer (Artificial intelligence)</vt:lpstr>
      <vt:lpstr>    Author(s) hereby declare that NO generative AI technologies such as Large Langua</vt:lpstr>
    </vt:vector>
  </TitlesOfParts>
  <Company>aaaa</Company>
  <LinksUpToDate>false</LinksUpToDate>
  <CharactersWithSpaces>34058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48</cp:revision>
  <cp:lastPrinted>1999-07-06T11:00:00Z</cp:lastPrinted>
  <dcterms:created xsi:type="dcterms:W3CDTF">2026-01-28T07:04:00Z</dcterms:created>
  <dcterms:modified xsi:type="dcterms:W3CDTF">2026-02-14T08:21:00Z</dcterms:modified>
</cp:coreProperties>
</file>