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47D4A" w14:textId="164F315D" w:rsidR="00BB0104" w:rsidRDefault="0046453E" w:rsidP="0046453E">
      <w:pPr>
        <w:spacing w:line="360" w:lineRule="auto"/>
        <w:jc w:val="both"/>
        <w:rPr>
          <w:rFonts w:ascii="Times New Roman" w:hAnsi="Times New Roman" w:cs="Times New Roman"/>
          <w:sz w:val="24"/>
          <w:szCs w:val="24"/>
        </w:rPr>
      </w:pPr>
      <w:r w:rsidRPr="00FE5733">
        <w:rPr>
          <w:rFonts w:ascii="Times New Roman" w:hAnsi="Times New Roman" w:cs="Times New Roman"/>
          <w:b/>
          <w:bCs/>
          <w:sz w:val="28"/>
          <w:szCs w:val="28"/>
          <w:highlight w:val="yellow"/>
        </w:rPr>
        <w:t xml:space="preserve">Prevalence of Pulmonary Tuberculosis Among Presumptive Cases in North-Central Nigeria: </w:t>
      </w:r>
      <w:proofErr w:type="gramStart"/>
      <w:r w:rsidRPr="00FE5733">
        <w:rPr>
          <w:rFonts w:ascii="Times New Roman" w:hAnsi="Times New Roman" w:cs="Times New Roman"/>
          <w:b/>
          <w:bCs/>
          <w:sz w:val="28"/>
          <w:szCs w:val="28"/>
          <w:highlight w:val="yellow"/>
        </w:rPr>
        <w:t>a</w:t>
      </w:r>
      <w:proofErr w:type="gramEnd"/>
      <w:r w:rsidRPr="00FE5733">
        <w:rPr>
          <w:rFonts w:ascii="Times New Roman" w:hAnsi="Times New Roman" w:cs="Times New Roman"/>
          <w:b/>
          <w:bCs/>
          <w:sz w:val="28"/>
          <w:szCs w:val="28"/>
          <w:highlight w:val="yellow"/>
        </w:rPr>
        <w:t xml:space="preserve"> </w:t>
      </w:r>
      <w:r w:rsidR="00E805E0" w:rsidRPr="00FE5733">
        <w:rPr>
          <w:rFonts w:ascii="Times New Roman" w:hAnsi="Times New Roman" w:cs="Times New Roman"/>
          <w:b/>
          <w:bCs/>
          <w:sz w:val="28"/>
          <w:szCs w:val="28"/>
          <w:highlight w:val="yellow"/>
        </w:rPr>
        <w:t>M</w:t>
      </w:r>
      <w:r w:rsidRPr="00FE5733">
        <w:rPr>
          <w:rFonts w:ascii="Times New Roman" w:hAnsi="Times New Roman" w:cs="Times New Roman"/>
          <w:b/>
          <w:bCs/>
          <w:sz w:val="28"/>
          <w:szCs w:val="28"/>
          <w:highlight w:val="yellow"/>
        </w:rPr>
        <w:t>ulti-</w:t>
      </w:r>
      <w:r w:rsidR="00C11ED1" w:rsidRPr="00FE5733">
        <w:rPr>
          <w:rFonts w:ascii="Times New Roman" w:hAnsi="Times New Roman" w:cs="Times New Roman"/>
          <w:b/>
          <w:bCs/>
          <w:sz w:val="28"/>
          <w:szCs w:val="28"/>
          <w:highlight w:val="yellow"/>
        </w:rPr>
        <w:t>F</w:t>
      </w:r>
      <w:r w:rsidRPr="00FE5733">
        <w:rPr>
          <w:rFonts w:ascii="Times New Roman" w:hAnsi="Times New Roman" w:cs="Times New Roman"/>
          <w:b/>
          <w:bCs/>
          <w:sz w:val="28"/>
          <w:szCs w:val="28"/>
          <w:highlight w:val="yellow"/>
        </w:rPr>
        <w:t xml:space="preserve">acility </w:t>
      </w:r>
      <w:r w:rsidR="00C11ED1" w:rsidRPr="00FE5733">
        <w:rPr>
          <w:rFonts w:ascii="Times New Roman" w:hAnsi="Times New Roman" w:cs="Times New Roman"/>
          <w:b/>
          <w:bCs/>
          <w:sz w:val="28"/>
          <w:szCs w:val="28"/>
          <w:highlight w:val="yellow"/>
        </w:rPr>
        <w:t>B</w:t>
      </w:r>
      <w:r w:rsidRPr="00FE5733">
        <w:rPr>
          <w:rFonts w:ascii="Times New Roman" w:hAnsi="Times New Roman" w:cs="Times New Roman"/>
          <w:b/>
          <w:bCs/>
          <w:sz w:val="28"/>
          <w:szCs w:val="28"/>
          <w:highlight w:val="yellow"/>
        </w:rPr>
        <w:t xml:space="preserve">ased </w:t>
      </w:r>
      <w:r w:rsidR="0032381D" w:rsidRPr="00FE5733">
        <w:rPr>
          <w:rFonts w:ascii="Times New Roman" w:hAnsi="Times New Roman" w:cs="Times New Roman"/>
          <w:b/>
          <w:bCs/>
          <w:sz w:val="28"/>
          <w:szCs w:val="28"/>
          <w:highlight w:val="yellow"/>
        </w:rPr>
        <w:t>Cross-Sectional</w:t>
      </w:r>
      <w:r w:rsidRPr="00FE5733">
        <w:rPr>
          <w:rFonts w:ascii="Times New Roman" w:hAnsi="Times New Roman" w:cs="Times New Roman"/>
          <w:b/>
          <w:bCs/>
          <w:sz w:val="28"/>
          <w:szCs w:val="28"/>
          <w:highlight w:val="yellow"/>
        </w:rPr>
        <w:t xml:space="preserve"> </w:t>
      </w:r>
      <w:r w:rsidR="00C11ED1" w:rsidRPr="00FE5733">
        <w:rPr>
          <w:rFonts w:ascii="Times New Roman" w:hAnsi="Times New Roman" w:cs="Times New Roman"/>
          <w:b/>
          <w:bCs/>
          <w:sz w:val="28"/>
          <w:szCs w:val="28"/>
          <w:highlight w:val="yellow"/>
        </w:rPr>
        <w:t>S</w:t>
      </w:r>
      <w:r w:rsidRPr="00FE5733">
        <w:rPr>
          <w:rFonts w:ascii="Times New Roman" w:hAnsi="Times New Roman" w:cs="Times New Roman"/>
          <w:b/>
          <w:bCs/>
          <w:sz w:val="28"/>
          <w:szCs w:val="28"/>
          <w:highlight w:val="yellow"/>
        </w:rPr>
        <w:t>tudy</w:t>
      </w:r>
      <w:r w:rsidRPr="0046453E">
        <w:rPr>
          <w:rFonts w:ascii="Times New Roman" w:hAnsi="Times New Roman" w:cs="Times New Roman"/>
          <w:b/>
          <w:bCs/>
          <w:sz w:val="28"/>
          <w:szCs w:val="28"/>
        </w:rPr>
        <w:t xml:space="preserve"> </w:t>
      </w:r>
    </w:p>
    <w:p w14:paraId="107CBF27" w14:textId="77777777" w:rsidR="001C3910" w:rsidRPr="002163EC" w:rsidRDefault="001C3910" w:rsidP="00FE2F0E">
      <w:pPr>
        <w:spacing w:line="360" w:lineRule="auto"/>
        <w:jc w:val="both"/>
        <w:rPr>
          <w:rFonts w:ascii="Times New Roman" w:hAnsi="Times New Roman" w:cs="Times New Roman"/>
          <w:b/>
          <w:bCs/>
          <w:sz w:val="24"/>
          <w:szCs w:val="24"/>
        </w:rPr>
      </w:pPr>
      <w:r w:rsidRPr="002163EC">
        <w:rPr>
          <w:rFonts w:ascii="Times New Roman" w:hAnsi="Times New Roman" w:cs="Times New Roman"/>
          <w:b/>
          <w:bCs/>
          <w:sz w:val="24"/>
          <w:szCs w:val="24"/>
        </w:rPr>
        <w:t>Abstract</w:t>
      </w:r>
    </w:p>
    <w:p w14:paraId="1CBE0008" w14:textId="701A55EC" w:rsidR="001C3910" w:rsidRPr="00180848" w:rsidRDefault="001C3910" w:rsidP="00FE2F0E">
      <w:pPr>
        <w:spacing w:line="360" w:lineRule="auto"/>
        <w:jc w:val="both"/>
        <w:rPr>
          <w:rFonts w:ascii="Times New Roman" w:hAnsi="Times New Roman" w:cs="Times New Roman"/>
          <w:color w:val="000000" w:themeColor="text1"/>
          <w:sz w:val="24"/>
          <w:szCs w:val="24"/>
          <w:lang w:val="en-US"/>
        </w:rPr>
      </w:pPr>
      <w:r w:rsidRPr="002163EC">
        <w:rPr>
          <w:rFonts w:ascii="Times New Roman" w:hAnsi="Times New Roman" w:cs="Times New Roman"/>
          <w:b/>
          <w:bCs/>
          <w:sz w:val="24"/>
          <w:szCs w:val="24"/>
        </w:rPr>
        <w:t xml:space="preserve">Background: </w:t>
      </w:r>
      <w:r w:rsidRPr="002163EC">
        <w:rPr>
          <w:rFonts w:ascii="Times New Roman" w:hAnsi="Times New Roman" w:cs="Times New Roman"/>
          <w:sz w:val="24"/>
          <w:szCs w:val="24"/>
        </w:rPr>
        <w:t>Tuberculosis</w:t>
      </w:r>
      <w:r w:rsidR="00E606C1">
        <w:rPr>
          <w:rFonts w:ascii="Times New Roman" w:hAnsi="Times New Roman" w:cs="Times New Roman"/>
          <w:sz w:val="24"/>
          <w:szCs w:val="24"/>
        </w:rPr>
        <w:t xml:space="preserve"> </w:t>
      </w:r>
      <w:r w:rsidR="00EE7BD7" w:rsidRPr="00180848">
        <w:rPr>
          <w:rFonts w:ascii="Times New Roman" w:hAnsi="Times New Roman" w:cs="Times New Roman"/>
          <w:color w:val="000000" w:themeColor="text1"/>
          <w:sz w:val="24"/>
          <w:szCs w:val="24"/>
        </w:rPr>
        <w:t>(TB) r</w:t>
      </w:r>
      <w:r w:rsidRPr="00180848">
        <w:rPr>
          <w:rFonts w:ascii="Times New Roman" w:hAnsi="Times New Roman" w:cs="Times New Roman"/>
          <w:color w:val="000000" w:themeColor="text1"/>
          <w:sz w:val="24"/>
          <w:szCs w:val="24"/>
        </w:rPr>
        <w:t>emains a major public health problem in Nigeria despite expanded diagnostic coverage. Understanding the epidemiological distribution of TB and associated factors is essential for strengthening control strategies.</w:t>
      </w:r>
      <w:r w:rsidR="00F43B97" w:rsidRPr="00180848">
        <w:rPr>
          <w:rFonts w:ascii="Times New Roman" w:hAnsi="Times New Roman" w:cs="Times New Roman"/>
          <w:color w:val="000000" w:themeColor="text1"/>
          <w:sz w:val="24"/>
          <w:szCs w:val="24"/>
        </w:rPr>
        <w:t xml:space="preserve"> </w:t>
      </w:r>
      <w:r w:rsidR="0096526A" w:rsidRPr="0096526A">
        <w:rPr>
          <w:rFonts w:ascii="Times New Roman" w:hAnsi="Times New Roman" w:cs="Times New Roman"/>
          <w:color w:val="000000" w:themeColor="text1"/>
          <w:sz w:val="24"/>
          <w:szCs w:val="24"/>
          <w:highlight w:val="yellow"/>
        </w:rPr>
        <w:t>Generating region-specific, facility-based prevalence data is critical for guiding targeted interventions and optimising resource allocation in high-burden settings.</w:t>
      </w:r>
      <w:r w:rsidR="0096526A">
        <w:rPr>
          <w:rFonts w:ascii="Times New Roman" w:hAnsi="Times New Roman" w:cs="Times New Roman"/>
          <w:color w:val="000000" w:themeColor="text1"/>
          <w:sz w:val="24"/>
          <w:szCs w:val="24"/>
        </w:rPr>
        <w:t xml:space="preserve"> </w:t>
      </w:r>
      <w:r w:rsidR="00876794" w:rsidRPr="00180848">
        <w:rPr>
          <w:rFonts w:ascii="Times New Roman" w:hAnsi="Times New Roman" w:cs="Times New Roman"/>
          <w:color w:val="000000" w:themeColor="text1"/>
          <w:sz w:val="24"/>
          <w:szCs w:val="24"/>
        </w:rPr>
        <w:t>This study aims</w:t>
      </w:r>
      <w:r w:rsidR="002A7FF5" w:rsidRPr="00180848">
        <w:rPr>
          <w:rFonts w:ascii="Times New Roman" w:hAnsi="Times New Roman" w:cs="Times New Roman"/>
          <w:color w:val="000000" w:themeColor="text1"/>
          <w:sz w:val="24"/>
          <w:szCs w:val="24"/>
        </w:rPr>
        <w:t xml:space="preserve"> to determine the </w:t>
      </w:r>
      <w:r w:rsidR="00D40ECC" w:rsidRPr="00180848">
        <w:rPr>
          <w:rFonts w:ascii="Times New Roman" w:hAnsi="Times New Roman" w:cs="Times New Roman"/>
          <w:color w:val="000000" w:themeColor="text1"/>
          <w:sz w:val="24"/>
          <w:szCs w:val="24"/>
        </w:rPr>
        <w:t>prevalence of pulmonary tuberculosis among presumptive cases</w:t>
      </w:r>
      <w:r w:rsidR="00D40ECC" w:rsidRPr="00180848">
        <w:rPr>
          <w:rFonts w:ascii="Times New Roman" w:hAnsi="Times New Roman" w:cs="Times New Roman"/>
          <w:color w:val="000000" w:themeColor="text1"/>
          <w:sz w:val="24"/>
          <w:szCs w:val="24"/>
          <w:lang w:val="en-US"/>
        </w:rPr>
        <w:t xml:space="preserve"> </w:t>
      </w:r>
      <w:r w:rsidR="00D40ECC" w:rsidRPr="00180848">
        <w:rPr>
          <w:rFonts w:ascii="Times New Roman" w:hAnsi="Times New Roman" w:cs="Times New Roman"/>
          <w:color w:val="000000" w:themeColor="text1"/>
          <w:sz w:val="24"/>
          <w:szCs w:val="24"/>
        </w:rPr>
        <w:t xml:space="preserve">in </w:t>
      </w:r>
      <w:r w:rsidR="004176BE">
        <w:rPr>
          <w:rFonts w:ascii="Times New Roman" w:hAnsi="Times New Roman" w:cs="Times New Roman"/>
          <w:color w:val="000000" w:themeColor="text1"/>
          <w:sz w:val="24"/>
          <w:szCs w:val="24"/>
        </w:rPr>
        <w:t>N</w:t>
      </w:r>
      <w:r w:rsidR="00D40ECC" w:rsidRPr="00180848">
        <w:rPr>
          <w:rFonts w:ascii="Times New Roman" w:hAnsi="Times New Roman" w:cs="Times New Roman"/>
          <w:color w:val="000000" w:themeColor="text1"/>
          <w:sz w:val="24"/>
          <w:szCs w:val="24"/>
        </w:rPr>
        <w:t>orth-central</w:t>
      </w:r>
      <w:r w:rsidR="00F43B97" w:rsidRPr="00180848">
        <w:rPr>
          <w:rFonts w:ascii="Times New Roman" w:hAnsi="Times New Roman" w:cs="Times New Roman"/>
          <w:color w:val="000000" w:themeColor="text1"/>
          <w:sz w:val="24"/>
          <w:szCs w:val="24"/>
        </w:rPr>
        <w:t xml:space="preserve"> </w:t>
      </w:r>
      <w:r w:rsidR="00876794" w:rsidRPr="00180848">
        <w:rPr>
          <w:rFonts w:ascii="Times New Roman" w:hAnsi="Times New Roman" w:cs="Times New Roman"/>
          <w:color w:val="000000" w:themeColor="text1"/>
          <w:sz w:val="24"/>
          <w:szCs w:val="24"/>
        </w:rPr>
        <w:t>Niger</w:t>
      </w:r>
      <w:r w:rsidR="0049363C" w:rsidRPr="00180848">
        <w:rPr>
          <w:rFonts w:ascii="Times New Roman" w:hAnsi="Times New Roman" w:cs="Times New Roman"/>
          <w:color w:val="000000" w:themeColor="text1"/>
          <w:sz w:val="24"/>
          <w:szCs w:val="24"/>
        </w:rPr>
        <w:t>ia</w:t>
      </w:r>
      <w:r w:rsidR="00175F05" w:rsidRPr="00180848">
        <w:rPr>
          <w:rFonts w:ascii="Times New Roman" w:hAnsi="Times New Roman" w:cs="Times New Roman"/>
          <w:color w:val="000000" w:themeColor="text1"/>
          <w:sz w:val="24"/>
          <w:szCs w:val="24"/>
        </w:rPr>
        <w:t>.</w:t>
      </w:r>
    </w:p>
    <w:p w14:paraId="4013E39C" w14:textId="0694BF48" w:rsidR="001C3910" w:rsidRPr="00180848" w:rsidRDefault="001C3910" w:rsidP="00FE2F0E">
      <w:pPr>
        <w:spacing w:line="360" w:lineRule="auto"/>
        <w:jc w:val="both"/>
        <w:rPr>
          <w:rFonts w:ascii="Times New Roman" w:hAnsi="Times New Roman" w:cs="Times New Roman"/>
          <w:color w:val="000000" w:themeColor="text1"/>
          <w:sz w:val="24"/>
          <w:szCs w:val="24"/>
        </w:rPr>
      </w:pPr>
      <w:r w:rsidRPr="00180848">
        <w:rPr>
          <w:rFonts w:ascii="Times New Roman" w:hAnsi="Times New Roman" w:cs="Times New Roman"/>
          <w:b/>
          <w:bCs/>
          <w:color w:val="000000" w:themeColor="text1"/>
          <w:sz w:val="24"/>
          <w:szCs w:val="24"/>
        </w:rPr>
        <w:t xml:space="preserve">Methods: </w:t>
      </w:r>
      <w:r w:rsidRPr="00180848">
        <w:rPr>
          <w:rFonts w:ascii="Times New Roman" w:hAnsi="Times New Roman" w:cs="Times New Roman"/>
          <w:color w:val="000000" w:themeColor="text1"/>
          <w:sz w:val="24"/>
          <w:szCs w:val="24"/>
        </w:rPr>
        <w:t>A facility-based cross-sectional study was conducted among</w:t>
      </w:r>
      <w:r w:rsidR="00DD2ABD" w:rsidRPr="00180848">
        <w:rPr>
          <w:rFonts w:ascii="Times New Roman" w:hAnsi="Times New Roman" w:cs="Times New Roman"/>
          <w:color w:val="000000" w:themeColor="text1"/>
          <w:sz w:val="24"/>
          <w:szCs w:val="24"/>
        </w:rPr>
        <w:t xml:space="preserve"> 411</w:t>
      </w:r>
      <w:r w:rsidRPr="00180848">
        <w:rPr>
          <w:rFonts w:ascii="Times New Roman" w:hAnsi="Times New Roman" w:cs="Times New Roman"/>
          <w:color w:val="000000" w:themeColor="text1"/>
          <w:sz w:val="24"/>
          <w:szCs w:val="24"/>
        </w:rPr>
        <w:t xml:space="preserve"> individuals </w:t>
      </w:r>
      <w:r w:rsidR="005852F4" w:rsidRPr="00180848">
        <w:rPr>
          <w:rFonts w:ascii="Times New Roman" w:hAnsi="Times New Roman" w:cs="Times New Roman"/>
          <w:color w:val="000000" w:themeColor="text1"/>
          <w:sz w:val="24"/>
          <w:szCs w:val="24"/>
        </w:rPr>
        <w:t>assessed</w:t>
      </w:r>
      <w:r w:rsidRPr="00180848">
        <w:rPr>
          <w:rFonts w:ascii="Times New Roman" w:hAnsi="Times New Roman" w:cs="Times New Roman"/>
          <w:color w:val="000000" w:themeColor="text1"/>
          <w:sz w:val="24"/>
          <w:szCs w:val="24"/>
        </w:rPr>
        <w:t xml:space="preserve"> for tuberculosis using Xpert MTB testing. Sociodemographic and clinical characteristics were </w:t>
      </w:r>
      <w:r w:rsidR="00BC7EB0" w:rsidRPr="00180848">
        <w:rPr>
          <w:rFonts w:ascii="Times New Roman" w:hAnsi="Times New Roman" w:cs="Times New Roman"/>
          <w:color w:val="000000" w:themeColor="text1"/>
          <w:sz w:val="24"/>
          <w:szCs w:val="24"/>
        </w:rPr>
        <w:t>analysed</w:t>
      </w:r>
      <w:r w:rsidRPr="00180848">
        <w:rPr>
          <w:rFonts w:ascii="Times New Roman" w:hAnsi="Times New Roman" w:cs="Times New Roman"/>
          <w:color w:val="000000" w:themeColor="text1"/>
          <w:sz w:val="24"/>
          <w:szCs w:val="24"/>
        </w:rPr>
        <w:t xml:space="preserve"> in relation to TB test outcomes. Associations were</w:t>
      </w:r>
      <w:r w:rsidR="005852F4" w:rsidRPr="00180848">
        <w:rPr>
          <w:rFonts w:ascii="Times New Roman" w:hAnsi="Times New Roman" w:cs="Times New Roman"/>
          <w:color w:val="000000" w:themeColor="text1"/>
          <w:sz w:val="24"/>
          <w:szCs w:val="24"/>
        </w:rPr>
        <w:t xml:space="preserve"> determined</w:t>
      </w:r>
      <w:r w:rsidRPr="00180848">
        <w:rPr>
          <w:rFonts w:ascii="Times New Roman" w:hAnsi="Times New Roman" w:cs="Times New Roman"/>
          <w:color w:val="000000" w:themeColor="text1"/>
          <w:sz w:val="24"/>
          <w:szCs w:val="24"/>
        </w:rPr>
        <w:t xml:space="preserve"> using the chi-square test, with </w:t>
      </w:r>
      <w:r w:rsidR="00BC7EB0" w:rsidRPr="00180848">
        <w:rPr>
          <w:rFonts w:ascii="Times New Roman" w:hAnsi="Times New Roman" w:cs="Times New Roman"/>
          <w:color w:val="000000" w:themeColor="text1"/>
          <w:sz w:val="24"/>
          <w:szCs w:val="24"/>
        </w:rPr>
        <w:t>statistical</w:t>
      </w:r>
      <w:r w:rsidRPr="00180848">
        <w:rPr>
          <w:rFonts w:ascii="Times New Roman" w:hAnsi="Times New Roman" w:cs="Times New Roman"/>
          <w:color w:val="000000" w:themeColor="text1"/>
          <w:sz w:val="24"/>
          <w:szCs w:val="24"/>
        </w:rPr>
        <w:t xml:space="preserve"> significance set at p &lt; 0.05.</w:t>
      </w:r>
    </w:p>
    <w:p w14:paraId="560FB40F" w14:textId="3AB6AC84" w:rsidR="001C3910" w:rsidRPr="002163EC" w:rsidRDefault="001C3910" w:rsidP="00FE2F0E">
      <w:pPr>
        <w:spacing w:line="360" w:lineRule="auto"/>
        <w:jc w:val="both"/>
        <w:rPr>
          <w:rFonts w:ascii="Times New Roman" w:hAnsi="Times New Roman" w:cs="Times New Roman"/>
          <w:sz w:val="24"/>
          <w:szCs w:val="24"/>
        </w:rPr>
      </w:pPr>
      <w:r w:rsidRPr="00180848">
        <w:rPr>
          <w:rFonts w:ascii="Times New Roman" w:hAnsi="Times New Roman" w:cs="Times New Roman"/>
          <w:b/>
          <w:bCs/>
          <w:color w:val="000000" w:themeColor="text1"/>
          <w:sz w:val="24"/>
          <w:szCs w:val="24"/>
        </w:rPr>
        <w:t xml:space="preserve">Results: </w:t>
      </w:r>
      <w:r w:rsidRPr="00180848">
        <w:rPr>
          <w:rFonts w:ascii="Times New Roman" w:hAnsi="Times New Roman" w:cs="Times New Roman"/>
          <w:color w:val="000000" w:themeColor="text1"/>
          <w:sz w:val="24"/>
          <w:szCs w:val="24"/>
        </w:rPr>
        <w:t>Of the 411 participants</w:t>
      </w:r>
      <w:r w:rsidR="005852F4" w:rsidRPr="00180848">
        <w:rPr>
          <w:rFonts w:ascii="Times New Roman" w:hAnsi="Times New Roman" w:cs="Times New Roman"/>
          <w:color w:val="000000" w:themeColor="text1"/>
          <w:sz w:val="24"/>
          <w:szCs w:val="24"/>
        </w:rPr>
        <w:t xml:space="preserve"> assessed</w:t>
      </w:r>
      <w:r w:rsidRPr="00180848">
        <w:rPr>
          <w:rFonts w:ascii="Times New Roman" w:hAnsi="Times New Roman" w:cs="Times New Roman"/>
          <w:color w:val="000000" w:themeColor="text1"/>
          <w:sz w:val="24"/>
          <w:szCs w:val="24"/>
        </w:rPr>
        <w:t xml:space="preserve">, </w:t>
      </w:r>
      <w:r w:rsidRPr="002163EC">
        <w:rPr>
          <w:rFonts w:ascii="Times New Roman" w:hAnsi="Times New Roman" w:cs="Times New Roman"/>
          <w:sz w:val="24"/>
          <w:szCs w:val="24"/>
        </w:rPr>
        <w:t>104 (25.3%) were Xpert-positive, 306 (74.5%) were negative, and 1 (0.2%) had an indeterminate result. Age, gender, educational level, and BCG vaccination status were not significantly associated with TB positivity (p &gt; 0.05). However, a previous history of tuberculosis was significantly associated with current TB positivity (χ² = 9.90, p = 0.007).</w:t>
      </w:r>
      <w:r w:rsidR="001D6057">
        <w:rPr>
          <w:rFonts w:ascii="Times New Roman" w:hAnsi="Times New Roman" w:cs="Times New Roman"/>
          <w:sz w:val="24"/>
          <w:szCs w:val="24"/>
        </w:rPr>
        <w:t xml:space="preserve"> </w:t>
      </w:r>
      <w:r w:rsidR="001D6057" w:rsidRPr="001D6057">
        <w:rPr>
          <w:rFonts w:ascii="Times New Roman" w:hAnsi="Times New Roman" w:cs="Times New Roman"/>
          <w:sz w:val="24"/>
          <w:szCs w:val="24"/>
          <w:highlight w:val="yellow"/>
        </w:rPr>
        <w:t xml:space="preserve">These findings </w:t>
      </w:r>
      <w:r w:rsidR="004A3ECF">
        <w:rPr>
          <w:rFonts w:ascii="Times New Roman" w:hAnsi="Times New Roman" w:cs="Times New Roman"/>
          <w:sz w:val="24"/>
          <w:szCs w:val="24"/>
          <w:highlight w:val="yellow"/>
        </w:rPr>
        <w:t>highlight</w:t>
      </w:r>
      <w:r w:rsidR="001D6057" w:rsidRPr="001D6057">
        <w:rPr>
          <w:rFonts w:ascii="Times New Roman" w:hAnsi="Times New Roman" w:cs="Times New Roman"/>
          <w:sz w:val="24"/>
          <w:szCs w:val="24"/>
          <w:highlight w:val="yellow"/>
        </w:rPr>
        <w:t xml:space="preserve"> the contribution of recurrent and previously treated cases to the ongoing TB burden in the region.</w:t>
      </w:r>
    </w:p>
    <w:p w14:paraId="1F42E757" w14:textId="263BCA12" w:rsidR="003F51C0" w:rsidRDefault="001C3910" w:rsidP="00FE2F0E">
      <w:pPr>
        <w:spacing w:line="360" w:lineRule="auto"/>
        <w:jc w:val="both"/>
        <w:rPr>
          <w:rFonts w:ascii="Times New Roman" w:hAnsi="Times New Roman" w:cs="Times New Roman"/>
          <w:sz w:val="24"/>
          <w:szCs w:val="24"/>
        </w:rPr>
      </w:pPr>
      <w:r w:rsidRPr="002163EC">
        <w:rPr>
          <w:rFonts w:ascii="Times New Roman" w:hAnsi="Times New Roman" w:cs="Times New Roman"/>
          <w:b/>
          <w:bCs/>
          <w:sz w:val="24"/>
          <w:szCs w:val="24"/>
        </w:rPr>
        <w:t xml:space="preserve">Conclusion: </w:t>
      </w:r>
      <w:r w:rsidR="005852F4" w:rsidRPr="002163EC">
        <w:rPr>
          <w:rFonts w:ascii="Times New Roman" w:hAnsi="Times New Roman" w:cs="Times New Roman"/>
          <w:sz w:val="24"/>
          <w:szCs w:val="24"/>
        </w:rPr>
        <w:t>T</w:t>
      </w:r>
      <w:r w:rsidR="005852F4">
        <w:rPr>
          <w:rFonts w:ascii="Times New Roman" w:hAnsi="Times New Roman" w:cs="Times New Roman"/>
          <w:sz w:val="24"/>
          <w:szCs w:val="24"/>
        </w:rPr>
        <w:t xml:space="preserve">he </w:t>
      </w:r>
      <w:r w:rsidR="005852F4" w:rsidRPr="002163EC">
        <w:rPr>
          <w:rFonts w:ascii="Times New Roman" w:hAnsi="Times New Roman" w:cs="Times New Roman"/>
          <w:sz w:val="24"/>
          <w:szCs w:val="24"/>
        </w:rPr>
        <w:t xml:space="preserve">prevalence </w:t>
      </w:r>
      <w:r w:rsidR="005852F4">
        <w:rPr>
          <w:rFonts w:ascii="Times New Roman" w:hAnsi="Times New Roman" w:cs="Times New Roman"/>
          <w:sz w:val="24"/>
          <w:szCs w:val="24"/>
        </w:rPr>
        <w:t>of t</w:t>
      </w:r>
      <w:r w:rsidR="005852F4" w:rsidRPr="002163EC">
        <w:rPr>
          <w:rFonts w:ascii="Times New Roman" w:hAnsi="Times New Roman" w:cs="Times New Roman"/>
          <w:sz w:val="24"/>
          <w:szCs w:val="24"/>
        </w:rPr>
        <w:t xml:space="preserve">uberculosis </w:t>
      </w:r>
      <w:r w:rsidR="005852F4">
        <w:rPr>
          <w:rFonts w:ascii="Times New Roman" w:hAnsi="Times New Roman" w:cs="Times New Roman"/>
          <w:sz w:val="24"/>
          <w:szCs w:val="24"/>
        </w:rPr>
        <w:t xml:space="preserve">is </w:t>
      </w:r>
      <w:r w:rsidR="005852F4" w:rsidRPr="002163EC">
        <w:rPr>
          <w:rFonts w:ascii="Times New Roman" w:hAnsi="Times New Roman" w:cs="Times New Roman"/>
          <w:sz w:val="24"/>
          <w:szCs w:val="24"/>
        </w:rPr>
        <w:t xml:space="preserve">high among </w:t>
      </w:r>
      <w:r w:rsidR="005852F4">
        <w:rPr>
          <w:rFonts w:ascii="Times New Roman" w:hAnsi="Times New Roman" w:cs="Times New Roman"/>
          <w:sz w:val="24"/>
          <w:szCs w:val="24"/>
        </w:rPr>
        <w:t>the study participants</w:t>
      </w:r>
      <w:r w:rsidRPr="002163EC">
        <w:rPr>
          <w:rFonts w:ascii="Times New Roman" w:hAnsi="Times New Roman" w:cs="Times New Roman"/>
          <w:sz w:val="24"/>
          <w:szCs w:val="24"/>
        </w:rPr>
        <w:t xml:space="preserve">. </w:t>
      </w:r>
      <w:r w:rsidR="00714F9F" w:rsidRPr="00714F9F">
        <w:rPr>
          <w:rFonts w:ascii="Times New Roman" w:hAnsi="Times New Roman" w:cs="Times New Roman"/>
          <w:sz w:val="24"/>
          <w:szCs w:val="24"/>
        </w:rPr>
        <w:t>While most demographic factors and BCG vaccination showed no significant association with TB positivity, a previous history of tuberculosis was a strong predictor of current disease. The study uniquely highlights high rates of recurrence, retreatment, and treatment failure in North-Central Nigeria, with many positive cases occurring among previously treated individuals, driven largely by relapse and treatment default.</w:t>
      </w:r>
      <w:r w:rsidR="003173F3">
        <w:rPr>
          <w:rFonts w:ascii="Times New Roman" w:hAnsi="Times New Roman" w:cs="Times New Roman"/>
          <w:sz w:val="24"/>
          <w:szCs w:val="24"/>
        </w:rPr>
        <w:t xml:space="preserve"> </w:t>
      </w:r>
      <w:r w:rsidR="003173F3" w:rsidRPr="003173F3">
        <w:rPr>
          <w:rFonts w:ascii="Times New Roman" w:hAnsi="Times New Roman" w:cs="Times New Roman"/>
          <w:sz w:val="24"/>
          <w:szCs w:val="24"/>
          <w:highlight w:val="yellow"/>
        </w:rPr>
        <w:t>These findings provide context-specific evidence to inform surveillance strengthening, early case detection strategies, and improved treatment monitoring in high-burden settings.</w:t>
      </w:r>
    </w:p>
    <w:p w14:paraId="13DB8EC8" w14:textId="49568AA2" w:rsidR="007226F2" w:rsidRPr="00C300F0" w:rsidRDefault="001C3910" w:rsidP="00FE2F0E">
      <w:pPr>
        <w:spacing w:line="360" w:lineRule="auto"/>
        <w:jc w:val="both"/>
        <w:rPr>
          <w:rFonts w:ascii="Times New Roman" w:hAnsi="Times New Roman" w:cs="Times New Roman"/>
          <w:sz w:val="24"/>
          <w:szCs w:val="24"/>
        </w:rPr>
      </w:pPr>
      <w:r w:rsidRPr="002163EC">
        <w:rPr>
          <w:rFonts w:ascii="Times New Roman" w:hAnsi="Times New Roman" w:cs="Times New Roman"/>
          <w:b/>
          <w:bCs/>
          <w:sz w:val="24"/>
          <w:szCs w:val="24"/>
        </w:rPr>
        <w:t xml:space="preserve">Keywords: </w:t>
      </w:r>
      <w:r w:rsidRPr="002163EC">
        <w:rPr>
          <w:rFonts w:ascii="Times New Roman" w:hAnsi="Times New Roman" w:cs="Times New Roman"/>
          <w:sz w:val="24"/>
          <w:szCs w:val="24"/>
        </w:rPr>
        <w:t xml:space="preserve">Tuberculosis, </w:t>
      </w:r>
      <w:r>
        <w:rPr>
          <w:rFonts w:ascii="Times New Roman" w:hAnsi="Times New Roman" w:cs="Times New Roman"/>
          <w:sz w:val="24"/>
          <w:szCs w:val="24"/>
        </w:rPr>
        <w:t>P</w:t>
      </w:r>
      <w:r w:rsidRPr="002163EC">
        <w:rPr>
          <w:rFonts w:ascii="Times New Roman" w:hAnsi="Times New Roman" w:cs="Times New Roman"/>
          <w:sz w:val="24"/>
          <w:szCs w:val="24"/>
        </w:rPr>
        <w:t>revalence, GeneXpert</w:t>
      </w:r>
      <w:r w:rsidR="00B33185">
        <w:rPr>
          <w:rFonts w:ascii="Times New Roman" w:hAnsi="Times New Roman" w:cs="Times New Roman"/>
          <w:sz w:val="24"/>
          <w:szCs w:val="24"/>
        </w:rPr>
        <w:t xml:space="preserve">, </w:t>
      </w:r>
      <w:r w:rsidR="00B33185" w:rsidRPr="00B33185">
        <w:rPr>
          <w:rFonts w:ascii="Times New Roman" w:hAnsi="Times New Roman" w:cs="Times New Roman"/>
          <w:sz w:val="24"/>
          <w:szCs w:val="24"/>
          <w:highlight w:val="yellow"/>
        </w:rPr>
        <w:t>North-Central Nigeria</w:t>
      </w:r>
    </w:p>
    <w:p w14:paraId="67EDC0D8" w14:textId="77777777" w:rsidR="00B33185" w:rsidRDefault="00B33185" w:rsidP="00FE2F0E">
      <w:pPr>
        <w:spacing w:line="360" w:lineRule="auto"/>
        <w:jc w:val="both"/>
        <w:rPr>
          <w:rFonts w:ascii="Times New Roman" w:hAnsi="Times New Roman" w:cs="Times New Roman"/>
          <w:b/>
          <w:bCs/>
          <w:sz w:val="24"/>
          <w:szCs w:val="24"/>
        </w:rPr>
      </w:pPr>
    </w:p>
    <w:p w14:paraId="31ADDF78" w14:textId="18113A14" w:rsidR="00BC7776" w:rsidRPr="00DB50C0" w:rsidRDefault="00AE5EB7" w:rsidP="00FE2F0E">
      <w:pPr>
        <w:spacing w:line="360" w:lineRule="auto"/>
        <w:jc w:val="both"/>
        <w:rPr>
          <w:rFonts w:ascii="Times New Roman" w:hAnsi="Times New Roman" w:cs="Times New Roman"/>
          <w:b/>
          <w:bCs/>
          <w:sz w:val="24"/>
          <w:szCs w:val="24"/>
        </w:rPr>
      </w:pPr>
      <w:r w:rsidRPr="00DB50C0">
        <w:rPr>
          <w:rFonts w:ascii="Times New Roman" w:hAnsi="Times New Roman" w:cs="Times New Roman"/>
          <w:b/>
          <w:bCs/>
          <w:sz w:val="24"/>
          <w:szCs w:val="24"/>
        </w:rPr>
        <w:t>Introduction</w:t>
      </w:r>
    </w:p>
    <w:p w14:paraId="21A307BA" w14:textId="50C54643" w:rsidR="007D5C62" w:rsidRPr="007D5C62" w:rsidRDefault="007D5C62" w:rsidP="00FE2F0E">
      <w:pPr>
        <w:spacing w:line="360" w:lineRule="auto"/>
        <w:jc w:val="both"/>
        <w:rPr>
          <w:rFonts w:ascii="Times New Roman" w:hAnsi="Times New Roman" w:cs="Times New Roman"/>
          <w:sz w:val="24"/>
          <w:szCs w:val="24"/>
        </w:rPr>
      </w:pPr>
      <w:r w:rsidRPr="007D5C62">
        <w:rPr>
          <w:rFonts w:ascii="Times New Roman" w:hAnsi="Times New Roman" w:cs="Times New Roman"/>
          <w:sz w:val="24"/>
          <w:szCs w:val="24"/>
        </w:rPr>
        <w:lastRenderedPageBreak/>
        <w:t xml:space="preserve">Tuberculosis (TB) is an infectious disease caused by bacteria </w:t>
      </w:r>
      <w:r w:rsidR="00C55CA0">
        <w:rPr>
          <w:rFonts w:ascii="Times New Roman" w:hAnsi="Times New Roman" w:cs="Times New Roman"/>
          <w:sz w:val="24"/>
          <w:szCs w:val="24"/>
        </w:rPr>
        <w:t>(</w:t>
      </w:r>
      <w:r w:rsidR="00C55CA0" w:rsidRPr="007D5C62">
        <w:rPr>
          <w:rFonts w:ascii="Times New Roman" w:hAnsi="Times New Roman" w:cs="Times New Roman"/>
          <w:i/>
          <w:iCs/>
          <w:sz w:val="24"/>
          <w:szCs w:val="24"/>
        </w:rPr>
        <w:t>Mycobacterium tuberculosis</w:t>
      </w:r>
      <w:r w:rsidR="00C55CA0">
        <w:rPr>
          <w:rFonts w:ascii="Times New Roman" w:hAnsi="Times New Roman" w:cs="Times New Roman"/>
          <w:i/>
          <w:iCs/>
          <w:sz w:val="24"/>
          <w:szCs w:val="24"/>
        </w:rPr>
        <w:t xml:space="preserve">) </w:t>
      </w:r>
      <w:r w:rsidRPr="007D5C62">
        <w:rPr>
          <w:rFonts w:ascii="Times New Roman" w:hAnsi="Times New Roman" w:cs="Times New Roman"/>
          <w:sz w:val="24"/>
          <w:szCs w:val="24"/>
        </w:rPr>
        <w:t>that most commonly affects the lungs. It is transmitted through the air when individuals with active TB cough, sneeze, or spit. Tuberculosis is both preventable and curable. Although about a quarter of the global population is estimated to be infected with TB bacteria, most infected individuals do not feel sick and are not contagious</w:t>
      </w:r>
      <w:r w:rsidR="006A1E8F">
        <w:rPr>
          <w:rFonts w:ascii="Times New Roman" w:hAnsi="Times New Roman" w:cs="Times New Roman"/>
          <w:sz w:val="24"/>
          <w:szCs w:val="24"/>
        </w:rPr>
        <w:t xml:space="preserve"> </w:t>
      </w:r>
      <w:r w:rsidR="00C857A9">
        <w:rPr>
          <w:rFonts w:ascii="Times New Roman" w:hAnsi="Times New Roman" w:cs="Times New Roman"/>
          <w:sz w:val="24"/>
          <w:szCs w:val="24"/>
        </w:rPr>
        <w:t>[1</w:t>
      </w:r>
      <w:r w:rsidR="00486CEA">
        <w:rPr>
          <w:rFonts w:ascii="Times New Roman" w:hAnsi="Times New Roman" w:cs="Times New Roman"/>
          <w:sz w:val="24"/>
          <w:szCs w:val="24"/>
        </w:rPr>
        <w:t>-5</w:t>
      </w:r>
      <w:r w:rsidR="00C857A9">
        <w:rPr>
          <w:rFonts w:ascii="Times New Roman" w:hAnsi="Times New Roman" w:cs="Times New Roman"/>
          <w:sz w:val="24"/>
          <w:szCs w:val="24"/>
        </w:rPr>
        <w:t>]</w:t>
      </w:r>
      <w:r w:rsidRPr="007D5C62">
        <w:rPr>
          <w:rFonts w:ascii="Times New Roman" w:hAnsi="Times New Roman" w:cs="Times New Roman"/>
          <w:sz w:val="24"/>
          <w:szCs w:val="24"/>
        </w:rPr>
        <w:t>.</w:t>
      </w:r>
    </w:p>
    <w:p w14:paraId="00DA1538" w14:textId="3265C2A2" w:rsidR="007D5C62" w:rsidRPr="007D5C62" w:rsidRDefault="007D5C62" w:rsidP="00FE2F0E">
      <w:pPr>
        <w:spacing w:line="360" w:lineRule="auto"/>
        <w:jc w:val="both"/>
        <w:rPr>
          <w:rFonts w:ascii="Times New Roman" w:hAnsi="Times New Roman" w:cs="Times New Roman"/>
          <w:sz w:val="24"/>
          <w:szCs w:val="24"/>
        </w:rPr>
      </w:pPr>
      <w:r w:rsidRPr="007D5C62">
        <w:rPr>
          <w:rFonts w:ascii="Times New Roman" w:hAnsi="Times New Roman" w:cs="Times New Roman"/>
          <w:sz w:val="24"/>
          <w:szCs w:val="24"/>
        </w:rPr>
        <w:t>Globally, TB remains a major public health problem affecting all countries and age groups. In 2024, an estimated 10.7 million people developed TB worldwide, including 5.8 million men, 3.7 million women, and 1.2 million children. In the same year, TB caused approximately 1.23 million deaths, including 150,000 among people living with HIV. Tuberculosis remains the leading cause of death from a single infectious agent and is among the top ten causes of death globally. It was also the leading cause of mortality among people with HIV and a major contributor to deaths related to antimicrobial resistance [</w:t>
      </w:r>
      <w:r w:rsidR="00CA36B8">
        <w:rPr>
          <w:rFonts w:ascii="Times New Roman" w:hAnsi="Times New Roman" w:cs="Times New Roman"/>
          <w:sz w:val="24"/>
          <w:szCs w:val="24"/>
        </w:rPr>
        <w:t>1-5</w:t>
      </w:r>
      <w:r w:rsidRPr="007D5C62">
        <w:rPr>
          <w:rFonts w:ascii="Times New Roman" w:hAnsi="Times New Roman" w:cs="Times New Roman"/>
          <w:sz w:val="24"/>
          <w:szCs w:val="24"/>
        </w:rPr>
        <w:t>].</w:t>
      </w:r>
    </w:p>
    <w:p w14:paraId="4D843915" w14:textId="4F95A82D" w:rsidR="003B283E" w:rsidRPr="003B283E" w:rsidRDefault="003B283E" w:rsidP="00FE2F0E">
      <w:pPr>
        <w:spacing w:line="360" w:lineRule="auto"/>
        <w:jc w:val="both"/>
        <w:rPr>
          <w:rFonts w:ascii="Times New Roman" w:hAnsi="Times New Roman" w:cs="Times New Roman"/>
          <w:sz w:val="24"/>
          <w:szCs w:val="24"/>
        </w:rPr>
      </w:pPr>
      <w:r w:rsidRPr="003B283E">
        <w:rPr>
          <w:rFonts w:ascii="Times New Roman" w:hAnsi="Times New Roman" w:cs="Times New Roman"/>
          <w:sz w:val="24"/>
          <w:szCs w:val="24"/>
        </w:rPr>
        <w:t>Nigeria is among the highest TB-burden countries globally and contributes substantially to the disease burden in sub-Saharan Africa [</w:t>
      </w:r>
      <w:r w:rsidR="001D0402">
        <w:rPr>
          <w:rFonts w:ascii="Times New Roman" w:hAnsi="Times New Roman" w:cs="Times New Roman"/>
          <w:sz w:val="24"/>
          <w:szCs w:val="24"/>
        </w:rPr>
        <w:t>5</w:t>
      </w:r>
      <w:r w:rsidR="00EE3E71">
        <w:rPr>
          <w:rFonts w:ascii="Times New Roman" w:hAnsi="Times New Roman" w:cs="Times New Roman"/>
          <w:sz w:val="24"/>
          <w:szCs w:val="24"/>
        </w:rPr>
        <w:t>,</w:t>
      </w:r>
      <w:r w:rsidR="001D0402">
        <w:rPr>
          <w:rFonts w:ascii="Times New Roman" w:hAnsi="Times New Roman" w:cs="Times New Roman"/>
          <w:sz w:val="24"/>
          <w:szCs w:val="24"/>
        </w:rPr>
        <w:t>6</w:t>
      </w:r>
      <w:r w:rsidRPr="003B283E">
        <w:rPr>
          <w:rFonts w:ascii="Times New Roman" w:hAnsi="Times New Roman" w:cs="Times New Roman"/>
          <w:sz w:val="24"/>
          <w:szCs w:val="24"/>
        </w:rPr>
        <w:t xml:space="preserve">]. The National Tuberculosis, Leprosy and Buruli Ulcer Control Programme (NTBLCP) has implemented several strategies, including the scale-up of molecular diagnostics and </w:t>
      </w:r>
      <w:r w:rsidR="006B0261">
        <w:rPr>
          <w:rFonts w:ascii="Times New Roman" w:hAnsi="Times New Roman" w:cs="Times New Roman"/>
          <w:sz w:val="24"/>
          <w:szCs w:val="24"/>
        </w:rPr>
        <w:t>decentralised</w:t>
      </w:r>
      <w:r w:rsidRPr="003B283E">
        <w:rPr>
          <w:rFonts w:ascii="Times New Roman" w:hAnsi="Times New Roman" w:cs="Times New Roman"/>
          <w:sz w:val="24"/>
          <w:szCs w:val="24"/>
        </w:rPr>
        <w:t xml:space="preserve"> TB services, to improve case detection and treatment outcomes [</w:t>
      </w:r>
      <w:r w:rsidR="001D0402">
        <w:rPr>
          <w:rFonts w:ascii="Times New Roman" w:hAnsi="Times New Roman" w:cs="Times New Roman"/>
          <w:sz w:val="24"/>
          <w:szCs w:val="24"/>
        </w:rPr>
        <w:t>8</w:t>
      </w:r>
      <w:r w:rsidRPr="003B283E">
        <w:rPr>
          <w:rFonts w:ascii="Times New Roman" w:hAnsi="Times New Roman" w:cs="Times New Roman"/>
          <w:sz w:val="24"/>
          <w:szCs w:val="24"/>
        </w:rPr>
        <w:t>]. Nevertheless, a significant proportion of TB cases remain undiagnosed or are detected late, sustaining community transmission.</w:t>
      </w:r>
    </w:p>
    <w:p w14:paraId="648EB61D" w14:textId="57463F5C" w:rsidR="003B283E" w:rsidRDefault="003B283E" w:rsidP="00FE2F0E">
      <w:pPr>
        <w:spacing w:line="360" w:lineRule="auto"/>
        <w:jc w:val="both"/>
        <w:rPr>
          <w:rFonts w:ascii="Times New Roman" w:hAnsi="Times New Roman" w:cs="Times New Roman"/>
          <w:sz w:val="24"/>
          <w:szCs w:val="24"/>
        </w:rPr>
      </w:pPr>
      <w:r w:rsidRPr="003B283E">
        <w:rPr>
          <w:rFonts w:ascii="Times New Roman" w:hAnsi="Times New Roman" w:cs="Times New Roman"/>
          <w:sz w:val="24"/>
          <w:szCs w:val="24"/>
        </w:rPr>
        <w:t xml:space="preserve">The introduction of the GeneXpert MTB/RIF assay has improved bacteriological confirmation of TB by providing rapid and sensitive detection of </w:t>
      </w:r>
      <w:r w:rsidRPr="003B283E">
        <w:rPr>
          <w:rFonts w:ascii="Times New Roman" w:hAnsi="Times New Roman" w:cs="Times New Roman"/>
          <w:i/>
          <w:iCs/>
          <w:sz w:val="24"/>
          <w:szCs w:val="24"/>
        </w:rPr>
        <w:t>Mycobacterium tuberculosis</w:t>
      </w:r>
      <w:r w:rsidRPr="003B283E">
        <w:rPr>
          <w:rFonts w:ascii="Times New Roman" w:hAnsi="Times New Roman" w:cs="Times New Roman"/>
          <w:sz w:val="24"/>
          <w:szCs w:val="24"/>
        </w:rPr>
        <w:t>, with simultaneous identification of rifampicin resistance [</w:t>
      </w:r>
      <w:r w:rsidR="008427D4">
        <w:rPr>
          <w:rFonts w:ascii="Times New Roman" w:hAnsi="Times New Roman" w:cs="Times New Roman"/>
          <w:sz w:val="24"/>
          <w:szCs w:val="24"/>
        </w:rPr>
        <w:t>5</w:t>
      </w:r>
      <w:r w:rsidRPr="003B283E">
        <w:rPr>
          <w:rFonts w:ascii="Times New Roman" w:hAnsi="Times New Roman" w:cs="Times New Roman"/>
          <w:sz w:val="24"/>
          <w:szCs w:val="24"/>
        </w:rPr>
        <w:t>]. Despite this advancement, studies across Nigeria continue to report high proportions of Xpert-positive cases among individuals presenting with presumptive TB symptoms [</w:t>
      </w:r>
      <w:r w:rsidR="008427D4">
        <w:rPr>
          <w:rFonts w:ascii="Times New Roman" w:hAnsi="Times New Roman" w:cs="Times New Roman"/>
          <w:sz w:val="24"/>
          <w:szCs w:val="24"/>
        </w:rPr>
        <w:t>8</w:t>
      </w:r>
      <w:r w:rsidRPr="003B283E">
        <w:rPr>
          <w:rFonts w:ascii="Times New Roman" w:hAnsi="Times New Roman" w:cs="Times New Roman"/>
          <w:sz w:val="24"/>
          <w:szCs w:val="24"/>
        </w:rPr>
        <w:t>–</w:t>
      </w:r>
      <w:r w:rsidR="008427D4">
        <w:rPr>
          <w:rFonts w:ascii="Times New Roman" w:hAnsi="Times New Roman" w:cs="Times New Roman"/>
          <w:sz w:val="24"/>
          <w:szCs w:val="24"/>
        </w:rPr>
        <w:t>12</w:t>
      </w:r>
      <w:r w:rsidRPr="003B283E">
        <w:rPr>
          <w:rFonts w:ascii="Times New Roman" w:hAnsi="Times New Roman" w:cs="Times New Roman"/>
          <w:sz w:val="24"/>
          <w:szCs w:val="24"/>
        </w:rPr>
        <w:t xml:space="preserve">]. These findings suggest ongoing transmission and highlight gaps in </w:t>
      </w:r>
      <w:r w:rsidR="00CF2A64">
        <w:rPr>
          <w:rFonts w:ascii="Times New Roman" w:hAnsi="Times New Roman" w:cs="Times New Roman"/>
          <w:sz w:val="24"/>
          <w:szCs w:val="24"/>
        </w:rPr>
        <w:t>the early detection of cases</w:t>
      </w:r>
      <w:r w:rsidRPr="003B283E">
        <w:rPr>
          <w:rFonts w:ascii="Times New Roman" w:hAnsi="Times New Roman" w:cs="Times New Roman"/>
          <w:sz w:val="24"/>
          <w:szCs w:val="24"/>
        </w:rPr>
        <w:t>.</w:t>
      </w:r>
    </w:p>
    <w:p w14:paraId="7DF9E93B" w14:textId="625BF748" w:rsidR="00EE4BC0" w:rsidRDefault="00EE4BC0" w:rsidP="00FE2F0E">
      <w:pPr>
        <w:spacing w:line="360" w:lineRule="auto"/>
        <w:jc w:val="both"/>
        <w:rPr>
          <w:rFonts w:ascii="Times New Roman" w:hAnsi="Times New Roman" w:cs="Times New Roman"/>
          <w:sz w:val="24"/>
          <w:szCs w:val="24"/>
        </w:rPr>
      </w:pPr>
      <w:r w:rsidRPr="00115CC8">
        <w:rPr>
          <w:rFonts w:ascii="Times New Roman" w:hAnsi="Times New Roman" w:cs="Times New Roman"/>
          <w:sz w:val="24"/>
          <w:szCs w:val="24"/>
          <w:highlight w:val="yellow"/>
        </w:rPr>
        <w:t>In this context, generating region-specific epidemiological data is critical for strengthening tuberculosis control efforts. Although national estimates provide an overview of disease burden, subnational data remain essential for identifying localised transmission patterns, optimising resource allocation, and tailoring intervention strategies</w:t>
      </w:r>
      <w:r w:rsidR="00115CC8" w:rsidRPr="00115CC8">
        <w:rPr>
          <w:rFonts w:ascii="Times New Roman" w:hAnsi="Times New Roman" w:cs="Times New Roman"/>
          <w:sz w:val="24"/>
          <w:szCs w:val="24"/>
          <w:highlight w:val="yellow"/>
        </w:rPr>
        <w:t xml:space="preserve"> [4]</w:t>
      </w:r>
      <w:r w:rsidRPr="00115CC8">
        <w:rPr>
          <w:rFonts w:ascii="Times New Roman" w:hAnsi="Times New Roman" w:cs="Times New Roman"/>
          <w:sz w:val="24"/>
          <w:szCs w:val="24"/>
          <w:highlight w:val="yellow"/>
        </w:rPr>
        <w:t xml:space="preserve">. By providing facility-based prevalence data from North Central Nigeria, this study contributes important context-specific evidence to the scientific community. The findings enhance understanding of TB burden within healthcare settings, identify associated sociodemographic and clinical factors, </w:t>
      </w:r>
      <w:r w:rsidRPr="00115CC8">
        <w:rPr>
          <w:rFonts w:ascii="Times New Roman" w:hAnsi="Times New Roman" w:cs="Times New Roman"/>
          <w:sz w:val="24"/>
          <w:szCs w:val="24"/>
          <w:highlight w:val="yellow"/>
        </w:rPr>
        <w:lastRenderedPageBreak/>
        <w:t>and support evidence-based planning aimed at improving case detection and treatment outcomes in high-burden environments.</w:t>
      </w:r>
    </w:p>
    <w:p w14:paraId="40446EC9" w14:textId="1A506D06" w:rsidR="003B283E" w:rsidRDefault="00C35374" w:rsidP="00FE2F0E">
      <w:pPr>
        <w:spacing w:line="360" w:lineRule="auto"/>
        <w:jc w:val="both"/>
        <w:rPr>
          <w:rFonts w:ascii="Times New Roman" w:hAnsi="Times New Roman" w:cs="Times New Roman"/>
          <w:sz w:val="24"/>
          <w:szCs w:val="24"/>
        </w:rPr>
      </w:pPr>
      <w:r w:rsidRPr="007D5C62">
        <w:rPr>
          <w:rFonts w:ascii="Times New Roman" w:hAnsi="Times New Roman" w:cs="Times New Roman"/>
          <w:sz w:val="24"/>
          <w:szCs w:val="24"/>
        </w:rPr>
        <w:t xml:space="preserve">Despite the availability of effective preventive and curative measures, tuberculosis continues to cause substantial morbidity and mortality worldwide. The persistent high burden of disease, </w:t>
      </w:r>
      <w:r>
        <w:rPr>
          <w:rFonts w:ascii="Times New Roman" w:hAnsi="Times New Roman" w:cs="Times New Roman"/>
          <w:sz w:val="24"/>
          <w:szCs w:val="24"/>
        </w:rPr>
        <w:t>particularly among vulnerable populations, underscores the need for ongoing</w:t>
      </w:r>
      <w:r w:rsidRPr="007D5C62">
        <w:rPr>
          <w:rFonts w:ascii="Times New Roman" w:hAnsi="Times New Roman" w:cs="Times New Roman"/>
          <w:sz w:val="24"/>
          <w:szCs w:val="24"/>
        </w:rPr>
        <w:t xml:space="preserve"> surveillance and research. </w:t>
      </w:r>
      <w:r w:rsidR="003B283E" w:rsidRPr="003B283E">
        <w:rPr>
          <w:rFonts w:ascii="Times New Roman" w:hAnsi="Times New Roman" w:cs="Times New Roman"/>
          <w:sz w:val="24"/>
          <w:szCs w:val="24"/>
        </w:rPr>
        <w:t>Therefore, this study aimed to determine the prevalence of tuberculosis using Xpert MTB testing and to assess the association between selected sociodemographic and clinical factors—age, sex, educational level, BCG vaccination status, and previous TB history—and TB positivity in the study population.</w:t>
      </w:r>
    </w:p>
    <w:p w14:paraId="007BD5F3" w14:textId="77777777" w:rsidR="002C76DB" w:rsidRPr="00DB50C0" w:rsidRDefault="002C76DB" w:rsidP="00FE2F0E">
      <w:pPr>
        <w:spacing w:line="360" w:lineRule="auto"/>
        <w:jc w:val="both"/>
        <w:rPr>
          <w:rFonts w:ascii="Times New Roman" w:hAnsi="Times New Roman" w:cs="Times New Roman"/>
          <w:b/>
          <w:bCs/>
          <w:sz w:val="24"/>
          <w:szCs w:val="24"/>
        </w:rPr>
      </w:pPr>
      <w:r w:rsidRPr="00DB50C0">
        <w:rPr>
          <w:rFonts w:ascii="Times New Roman" w:hAnsi="Times New Roman" w:cs="Times New Roman"/>
          <w:b/>
          <w:bCs/>
          <w:sz w:val="24"/>
          <w:szCs w:val="24"/>
        </w:rPr>
        <w:t>Methods</w:t>
      </w:r>
    </w:p>
    <w:p w14:paraId="32136444" w14:textId="77777777" w:rsidR="0070564E" w:rsidRPr="0070564E" w:rsidRDefault="0070564E" w:rsidP="0070564E">
      <w:pPr>
        <w:spacing w:line="360" w:lineRule="auto"/>
        <w:jc w:val="both"/>
        <w:rPr>
          <w:rFonts w:ascii="Times New Roman" w:hAnsi="Times New Roman" w:cs="Times New Roman"/>
          <w:b/>
          <w:bCs/>
          <w:sz w:val="24"/>
          <w:szCs w:val="24"/>
        </w:rPr>
      </w:pPr>
      <w:r w:rsidRPr="0070564E">
        <w:rPr>
          <w:rFonts w:ascii="Times New Roman" w:hAnsi="Times New Roman" w:cs="Times New Roman"/>
          <w:b/>
          <w:bCs/>
          <w:sz w:val="24"/>
          <w:szCs w:val="24"/>
        </w:rPr>
        <w:t>Study Design</w:t>
      </w:r>
    </w:p>
    <w:p w14:paraId="2CFA4F55" w14:textId="77777777" w:rsidR="0070564E" w:rsidRPr="0070564E" w:rsidRDefault="0070564E" w:rsidP="0070564E">
      <w:pPr>
        <w:spacing w:line="360" w:lineRule="auto"/>
        <w:jc w:val="both"/>
        <w:rPr>
          <w:rFonts w:ascii="Times New Roman" w:hAnsi="Times New Roman" w:cs="Times New Roman"/>
          <w:sz w:val="24"/>
          <w:szCs w:val="24"/>
        </w:rPr>
      </w:pPr>
      <w:r w:rsidRPr="0070564E">
        <w:rPr>
          <w:rFonts w:ascii="Times New Roman" w:hAnsi="Times New Roman" w:cs="Times New Roman"/>
          <w:sz w:val="24"/>
          <w:szCs w:val="24"/>
          <w:highlight w:val="yellow"/>
        </w:rPr>
        <w:t>A facility-based cross-sectional study was conducted between April and August 2025. The study involved the systematic assessment of individuals presenting to selected healthcare facilities during the study period. Data were collected at a single point in time to determine the prevalence of tuberculosis and its association with selected sociodemographic and clinical factors among presumptive TB cases. This design was appropriate for estimating the proportion of Xpert-confirmed TB cases within the healthcare-seeking population. However, as a facility-based study, the findings are limited to individuals who accessed healthcare services and may not fully represent undiagnosed or untreated TB cases within the wider community.</w:t>
      </w:r>
    </w:p>
    <w:p w14:paraId="19C2466C" w14:textId="77777777" w:rsidR="0070564E" w:rsidRPr="0070564E" w:rsidRDefault="0070564E" w:rsidP="0070564E">
      <w:pPr>
        <w:spacing w:line="360" w:lineRule="auto"/>
        <w:jc w:val="both"/>
        <w:rPr>
          <w:rFonts w:ascii="Times New Roman" w:hAnsi="Times New Roman" w:cs="Times New Roman"/>
          <w:b/>
          <w:bCs/>
          <w:sz w:val="24"/>
          <w:szCs w:val="24"/>
        </w:rPr>
      </w:pPr>
      <w:r w:rsidRPr="0070564E">
        <w:rPr>
          <w:rFonts w:ascii="Times New Roman" w:hAnsi="Times New Roman" w:cs="Times New Roman"/>
          <w:b/>
          <w:bCs/>
          <w:sz w:val="24"/>
          <w:szCs w:val="24"/>
        </w:rPr>
        <w:t>Study Area</w:t>
      </w:r>
    </w:p>
    <w:p w14:paraId="4D146F35" w14:textId="77777777" w:rsidR="0070564E" w:rsidRPr="0070564E" w:rsidRDefault="0070564E" w:rsidP="0070564E">
      <w:pPr>
        <w:spacing w:line="360" w:lineRule="auto"/>
        <w:jc w:val="both"/>
        <w:rPr>
          <w:rFonts w:ascii="Times New Roman" w:hAnsi="Times New Roman" w:cs="Times New Roman"/>
          <w:sz w:val="24"/>
          <w:szCs w:val="24"/>
          <w:highlight w:val="yellow"/>
        </w:rPr>
      </w:pPr>
      <w:r w:rsidRPr="0070564E">
        <w:rPr>
          <w:rFonts w:ascii="Times New Roman" w:hAnsi="Times New Roman" w:cs="Times New Roman"/>
          <w:sz w:val="24"/>
          <w:szCs w:val="24"/>
          <w:highlight w:val="yellow"/>
        </w:rPr>
        <w:t xml:space="preserve">The study was carried out in North-Central Nigeria, specifically in three states: Benue, Nasarawa, and Plateau. Selected facilities included Benue State University Teaching Hospital and PHC </w:t>
      </w:r>
      <w:proofErr w:type="spellStart"/>
      <w:r w:rsidRPr="0070564E">
        <w:rPr>
          <w:rFonts w:ascii="Times New Roman" w:hAnsi="Times New Roman" w:cs="Times New Roman"/>
          <w:sz w:val="24"/>
          <w:szCs w:val="24"/>
          <w:highlight w:val="yellow"/>
        </w:rPr>
        <w:t>Wadata</w:t>
      </w:r>
      <w:proofErr w:type="spellEnd"/>
      <w:r w:rsidRPr="0070564E">
        <w:rPr>
          <w:rFonts w:ascii="Times New Roman" w:hAnsi="Times New Roman" w:cs="Times New Roman"/>
          <w:sz w:val="24"/>
          <w:szCs w:val="24"/>
          <w:highlight w:val="yellow"/>
        </w:rPr>
        <w:t xml:space="preserve"> in Makurdi, Benue State; PHC Pada and PHC Marmara in Nasarawa Local Government Area of Nasarawa State; and PHC Tudun Wada and PHC </w:t>
      </w:r>
      <w:proofErr w:type="spellStart"/>
      <w:r w:rsidRPr="0070564E">
        <w:rPr>
          <w:rFonts w:ascii="Times New Roman" w:hAnsi="Times New Roman" w:cs="Times New Roman"/>
          <w:sz w:val="24"/>
          <w:szCs w:val="24"/>
          <w:highlight w:val="yellow"/>
        </w:rPr>
        <w:t>Dogo</w:t>
      </w:r>
      <w:proofErr w:type="spellEnd"/>
      <w:r w:rsidRPr="0070564E">
        <w:rPr>
          <w:rFonts w:ascii="Times New Roman" w:hAnsi="Times New Roman" w:cs="Times New Roman"/>
          <w:sz w:val="24"/>
          <w:szCs w:val="24"/>
          <w:highlight w:val="yellow"/>
        </w:rPr>
        <w:t xml:space="preserve"> Agogo in Jos North Local Government Area of Plateau State. These facilities were selected because they provide tuberculosis diagnostic and treatment services (DOTS centres) and serve diverse populations, making them suitable for assessing TB burden in the region. The study population comprised individuals presenting with symptoms suggestive of pulmonary tuberculosis at these facilities during the study period.</w:t>
      </w:r>
    </w:p>
    <w:p w14:paraId="23FB1328" w14:textId="03CD1AA6" w:rsidR="0070564E" w:rsidRPr="0070564E" w:rsidRDefault="0070564E" w:rsidP="0070564E">
      <w:pPr>
        <w:spacing w:line="360" w:lineRule="auto"/>
        <w:jc w:val="both"/>
        <w:rPr>
          <w:rFonts w:ascii="Times New Roman" w:hAnsi="Times New Roman" w:cs="Times New Roman"/>
          <w:sz w:val="24"/>
          <w:szCs w:val="24"/>
          <w:highlight w:val="yellow"/>
        </w:rPr>
      </w:pPr>
    </w:p>
    <w:p w14:paraId="273E46F2" w14:textId="4234C015" w:rsidR="00C317CF" w:rsidRPr="00DB50C0" w:rsidRDefault="00C317CF" w:rsidP="00FE2F0E">
      <w:pPr>
        <w:spacing w:line="360" w:lineRule="auto"/>
        <w:jc w:val="both"/>
        <w:rPr>
          <w:rFonts w:ascii="Times New Roman" w:hAnsi="Times New Roman" w:cs="Times New Roman"/>
          <w:b/>
          <w:bCs/>
          <w:sz w:val="24"/>
          <w:szCs w:val="24"/>
        </w:rPr>
      </w:pPr>
      <w:r w:rsidRPr="00DB50C0">
        <w:rPr>
          <w:rFonts w:ascii="Times New Roman" w:hAnsi="Times New Roman" w:cs="Times New Roman"/>
          <w:b/>
          <w:bCs/>
          <w:sz w:val="24"/>
          <w:szCs w:val="24"/>
        </w:rPr>
        <w:lastRenderedPageBreak/>
        <w:t>Study population</w:t>
      </w:r>
    </w:p>
    <w:p w14:paraId="76F0FC1B" w14:textId="77777777" w:rsidR="009B06AF" w:rsidRDefault="003E064D" w:rsidP="00FE2F0E">
      <w:pPr>
        <w:spacing w:line="360" w:lineRule="auto"/>
        <w:jc w:val="both"/>
        <w:rPr>
          <w:rFonts w:ascii="Times New Roman" w:hAnsi="Times New Roman" w:cs="Times New Roman"/>
          <w:sz w:val="24"/>
          <w:szCs w:val="24"/>
        </w:rPr>
      </w:pPr>
      <w:r w:rsidRPr="003E064D">
        <w:rPr>
          <w:rFonts w:ascii="Times New Roman" w:hAnsi="Times New Roman" w:cs="Times New Roman"/>
          <w:sz w:val="24"/>
          <w:szCs w:val="24"/>
        </w:rPr>
        <w:t xml:space="preserve">The study population comprised children and adults who presented with symptoms suggestive of pulmonary tuberculosis at the selected health facilities during the study period. </w:t>
      </w:r>
      <w:r w:rsidR="00AE0251" w:rsidRPr="009B06AF">
        <w:rPr>
          <w:rFonts w:ascii="Times New Roman" w:hAnsi="Times New Roman" w:cs="Times New Roman"/>
          <w:sz w:val="24"/>
          <w:szCs w:val="24"/>
          <w:highlight w:val="yellow"/>
        </w:rPr>
        <w:t>Individuals currently on treatment or with ongoing bacteriologically confirmed TB and those who were unable to provide informed consent</w:t>
      </w:r>
      <w:r w:rsidR="009B06AF" w:rsidRPr="009B06AF">
        <w:rPr>
          <w:rFonts w:ascii="Times New Roman" w:hAnsi="Times New Roman" w:cs="Times New Roman"/>
          <w:sz w:val="24"/>
          <w:szCs w:val="24"/>
          <w:highlight w:val="yellow"/>
        </w:rPr>
        <w:t xml:space="preserve"> </w:t>
      </w:r>
      <w:r w:rsidR="00AE0251" w:rsidRPr="009B06AF">
        <w:rPr>
          <w:rFonts w:ascii="Times New Roman" w:hAnsi="Times New Roman" w:cs="Times New Roman"/>
          <w:sz w:val="24"/>
          <w:szCs w:val="24"/>
          <w:highlight w:val="yellow"/>
        </w:rPr>
        <w:t>were excluded, while individuals with a history of TB who presented again with presumptive symptoms were eligible for inclusion.</w:t>
      </w:r>
      <w:r w:rsidR="00AE0251">
        <w:rPr>
          <w:rFonts w:ascii="Times New Roman" w:hAnsi="Times New Roman" w:cs="Times New Roman"/>
          <w:sz w:val="24"/>
          <w:szCs w:val="24"/>
        </w:rPr>
        <w:t xml:space="preserve"> </w:t>
      </w:r>
      <w:r w:rsidRPr="003E064D">
        <w:rPr>
          <w:rFonts w:ascii="Times New Roman" w:hAnsi="Times New Roman" w:cs="Times New Roman"/>
          <w:sz w:val="24"/>
          <w:szCs w:val="24"/>
        </w:rPr>
        <w:t xml:space="preserve"> </w:t>
      </w:r>
    </w:p>
    <w:p w14:paraId="62889D6A" w14:textId="0D93B770" w:rsidR="00653CAA" w:rsidRPr="00DB50C0" w:rsidRDefault="00653CAA" w:rsidP="00FE2F0E">
      <w:pPr>
        <w:spacing w:line="360" w:lineRule="auto"/>
        <w:jc w:val="both"/>
        <w:rPr>
          <w:rFonts w:ascii="Times New Roman" w:hAnsi="Times New Roman" w:cs="Times New Roman"/>
          <w:sz w:val="24"/>
          <w:szCs w:val="24"/>
        </w:rPr>
      </w:pPr>
      <w:r w:rsidRPr="00DB50C0">
        <w:rPr>
          <w:rFonts w:ascii="Times New Roman" w:hAnsi="Times New Roman" w:cs="Times New Roman"/>
          <w:b/>
          <w:bCs/>
          <w:sz w:val="24"/>
          <w:szCs w:val="24"/>
        </w:rPr>
        <w:t>Sample size and sampling technique</w:t>
      </w:r>
      <w:r w:rsidRPr="00DB50C0">
        <w:rPr>
          <w:rFonts w:ascii="Times New Roman" w:hAnsi="Times New Roman" w:cs="Times New Roman"/>
          <w:sz w:val="24"/>
          <w:szCs w:val="24"/>
        </w:rPr>
        <w:t xml:space="preserve"> </w:t>
      </w:r>
    </w:p>
    <w:p w14:paraId="72F94C1F" w14:textId="77777777" w:rsidR="00EC0E7A" w:rsidRPr="00EC0E7A" w:rsidRDefault="00EC0E7A" w:rsidP="00FE2F0E">
      <w:pPr>
        <w:spacing w:line="360" w:lineRule="auto"/>
        <w:jc w:val="both"/>
        <w:rPr>
          <w:rFonts w:ascii="Times New Roman" w:hAnsi="Times New Roman" w:cs="Times New Roman"/>
          <w:sz w:val="24"/>
          <w:szCs w:val="24"/>
        </w:rPr>
      </w:pPr>
      <w:r w:rsidRPr="00EC0E7A">
        <w:rPr>
          <w:rFonts w:ascii="Times New Roman" w:hAnsi="Times New Roman" w:cs="Times New Roman"/>
          <w:sz w:val="24"/>
          <w:szCs w:val="24"/>
        </w:rPr>
        <w:t>The sample size was determined using the single population proportion formula, applying a tuberculosis prevalence of 40.4% as reported by Olatunji et al. (2023), a margin of error of 5% (d = 0.05), and a 95% confidence level (Z = 1.96). This yielded an initial minimum sample size of 370 participants. To account for possible non-response, an additional 10% was added, resulting in a final sample size of 411.</w:t>
      </w:r>
    </w:p>
    <w:p w14:paraId="6A030700" w14:textId="04A038C5" w:rsidR="00EC0E7A" w:rsidRDefault="00EC0E7A" w:rsidP="00FE2F0E">
      <w:pPr>
        <w:spacing w:line="360" w:lineRule="auto"/>
        <w:jc w:val="both"/>
        <w:rPr>
          <w:rFonts w:ascii="Times New Roman" w:hAnsi="Times New Roman" w:cs="Times New Roman"/>
          <w:sz w:val="24"/>
          <w:szCs w:val="24"/>
        </w:rPr>
      </w:pPr>
      <w:r w:rsidRPr="00EC0E7A">
        <w:rPr>
          <w:rFonts w:ascii="Times New Roman" w:hAnsi="Times New Roman" w:cs="Times New Roman"/>
          <w:sz w:val="24"/>
          <w:szCs w:val="24"/>
        </w:rPr>
        <w:t>A multistage sampling approach was employed to select study participants. In the first stage, states within the study area were selected. In the second stage, selected Local Government Areas were chosen from each state. The third stage involved the selection of health facilities within the chosen LGAs, while in the final stage, eligible participants were consecutively recruited from the selected facilities until the required sample size was attained.</w:t>
      </w:r>
    </w:p>
    <w:p w14:paraId="69AA1690" w14:textId="1A2EC06C" w:rsidR="00D63BB2" w:rsidRPr="00DB50C0" w:rsidRDefault="00D63BB2" w:rsidP="00FE2F0E">
      <w:pPr>
        <w:spacing w:line="360" w:lineRule="auto"/>
        <w:jc w:val="both"/>
        <w:rPr>
          <w:rFonts w:ascii="Times New Roman" w:hAnsi="Times New Roman" w:cs="Times New Roman"/>
          <w:b/>
          <w:bCs/>
          <w:sz w:val="24"/>
          <w:szCs w:val="24"/>
        </w:rPr>
      </w:pPr>
      <w:r w:rsidRPr="00DB50C0">
        <w:rPr>
          <w:rFonts w:ascii="Times New Roman" w:hAnsi="Times New Roman" w:cs="Times New Roman"/>
          <w:b/>
          <w:bCs/>
          <w:sz w:val="24"/>
          <w:szCs w:val="24"/>
        </w:rPr>
        <w:t xml:space="preserve">Data Collection and Laboratory Processing </w:t>
      </w:r>
    </w:p>
    <w:p w14:paraId="7895D620" w14:textId="34D9FFF0" w:rsidR="00580BDD" w:rsidRDefault="00D63BB2" w:rsidP="00FE2F0E">
      <w:pPr>
        <w:spacing w:line="360" w:lineRule="auto"/>
        <w:jc w:val="both"/>
        <w:rPr>
          <w:rFonts w:ascii="Times New Roman" w:hAnsi="Times New Roman" w:cs="Times New Roman"/>
          <w:sz w:val="24"/>
          <w:szCs w:val="24"/>
        </w:rPr>
      </w:pPr>
      <w:r w:rsidRPr="00DB50C0">
        <w:rPr>
          <w:rFonts w:ascii="Times New Roman" w:hAnsi="Times New Roman" w:cs="Times New Roman"/>
          <w:sz w:val="24"/>
          <w:szCs w:val="24"/>
        </w:rPr>
        <w:t xml:space="preserve">Socio-demographic characteristics of study participants and clinical features were collected using a structured questionnaire, and relevant data were collected from each study participant by trained health professionals. Those patients identified with signs and symptoms of pulmonary tuberculosis were </w:t>
      </w:r>
      <w:r w:rsidR="00DB50C0">
        <w:rPr>
          <w:rFonts w:ascii="Times New Roman" w:hAnsi="Times New Roman" w:cs="Times New Roman"/>
          <w:sz w:val="24"/>
          <w:szCs w:val="24"/>
        </w:rPr>
        <w:t>ask</w:t>
      </w:r>
      <w:r w:rsidRPr="00DB50C0">
        <w:rPr>
          <w:rFonts w:ascii="Times New Roman" w:hAnsi="Times New Roman" w:cs="Times New Roman"/>
          <w:sz w:val="24"/>
          <w:szCs w:val="24"/>
        </w:rPr>
        <w:t xml:space="preserve">ed to bring a single sputum sample for the diagnosis of TB using Xpert MTB/RIF. Briefly, </w:t>
      </w:r>
      <w:r w:rsidR="00027D5D">
        <w:rPr>
          <w:rFonts w:ascii="Times New Roman" w:hAnsi="Times New Roman" w:cs="Times New Roman"/>
          <w:sz w:val="24"/>
          <w:szCs w:val="24"/>
        </w:rPr>
        <w:t>the</w:t>
      </w:r>
      <w:r w:rsidR="00A5066E" w:rsidRPr="00DE7965">
        <w:rPr>
          <w:rFonts w:ascii="Times New Roman" w:hAnsi="Times New Roman" w:cs="Times New Roman"/>
          <w:sz w:val="24"/>
          <w:szCs w:val="24"/>
        </w:rPr>
        <w:t xml:space="preserve"> sputum sample is mixed with</w:t>
      </w:r>
      <w:r w:rsidR="00027D5D">
        <w:rPr>
          <w:rFonts w:ascii="Times New Roman" w:hAnsi="Times New Roman" w:cs="Times New Roman"/>
          <w:sz w:val="24"/>
          <w:szCs w:val="24"/>
        </w:rPr>
        <w:t xml:space="preserve"> the</w:t>
      </w:r>
      <w:r w:rsidR="00A5066E" w:rsidRPr="00DE7965">
        <w:rPr>
          <w:rFonts w:ascii="Times New Roman" w:hAnsi="Times New Roman" w:cs="Times New Roman"/>
          <w:sz w:val="24"/>
          <w:szCs w:val="24"/>
        </w:rPr>
        <w:t xml:space="preserve"> GeneXpert sample reagent and loaded into a cartridge that is inserted into the GeneXpert machine, where automated real-time PCR simultaneously detects </w:t>
      </w:r>
      <w:r w:rsidR="00A5066E" w:rsidRPr="00DE7965">
        <w:rPr>
          <w:rFonts w:ascii="Times New Roman" w:hAnsi="Times New Roman" w:cs="Times New Roman"/>
          <w:i/>
          <w:iCs/>
          <w:sz w:val="24"/>
          <w:szCs w:val="24"/>
        </w:rPr>
        <w:t>Mycobacterium tuberculosis</w:t>
      </w:r>
      <w:r w:rsidR="00A5066E" w:rsidRPr="00DE7965">
        <w:rPr>
          <w:rFonts w:ascii="Times New Roman" w:hAnsi="Times New Roman" w:cs="Times New Roman"/>
          <w:sz w:val="24"/>
          <w:szCs w:val="24"/>
        </w:rPr>
        <w:t xml:space="preserve"> and rifampicin resistance.</w:t>
      </w:r>
    </w:p>
    <w:p w14:paraId="51B21390" w14:textId="38180BBD" w:rsidR="004D10BB" w:rsidRPr="00FE253B" w:rsidRDefault="00FE253B" w:rsidP="00FE2F0E">
      <w:pPr>
        <w:spacing w:line="360" w:lineRule="auto"/>
        <w:jc w:val="both"/>
        <w:rPr>
          <w:rFonts w:ascii="Times New Roman" w:hAnsi="Times New Roman" w:cs="Times New Roman"/>
          <w:b/>
          <w:bCs/>
          <w:sz w:val="24"/>
          <w:szCs w:val="24"/>
        </w:rPr>
      </w:pPr>
      <w:r w:rsidRPr="00FE253B">
        <w:rPr>
          <w:rFonts w:ascii="Times New Roman" w:hAnsi="Times New Roman" w:cs="Times New Roman"/>
          <w:b/>
          <w:bCs/>
          <w:sz w:val="24"/>
          <w:szCs w:val="24"/>
        </w:rPr>
        <w:t>Data Analysis</w:t>
      </w:r>
    </w:p>
    <w:p w14:paraId="1350C9A9" w14:textId="2150D1BC" w:rsidR="00FE253B" w:rsidRPr="00A613B1" w:rsidRDefault="00FE253B" w:rsidP="00FE2F0E">
      <w:pPr>
        <w:spacing w:before="100" w:beforeAutospacing="1" w:after="100" w:afterAutospacing="1" w:line="360" w:lineRule="auto"/>
        <w:jc w:val="both"/>
        <w:rPr>
          <w:rFonts w:ascii="Times New Roman" w:eastAsia="Times New Roman" w:hAnsi="Times New Roman" w:cs="Times New Roman"/>
          <w:sz w:val="24"/>
          <w:szCs w:val="24"/>
          <w:lang w:eastAsia="en-GB"/>
        </w:rPr>
      </w:pPr>
      <w:r w:rsidRPr="00FE253B">
        <w:rPr>
          <w:rFonts w:ascii="Times New Roman" w:hAnsi="Times New Roman" w:cs="Times New Roman"/>
          <w:sz w:val="24"/>
          <w:szCs w:val="24"/>
        </w:rPr>
        <w:t>A descriptive statistic was used to analyse the data</w:t>
      </w:r>
      <w:r w:rsidR="00B109BA">
        <w:rPr>
          <w:rFonts w:ascii="Times New Roman" w:hAnsi="Times New Roman" w:cs="Times New Roman"/>
          <w:sz w:val="24"/>
          <w:szCs w:val="24"/>
        </w:rPr>
        <w:t xml:space="preserve"> on </w:t>
      </w:r>
      <w:r w:rsidR="00B109BA" w:rsidRPr="00434180">
        <w:rPr>
          <w:rFonts w:ascii="Times New Roman" w:eastAsia="Calibri" w:hAnsi="Times New Roman" w:cs="Times New Roman"/>
          <w:sz w:val="24"/>
          <w:szCs w:val="24"/>
        </w:rPr>
        <w:t>SPSS version 23</w:t>
      </w:r>
      <w:r w:rsidRPr="00FE253B">
        <w:rPr>
          <w:rFonts w:ascii="Times New Roman" w:hAnsi="Times New Roman" w:cs="Times New Roman"/>
          <w:sz w:val="24"/>
          <w:szCs w:val="24"/>
        </w:rPr>
        <w:t xml:space="preserve">. </w:t>
      </w:r>
      <w:r w:rsidRPr="00FE253B">
        <w:rPr>
          <w:rFonts w:ascii="Times New Roman" w:hAnsi="Times New Roman" w:cs="Times New Roman"/>
          <w:sz w:val="24"/>
          <w:szCs w:val="24"/>
          <w:lang w:val="en-US"/>
        </w:rPr>
        <w:t>Frequency tables were created for categorical variables.</w:t>
      </w:r>
      <w:r w:rsidR="00A613B1">
        <w:rPr>
          <w:rFonts w:ascii="Times New Roman" w:hAnsi="Times New Roman" w:cs="Times New Roman"/>
          <w:sz w:val="24"/>
          <w:szCs w:val="24"/>
          <w:lang w:val="en-US"/>
        </w:rPr>
        <w:t xml:space="preserve"> </w:t>
      </w:r>
      <w:r w:rsidR="00A613B1" w:rsidRPr="00434180">
        <w:rPr>
          <w:rFonts w:ascii="Times New Roman" w:eastAsia="Times New Roman" w:hAnsi="Times New Roman" w:cs="Times New Roman"/>
          <w:sz w:val="24"/>
          <w:szCs w:val="24"/>
          <w:lang w:eastAsia="en-GB"/>
        </w:rPr>
        <w:t>The Chi-Square Test of Independence w</w:t>
      </w:r>
      <w:r w:rsidR="00A613B1">
        <w:rPr>
          <w:rFonts w:ascii="Times New Roman" w:eastAsia="Times New Roman" w:hAnsi="Times New Roman" w:cs="Times New Roman"/>
          <w:sz w:val="24"/>
          <w:szCs w:val="24"/>
          <w:lang w:eastAsia="en-GB"/>
        </w:rPr>
        <w:t>as</w:t>
      </w:r>
      <w:r w:rsidR="00A613B1" w:rsidRPr="00434180">
        <w:rPr>
          <w:rFonts w:ascii="Times New Roman" w:eastAsia="Times New Roman" w:hAnsi="Times New Roman" w:cs="Times New Roman"/>
          <w:sz w:val="24"/>
          <w:szCs w:val="24"/>
          <w:lang w:eastAsia="en-GB"/>
        </w:rPr>
        <w:t xml:space="preserve"> performed to determine if there is a significant association between </w:t>
      </w:r>
      <w:r w:rsidR="00A613B1">
        <w:rPr>
          <w:rFonts w:ascii="Times New Roman" w:eastAsia="Times New Roman" w:hAnsi="Times New Roman" w:cs="Times New Roman"/>
          <w:sz w:val="24"/>
          <w:szCs w:val="24"/>
          <w:lang w:eastAsia="en-GB"/>
        </w:rPr>
        <w:t>socio-demographics</w:t>
      </w:r>
      <w:r w:rsidR="00A613B1" w:rsidRPr="00434180">
        <w:rPr>
          <w:rFonts w:ascii="Times New Roman" w:eastAsia="Times New Roman" w:hAnsi="Times New Roman" w:cs="Times New Roman"/>
          <w:sz w:val="24"/>
          <w:szCs w:val="24"/>
          <w:lang w:eastAsia="en-GB"/>
        </w:rPr>
        <w:t xml:space="preserve"> and </w:t>
      </w:r>
      <w:r w:rsidR="00A613B1">
        <w:rPr>
          <w:rFonts w:ascii="Times New Roman" w:eastAsia="Times New Roman" w:hAnsi="Times New Roman" w:cs="Times New Roman"/>
          <w:sz w:val="24"/>
          <w:szCs w:val="24"/>
          <w:lang w:eastAsia="en-GB"/>
        </w:rPr>
        <w:t xml:space="preserve">the </w:t>
      </w:r>
      <w:r w:rsidR="00A613B1" w:rsidRPr="00434180">
        <w:rPr>
          <w:rFonts w:ascii="Times New Roman" w:eastAsia="Times New Roman" w:hAnsi="Times New Roman" w:cs="Times New Roman"/>
          <w:sz w:val="24"/>
          <w:szCs w:val="24"/>
          <w:lang w:eastAsia="en-GB"/>
        </w:rPr>
        <w:t>test results.</w:t>
      </w:r>
    </w:p>
    <w:p w14:paraId="18E63B68" w14:textId="2CB61093" w:rsidR="00550E58" w:rsidRPr="00DB50C0" w:rsidRDefault="00C3198E" w:rsidP="00FE2F0E">
      <w:pPr>
        <w:spacing w:line="360" w:lineRule="auto"/>
        <w:jc w:val="both"/>
        <w:rPr>
          <w:rFonts w:ascii="Times New Roman" w:hAnsi="Times New Roman" w:cs="Times New Roman"/>
          <w:b/>
          <w:bCs/>
          <w:sz w:val="24"/>
          <w:szCs w:val="24"/>
        </w:rPr>
      </w:pPr>
      <w:r w:rsidRPr="00DB50C0">
        <w:rPr>
          <w:rFonts w:ascii="Times New Roman" w:hAnsi="Times New Roman" w:cs="Times New Roman"/>
          <w:b/>
          <w:bCs/>
          <w:sz w:val="24"/>
          <w:szCs w:val="24"/>
        </w:rPr>
        <w:lastRenderedPageBreak/>
        <w:t xml:space="preserve">Results </w:t>
      </w:r>
    </w:p>
    <w:p w14:paraId="18D21145" w14:textId="09ED7FA3" w:rsidR="00937006" w:rsidRPr="00DB50C0" w:rsidRDefault="00A8585A" w:rsidP="00FE2F0E">
      <w:pPr>
        <w:spacing w:line="360" w:lineRule="auto"/>
        <w:jc w:val="both"/>
        <w:rPr>
          <w:rFonts w:ascii="Times New Roman" w:hAnsi="Times New Roman" w:cs="Times New Roman"/>
          <w:sz w:val="24"/>
          <w:szCs w:val="24"/>
        </w:rPr>
      </w:pPr>
      <w:r w:rsidRPr="00DB50C0">
        <w:rPr>
          <w:rFonts w:ascii="Times New Roman" w:hAnsi="Times New Roman" w:cs="Times New Roman"/>
          <w:b/>
          <w:bCs/>
          <w:sz w:val="24"/>
          <w:szCs w:val="24"/>
        </w:rPr>
        <w:t>Socio-demographic</w:t>
      </w:r>
      <w:r w:rsidR="00C3198E" w:rsidRPr="00DB50C0">
        <w:rPr>
          <w:rFonts w:ascii="Times New Roman" w:hAnsi="Times New Roman" w:cs="Times New Roman"/>
          <w:b/>
          <w:bCs/>
          <w:sz w:val="24"/>
          <w:szCs w:val="24"/>
        </w:rPr>
        <w:t xml:space="preserve"> of </w:t>
      </w:r>
      <w:r w:rsidR="00C6513C" w:rsidRPr="00DB50C0">
        <w:rPr>
          <w:rFonts w:ascii="Times New Roman" w:hAnsi="Times New Roman" w:cs="Times New Roman"/>
          <w:b/>
          <w:bCs/>
          <w:sz w:val="24"/>
          <w:szCs w:val="24"/>
        </w:rPr>
        <w:t>S</w:t>
      </w:r>
      <w:r w:rsidR="00C3198E" w:rsidRPr="00DB50C0">
        <w:rPr>
          <w:rFonts w:ascii="Times New Roman" w:hAnsi="Times New Roman" w:cs="Times New Roman"/>
          <w:b/>
          <w:bCs/>
          <w:sz w:val="24"/>
          <w:szCs w:val="24"/>
        </w:rPr>
        <w:t xml:space="preserve">tudy </w:t>
      </w:r>
      <w:r w:rsidR="00C6513C" w:rsidRPr="00DB50C0">
        <w:rPr>
          <w:rFonts w:ascii="Times New Roman" w:hAnsi="Times New Roman" w:cs="Times New Roman"/>
          <w:b/>
          <w:bCs/>
          <w:sz w:val="24"/>
          <w:szCs w:val="24"/>
        </w:rPr>
        <w:t>P</w:t>
      </w:r>
      <w:r w:rsidR="00C3198E" w:rsidRPr="00DB50C0">
        <w:rPr>
          <w:rFonts w:ascii="Times New Roman" w:hAnsi="Times New Roman" w:cs="Times New Roman"/>
          <w:b/>
          <w:bCs/>
          <w:sz w:val="24"/>
          <w:szCs w:val="24"/>
        </w:rPr>
        <w:t>articipants</w:t>
      </w:r>
      <w:r w:rsidR="00C3198E" w:rsidRPr="00DB50C0">
        <w:rPr>
          <w:rFonts w:ascii="Times New Roman" w:hAnsi="Times New Roman" w:cs="Times New Roman"/>
          <w:sz w:val="24"/>
          <w:szCs w:val="24"/>
        </w:rPr>
        <w:t xml:space="preserve"> </w:t>
      </w:r>
    </w:p>
    <w:p w14:paraId="24C50D19" w14:textId="584A519D" w:rsidR="00344A45" w:rsidRPr="00914D74" w:rsidRDefault="00344A45" w:rsidP="00FE2F0E">
      <w:pPr>
        <w:spacing w:line="360" w:lineRule="auto"/>
        <w:jc w:val="both"/>
        <w:rPr>
          <w:rFonts w:ascii="Times New Roman" w:hAnsi="Times New Roman" w:cs="Times New Roman"/>
          <w:color w:val="EE0000"/>
          <w:sz w:val="24"/>
          <w:szCs w:val="24"/>
        </w:rPr>
      </w:pPr>
      <w:r w:rsidRPr="00344A45">
        <w:rPr>
          <w:rFonts w:ascii="Times New Roman" w:hAnsi="Times New Roman" w:cs="Times New Roman"/>
          <w:sz w:val="24"/>
          <w:szCs w:val="24"/>
        </w:rPr>
        <w:t>A total of 411 individuals with presumptive pulmonary tuberculosis attending selected healthcare facilities in North-Central Nigeria were enrolled in the study. T</w:t>
      </w:r>
      <w:r w:rsidR="008D0009">
        <w:rPr>
          <w:rFonts w:ascii="Times New Roman" w:hAnsi="Times New Roman" w:cs="Times New Roman"/>
          <w:sz w:val="24"/>
          <w:szCs w:val="24"/>
        </w:rPr>
        <w:t>able 1 shows t</w:t>
      </w:r>
      <w:r w:rsidRPr="00344A45">
        <w:rPr>
          <w:rFonts w:ascii="Times New Roman" w:hAnsi="Times New Roman" w:cs="Times New Roman"/>
          <w:sz w:val="24"/>
          <w:szCs w:val="24"/>
        </w:rPr>
        <w:t xml:space="preserve">he ages of the participants ranged from 11 to 76 years, with a median age of 31 years (interquartile range: 22.0–41.0). </w:t>
      </w:r>
      <w:r w:rsidR="005F6B96">
        <w:rPr>
          <w:rFonts w:ascii="Times New Roman" w:hAnsi="Times New Roman" w:cs="Times New Roman"/>
          <w:sz w:val="24"/>
          <w:szCs w:val="24"/>
        </w:rPr>
        <w:t>The majority</w:t>
      </w:r>
      <w:r w:rsidRPr="00344A45">
        <w:rPr>
          <w:rFonts w:ascii="Times New Roman" w:hAnsi="Times New Roman" w:cs="Times New Roman"/>
          <w:sz w:val="24"/>
          <w:szCs w:val="24"/>
        </w:rPr>
        <w:t xml:space="preserve"> of participants belonged to the 21–40-year age group, accounting for 229 (55.7%), while the smallest proportion was observed among those aged 61–81 years, 26 (6.3%).</w:t>
      </w:r>
      <w:r w:rsidR="009847BC">
        <w:rPr>
          <w:rFonts w:ascii="Times New Roman" w:hAnsi="Times New Roman" w:cs="Times New Roman"/>
          <w:sz w:val="24"/>
          <w:szCs w:val="24"/>
        </w:rPr>
        <w:t xml:space="preserve"> </w:t>
      </w:r>
      <w:r w:rsidRPr="00344A45">
        <w:rPr>
          <w:rFonts w:ascii="Times New Roman" w:hAnsi="Times New Roman" w:cs="Times New Roman"/>
          <w:sz w:val="24"/>
          <w:szCs w:val="24"/>
        </w:rPr>
        <w:t>The highest number of positive cases occurred among participants aged 21–40 years, with 53 (12.9%) cases, whereas the lowest number was recorded in the 61–81-year age group, with 9 (2.2%) cases. However, age was not significantly associated with TB positivity (p = 0.291).</w:t>
      </w:r>
    </w:p>
    <w:p w14:paraId="36944C61" w14:textId="33DC2014" w:rsidR="00344A45" w:rsidRPr="00344A45" w:rsidRDefault="00344A45" w:rsidP="00FE2F0E">
      <w:pPr>
        <w:spacing w:line="360" w:lineRule="auto"/>
        <w:jc w:val="both"/>
        <w:rPr>
          <w:rFonts w:ascii="Times New Roman" w:hAnsi="Times New Roman" w:cs="Times New Roman"/>
          <w:sz w:val="24"/>
          <w:szCs w:val="24"/>
        </w:rPr>
      </w:pPr>
      <w:r w:rsidRPr="00344A45">
        <w:rPr>
          <w:rFonts w:ascii="Times New Roman" w:hAnsi="Times New Roman" w:cs="Times New Roman"/>
          <w:sz w:val="24"/>
          <w:szCs w:val="24"/>
        </w:rPr>
        <w:t xml:space="preserve">Overall, 104 participants (25.3%) tested positive for </w:t>
      </w:r>
      <w:r w:rsidRPr="00344A45">
        <w:rPr>
          <w:rFonts w:ascii="Times New Roman" w:hAnsi="Times New Roman" w:cs="Times New Roman"/>
          <w:i/>
          <w:iCs/>
          <w:sz w:val="24"/>
          <w:szCs w:val="24"/>
        </w:rPr>
        <w:t>M. tuberculosis</w:t>
      </w:r>
      <w:r w:rsidRPr="00344A45">
        <w:rPr>
          <w:rFonts w:ascii="Times New Roman" w:hAnsi="Times New Roman" w:cs="Times New Roman"/>
          <w:sz w:val="24"/>
          <w:szCs w:val="24"/>
        </w:rPr>
        <w:t xml:space="preserve">, comprising 51 males (12.4%) and 53 females (12.9%), as shown in </w:t>
      </w:r>
      <w:r w:rsidRPr="00C3781F">
        <w:rPr>
          <w:rFonts w:ascii="Times New Roman" w:hAnsi="Times New Roman" w:cs="Times New Roman"/>
          <w:color w:val="000000" w:themeColor="text1"/>
          <w:sz w:val="24"/>
          <w:szCs w:val="24"/>
        </w:rPr>
        <w:t xml:space="preserve">Table </w:t>
      </w:r>
      <w:r w:rsidR="00C3781F" w:rsidRPr="00C3781F">
        <w:rPr>
          <w:rFonts w:ascii="Times New Roman" w:hAnsi="Times New Roman" w:cs="Times New Roman"/>
          <w:color w:val="000000" w:themeColor="text1"/>
          <w:sz w:val="24"/>
          <w:szCs w:val="24"/>
        </w:rPr>
        <w:t>2</w:t>
      </w:r>
      <w:r w:rsidRPr="00C3781F">
        <w:rPr>
          <w:rFonts w:ascii="Times New Roman" w:hAnsi="Times New Roman" w:cs="Times New Roman"/>
          <w:color w:val="000000" w:themeColor="text1"/>
          <w:sz w:val="24"/>
          <w:szCs w:val="24"/>
        </w:rPr>
        <w:t xml:space="preserve">. </w:t>
      </w:r>
      <w:r w:rsidRPr="00344A45">
        <w:rPr>
          <w:rFonts w:ascii="Times New Roman" w:hAnsi="Times New Roman" w:cs="Times New Roman"/>
          <w:sz w:val="24"/>
          <w:szCs w:val="24"/>
        </w:rPr>
        <w:t>There was no statistically significant association between sex and TB positivity (p = 0.495).</w:t>
      </w:r>
      <w:r w:rsidR="009847BC">
        <w:rPr>
          <w:rFonts w:ascii="Times New Roman" w:hAnsi="Times New Roman" w:cs="Times New Roman"/>
          <w:sz w:val="24"/>
          <w:szCs w:val="24"/>
        </w:rPr>
        <w:t xml:space="preserve"> </w:t>
      </w:r>
    </w:p>
    <w:p w14:paraId="7242E5F9" w14:textId="4422DA95" w:rsidR="00344A45" w:rsidRPr="00344A45" w:rsidRDefault="00541C72" w:rsidP="00FE2F0E">
      <w:pPr>
        <w:spacing w:line="360" w:lineRule="auto"/>
        <w:jc w:val="both"/>
        <w:rPr>
          <w:rFonts w:ascii="Times New Roman" w:hAnsi="Times New Roman" w:cs="Times New Roman"/>
          <w:sz w:val="24"/>
          <w:szCs w:val="24"/>
        </w:rPr>
      </w:pPr>
      <w:r>
        <w:rPr>
          <w:rFonts w:ascii="Times New Roman" w:hAnsi="Times New Roman" w:cs="Times New Roman"/>
          <w:sz w:val="24"/>
          <w:szCs w:val="24"/>
        </w:rPr>
        <w:t>In Table 3, r</w:t>
      </w:r>
      <w:r w:rsidR="00344A45" w:rsidRPr="00344A45">
        <w:rPr>
          <w:rFonts w:ascii="Times New Roman" w:hAnsi="Times New Roman" w:cs="Times New Roman"/>
          <w:sz w:val="24"/>
          <w:szCs w:val="24"/>
        </w:rPr>
        <w:t xml:space="preserve">egarding educational </w:t>
      </w:r>
      <w:r>
        <w:rPr>
          <w:rFonts w:ascii="Times New Roman" w:hAnsi="Times New Roman" w:cs="Times New Roman"/>
          <w:sz w:val="24"/>
          <w:szCs w:val="24"/>
        </w:rPr>
        <w:t>level</w:t>
      </w:r>
      <w:r w:rsidR="00344A45" w:rsidRPr="00344A45">
        <w:rPr>
          <w:rFonts w:ascii="Times New Roman" w:hAnsi="Times New Roman" w:cs="Times New Roman"/>
          <w:sz w:val="24"/>
          <w:szCs w:val="24"/>
        </w:rPr>
        <w:t>, participants with tertiary education constituted the largest proportion of those enrolled, accounting for 251 (61.1%) individuals. Nevertheless, educational level was not significantly associated with Xpert MTB test outcome (p = 0.767).</w:t>
      </w:r>
    </w:p>
    <w:p w14:paraId="0B7D7F44" w14:textId="1EC5CABD" w:rsidR="00344A45" w:rsidRPr="00344A45" w:rsidRDefault="00344A45" w:rsidP="00FE2F0E">
      <w:pPr>
        <w:spacing w:line="360" w:lineRule="auto"/>
        <w:jc w:val="both"/>
        <w:rPr>
          <w:rFonts w:ascii="Times New Roman" w:hAnsi="Times New Roman" w:cs="Times New Roman"/>
          <w:sz w:val="24"/>
          <w:szCs w:val="24"/>
        </w:rPr>
      </w:pPr>
      <w:r w:rsidRPr="00344A45">
        <w:rPr>
          <w:rFonts w:ascii="Times New Roman" w:hAnsi="Times New Roman" w:cs="Times New Roman"/>
          <w:sz w:val="24"/>
          <w:szCs w:val="24"/>
        </w:rPr>
        <w:t xml:space="preserve">A statistically significant association was observed between previous history of tuberculosis and current TB positivity (χ² = 9.90, p = 0.007), as presented in Table </w:t>
      </w:r>
      <w:r w:rsidR="00541C72">
        <w:rPr>
          <w:rFonts w:ascii="Times New Roman" w:hAnsi="Times New Roman" w:cs="Times New Roman"/>
          <w:sz w:val="24"/>
          <w:szCs w:val="24"/>
        </w:rPr>
        <w:t>4</w:t>
      </w:r>
      <w:r w:rsidRPr="00344A45">
        <w:rPr>
          <w:rFonts w:ascii="Times New Roman" w:hAnsi="Times New Roman" w:cs="Times New Roman"/>
          <w:sz w:val="24"/>
          <w:szCs w:val="24"/>
        </w:rPr>
        <w:t>. Participants with a prior diagnosis of TB were more likely to test positive compared with those without a history of the disease.</w:t>
      </w:r>
      <w:r w:rsidR="009847BC">
        <w:rPr>
          <w:rFonts w:ascii="Times New Roman" w:hAnsi="Times New Roman" w:cs="Times New Roman"/>
          <w:sz w:val="24"/>
          <w:szCs w:val="24"/>
        </w:rPr>
        <w:t xml:space="preserve"> </w:t>
      </w:r>
    </w:p>
    <w:p w14:paraId="37492A7A" w14:textId="3D7BB34E" w:rsidR="00682A2C" w:rsidRDefault="00541C72" w:rsidP="00FE2F0E">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344A45" w:rsidRPr="00344A45">
        <w:rPr>
          <w:rFonts w:ascii="Times New Roman" w:hAnsi="Times New Roman" w:cs="Times New Roman"/>
          <w:sz w:val="24"/>
          <w:szCs w:val="24"/>
        </w:rPr>
        <w:t xml:space="preserve">nalysis of BCG vaccination status showed no significant association with TB positivity (χ² = 4.66, p = 0.324). TB cases were observed across vaccinated, unvaccinated, and uncertain vaccination groups, as </w:t>
      </w:r>
      <w:r>
        <w:rPr>
          <w:rFonts w:ascii="Times New Roman" w:hAnsi="Times New Roman" w:cs="Times New Roman"/>
          <w:sz w:val="24"/>
          <w:szCs w:val="24"/>
        </w:rPr>
        <w:t>summarised</w:t>
      </w:r>
      <w:r w:rsidR="00344A45" w:rsidRPr="00344A45">
        <w:rPr>
          <w:rFonts w:ascii="Times New Roman" w:hAnsi="Times New Roman" w:cs="Times New Roman"/>
          <w:sz w:val="24"/>
          <w:szCs w:val="24"/>
        </w:rPr>
        <w:t xml:space="preserve"> in Table </w:t>
      </w:r>
      <w:r w:rsidR="008C39BC">
        <w:rPr>
          <w:rFonts w:ascii="Times New Roman" w:hAnsi="Times New Roman" w:cs="Times New Roman"/>
          <w:sz w:val="24"/>
          <w:szCs w:val="24"/>
        </w:rPr>
        <w:t>5</w:t>
      </w:r>
      <w:r w:rsidR="00344A45" w:rsidRPr="00344A45">
        <w:rPr>
          <w:rFonts w:ascii="Times New Roman" w:hAnsi="Times New Roman" w:cs="Times New Roman"/>
          <w:sz w:val="24"/>
          <w:szCs w:val="24"/>
        </w:rPr>
        <w:t>.</w:t>
      </w:r>
    </w:p>
    <w:p w14:paraId="166E3C8B" w14:textId="60A961B7" w:rsidR="007F410B" w:rsidRDefault="00EA29B6" w:rsidP="00FE2F0E">
      <w:pPr>
        <w:spacing w:line="360" w:lineRule="auto"/>
        <w:jc w:val="both"/>
        <w:rPr>
          <w:rFonts w:ascii="Times New Roman" w:hAnsi="Times New Roman" w:cs="Times New Roman"/>
          <w:sz w:val="24"/>
          <w:szCs w:val="24"/>
        </w:rPr>
      </w:pPr>
      <w:r>
        <w:rPr>
          <w:noProof/>
        </w:rPr>
        <w:lastRenderedPageBreak/>
        <w:drawing>
          <wp:inline distT="0" distB="0" distL="0" distR="0" wp14:anchorId="5D16A0FD" wp14:editId="482AFF3F">
            <wp:extent cx="5088194" cy="2679843"/>
            <wp:effectExtent l="0" t="0" r="17780" b="6350"/>
            <wp:docPr id="1330583259" name="Chart 1">
              <a:extLst xmlns:a="http://schemas.openxmlformats.org/drawingml/2006/main">
                <a:ext uri="{FF2B5EF4-FFF2-40B4-BE49-F238E27FC236}">
                  <a16:creationId xmlns:a16="http://schemas.microsoft.com/office/drawing/2014/main" id="{E34897D6-ADB5-43AF-9A34-021AD48EEC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0711B76" w14:textId="77777777" w:rsidR="00EA29B6" w:rsidRPr="0069440D" w:rsidRDefault="00EA29B6" w:rsidP="00EA29B6">
      <w:pPr>
        <w:spacing w:line="360" w:lineRule="auto"/>
        <w:jc w:val="both"/>
        <w:rPr>
          <w:rFonts w:ascii="Times New Roman" w:hAnsi="Times New Roman" w:cs="Times New Roman"/>
          <w:b/>
          <w:sz w:val="24"/>
          <w:szCs w:val="24"/>
        </w:rPr>
      </w:pPr>
      <w:r w:rsidRPr="005931DC">
        <w:rPr>
          <w:rFonts w:ascii="Times New Roman" w:hAnsi="Times New Roman" w:cs="Times New Roman"/>
          <w:sz w:val="24"/>
          <w:szCs w:val="24"/>
        </w:rPr>
        <w:t xml:space="preserve">Figure 1: </w:t>
      </w:r>
      <w:r w:rsidRPr="005931DC">
        <w:rPr>
          <w:rFonts w:ascii="Times New Roman" w:hAnsi="Times New Roman" w:cs="Times New Roman"/>
          <w:b/>
          <w:sz w:val="24"/>
          <w:szCs w:val="24"/>
        </w:rPr>
        <w:t xml:space="preserve">Prevalence of Tuberculosis among </w:t>
      </w:r>
      <w:r>
        <w:rPr>
          <w:rFonts w:ascii="Times New Roman" w:hAnsi="Times New Roman" w:cs="Times New Roman"/>
          <w:b/>
          <w:sz w:val="24"/>
          <w:szCs w:val="24"/>
        </w:rPr>
        <w:t>S</w:t>
      </w:r>
      <w:r w:rsidRPr="005931DC">
        <w:rPr>
          <w:rFonts w:ascii="Times New Roman" w:hAnsi="Times New Roman" w:cs="Times New Roman"/>
          <w:b/>
          <w:sz w:val="24"/>
          <w:szCs w:val="24"/>
        </w:rPr>
        <w:t xml:space="preserve">tudy </w:t>
      </w:r>
      <w:r>
        <w:rPr>
          <w:rFonts w:ascii="Times New Roman" w:hAnsi="Times New Roman" w:cs="Times New Roman"/>
          <w:b/>
          <w:sz w:val="24"/>
          <w:szCs w:val="24"/>
        </w:rPr>
        <w:t>R</w:t>
      </w:r>
      <w:r w:rsidRPr="005931DC">
        <w:rPr>
          <w:rFonts w:ascii="Times New Roman" w:hAnsi="Times New Roman" w:cs="Times New Roman"/>
          <w:b/>
          <w:sz w:val="24"/>
          <w:szCs w:val="24"/>
        </w:rPr>
        <w:t>espondents (n=411)</w:t>
      </w:r>
    </w:p>
    <w:p w14:paraId="754FC623" w14:textId="77777777" w:rsidR="00EA29B6" w:rsidRDefault="00EA29B6" w:rsidP="00FE2F0E">
      <w:pPr>
        <w:spacing w:line="360" w:lineRule="auto"/>
        <w:jc w:val="both"/>
        <w:rPr>
          <w:rFonts w:ascii="Times New Roman" w:hAnsi="Times New Roman" w:cs="Times New Roman"/>
          <w:b/>
          <w:bCs/>
          <w:sz w:val="24"/>
          <w:szCs w:val="24"/>
        </w:rPr>
      </w:pPr>
    </w:p>
    <w:p w14:paraId="24C486CD" w14:textId="4666EAF0" w:rsidR="00B56B5D" w:rsidRPr="00B2431B" w:rsidRDefault="00D4336E" w:rsidP="00FE2F0E">
      <w:pPr>
        <w:spacing w:line="360" w:lineRule="auto"/>
        <w:jc w:val="both"/>
        <w:rPr>
          <w:rFonts w:ascii="Times New Roman" w:hAnsi="Times New Roman" w:cs="Times New Roman"/>
          <w:b/>
          <w:bCs/>
          <w:sz w:val="24"/>
          <w:szCs w:val="24"/>
        </w:rPr>
      </w:pPr>
      <w:r w:rsidRPr="00B2431B">
        <w:rPr>
          <w:rFonts w:ascii="Times New Roman" w:hAnsi="Times New Roman" w:cs="Times New Roman"/>
          <w:b/>
          <w:bCs/>
          <w:sz w:val="24"/>
          <w:szCs w:val="24"/>
        </w:rPr>
        <w:t xml:space="preserve">Table </w:t>
      </w:r>
      <w:r w:rsidR="00E648F7">
        <w:rPr>
          <w:rFonts w:ascii="Times New Roman" w:hAnsi="Times New Roman" w:cs="Times New Roman"/>
          <w:b/>
          <w:bCs/>
          <w:sz w:val="24"/>
          <w:szCs w:val="24"/>
        </w:rPr>
        <w:t>1</w:t>
      </w:r>
      <w:r w:rsidRPr="00B2431B">
        <w:rPr>
          <w:rFonts w:ascii="Times New Roman" w:hAnsi="Times New Roman" w:cs="Times New Roman"/>
          <w:b/>
          <w:bCs/>
          <w:sz w:val="24"/>
          <w:szCs w:val="24"/>
        </w:rPr>
        <w:t xml:space="preserve">: </w:t>
      </w:r>
      <w:r w:rsidR="00347209">
        <w:rPr>
          <w:rFonts w:ascii="Times New Roman" w:hAnsi="Times New Roman" w:cs="Times New Roman"/>
          <w:b/>
          <w:bCs/>
          <w:sz w:val="24"/>
          <w:szCs w:val="24"/>
        </w:rPr>
        <w:t>Sputum</w:t>
      </w:r>
      <w:r w:rsidR="004E7826" w:rsidRPr="00B2431B">
        <w:rPr>
          <w:rFonts w:ascii="Times New Roman" w:hAnsi="Times New Roman" w:cs="Times New Roman"/>
          <w:b/>
          <w:bCs/>
          <w:sz w:val="24"/>
          <w:szCs w:val="24"/>
        </w:rPr>
        <w:t xml:space="preserve"> GeneXpert Result</w:t>
      </w:r>
      <w:r w:rsidR="005773BB" w:rsidRPr="00B2431B">
        <w:rPr>
          <w:rFonts w:ascii="Times New Roman" w:hAnsi="Times New Roman" w:cs="Times New Roman"/>
          <w:b/>
          <w:bCs/>
          <w:sz w:val="24"/>
          <w:szCs w:val="24"/>
        </w:rPr>
        <w:t>s in Relation to Age</w:t>
      </w:r>
    </w:p>
    <w:tbl>
      <w:tblPr>
        <w:tblW w:w="9067" w:type="dxa"/>
        <w:tblLook w:val="04A0" w:firstRow="1" w:lastRow="0" w:firstColumn="1" w:lastColumn="0" w:noHBand="0" w:noVBand="1"/>
      </w:tblPr>
      <w:tblGrid>
        <w:gridCol w:w="1413"/>
        <w:gridCol w:w="1843"/>
        <w:gridCol w:w="2126"/>
        <w:gridCol w:w="2126"/>
        <w:gridCol w:w="1559"/>
      </w:tblGrid>
      <w:tr w:rsidR="00B56B5D" w:rsidRPr="00B56B5D" w14:paraId="792F9453" w14:textId="77777777" w:rsidTr="00AC1990">
        <w:trPr>
          <w:trHeight w:val="290"/>
        </w:trPr>
        <w:tc>
          <w:tcPr>
            <w:tcW w:w="1413" w:type="dxa"/>
            <w:tcBorders>
              <w:top w:val="single" w:sz="4" w:space="0" w:color="auto"/>
              <w:left w:val="single" w:sz="4" w:space="0" w:color="auto"/>
              <w:bottom w:val="single" w:sz="4" w:space="0" w:color="auto"/>
              <w:right w:val="nil"/>
            </w:tcBorders>
            <w:noWrap/>
            <w:vAlign w:val="bottom"/>
            <w:hideMark/>
          </w:tcPr>
          <w:p w14:paraId="600D8906" w14:textId="77777777" w:rsidR="00B56B5D" w:rsidRPr="00B56B5D" w:rsidRDefault="00B56B5D" w:rsidP="00FE2F0E">
            <w:pPr>
              <w:spacing w:after="0" w:line="360" w:lineRule="auto"/>
              <w:rPr>
                <w:rFonts w:ascii="Aptos Narrow" w:eastAsia="Times New Roman" w:hAnsi="Aptos Narrow" w:cs="Times New Roman"/>
                <w:b/>
                <w:bCs/>
                <w:color w:val="000000"/>
                <w:kern w:val="0"/>
                <w:lang w:eastAsia="en-GB"/>
                <w14:ligatures w14:val="none"/>
              </w:rPr>
            </w:pPr>
            <w:bookmarkStart w:id="0" w:name="_Hlk217759988"/>
            <w:r w:rsidRPr="00B56B5D">
              <w:rPr>
                <w:rFonts w:ascii="Aptos Narrow" w:eastAsia="Times New Roman" w:hAnsi="Aptos Narrow" w:cs="Times New Roman"/>
                <w:b/>
                <w:bCs/>
                <w:color w:val="000000"/>
                <w:kern w:val="0"/>
                <w:lang w:eastAsia="en-GB"/>
                <w14:ligatures w14:val="none"/>
              </w:rPr>
              <w:t>Age (year)</w:t>
            </w:r>
          </w:p>
        </w:tc>
        <w:tc>
          <w:tcPr>
            <w:tcW w:w="1843" w:type="dxa"/>
            <w:tcBorders>
              <w:top w:val="single" w:sz="4" w:space="0" w:color="auto"/>
              <w:left w:val="nil"/>
              <w:bottom w:val="single" w:sz="4" w:space="0" w:color="auto"/>
              <w:right w:val="nil"/>
            </w:tcBorders>
            <w:noWrap/>
            <w:vAlign w:val="bottom"/>
            <w:hideMark/>
          </w:tcPr>
          <w:p w14:paraId="024E8B8B" w14:textId="02604AC8" w:rsidR="00B56B5D" w:rsidRPr="00B56B5D" w:rsidRDefault="00B56B5D" w:rsidP="00FE2F0E">
            <w:pPr>
              <w:spacing w:after="0" w:line="360" w:lineRule="auto"/>
              <w:rPr>
                <w:rFonts w:ascii="Calibri" w:eastAsia="Times New Roman" w:hAnsi="Calibri" w:cs="Calibri"/>
                <w:b/>
                <w:bCs/>
                <w:color w:val="000000"/>
                <w:kern w:val="0"/>
                <w:lang w:eastAsia="en-GB"/>
                <w14:ligatures w14:val="none"/>
              </w:rPr>
            </w:pPr>
            <w:r w:rsidRPr="00B56B5D">
              <w:rPr>
                <w:rFonts w:ascii="Calibri" w:eastAsia="Times New Roman" w:hAnsi="Calibri" w:cs="Calibri"/>
                <w:b/>
                <w:bCs/>
                <w:color w:val="000000"/>
                <w:kern w:val="0"/>
                <w:lang w:eastAsia="en-GB"/>
                <w14:ligatures w14:val="none"/>
              </w:rPr>
              <w:t>Frequency n</w:t>
            </w:r>
            <w:r w:rsidR="0033489F">
              <w:rPr>
                <w:rFonts w:ascii="Calibri" w:eastAsia="Times New Roman" w:hAnsi="Calibri" w:cs="Calibri"/>
                <w:b/>
                <w:bCs/>
                <w:color w:val="000000"/>
                <w:kern w:val="0"/>
                <w:lang w:eastAsia="en-GB"/>
                <w14:ligatures w14:val="none"/>
              </w:rPr>
              <w:t xml:space="preserve"> </w:t>
            </w:r>
            <w:r w:rsidR="00090311">
              <w:rPr>
                <w:rFonts w:ascii="Calibri" w:eastAsia="Times New Roman" w:hAnsi="Calibri" w:cs="Calibri"/>
                <w:b/>
                <w:bCs/>
                <w:color w:val="000000"/>
                <w:kern w:val="0"/>
                <w:lang w:eastAsia="en-GB"/>
                <w14:ligatures w14:val="none"/>
              </w:rPr>
              <w:t>(%)</w:t>
            </w:r>
          </w:p>
        </w:tc>
        <w:tc>
          <w:tcPr>
            <w:tcW w:w="2126" w:type="dxa"/>
            <w:tcBorders>
              <w:top w:val="single" w:sz="4" w:space="0" w:color="auto"/>
              <w:left w:val="nil"/>
              <w:bottom w:val="single" w:sz="4" w:space="0" w:color="auto"/>
              <w:right w:val="nil"/>
            </w:tcBorders>
            <w:noWrap/>
            <w:vAlign w:val="bottom"/>
            <w:hideMark/>
          </w:tcPr>
          <w:p w14:paraId="1A4BF73D" w14:textId="3242F67C" w:rsidR="00B56B5D" w:rsidRPr="00B56B5D" w:rsidRDefault="00B56B5D" w:rsidP="00FE2F0E">
            <w:pPr>
              <w:spacing w:after="0" w:line="360" w:lineRule="auto"/>
              <w:rPr>
                <w:rFonts w:ascii="Aptos Narrow" w:eastAsia="Times New Roman" w:hAnsi="Aptos Narrow" w:cs="Times New Roman"/>
                <w:b/>
                <w:bCs/>
                <w:color w:val="000000"/>
                <w:kern w:val="0"/>
                <w:lang w:eastAsia="en-GB"/>
                <w14:ligatures w14:val="none"/>
              </w:rPr>
            </w:pPr>
            <w:r w:rsidRPr="00B56B5D">
              <w:rPr>
                <w:rFonts w:ascii="Aptos Narrow" w:eastAsia="Times New Roman" w:hAnsi="Aptos Narrow" w:cs="Times New Roman"/>
                <w:b/>
                <w:bCs/>
                <w:color w:val="000000"/>
                <w:kern w:val="0"/>
                <w:lang w:eastAsia="en-GB"/>
                <w14:ligatures w14:val="none"/>
              </w:rPr>
              <w:t>Xpert Negative</w:t>
            </w:r>
            <w:r w:rsidR="0033489F">
              <w:rPr>
                <w:rFonts w:ascii="Aptos Narrow" w:eastAsia="Times New Roman" w:hAnsi="Aptos Narrow" w:cs="Times New Roman"/>
                <w:b/>
                <w:bCs/>
                <w:color w:val="000000"/>
                <w:kern w:val="0"/>
                <w:lang w:eastAsia="en-GB"/>
                <w14:ligatures w14:val="none"/>
              </w:rPr>
              <w:t xml:space="preserve"> </w:t>
            </w:r>
            <w:r w:rsidR="00AC1990">
              <w:rPr>
                <w:rFonts w:ascii="Aptos Narrow" w:eastAsia="Times New Roman" w:hAnsi="Aptos Narrow" w:cs="Times New Roman"/>
                <w:b/>
                <w:bCs/>
                <w:color w:val="000000"/>
                <w:kern w:val="0"/>
                <w:lang w:eastAsia="en-GB"/>
                <w14:ligatures w14:val="none"/>
              </w:rPr>
              <w:t>n</w:t>
            </w:r>
            <w:r w:rsidR="00AC1990">
              <w:rPr>
                <w:rFonts w:ascii="Calibri" w:eastAsia="Times New Roman" w:hAnsi="Calibri" w:cs="Calibri"/>
                <w:b/>
                <w:bCs/>
                <w:color w:val="000000"/>
                <w:kern w:val="0"/>
                <w:lang w:eastAsia="en-GB"/>
                <w14:ligatures w14:val="none"/>
              </w:rPr>
              <w:t xml:space="preserve"> (</w:t>
            </w:r>
            <w:r w:rsidR="00090311">
              <w:rPr>
                <w:rFonts w:ascii="Calibri" w:eastAsia="Times New Roman" w:hAnsi="Calibri" w:cs="Calibri"/>
                <w:b/>
                <w:bCs/>
                <w:color w:val="000000"/>
                <w:kern w:val="0"/>
                <w:lang w:eastAsia="en-GB"/>
                <w14:ligatures w14:val="none"/>
              </w:rPr>
              <w:t>%)</w:t>
            </w:r>
            <w:r w:rsidR="0098786D">
              <w:rPr>
                <w:rFonts w:ascii="Aptos Narrow" w:eastAsia="Times New Roman" w:hAnsi="Aptos Narrow" w:cs="Times New Roman"/>
                <w:b/>
                <w:bCs/>
                <w:color w:val="000000"/>
                <w:kern w:val="0"/>
                <w:lang w:eastAsia="en-GB"/>
                <w14:ligatures w14:val="none"/>
              </w:rPr>
              <w:t xml:space="preserve"> </w:t>
            </w:r>
          </w:p>
        </w:tc>
        <w:tc>
          <w:tcPr>
            <w:tcW w:w="2126" w:type="dxa"/>
            <w:tcBorders>
              <w:top w:val="single" w:sz="4" w:space="0" w:color="auto"/>
              <w:left w:val="nil"/>
              <w:bottom w:val="single" w:sz="4" w:space="0" w:color="auto"/>
              <w:right w:val="nil"/>
            </w:tcBorders>
            <w:noWrap/>
            <w:vAlign w:val="bottom"/>
            <w:hideMark/>
          </w:tcPr>
          <w:p w14:paraId="6F58AB49" w14:textId="630583D8" w:rsidR="00B56B5D" w:rsidRPr="00B56B5D" w:rsidRDefault="00B56B5D" w:rsidP="00FE2F0E">
            <w:pPr>
              <w:spacing w:after="0" w:line="360" w:lineRule="auto"/>
              <w:rPr>
                <w:rFonts w:ascii="Aptos Narrow" w:eastAsia="Times New Roman" w:hAnsi="Aptos Narrow" w:cs="Times New Roman"/>
                <w:b/>
                <w:bCs/>
                <w:color w:val="000000"/>
                <w:kern w:val="0"/>
                <w:lang w:eastAsia="en-GB"/>
                <w14:ligatures w14:val="none"/>
              </w:rPr>
            </w:pPr>
            <w:r w:rsidRPr="00B56B5D">
              <w:rPr>
                <w:rFonts w:ascii="Aptos Narrow" w:eastAsia="Times New Roman" w:hAnsi="Aptos Narrow" w:cs="Times New Roman"/>
                <w:b/>
                <w:bCs/>
                <w:color w:val="000000"/>
                <w:kern w:val="0"/>
                <w:lang w:eastAsia="en-GB"/>
                <w14:ligatures w14:val="none"/>
              </w:rPr>
              <w:t>Xpert Positive</w:t>
            </w:r>
            <w:r w:rsidR="0033489F">
              <w:rPr>
                <w:rFonts w:ascii="Aptos Narrow" w:eastAsia="Times New Roman" w:hAnsi="Aptos Narrow" w:cs="Times New Roman"/>
                <w:b/>
                <w:bCs/>
                <w:color w:val="000000"/>
                <w:kern w:val="0"/>
                <w:lang w:eastAsia="en-GB"/>
                <w14:ligatures w14:val="none"/>
              </w:rPr>
              <w:t xml:space="preserve"> </w:t>
            </w:r>
            <w:r w:rsidR="00AC1990">
              <w:rPr>
                <w:rFonts w:ascii="Aptos Narrow" w:eastAsia="Times New Roman" w:hAnsi="Aptos Narrow" w:cs="Times New Roman"/>
                <w:b/>
                <w:bCs/>
                <w:color w:val="000000"/>
                <w:kern w:val="0"/>
                <w:lang w:eastAsia="en-GB"/>
                <w14:ligatures w14:val="none"/>
              </w:rPr>
              <w:t>n</w:t>
            </w:r>
            <w:r w:rsidR="00AC1990">
              <w:rPr>
                <w:rFonts w:ascii="Calibri" w:eastAsia="Times New Roman" w:hAnsi="Calibri" w:cs="Calibri"/>
                <w:b/>
                <w:bCs/>
                <w:color w:val="000000"/>
                <w:kern w:val="0"/>
                <w:lang w:eastAsia="en-GB"/>
                <w14:ligatures w14:val="none"/>
              </w:rPr>
              <w:t xml:space="preserve"> (</w:t>
            </w:r>
            <w:r w:rsidR="00090311">
              <w:rPr>
                <w:rFonts w:ascii="Calibri" w:eastAsia="Times New Roman" w:hAnsi="Calibri" w:cs="Calibri"/>
                <w:b/>
                <w:bCs/>
                <w:color w:val="000000"/>
                <w:kern w:val="0"/>
                <w:lang w:eastAsia="en-GB"/>
                <w14:ligatures w14:val="none"/>
              </w:rPr>
              <w:t>%)</w:t>
            </w:r>
          </w:p>
        </w:tc>
        <w:tc>
          <w:tcPr>
            <w:tcW w:w="1559" w:type="dxa"/>
            <w:tcBorders>
              <w:top w:val="single" w:sz="4" w:space="0" w:color="auto"/>
              <w:left w:val="nil"/>
              <w:bottom w:val="single" w:sz="4" w:space="0" w:color="auto"/>
              <w:right w:val="single" w:sz="4" w:space="0" w:color="auto"/>
            </w:tcBorders>
            <w:noWrap/>
            <w:vAlign w:val="bottom"/>
            <w:hideMark/>
          </w:tcPr>
          <w:p w14:paraId="37B01558" w14:textId="63EE9747" w:rsidR="00B56B5D" w:rsidRPr="00B56B5D" w:rsidRDefault="00B56B5D" w:rsidP="00FE2F0E">
            <w:pPr>
              <w:spacing w:after="0" w:line="360" w:lineRule="auto"/>
              <w:rPr>
                <w:rFonts w:ascii="Aptos Narrow" w:eastAsia="Times New Roman" w:hAnsi="Aptos Narrow" w:cs="Times New Roman"/>
                <w:b/>
                <w:bCs/>
                <w:color w:val="000000"/>
                <w:kern w:val="0"/>
                <w:lang w:eastAsia="en-GB"/>
                <w14:ligatures w14:val="none"/>
              </w:rPr>
            </w:pPr>
            <w:r w:rsidRPr="00B56B5D">
              <w:rPr>
                <w:rFonts w:ascii="Aptos Narrow" w:eastAsia="Times New Roman" w:hAnsi="Aptos Narrow" w:cs="Times New Roman"/>
                <w:b/>
                <w:bCs/>
                <w:color w:val="000000"/>
                <w:kern w:val="0"/>
                <w:lang w:eastAsia="en-GB"/>
                <w14:ligatures w14:val="none"/>
              </w:rPr>
              <w:t>Xpert Indeterminate</w:t>
            </w:r>
            <w:r w:rsidR="0033489F">
              <w:rPr>
                <w:rFonts w:ascii="Aptos Narrow" w:eastAsia="Times New Roman" w:hAnsi="Aptos Narrow" w:cs="Times New Roman"/>
                <w:b/>
                <w:bCs/>
                <w:color w:val="000000"/>
                <w:kern w:val="0"/>
                <w:lang w:eastAsia="en-GB"/>
                <w14:ligatures w14:val="none"/>
              </w:rPr>
              <w:t xml:space="preserve"> </w:t>
            </w:r>
            <w:r w:rsidR="00AC1990">
              <w:rPr>
                <w:rFonts w:ascii="Aptos Narrow" w:eastAsia="Times New Roman" w:hAnsi="Aptos Narrow" w:cs="Times New Roman"/>
                <w:b/>
                <w:bCs/>
                <w:color w:val="000000"/>
                <w:kern w:val="0"/>
                <w:lang w:eastAsia="en-GB"/>
                <w14:ligatures w14:val="none"/>
              </w:rPr>
              <w:t>n</w:t>
            </w:r>
            <w:r w:rsidR="00AC1990">
              <w:rPr>
                <w:rFonts w:ascii="Calibri" w:eastAsia="Times New Roman" w:hAnsi="Calibri" w:cs="Calibri"/>
                <w:b/>
                <w:bCs/>
                <w:color w:val="000000"/>
                <w:kern w:val="0"/>
                <w:lang w:eastAsia="en-GB"/>
                <w14:ligatures w14:val="none"/>
              </w:rPr>
              <w:t xml:space="preserve"> (</w:t>
            </w:r>
            <w:r w:rsidR="0033489F">
              <w:rPr>
                <w:rFonts w:ascii="Calibri" w:eastAsia="Times New Roman" w:hAnsi="Calibri" w:cs="Calibri"/>
                <w:b/>
                <w:bCs/>
                <w:color w:val="000000"/>
                <w:kern w:val="0"/>
                <w:lang w:eastAsia="en-GB"/>
                <w14:ligatures w14:val="none"/>
              </w:rPr>
              <w:t>%)</w:t>
            </w:r>
          </w:p>
        </w:tc>
      </w:tr>
      <w:tr w:rsidR="00B56B5D" w:rsidRPr="00B56B5D" w14:paraId="1B4B3ACC" w14:textId="77777777" w:rsidTr="00AC1990">
        <w:trPr>
          <w:trHeight w:val="290"/>
        </w:trPr>
        <w:tc>
          <w:tcPr>
            <w:tcW w:w="1413" w:type="dxa"/>
            <w:tcBorders>
              <w:top w:val="nil"/>
              <w:left w:val="single" w:sz="4" w:space="0" w:color="auto"/>
              <w:bottom w:val="nil"/>
              <w:right w:val="nil"/>
            </w:tcBorders>
            <w:noWrap/>
            <w:vAlign w:val="bottom"/>
            <w:hideMark/>
          </w:tcPr>
          <w:p w14:paraId="315A3FAC" w14:textId="77777777" w:rsidR="00B56B5D" w:rsidRPr="00B56B5D" w:rsidRDefault="00B56B5D" w:rsidP="00FE2F0E">
            <w:pPr>
              <w:spacing w:after="0" w:line="360" w:lineRule="auto"/>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 xml:space="preserve">0 - 20 </w:t>
            </w:r>
          </w:p>
        </w:tc>
        <w:tc>
          <w:tcPr>
            <w:tcW w:w="1843" w:type="dxa"/>
            <w:tcBorders>
              <w:top w:val="nil"/>
              <w:left w:val="nil"/>
              <w:bottom w:val="nil"/>
              <w:right w:val="nil"/>
            </w:tcBorders>
            <w:noWrap/>
            <w:vAlign w:val="bottom"/>
            <w:hideMark/>
          </w:tcPr>
          <w:p w14:paraId="6E496559" w14:textId="25537CBB"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74</w:t>
            </w:r>
            <w:r w:rsidR="00C03AFE">
              <w:rPr>
                <w:rFonts w:ascii="Aptos Narrow" w:eastAsia="Times New Roman" w:hAnsi="Aptos Narrow" w:cs="Times New Roman"/>
                <w:kern w:val="0"/>
                <w:lang w:eastAsia="en-GB"/>
                <w14:ligatures w14:val="none"/>
              </w:rPr>
              <w:t>(18.0)</w:t>
            </w:r>
          </w:p>
        </w:tc>
        <w:tc>
          <w:tcPr>
            <w:tcW w:w="2126" w:type="dxa"/>
            <w:tcBorders>
              <w:top w:val="nil"/>
              <w:left w:val="nil"/>
              <w:bottom w:val="nil"/>
              <w:right w:val="nil"/>
            </w:tcBorders>
            <w:noWrap/>
            <w:vAlign w:val="bottom"/>
            <w:hideMark/>
          </w:tcPr>
          <w:p w14:paraId="10C20C8F" w14:textId="555C28CF"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43</w:t>
            </w:r>
            <w:r w:rsidR="00E229F1">
              <w:rPr>
                <w:rFonts w:ascii="Aptos Narrow" w:eastAsia="Times New Roman" w:hAnsi="Aptos Narrow" w:cs="Times New Roman"/>
                <w:kern w:val="0"/>
                <w:lang w:eastAsia="en-GB"/>
                <w14:ligatures w14:val="none"/>
              </w:rPr>
              <w:t>(58.1)</w:t>
            </w:r>
          </w:p>
        </w:tc>
        <w:tc>
          <w:tcPr>
            <w:tcW w:w="2126" w:type="dxa"/>
            <w:tcBorders>
              <w:top w:val="nil"/>
              <w:left w:val="nil"/>
              <w:bottom w:val="nil"/>
              <w:right w:val="nil"/>
            </w:tcBorders>
            <w:noWrap/>
            <w:vAlign w:val="bottom"/>
            <w:hideMark/>
          </w:tcPr>
          <w:p w14:paraId="7F687BEC" w14:textId="7338BD5A"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16</w:t>
            </w:r>
            <w:r w:rsidR="00EA649F">
              <w:rPr>
                <w:rFonts w:ascii="Aptos Narrow" w:eastAsia="Times New Roman" w:hAnsi="Aptos Narrow" w:cs="Times New Roman"/>
                <w:kern w:val="0"/>
                <w:lang w:eastAsia="en-GB"/>
                <w14:ligatures w14:val="none"/>
              </w:rPr>
              <w:t>(</w:t>
            </w:r>
            <w:r w:rsidR="00335DCC">
              <w:rPr>
                <w:rFonts w:ascii="Aptos Narrow" w:eastAsia="Times New Roman" w:hAnsi="Aptos Narrow" w:cs="Times New Roman"/>
                <w:kern w:val="0"/>
                <w:lang w:eastAsia="en-GB"/>
                <w14:ligatures w14:val="none"/>
              </w:rPr>
              <w:t>21.6)</w:t>
            </w:r>
          </w:p>
        </w:tc>
        <w:tc>
          <w:tcPr>
            <w:tcW w:w="1559" w:type="dxa"/>
            <w:tcBorders>
              <w:top w:val="nil"/>
              <w:left w:val="nil"/>
              <w:bottom w:val="nil"/>
              <w:right w:val="single" w:sz="4" w:space="0" w:color="auto"/>
            </w:tcBorders>
            <w:noWrap/>
            <w:vAlign w:val="bottom"/>
            <w:hideMark/>
          </w:tcPr>
          <w:p w14:paraId="666712DB" w14:textId="0712E109"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0</w:t>
            </w:r>
            <w:r w:rsidR="00923D28">
              <w:rPr>
                <w:rFonts w:ascii="Aptos Narrow" w:eastAsia="Times New Roman" w:hAnsi="Aptos Narrow" w:cs="Times New Roman"/>
                <w:kern w:val="0"/>
                <w:lang w:eastAsia="en-GB"/>
                <w14:ligatures w14:val="none"/>
              </w:rPr>
              <w:t>(0.0)</w:t>
            </w:r>
          </w:p>
        </w:tc>
      </w:tr>
      <w:tr w:rsidR="00B56B5D" w:rsidRPr="00B56B5D" w14:paraId="15622A7B" w14:textId="77777777" w:rsidTr="00AC1990">
        <w:trPr>
          <w:trHeight w:val="290"/>
        </w:trPr>
        <w:tc>
          <w:tcPr>
            <w:tcW w:w="1413" w:type="dxa"/>
            <w:tcBorders>
              <w:top w:val="nil"/>
              <w:left w:val="single" w:sz="4" w:space="0" w:color="auto"/>
              <w:bottom w:val="nil"/>
              <w:right w:val="nil"/>
            </w:tcBorders>
            <w:noWrap/>
            <w:vAlign w:val="bottom"/>
            <w:hideMark/>
          </w:tcPr>
          <w:p w14:paraId="301B526B" w14:textId="77777777" w:rsidR="00B56B5D" w:rsidRPr="00B56B5D" w:rsidRDefault="00B56B5D" w:rsidP="00FE2F0E">
            <w:pPr>
              <w:spacing w:after="0" w:line="360" w:lineRule="auto"/>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 xml:space="preserve">21 - 40 </w:t>
            </w:r>
          </w:p>
        </w:tc>
        <w:tc>
          <w:tcPr>
            <w:tcW w:w="1843" w:type="dxa"/>
            <w:tcBorders>
              <w:top w:val="nil"/>
              <w:left w:val="nil"/>
              <w:bottom w:val="nil"/>
              <w:right w:val="nil"/>
            </w:tcBorders>
            <w:noWrap/>
            <w:vAlign w:val="bottom"/>
            <w:hideMark/>
          </w:tcPr>
          <w:p w14:paraId="23359017" w14:textId="2B4CDD93"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229</w:t>
            </w:r>
            <w:r w:rsidR="00C03AFE">
              <w:rPr>
                <w:rFonts w:ascii="Aptos Narrow" w:eastAsia="Times New Roman" w:hAnsi="Aptos Narrow" w:cs="Times New Roman"/>
                <w:kern w:val="0"/>
                <w:lang w:eastAsia="en-GB"/>
                <w14:ligatures w14:val="none"/>
              </w:rPr>
              <w:t>(55.7)</w:t>
            </w:r>
          </w:p>
        </w:tc>
        <w:tc>
          <w:tcPr>
            <w:tcW w:w="2126" w:type="dxa"/>
            <w:tcBorders>
              <w:top w:val="nil"/>
              <w:left w:val="nil"/>
              <w:bottom w:val="nil"/>
              <w:right w:val="nil"/>
            </w:tcBorders>
            <w:noWrap/>
            <w:vAlign w:val="bottom"/>
            <w:hideMark/>
          </w:tcPr>
          <w:p w14:paraId="58E58531" w14:textId="541C7A37"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172</w:t>
            </w:r>
            <w:r w:rsidR="00E229F1">
              <w:rPr>
                <w:rFonts w:ascii="Aptos Narrow" w:eastAsia="Times New Roman" w:hAnsi="Aptos Narrow" w:cs="Times New Roman"/>
                <w:kern w:val="0"/>
                <w:lang w:eastAsia="en-GB"/>
                <w14:ligatures w14:val="none"/>
              </w:rPr>
              <w:t>(75.1)</w:t>
            </w:r>
          </w:p>
        </w:tc>
        <w:tc>
          <w:tcPr>
            <w:tcW w:w="2126" w:type="dxa"/>
            <w:tcBorders>
              <w:top w:val="nil"/>
              <w:left w:val="nil"/>
              <w:bottom w:val="nil"/>
              <w:right w:val="nil"/>
            </w:tcBorders>
            <w:noWrap/>
            <w:vAlign w:val="bottom"/>
            <w:hideMark/>
          </w:tcPr>
          <w:p w14:paraId="78338389" w14:textId="796447FA"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57</w:t>
            </w:r>
            <w:r w:rsidR="00335DCC">
              <w:rPr>
                <w:rFonts w:ascii="Aptos Narrow" w:eastAsia="Times New Roman" w:hAnsi="Aptos Narrow" w:cs="Times New Roman"/>
                <w:kern w:val="0"/>
                <w:lang w:eastAsia="en-GB"/>
                <w14:ligatures w14:val="none"/>
              </w:rPr>
              <w:t>(24.9)</w:t>
            </w:r>
          </w:p>
        </w:tc>
        <w:tc>
          <w:tcPr>
            <w:tcW w:w="1559" w:type="dxa"/>
            <w:tcBorders>
              <w:top w:val="nil"/>
              <w:left w:val="nil"/>
              <w:bottom w:val="nil"/>
              <w:right w:val="single" w:sz="4" w:space="0" w:color="auto"/>
            </w:tcBorders>
            <w:noWrap/>
            <w:vAlign w:val="bottom"/>
            <w:hideMark/>
          </w:tcPr>
          <w:p w14:paraId="6B4A1DB2" w14:textId="2FBC7C1C"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0</w:t>
            </w:r>
            <w:r w:rsidR="00923D28">
              <w:rPr>
                <w:rFonts w:ascii="Aptos Narrow" w:eastAsia="Times New Roman" w:hAnsi="Aptos Narrow" w:cs="Times New Roman"/>
                <w:kern w:val="0"/>
                <w:lang w:eastAsia="en-GB"/>
                <w14:ligatures w14:val="none"/>
              </w:rPr>
              <w:t>(0.0)</w:t>
            </w:r>
          </w:p>
        </w:tc>
      </w:tr>
      <w:tr w:rsidR="00B56B5D" w:rsidRPr="00B56B5D" w14:paraId="2D3176C3" w14:textId="77777777" w:rsidTr="00AC1990">
        <w:trPr>
          <w:trHeight w:val="290"/>
        </w:trPr>
        <w:tc>
          <w:tcPr>
            <w:tcW w:w="1413" w:type="dxa"/>
            <w:tcBorders>
              <w:top w:val="nil"/>
              <w:left w:val="single" w:sz="4" w:space="0" w:color="auto"/>
              <w:bottom w:val="nil"/>
              <w:right w:val="nil"/>
            </w:tcBorders>
            <w:noWrap/>
            <w:vAlign w:val="bottom"/>
            <w:hideMark/>
          </w:tcPr>
          <w:p w14:paraId="72046B0D" w14:textId="77777777" w:rsidR="00B56B5D" w:rsidRPr="00B56B5D" w:rsidRDefault="00B56B5D" w:rsidP="00FE2F0E">
            <w:pPr>
              <w:spacing w:after="0" w:line="360" w:lineRule="auto"/>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 xml:space="preserve">41 - 60 </w:t>
            </w:r>
          </w:p>
        </w:tc>
        <w:tc>
          <w:tcPr>
            <w:tcW w:w="1843" w:type="dxa"/>
            <w:tcBorders>
              <w:top w:val="nil"/>
              <w:left w:val="nil"/>
              <w:bottom w:val="nil"/>
              <w:right w:val="nil"/>
            </w:tcBorders>
            <w:noWrap/>
            <w:vAlign w:val="bottom"/>
            <w:hideMark/>
          </w:tcPr>
          <w:p w14:paraId="2E8BBEAB" w14:textId="17E4B77B"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82</w:t>
            </w:r>
            <w:r w:rsidR="00E229F1">
              <w:rPr>
                <w:rFonts w:ascii="Aptos Narrow" w:eastAsia="Times New Roman" w:hAnsi="Aptos Narrow" w:cs="Times New Roman"/>
                <w:kern w:val="0"/>
                <w:lang w:eastAsia="en-GB"/>
                <w14:ligatures w14:val="none"/>
              </w:rPr>
              <w:t>(19.9)</w:t>
            </w:r>
          </w:p>
        </w:tc>
        <w:tc>
          <w:tcPr>
            <w:tcW w:w="2126" w:type="dxa"/>
            <w:tcBorders>
              <w:top w:val="nil"/>
              <w:left w:val="nil"/>
              <w:bottom w:val="nil"/>
              <w:right w:val="nil"/>
            </w:tcBorders>
            <w:noWrap/>
            <w:vAlign w:val="bottom"/>
            <w:hideMark/>
          </w:tcPr>
          <w:p w14:paraId="421E8428" w14:textId="707CE0C7"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62</w:t>
            </w:r>
            <w:r w:rsidR="00E229F1">
              <w:rPr>
                <w:rFonts w:ascii="Aptos Narrow" w:eastAsia="Times New Roman" w:hAnsi="Aptos Narrow" w:cs="Times New Roman"/>
                <w:kern w:val="0"/>
                <w:lang w:eastAsia="en-GB"/>
                <w14:ligatures w14:val="none"/>
              </w:rPr>
              <w:t>(</w:t>
            </w:r>
            <w:r w:rsidR="00EA649F">
              <w:rPr>
                <w:rFonts w:ascii="Aptos Narrow" w:eastAsia="Times New Roman" w:hAnsi="Aptos Narrow" w:cs="Times New Roman"/>
                <w:kern w:val="0"/>
                <w:lang w:eastAsia="en-GB"/>
                <w14:ligatures w14:val="none"/>
              </w:rPr>
              <w:t>75.6)</w:t>
            </w:r>
          </w:p>
        </w:tc>
        <w:tc>
          <w:tcPr>
            <w:tcW w:w="2126" w:type="dxa"/>
            <w:tcBorders>
              <w:top w:val="nil"/>
              <w:left w:val="nil"/>
              <w:bottom w:val="nil"/>
              <w:right w:val="nil"/>
            </w:tcBorders>
            <w:noWrap/>
            <w:vAlign w:val="bottom"/>
            <w:hideMark/>
          </w:tcPr>
          <w:p w14:paraId="27C0CACC" w14:textId="52E15CA6"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19</w:t>
            </w:r>
            <w:r w:rsidR="00335DCC">
              <w:rPr>
                <w:rFonts w:ascii="Aptos Narrow" w:eastAsia="Times New Roman" w:hAnsi="Aptos Narrow" w:cs="Times New Roman"/>
                <w:kern w:val="0"/>
                <w:lang w:eastAsia="en-GB"/>
                <w14:ligatures w14:val="none"/>
              </w:rPr>
              <w:t>(23.2)</w:t>
            </w:r>
          </w:p>
        </w:tc>
        <w:tc>
          <w:tcPr>
            <w:tcW w:w="1559" w:type="dxa"/>
            <w:tcBorders>
              <w:top w:val="nil"/>
              <w:left w:val="nil"/>
              <w:bottom w:val="nil"/>
              <w:right w:val="single" w:sz="4" w:space="0" w:color="auto"/>
            </w:tcBorders>
            <w:noWrap/>
            <w:vAlign w:val="bottom"/>
            <w:hideMark/>
          </w:tcPr>
          <w:p w14:paraId="2A30CCE7" w14:textId="45FD264F"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1</w:t>
            </w:r>
            <w:r w:rsidR="00923D28">
              <w:rPr>
                <w:rFonts w:ascii="Aptos Narrow" w:eastAsia="Times New Roman" w:hAnsi="Aptos Narrow" w:cs="Times New Roman"/>
                <w:kern w:val="0"/>
                <w:lang w:eastAsia="en-GB"/>
                <w14:ligatures w14:val="none"/>
              </w:rPr>
              <w:t>(1.2)</w:t>
            </w:r>
          </w:p>
        </w:tc>
      </w:tr>
      <w:tr w:rsidR="00B56B5D" w:rsidRPr="00B56B5D" w14:paraId="29239A7E" w14:textId="77777777" w:rsidTr="00AC1990">
        <w:trPr>
          <w:trHeight w:val="290"/>
        </w:trPr>
        <w:tc>
          <w:tcPr>
            <w:tcW w:w="1413" w:type="dxa"/>
            <w:tcBorders>
              <w:top w:val="nil"/>
              <w:left w:val="single" w:sz="4" w:space="0" w:color="auto"/>
              <w:bottom w:val="nil"/>
              <w:right w:val="nil"/>
            </w:tcBorders>
            <w:noWrap/>
            <w:vAlign w:val="bottom"/>
            <w:hideMark/>
          </w:tcPr>
          <w:p w14:paraId="5DA5DD32" w14:textId="77777777" w:rsidR="00B56B5D" w:rsidRPr="00B56B5D" w:rsidRDefault="00B56B5D" w:rsidP="00FE2F0E">
            <w:pPr>
              <w:spacing w:after="0" w:line="360" w:lineRule="auto"/>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 xml:space="preserve">61 - 80 </w:t>
            </w:r>
          </w:p>
        </w:tc>
        <w:tc>
          <w:tcPr>
            <w:tcW w:w="1843" w:type="dxa"/>
            <w:tcBorders>
              <w:top w:val="nil"/>
              <w:left w:val="nil"/>
              <w:bottom w:val="nil"/>
              <w:right w:val="nil"/>
            </w:tcBorders>
            <w:noWrap/>
            <w:vAlign w:val="bottom"/>
            <w:hideMark/>
          </w:tcPr>
          <w:p w14:paraId="3F23B682" w14:textId="7DD18E54"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26</w:t>
            </w:r>
            <w:r w:rsidR="00E229F1">
              <w:rPr>
                <w:rFonts w:ascii="Aptos Narrow" w:eastAsia="Times New Roman" w:hAnsi="Aptos Narrow" w:cs="Times New Roman"/>
                <w:kern w:val="0"/>
                <w:lang w:eastAsia="en-GB"/>
                <w14:ligatures w14:val="none"/>
              </w:rPr>
              <w:t>(6.3)</w:t>
            </w:r>
          </w:p>
        </w:tc>
        <w:tc>
          <w:tcPr>
            <w:tcW w:w="2126" w:type="dxa"/>
            <w:tcBorders>
              <w:top w:val="nil"/>
              <w:left w:val="nil"/>
              <w:bottom w:val="nil"/>
              <w:right w:val="nil"/>
            </w:tcBorders>
            <w:noWrap/>
            <w:vAlign w:val="bottom"/>
            <w:hideMark/>
          </w:tcPr>
          <w:p w14:paraId="581D6FEB" w14:textId="672F4E39"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17</w:t>
            </w:r>
            <w:r w:rsidR="00EA649F">
              <w:rPr>
                <w:rFonts w:ascii="Aptos Narrow" w:eastAsia="Times New Roman" w:hAnsi="Aptos Narrow" w:cs="Times New Roman"/>
                <w:kern w:val="0"/>
                <w:lang w:eastAsia="en-GB"/>
                <w14:ligatures w14:val="none"/>
              </w:rPr>
              <w:t>(65.4)</w:t>
            </w:r>
          </w:p>
        </w:tc>
        <w:tc>
          <w:tcPr>
            <w:tcW w:w="2126" w:type="dxa"/>
            <w:tcBorders>
              <w:top w:val="nil"/>
              <w:left w:val="nil"/>
              <w:bottom w:val="nil"/>
              <w:right w:val="nil"/>
            </w:tcBorders>
            <w:noWrap/>
            <w:vAlign w:val="bottom"/>
            <w:hideMark/>
          </w:tcPr>
          <w:p w14:paraId="7C5B6A47" w14:textId="3A2E725E"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9</w:t>
            </w:r>
            <w:r w:rsidR="00335DCC">
              <w:rPr>
                <w:rFonts w:ascii="Aptos Narrow" w:eastAsia="Times New Roman" w:hAnsi="Aptos Narrow" w:cs="Times New Roman"/>
                <w:kern w:val="0"/>
                <w:lang w:eastAsia="en-GB"/>
                <w14:ligatures w14:val="none"/>
              </w:rPr>
              <w:t>(</w:t>
            </w:r>
            <w:r w:rsidR="00923D28">
              <w:rPr>
                <w:rFonts w:ascii="Aptos Narrow" w:eastAsia="Times New Roman" w:hAnsi="Aptos Narrow" w:cs="Times New Roman"/>
                <w:kern w:val="0"/>
                <w:lang w:eastAsia="en-GB"/>
                <w14:ligatures w14:val="none"/>
              </w:rPr>
              <w:t>34.6)</w:t>
            </w:r>
          </w:p>
        </w:tc>
        <w:tc>
          <w:tcPr>
            <w:tcW w:w="1559" w:type="dxa"/>
            <w:tcBorders>
              <w:top w:val="nil"/>
              <w:left w:val="nil"/>
              <w:bottom w:val="nil"/>
              <w:right w:val="single" w:sz="4" w:space="0" w:color="auto"/>
            </w:tcBorders>
            <w:noWrap/>
            <w:vAlign w:val="bottom"/>
            <w:hideMark/>
          </w:tcPr>
          <w:p w14:paraId="5A0912D0" w14:textId="7F99FF62" w:rsidR="00B56B5D" w:rsidRPr="00B56B5D" w:rsidRDefault="00B56B5D" w:rsidP="00FE2F0E">
            <w:pPr>
              <w:spacing w:after="0" w:line="360" w:lineRule="auto"/>
              <w:jc w:val="right"/>
              <w:rPr>
                <w:rFonts w:ascii="Aptos Narrow" w:eastAsia="Times New Roman" w:hAnsi="Aptos Narrow" w:cs="Times New Roman"/>
                <w:color w:val="000000"/>
                <w:kern w:val="0"/>
                <w:lang w:eastAsia="en-GB"/>
                <w14:ligatures w14:val="none"/>
              </w:rPr>
            </w:pPr>
            <w:r w:rsidRPr="00B56B5D">
              <w:rPr>
                <w:rFonts w:ascii="Aptos Narrow" w:eastAsia="Times New Roman" w:hAnsi="Aptos Narrow" w:cs="Times New Roman"/>
                <w:kern w:val="0"/>
                <w:lang w:eastAsia="en-GB"/>
                <w14:ligatures w14:val="none"/>
              </w:rPr>
              <w:t>0</w:t>
            </w:r>
            <w:r w:rsidR="00923D28">
              <w:rPr>
                <w:rFonts w:ascii="Aptos Narrow" w:eastAsia="Times New Roman" w:hAnsi="Aptos Narrow" w:cs="Times New Roman"/>
                <w:kern w:val="0"/>
                <w:lang w:eastAsia="en-GB"/>
                <w14:ligatures w14:val="none"/>
              </w:rPr>
              <w:t>(0.0)</w:t>
            </w:r>
          </w:p>
        </w:tc>
      </w:tr>
      <w:tr w:rsidR="00B56B5D" w:rsidRPr="00B56B5D" w14:paraId="5151D02A" w14:textId="77777777" w:rsidTr="00AC1990">
        <w:trPr>
          <w:trHeight w:val="290"/>
        </w:trPr>
        <w:tc>
          <w:tcPr>
            <w:tcW w:w="1413" w:type="dxa"/>
            <w:tcBorders>
              <w:top w:val="single" w:sz="4" w:space="0" w:color="auto"/>
              <w:left w:val="single" w:sz="4" w:space="0" w:color="auto"/>
              <w:bottom w:val="single" w:sz="4" w:space="0" w:color="auto"/>
              <w:right w:val="nil"/>
            </w:tcBorders>
            <w:noWrap/>
            <w:vAlign w:val="bottom"/>
            <w:hideMark/>
          </w:tcPr>
          <w:p w14:paraId="55EAA0F3" w14:textId="77777777" w:rsidR="00B56B5D" w:rsidRPr="00B56B5D" w:rsidRDefault="00B56B5D" w:rsidP="00FE2F0E">
            <w:pPr>
              <w:spacing w:after="0" w:line="360" w:lineRule="auto"/>
              <w:rPr>
                <w:rFonts w:ascii="Aptos Narrow" w:eastAsia="Times New Roman" w:hAnsi="Aptos Narrow" w:cs="Times New Roman"/>
                <w:b/>
                <w:bCs/>
                <w:color w:val="000000"/>
                <w:kern w:val="0"/>
                <w:lang w:eastAsia="en-GB"/>
                <w14:ligatures w14:val="none"/>
              </w:rPr>
            </w:pPr>
            <w:r w:rsidRPr="00B56B5D">
              <w:rPr>
                <w:rFonts w:ascii="Aptos Narrow" w:eastAsia="Times New Roman" w:hAnsi="Aptos Narrow" w:cs="Times New Roman"/>
                <w:b/>
                <w:bCs/>
                <w:color w:val="000000"/>
                <w:kern w:val="0"/>
                <w:lang w:eastAsia="en-GB"/>
                <w14:ligatures w14:val="none"/>
              </w:rPr>
              <w:t>Total</w:t>
            </w:r>
          </w:p>
        </w:tc>
        <w:tc>
          <w:tcPr>
            <w:tcW w:w="1843" w:type="dxa"/>
            <w:tcBorders>
              <w:top w:val="single" w:sz="4" w:space="0" w:color="auto"/>
              <w:left w:val="nil"/>
              <w:bottom w:val="single" w:sz="4" w:space="0" w:color="auto"/>
              <w:right w:val="nil"/>
            </w:tcBorders>
            <w:noWrap/>
            <w:vAlign w:val="bottom"/>
            <w:hideMark/>
          </w:tcPr>
          <w:p w14:paraId="252D6791" w14:textId="4015B560" w:rsidR="00B56B5D" w:rsidRPr="00B56B5D" w:rsidRDefault="00B56B5D" w:rsidP="00FE2F0E">
            <w:pPr>
              <w:spacing w:after="0" w:line="360" w:lineRule="auto"/>
              <w:jc w:val="right"/>
              <w:rPr>
                <w:rFonts w:ascii="Aptos Narrow" w:eastAsia="Times New Roman" w:hAnsi="Aptos Narrow" w:cs="Times New Roman"/>
                <w:b/>
                <w:bCs/>
                <w:color w:val="000000"/>
                <w:kern w:val="0"/>
                <w:lang w:eastAsia="en-GB"/>
                <w14:ligatures w14:val="none"/>
              </w:rPr>
            </w:pPr>
            <w:r w:rsidRPr="00B56B5D">
              <w:rPr>
                <w:rFonts w:ascii="Aptos Narrow" w:eastAsia="Times New Roman" w:hAnsi="Aptos Narrow" w:cs="Times New Roman"/>
                <w:b/>
                <w:bCs/>
                <w:color w:val="000000"/>
                <w:kern w:val="0"/>
                <w:lang w:eastAsia="en-GB"/>
                <w14:ligatures w14:val="none"/>
              </w:rPr>
              <w:t>411</w:t>
            </w:r>
            <w:r w:rsidR="00090311">
              <w:rPr>
                <w:rFonts w:ascii="Aptos Narrow" w:eastAsia="Times New Roman" w:hAnsi="Aptos Narrow" w:cs="Times New Roman"/>
                <w:b/>
                <w:bCs/>
                <w:color w:val="000000"/>
                <w:kern w:val="0"/>
                <w:lang w:eastAsia="en-GB"/>
                <w14:ligatures w14:val="none"/>
              </w:rPr>
              <w:t>(100)</w:t>
            </w:r>
          </w:p>
        </w:tc>
        <w:tc>
          <w:tcPr>
            <w:tcW w:w="2126" w:type="dxa"/>
            <w:tcBorders>
              <w:top w:val="single" w:sz="4" w:space="0" w:color="auto"/>
              <w:left w:val="nil"/>
              <w:bottom w:val="single" w:sz="4" w:space="0" w:color="auto"/>
              <w:right w:val="nil"/>
            </w:tcBorders>
            <w:noWrap/>
            <w:vAlign w:val="bottom"/>
            <w:hideMark/>
          </w:tcPr>
          <w:p w14:paraId="59EADE9F" w14:textId="2C1D2852" w:rsidR="00B56B5D" w:rsidRPr="00B56B5D" w:rsidRDefault="00B56B5D" w:rsidP="00FE2F0E">
            <w:pPr>
              <w:spacing w:after="0" w:line="360" w:lineRule="auto"/>
              <w:jc w:val="right"/>
              <w:rPr>
                <w:rFonts w:ascii="Aptos Narrow" w:eastAsia="Times New Roman" w:hAnsi="Aptos Narrow" w:cs="Times New Roman"/>
                <w:b/>
                <w:bCs/>
                <w:color w:val="000000"/>
                <w:kern w:val="0"/>
                <w:lang w:eastAsia="en-GB"/>
                <w14:ligatures w14:val="none"/>
              </w:rPr>
            </w:pPr>
            <w:r w:rsidRPr="00B56B5D">
              <w:rPr>
                <w:rFonts w:ascii="Aptos Narrow" w:eastAsia="Times New Roman" w:hAnsi="Aptos Narrow" w:cs="Times New Roman"/>
                <w:b/>
                <w:bCs/>
                <w:color w:val="000000"/>
                <w:kern w:val="0"/>
                <w:lang w:eastAsia="en-GB"/>
                <w14:ligatures w14:val="none"/>
              </w:rPr>
              <w:t>294</w:t>
            </w:r>
            <w:r w:rsidR="00923D28">
              <w:rPr>
                <w:rFonts w:ascii="Aptos Narrow" w:eastAsia="Times New Roman" w:hAnsi="Aptos Narrow" w:cs="Times New Roman"/>
                <w:b/>
                <w:bCs/>
                <w:color w:val="000000"/>
                <w:kern w:val="0"/>
                <w:lang w:eastAsia="en-GB"/>
                <w14:ligatures w14:val="none"/>
              </w:rPr>
              <w:t>(</w:t>
            </w:r>
            <w:r w:rsidR="00090311">
              <w:rPr>
                <w:rFonts w:ascii="Aptos Narrow" w:eastAsia="Times New Roman" w:hAnsi="Aptos Narrow" w:cs="Times New Roman"/>
                <w:b/>
                <w:bCs/>
                <w:color w:val="000000"/>
                <w:kern w:val="0"/>
                <w:lang w:eastAsia="en-GB"/>
                <w14:ligatures w14:val="none"/>
              </w:rPr>
              <w:t>71.5)</w:t>
            </w:r>
          </w:p>
        </w:tc>
        <w:tc>
          <w:tcPr>
            <w:tcW w:w="2126" w:type="dxa"/>
            <w:tcBorders>
              <w:top w:val="single" w:sz="4" w:space="0" w:color="auto"/>
              <w:left w:val="nil"/>
              <w:bottom w:val="single" w:sz="4" w:space="0" w:color="auto"/>
              <w:right w:val="nil"/>
            </w:tcBorders>
            <w:noWrap/>
            <w:vAlign w:val="bottom"/>
            <w:hideMark/>
          </w:tcPr>
          <w:p w14:paraId="226B5567" w14:textId="15826370" w:rsidR="00B56B5D" w:rsidRPr="00B56B5D" w:rsidRDefault="00B56B5D" w:rsidP="00FE2F0E">
            <w:pPr>
              <w:spacing w:after="0" w:line="360" w:lineRule="auto"/>
              <w:jc w:val="right"/>
              <w:rPr>
                <w:rFonts w:ascii="Aptos Narrow" w:eastAsia="Times New Roman" w:hAnsi="Aptos Narrow" w:cs="Times New Roman"/>
                <w:b/>
                <w:bCs/>
                <w:color w:val="000000"/>
                <w:kern w:val="0"/>
                <w:lang w:eastAsia="en-GB"/>
                <w14:ligatures w14:val="none"/>
              </w:rPr>
            </w:pPr>
            <w:r w:rsidRPr="00B56B5D">
              <w:rPr>
                <w:rFonts w:ascii="Aptos Narrow" w:eastAsia="Times New Roman" w:hAnsi="Aptos Narrow" w:cs="Times New Roman"/>
                <w:b/>
                <w:bCs/>
                <w:color w:val="000000"/>
                <w:kern w:val="0"/>
                <w:lang w:eastAsia="en-GB"/>
                <w14:ligatures w14:val="none"/>
              </w:rPr>
              <w:t>101</w:t>
            </w:r>
            <w:r w:rsidR="00923D28">
              <w:rPr>
                <w:rFonts w:ascii="Aptos Narrow" w:eastAsia="Times New Roman" w:hAnsi="Aptos Narrow" w:cs="Times New Roman"/>
                <w:b/>
                <w:bCs/>
                <w:color w:val="000000"/>
                <w:kern w:val="0"/>
                <w:lang w:eastAsia="en-GB"/>
                <w14:ligatures w14:val="none"/>
              </w:rPr>
              <w:t>(24.6)</w:t>
            </w:r>
          </w:p>
        </w:tc>
        <w:tc>
          <w:tcPr>
            <w:tcW w:w="1559" w:type="dxa"/>
            <w:tcBorders>
              <w:top w:val="single" w:sz="4" w:space="0" w:color="auto"/>
              <w:left w:val="nil"/>
              <w:bottom w:val="single" w:sz="4" w:space="0" w:color="auto"/>
              <w:right w:val="single" w:sz="4" w:space="0" w:color="auto"/>
            </w:tcBorders>
            <w:noWrap/>
            <w:vAlign w:val="bottom"/>
            <w:hideMark/>
          </w:tcPr>
          <w:p w14:paraId="0AB80984" w14:textId="2488D712" w:rsidR="00B56B5D" w:rsidRPr="008B124E" w:rsidRDefault="00B56B5D" w:rsidP="00FE2F0E">
            <w:pPr>
              <w:spacing w:after="0" w:line="360" w:lineRule="auto"/>
              <w:jc w:val="right"/>
              <w:rPr>
                <w:rFonts w:ascii="Aptos Narrow" w:eastAsia="Times New Roman" w:hAnsi="Aptos Narrow" w:cs="Times New Roman"/>
                <w:b/>
                <w:bCs/>
                <w:color w:val="000000"/>
                <w:kern w:val="0"/>
                <w:lang w:eastAsia="en-GB"/>
                <w14:ligatures w14:val="none"/>
              </w:rPr>
            </w:pPr>
            <w:r w:rsidRPr="008B124E">
              <w:rPr>
                <w:rFonts w:ascii="Aptos Narrow" w:eastAsia="Times New Roman" w:hAnsi="Aptos Narrow" w:cs="Times New Roman"/>
                <w:b/>
                <w:bCs/>
                <w:color w:val="000000"/>
                <w:kern w:val="0"/>
                <w:lang w:eastAsia="en-GB"/>
                <w14:ligatures w14:val="none"/>
              </w:rPr>
              <w:t>1</w:t>
            </w:r>
            <w:r w:rsidR="00923D28" w:rsidRPr="008B124E">
              <w:rPr>
                <w:rFonts w:ascii="Aptos Narrow" w:eastAsia="Times New Roman" w:hAnsi="Aptos Narrow" w:cs="Times New Roman"/>
                <w:b/>
                <w:bCs/>
                <w:color w:val="000000"/>
                <w:kern w:val="0"/>
                <w:lang w:eastAsia="en-GB"/>
                <w14:ligatures w14:val="none"/>
              </w:rPr>
              <w:t>(0.2)</w:t>
            </w:r>
          </w:p>
        </w:tc>
      </w:tr>
    </w:tbl>
    <w:bookmarkEnd w:id="0"/>
    <w:p w14:paraId="71D3865D" w14:textId="28CD3EF5" w:rsidR="004121FD" w:rsidRDefault="00913CA1" w:rsidP="00FE2F0E">
      <w:pPr>
        <w:spacing w:line="360" w:lineRule="auto"/>
        <w:jc w:val="both"/>
        <w:rPr>
          <w:rFonts w:ascii="Times New Roman" w:hAnsi="Times New Roman" w:cs="Times New Roman"/>
          <w:sz w:val="24"/>
          <w:szCs w:val="24"/>
        </w:rPr>
      </w:pPr>
      <w:r w:rsidRPr="00913CA1">
        <w:rPr>
          <w:rFonts w:ascii="Times New Roman" w:hAnsi="Times New Roman" w:cs="Times New Roman"/>
          <w:b/>
          <w:bCs/>
          <w:sz w:val="24"/>
          <w:szCs w:val="24"/>
        </w:rPr>
        <w:t>χ²</w:t>
      </w:r>
      <w:r w:rsidRPr="00913CA1">
        <w:rPr>
          <w:rFonts w:ascii="Times New Roman" w:hAnsi="Times New Roman" w:cs="Times New Roman"/>
          <w:sz w:val="24"/>
          <w:szCs w:val="24"/>
        </w:rPr>
        <w:t xml:space="preserve"> = </w:t>
      </w:r>
      <w:r w:rsidRPr="00913CA1">
        <w:rPr>
          <w:rFonts w:ascii="Times New Roman" w:hAnsi="Times New Roman" w:cs="Times New Roman"/>
          <w:b/>
          <w:bCs/>
          <w:sz w:val="24"/>
          <w:szCs w:val="24"/>
        </w:rPr>
        <w:t>9.643</w:t>
      </w:r>
      <w:r w:rsidR="00B23C1C">
        <w:rPr>
          <w:rFonts w:ascii="Times New Roman" w:hAnsi="Times New Roman" w:cs="Times New Roman"/>
          <w:sz w:val="24"/>
          <w:szCs w:val="24"/>
        </w:rPr>
        <w:t xml:space="preserve"> </w:t>
      </w:r>
      <w:r w:rsidR="00B2431B">
        <w:rPr>
          <w:rFonts w:ascii="Times New Roman" w:hAnsi="Times New Roman" w:cs="Times New Roman"/>
          <w:sz w:val="24"/>
          <w:szCs w:val="24"/>
        </w:rPr>
        <w:t xml:space="preserve"> </w:t>
      </w:r>
      <w:r w:rsidR="000E3648">
        <w:rPr>
          <w:rFonts w:ascii="Times New Roman" w:hAnsi="Times New Roman" w:cs="Times New Roman"/>
          <w:sz w:val="24"/>
          <w:szCs w:val="24"/>
        </w:rPr>
        <w:t xml:space="preserve"> </w:t>
      </w:r>
      <w:r w:rsidR="00B2431B" w:rsidRPr="00B2431B">
        <w:rPr>
          <w:rFonts w:ascii="Times New Roman" w:hAnsi="Times New Roman" w:cs="Times New Roman"/>
          <w:b/>
          <w:bCs/>
          <w:sz w:val="24"/>
          <w:szCs w:val="24"/>
        </w:rPr>
        <w:t>P</w:t>
      </w:r>
      <w:r w:rsidR="00B2431B" w:rsidRPr="00B2431B">
        <w:rPr>
          <w:rFonts w:ascii="Times New Roman" w:hAnsi="Times New Roman" w:cs="Times New Roman"/>
          <w:sz w:val="24"/>
          <w:szCs w:val="24"/>
        </w:rPr>
        <w:t xml:space="preserve"> = </w:t>
      </w:r>
      <w:r w:rsidR="00B2431B" w:rsidRPr="00B2431B">
        <w:rPr>
          <w:rFonts w:ascii="Times New Roman" w:hAnsi="Times New Roman" w:cs="Times New Roman"/>
          <w:b/>
          <w:bCs/>
          <w:sz w:val="24"/>
          <w:szCs w:val="24"/>
        </w:rPr>
        <w:t>0.291</w:t>
      </w:r>
      <w:r w:rsidR="00B23C1C" w:rsidRPr="00B23C1C">
        <w:rPr>
          <w:rFonts w:ascii="Times New Roman" w:hAnsi="Times New Roman" w:cs="Times New Roman"/>
          <w:sz w:val="24"/>
          <w:szCs w:val="24"/>
        </w:rPr>
        <w:t xml:space="preserve"> </w:t>
      </w:r>
    </w:p>
    <w:p w14:paraId="794388B9" w14:textId="77777777" w:rsidR="00EA29B6" w:rsidRDefault="00EA29B6" w:rsidP="00FE2F0E">
      <w:pPr>
        <w:spacing w:line="360" w:lineRule="auto"/>
        <w:jc w:val="both"/>
        <w:rPr>
          <w:rFonts w:ascii="Times New Roman" w:hAnsi="Times New Roman" w:cs="Times New Roman"/>
          <w:sz w:val="24"/>
          <w:szCs w:val="24"/>
        </w:rPr>
      </w:pPr>
    </w:p>
    <w:p w14:paraId="0E07E81B" w14:textId="77777777" w:rsidR="00EA29B6" w:rsidRDefault="00EA29B6" w:rsidP="00FE2F0E">
      <w:pPr>
        <w:spacing w:line="360" w:lineRule="auto"/>
        <w:jc w:val="both"/>
        <w:rPr>
          <w:rFonts w:ascii="Times New Roman" w:hAnsi="Times New Roman" w:cs="Times New Roman"/>
          <w:sz w:val="24"/>
          <w:szCs w:val="24"/>
        </w:rPr>
      </w:pPr>
    </w:p>
    <w:p w14:paraId="5D7A7EE8" w14:textId="77777777" w:rsidR="00EA29B6" w:rsidRDefault="00EA29B6" w:rsidP="00FE2F0E">
      <w:pPr>
        <w:spacing w:line="360" w:lineRule="auto"/>
        <w:jc w:val="both"/>
        <w:rPr>
          <w:rFonts w:ascii="Times New Roman" w:hAnsi="Times New Roman" w:cs="Times New Roman"/>
          <w:sz w:val="24"/>
          <w:szCs w:val="24"/>
        </w:rPr>
      </w:pPr>
    </w:p>
    <w:p w14:paraId="67127C3F" w14:textId="77777777" w:rsidR="00EA29B6" w:rsidRPr="004307A4" w:rsidRDefault="00EA29B6" w:rsidP="00FE2F0E">
      <w:pPr>
        <w:spacing w:line="360" w:lineRule="auto"/>
        <w:jc w:val="both"/>
        <w:rPr>
          <w:rFonts w:ascii="Times New Roman" w:hAnsi="Times New Roman" w:cs="Times New Roman"/>
          <w:sz w:val="24"/>
          <w:szCs w:val="24"/>
        </w:rPr>
      </w:pPr>
    </w:p>
    <w:p w14:paraId="327BE059" w14:textId="6B92CC6D" w:rsidR="00C4599D" w:rsidRPr="000217A8" w:rsidRDefault="000217A8" w:rsidP="00FE2F0E">
      <w:pPr>
        <w:spacing w:line="360" w:lineRule="auto"/>
        <w:jc w:val="both"/>
        <w:rPr>
          <w:rFonts w:ascii="Times New Roman" w:hAnsi="Times New Roman" w:cs="Times New Roman"/>
          <w:b/>
          <w:bCs/>
          <w:sz w:val="24"/>
          <w:szCs w:val="24"/>
        </w:rPr>
      </w:pPr>
      <w:r w:rsidRPr="00B2431B">
        <w:rPr>
          <w:rFonts w:ascii="Times New Roman" w:hAnsi="Times New Roman" w:cs="Times New Roman"/>
          <w:b/>
          <w:bCs/>
          <w:sz w:val="24"/>
          <w:szCs w:val="24"/>
        </w:rPr>
        <w:t xml:space="preserve">Table </w:t>
      </w:r>
      <w:r w:rsidR="00364F0D">
        <w:rPr>
          <w:rFonts w:ascii="Times New Roman" w:hAnsi="Times New Roman" w:cs="Times New Roman"/>
          <w:b/>
          <w:bCs/>
          <w:sz w:val="24"/>
          <w:szCs w:val="24"/>
        </w:rPr>
        <w:t>2</w:t>
      </w:r>
      <w:r w:rsidRPr="00B2431B">
        <w:rPr>
          <w:rFonts w:ascii="Times New Roman" w:hAnsi="Times New Roman" w:cs="Times New Roman"/>
          <w:b/>
          <w:bCs/>
          <w:sz w:val="24"/>
          <w:szCs w:val="24"/>
        </w:rPr>
        <w:t xml:space="preserve">: </w:t>
      </w:r>
      <w:r w:rsidR="00347209">
        <w:rPr>
          <w:rFonts w:ascii="Times New Roman" w:hAnsi="Times New Roman" w:cs="Times New Roman"/>
          <w:b/>
          <w:bCs/>
          <w:sz w:val="24"/>
          <w:szCs w:val="24"/>
        </w:rPr>
        <w:t>Sputum</w:t>
      </w:r>
      <w:r w:rsidRPr="00B2431B">
        <w:rPr>
          <w:rFonts w:ascii="Times New Roman" w:hAnsi="Times New Roman" w:cs="Times New Roman"/>
          <w:b/>
          <w:bCs/>
          <w:sz w:val="24"/>
          <w:szCs w:val="24"/>
        </w:rPr>
        <w:t xml:space="preserve"> GeneXpert Results in Relation to </w:t>
      </w:r>
      <w:r>
        <w:rPr>
          <w:rFonts w:ascii="Times New Roman" w:hAnsi="Times New Roman" w:cs="Times New Roman"/>
          <w:b/>
          <w:bCs/>
          <w:sz w:val="24"/>
          <w:szCs w:val="24"/>
        </w:rPr>
        <w:t>Gender</w:t>
      </w:r>
    </w:p>
    <w:tbl>
      <w:tblPr>
        <w:tblW w:w="9067" w:type="dxa"/>
        <w:tblLook w:val="04A0" w:firstRow="1" w:lastRow="0" w:firstColumn="1" w:lastColumn="0" w:noHBand="0" w:noVBand="1"/>
      </w:tblPr>
      <w:tblGrid>
        <w:gridCol w:w="1555"/>
        <w:gridCol w:w="1701"/>
        <w:gridCol w:w="2126"/>
        <w:gridCol w:w="1984"/>
        <w:gridCol w:w="1701"/>
      </w:tblGrid>
      <w:tr w:rsidR="00C4599D" w:rsidRPr="00C4599D" w14:paraId="67873660" w14:textId="77777777" w:rsidTr="008A051B">
        <w:trPr>
          <w:trHeight w:val="290"/>
        </w:trPr>
        <w:tc>
          <w:tcPr>
            <w:tcW w:w="1555" w:type="dxa"/>
            <w:tcBorders>
              <w:top w:val="single" w:sz="4" w:space="0" w:color="auto"/>
              <w:left w:val="single" w:sz="4" w:space="0" w:color="auto"/>
              <w:bottom w:val="single" w:sz="4" w:space="0" w:color="auto"/>
              <w:right w:val="nil"/>
            </w:tcBorders>
            <w:noWrap/>
            <w:vAlign w:val="bottom"/>
            <w:hideMark/>
          </w:tcPr>
          <w:p w14:paraId="59CF6B23" w14:textId="77777777" w:rsidR="00C4599D" w:rsidRPr="00C4599D" w:rsidRDefault="00C4599D" w:rsidP="00FE2F0E">
            <w:pPr>
              <w:spacing w:after="0" w:line="360" w:lineRule="auto"/>
              <w:rPr>
                <w:rFonts w:ascii="Aptos Narrow" w:eastAsia="Times New Roman" w:hAnsi="Aptos Narrow" w:cs="Times New Roman"/>
                <w:b/>
                <w:bCs/>
                <w:color w:val="000000"/>
                <w:kern w:val="0"/>
                <w:lang w:eastAsia="en-GB"/>
                <w14:ligatures w14:val="none"/>
              </w:rPr>
            </w:pPr>
            <w:r w:rsidRPr="00C4599D">
              <w:rPr>
                <w:rFonts w:ascii="Aptos Narrow" w:eastAsia="Times New Roman" w:hAnsi="Aptos Narrow" w:cs="Times New Roman"/>
                <w:b/>
                <w:bCs/>
                <w:color w:val="000000"/>
                <w:kern w:val="0"/>
                <w:lang w:eastAsia="en-GB"/>
                <w14:ligatures w14:val="none"/>
              </w:rPr>
              <w:lastRenderedPageBreak/>
              <w:t>Gender</w:t>
            </w:r>
          </w:p>
        </w:tc>
        <w:tc>
          <w:tcPr>
            <w:tcW w:w="1701" w:type="dxa"/>
            <w:tcBorders>
              <w:top w:val="single" w:sz="4" w:space="0" w:color="auto"/>
              <w:left w:val="nil"/>
              <w:bottom w:val="single" w:sz="4" w:space="0" w:color="auto"/>
              <w:right w:val="nil"/>
            </w:tcBorders>
            <w:noWrap/>
            <w:vAlign w:val="bottom"/>
            <w:hideMark/>
          </w:tcPr>
          <w:p w14:paraId="054DF922" w14:textId="5D7554E6" w:rsidR="00C4599D" w:rsidRPr="00C4599D" w:rsidRDefault="00C4599D" w:rsidP="00FE2F0E">
            <w:pPr>
              <w:spacing w:after="0" w:line="360" w:lineRule="auto"/>
              <w:rPr>
                <w:rFonts w:ascii="Calibri" w:eastAsia="Times New Roman" w:hAnsi="Calibri" w:cs="Calibri"/>
                <w:b/>
                <w:bCs/>
                <w:color w:val="000000"/>
                <w:kern w:val="0"/>
                <w:lang w:eastAsia="en-GB"/>
                <w14:ligatures w14:val="none"/>
              </w:rPr>
            </w:pPr>
            <w:r w:rsidRPr="00C4599D">
              <w:rPr>
                <w:rFonts w:ascii="Calibri" w:eastAsia="Times New Roman" w:hAnsi="Calibri" w:cs="Calibri"/>
                <w:b/>
                <w:bCs/>
                <w:color w:val="000000"/>
                <w:kern w:val="0"/>
                <w:lang w:eastAsia="en-GB"/>
                <w14:ligatures w14:val="none"/>
              </w:rPr>
              <w:t>Frequency n</w:t>
            </w:r>
            <w:r w:rsidR="00FB7A75">
              <w:rPr>
                <w:rFonts w:ascii="Calibri" w:eastAsia="Times New Roman" w:hAnsi="Calibri" w:cs="Calibri"/>
                <w:b/>
                <w:bCs/>
                <w:color w:val="000000"/>
                <w:kern w:val="0"/>
                <w:lang w:eastAsia="en-GB"/>
                <w14:ligatures w14:val="none"/>
              </w:rPr>
              <w:t xml:space="preserve"> (%)</w:t>
            </w:r>
          </w:p>
        </w:tc>
        <w:tc>
          <w:tcPr>
            <w:tcW w:w="2126" w:type="dxa"/>
            <w:tcBorders>
              <w:top w:val="single" w:sz="4" w:space="0" w:color="auto"/>
              <w:left w:val="nil"/>
              <w:bottom w:val="single" w:sz="4" w:space="0" w:color="auto"/>
              <w:right w:val="nil"/>
            </w:tcBorders>
            <w:noWrap/>
            <w:vAlign w:val="bottom"/>
            <w:hideMark/>
          </w:tcPr>
          <w:p w14:paraId="1B5B318B" w14:textId="57F28273" w:rsidR="00C4599D" w:rsidRPr="00C4599D" w:rsidRDefault="00C4599D" w:rsidP="00FE2F0E">
            <w:pPr>
              <w:spacing w:after="0" w:line="360" w:lineRule="auto"/>
              <w:rPr>
                <w:rFonts w:ascii="Aptos Narrow" w:eastAsia="Times New Roman" w:hAnsi="Aptos Narrow" w:cs="Times New Roman"/>
                <w:b/>
                <w:bCs/>
                <w:color w:val="000000"/>
                <w:kern w:val="0"/>
                <w:lang w:eastAsia="en-GB"/>
                <w14:ligatures w14:val="none"/>
              </w:rPr>
            </w:pPr>
            <w:r w:rsidRPr="00C4599D">
              <w:rPr>
                <w:rFonts w:ascii="Aptos Narrow" w:eastAsia="Times New Roman" w:hAnsi="Aptos Narrow" w:cs="Times New Roman"/>
                <w:b/>
                <w:bCs/>
                <w:color w:val="000000"/>
                <w:kern w:val="0"/>
                <w:lang w:eastAsia="en-GB"/>
                <w14:ligatures w14:val="none"/>
              </w:rPr>
              <w:t>Xpert Negative</w:t>
            </w:r>
            <w:r w:rsidR="008A051B">
              <w:rPr>
                <w:rFonts w:ascii="Aptos Narrow" w:eastAsia="Times New Roman" w:hAnsi="Aptos Narrow" w:cs="Times New Roman"/>
                <w:b/>
                <w:bCs/>
                <w:color w:val="000000"/>
                <w:kern w:val="0"/>
                <w:lang w:eastAsia="en-GB"/>
                <w14:ligatures w14:val="none"/>
              </w:rPr>
              <w:t xml:space="preserve"> n </w:t>
            </w:r>
            <w:r w:rsidR="008A051B">
              <w:rPr>
                <w:rFonts w:ascii="Calibri" w:eastAsia="Times New Roman" w:hAnsi="Calibri" w:cs="Calibri"/>
                <w:b/>
                <w:bCs/>
                <w:color w:val="000000"/>
                <w:kern w:val="0"/>
                <w:lang w:eastAsia="en-GB"/>
                <w14:ligatures w14:val="none"/>
              </w:rPr>
              <w:t>(%)</w:t>
            </w:r>
          </w:p>
        </w:tc>
        <w:tc>
          <w:tcPr>
            <w:tcW w:w="1984" w:type="dxa"/>
            <w:tcBorders>
              <w:top w:val="single" w:sz="4" w:space="0" w:color="auto"/>
              <w:left w:val="nil"/>
              <w:bottom w:val="single" w:sz="4" w:space="0" w:color="auto"/>
              <w:right w:val="nil"/>
            </w:tcBorders>
            <w:noWrap/>
            <w:vAlign w:val="bottom"/>
            <w:hideMark/>
          </w:tcPr>
          <w:p w14:paraId="14887113" w14:textId="67D87C27" w:rsidR="00C4599D" w:rsidRPr="00C4599D" w:rsidRDefault="00C4599D" w:rsidP="00FE2F0E">
            <w:pPr>
              <w:spacing w:after="0" w:line="360" w:lineRule="auto"/>
              <w:rPr>
                <w:rFonts w:ascii="Aptos Narrow" w:eastAsia="Times New Roman" w:hAnsi="Aptos Narrow" w:cs="Times New Roman"/>
                <w:b/>
                <w:bCs/>
                <w:color w:val="000000"/>
                <w:kern w:val="0"/>
                <w:lang w:eastAsia="en-GB"/>
                <w14:ligatures w14:val="none"/>
              </w:rPr>
            </w:pPr>
            <w:r w:rsidRPr="00C4599D">
              <w:rPr>
                <w:rFonts w:ascii="Aptos Narrow" w:eastAsia="Times New Roman" w:hAnsi="Aptos Narrow" w:cs="Times New Roman"/>
                <w:b/>
                <w:bCs/>
                <w:color w:val="000000"/>
                <w:kern w:val="0"/>
                <w:lang w:eastAsia="en-GB"/>
                <w14:ligatures w14:val="none"/>
              </w:rPr>
              <w:t>Xpert Positive</w:t>
            </w:r>
            <w:r w:rsidR="008A051B">
              <w:rPr>
                <w:rFonts w:ascii="Aptos Narrow" w:eastAsia="Times New Roman" w:hAnsi="Aptos Narrow" w:cs="Times New Roman"/>
                <w:b/>
                <w:bCs/>
                <w:color w:val="000000"/>
                <w:kern w:val="0"/>
                <w:lang w:eastAsia="en-GB"/>
                <w14:ligatures w14:val="none"/>
              </w:rPr>
              <w:t xml:space="preserve"> n </w:t>
            </w:r>
            <w:r w:rsidR="008A051B">
              <w:rPr>
                <w:rFonts w:ascii="Calibri" w:eastAsia="Times New Roman" w:hAnsi="Calibri" w:cs="Calibri"/>
                <w:b/>
                <w:bCs/>
                <w:color w:val="000000"/>
                <w:kern w:val="0"/>
                <w:lang w:eastAsia="en-GB"/>
                <w14:ligatures w14:val="none"/>
              </w:rPr>
              <w:t>(%)</w:t>
            </w:r>
          </w:p>
        </w:tc>
        <w:tc>
          <w:tcPr>
            <w:tcW w:w="1701" w:type="dxa"/>
            <w:tcBorders>
              <w:top w:val="single" w:sz="4" w:space="0" w:color="auto"/>
              <w:left w:val="nil"/>
              <w:bottom w:val="single" w:sz="4" w:space="0" w:color="auto"/>
              <w:right w:val="single" w:sz="4" w:space="0" w:color="auto"/>
            </w:tcBorders>
            <w:noWrap/>
            <w:vAlign w:val="bottom"/>
            <w:hideMark/>
          </w:tcPr>
          <w:p w14:paraId="516695A2" w14:textId="70B04C4B" w:rsidR="00C4599D" w:rsidRPr="00C4599D" w:rsidRDefault="00C4599D" w:rsidP="00FE2F0E">
            <w:pPr>
              <w:spacing w:after="0" w:line="360" w:lineRule="auto"/>
              <w:rPr>
                <w:rFonts w:ascii="Aptos Narrow" w:eastAsia="Times New Roman" w:hAnsi="Aptos Narrow" w:cs="Times New Roman"/>
                <w:b/>
                <w:bCs/>
                <w:color w:val="000000"/>
                <w:kern w:val="0"/>
                <w:lang w:eastAsia="en-GB"/>
                <w14:ligatures w14:val="none"/>
              </w:rPr>
            </w:pPr>
            <w:r w:rsidRPr="00C4599D">
              <w:rPr>
                <w:rFonts w:ascii="Aptos Narrow" w:eastAsia="Times New Roman" w:hAnsi="Aptos Narrow" w:cs="Times New Roman"/>
                <w:b/>
                <w:bCs/>
                <w:color w:val="000000"/>
                <w:kern w:val="0"/>
                <w:lang w:eastAsia="en-GB"/>
                <w14:ligatures w14:val="none"/>
              </w:rPr>
              <w:t>Xpert Indeterminate</w:t>
            </w:r>
            <w:r w:rsidR="008A051B">
              <w:rPr>
                <w:rFonts w:ascii="Aptos Narrow" w:eastAsia="Times New Roman" w:hAnsi="Aptos Narrow" w:cs="Times New Roman"/>
                <w:b/>
                <w:bCs/>
                <w:color w:val="000000"/>
                <w:kern w:val="0"/>
                <w:lang w:eastAsia="en-GB"/>
                <w14:ligatures w14:val="none"/>
              </w:rPr>
              <w:t xml:space="preserve"> n </w:t>
            </w:r>
            <w:r w:rsidR="008A051B">
              <w:rPr>
                <w:rFonts w:ascii="Calibri" w:eastAsia="Times New Roman" w:hAnsi="Calibri" w:cs="Calibri"/>
                <w:b/>
                <w:bCs/>
                <w:color w:val="000000"/>
                <w:kern w:val="0"/>
                <w:lang w:eastAsia="en-GB"/>
                <w14:ligatures w14:val="none"/>
              </w:rPr>
              <w:t>(%)</w:t>
            </w:r>
          </w:p>
        </w:tc>
      </w:tr>
      <w:tr w:rsidR="00C4599D" w:rsidRPr="00C4599D" w14:paraId="411FEB35" w14:textId="77777777" w:rsidTr="008A051B">
        <w:trPr>
          <w:trHeight w:val="290"/>
        </w:trPr>
        <w:tc>
          <w:tcPr>
            <w:tcW w:w="1555" w:type="dxa"/>
            <w:tcBorders>
              <w:top w:val="nil"/>
              <w:left w:val="single" w:sz="4" w:space="0" w:color="auto"/>
              <w:bottom w:val="nil"/>
              <w:right w:val="nil"/>
            </w:tcBorders>
            <w:noWrap/>
            <w:vAlign w:val="bottom"/>
            <w:hideMark/>
          </w:tcPr>
          <w:p w14:paraId="493DE880" w14:textId="77777777" w:rsidR="00C4599D" w:rsidRPr="00C4599D" w:rsidRDefault="00C4599D" w:rsidP="00FE2F0E">
            <w:pPr>
              <w:spacing w:after="0" w:line="360" w:lineRule="auto"/>
              <w:rPr>
                <w:rFonts w:ascii="Aptos Narrow" w:eastAsia="Times New Roman" w:hAnsi="Aptos Narrow" w:cs="Times New Roman"/>
                <w:color w:val="000000"/>
                <w:kern w:val="0"/>
                <w:lang w:eastAsia="en-GB"/>
                <w14:ligatures w14:val="none"/>
              </w:rPr>
            </w:pPr>
            <w:r w:rsidRPr="00C4599D">
              <w:rPr>
                <w:rFonts w:ascii="Aptos Narrow" w:eastAsia="Times New Roman" w:hAnsi="Aptos Narrow" w:cs="Times New Roman"/>
                <w:kern w:val="0"/>
                <w:lang w:eastAsia="en-GB"/>
                <w14:ligatures w14:val="none"/>
              </w:rPr>
              <w:t>Male</w:t>
            </w:r>
          </w:p>
        </w:tc>
        <w:tc>
          <w:tcPr>
            <w:tcW w:w="1701" w:type="dxa"/>
            <w:tcBorders>
              <w:top w:val="nil"/>
              <w:left w:val="nil"/>
              <w:bottom w:val="nil"/>
              <w:right w:val="nil"/>
            </w:tcBorders>
            <w:noWrap/>
            <w:vAlign w:val="bottom"/>
            <w:hideMark/>
          </w:tcPr>
          <w:p w14:paraId="670D585B" w14:textId="40519F7C" w:rsidR="00C4599D" w:rsidRPr="00C4599D" w:rsidRDefault="00C4599D" w:rsidP="00FE2F0E">
            <w:pPr>
              <w:spacing w:after="0" w:line="360" w:lineRule="auto"/>
              <w:jc w:val="right"/>
              <w:rPr>
                <w:rFonts w:ascii="Aptos Narrow" w:eastAsia="Times New Roman" w:hAnsi="Aptos Narrow" w:cs="Times New Roman"/>
                <w:color w:val="000000"/>
                <w:kern w:val="0"/>
                <w:lang w:eastAsia="en-GB"/>
                <w14:ligatures w14:val="none"/>
              </w:rPr>
            </w:pPr>
            <w:r w:rsidRPr="00C4599D">
              <w:rPr>
                <w:rFonts w:ascii="Aptos Narrow" w:eastAsia="Times New Roman" w:hAnsi="Aptos Narrow" w:cs="Times New Roman"/>
                <w:color w:val="000000"/>
                <w:kern w:val="0"/>
                <w:lang w:eastAsia="en-GB"/>
                <w14:ligatures w14:val="none"/>
              </w:rPr>
              <w:t>193</w:t>
            </w:r>
            <w:r w:rsidR="00BC7E90">
              <w:rPr>
                <w:rFonts w:ascii="Aptos Narrow" w:eastAsia="Times New Roman" w:hAnsi="Aptos Narrow" w:cs="Times New Roman"/>
                <w:color w:val="000000"/>
                <w:kern w:val="0"/>
                <w:lang w:eastAsia="en-GB"/>
                <w14:ligatures w14:val="none"/>
              </w:rPr>
              <w:t>(</w:t>
            </w:r>
            <w:r w:rsidR="008B6298">
              <w:rPr>
                <w:rFonts w:ascii="Aptos Narrow" w:eastAsia="Times New Roman" w:hAnsi="Aptos Narrow" w:cs="Times New Roman"/>
                <w:color w:val="000000"/>
                <w:kern w:val="0"/>
                <w:lang w:eastAsia="en-GB"/>
                <w14:ligatures w14:val="none"/>
              </w:rPr>
              <w:t>47.0)</w:t>
            </w:r>
          </w:p>
        </w:tc>
        <w:tc>
          <w:tcPr>
            <w:tcW w:w="2126" w:type="dxa"/>
            <w:tcBorders>
              <w:top w:val="nil"/>
              <w:left w:val="nil"/>
              <w:bottom w:val="nil"/>
              <w:right w:val="nil"/>
            </w:tcBorders>
            <w:noWrap/>
            <w:vAlign w:val="bottom"/>
            <w:hideMark/>
          </w:tcPr>
          <w:p w14:paraId="06037D71" w14:textId="13CB749F" w:rsidR="00C4599D" w:rsidRPr="00C4599D" w:rsidRDefault="00C4599D" w:rsidP="00FE2F0E">
            <w:pPr>
              <w:spacing w:after="0" w:line="360" w:lineRule="auto"/>
              <w:jc w:val="right"/>
              <w:rPr>
                <w:rFonts w:ascii="Aptos Narrow" w:eastAsia="Times New Roman" w:hAnsi="Aptos Narrow" w:cs="Times New Roman"/>
                <w:color w:val="000000"/>
                <w:kern w:val="0"/>
                <w:lang w:eastAsia="en-GB"/>
                <w14:ligatures w14:val="none"/>
              </w:rPr>
            </w:pPr>
            <w:r w:rsidRPr="00C4599D">
              <w:rPr>
                <w:rFonts w:ascii="Aptos Narrow" w:eastAsia="Times New Roman" w:hAnsi="Aptos Narrow" w:cs="Times New Roman"/>
                <w:color w:val="000000"/>
                <w:kern w:val="0"/>
                <w:lang w:eastAsia="en-GB"/>
                <w14:ligatures w14:val="none"/>
              </w:rPr>
              <w:t>141</w:t>
            </w:r>
            <w:r w:rsidR="008B6298">
              <w:rPr>
                <w:rFonts w:ascii="Aptos Narrow" w:eastAsia="Times New Roman" w:hAnsi="Aptos Narrow" w:cs="Times New Roman"/>
                <w:color w:val="000000"/>
                <w:kern w:val="0"/>
                <w:lang w:eastAsia="en-GB"/>
                <w14:ligatures w14:val="none"/>
              </w:rPr>
              <w:t>(</w:t>
            </w:r>
            <w:r w:rsidR="00061D78">
              <w:rPr>
                <w:rFonts w:ascii="Aptos Narrow" w:eastAsia="Times New Roman" w:hAnsi="Aptos Narrow" w:cs="Times New Roman"/>
                <w:color w:val="000000"/>
                <w:kern w:val="0"/>
                <w:lang w:eastAsia="en-GB"/>
                <w14:ligatures w14:val="none"/>
              </w:rPr>
              <w:t>73.1)</w:t>
            </w:r>
          </w:p>
        </w:tc>
        <w:tc>
          <w:tcPr>
            <w:tcW w:w="1984" w:type="dxa"/>
            <w:tcBorders>
              <w:top w:val="nil"/>
              <w:left w:val="nil"/>
              <w:bottom w:val="nil"/>
              <w:right w:val="nil"/>
            </w:tcBorders>
            <w:noWrap/>
            <w:vAlign w:val="bottom"/>
            <w:hideMark/>
          </w:tcPr>
          <w:p w14:paraId="4EF01E7C" w14:textId="03CC7A1C" w:rsidR="00C4599D" w:rsidRPr="00C4599D" w:rsidRDefault="00C4599D" w:rsidP="00FE2F0E">
            <w:pPr>
              <w:spacing w:after="0" w:line="360" w:lineRule="auto"/>
              <w:jc w:val="right"/>
              <w:rPr>
                <w:rFonts w:ascii="Aptos Narrow" w:eastAsia="Times New Roman" w:hAnsi="Aptos Narrow" w:cs="Times New Roman"/>
                <w:color w:val="000000"/>
                <w:kern w:val="0"/>
                <w:lang w:eastAsia="en-GB"/>
                <w14:ligatures w14:val="none"/>
              </w:rPr>
            </w:pPr>
            <w:r w:rsidRPr="00C4599D">
              <w:rPr>
                <w:rFonts w:ascii="Aptos Narrow" w:eastAsia="Times New Roman" w:hAnsi="Aptos Narrow" w:cs="Times New Roman"/>
                <w:color w:val="000000"/>
                <w:kern w:val="0"/>
                <w:lang w:eastAsia="en-GB"/>
                <w14:ligatures w14:val="none"/>
              </w:rPr>
              <w:t>51</w:t>
            </w:r>
            <w:r w:rsidR="00061D78">
              <w:rPr>
                <w:rFonts w:ascii="Aptos Narrow" w:eastAsia="Times New Roman" w:hAnsi="Aptos Narrow" w:cs="Times New Roman"/>
                <w:color w:val="000000"/>
                <w:kern w:val="0"/>
                <w:lang w:eastAsia="en-GB"/>
                <w14:ligatures w14:val="none"/>
              </w:rPr>
              <w:t>(26.4)</w:t>
            </w:r>
          </w:p>
        </w:tc>
        <w:tc>
          <w:tcPr>
            <w:tcW w:w="1701" w:type="dxa"/>
            <w:tcBorders>
              <w:top w:val="nil"/>
              <w:left w:val="nil"/>
              <w:bottom w:val="nil"/>
              <w:right w:val="single" w:sz="4" w:space="0" w:color="auto"/>
            </w:tcBorders>
            <w:noWrap/>
            <w:vAlign w:val="bottom"/>
            <w:hideMark/>
          </w:tcPr>
          <w:p w14:paraId="6CCE4AFE" w14:textId="1E89156C" w:rsidR="00C4599D" w:rsidRPr="00C4599D" w:rsidRDefault="00C4599D" w:rsidP="00FE2F0E">
            <w:pPr>
              <w:spacing w:after="0" w:line="360" w:lineRule="auto"/>
              <w:jc w:val="right"/>
              <w:rPr>
                <w:rFonts w:ascii="Aptos Narrow" w:eastAsia="Times New Roman" w:hAnsi="Aptos Narrow" w:cs="Times New Roman"/>
                <w:color w:val="000000"/>
                <w:kern w:val="0"/>
                <w:lang w:eastAsia="en-GB"/>
                <w14:ligatures w14:val="none"/>
              </w:rPr>
            </w:pPr>
            <w:r w:rsidRPr="00C4599D">
              <w:rPr>
                <w:rFonts w:ascii="Aptos Narrow" w:eastAsia="Times New Roman" w:hAnsi="Aptos Narrow" w:cs="Times New Roman"/>
                <w:kern w:val="0"/>
                <w:lang w:eastAsia="en-GB"/>
                <w14:ligatures w14:val="none"/>
              </w:rPr>
              <w:t>1</w:t>
            </w:r>
            <w:r w:rsidR="006A5D6C">
              <w:rPr>
                <w:rFonts w:ascii="Aptos Narrow" w:eastAsia="Times New Roman" w:hAnsi="Aptos Narrow" w:cs="Times New Roman"/>
                <w:kern w:val="0"/>
                <w:lang w:eastAsia="en-GB"/>
                <w14:ligatures w14:val="none"/>
              </w:rPr>
              <w:t>(0.5)</w:t>
            </w:r>
          </w:p>
        </w:tc>
      </w:tr>
      <w:tr w:rsidR="00C4599D" w:rsidRPr="00C4599D" w14:paraId="3B7D9B46" w14:textId="77777777" w:rsidTr="008A051B">
        <w:trPr>
          <w:trHeight w:val="290"/>
        </w:trPr>
        <w:tc>
          <w:tcPr>
            <w:tcW w:w="1555" w:type="dxa"/>
            <w:tcBorders>
              <w:top w:val="nil"/>
              <w:left w:val="single" w:sz="4" w:space="0" w:color="auto"/>
              <w:bottom w:val="nil"/>
              <w:right w:val="nil"/>
            </w:tcBorders>
            <w:noWrap/>
            <w:vAlign w:val="bottom"/>
            <w:hideMark/>
          </w:tcPr>
          <w:p w14:paraId="008F30B1" w14:textId="77777777" w:rsidR="00C4599D" w:rsidRPr="00C4599D" w:rsidRDefault="00C4599D" w:rsidP="00FE2F0E">
            <w:pPr>
              <w:spacing w:after="0" w:line="360" w:lineRule="auto"/>
              <w:rPr>
                <w:rFonts w:ascii="Aptos Narrow" w:eastAsia="Times New Roman" w:hAnsi="Aptos Narrow" w:cs="Times New Roman"/>
                <w:color w:val="000000"/>
                <w:kern w:val="0"/>
                <w:lang w:eastAsia="en-GB"/>
                <w14:ligatures w14:val="none"/>
              </w:rPr>
            </w:pPr>
            <w:r w:rsidRPr="00C4599D">
              <w:rPr>
                <w:rFonts w:ascii="Aptos Narrow" w:eastAsia="Times New Roman" w:hAnsi="Aptos Narrow" w:cs="Times New Roman"/>
                <w:kern w:val="0"/>
                <w:lang w:eastAsia="en-GB"/>
                <w14:ligatures w14:val="none"/>
              </w:rPr>
              <w:t>Female</w:t>
            </w:r>
          </w:p>
        </w:tc>
        <w:tc>
          <w:tcPr>
            <w:tcW w:w="1701" w:type="dxa"/>
            <w:tcBorders>
              <w:top w:val="nil"/>
              <w:left w:val="nil"/>
              <w:bottom w:val="nil"/>
              <w:right w:val="nil"/>
            </w:tcBorders>
            <w:noWrap/>
            <w:vAlign w:val="bottom"/>
            <w:hideMark/>
          </w:tcPr>
          <w:p w14:paraId="104BA103" w14:textId="7CAC77D5" w:rsidR="00C4599D" w:rsidRPr="00C4599D" w:rsidRDefault="00C4599D" w:rsidP="00FE2F0E">
            <w:pPr>
              <w:spacing w:after="0" w:line="360" w:lineRule="auto"/>
              <w:jc w:val="right"/>
              <w:rPr>
                <w:rFonts w:ascii="Aptos Narrow" w:eastAsia="Times New Roman" w:hAnsi="Aptos Narrow" w:cs="Times New Roman"/>
                <w:color w:val="000000"/>
                <w:kern w:val="0"/>
                <w:lang w:eastAsia="en-GB"/>
                <w14:ligatures w14:val="none"/>
              </w:rPr>
            </w:pPr>
            <w:r w:rsidRPr="00C4599D">
              <w:rPr>
                <w:rFonts w:ascii="Aptos Narrow" w:eastAsia="Times New Roman" w:hAnsi="Aptos Narrow" w:cs="Times New Roman"/>
                <w:kern w:val="0"/>
                <w:lang w:eastAsia="en-GB"/>
                <w14:ligatures w14:val="none"/>
              </w:rPr>
              <w:t>218</w:t>
            </w:r>
            <w:r w:rsidR="008B6298">
              <w:rPr>
                <w:rFonts w:ascii="Aptos Narrow" w:eastAsia="Times New Roman" w:hAnsi="Aptos Narrow" w:cs="Times New Roman"/>
                <w:kern w:val="0"/>
                <w:lang w:eastAsia="en-GB"/>
                <w14:ligatures w14:val="none"/>
              </w:rPr>
              <w:t>(53.0)</w:t>
            </w:r>
          </w:p>
        </w:tc>
        <w:tc>
          <w:tcPr>
            <w:tcW w:w="2126" w:type="dxa"/>
            <w:tcBorders>
              <w:top w:val="nil"/>
              <w:left w:val="nil"/>
              <w:bottom w:val="nil"/>
              <w:right w:val="nil"/>
            </w:tcBorders>
            <w:noWrap/>
            <w:vAlign w:val="bottom"/>
            <w:hideMark/>
          </w:tcPr>
          <w:p w14:paraId="406CB819" w14:textId="59DB3833" w:rsidR="00C4599D" w:rsidRPr="00C4599D" w:rsidRDefault="00C4599D" w:rsidP="00FE2F0E">
            <w:pPr>
              <w:spacing w:after="0" w:line="360" w:lineRule="auto"/>
              <w:jc w:val="right"/>
              <w:rPr>
                <w:rFonts w:ascii="Aptos Narrow" w:eastAsia="Times New Roman" w:hAnsi="Aptos Narrow" w:cs="Times New Roman"/>
                <w:color w:val="000000"/>
                <w:kern w:val="0"/>
                <w:lang w:eastAsia="en-GB"/>
                <w14:ligatures w14:val="none"/>
              </w:rPr>
            </w:pPr>
            <w:r w:rsidRPr="00C4599D">
              <w:rPr>
                <w:rFonts w:ascii="Aptos Narrow" w:eastAsia="Times New Roman" w:hAnsi="Aptos Narrow" w:cs="Times New Roman"/>
                <w:kern w:val="0"/>
                <w:lang w:eastAsia="en-GB"/>
                <w14:ligatures w14:val="none"/>
              </w:rPr>
              <w:t>165</w:t>
            </w:r>
            <w:r w:rsidR="00061D78">
              <w:rPr>
                <w:rFonts w:ascii="Aptos Narrow" w:eastAsia="Times New Roman" w:hAnsi="Aptos Narrow" w:cs="Times New Roman"/>
                <w:kern w:val="0"/>
                <w:lang w:eastAsia="en-GB"/>
                <w14:ligatures w14:val="none"/>
              </w:rPr>
              <w:t>(75.7)</w:t>
            </w:r>
          </w:p>
        </w:tc>
        <w:tc>
          <w:tcPr>
            <w:tcW w:w="1984" w:type="dxa"/>
            <w:tcBorders>
              <w:top w:val="nil"/>
              <w:left w:val="nil"/>
              <w:bottom w:val="nil"/>
              <w:right w:val="nil"/>
            </w:tcBorders>
            <w:noWrap/>
            <w:vAlign w:val="bottom"/>
            <w:hideMark/>
          </w:tcPr>
          <w:p w14:paraId="25DF6B6A" w14:textId="1D29BB1C" w:rsidR="00C4599D" w:rsidRPr="00C4599D" w:rsidRDefault="00C4599D" w:rsidP="00FE2F0E">
            <w:pPr>
              <w:spacing w:after="0" w:line="360" w:lineRule="auto"/>
              <w:jc w:val="right"/>
              <w:rPr>
                <w:rFonts w:ascii="Aptos Narrow" w:eastAsia="Times New Roman" w:hAnsi="Aptos Narrow" w:cs="Times New Roman"/>
                <w:color w:val="000000"/>
                <w:kern w:val="0"/>
                <w:lang w:eastAsia="en-GB"/>
                <w14:ligatures w14:val="none"/>
              </w:rPr>
            </w:pPr>
            <w:r w:rsidRPr="00C4599D">
              <w:rPr>
                <w:rFonts w:ascii="Aptos Narrow" w:eastAsia="Times New Roman" w:hAnsi="Aptos Narrow" w:cs="Times New Roman"/>
                <w:kern w:val="0"/>
                <w:lang w:eastAsia="en-GB"/>
                <w14:ligatures w14:val="none"/>
              </w:rPr>
              <w:t>53</w:t>
            </w:r>
            <w:r w:rsidR="00061D78">
              <w:rPr>
                <w:rFonts w:ascii="Aptos Narrow" w:eastAsia="Times New Roman" w:hAnsi="Aptos Narrow" w:cs="Times New Roman"/>
                <w:kern w:val="0"/>
                <w:lang w:eastAsia="en-GB"/>
                <w14:ligatures w14:val="none"/>
              </w:rPr>
              <w:t>(</w:t>
            </w:r>
            <w:r w:rsidR="007B5768">
              <w:rPr>
                <w:rFonts w:ascii="Aptos Narrow" w:eastAsia="Times New Roman" w:hAnsi="Aptos Narrow" w:cs="Times New Roman"/>
                <w:kern w:val="0"/>
                <w:lang w:eastAsia="en-GB"/>
                <w14:ligatures w14:val="none"/>
              </w:rPr>
              <w:t>24.3)</w:t>
            </w:r>
          </w:p>
        </w:tc>
        <w:tc>
          <w:tcPr>
            <w:tcW w:w="1701" w:type="dxa"/>
            <w:tcBorders>
              <w:top w:val="nil"/>
              <w:left w:val="nil"/>
              <w:bottom w:val="nil"/>
              <w:right w:val="single" w:sz="4" w:space="0" w:color="auto"/>
            </w:tcBorders>
            <w:noWrap/>
            <w:vAlign w:val="bottom"/>
            <w:hideMark/>
          </w:tcPr>
          <w:p w14:paraId="072898E1" w14:textId="0B3FB848" w:rsidR="00C4599D" w:rsidRPr="00C4599D" w:rsidRDefault="00C4599D" w:rsidP="00FE2F0E">
            <w:pPr>
              <w:spacing w:after="0" w:line="360" w:lineRule="auto"/>
              <w:jc w:val="right"/>
              <w:rPr>
                <w:rFonts w:ascii="Aptos Narrow" w:eastAsia="Times New Roman" w:hAnsi="Aptos Narrow" w:cs="Times New Roman"/>
                <w:color w:val="000000"/>
                <w:kern w:val="0"/>
                <w:lang w:eastAsia="en-GB"/>
                <w14:ligatures w14:val="none"/>
              </w:rPr>
            </w:pPr>
            <w:r w:rsidRPr="00C4599D">
              <w:rPr>
                <w:rFonts w:ascii="Aptos Narrow" w:eastAsia="Times New Roman" w:hAnsi="Aptos Narrow" w:cs="Times New Roman"/>
                <w:kern w:val="0"/>
                <w:lang w:eastAsia="en-GB"/>
                <w14:ligatures w14:val="none"/>
              </w:rPr>
              <w:t>0</w:t>
            </w:r>
            <w:r w:rsidR="006A5D6C">
              <w:rPr>
                <w:rFonts w:ascii="Aptos Narrow" w:eastAsia="Times New Roman" w:hAnsi="Aptos Narrow" w:cs="Times New Roman"/>
                <w:kern w:val="0"/>
                <w:lang w:eastAsia="en-GB"/>
                <w14:ligatures w14:val="none"/>
              </w:rPr>
              <w:t>(0.0)</w:t>
            </w:r>
          </w:p>
        </w:tc>
      </w:tr>
      <w:tr w:rsidR="00C4599D" w:rsidRPr="00C4599D" w14:paraId="153CEC07" w14:textId="77777777" w:rsidTr="008A051B">
        <w:trPr>
          <w:trHeight w:val="290"/>
        </w:trPr>
        <w:tc>
          <w:tcPr>
            <w:tcW w:w="1555" w:type="dxa"/>
            <w:tcBorders>
              <w:top w:val="single" w:sz="4" w:space="0" w:color="auto"/>
              <w:left w:val="single" w:sz="4" w:space="0" w:color="auto"/>
              <w:bottom w:val="single" w:sz="4" w:space="0" w:color="auto"/>
              <w:right w:val="nil"/>
            </w:tcBorders>
            <w:noWrap/>
            <w:vAlign w:val="bottom"/>
            <w:hideMark/>
          </w:tcPr>
          <w:p w14:paraId="5CBA945C" w14:textId="77777777" w:rsidR="00C4599D" w:rsidRPr="00C4599D" w:rsidRDefault="00C4599D" w:rsidP="00FE2F0E">
            <w:pPr>
              <w:spacing w:after="0" w:line="360" w:lineRule="auto"/>
              <w:rPr>
                <w:rFonts w:ascii="Aptos Narrow" w:eastAsia="Times New Roman" w:hAnsi="Aptos Narrow" w:cs="Times New Roman"/>
                <w:b/>
                <w:bCs/>
                <w:color w:val="000000"/>
                <w:kern w:val="0"/>
                <w:lang w:eastAsia="en-GB"/>
                <w14:ligatures w14:val="none"/>
              </w:rPr>
            </w:pPr>
            <w:r w:rsidRPr="00C4599D">
              <w:rPr>
                <w:rFonts w:ascii="Aptos Narrow" w:eastAsia="Times New Roman" w:hAnsi="Aptos Narrow" w:cs="Times New Roman"/>
                <w:b/>
                <w:bCs/>
                <w:kern w:val="0"/>
                <w:lang w:eastAsia="en-GB"/>
                <w14:ligatures w14:val="none"/>
              </w:rPr>
              <w:t>Total</w:t>
            </w:r>
          </w:p>
        </w:tc>
        <w:tc>
          <w:tcPr>
            <w:tcW w:w="1701" w:type="dxa"/>
            <w:tcBorders>
              <w:top w:val="single" w:sz="4" w:space="0" w:color="auto"/>
              <w:left w:val="nil"/>
              <w:bottom w:val="single" w:sz="4" w:space="0" w:color="auto"/>
              <w:right w:val="nil"/>
            </w:tcBorders>
            <w:noWrap/>
            <w:vAlign w:val="bottom"/>
            <w:hideMark/>
          </w:tcPr>
          <w:p w14:paraId="7CDA75A5" w14:textId="395E55FB" w:rsidR="00C4599D" w:rsidRPr="00C4599D" w:rsidRDefault="00C4599D" w:rsidP="00FE2F0E">
            <w:pPr>
              <w:spacing w:after="0" w:line="360" w:lineRule="auto"/>
              <w:jc w:val="right"/>
              <w:rPr>
                <w:rFonts w:ascii="Aptos Narrow" w:eastAsia="Times New Roman" w:hAnsi="Aptos Narrow" w:cs="Times New Roman"/>
                <w:b/>
                <w:bCs/>
                <w:color w:val="000000"/>
                <w:kern w:val="0"/>
                <w:lang w:eastAsia="en-GB"/>
                <w14:ligatures w14:val="none"/>
              </w:rPr>
            </w:pPr>
            <w:r w:rsidRPr="00C4599D">
              <w:rPr>
                <w:rFonts w:ascii="Aptos Narrow" w:eastAsia="Times New Roman" w:hAnsi="Aptos Narrow" w:cs="Times New Roman"/>
                <w:b/>
                <w:bCs/>
                <w:color w:val="000000"/>
                <w:kern w:val="0"/>
                <w:lang w:eastAsia="en-GB"/>
                <w14:ligatures w14:val="none"/>
              </w:rPr>
              <w:t>411</w:t>
            </w:r>
            <w:r w:rsidR="008B6298">
              <w:rPr>
                <w:rFonts w:ascii="Aptos Narrow" w:eastAsia="Times New Roman" w:hAnsi="Aptos Narrow" w:cs="Times New Roman"/>
                <w:b/>
                <w:bCs/>
                <w:color w:val="000000"/>
                <w:kern w:val="0"/>
                <w:lang w:eastAsia="en-GB"/>
                <w14:ligatures w14:val="none"/>
              </w:rPr>
              <w:t>(100)</w:t>
            </w:r>
          </w:p>
        </w:tc>
        <w:tc>
          <w:tcPr>
            <w:tcW w:w="2126" w:type="dxa"/>
            <w:tcBorders>
              <w:top w:val="single" w:sz="4" w:space="0" w:color="auto"/>
              <w:left w:val="nil"/>
              <w:bottom w:val="single" w:sz="4" w:space="0" w:color="auto"/>
              <w:right w:val="nil"/>
            </w:tcBorders>
            <w:noWrap/>
            <w:vAlign w:val="bottom"/>
            <w:hideMark/>
          </w:tcPr>
          <w:p w14:paraId="63E02E2E" w14:textId="4A9AC085" w:rsidR="00C4599D" w:rsidRPr="00C4599D" w:rsidRDefault="00C4599D" w:rsidP="00FE2F0E">
            <w:pPr>
              <w:spacing w:after="0" w:line="360" w:lineRule="auto"/>
              <w:jc w:val="right"/>
              <w:rPr>
                <w:rFonts w:ascii="Aptos Narrow" w:eastAsia="Times New Roman" w:hAnsi="Aptos Narrow" w:cs="Times New Roman"/>
                <w:b/>
                <w:bCs/>
                <w:color w:val="000000"/>
                <w:kern w:val="0"/>
                <w:lang w:eastAsia="en-GB"/>
                <w14:ligatures w14:val="none"/>
              </w:rPr>
            </w:pPr>
            <w:r w:rsidRPr="00C4599D">
              <w:rPr>
                <w:rFonts w:ascii="Aptos Narrow" w:eastAsia="Times New Roman" w:hAnsi="Aptos Narrow" w:cs="Times New Roman"/>
                <w:b/>
                <w:bCs/>
                <w:color w:val="000000"/>
                <w:kern w:val="0"/>
                <w:lang w:eastAsia="en-GB"/>
                <w14:ligatures w14:val="none"/>
              </w:rPr>
              <w:t>306</w:t>
            </w:r>
            <w:r w:rsidR="007B5768">
              <w:rPr>
                <w:rFonts w:ascii="Aptos Narrow" w:eastAsia="Times New Roman" w:hAnsi="Aptos Narrow" w:cs="Times New Roman"/>
                <w:b/>
                <w:bCs/>
                <w:color w:val="000000"/>
                <w:kern w:val="0"/>
                <w:lang w:eastAsia="en-GB"/>
                <w14:ligatures w14:val="none"/>
              </w:rPr>
              <w:t>(74.5)</w:t>
            </w:r>
          </w:p>
        </w:tc>
        <w:tc>
          <w:tcPr>
            <w:tcW w:w="1984" w:type="dxa"/>
            <w:tcBorders>
              <w:top w:val="single" w:sz="4" w:space="0" w:color="auto"/>
              <w:left w:val="nil"/>
              <w:bottom w:val="single" w:sz="4" w:space="0" w:color="auto"/>
              <w:right w:val="nil"/>
            </w:tcBorders>
            <w:noWrap/>
            <w:vAlign w:val="bottom"/>
            <w:hideMark/>
          </w:tcPr>
          <w:p w14:paraId="2A5882A3" w14:textId="347B2262" w:rsidR="00C4599D" w:rsidRPr="00C4599D" w:rsidRDefault="00C4599D" w:rsidP="00FE2F0E">
            <w:pPr>
              <w:spacing w:after="0" w:line="360" w:lineRule="auto"/>
              <w:jc w:val="right"/>
              <w:rPr>
                <w:rFonts w:ascii="Aptos Narrow" w:eastAsia="Times New Roman" w:hAnsi="Aptos Narrow" w:cs="Times New Roman"/>
                <w:b/>
                <w:bCs/>
                <w:color w:val="000000"/>
                <w:kern w:val="0"/>
                <w:lang w:eastAsia="en-GB"/>
                <w14:ligatures w14:val="none"/>
              </w:rPr>
            </w:pPr>
            <w:r w:rsidRPr="00C4599D">
              <w:rPr>
                <w:rFonts w:ascii="Aptos Narrow" w:eastAsia="Times New Roman" w:hAnsi="Aptos Narrow" w:cs="Times New Roman"/>
                <w:b/>
                <w:bCs/>
                <w:color w:val="000000"/>
                <w:kern w:val="0"/>
                <w:lang w:eastAsia="en-GB"/>
                <w14:ligatures w14:val="none"/>
              </w:rPr>
              <w:t>104</w:t>
            </w:r>
            <w:r w:rsidR="007B5768">
              <w:rPr>
                <w:rFonts w:ascii="Aptos Narrow" w:eastAsia="Times New Roman" w:hAnsi="Aptos Narrow" w:cs="Times New Roman"/>
                <w:b/>
                <w:bCs/>
                <w:color w:val="000000"/>
                <w:kern w:val="0"/>
                <w:lang w:eastAsia="en-GB"/>
                <w14:ligatures w14:val="none"/>
              </w:rPr>
              <w:t>(25.3)</w:t>
            </w:r>
          </w:p>
        </w:tc>
        <w:tc>
          <w:tcPr>
            <w:tcW w:w="1701" w:type="dxa"/>
            <w:tcBorders>
              <w:top w:val="single" w:sz="4" w:space="0" w:color="auto"/>
              <w:left w:val="nil"/>
              <w:bottom w:val="single" w:sz="4" w:space="0" w:color="auto"/>
              <w:right w:val="single" w:sz="4" w:space="0" w:color="auto"/>
            </w:tcBorders>
            <w:noWrap/>
            <w:vAlign w:val="bottom"/>
            <w:hideMark/>
          </w:tcPr>
          <w:p w14:paraId="20987E95" w14:textId="351C4151" w:rsidR="00C4599D" w:rsidRPr="00C4599D" w:rsidRDefault="00C4599D" w:rsidP="00FE2F0E">
            <w:pPr>
              <w:spacing w:after="0" w:line="360" w:lineRule="auto"/>
              <w:jc w:val="right"/>
              <w:rPr>
                <w:rFonts w:ascii="Aptos Narrow" w:eastAsia="Times New Roman" w:hAnsi="Aptos Narrow" w:cs="Times New Roman"/>
                <w:b/>
                <w:bCs/>
                <w:color w:val="000000"/>
                <w:kern w:val="0"/>
                <w:lang w:eastAsia="en-GB"/>
                <w14:ligatures w14:val="none"/>
              </w:rPr>
            </w:pPr>
            <w:r w:rsidRPr="00C4599D">
              <w:rPr>
                <w:rFonts w:ascii="Aptos Narrow" w:eastAsia="Times New Roman" w:hAnsi="Aptos Narrow" w:cs="Times New Roman"/>
                <w:b/>
                <w:bCs/>
                <w:color w:val="000000"/>
                <w:kern w:val="0"/>
                <w:lang w:eastAsia="en-GB"/>
                <w14:ligatures w14:val="none"/>
              </w:rPr>
              <w:t>1</w:t>
            </w:r>
            <w:r w:rsidR="006A5D6C">
              <w:rPr>
                <w:rFonts w:ascii="Aptos Narrow" w:eastAsia="Times New Roman" w:hAnsi="Aptos Narrow" w:cs="Times New Roman"/>
                <w:b/>
                <w:bCs/>
                <w:color w:val="000000"/>
                <w:kern w:val="0"/>
                <w:lang w:eastAsia="en-GB"/>
                <w14:ligatures w14:val="none"/>
              </w:rPr>
              <w:t>(0.2)</w:t>
            </w:r>
          </w:p>
        </w:tc>
      </w:tr>
    </w:tbl>
    <w:p w14:paraId="18BD0541" w14:textId="4EB53C78" w:rsidR="001E4E53" w:rsidRPr="001E4E53" w:rsidRDefault="00183FE0" w:rsidP="00FE2F0E">
      <w:pPr>
        <w:spacing w:line="360" w:lineRule="auto"/>
        <w:jc w:val="both"/>
        <w:rPr>
          <w:rFonts w:ascii="Times New Roman" w:hAnsi="Times New Roman" w:cs="Times New Roman"/>
          <w:sz w:val="24"/>
          <w:szCs w:val="24"/>
        </w:rPr>
      </w:pPr>
      <w:r w:rsidRPr="00183FE0">
        <w:rPr>
          <w:rFonts w:ascii="Times New Roman" w:hAnsi="Times New Roman" w:cs="Times New Roman"/>
          <w:b/>
          <w:bCs/>
          <w:sz w:val="24"/>
          <w:szCs w:val="24"/>
        </w:rPr>
        <w:t>χ²</w:t>
      </w:r>
      <w:r w:rsidRPr="00183FE0">
        <w:rPr>
          <w:rFonts w:ascii="Times New Roman" w:hAnsi="Times New Roman" w:cs="Times New Roman"/>
          <w:sz w:val="24"/>
          <w:szCs w:val="24"/>
        </w:rPr>
        <w:t xml:space="preserve"> = </w:t>
      </w:r>
      <w:r w:rsidRPr="00183FE0">
        <w:rPr>
          <w:rFonts w:ascii="Times New Roman" w:hAnsi="Times New Roman" w:cs="Times New Roman"/>
          <w:b/>
          <w:bCs/>
          <w:sz w:val="24"/>
          <w:szCs w:val="24"/>
        </w:rPr>
        <w:t>1.405</w:t>
      </w:r>
      <w:r w:rsidRPr="00183FE0">
        <w:rPr>
          <w:rFonts w:ascii="Times New Roman" w:hAnsi="Times New Roman" w:cs="Times New Roman"/>
          <w:sz w:val="24"/>
          <w:szCs w:val="24"/>
        </w:rPr>
        <w:t xml:space="preserve"> </w:t>
      </w:r>
      <w:r w:rsidR="008032D6">
        <w:rPr>
          <w:rFonts w:ascii="Times New Roman" w:hAnsi="Times New Roman" w:cs="Times New Roman"/>
          <w:sz w:val="24"/>
          <w:szCs w:val="24"/>
        </w:rPr>
        <w:t xml:space="preserve">   </w:t>
      </w:r>
      <w:r w:rsidRPr="00183FE0">
        <w:rPr>
          <w:rFonts w:ascii="Times New Roman" w:hAnsi="Times New Roman" w:cs="Times New Roman"/>
          <w:b/>
          <w:bCs/>
          <w:sz w:val="24"/>
          <w:szCs w:val="24"/>
        </w:rPr>
        <w:t>P</w:t>
      </w:r>
      <w:r w:rsidRPr="00183FE0">
        <w:rPr>
          <w:rFonts w:ascii="Times New Roman" w:hAnsi="Times New Roman" w:cs="Times New Roman"/>
          <w:sz w:val="24"/>
          <w:szCs w:val="24"/>
        </w:rPr>
        <w:t xml:space="preserve"> = </w:t>
      </w:r>
      <w:r w:rsidRPr="00183FE0">
        <w:rPr>
          <w:rFonts w:ascii="Times New Roman" w:hAnsi="Times New Roman" w:cs="Times New Roman"/>
          <w:b/>
          <w:bCs/>
          <w:sz w:val="24"/>
          <w:szCs w:val="24"/>
        </w:rPr>
        <w:t>0.495</w:t>
      </w:r>
      <w:r w:rsidRPr="00183FE0">
        <w:rPr>
          <w:rFonts w:ascii="Times New Roman" w:hAnsi="Times New Roman" w:cs="Times New Roman"/>
          <w:sz w:val="24"/>
          <w:szCs w:val="24"/>
        </w:rPr>
        <w:t xml:space="preserve"> </w:t>
      </w:r>
    </w:p>
    <w:p w14:paraId="30D2A99E" w14:textId="2B7A87F7" w:rsidR="00BF4858" w:rsidRPr="00183FE0" w:rsidRDefault="00BF4858" w:rsidP="00FE2F0E">
      <w:pPr>
        <w:spacing w:line="360" w:lineRule="auto"/>
        <w:jc w:val="both"/>
        <w:rPr>
          <w:rFonts w:ascii="Times New Roman" w:hAnsi="Times New Roman" w:cs="Times New Roman"/>
          <w:b/>
          <w:bCs/>
          <w:sz w:val="24"/>
          <w:szCs w:val="24"/>
        </w:rPr>
      </w:pPr>
      <w:r w:rsidRPr="00B2431B">
        <w:rPr>
          <w:rFonts w:ascii="Times New Roman" w:hAnsi="Times New Roman" w:cs="Times New Roman"/>
          <w:b/>
          <w:bCs/>
          <w:sz w:val="24"/>
          <w:szCs w:val="24"/>
        </w:rPr>
        <w:t xml:space="preserve">Table </w:t>
      </w:r>
      <w:r w:rsidR="00364F0D">
        <w:rPr>
          <w:rFonts w:ascii="Times New Roman" w:hAnsi="Times New Roman" w:cs="Times New Roman"/>
          <w:b/>
          <w:bCs/>
          <w:sz w:val="24"/>
          <w:szCs w:val="24"/>
        </w:rPr>
        <w:t>3</w:t>
      </w:r>
      <w:r w:rsidRPr="00B2431B">
        <w:rPr>
          <w:rFonts w:ascii="Times New Roman" w:hAnsi="Times New Roman" w:cs="Times New Roman"/>
          <w:b/>
          <w:bCs/>
          <w:sz w:val="24"/>
          <w:szCs w:val="24"/>
        </w:rPr>
        <w:t xml:space="preserve">: </w:t>
      </w:r>
      <w:r w:rsidR="00347209">
        <w:rPr>
          <w:rFonts w:ascii="Times New Roman" w:hAnsi="Times New Roman" w:cs="Times New Roman"/>
          <w:b/>
          <w:bCs/>
          <w:sz w:val="24"/>
          <w:szCs w:val="24"/>
        </w:rPr>
        <w:t>Sputum</w:t>
      </w:r>
      <w:r w:rsidRPr="00B2431B">
        <w:rPr>
          <w:rFonts w:ascii="Times New Roman" w:hAnsi="Times New Roman" w:cs="Times New Roman"/>
          <w:b/>
          <w:bCs/>
          <w:sz w:val="24"/>
          <w:szCs w:val="24"/>
        </w:rPr>
        <w:t xml:space="preserve"> GeneXpert Results in Relation to </w:t>
      </w:r>
      <w:r>
        <w:rPr>
          <w:rFonts w:ascii="Times New Roman" w:hAnsi="Times New Roman" w:cs="Times New Roman"/>
          <w:b/>
          <w:bCs/>
          <w:sz w:val="24"/>
          <w:szCs w:val="24"/>
        </w:rPr>
        <w:t>Educational Level</w:t>
      </w:r>
    </w:p>
    <w:tbl>
      <w:tblPr>
        <w:tblW w:w="9530" w:type="dxa"/>
        <w:tblLook w:val="04A0" w:firstRow="1" w:lastRow="0" w:firstColumn="1" w:lastColumn="0" w:noHBand="0" w:noVBand="1"/>
      </w:tblPr>
      <w:tblGrid>
        <w:gridCol w:w="1720"/>
        <w:gridCol w:w="1819"/>
        <w:gridCol w:w="2126"/>
        <w:gridCol w:w="1985"/>
        <w:gridCol w:w="1880"/>
      </w:tblGrid>
      <w:tr w:rsidR="00923A83" w:rsidRPr="00923A83" w14:paraId="4D8877D8" w14:textId="77777777" w:rsidTr="00B55D81">
        <w:trPr>
          <w:trHeight w:val="290"/>
        </w:trPr>
        <w:tc>
          <w:tcPr>
            <w:tcW w:w="1720" w:type="dxa"/>
            <w:tcBorders>
              <w:top w:val="single" w:sz="4" w:space="0" w:color="auto"/>
              <w:left w:val="single" w:sz="4" w:space="0" w:color="auto"/>
              <w:bottom w:val="single" w:sz="4" w:space="0" w:color="auto"/>
              <w:right w:val="nil"/>
            </w:tcBorders>
            <w:noWrap/>
            <w:vAlign w:val="bottom"/>
            <w:hideMark/>
          </w:tcPr>
          <w:p w14:paraId="14004795" w14:textId="77777777" w:rsidR="00923A83" w:rsidRPr="00923A83" w:rsidRDefault="00923A83" w:rsidP="00FE2F0E">
            <w:pPr>
              <w:spacing w:after="0" w:line="360" w:lineRule="auto"/>
              <w:rPr>
                <w:rFonts w:ascii="Aptos Narrow" w:eastAsia="Times New Roman" w:hAnsi="Aptos Narrow" w:cs="Times New Roman"/>
                <w:b/>
                <w:bCs/>
                <w:color w:val="000000"/>
                <w:kern w:val="0"/>
                <w:lang w:eastAsia="en-GB"/>
                <w14:ligatures w14:val="none"/>
              </w:rPr>
            </w:pPr>
            <w:r w:rsidRPr="00923A83">
              <w:rPr>
                <w:rFonts w:ascii="Aptos Narrow" w:eastAsia="Times New Roman" w:hAnsi="Aptos Narrow" w:cs="Times New Roman"/>
                <w:b/>
                <w:bCs/>
                <w:color w:val="000000"/>
                <w:kern w:val="0"/>
                <w:lang w:eastAsia="en-GB"/>
                <w14:ligatures w14:val="none"/>
              </w:rPr>
              <w:t>Educational Level</w:t>
            </w:r>
          </w:p>
        </w:tc>
        <w:tc>
          <w:tcPr>
            <w:tcW w:w="1819" w:type="dxa"/>
            <w:tcBorders>
              <w:top w:val="single" w:sz="4" w:space="0" w:color="auto"/>
              <w:left w:val="nil"/>
              <w:bottom w:val="single" w:sz="4" w:space="0" w:color="auto"/>
              <w:right w:val="nil"/>
            </w:tcBorders>
            <w:noWrap/>
            <w:vAlign w:val="bottom"/>
            <w:hideMark/>
          </w:tcPr>
          <w:p w14:paraId="69C6D5F9" w14:textId="06C46179" w:rsidR="00923A83" w:rsidRPr="00923A83" w:rsidRDefault="00923A83" w:rsidP="00FE2F0E">
            <w:pPr>
              <w:spacing w:after="0" w:line="360" w:lineRule="auto"/>
              <w:rPr>
                <w:rFonts w:ascii="Calibri" w:eastAsia="Times New Roman" w:hAnsi="Calibri" w:cs="Calibri"/>
                <w:b/>
                <w:bCs/>
                <w:color w:val="000000"/>
                <w:kern w:val="0"/>
                <w:lang w:eastAsia="en-GB"/>
                <w14:ligatures w14:val="none"/>
              </w:rPr>
            </w:pPr>
            <w:r w:rsidRPr="00923A83">
              <w:rPr>
                <w:rFonts w:ascii="Calibri" w:eastAsia="Times New Roman" w:hAnsi="Calibri" w:cs="Calibri"/>
                <w:b/>
                <w:bCs/>
                <w:color w:val="000000"/>
                <w:kern w:val="0"/>
                <w:lang w:eastAsia="en-GB"/>
                <w14:ligatures w14:val="none"/>
              </w:rPr>
              <w:t>Frequency</w:t>
            </w:r>
            <w:r w:rsidR="005D7773">
              <w:rPr>
                <w:rFonts w:ascii="Calibri" w:eastAsia="Times New Roman" w:hAnsi="Calibri" w:cs="Calibri"/>
                <w:b/>
                <w:bCs/>
                <w:color w:val="000000"/>
                <w:kern w:val="0"/>
                <w:lang w:eastAsia="en-GB"/>
                <w14:ligatures w14:val="none"/>
              </w:rPr>
              <w:t xml:space="preserve"> n</w:t>
            </w:r>
            <w:r w:rsidRPr="00923A83">
              <w:rPr>
                <w:rFonts w:ascii="Calibri" w:eastAsia="Times New Roman" w:hAnsi="Calibri" w:cs="Calibri"/>
                <w:b/>
                <w:bCs/>
                <w:color w:val="000000"/>
                <w:kern w:val="0"/>
                <w:lang w:eastAsia="en-GB"/>
                <w14:ligatures w14:val="none"/>
              </w:rPr>
              <w:t xml:space="preserve"> (</w:t>
            </w:r>
            <w:r w:rsidR="005D7773">
              <w:rPr>
                <w:rFonts w:ascii="Calibri" w:eastAsia="Times New Roman" w:hAnsi="Calibri" w:cs="Calibri"/>
                <w:b/>
                <w:bCs/>
                <w:color w:val="000000"/>
                <w:kern w:val="0"/>
                <w:lang w:eastAsia="en-GB"/>
                <w14:ligatures w14:val="none"/>
              </w:rPr>
              <w:t>%</w:t>
            </w:r>
            <w:r w:rsidRPr="00923A83">
              <w:rPr>
                <w:rFonts w:ascii="Calibri" w:eastAsia="Times New Roman" w:hAnsi="Calibri" w:cs="Calibri"/>
                <w:b/>
                <w:bCs/>
                <w:color w:val="000000"/>
                <w:kern w:val="0"/>
                <w:lang w:eastAsia="en-GB"/>
                <w14:ligatures w14:val="none"/>
              </w:rPr>
              <w:t>)</w:t>
            </w:r>
          </w:p>
        </w:tc>
        <w:tc>
          <w:tcPr>
            <w:tcW w:w="2126" w:type="dxa"/>
            <w:tcBorders>
              <w:top w:val="single" w:sz="4" w:space="0" w:color="auto"/>
              <w:left w:val="nil"/>
              <w:bottom w:val="single" w:sz="4" w:space="0" w:color="auto"/>
              <w:right w:val="nil"/>
            </w:tcBorders>
            <w:noWrap/>
            <w:vAlign w:val="bottom"/>
            <w:hideMark/>
          </w:tcPr>
          <w:p w14:paraId="0C0BB02A" w14:textId="2199FEBA" w:rsidR="00923A83" w:rsidRPr="00923A83" w:rsidRDefault="00923A83" w:rsidP="00FE2F0E">
            <w:pPr>
              <w:spacing w:after="0" w:line="360" w:lineRule="auto"/>
              <w:rPr>
                <w:rFonts w:ascii="Aptos Narrow" w:eastAsia="Times New Roman" w:hAnsi="Aptos Narrow" w:cs="Times New Roman"/>
                <w:b/>
                <w:bCs/>
                <w:color w:val="000000"/>
                <w:kern w:val="0"/>
                <w:lang w:eastAsia="en-GB"/>
                <w14:ligatures w14:val="none"/>
              </w:rPr>
            </w:pPr>
            <w:r w:rsidRPr="00923A83">
              <w:rPr>
                <w:rFonts w:ascii="Aptos Narrow" w:eastAsia="Times New Roman" w:hAnsi="Aptos Narrow" w:cs="Times New Roman"/>
                <w:b/>
                <w:bCs/>
                <w:color w:val="000000"/>
                <w:kern w:val="0"/>
                <w:lang w:eastAsia="en-GB"/>
                <w14:ligatures w14:val="none"/>
              </w:rPr>
              <w:t>Xpert Negative</w:t>
            </w:r>
            <w:r w:rsidR="005D7773">
              <w:rPr>
                <w:rFonts w:ascii="Aptos Narrow" w:eastAsia="Times New Roman" w:hAnsi="Aptos Narrow" w:cs="Times New Roman"/>
                <w:b/>
                <w:bCs/>
                <w:color w:val="000000"/>
                <w:kern w:val="0"/>
                <w:lang w:eastAsia="en-GB"/>
                <w14:ligatures w14:val="none"/>
              </w:rPr>
              <w:t xml:space="preserve"> n (%)</w:t>
            </w:r>
          </w:p>
        </w:tc>
        <w:tc>
          <w:tcPr>
            <w:tcW w:w="1985" w:type="dxa"/>
            <w:tcBorders>
              <w:top w:val="single" w:sz="4" w:space="0" w:color="auto"/>
              <w:left w:val="nil"/>
              <w:bottom w:val="single" w:sz="4" w:space="0" w:color="auto"/>
              <w:right w:val="nil"/>
            </w:tcBorders>
            <w:noWrap/>
            <w:vAlign w:val="bottom"/>
            <w:hideMark/>
          </w:tcPr>
          <w:p w14:paraId="3771F4A7" w14:textId="4ACFA353" w:rsidR="00923A83" w:rsidRPr="00923A83" w:rsidRDefault="00923A83" w:rsidP="00FE2F0E">
            <w:pPr>
              <w:spacing w:after="0" w:line="360" w:lineRule="auto"/>
              <w:rPr>
                <w:rFonts w:ascii="Aptos Narrow" w:eastAsia="Times New Roman" w:hAnsi="Aptos Narrow" w:cs="Times New Roman"/>
                <w:b/>
                <w:bCs/>
                <w:color w:val="000000"/>
                <w:kern w:val="0"/>
                <w:lang w:eastAsia="en-GB"/>
                <w14:ligatures w14:val="none"/>
              </w:rPr>
            </w:pPr>
            <w:r w:rsidRPr="00923A83">
              <w:rPr>
                <w:rFonts w:ascii="Aptos Narrow" w:eastAsia="Times New Roman" w:hAnsi="Aptos Narrow" w:cs="Times New Roman"/>
                <w:b/>
                <w:bCs/>
                <w:color w:val="000000"/>
                <w:kern w:val="0"/>
                <w:lang w:eastAsia="en-GB"/>
                <w14:ligatures w14:val="none"/>
              </w:rPr>
              <w:t>Xpert Positive</w:t>
            </w:r>
            <w:r w:rsidR="005D7773">
              <w:rPr>
                <w:rFonts w:ascii="Aptos Narrow" w:eastAsia="Times New Roman" w:hAnsi="Aptos Narrow" w:cs="Times New Roman"/>
                <w:b/>
                <w:bCs/>
                <w:color w:val="000000"/>
                <w:kern w:val="0"/>
                <w:lang w:eastAsia="en-GB"/>
                <w14:ligatures w14:val="none"/>
              </w:rPr>
              <w:t xml:space="preserve"> n (%)</w:t>
            </w:r>
          </w:p>
        </w:tc>
        <w:tc>
          <w:tcPr>
            <w:tcW w:w="1880" w:type="dxa"/>
            <w:tcBorders>
              <w:top w:val="single" w:sz="4" w:space="0" w:color="auto"/>
              <w:left w:val="nil"/>
              <w:bottom w:val="single" w:sz="4" w:space="0" w:color="auto"/>
              <w:right w:val="single" w:sz="4" w:space="0" w:color="auto"/>
            </w:tcBorders>
            <w:noWrap/>
            <w:vAlign w:val="bottom"/>
            <w:hideMark/>
          </w:tcPr>
          <w:p w14:paraId="29C389C1" w14:textId="7F6C43C8" w:rsidR="00923A83" w:rsidRPr="00923A83" w:rsidRDefault="00923A83" w:rsidP="00FE2F0E">
            <w:pPr>
              <w:spacing w:after="0" w:line="360" w:lineRule="auto"/>
              <w:rPr>
                <w:rFonts w:ascii="Aptos Narrow" w:eastAsia="Times New Roman" w:hAnsi="Aptos Narrow" w:cs="Times New Roman"/>
                <w:b/>
                <w:bCs/>
                <w:color w:val="000000"/>
                <w:kern w:val="0"/>
                <w:lang w:eastAsia="en-GB"/>
                <w14:ligatures w14:val="none"/>
              </w:rPr>
            </w:pPr>
            <w:r w:rsidRPr="00923A83">
              <w:rPr>
                <w:rFonts w:ascii="Aptos Narrow" w:eastAsia="Times New Roman" w:hAnsi="Aptos Narrow" w:cs="Times New Roman"/>
                <w:b/>
                <w:bCs/>
                <w:color w:val="000000"/>
                <w:kern w:val="0"/>
                <w:lang w:eastAsia="en-GB"/>
                <w14:ligatures w14:val="none"/>
              </w:rPr>
              <w:t>Xpert Indeterminate</w:t>
            </w:r>
            <w:r w:rsidR="00B55D81">
              <w:rPr>
                <w:rFonts w:ascii="Aptos Narrow" w:eastAsia="Times New Roman" w:hAnsi="Aptos Narrow" w:cs="Times New Roman"/>
                <w:b/>
                <w:bCs/>
                <w:color w:val="000000"/>
                <w:kern w:val="0"/>
                <w:lang w:eastAsia="en-GB"/>
                <w14:ligatures w14:val="none"/>
              </w:rPr>
              <w:t xml:space="preserve"> n (%)</w:t>
            </w:r>
          </w:p>
        </w:tc>
      </w:tr>
      <w:tr w:rsidR="00923A83" w:rsidRPr="00923A83" w14:paraId="362772C3" w14:textId="77777777" w:rsidTr="00B55D81">
        <w:trPr>
          <w:trHeight w:val="290"/>
        </w:trPr>
        <w:tc>
          <w:tcPr>
            <w:tcW w:w="1720" w:type="dxa"/>
            <w:tcBorders>
              <w:top w:val="nil"/>
              <w:left w:val="single" w:sz="4" w:space="0" w:color="auto"/>
              <w:bottom w:val="nil"/>
              <w:right w:val="nil"/>
            </w:tcBorders>
            <w:noWrap/>
            <w:vAlign w:val="bottom"/>
            <w:hideMark/>
          </w:tcPr>
          <w:p w14:paraId="076A854B" w14:textId="77777777" w:rsidR="00923A83" w:rsidRPr="00923A83" w:rsidRDefault="00923A83" w:rsidP="00FE2F0E">
            <w:pPr>
              <w:spacing w:after="0" w:line="360" w:lineRule="auto"/>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kern w:val="0"/>
                <w:lang w:eastAsia="en-GB"/>
                <w14:ligatures w14:val="none"/>
              </w:rPr>
              <w:t>No Formal</w:t>
            </w:r>
          </w:p>
        </w:tc>
        <w:tc>
          <w:tcPr>
            <w:tcW w:w="1819" w:type="dxa"/>
            <w:tcBorders>
              <w:top w:val="nil"/>
              <w:left w:val="nil"/>
              <w:bottom w:val="nil"/>
              <w:right w:val="nil"/>
            </w:tcBorders>
            <w:noWrap/>
            <w:vAlign w:val="bottom"/>
            <w:hideMark/>
          </w:tcPr>
          <w:p w14:paraId="1C885056" w14:textId="579E3386"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100</w:t>
            </w:r>
            <w:r w:rsidR="00730A7B">
              <w:rPr>
                <w:rFonts w:ascii="Aptos Narrow" w:eastAsia="Times New Roman" w:hAnsi="Aptos Narrow" w:cs="Times New Roman"/>
                <w:color w:val="000000"/>
                <w:kern w:val="0"/>
                <w:lang w:eastAsia="en-GB"/>
                <w14:ligatures w14:val="none"/>
              </w:rPr>
              <w:t>(</w:t>
            </w:r>
            <w:r w:rsidR="00046F06">
              <w:rPr>
                <w:rFonts w:ascii="Aptos Narrow" w:eastAsia="Times New Roman" w:hAnsi="Aptos Narrow" w:cs="Times New Roman"/>
                <w:color w:val="000000"/>
                <w:kern w:val="0"/>
                <w:lang w:eastAsia="en-GB"/>
                <w14:ligatures w14:val="none"/>
              </w:rPr>
              <w:t>24.3)</w:t>
            </w:r>
          </w:p>
        </w:tc>
        <w:tc>
          <w:tcPr>
            <w:tcW w:w="2126" w:type="dxa"/>
            <w:tcBorders>
              <w:top w:val="nil"/>
              <w:left w:val="nil"/>
              <w:bottom w:val="nil"/>
              <w:right w:val="nil"/>
            </w:tcBorders>
            <w:noWrap/>
            <w:vAlign w:val="bottom"/>
            <w:hideMark/>
          </w:tcPr>
          <w:p w14:paraId="347EAEA9" w14:textId="6CA8CE5F"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80</w:t>
            </w:r>
            <w:r w:rsidR="00901C10">
              <w:rPr>
                <w:rFonts w:ascii="Aptos Narrow" w:eastAsia="Times New Roman" w:hAnsi="Aptos Narrow" w:cs="Times New Roman"/>
                <w:color w:val="000000"/>
                <w:kern w:val="0"/>
                <w:lang w:eastAsia="en-GB"/>
                <w14:ligatures w14:val="none"/>
              </w:rPr>
              <w:t>(80.0)</w:t>
            </w:r>
          </w:p>
        </w:tc>
        <w:tc>
          <w:tcPr>
            <w:tcW w:w="1985" w:type="dxa"/>
            <w:tcBorders>
              <w:top w:val="nil"/>
              <w:left w:val="nil"/>
              <w:bottom w:val="nil"/>
              <w:right w:val="nil"/>
            </w:tcBorders>
            <w:noWrap/>
            <w:vAlign w:val="bottom"/>
            <w:hideMark/>
          </w:tcPr>
          <w:p w14:paraId="7AFF64CE" w14:textId="5AB5D370"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20</w:t>
            </w:r>
            <w:r w:rsidR="00175ABC">
              <w:rPr>
                <w:rFonts w:ascii="Aptos Narrow" w:eastAsia="Times New Roman" w:hAnsi="Aptos Narrow" w:cs="Times New Roman"/>
                <w:color w:val="000000"/>
                <w:kern w:val="0"/>
                <w:lang w:eastAsia="en-GB"/>
                <w14:ligatures w14:val="none"/>
              </w:rPr>
              <w:t>(20.0)</w:t>
            </w:r>
          </w:p>
        </w:tc>
        <w:tc>
          <w:tcPr>
            <w:tcW w:w="1880" w:type="dxa"/>
            <w:tcBorders>
              <w:top w:val="nil"/>
              <w:left w:val="nil"/>
              <w:bottom w:val="nil"/>
              <w:right w:val="single" w:sz="4" w:space="0" w:color="auto"/>
            </w:tcBorders>
            <w:noWrap/>
            <w:vAlign w:val="bottom"/>
            <w:hideMark/>
          </w:tcPr>
          <w:p w14:paraId="32CB23C1" w14:textId="168CC737"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0</w:t>
            </w:r>
            <w:r w:rsidR="00DD1B1C">
              <w:rPr>
                <w:rFonts w:ascii="Aptos Narrow" w:eastAsia="Times New Roman" w:hAnsi="Aptos Narrow" w:cs="Times New Roman"/>
                <w:color w:val="000000"/>
                <w:kern w:val="0"/>
                <w:lang w:eastAsia="en-GB"/>
                <w14:ligatures w14:val="none"/>
              </w:rPr>
              <w:t>(0.0)</w:t>
            </w:r>
          </w:p>
        </w:tc>
      </w:tr>
      <w:tr w:rsidR="00923A83" w:rsidRPr="00923A83" w14:paraId="02F546F1" w14:textId="77777777" w:rsidTr="00B55D81">
        <w:trPr>
          <w:trHeight w:val="290"/>
        </w:trPr>
        <w:tc>
          <w:tcPr>
            <w:tcW w:w="1720" w:type="dxa"/>
            <w:tcBorders>
              <w:top w:val="nil"/>
              <w:left w:val="single" w:sz="4" w:space="0" w:color="auto"/>
              <w:bottom w:val="nil"/>
              <w:right w:val="nil"/>
            </w:tcBorders>
            <w:noWrap/>
            <w:vAlign w:val="bottom"/>
            <w:hideMark/>
          </w:tcPr>
          <w:p w14:paraId="226A7FE7" w14:textId="77777777" w:rsidR="00923A83" w:rsidRPr="00923A83" w:rsidRDefault="00923A83" w:rsidP="00FE2F0E">
            <w:pPr>
              <w:spacing w:after="0" w:line="360" w:lineRule="auto"/>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Primary</w:t>
            </w:r>
          </w:p>
        </w:tc>
        <w:tc>
          <w:tcPr>
            <w:tcW w:w="1819" w:type="dxa"/>
            <w:tcBorders>
              <w:top w:val="nil"/>
              <w:left w:val="nil"/>
              <w:bottom w:val="nil"/>
              <w:right w:val="nil"/>
            </w:tcBorders>
            <w:noWrap/>
            <w:vAlign w:val="bottom"/>
            <w:hideMark/>
          </w:tcPr>
          <w:p w14:paraId="6AB98B52" w14:textId="652F5A50"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15</w:t>
            </w:r>
            <w:r w:rsidR="00046F06">
              <w:rPr>
                <w:rFonts w:ascii="Aptos Narrow" w:eastAsia="Times New Roman" w:hAnsi="Aptos Narrow" w:cs="Times New Roman"/>
                <w:color w:val="000000"/>
                <w:kern w:val="0"/>
                <w:lang w:eastAsia="en-GB"/>
                <w14:ligatures w14:val="none"/>
              </w:rPr>
              <w:t>(3.6)</w:t>
            </w:r>
          </w:p>
        </w:tc>
        <w:tc>
          <w:tcPr>
            <w:tcW w:w="2126" w:type="dxa"/>
            <w:tcBorders>
              <w:top w:val="nil"/>
              <w:left w:val="nil"/>
              <w:bottom w:val="nil"/>
              <w:right w:val="nil"/>
            </w:tcBorders>
            <w:noWrap/>
            <w:vAlign w:val="bottom"/>
            <w:hideMark/>
          </w:tcPr>
          <w:p w14:paraId="6B22B0CA" w14:textId="02F0C452"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11</w:t>
            </w:r>
            <w:r w:rsidR="00901C10">
              <w:rPr>
                <w:rFonts w:ascii="Aptos Narrow" w:eastAsia="Times New Roman" w:hAnsi="Aptos Narrow" w:cs="Times New Roman"/>
                <w:color w:val="000000"/>
                <w:kern w:val="0"/>
                <w:lang w:eastAsia="en-GB"/>
                <w14:ligatures w14:val="none"/>
              </w:rPr>
              <w:t>(73.3)</w:t>
            </w:r>
          </w:p>
        </w:tc>
        <w:tc>
          <w:tcPr>
            <w:tcW w:w="1985" w:type="dxa"/>
            <w:tcBorders>
              <w:top w:val="nil"/>
              <w:left w:val="nil"/>
              <w:bottom w:val="nil"/>
              <w:right w:val="nil"/>
            </w:tcBorders>
            <w:noWrap/>
            <w:vAlign w:val="bottom"/>
            <w:hideMark/>
          </w:tcPr>
          <w:p w14:paraId="2CE513B8" w14:textId="57EB072C"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4</w:t>
            </w:r>
            <w:r w:rsidR="00175ABC">
              <w:rPr>
                <w:rFonts w:ascii="Aptos Narrow" w:eastAsia="Times New Roman" w:hAnsi="Aptos Narrow" w:cs="Times New Roman"/>
                <w:color w:val="000000"/>
                <w:kern w:val="0"/>
                <w:lang w:eastAsia="en-GB"/>
                <w14:ligatures w14:val="none"/>
              </w:rPr>
              <w:t>(26.7)</w:t>
            </w:r>
          </w:p>
        </w:tc>
        <w:tc>
          <w:tcPr>
            <w:tcW w:w="1880" w:type="dxa"/>
            <w:tcBorders>
              <w:top w:val="nil"/>
              <w:left w:val="nil"/>
              <w:bottom w:val="nil"/>
              <w:right w:val="single" w:sz="4" w:space="0" w:color="auto"/>
            </w:tcBorders>
            <w:noWrap/>
            <w:vAlign w:val="bottom"/>
            <w:hideMark/>
          </w:tcPr>
          <w:p w14:paraId="6B3247B1" w14:textId="5A385ACA"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0</w:t>
            </w:r>
            <w:r w:rsidR="00C17C75">
              <w:rPr>
                <w:rFonts w:ascii="Aptos Narrow" w:eastAsia="Times New Roman" w:hAnsi="Aptos Narrow" w:cs="Times New Roman"/>
                <w:color w:val="000000"/>
                <w:kern w:val="0"/>
                <w:lang w:eastAsia="en-GB"/>
                <w14:ligatures w14:val="none"/>
              </w:rPr>
              <w:t>(0.0)</w:t>
            </w:r>
          </w:p>
        </w:tc>
      </w:tr>
      <w:tr w:rsidR="00923A83" w:rsidRPr="00923A83" w14:paraId="26E8AC21" w14:textId="77777777" w:rsidTr="00B55D81">
        <w:trPr>
          <w:trHeight w:val="290"/>
        </w:trPr>
        <w:tc>
          <w:tcPr>
            <w:tcW w:w="1720" w:type="dxa"/>
            <w:tcBorders>
              <w:top w:val="nil"/>
              <w:left w:val="single" w:sz="4" w:space="0" w:color="auto"/>
              <w:bottom w:val="nil"/>
              <w:right w:val="nil"/>
            </w:tcBorders>
            <w:noWrap/>
            <w:vAlign w:val="bottom"/>
            <w:hideMark/>
          </w:tcPr>
          <w:p w14:paraId="16AF45EC" w14:textId="77777777" w:rsidR="00923A83" w:rsidRPr="00923A83" w:rsidRDefault="00923A83" w:rsidP="00FE2F0E">
            <w:pPr>
              <w:spacing w:after="0" w:line="360" w:lineRule="auto"/>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Secondary</w:t>
            </w:r>
          </w:p>
        </w:tc>
        <w:tc>
          <w:tcPr>
            <w:tcW w:w="1819" w:type="dxa"/>
            <w:tcBorders>
              <w:top w:val="nil"/>
              <w:left w:val="nil"/>
              <w:bottom w:val="nil"/>
              <w:right w:val="nil"/>
            </w:tcBorders>
            <w:noWrap/>
            <w:vAlign w:val="bottom"/>
            <w:hideMark/>
          </w:tcPr>
          <w:p w14:paraId="5D1A3551" w14:textId="69D13936"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45</w:t>
            </w:r>
            <w:r w:rsidR="00046F06">
              <w:rPr>
                <w:rFonts w:ascii="Aptos Narrow" w:eastAsia="Times New Roman" w:hAnsi="Aptos Narrow" w:cs="Times New Roman"/>
                <w:color w:val="000000"/>
                <w:kern w:val="0"/>
                <w:lang w:eastAsia="en-GB"/>
                <w14:ligatures w14:val="none"/>
              </w:rPr>
              <w:t>(10.9)</w:t>
            </w:r>
          </w:p>
        </w:tc>
        <w:tc>
          <w:tcPr>
            <w:tcW w:w="2126" w:type="dxa"/>
            <w:tcBorders>
              <w:top w:val="nil"/>
              <w:left w:val="nil"/>
              <w:bottom w:val="nil"/>
              <w:right w:val="nil"/>
            </w:tcBorders>
            <w:noWrap/>
            <w:vAlign w:val="bottom"/>
            <w:hideMark/>
          </w:tcPr>
          <w:p w14:paraId="517C5950" w14:textId="5FD571F6"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35</w:t>
            </w:r>
            <w:r w:rsidR="0037771B">
              <w:rPr>
                <w:rFonts w:ascii="Aptos Narrow" w:eastAsia="Times New Roman" w:hAnsi="Aptos Narrow" w:cs="Times New Roman"/>
                <w:color w:val="000000"/>
                <w:kern w:val="0"/>
                <w:lang w:eastAsia="en-GB"/>
                <w14:ligatures w14:val="none"/>
              </w:rPr>
              <w:t>(77.8)</w:t>
            </w:r>
          </w:p>
        </w:tc>
        <w:tc>
          <w:tcPr>
            <w:tcW w:w="1985" w:type="dxa"/>
            <w:tcBorders>
              <w:top w:val="nil"/>
              <w:left w:val="nil"/>
              <w:bottom w:val="nil"/>
              <w:right w:val="nil"/>
            </w:tcBorders>
            <w:noWrap/>
            <w:vAlign w:val="bottom"/>
            <w:hideMark/>
          </w:tcPr>
          <w:p w14:paraId="2A7B39B1" w14:textId="5A8EF9B7"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10</w:t>
            </w:r>
            <w:r w:rsidR="00175ABC">
              <w:rPr>
                <w:rFonts w:ascii="Aptos Narrow" w:eastAsia="Times New Roman" w:hAnsi="Aptos Narrow" w:cs="Times New Roman"/>
                <w:color w:val="000000"/>
                <w:kern w:val="0"/>
                <w:lang w:eastAsia="en-GB"/>
                <w14:ligatures w14:val="none"/>
              </w:rPr>
              <w:t>(</w:t>
            </w:r>
            <w:r w:rsidR="00DD1B1C">
              <w:rPr>
                <w:rFonts w:ascii="Aptos Narrow" w:eastAsia="Times New Roman" w:hAnsi="Aptos Narrow" w:cs="Times New Roman"/>
                <w:color w:val="000000"/>
                <w:kern w:val="0"/>
                <w:lang w:eastAsia="en-GB"/>
                <w14:ligatures w14:val="none"/>
              </w:rPr>
              <w:t>22.2)</w:t>
            </w:r>
          </w:p>
        </w:tc>
        <w:tc>
          <w:tcPr>
            <w:tcW w:w="1880" w:type="dxa"/>
            <w:tcBorders>
              <w:top w:val="nil"/>
              <w:left w:val="nil"/>
              <w:bottom w:val="nil"/>
              <w:right w:val="single" w:sz="4" w:space="0" w:color="auto"/>
            </w:tcBorders>
            <w:noWrap/>
            <w:vAlign w:val="bottom"/>
            <w:hideMark/>
          </w:tcPr>
          <w:p w14:paraId="5460F6CB" w14:textId="3EFFEE25"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0</w:t>
            </w:r>
            <w:r w:rsidR="00C17C75">
              <w:rPr>
                <w:rFonts w:ascii="Aptos Narrow" w:eastAsia="Times New Roman" w:hAnsi="Aptos Narrow" w:cs="Times New Roman"/>
                <w:color w:val="000000"/>
                <w:kern w:val="0"/>
                <w:lang w:eastAsia="en-GB"/>
                <w14:ligatures w14:val="none"/>
              </w:rPr>
              <w:t>(0.0)</w:t>
            </w:r>
          </w:p>
        </w:tc>
      </w:tr>
      <w:tr w:rsidR="00923A83" w:rsidRPr="00923A83" w14:paraId="51A07380" w14:textId="77777777" w:rsidTr="00B55D81">
        <w:trPr>
          <w:trHeight w:val="290"/>
        </w:trPr>
        <w:tc>
          <w:tcPr>
            <w:tcW w:w="1720" w:type="dxa"/>
            <w:tcBorders>
              <w:top w:val="nil"/>
              <w:left w:val="single" w:sz="4" w:space="0" w:color="auto"/>
              <w:bottom w:val="nil"/>
              <w:right w:val="nil"/>
            </w:tcBorders>
            <w:noWrap/>
            <w:vAlign w:val="bottom"/>
            <w:hideMark/>
          </w:tcPr>
          <w:p w14:paraId="4720346C" w14:textId="77777777" w:rsidR="00923A83" w:rsidRPr="00923A83" w:rsidRDefault="00923A83" w:rsidP="00FE2F0E">
            <w:pPr>
              <w:spacing w:after="0" w:line="360" w:lineRule="auto"/>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Tertiary</w:t>
            </w:r>
          </w:p>
        </w:tc>
        <w:tc>
          <w:tcPr>
            <w:tcW w:w="1819" w:type="dxa"/>
            <w:tcBorders>
              <w:top w:val="nil"/>
              <w:left w:val="nil"/>
              <w:bottom w:val="nil"/>
              <w:right w:val="nil"/>
            </w:tcBorders>
            <w:noWrap/>
            <w:vAlign w:val="bottom"/>
            <w:hideMark/>
          </w:tcPr>
          <w:p w14:paraId="3987E32F" w14:textId="6DD0865C"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251</w:t>
            </w:r>
            <w:r w:rsidR="00046F06">
              <w:rPr>
                <w:rFonts w:ascii="Aptos Narrow" w:eastAsia="Times New Roman" w:hAnsi="Aptos Narrow" w:cs="Times New Roman"/>
                <w:color w:val="000000"/>
                <w:kern w:val="0"/>
                <w:lang w:eastAsia="en-GB"/>
                <w14:ligatures w14:val="none"/>
              </w:rPr>
              <w:t>(61.1)</w:t>
            </w:r>
          </w:p>
        </w:tc>
        <w:tc>
          <w:tcPr>
            <w:tcW w:w="2126" w:type="dxa"/>
            <w:tcBorders>
              <w:top w:val="nil"/>
              <w:left w:val="nil"/>
              <w:bottom w:val="nil"/>
              <w:right w:val="nil"/>
            </w:tcBorders>
            <w:noWrap/>
            <w:vAlign w:val="bottom"/>
            <w:hideMark/>
          </w:tcPr>
          <w:p w14:paraId="2D2354A6" w14:textId="1F15349E"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180</w:t>
            </w:r>
            <w:r w:rsidR="0037771B">
              <w:rPr>
                <w:rFonts w:ascii="Aptos Narrow" w:eastAsia="Times New Roman" w:hAnsi="Aptos Narrow" w:cs="Times New Roman"/>
                <w:color w:val="000000"/>
                <w:kern w:val="0"/>
                <w:lang w:eastAsia="en-GB"/>
                <w14:ligatures w14:val="none"/>
              </w:rPr>
              <w:t>(71.7)</w:t>
            </w:r>
          </w:p>
        </w:tc>
        <w:tc>
          <w:tcPr>
            <w:tcW w:w="1985" w:type="dxa"/>
            <w:tcBorders>
              <w:top w:val="nil"/>
              <w:left w:val="nil"/>
              <w:bottom w:val="nil"/>
              <w:right w:val="nil"/>
            </w:tcBorders>
            <w:noWrap/>
            <w:vAlign w:val="bottom"/>
            <w:hideMark/>
          </w:tcPr>
          <w:p w14:paraId="3F731E3A" w14:textId="34E84874"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70</w:t>
            </w:r>
            <w:r w:rsidR="00DD1B1C">
              <w:rPr>
                <w:rFonts w:ascii="Aptos Narrow" w:eastAsia="Times New Roman" w:hAnsi="Aptos Narrow" w:cs="Times New Roman"/>
                <w:color w:val="000000"/>
                <w:kern w:val="0"/>
                <w:lang w:eastAsia="en-GB"/>
                <w14:ligatures w14:val="none"/>
              </w:rPr>
              <w:t>(27.9)</w:t>
            </w:r>
          </w:p>
        </w:tc>
        <w:tc>
          <w:tcPr>
            <w:tcW w:w="1880" w:type="dxa"/>
            <w:tcBorders>
              <w:top w:val="nil"/>
              <w:left w:val="nil"/>
              <w:bottom w:val="nil"/>
              <w:right w:val="single" w:sz="4" w:space="0" w:color="auto"/>
            </w:tcBorders>
            <w:noWrap/>
            <w:vAlign w:val="bottom"/>
            <w:hideMark/>
          </w:tcPr>
          <w:p w14:paraId="3E5B5A35" w14:textId="540BCE8D" w:rsidR="00923A83" w:rsidRPr="00923A83" w:rsidRDefault="00923A83" w:rsidP="00FE2F0E">
            <w:pPr>
              <w:spacing w:after="0" w:line="360" w:lineRule="auto"/>
              <w:jc w:val="right"/>
              <w:rPr>
                <w:rFonts w:ascii="Aptos Narrow" w:eastAsia="Times New Roman" w:hAnsi="Aptos Narrow" w:cs="Times New Roman"/>
                <w:color w:val="000000"/>
                <w:kern w:val="0"/>
                <w:lang w:eastAsia="en-GB"/>
                <w14:ligatures w14:val="none"/>
              </w:rPr>
            </w:pPr>
            <w:r w:rsidRPr="00923A83">
              <w:rPr>
                <w:rFonts w:ascii="Aptos Narrow" w:eastAsia="Times New Roman" w:hAnsi="Aptos Narrow" w:cs="Times New Roman"/>
                <w:color w:val="000000"/>
                <w:kern w:val="0"/>
                <w:lang w:eastAsia="en-GB"/>
                <w14:ligatures w14:val="none"/>
              </w:rPr>
              <w:t>1</w:t>
            </w:r>
            <w:r w:rsidR="00C17C75">
              <w:rPr>
                <w:rFonts w:ascii="Aptos Narrow" w:eastAsia="Times New Roman" w:hAnsi="Aptos Narrow" w:cs="Times New Roman"/>
                <w:color w:val="000000"/>
                <w:kern w:val="0"/>
                <w:lang w:eastAsia="en-GB"/>
                <w14:ligatures w14:val="none"/>
              </w:rPr>
              <w:t>(0.4)</w:t>
            </w:r>
          </w:p>
        </w:tc>
      </w:tr>
      <w:tr w:rsidR="00923A83" w:rsidRPr="00923A83" w14:paraId="1D3AABF9" w14:textId="77777777" w:rsidTr="00B55D81">
        <w:trPr>
          <w:trHeight w:val="290"/>
        </w:trPr>
        <w:tc>
          <w:tcPr>
            <w:tcW w:w="1720" w:type="dxa"/>
            <w:tcBorders>
              <w:top w:val="single" w:sz="4" w:space="0" w:color="auto"/>
              <w:left w:val="single" w:sz="4" w:space="0" w:color="auto"/>
              <w:bottom w:val="single" w:sz="4" w:space="0" w:color="auto"/>
              <w:right w:val="nil"/>
            </w:tcBorders>
            <w:noWrap/>
            <w:vAlign w:val="bottom"/>
            <w:hideMark/>
          </w:tcPr>
          <w:p w14:paraId="137BE3F3" w14:textId="77777777" w:rsidR="00923A83" w:rsidRPr="00923A83" w:rsidRDefault="00923A83" w:rsidP="00FE2F0E">
            <w:pPr>
              <w:spacing w:after="0" w:line="360" w:lineRule="auto"/>
              <w:rPr>
                <w:rFonts w:ascii="Aptos Narrow" w:eastAsia="Times New Roman" w:hAnsi="Aptos Narrow" w:cs="Times New Roman"/>
                <w:b/>
                <w:bCs/>
                <w:color w:val="000000"/>
                <w:kern w:val="0"/>
                <w:lang w:eastAsia="en-GB"/>
                <w14:ligatures w14:val="none"/>
              </w:rPr>
            </w:pPr>
            <w:r w:rsidRPr="00923A83">
              <w:rPr>
                <w:rFonts w:ascii="Aptos Narrow" w:eastAsia="Times New Roman" w:hAnsi="Aptos Narrow" w:cs="Times New Roman"/>
                <w:b/>
                <w:bCs/>
                <w:kern w:val="0"/>
                <w:lang w:eastAsia="en-GB"/>
                <w14:ligatures w14:val="none"/>
              </w:rPr>
              <w:t>Total</w:t>
            </w:r>
          </w:p>
        </w:tc>
        <w:tc>
          <w:tcPr>
            <w:tcW w:w="1819" w:type="dxa"/>
            <w:tcBorders>
              <w:top w:val="single" w:sz="4" w:space="0" w:color="auto"/>
              <w:left w:val="nil"/>
              <w:bottom w:val="single" w:sz="4" w:space="0" w:color="auto"/>
              <w:right w:val="nil"/>
            </w:tcBorders>
            <w:noWrap/>
            <w:vAlign w:val="bottom"/>
            <w:hideMark/>
          </w:tcPr>
          <w:p w14:paraId="12E48AB7" w14:textId="63688D5B" w:rsidR="00923A83" w:rsidRPr="00923A83" w:rsidRDefault="00923A83" w:rsidP="00FE2F0E">
            <w:pPr>
              <w:spacing w:after="0" w:line="360" w:lineRule="auto"/>
              <w:jc w:val="right"/>
              <w:rPr>
                <w:rFonts w:ascii="Aptos Narrow" w:eastAsia="Times New Roman" w:hAnsi="Aptos Narrow" w:cs="Times New Roman"/>
                <w:b/>
                <w:bCs/>
                <w:color w:val="000000"/>
                <w:kern w:val="0"/>
                <w:lang w:eastAsia="en-GB"/>
                <w14:ligatures w14:val="none"/>
              </w:rPr>
            </w:pPr>
            <w:r w:rsidRPr="00923A83">
              <w:rPr>
                <w:rFonts w:ascii="Aptos Narrow" w:eastAsia="Times New Roman" w:hAnsi="Aptos Narrow" w:cs="Times New Roman"/>
                <w:b/>
                <w:bCs/>
                <w:color w:val="000000"/>
                <w:kern w:val="0"/>
                <w:lang w:eastAsia="en-GB"/>
                <w14:ligatures w14:val="none"/>
              </w:rPr>
              <w:t>411</w:t>
            </w:r>
            <w:r w:rsidR="0037771B">
              <w:rPr>
                <w:rFonts w:ascii="Aptos Narrow" w:eastAsia="Times New Roman" w:hAnsi="Aptos Narrow" w:cs="Times New Roman"/>
                <w:b/>
                <w:bCs/>
                <w:color w:val="000000"/>
                <w:kern w:val="0"/>
                <w:lang w:eastAsia="en-GB"/>
                <w14:ligatures w14:val="none"/>
              </w:rPr>
              <w:t>(</w:t>
            </w:r>
            <w:r w:rsidR="00175ABC">
              <w:rPr>
                <w:rFonts w:ascii="Aptos Narrow" w:eastAsia="Times New Roman" w:hAnsi="Aptos Narrow" w:cs="Times New Roman"/>
                <w:b/>
                <w:bCs/>
                <w:color w:val="000000"/>
                <w:kern w:val="0"/>
                <w:lang w:eastAsia="en-GB"/>
                <w14:ligatures w14:val="none"/>
              </w:rPr>
              <w:t>100)</w:t>
            </w:r>
          </w:p>
        </w:tc>
        <w:tc>
          <w:tcPr>
            <w:tcW w:w="2126" w:type="dxa"/>
            <w:tcBorders>
              <w:top w:val="single" w:sz="4" w:space="0" w:color="auto"/>
              <w:left w:val="nil"/>
              <w:bottom w:val="single" w:sz="4" w:space="0" w:color="auto"/>
              <w:right w:val="nil"/>
            </w:tcBorders>
            <w:noWrap/>
            <w:vAlign w:val="bottom"/>
            <w:hideMark/>
          </w:tcPr>
          <w:p w14:paraId="64AA531D" w14:textId="4FC8B791" w:rsidR="00923A83" w:rsidRPr="00923A83" w:rsidRDefault="00923A83" w:rsidP="00FE2F0E">
            <w:pPr>
              <w:spacing w:after="0" w:line="360" w:lineRule="auto"/>
              <w:jc w:val="right"/>
              <w:rPr>
                <w:rFonts w:ascii="Aptos Narrow" w:eastAsia="Times New Roman" w:hAnsi="Aptos Narrow" w:cs="Times New Roman"/>
                <w:b/>
                <w:bCs/>
                <w:color w:val="000000"/>
                <w:kern w:val="0"/>
                <w:lang w:eastAsia="en-GB"/>
                <w14:ligatures w14:val="none"/>
              </w:rPr>
            </w:pPr>
            <w:r w:rsidRPr="00923A83">
              <w:rPr>
                <w:rFonts w:ascii="Aptos Narrow" w:eastAsia="Times New Roman" w:hAnsi="Aptos Narrow" w:cs="Times New Roman"/>
                <w:b/>
                <w:bCs/>
                <w:color w:val="000000"/>
                <w:kern w:val="0"/>
                <w:lang w:eastAsia="en-GB"/>
                <w14:ligatures w14:val="none"/>
              </w:rPr>
              <w:t>306</w:t>
            </w:r>
            <w:r w:rsidR="0037771B">
              <w:rPr>
                <w:rFonts w:ascii="Aptos Narrow" w:eastAsia="Times New Roman" w:hAnsi="Aptos Narrow" w:cs="Times New Roman"/>
                <w:b/>
                <w:bCs/>
                <w:color w:val="000000"/>
                <w:kern w:val="0"/>
                <w:lang w:eastAsia="en-GB"/>
                <w14:ligatures w14:val="none"/>
              </w:rPr>
              <w:t>(74.5)</w:t>
            </w:r>
          </w:p>
        </w:tc>
        <w:tc>
          <w:tcPr>
            <w:tcW w:w="1985" w:type="dxa"/>
            <w:tcBorders>
              <w:top w:val="single" w:sz="4" w:space="0" w:color="auto"/>
              <w:left w:val="nil"/>
              <w:bottom w:val="single" w:sz="4" w:space="0" w:color="auto"/>
              <w:right w:val="nil"/>
            </w:tcBorders>
            <w:noWrap/>
            <w:vAlign w:val="bottom"/>
            <w:hideMark/>
          </w:tcPr>
          <w:p w14:paraId="7543680F" w14:textId="5B28B52A" w:rsidR="00923A83" w:rsidRPr="00923A83" w:rsidRDefault="00923A83" w:rsidP="00FE2F0E">
            <w:pPr>
              <w:spacing w:after="0" w:line="360" w:lineRule="auto"/>
              <w:jc w:val="right"/>
              <w:rPr>
                <w:rFonts w:ascii="Aptos Narrow" w:eastAsia="Times New Roman" w:hAnsi="Aptos Narrow" w:cs="Times New Roman"/>
                <w:b/>
                <w:bCs/>
                <w:color w:val="000000"/>
                <w:kern w:val="0"/>
                <w:lang w:eastAsia="en-GB"/>
                <w14:ligatures w14:val="none"/>
              </w:rPr>
            </w:pPr>
            <w:r w:rsidRPr="00923A83">
              <w:rPr>
                <w:rFonts w:ascii="Aptos Narrow" w:eastAsia="Times New Roman" w:hAnsi="Aptos Narrow" w:cs="Times New Roman"/>
                <w:b/>
                <w:bCs/>
                <w:color w:val="000000"/>
                <w:kern w:val="0"/>
                <w:lang w:eastAsia="en-GB"/>
                <w14:ligatures w14:val="none"/>
              </w:rPr>
              <w:t>104</w:t>
            </w:r>
            <w:r w:rsidR="00DD1B1C">
              <w:rPr>
                <w:rFonts w:ascii="Aptos Narrow" w:eastAsia="Times New Roman" w:hAnsi="Aptos Narrow" w:cs="Times New Roman"/>
                <w:b/>
                <w:bCs/>
                <w:color w:val="000000"/>
                <w:kern w:val="0"/>
                <w:lang w:eastAsia="en-GB"/>
                <w14:ligatures w14:val="none"/>
              </w:rPr>
              <w:t>(25.3)</w:t>
            </w:r>
          </w:p>
        </w:tc>
        <w:tc>
          <w:tcPr>
            <w:tcW w:w="1880" w:type="dxa"/>
            <w:tcBorders>
              <w:top w:val="single" w:sz="4" w:space="0" w:color="auto"/>
              <w:left w:val="nil"/>
              <w:bottom w:val="single" w:sz="4" w:space="0" w:color="auto"/>
              <w:right w:val="single" w:sz="4" w:space="0" w:color="auto"/>
            </w:tcBorders>
            <w:noWrap/>
            <w:vAlign w:val="bottom"/>
            <w:hideMark/>
          </w:tcPr>
          <w:p w14:paraId="35FBF033" w14:textId="3FAF360D" w:rsidR="00923A83" w:rsidRPr="00923A83" w:rsidRDefault="00923A83" w:rsidP="00FE2F0E">
            <w:pPr>
              <w:spacing w:after="0" w:line="360" w:lineRule="auto"/>
              <w:jc w:val="right"/>
              <w:rPr>
                <w:rFonts w:ascii="Aptos Narrow" w:eastAsia="Times New Roman" w:hAnsi="Aptos Narrow" w:cs="Times New Roman"/>
                <w:b/>
                <w:bCs/>
                <w:color w:val="000000"/>
                <w:kern w:val="0"/>
                <w:lang w:eastAsia="en-GB"/>
                <w14:ligatures w14:val="none"/>
              </w:rPr>
            </w:pPr>
            <w:r w:rsidRPr="00923A83">
              <w:rPr>
                <w:rFonts w:ascii="Aptos Narrow" w:eastAsia="Times New Roman" w:hAnsi="Aptos Narrow" w:cs="Times New Roman"/>
                <w:b/>
                <w:bCs/>
                <w:color w:val="000000"/>
                <w:kern w:val="0"/>
                <w:lang w:eastAsia="en-GB"/>
                <w14:ligatures w14:val="none"/>
              </w:rPr>
              <w:t>1</w:t>
            </w:r>
            <w:r w:rsidR="00C17C75">
              <w:rPr>
                <w:rFonts w:ascii="Aptos Narrow" w:eastAsia="Times New Roman" w:hAnsi="Aptos Narrow" w:cs="Times New Roman"/>
                <w:b/>
                <w:bCs/>
                <w:color w:val="000000"/>
                <w:kern w:val="0"/>
                <w:lang w:eastAsia="en-GB"/>
                <w14:ligatures w14:val="none"/>
              </w:rPr>
              <w:t>(0.2)</w:t>
            </w:r>
          </w:p>
        </w:tc>
      </w:tr>
    </w:tbl>
    <w:p w14:paraId="4881993E" w14:textId="22E43A0B" w:rsidR="00C17C75" w:rsidRPr="00B55D81" w:rsidRDefault="0071644C" w:rsidP="00FE2F0E">
      <w:pPr>
        <w:spacing w:line="360" w:lineRule="auto"/>
        <w:jc w:val="both"/>
        <w:rPr>
          <w:rFonts w:ascii="Times New Roman" w:hAnsi="Times New Roman" w:cs="Times New Roman"/>
          <w:sz w:val="24"/>
          <w:szCs w:val="24"/>
        </w:rPr>
      </w:pPr>
      <w:r w:rsidRPr="0071644C">
        <w:rPr>
          <w:rFonts w:ascii="Times New Roman" w:hAnsi="Times New Roman" w:cs="Times New Roman"/>
          <w:b/>
          <w:bCs/>
          <w:sz w:val="24"/>
          <w:szCs w:val="24"/>
        </w:rPr>
        <w:t>χ</w:t>
      </w:r>
      <w:r w:rsidRPr="0071644C">
        <w:rPr>
          <w:rFonts w:ascii="Times New Roman" w:hAnsi="Times New Roman" w:cs="Times New Roman"/>
          <w:b/>
          <w:bCs/>
          <w:sz w:val="24"/>
          <w:szCs w:val="24"/>
          <w:lang w:val="it-IT"/>
        </w:rPr>
        <w:t>²</w:t>
      </w:r>
      <w:r w:rsidRPr="0071644C">
        <w:rPr>
          <w:rFonts w:ascii="Times New Roman" w:hAnsi="Times New Roman" w:cs="Times New Roman"/>
          <w:sz w:val="24"/>
          <w:szCs w:val="24"/>
          <w:lang w:val="it-IT"/>
        </w:rPr>
        <w:t xml:space="preserve"> = </w:t>
      </w:r>
      <w:r w:rsidRPr="0071644C">
        <w:rPr>
          <w:rFonts w:ascii="Times New Roman" w:hAnsi="Times New Roman" w:cs="Times New Roman"/>
          <w:b/>
          <w:bCs/>
          <w:sz w:val="24"/>
          <w:szCs w:val="24"/>
          <w:lang w:val="it-IT"/>
        </w:rPr>
        <w:t>3.327</w:t>
      </w:r>
      <w:r w:rsidRPr="0071644C">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w:t>
      </w:r>
      <w:r w:rsidRPr="0071644C">
        <w:rPr>
          <w:rFonts w:ascii="Times New Roman" w:hAnsi="Times New Roman" w:cs="Times New Roman"/>
          <w:b/>
          <w:bCs/>
          <w:sz w:val="24"/>
          <w:szCs w:val="24"/>
        </w:rPr>
        <w:t>P</w:t>
      </w:r>
      <w:r w:rsidRPr="0071644C">
        <w:rPr>
          <w:rFonts w:ascii="Times New Roman" w:hAnsi="Times New Roman" w:cs="Times New Roman"/>
          <w:sz w:val="24"/>
          <w:szCs w:val="24"/>
        </w:rPr>
        <w:t xml:space="preserve"> = </w:t>
      </w:r>
      <w:r w:rsidRPr="0071644C">
        <w:rPr>
          <w:rFonts w:ascii="Times New Roman" w:hAnsi="Times New Roman" w:cs="Times New Roman"/>
          <w:b/>
          <w:bCs/>
          <w:sz w:val="24"/>
          <w:szCs w:val="24"/>
        </w:rPr>
        <w:t>0.767</w:t>
      </w:r>
      <w:r w:rsidRPr="0071644C">
        <w:rPr>
          <w:rFonts w:ascii="Times New Roman" w:hAnsi="Times New Roman" w:cs="Times New Roman"/>
          <w:sz w:val="24"/>
          <w:szCs w:val="24"/>
        </w:rPr>
        <w:t xml:space="preserve"> </w:t>
      </w:r>
    </w:p>
    <w:p w14:paraId="0B6B7B6A" w14:textId="3FB9731B" w:rsidR="00C4599D" w:rsidRPr="00837BEB" w:rsidRDefault="00837BEB" w:rsidP="00FE2F0E">
      <w:pPr>
        <w:spacing w:line="360" w:lineRule="auto"/>
        <w:jc w:val="both"/>
        <w:rPr>
          <w:rFonts w:ascii="Times New Roman" w:hAnsi="Times New Roman" w:cs="Times New Roman"/>
          <w:b/>
          <w:bCs/>
          <w:sz w:val="24"/>
          <w:szCs w:val="24"/>
        </w:rPr>
      </w:pPr>
      <w:r w:rsidRPr="00B2431B">
        <w:rPr>
          <w:rFonts w:ascii="Times New Roman" w:hAnsi="Times New Roman" w:cs="Times New Roman"/>
          <w:b/>
          <w:bCs/>
          <w:sz w:val="24"/>
          <w:szCs w:val="24"/>
        </w:rPr>
        <w:t xml:space="preserve">Table </w:t>
      </w:r>
      <w:r w:rsidR="00364F0D">
        <w:rPr>
          <w:rFonts w:ascii="Times New Roman" w:hAnsi="Times New Roman" w:cs="Times New Roman"/>
          <w:b/>
          <w:bCs/>
          <w:sz w:val="24"/>
          <w:szCs w:val="24"/>
        </w:rPr>
        <w:t>4</w:t>
      </w:r>
      <w:r w:rsidRPr="00B2431B">
        <w:rPr>
          <w:rFonts w:ascii="Times New Roman" w:hAnsi="Times New Roman" w:cs="Times New Roman"/>
          <w:b/>
          <w:bCs/>
          <w:sz w:val="24"/>
          <w:szCs w:val="24"/>
        </w:rPr>
        <w:t xml:space="preserve">: </w:t>
      </w:r>
      <w:r w:rsidR="007770B5">
        <w:rPr>
          <w:rFonts w:ascii="Times New Roman" w:hAnsi="Times New Roman" w:cs="Times New Roman"/>
          <w:b/>
          <w:bCs/>
          <w:sz w:val="24"/>
          <w:szCs w:val="24"/>
        </w:rPr>
        <w:t>Sputum</w:t>
      </w:r>
      <w:r w:rsidRPr="00B2431B">
        <w:rPr>
          <w:rFonts w:ascii="Times New Roman" w:hAnsi="Times New Roman" w:cs="Times New Roman"/>
          <w:b/>
          <w:bCs/>
          <w:sz w:val="24"/>
          <w:szCs w:val="24"/>
        </w:rPr>
        <w:t xml:space="preserve"> GeneXpert Results in Relation to </w:t>
      </w:r>
      <w:r w:rsidR="00DE7297">
        <w:rPr>
          <w:rFonts w:ascii="Times New Roman" w:hAnsi="Times New Roman" w:cs="Times New Roman"/>
          <w:b/>
          <w:bCs/>
          <w:sz w:val="24"/>
          <w:szCs w:val="24"/>
        </w:rPr>
        <w:t>Previously Diagnosed with TB</w:t>
      </w:r>
    </w:p>
    <w:tbl>
      <w:tblPr>
        <w:tblW w:w="9539" w:type="dxa"/>
        <w:tblLook w:val="04A0" w:firstRow="1" w:lastRow="0" w:firstColumn="1" w:lastColumn="0" w:noHBand="0" w:noVBand="1"/>
      </w:tblPr>
      <w:tblGrid>
        <w:gridCol w:w="2547"/>
        <w:gridCol w:w="1667"/>
        <w:gridCol w:w="1940"/>
        <w:gridCol w:w="1701"/>
        <w:gridCol w:w="1684"/>
      </w:tblGrid>
      <w:tr w:rsidR="00E10CBF" w:rsidRPr="00E10CBF" w14:paraId="3326467C" w14:textId="77777777" w:rsidTr="00B2456B">
        <w:trPr>
          <w:trHeight w:val="290"/>
        </w:trPr>
        <w:tc>
          <w:tcPr>
            <w:tcW w:w="2547" w:type="dxa"/>
            <w:tcBorders>
              <w:top w:val="single" w:sz="4" w:space="0" w:color="auto"/>
              <w:left w:val="single" w:sz="4" w:space="0" w:color="auto"/>
              <w:bottom w:val="single" w:sz="4" w:space="0" w:color="auto"/>
              <w:right w:val="nil"/>
            </w:tcBorders>
            <w:noWrap/>
            <w:vAlign w:val="bottom"/>
            <w:hideMark/>
          </w:tcPr>
          <w:p w14:paraId="3DAE52CC" w14:textId="77777777" w:rsidR="00E10CBF" w:rsidRPr="00E10CBF" w:rsidRDefault="00E10CBF" w:rsidP="00FE2F0E">
            <w:pPr>
              <w:spacing w:after="0" w:line="360" w:lineRule="auto"/>
              <w:rPr>
                <w:rFonts w:ascii="Aptos Narrow" w:eastAsia="Times New Roman" w:hAnsi="Aptos Narrow" w:cs="Times New Roman"/>
                <w:b/>
                <w:bCs/>
                <w:color w:val="000000"/>
                <w:kern w:val="0"/>
                <w:lang w:eastAsia="en-GB"/>
                <w14:ligatures w14:val="none"/>
              </w:rPr>
            </w:pPr>
            <w:r w:rsidRPr="00E10CBF">
              <w:rPr>
                <w:rFonts w:ascii="Aptos Narrow" w:eastAsia="Times New Roman" w:hAnsi="Aptos Narrow" w:cs="Times New Roman"/>
                <w:b/>
                <w:bCs/>
                <w:color w:val="000000"/>
                <w:kern w:val="0"/>
                <w:lang w:eastAsia="en-GB"/>
                <w14:ligatures w14:val="none"/>
              </w:rPr>
              <w:t>Previously Diagnosed with TB</w:t>
            </w:r>
          </w:p>
        </w:tc>
        <w:tc>
          <w:tcPr>
            <w:tcW w:w="1667" w:type="dxa"/>
            <w:tcBorders>
              <w:top w:val="single" w:sz="4" w:space="0" w:color="auto"/>
              <w:left w:val="nil"/>
              <w:bottom w:val="single" w:sz="4" w:space="0" w:color="auto"/>
              <w:right w:val="nil"/>
            </w:tcBorders>
            <w:noWrap/>
            <w:vAlign w:val="bottom"/>
            <w:hideMark/>
          </w:tcPr>
          <w:p w14:paraId="63AB1E45" w14:textId="3547C43C" w:rsidR="00E10CBF" w:rsidRPr="00E10CBF" w:rsidRDefault="00E10CBF" w:rsidP="00FE2F0E">
            <w:pPr>
              <w:spacing w:after="0" w:line="360" w:lineRule="auto"/>
              <w:rPr>
                <w:rFonts w:ascii="Calibri" w:eastAsia="Times New Roman" w:hAnsi="Calibri" w:cs="Calibri"/>
                <w:b/>
                <w:bCs/>
                <w:color w:val="000000"/>
                <w:kern w:val="0"/>
                <w:lang w:eastAsia="en-GB"/>
                <w14:ligatures w14:val="none"/>
              </w:rPr>
            </w:pPr>
            <w:r w:rsidRPr="00E10CBF">
              <w:rPr>
                <w:rFonts w:ascii="Calibri" w:eastAsia="Times New Roman" w:hAnsi="Calibri" w:cs="Calibri"/>
                <w:b/>
                <w:bCs/>
                <w:color w:val="000000"/>
                <w:kern w:val="0"/>
                <w:lang w:eastAsia="en-GB"/>
                <w14:ligatures w14:val="none"/>
              </w:rPr>
              <w:t>Frequency</w:t>
            </w:r>
            <w:r w:rsidR="00E5360D">
              <w:rPr>
                <w:rFonts w:ascii="Calibri" w:eastAsia="Times New Roman" w:hAnsi="Calibri" w:cs="Calibri"/>
                <w:b/>
                <w:bCs/>
                <w:color w:val="000000"/>
                <w:kern w:val="0"/>
                <w:lang w:eastAsia="en-GB"/>
                <w14:ligatures w14:val="none"/>
              </w:rPr>
              <w:t xml:space="preserve"> n</w:t>
            </w:r>
            <w:r w:rsidRPr="00E10CBF">
              <w:rPr>
                <w:rFonts w:ascii="Calibri" w:eastAsia="Times New Roman" w:hAnsi="Calibri" w:cs="Calibri"/>
                <w:b/>
                <w:bCs/>
                <w:color w:val="000000"/>
                <w:kern w:val="0"/>
                <w:lang w:eastAsia="en-GB"/>
                <w14:ligatures w14:val="none"/>
              </w:rPr>
              <w:t xml:space="preserve"> (</w:t>
            </w:r>
            <w:r w:rsidR="00E5360D">
              <w:rPr>
                <w:rFonts w:ascii="Calibri" w:eastAsia="Times New Roman" w:hAnsi="Calibri" w:cs="Calibri"/>
                <w:b/>
                <w:bCs/>
                <w:color w:val="000000"/>
                <w:kern w:val="0"/>
                <w:lang w:eastAsia="en-GB"/>
                <w14:ligatures w14:val="none"/>
              </w:rPr>
              <w:t>%</w:t>
            </w:r>
            <w:r w:rsidRPr="00E10CBF">
              <w:rPr>
                <w:rFonts w:ascii="Calibri" w:eastAsia="Times New Roman" w:hAnsi="Calibri" w:cs="Calibri"/>
                <w:b/>
                <w:bCs/>
                <w:color w:val="000000"/>
                <w:kern w:val="0"/>
                <w:lang w:eastAsia="en-GB"/>
                <w14:ligatures w14:val="none"/>
              </w:rPr>
              <w:t>)</w:t>
            </w:r>
          </w:p>
        </w:tc>
        <w:tc>
          <w:tcPr>
            <w:tcW w:w="1940" w:type="dxa"/>
            <w:tcBorders>
              <w:top w:val="single" w:sz="4" w:space="0" w:color="auto"/>
              <w:left w:val="nil"/>
              <w:bottom w:val="single" w:sz="4" w:space="0" w:color="auto"/>
              <w:right w:val="nil"/>
            </w:tcBorders>
            <w:noWrap/>
            <w:vAlign w:val="bottom"/>
            <w:hideMark/>
          </w:tcPr>
          <w:p w14:paraId="36B525D1" w14:textId="21433D8C" w:rsidR="00E10CBF" w:rsidRPr="00E10CBF" w:rsidRDefault="00E10CBF" w:rsidP="00FE2F0E">
            <w:pPr>
              <w:spacing w:after="0" w:line="360" w:lineRule="auto"/>
              <w:rPr>
                <w:rFonts w:ascii="Aptos Narrow" w:eastAsia="Times New Roman" w:hAnsi="Aptos Narrow" w:cs="Times New Roman"/>
                <w:b/>
                <w:bCs/>
                <w:color w:val="000000"/>
                <w:kern w:val="0"/>
                <w:lang w:eastAsia="en-GB"/>
                <w14:ligatures w14:val="none"/>
              </w:rPr>
            </w:pPr>
            <w:r w:rsidRPr="00E10CBF">
              <w:rPr>
                <w:rFonts w:ascii="Aptos Narrow" w:eastAsia="Times New Roman" w:hAnsi="Aptos Narrow" w:cs="Times New Roman"/>
                <w:b/>
                <w:bCs/>
                <w:color w:val="000000"/>
                <w:kern w:val="0"/>
                <w:lang w:eastAsia="en-GB"/>
                <w14:ligatures w14:val="none"/>
              </w:rPr>
              <w:t>Xpert Negative</w:t>
            </w:r>
            <w:r w:rsidR="00E5360D">
              <w:rPr>
                <w:rFonts w:ascii="Aptos Narrow" w:eastAsia="Times New Roman" w:hAnsi="Aptos Narrow" w:cs="Times New Roman"/>
                <w:b/>
                <w:bCs/>
                <w:color w:val="000000"/>
                <w:kern w:val="0"/>
                <w:lang w:eastAsia="en-GB"/>
                <w14:ligatures w14:val="none"/>
              </w:rPr>
              <w:t xml:space="preserve"> n (%)</w:t>
            </w:r>
          </w:p>
        </w:tc>
        <w:tc>
          <w:tcPr>
            <w:tcW w:w="1701" w:type="dxa"/>
            <w:tcBorders>
              <w:top w:val="single" w:sz="4" w:space="0" w:color="auto"/>
              <w:left w:val="nil"/>
              <w:bottom w:val="single" w:sz="4" w:space="0" w:color="auto"/>
              <w:right w:val="nil"/>
            </w:tcBorders>
            <w:noWrap/>
            <w:vAlign w:val="bottom"/>
            <w:hideMark/>
          </w:tcPr>
          <w:p w14:paraId="5E789A37" w14:textId="1AB1D377" w:rsidR="00E10CBF" w:rsidRPr="00E10CBF" w:rsidRDefault="00E10CBF" w:rsidP="00FE2F0E">
            <w:pPr>
              <w:spacing w:after="0" w:line="360" w:lineRule="auto"/>
              <w:rPr>
                <w:rFonts w:ascii="Aptos Narrow" w:eastAsia="Times New Roman" w:hAnsi="Aptos Narrow" w:cs="Times New Roman"/>
                <w:b/>
                <w:bCs/>
                <w:color w:val="000000"/>
                <w:kern w:val="0"/>
                <w:lang w:eastAsia="en-GB"/>
                <w14:ligatures w14:val="none"/>
              </w:rPr>
            </w:pPr>
            <w:r w:rsidRPr="00E10CBF">
              <w:rPr>
                <w:rFonts w:ascii="Aptos Narrow" w:eastAsia="Times New Roman" w:hAnsi="Aptos Narrow" w:cs="Times New Roman"/>
                <w:b/>
                <w:bCs/>
                <w:color w:val="000000"/>
                <w:kern w:val="0"/>
                <w:lang w:eastAsia="en-GB"/>
                <w14:ligatures w14:val="none"/>
              </w:rPr>
              <w:t>Xpert Positive</w:t>
            </w:r>
            <w:r w:rsidR="00E5360D">
              <w:rPr>
                <w:rFonts w:ascii="Aptos Narrow" w:eastAsia="Times New Roman" w:hAnsi="Aptos Narrow" w:cs="Times New Roman"/>
                <w:b/>
                <w:bCs/>
                <w:color w:val="000000"/>
                <w:kern w:val="0"/>
                <w:lang w:eastAsia="en-GB"/>
                <w14:ligatures w14:val="none"/>
              </w:rPr>
              <w:t xml:space="preserve"> n (%)</w:t>
            </w:r>
          </w:p>
        </w:tc>
        <w:tc>
          <w:tcPr>
            <w:tcW w:w="1684" w:type="dxa"/>
            <w:tcBorders>
              <w:top w:val="single" w:sz="4" w:space="0" w:color="auto"/>
              <w:left w:val="nil"/>
              <w:bottom w:val="single" w:sz="4" w:space="0" w:color="auto"/>
              <w:right w:val="single" w:sz="4" w:space="0" w:color="auto"/>
            </w:tcBorders>
            <w:noWrap/>
            <w:vAlign w:val="bottom"/>
            <w:hideMark/>
          </w:tcPr>
          <w:p w14:paraId="53C12145" w14:textId="1F38A72F" w:rsidR="00E10CBF" w:rsidRPr="00E10CBF" w:rsidRDefault="00E10CBF" w:rsidP="00FE2F0E">
            <w:pPr>
              <w:spacing w:after="0" w:line="360" w:lineRule="auto"/>
              <w:rPr>
                <w:rFonts w:ascii="Aptos Narrow" w:eastAsia="Times New Roman" w:hAnsi="Aptos Narrow" w:cs="Times New Roman"/>
                <w:b/>
                <w:bCs/>
                <w:color w:val="000000"/>
                <w:kern w:val="0"/>
                <w:lang w:eastAsia="en-GB"/>
                <w14:ligatures w14:val="none"/>
              </w:rPr>
            </w:pPr>
            <w:r w:rsidRPr="00E10CBF">
              <w:rPr>
                <w:rFonts w:ascii="Aptos Narrow" w:eastAsia="Times New Roman" w:hAnsi="Aptos Narrow" w:cs="Times New Roman"/>
                <w:b/>
                <w:bCs/>
                <w:color w:val="000000"/>
                <w:kern w:val="0"/>
                <w:lang w:eastAsia="en-GB"/>
                <w14:ligatures w14:val="none"/>
              </w:rPr>
              <w:t>Xpert Indeterminate</w:t>
            </w:r>
            <w:r w:rsidR="00E5360D">
              <w:rPr>
                <w:rFonts w:ascii="Aptos Narrow" w:eastAsia="Times New Roman" w:hAnsi="Aptos Narrow" w:cs="Times New Roman"/>
                <w:b/>
                <w:bCs/>
                <w:color w:val="000000"/>
                <w:kern w:val="0"/>
                <w:lang w:eastAsia="en-GB"/>
                <w14:ligatures w14:val="none"/>
              </w:rPr>
              <w:t xml:space="preserve"> n (%)</w:t>
            </w:r>
          </w:p>
        </w:tc>
      </w:tr>
      <w:tr w:rsidR="00E10CBF" w:rsidRPr="00E10CBF" w14:paraId="1BF83691" w14:textId="77777777" w:rsidTr="00B2456B">
        <w:trPr>
          <w:trHeight w:val="290"/>
        </w:trPr>
        <w:tc>
          <w:tcPr>
            <w:tcW w:w="2547" w:type="dxa"/>
            <w:tcBorders>
              <w:top w:val="nil"/>
              <w:left w:val="single" w:sz="4" w:space="0" w:color="auto"/>
              <w:bottom w:val="nil"/>
              <w:right w:val="nil"/>
            </w:tcBorders>
            <w:noWrap/>
            <w:vAlign w:val="bottom"/>
            <w:hideMark/>
          </w:tcPr>
          <w:p w14:paraId="5E6AC488" w14:textId="77777777" w:rsidR="00E10CBF" w:rsidRPr="00E10CBF" w:rsidRDefault="00E10CBF" w:rsidP="00FE2F0E">
            <w:pPr>
              <w:spacing w:after="0" w:line="360" w:lineRule="auto"/>
              <w:rPr>
                <w:rFonts w:ascii="Aptos Narrow" w:eastAsia="Times New Roman" w:hAnsi="Aptos Narrow" w:cs="Times New Roman"/>
                <w:color w:val="000000"/>
                <w:kern w:val="0"/>
                <w:lang w:eastAsia="en-GB"/>
                <w14:ligatures w14:val="none"/>
              </w:rPr>
            </w:pPr>
            <w:r w:rsidRPr="00E10CBF">
              <w:rPr>
                <w:rFonts w:ascii="Aptos Narrow" w:eastAsia="Times New Roman" w:hAnsi="Aptos Narrow" w:cs="Times New Roman"/>
                <w:kern w:val="0"/>
                <w:lang w:eastAsia="en-GB"/>
                <w14:ligatures w14:val="none"/>
              </w:rPr>
              <w:t>Yes</w:t>
            </w:r>
          </w:p>
        </w:tc>
        <w:tc>
          <w:tcPr>
            <w:tcW w:w="1667" w:type="dxa"/>
            <w:tcBorders>
              <w:top w:val="nil"/>
              <w:left w:val="nil"/>
              <w:bottom w:val="nil"/>
              <w:right w:val="nil"/>
            </w:tcBorders>
            <w:noWrap/>
            <w:vAlign w:val="bottom"/>
            <w:hideMark/>
          </w:tcPr>
          <w:p w14:paraId="41028C2B" w14:textId="5B1ADD9C" w:rsidR="00E10CBF" w:rsidRPr="00E10CBF" w:rsidRDefault="00E10CBF" w:rsidP="00FE2F0E">
            <w:pPr>
              <w:spacing w:after="0" w:line="360" w:lineRule="auto"/>
              <w:jc w:val="right"/>
              <w:rPr>
                <w:rFonts w:ascii="Aptos Narrow" w:eastAsia="Times New Roman" w:hAnsi="Aptos Narrow" w:cs="Times New Roman"/>
                <w:color w:val="000000"/>
                <w:kern w:val="0"/>
                <w:lang w:eastAsia="en-GB"/>
                <w14:ligatures w14:val="none"/>
              </w:rPr>
            </w:pPr>
            <w:r w:rsidRPr="00E10CBF">
              <w:rPr>
                <w:rFonts w:ascii="Aptos Narrow" w:eastAsia="Times New Roman" w:hAnsi="Aptos Narrow" w:cs="Times New Roman"/>
                <w:color w:val="000000"/>
                <w:kern w:val="0"/>
                <w:lang w:eastAsia="en-GB"/>
                <w14:ligatures w14:val="none"/>
              </w:rPr>
              <w:t>38</w:t>
            </w:r>
            <w:r w:rsidR="00C14C60">
              <w:rPr>
                <w:rFonts w:ascii="Aptos Narrow" w:eastAsia="Times New Roman" w:hAnsi="Aptos Narrow" w:cs="Times New Roman"/>
                <w:color w:val="000000"/>
                <w:kern w:val="0"/>
                <w:lang w:eastAsia="en-GB"/>
                <w14:ligatures w14:val="none"/>
              </w:rPr>
              <w:t>(</w:t>
            </w:r>
            <w:r w:rsidR="00041424">
              <w:rPr>
                <w:rFonts w:ascii="Aptos Narrow" w:eastAsia="Times New Roman" w:hAnsi="Aptos Narrow" w:cs="Times New Roman"/>
                <w:color w:val="000000"/>
                <w:kern w:val="0"/>
                <w:lang w:eastAsia="en-GB"/>
                <w14:ligatures w14:val="none"/>
              </w:rPr>
              <w:t>9.2)</w:t>
            </w:r>
          </w:p>
        </w:tc>
        <w:tc>
          <w:tcPr>
            <w:tcW w:w="1940" w:type="dxa"/>
            <w:tcBorders>
              <w:top w:val="nil"/>
              <w:left w:val="nil"/>
              <w:bottom w:val="nil"/>
              <w:right w:val="nil"/>
            </w:tcBorders>
            <w:noWrap/>
            <w:vAlign w:val="bottom"/>
            <w:hideMark/>
          </w:tcPr>
          <w:p w14:paraId="19C823A4" w14:textId="63918B8D" w:rsidR="00E10CBF" w:rsidRPr="00E10CBF" w:rsidRDefault="00E10CBF" w:rsidP="00FE2F0E">
            <w:pPr>
              <w:spacing w:after="0" w:line="360" w:lineRule="auto"/>
              <w:jc w:val="right"/>
              <w:rPr>
                <w:rFonts w:ascii="Aptos Narrow" w:eastAsia="Times New Roman" w:hAnsi="Aptos Narrow" w:cs="Times New Roman"/>
                <w:color w:val="000000"/>
                <w:kern w:val="0"/>
                <w:lang w:eastAsia="en-GB"/>
                <w14:ligatures w14:val="none"/>
              </w:rPr>
            </w:pPr>
            <w:r w:rsidRPr="00E10CBF">
              <w:rPr>
                <w:rFonts w:ascii="Aptos Narrow" w:eastAsia="Times New Roman" w:hAnsi="Aptos Narrow" w:cs="Times New Roman"/>
                <w:color w:val="000000"/>
                <w:kern w:val="0"/>
                <w:lang w:eastAsia="en-GB"/>
                <w14:ligatures w14:val="none"/>
              </w:rPr>
              <w:t>27</w:t>
            </w:r>
            <w:r w:rsidR="00FF55A2">
              <w:rPr>
                <w:rFonts w:ascii="Aptos Narrow" w:eastAsia="Times New Roman" w:hAnsi="Aptos Narrow" w:cs="Times New Roman"/>
                <w:color w:val="000000"/>
                <w:kern w:val="0"/>
                <w:lang w:eastAsia="en-GB"/>
                <w14:ligatures w14:val="none"/>
              </w:rPr>
              <w:t>(</w:t>
            </w:r>
            <w:r w:rsidR="007D3619">
              <w:rPr>
                <w:rFonts w:ascii="Aptos Narrow" w:eastAsia="Times New Roman" w:hAnsi="Aptos Narrow" w:cs="Times New Roman"/>
                <w:color w:val="000000"/>
                <w:kern w:val="0"/>
                <w:lang w:eastAsia="en-GB"/>
                <w14:ligatures w14:val="none"/>
              </w:rPr>
              <w:t>71.1)</w:t>
            </w:r>
          </w:p>
        </w:tc>
        <w:tc>
          <w:tcPr>
            <w:tcW w:w="1701" w:type="dxa"/>
            <w:tcBorders>
              <w:top w:val="nil"/>
              <w:left w:val="nil"/>
              <w:bottom w:val="nil"/>
              <w:right w:val="nil"/>
            </w:tcBorders>
            <w:noWrap/>
            <w:vAlign w:val="bottom"/>
            <w:hideMark/>
          </w:tcPr>
          <w:p w14:paraId="2E0C1223" w14:textId="1DE04699" w:rsidR="00E10CBF" w:rsidRPr="00E10CBF" w:rsidRDefault="00E10CBF" w:rsidP="00FE2F0E">
            <w:pPr>
              <w:spacing w:after="0" w:line="360" w:lineRule="auto"/>
              <w:jc w:val="right"/>
              <w:rPr>
                <w:rFonts w:ascii="Aptos Narrow" w:eastAsia="Times New Roman" w:hAnsi="Aptos Narrow" w:cs="Times New Roman"/>
                <w:color w:val="000000"/>
                <w:kern w:val="0"/>
                <w:lang w:eastAsia="en-GB"/>
                <w14:ligatures w14:val="none"/>
              </w:rPr>
            </w:pPr>
            <w:r w:rsidRPr="00E10CBF">
              <w:rPr>
                <w:rFonts w:ascii="Aptos Narrow" w:eastAsia="Times New Roman" w:hAnsi="Aptos Narrow" w:cs="Times New Roman"/>
                <w:color w:val="000000"/>
                <w:kern w:val="0"/>
                <w:lang w:eastAsia="en-GB"/>
                <w14:ligatures w14:val="none"/>
              </w:rPr>
              <w:t>10</w:t>
            </w:r>
            <w:r w:rsidR="006259B9">
              <w:rPr>
                <w:rFonts w:ascii="Aptos Narrow" w:eastAsia="Times New Roman" w:hAnsi="Aptos Narrow" w:cs="Times New Roman"/>
                <w:color w:val="000000"/>
                <w:kern w:val="0"/>
                <w:lang w:eastAsia="en-GB"/>
                <w14:ligatures w14:val="none"/>
              </w:rPr>
              <w:t>(26.3)</w:t>
            </w:r>
          </w:p>
        </w:tc>
        <w:tc>
          <w:tcPr>
            <w:tcW w:w="1684" w:type="dxa"/>
            <w:tcBorders>
              <w:top w:val="nil"/>
              <w:left w:val="nil"/>
              <w:bottom w:val="nil"/>
              <w:right w:val="single" w:sz="4" w:space="0" w:color="auto"/>
            </w:tcBorders>
            <w:noWrap/>
            <w:vAlign w:val="bottom"/>
            <w:hideMark/>
          </w:tcPr>
          <w:p w14:paraId="20208E1A" w14:textId="254AA599" w:rsidR="00E10CBF" w:rsidRPr="00E10CBF" w:rsidRDefault="00E10CBF" w:rsidP="00FE2F0E">
            <w:pPr>
              <w:spacing w:after="0" w:line="360" w:lineRule="auto"/>
              <w:jc w:val="right"/>
              <w:rPr>
                <w:rFonts w:ascii="Aptos Narrow" w:eastAsia="Times New Roman" w:hAnsi="Aptos Narrow" w:cs="Times New Roman"/>
                <w:color w:val="000000"/>
                <w:kern w:val="0"/>
                <w:lang w:eastAsia="en-GB"/>
                <w14:ligatures w14:val="none"/>
              </w:rPr>
            </w:pPr>
            <w:r w:rsidRPr="00E10CBF">
              <w:rPr>
                <w:rFonts w:ascii="Aptos Narrow" w:eastAsia="Times New Roman" w:hAnsi="Aptos Narrow" w:cs="Times New Roman"/>
                <w:color w:val="000000"/>
                <w:kern w:val="0"/>
                <w:lang w:eastAsia="en-GB"/>
                <w14:ligatures w14:val="none"/>
              </w:rPr>
              <w:t>1</w:t>
            </w:r>
            <w:r w:rsidR="00E5360D">
              <w:rPr>
                <w:rFonts w:ascii="Aptos Narrow" w:eastAsia="Times New Roman" w:hAnsi="Aptos Narrow" w:cs="Times New Roman"/>
                <w:color w:val="000000"/>
                <w:kern w:val="0"/>
                <w:lang w:eastAsia="en-GB"/>
                <w14:ligatures w14:val="none"/>
              </w:rPr>
              <w:t>(2.6)</w:t>
            </w:r>
          </w:p>
        </w:tc>
      </w:tr>
      <w:tr w:rsidR="00E10CBF" w:rsidRPr="00E10CBF" w14:paraId="080FED0D" w14:textId="77777777" w:rsidTr="00B2456B">
        <w:trPr>
          <w:trHeight w:val="290"/>
        </w:trPr>
        <w:tc>
          <w:tcPr>
            <w:tcW w:w="2547" w:type="dxa"/>
            <w:tcBorders>
              <w:top w:val="nil"/>
              <w:left w:val="single" w:sz="4" w:space="0" w:color="auto"/>
              <w:bottom w:val="nil"/>
              <w:right w:val="nil"/>
            </w:tcBorders>
            <w:noWrap/>
            <w:vAlign w:val="bottom"/>
            <w:hideMark/>
          </w:tcPr>
          <w:p w14:paraId="1C521838" w14:textId="77777777" w:rsidR="00E10CBF" w:rsidRPr="00E10CBF" w:rsidRDefault="00E10CBF" w:rsidP="00FE2F0E">
            <w:pPr>
              <w:spacing w:after="0" w:line="360" w:lineRule="auto"/>
              <w:rPr>
                <w:rFonts w:ascii="Aptos Narrow" w:eastAsia="Times New Roman" w:hAnsi="Aptos Narrow" w:cs="Times New Roman"/>
                <w:color w:val="000000"/>
                <w:kern w:val="0"/>
                <w:lang w:eastAsia="en-GB"/>
                <w14:ligatures w14:val="none"/>
              </w:rPr>
            </w:pPr>
            <w:r w:rsidRPr="00E10CBF">
              <w:rPr>
                <w:rFonts w:ascii="Aptos Narrow" w:eastAsia="Times New Roman" w:hAnsi="Aptos Narrow" w:cs="Times New Roman"/>
                <w:color w:val="000000"/>
                <w:kern w:val="0"/>
                <w:lang w:eastAsia="en-GB"/>
                <w14:ligatures w14:val="none"/>
              </w:rPr>
              <w:t>No</w:t>
            </w:r>
          </w:p>
        </w:tc>
        <w:tc>
          <w:tcPr>
            <w:tcW w:w="1667" w:type="dxa"/>
            <w:tcBorders>
              <w:top w:val="nil"/>
              <w:left w:val="nil"/>
              <w:bottom w:val="nil"/>
              <w:right w:val="nil"/>
            </w:tcBorders>
            <w:noWrap/>
            <w:vAlign w:val="bottom"/>
            <w:hideMark/>
          </w:tcPr>
          <w:p w14:paraId="1477D105" w14:textId="0C9AC604" w:rsidR="00E10CBF" w:rsidRPr="00E10CBF" w:rsidRDefault="00E10CBF" w:rsidP="00FE2F0E">
            <w:pPr>
              <w:spacing w:after="0" w:line="360" w:lineRule="auto"/>
              <w:jc w:val="right"/>
              <w:rPr>
                <w:rFonts w:ascii="Aptos Narrow" w:eastAsia="Times New Roman" w:hAnsi="Aptos Narrow" w:cs="Times New Roman"/>
                <w:color w:val="000000"/>
                <w:kern w:val="0"/>
                <w:lang w:eastAsia="en-GB"/>
                <w14:ligatures w14:val="none"/>
              </w:rPr>
            </w:pPr>
            <w:r w:rsidRPr="00E10CBF">
              <w:rPr>
                <w:rFonts w:ascii="Aptos Narrow" w:eastAsia="Times New Roman" w:hAnsi="Aptos Narrow" w:cs="Times New Roman"/>
                <w:color w:val="000000"/>
                <w:kern w:val="0"/>
                <w:lang w:eastAsia="en-GB"/>
                <w14:ligatures w14:val="none"/>
              </w:rPr>
              <w:t>373</w:t>
            </w:r>
            <w:r w:rsidR="00041424">
              <w:rPr>
                <w:rFonts w:ascii="Aptos Narrow" w:eastAsia="Times New Roman" w:hAnsi="Aptos Narrow" w:cs="Times New Roman"/>
                <w:color w:val="000000"/>
                <w:kern w:val="0"/>
                <w:lang w:eastAsia="en-GB"/>
                <w14:ligatures w14:val="none"/>
              </w:rPr>
              <w:t>(90.8)</w:t>
            </w:r>
          </w:p>
        </w:tc>
        <w:tc>
          <w:tcPr>
            <w:tcW w:w="1940" w:type="dxa"/>
            <w:tcBorders>
              <w:top w:val="nil"/>
              <w:left w:val="nil"/>
              <w:bottom w:val="nil"/>
              <w:right w:val="nil"/>
            </w:tcBorders>
            <w:noWrap/>
            <w:vAlign w:val="bottom"/>
            <w:hideMark/>
          </w:tcPr>
          <w:p w14:paraId="539A7AE4" w14:textId="395EB5A9" w:rsidR="00E10CBF" w:rsidRPr="00E10CBF" w:rsidRDefault="00E10CBF" w:rsidP="00FE2F0E">
            <w:pPr>
              <w:spacing w:after="0" w:line="360" w:lineRule="auto"/>
              <w:jc w:val="right"/>
              <w:rPr>
                <w:rFonts w:ascii="Aptos Narrow" w:eastAsia="Times New Roman" w:hAnsi="Aptos Narrow" w:cs="Times New Roman"/>
                <w:color w:val="000000"/>
                <w:kern w:val="0"/>
                <w:lang w:eastAsia="en-GB"/>
                <w14:ligatures w14:val="none"/>
              </w:rPr>
            </w:pPr>
            <w:r w:rsidRPr="00E10CBF">
              <w:rPr>
                <w:rFonts w:ascii="Aptos Narrow" w:eastAsia="Times New Roman" w:hAnsi="Aptos Narrow" w:cs="Times New Roman"/>
                <w:color w:val="000000"/>
                <w:kern w:val="0"/>
                <w:lang w:eastAsia="en-GB"/>
                <w14:ligatures w14:val="none"/>
              </w:rPr>
              <w:t>279</w:t>
            </w:r>
            <w:r w:rsidR="007D3619">
              <w:rPr>
                <w:rFonts w:ascii="Aptos Narrow" w:eastAsia="Times New Roman" w:hAnsi="Aptos Narrow" w:cs="Times New Roman"/>
                <w:color w:val="000000"/>
                <w:kern w:val="0"/>
                <w:lang w:eastAsia="en-GB"/>
                <w14:ligatures w14:val="none"/>
              </w:rPr>
              <w:t>(74.8)</w:t>
            </w:r>
          </w:p>
        </w:tc>
        <w:tc>
          <w:tcPr>
            <w:tcW w:w="1701" w:type="dxa"/>
            <w:tcBorders>
              <w:top w:val="nil"/>
              <w:left w:val="nil"/>
              <w:bottom w:val="nil"/>
              <w:right w:val="nil"/>
            </w:tcBorders>
            <w:noWrap/>
            <w:vAlign w:val="bottom"/>
            <w:hideMark/>
          </w:tcPr>
          <w:p w14:paraId="68696101" w14:textId="35B5E694" w:rsidR="00E10CBF" w:rsidRPr="00E10CBF" w:rsidRDefault="00E10CBF" w:rsidP="00FE2F0E">
            <w:pPr>
              <w:spacing w:after="0" w:line="360" w:lineRule="auto"/>
              <w:jc w:val="right"/>
              <w:rPr>
                <w:rFonts w:ascii="Aptos Narrow" w:eastAsia="Times New Roman" w:hAnsi="Aptos Narrow" w:cs="Times New Roman"/>
                <w:color w:val="000000"/>
                <w:kern w:val="0"/>
                <w:lang w:eastAsia="en-GB"/>
                <w14:ligatures w14:val="none"/>
              </w:rPr>
            </w:pPr>
            <w:r w:rsidRPr="00E10CBF">
              <w:rPr>
                <w:rFonts w:ascii="Aptos Narrow" w:eastAsia="Times New Roman" w:hAnsi="Aptos Narrow" w:cs="Times New Roman"/>
                <w:color w:val="000000"/>
                <w:kern w:val="0"/>
                <w:lang w:eastAsia="en-GB"/>
                <w14:ligatures w14:val="none"/>
              </w:rPr>
              <w:t>94</w:t>
            </w:r>
            <w:r w:rsidR="006259B9">
              <w:rPr>
                <w:rFonts w:ascii="Aptos Narrow" w:eastAsia="Times New Roman" w:hAnsi="Aptos Narrow" w:cs="Times New Roman"/>
                <w:color w:val="000000"/>
                <w:kern w:val="0"/>
                <w:lang w:eastAsia="en-GB"/>
                <w14:ligatures w14:val="none"/>
              </w:rPr>
              <w:t>(25.2)</w:t>
            </w:r>
          </w:p>
        </w:tc>
        <w:tc>
          <w:tcPr>
            <w:tcW w:w="1684" w:type="dxa"/>
            <w:tcBorders>
              <w:top w:val="nil"/>
              <w:left w:val="nil"/>
              <w:bottom w:val="nil"/>
              <w:right w:val="single" w:sz="4" w:space="0" w:color="auto"/>
            </w:tcBorders>
            <w:noWrap/>
            <w:vAlign w:val="bottom"/>
            <w:hideMark/>
          </w:tcPr>
          <w:p w14:paraId="2DBB5DF3" w14:textId="748FDA60" w:rsidR="00E10CBF" w:rsidRPr="00E10CBF" w:rsidRDefault="00E10CBF" w:rsidP="00FE2F0E">
            <w:pPr>
              <w:spacing w:after="0" w:line="360" w:lineRule="auto"/>
              <w:jc w:val="right"/>
              <w:rPr>
                <w:rFonts w:ascii="Aptos Narrow" w:eastAsia="Times New Roman" w:hAnsi="Aptos Narrow" w:cs="Times New Roman"/>
                <w:color w:val="000000"/>
                <w:kern w:val="0"/>
                <w:lang w:eastAsia="en-GB"/>
                <w14:ligatures w14:val="none"/>
              </w:rPr>
            </w:pPr>
            <w:r w:rsidRPr="00E10CBF">
              <w:rPr>
                <w:rFonts w:ascii="Aptos Narrow" w:eastAsia="Times New Roman" w:hAnsi="Aptos Narrow" w:cs="Times New Roman"/>
                <w:color w:val="000000"/>
                <w:kern w:val="0"/>
                <w:lang w:eastAsia="en-GB"/>
                <w14:ligatures w14:val="none"/>
              </w:rPr>
              <w:t>0</w:t>
            </w:r>
            <w:r w:rsidR="00E5360D">
              <w:rPr>
                <w:rFonts w:ascii="Aptos Narrow" w:eastAsia="Times New Roman" w:hAnsi="Aptos Narrow" w:cs="Times New Roman"/>
                <w:color w:val="000000"/>
                <w:kern w:val="0"/>
                <w:lang w:eastAsia="en-GB"/>
                <w14:ligatures w14:val="none"/>
              </w:rPr>
              <w:t>(0.0)</w:t>
            </w:r>
          </w:p>
        </w:tc>
      </w:tr>
      <w:tr w:rsidR="00E10CBF" w:rsidRPr="00E10CBF" w14:paraId="71F16E11" w14:textId="77777777" w:rsidTr="00B2456B">
        <w:trPr>
          <w:trHeight w:val="290"/>
        </w:trPr>
        <w:tc>
          <w:tcPr>
            <w:tcW w:w="2547" w:type="dxa"/>
            <w:tcBorders>
              <w:top w:val="single" w:sz="4" w:space="0" w:color="auto"/>
              <w:left w:val="single" w:sz="4" w:space="0" w:color="auto"/>
              <w:bottom w:val="single" w:sz="4" w:space="0" w:color="auto"/>
              <w:right w:val="nil"/>
            </w:tcBorders>
            <w:noWrap/>
            <w:vAlign w:val="bottom"/>
            <w:hideMark/>
          </w:tcPr>
          <w:p w14:paraId="6605C0EB" w14:textId="77777777" w:rsidR="00E10CBF" w:rsidRPr="00E10CBF" w:rsidRDefault="00E10CBF" w:rsidP="00FE2F0E">
            <w:pPr>
              <w:spacing w:after="0" w:line="360" w:lineRule="auto"/>
              <w:rPr>
                <w:rFonts w:ascii="Aptos Narrow" w:eastAsia="Times New Roman" w:hAnsi="Aptos Narrow" w:cs="Times New Roman"/>
                <w:b/>
                <w:bCs/>
                <w:color w:val="000000"/>
                <w:kern w:val="0"/>
                <w:lang w:eastAsia="en-GB"/>
                <w14:ligatures w14:val="none"/>
              </w:rPr>
            </w:pPr>
            <w:r w:rsidRPr="00E10CBF">
              <w:rPr>
                <w:rFonts w:ascii="Aptos Narrow" w:eastAsia="Times New Roman" w:hAnsi="Aptos Narrow" w:cs="Times New Roman"/>
                <w:b/>
                <w:bCs/>
                <w:kern w:val="0"/>
                <w:lang w:eastAsia="en-GB"/>
                <w14:ligatures w14:val="none"/>
              </w:rPr>
              <w:t>Total</w:t>
            </w:r>
          </w:p>
        </w:tc>
        <w:tc>
          <w:tcPr>
            <w:tcW w:w="1667" w:type="dxa"/>
            <w:tcBorders>
              <w:top w:val="single" w:sz="4" w:space="0" w:color="auto"/>
              <w:left w:val="nil"/>
              <w:bottom w:val="single" w:sz="4" w:space="0" w:color="auto"/>
              <w:right w:val="nil"/>
            </w:tcBorders>
            <w:noWrap/>
            <w:vAlign w:val="bottom"/>
            <w:hideMark/>
          </w:tcPr>
          <w:p w14:paraId="05C6F63B" w14:textId="6F8623FD" w:rsidR="00E10CBF" w:rsidRPr="00E10CBF" w:rsidRDefault="00E10CBF" w:rsidP="00FE2F0E">
            <w:pPr>
              <w:spacing w:after="0" w:line="360" w:lineRule="auto"/>
              <w:jc w:val="right"/>
              <w:rPr>
                <w:rFonts w:ascii="Aptos Narrow" w:eastAsia="Times New Roman" w:hAnsi="Aptos Narrow" w:cs="Times New Roman"/>
                <w:b/>
                <w:bCs/>
                <w:color w:val="000000"/>
                <w:kern w:val="0"/>
                <w:lang w:eastAsia="en-GB"/>
                <w14:ligatures w14:val="none"/>
              </w:rPr>
            </w:pPr>
            <w:r w:rsidRPr="00E10CBF">
              <w:rPr>
                <w:rFonts w:ascii="Aptos Narrow" w:eastAsia="Times New Roman" w:hAnsi="Aptos Narrow" w:cs="Times New Roman"/>
                <w:b/>
                <w:bCs/>
                <w:color w:val="000000"/>
                <w:kern w:val="0"/>
                <w:lang w:eastAsia="en-GB"/>
                <w14:ligatures w14:val="none"/>
              </w:rPr>
              <w:t>411</w:t>
            </w:r>
            <w:r w:rsidR="00041424">
              <w:rPr>
                <w:rFonts w:ascii="Aptos Narrow" w:eastAsia="Times New Roman" w:hAnsi="Aptos Narrow" w:cs="Times New Roman"/>
                <w:b/>
                <w:bCs/>
                <w:color w:val="000000"/>
                <w:kern w:val="0"/>
                <w:lang w:eastAsia="en-GB"/>
                <w14:ligatures w14:val="none"/>
              </w:rPr>
              <w:t>(</w:t>
            </w:r>
            <w:r w:rsidR="00454995">
              <w:rPr>
                <w:rFonts w:ascii="Aptos Narrow" w:eastAsia="Times New Roman" w:hAnsi="Aptos Narrow" w:cs="Times New Roman"/>
                <w:b/>
                <w:bCs/>
                <w:color w:val="000000"/>
                <w:kern w:val="0"/>
                <w:lang w:eastAsia="en-GB"/>
                <w14:ligatures w14:val="none"/>
              </w:rPr>
              <w:t>100)</w:t>
            </w:r>
          </w:p>
        </w:tc>
        <w:tc>
          <w:tcPr>
            <w:tcW w:w="1940" w:type="dxa"/>
            <w:tcBorders>
              <w:top w:val="single" w:sz="4" w:space="0" w:color="auto"/>
              <w:left w:val="nil"/>
              <w:bottom w:val="single" w:sz="4" w:space="0" w:color="auto"/>
              <w:right w:val="nil"/>
            </w:tcBorders>
            <w:noWrap/>
            <w:vAlign w:val="bottom"/>
            <w:hideMark/>
          </w:tcPr>
          <w:p w14:paraId="3CE0D667" w14:textId="728DB4A3" w:rsidR="00E10CBF" w:rsidRPr="00E10CBF" w:rsidRDefault="00E10CBF" w:rsidP="00FE2F0E">
            <w:pPr>
              <w:spacing w:after="0" w:line="360" w:lineRule="auto"/>
              <w:jc w:val="right"/>
              <w:rPr>
                <w:rFonts w:ascii="Aptos Narrow" w:eastAsia="Times New Roman" w:hAnsi="Aptos Narrow" w:cs="Times New Roman"/>
                <w:b/>
                <w:bCs/>
                <w:color w:val="000000"/>
                <w:kern w:val="0"/>
                <w:lang w:eastAsia="en-GB"/>
                <w14:ligatures w14:val="none"/>
              </w:rPr>
            </w:pPr>
            <w:r w:rsidRPr="00E10CBF">
              <w:rPr>
                <w:rFonts w:ascii="Aptos Narrow" w:eastAsia="Times New Roman" w:hAnsi="Aptos Narrow" w:cs="Times New Roman"/>
                <w:b/>
                <w:bCs/>
                <w:color w:val="000000"/>
                <w:kern w:val="0"/>
                <w:lang w:eastAsia="en-GB"/>
                <w14:ligatures w14:val="none"/>
              </w:rPr>
              <w:t>306</w:t>
            </w:r>
            <w:r w:rsidR="007D3619">
              <w:rPr>
                <w:rFonts w:ascii="Aptos Narrow" w:eastAsia="Times New Roman" w:hAnsi="Aptos Narrow" w:cs="Times New Roman"/>
                <w:b/>
                <w:bCs/>
                <w:color w:val="000000"/>
                <w:kern w:val="0"/>
                <w:lang w:eastAsia="en-GB"/>
                <w14:ligatures w14:val="none"/>
              </w:rPr>
              <w:t>(</w:t>
            </w:r>
            <w:r w:rsidR="006259B9">
              <w:rPr>
                <w:rFonts w:ascii="Aptos Narrow" w:eastAsia="Times New Roman" w:hAnsi="Aptos Narrow" w:cs="Times New Roman"/>
                <w:b/>
                <w:bCs/>
                <w:color w:val="000000"/>
                <w:kern w:val="0"/>
                <w:lang w:eastAsia="en-GB"/>
                <w14:ligatures w14:val="none"/>
              </w:rPr>
              <w:t>74.5)</w:t>
            </w:r>
          </w:p>
        </w:tc>
        <w:tc>
          <w:tcPr>
            <w:tcW w:w="1701" w:type="dxa"/>
            <w:tcBorders>
              <w:top w:val="single" w:sz="4" w:space="0" w:color="auto"/>
              <w:left w:val="nil"/>
              <w:bottom w:val="single" w:sz="4" w:space="0" w:color="auto"/>
              <w:right w:val="nil"/>
            </w:tcBorders>
            <w:noWrap/>
            <w:vAlign w:val="bottom"/>
            <w:hideMark/>
          </w:tcPr>
          <w:p w14:paraId="188E0443" w14:textId="35A90710" w:rsidR="00E10CBF" w:rsidRPr="00E10CBF" w:rsidRDefault="00E10CBF" w:rsidP="00FE2F0E">
            <w:pPr>
              <w:spacing w:after="0" w:line="360" w:lineRule="auto"/>
              <w:jc w:val="right"/>
              <w:rPr>
                <w:rFonts w:ascii="Aptos Narrow" w:eastAsia="Times New Roman" w:hAnsi="Aptos Narrow" w:cs="Times New Roman"/>
                <w:b/>
                <w:bCs/>
                <w:color w:val="000000"/>
                <w:kern w:val="0"/>
                <w:lang w:eastAsia="en-GB"/>
                <w14:ligatures w14:val="none"/>
              </w:rPr>
            </w:pPr>
            <w:r w:rsidRPr="00E10CBF">
              <w:rPr>
                <w:rFonts w:ascii="Aptos Narrow" w:eastAsia="Times New Roman" w:hAnsi="Aptos Narrow" w:cs="Times New Roman"/>
                <w:b/>
                <w:bCs/>
                <w:color w:val="000000"/>
                <w:kern w:val="0"/>
                <w:lang w:eastAsia="en-GB"/>
                <w14:ligatures w14:val="none"/>
              </w:rPr>
              <w:t>104</w:t>
            </w:r>
            <w:r w:rsidR="006259B9">
              <w:rPr>
                <w:rFonts w:ascii="Aptos Narrow" w:eastAsia="Times New Roman" w:hAnsi="Aptos Narrow" w:cs="Times New Roman"/>
                <w:b/>
                <w:bCs/>
                <w:color w:val="000000"/>
                <w:kern w:val="0"/>
                <w:lang w:eastAsia="en-GB"/>
                <w14:ligatures w14:val="none"/>
              </w:rPr>
              <w:t>(25.3)</w:t>
            </w:r>
          </w:p>
        </w:tc>
        <w:tc>
          <w:tcPr>
            <w:tcW w:w="1684" w:type="dxa"/>
            <w:tcBorders>
              <w:top w:val="single" w:sz="4" w:space="0" w:color="auto"/>
              <w:left w:val="nil"/>
              <w:bottom w:val="single" w:sz="4" w:space="0" w:color="auto"/>
              <w:right w:val="single" w:sz="4" w:space="0" w:color="auto"/>
            </w:tcBorders>
            <w:noWrap/>
            <w:vAlign w:val="bottom"/>
            <w:hideMark/>
          </w:tcPr>
          <w:p w14:paraId="1B4645D3" w14:textId="45BD3E53" w:rsidR="00E10CBF" w:rsidRPr="00E10CBF" w:rsidRDefault="00E10CBF" w:rsidP="00FE2F0E">
            <w:pPr>
              <w:spacing w:after="0" w:line="360" w:lineRule="auto"/>
              <w:jc w:val="right"/>
              <w:rPr>
                <w:rFonts w:ascii="Aptos Narrow" w:eastAsia="Times New Roman" w:hAnsi="Aptos Narrow" w:cs="Times New Roman"/>
                <w:b/>
                <w:bCs/>
                <w:color w:val="000000"/>
                <w:kern w:val="0"/>
                <w:lang w:eastAsia="en-GB"/>
                <w14:ligatures w14:val="none"/>
              </w:rPr>
            </w:pPr>
            <w:r w:rsidRPr="00E10CBF">
              <w:rPr>
                <w:rFonts w:ascii="Aptos Narrow" w:eastAsia="Times New Roman" w:hAnsi="Aptos Narrow" w:cs="Times New Roman"/>
                <w:b/>
                <w:bCs/>
                <w:color w:val="000000"/>
                <w:kern w:val="0"/>
                <w:lang w:eastAsia="en-GB"/>
                <w14:ligatures w14:val="none"/>
              </w:rPr>
              <w:t>1</w:t>
            </w:r>
            <w:r w:rsidR="006259B9">
              <w:rPr>
                <w:rFonts w:ascii="Aptos Narrow" w:eastAsia="Times New Roman" w:hAnsi="Aptos Narrow" w:cs="Times New Roman"/>
                <w:b/>
                <w:bCs/>
                <w:color w:val="000000"/>
                <w:kern w:val="0"/>
                <w:lang w:eastAsia="en-GB"/>
                <w14:ligatures w14:val="none"/>
              </w:rPr>
              <w:t>(0.2)</w:t>
            </w:r>
          </w:p>
        </w:tc>
      </w:tr>
    </w:tbl>
    <w:p w14:paraId="0E7553FA" w14:textId="474DDA76" w:rsidR="004036A5" w:rsidRPr="002163EC" w:rsidRDefault="002D457C" w:rsidP="00FE2F0E">
      <w:pPr>
        <w:spacing w:line="360" w:lineRule="auto"/>
        <w:jc w:val="both"/>
        <w:rPr>
          <w:rFonts w:ascii="Times New Roman" w:hAnsi="Times New Roman" w:cs="Times New Roman"/>
          <w:b/>
          <w:bCs/>
          <w:sz w:val="24"/>
          <w:szCs w:val="24"/>
        </w:rPr>
      </w:pPr>
      <w:r w:rsidRPr="002D457C">
        <w:rPr>
          <w:rFonts w:ascii="Times New Roman" w:hAnsi="Times New Roman" w:cs="Times New Roman"/>
          <w:b/>
          <w:bCs/>
          <w:sz w:val="24"/>
          <w:szCs w:val="24"/>
        </w:rPr>
        <w:t>χ²</w:t>
      </w:r>
      <w:r w:rsidRPr="002D457C">
        <w:rPr>
          <w:rFonts w:ascii="Times New Roman" w:hAnsi="Times New Roman" w:cs="Times New Roman"/>
          <w:sz w:val="24"/>
          <w:szCs w:val="24"/>
        </w:rPr>
        <w:t xml:space="preserve"> = </w:t>
      </w:r>
      <w:r w:rsidRPr="002D457C">
        <w:rPr>
          <w:rFonts w:ascii="Times New Roman" w:hAnsi="Times New Roman" w:cs="Times New Roman"/>
          <w:b/>
          <w:bCs/>
          <w:sz w:val="24"/>
          <w:szCs w:val="24"/>
        </w:rPr>
        <w:t>9.90</w:t>
      </w:r>
      <w:r>
        <w:rPr>
          <w:rFonts w:ascii="Times New Roman" w:hAnsi="Times New Roman" w:cs="Times New Roman"/>
          <w:sz w:val="24"/>
          <w:szCs w:val="24"/>
        </w:rPr>
        <w:t xml:space="preserve">   P</w:t>
      </w:r>
      <w:r w:rsidRPr="002D457C">
        <w:rPr>
          <w:rFonts w:ascii="Times New Roman" w:hAnsi="Times New Roman" w:cs="Times New Roman"/>
          <w:b/>
          <w:bCs/>
          <w:sz w:val="24"/>
          <w:szCs w:val="24"/>
        </w:rPr>
        <w:t>-value</w:t>
      </w:r>
      <w:r w:rsidRPr="002D457C">
        <w:rPr>
          <w:rFonts w:ascii="Times New Roman" w:hAnsi="Times New Roman" w:cs="Times New Roman"/>
          <w:sz w:val="24"/>
          <w:szCs w:val="24"/>
        </w:rPr>
        <w:t xml:space="preserve"> = </w:t>
      </w:r>
      <w:r w:rsidRPr="002D457C">
        <w:rPr>
          <w:rFonts w:ascii="Times New Roman" w:hAnsi="Times New Roman" w:cs="Times New Roman"/>
          <w:b/>
          <w:bCs/>
          <w:sz w:val="24"/>
          <w:szCs w:val="24"/>
        </w:rPr>
        <w:t>0.007</w:t>
      </w:r>
    </w:p>
    <w:p w14:paraId="59808167" w14:textId="77777777" w:rsidR="00EA29B6" w:rsidRDefault="00EA29B6" w:rsidP="00FE2F0E">
      <w:pPr>
        <w:spacing w:line="360" w:lineRule="auto"/>
        <w:jc w:val="both"/>
        <w:rPr>
          <w:rFonts w:ascii="Times New Roman" w:hAnsi="Times New Roman" w:cs="Times New Roman"/>
          <w:b/>
          <w:bCs/>
          <w:sz w:val="24"/>
          <w:szCs w:val="24"/>
        </w:rPr>
      </w:pPr>
    </w:p>
    <w:p w14:paraId="0E2CC2EF" w14:textId="77777777" w:rsidR="00EA29B6" w:rsidRDefault="00EA29B6" w:rsidP="00FE2F0E">
      <w:pPr>
        <w:spacing w:line="360" w:lineRule="auto"/>
        <w:jc w:val="both"/>
        <w:rPr>
          <w:rFonts w:ascii="Times New Roman" w:hAnsi="Times New Roman" w:cs="Times New Roman"/>
          <w:b/>
          <w:bCs/>
          <w:sz w:val="24"/>
          <w:szCs w:val="24"/>
        </w:rPr>
      </w:pPr>
    </w:p>
    <w:p w14:paraId="1897CE31" w14:textId="77777777" w:rsidR="00EA29B6" w:rsidRDefault="00EA29B6" w:rsidP="00FE2F0E">
      <w:pPr>
        <w:spacing w:line="360" w:lineRule="auto"/>
        <w:jc w:val="both"/>
        <w:rPr>
          <w:rFonts w:ascii="Times New Roman" w:hAnsi="Times New Roman" w:cs="Times New Roman"/>
          <w:b/>
          <w:bCs/>
          <w:sz w:val="24"/>
          <w:szCs w:val="24"/>
        </w:rPr>
      </w:pPr>
    </w:p>
    <w:p w14:paraId="01A0F771" w14:textId="77777777" w:rsidR="00EA29B6" w:rsidRDefault="00EA29B6" w:rsidP="00FE2F0E">
      <w:pPr>
        <w:spacing w:line="360" w:lineRule="auto"/>
        <w:jc w:val="both"/>
        <w:rPr>
          <w:rFonts w:ascii="Times New Roman" w:hAnsi="Times New Roman" w:cs="Times New Roman"/>
          <w:b/>
          <w:bCs/>
          <w:sz w:val="24"/>
          <w:szCs w:val="24"/>
        </w:rPr>
      </w:pPr>
    </w:p>
    <w:p w14:paraId="5E39A951" w14:textId="12CDF0F1" w:rsidR="00DE7297" w:rsidRPr="002D457C" w:rsidRDefault="00DE7297" w:rsidP="00FE2F0E">
      <w:pPr>
        <w:spacing w:line="360" w:lineRule="auto"/>
        <w:jc w:val="both"/>
        <w:rPr>
          <w:rFonts w:ascii="Times New Roman" w:hAnsi="Times New Roman" w:cs="Times New Roman"/>
          <w:b/>
          <w:bCs/>
          <w:sz w:val="24"/>
          <w:szCs w:val="24"/>
        </w:rPr>
      </w:pPr>
      <w:r w:rsidRPr="00B2431B">
        <w:rPr>
          <w:rFonts w:ascii="Times New Roman" w:hAnsi="Times New Roman" w:cs="Times New Roman"/>
          <w:b/>
          <w:bCs/>
          <w:sz w:val="24"/>
          <w:szCs w:val="24"/>
        </w:rPr>
        <w:t xml:space="preserve">Table </w:t>
      </w:r>
      <w:r w:rsidR="00364F0D">
        <w:rPr>
          <w:rFonts w:ascii="Times New Roman" w:hAnsi="Times New Roman" w:cs="Times New Roman"/>
          <w:b/>
          <w:bCs/>
          <w:sz w:val="24"/>
          <w:szCs w:val="24"/>
        </w:rPr>
        <w:t>5</w:t>
      </w:r>
      <w:r w:rsidRPr="00B2431B">
        <w:rPr>
          <w:rFonts w:ascii="Times New Roman" w:hAnsi="Times New Roman" w:cs="Times New Roman"/>
          <w:b/>
          <w:bCs/>
          <w:sz w:val="24"/>
          <w:szCs w:val="24"/>
        </w:rPr>
        <w:t xml:space="preserve">: </w:t>
      </w:r>
      <w:r w:rsidR="007770B5">
        <w:rPr>
          <w:rFonts w:ascii="Times New Roman" w:hAnsi="Times New Roman" w:cs="Times New Roman"/>
          <w:b/>
          <w:bCs/>
          <w:sz w:val="24"/>
          <w:szCs w:val="24"/>
        </w:rPr>
        <w:t xml:space="preserve">Sputum </w:t>
      </w:r>
      <w:r w:rsidRPr="00B2431B">
        <w:rPr>
          <w:rFonts w:ascii="Times New Roman" w:hAnsi="Times New Roman" w:cs="Times New Roman"/>
          <w:b/>
          <w:bCs/>
          <w:sz w:val="24"/>
          <w:szCs w:val="24"/>
        </w:rPr>
        <w:t xml:space="preserve">GeneXpert Results in Relation to </w:t>
      </w:r>
      <w:r>
        <w:rPr>
          <w:rFonts w:ascii="Times New Roman" w:hAnsi="Times New Roman" w:cs="Times New Roman"/>
          <w:b/>
          <w:bCs/>
          <w:sz w:val="24"/>
          <w:szCs w:val="24"/>
        </w:rPr>
        <w:t>Vaccination wi</w:t>
      </w:r>
      <w:r w:rsidR="007770B5">
        <w:rPr>
          <w:rFonts w:ascii="Times New Roman" w:hAnsi="Times New Roman" w:cs="Times New Roman"/>
          <w:b/>
          <w:bCs/>
          <w:sz w:val="24"/>
          <w:szCs w:val="24"/>
        </w:rPr>
        <w:t>th BCG</w:t>
      </w:r>
    </w:p>
    <w:tbl>
      <w:tblPr>
        <w:tblW w:w="9813" w:type="dxa"/>
        <w:tblLook w:val="04A0" w:firstRow="1" w:lastRow="0" w:firstColumn="1" w:lastColumn="0" w:noHBand="0" w:noVBand="1"/>
      </w:tblPr>
      <w:tblGrid>
        <w:gridCol w:w="2122"/>
        <w:gridCol w:w="1701"/>
        <w:gridCol w:w="2126"/>
        <w:gridCol w:w="1984"/>
        <w:gridCol w:w="1880"/>
      </w:tblGrid>
      <w:tr w:rsidR="001730CD" w:rsidRPr="001730CD" w14:paraId="297BE13C" w14:textId="77777777" w:rsidTr="00C14324">
        <w:trPr>
          <w:trHeight w:val="290"/>
        </w:trPr>
        <w:tc>
          <w:tcPr>
            <w:tcW w:w="2122" w:type="dxa"/>
            <w:tcBorders>
              <w:top w:val="single" w:sz="4" w:space="0" w:color="auto"/>
              <w:left w:val="single" w:sz="4" w:space="0" w:color="auto"/>
              <w:bottom w:val="single" w:sz="4" w:space="0" w:color="auto"/>
              <w:right w:val="nil"/>
            </w:tcBorders>
            <w:noWrap/>
            <w:vAlign w:val="bottom"/>
            <w:hideMark/>
          </w:tcPr>
          <w:p w14:paraId="435398C2" w14:textId="77777777" w:rsidR="001730CD" w:rsidRPr="001730CD" w:rsidRDefault="001730CD" w:rsidP="00FE2F0E">
            <w:pPr>
              <w:spacing w:after="0" w:line="360" w:lineRule="auto"/>
              <w:rPr>
                <w:rFonts w:ascii="Aptos Narrow" w:eastAsia="Times New Roman" w:hAnsi="Aptos Narrow" w:cs="Times New Roman"/>
                <w:b/>
                <w:bCs/>
                <w:color w:val="000000"/>
                <w:kern w:val="0"/>
                <w:lang w:eastAsia="en-GB"/>
                <w14:ligatures w14:val="none"/>
              </w:rPr>
            </w:pPr>
            <w:r w:rsidRPr="001730CD">
              <w:rPr>
                <w:rFonts w:ascii="Aptos Narrow" w:eastAsia="Times New Roman" w:hAnsi="Aptos Narrow" w:cs="Times New Roman"/>
                <w:b/>
                <w:bCs/>
                <w:color w:val="000000"/>
                <w:kern w:val="0"/>
                <w:lang w:eastAsia="en-GB"/>
                <w14:ligatures w14:val="none"/>
              </w:rPr>
              <w:lastRenderedPageBreak/>
              <w:t>Vaccinated with BCG</w:t>
            </w:r>
          </w:p>
        </w:tc>
        <w:tc>
          <w:tcPr>
            <w:tcW w:w="1701" w:type="dxa"/>
            <w:tcBorders>
              <w:top w:val="single" w:sz="4" w:space="0" w:color="auto"/>
              <w:left w:val="nil"/>
              <w:bottom w:val="single" w:sz="4" w:space="0" w:color="auto"/>
              <w:right w:val="nil"/>
            </w:tcBorders>
            <w:noWrap/>
            <w:vAlign w:val="bottom"/>
            <w:hideMark/>
          </w:tcPr>
          <w:p w14:paraId="79181C85" w14:textId="541E85CA" w:rsidR="001730CD" w:rsidRPr="001730CD" w:rsidRDefault="001730CD" w:rsidP="00FE2F0E">
            <w:pPr>
              <w:spacing w:after="0" w:line="360" w:lineRule="auto"/>
              <w:rPr>
                <w:rFonts w:ascii="Calibri" w:eastAsia="Times New Roman" w:hAnsi="Calibri" w:cs="Calibri"/>
                <w:b/>
                <w:bCs/>
                <w:color w:val="000000"/>
                <w:kern w:val="0"/>
                <w:lang w:eastAsia="en-GB"/>
                <w14:ligatures w14:val="none"/>
              </w:rPr>
            </w:pPr>
            <w:r w:rsidRPr="001730CD">
              <w:rPr>
                <w:rFonts w:ascii="Calibri" w:eastAsia="Times New Roman" w:hAnsi="Calibri" w:cs="Calibri"/>
                <w:b/>
                <w:bCs/>
                <w:color w:val="000000"/>
                <w:kern w:val="0"/>
                <w:lang w:eastAsia="en-GB"/>
                <w14:ligatures w14:val="none"/>
              </w:rPr>
              <w:t xml:space="preserve">Frequency </w:t>
            </w:r>
            <w:r w:rsidR="00C14324">
              <w:rPr>
                <w:rFonts w:ascii="Calibri" w:eastAsia="Times New Roman" w:hAnsi="Calibri" w:cs="Calibri"/>
                <w:b/>
                <w:bCs/>
                <w:color w:val="000000"/>
                <w:kern w:val="0"/>
                <w:lang w:eastAsia="en-GB"/>
                <w14:ligatures w14:val="none"/>
              </w:rPr>
              <w:t xml:space="preserve">n </w:t>
            </w:r>
            <w:r w:rsidRPr="001730CD">
              <w:rPr>
                <w:rFonts w:ascii="Calibri" w:eastAsia="Times New Roman" w:hAnsi="Calibri" w:cs="Calibri"/>
                <w:b/>
                <w:bCs/>
                <w:color w:val="000000"/>
                <w:kern w:val="0"/>
                <w:lang w:eastAsia="en-GB"/>
                <w14:ligatures w14:val="none"/>
              </w:rPr>
              <w:t>(</w:t>
            </w:r>
            <w:r w:rsidR="00C14324">
              <w:rPr>
                <w:rFonts w:ascii="Calibri" w:eastAsia="Times New Roman" w:hAnsi="Calibri" w:cs="Calibri"/>
                <w:b/>
                <w:bCs/>
                <w:color w:val="000000"/>
                <w:kern w:val="0"/>
                <w:lang w:eastAsia="en-GB"/>
                <w14:ligatures w14:val="none"/>
              </w:rPr>
              <w:t>%</w:t>
            </w:r>
            <w:r w:rsidRPr="001730CD">
              <w:rPr>
                <w:rFonts w:ascii="Calibri" w:eastAsia="Times New Roman" w:hAnsi="Calibri" w:cs="Calibri"/>
                <w:b/>
                <w:bCs/>
                <w:color w:val="000000"/>
                <w:kern w:val="0"/>
                <w:lang w:eastAsia="en-GB"/>
                <w14:ligatures w14:val="none"/>
              </w:rPr>
              <w:t>)</w:t>
            </w:r>
          </w:p>
        </w:tc>
        <w:tc>
          <w:tcPr>
            <w:tcW w:w="2126" w:type="dxa"/>
            <w:tcBorders>
              <w:top w:val="single" w:sz="4" w:space="0" w:color="auto"/>
              <w:left w:val="nil"/>
              <w:bottom w:val="single" w:sz="4" w:space="0" w:color="auto"/>
              <w:right w:val="nil"/>
            </w:tcBorders>
            <w:noWrap/>
            <w:vAlign w:val="bottom"/>
            <w:hideMark/>
          </w:tcPr>
          <w:p w14:paraId="2D0B168D" w14:textId="4553785F" w:rsidR="001730CD" w:rsidRPr="001730CD" w:rsidRDefault="001730CD" w:rsidP="00FE2F0E">
            <w:pPr>
              <w:spacing w:after="0" w:line="360" w:lineRule="auto"/>
              <w:rPr>
                <w:rFonts w:ascii="Aptos Narrow" w:eastAsia="Times New Roman" w:hAnsi="Aptos Narrow" w:cs="Times New Roman"/>
                <w:b/>
                <w:bCs/>
                <w:color w:val="000000"/>
                <w:kern w:val="0"/>
                <w:lang w:eastAsia="en-GB"/>
                <w14:ligatures w14:val="none"/>
              </w:rPr>
            </w:pPr>
            <w:r w:rsidRPr="001730CD">
              <w:rPr>
                <w:rFonts w:ascii="Aptos Narrow" w:eastAsia="Times New Roman" w:hAnsi="Aptos Narrow" w:cs="Times New Roman"/>
                <w:b/>
                <w:bCs/>
                <w:color w:val="000000"/>
                <w:kern w:val="0"/>
                <w:lang w:eastAsia="en-GB"/>
                <w14:ligatures w14:val="none"/>
              </w:rPr>
              <w:t>Xpert Negative</w:t>
            </w:r>
            <w:r w:rsidR="00C14324">
              <w:rPr>
                <w:rFonts w:ascii="Aptos Narrow" w:eastAsia="Times New Roman" w:hAnsi="Aptos Narrow" w:cs="Times New Roman"/>
                <w:b/>
                <w:bCs/>
                <w:color w:val="000000"/>
                <w:kern w:val="0"/>
                <w:lang w:eastAsia="en-GB"/>
                <w14:ligatures w14:val="none"/>
              </w:rPr>
              <w:t xml:space="preserve"> </w:t>
            </w:r>
            <w:r w:rsidR="00C14324">
              <w:rPr>
                <w:rFonts w:ascii="Calibri" w:eastAsia="Times New Roman" w:hAnsi="Calibri" w:cs="Calibri"/>
                <w:b/>
                <w:bCs/>
                <w:color w:val="000000"/>
                <w:kern w:val="0"/>
                <w:lang w:eastAsia="en-GB"/>
                <w14:ligatures w14:val="none"/>
              </w:rPr>
              <w:t xml:space="preserve">n </w:t>
            </w:r>
            <w:r w:rsidR="00C14324" w:rsidRPr="001730CD">
              <w:rPr>
                <w:rFonts w:ascii="Calibri" w:eastAsia="Times New Roman" w:hAnsi="Calibri" w:cs="Calibri"/>
                <w:b/>
                <w:bCs/>
                <w:color w:val="000000"/>
                <w:kern w:val="0"/>
                <w:lang w:eastAsia="en-GB"/>
                <w14:ligatures w14:val="none"/>
              </w:rPr>
              <w:t>(</w:t>
            </w:r>
            <w:r w:rsidR="00C14324">
              <w:rPr>
                <w:rFonts w:ascii="Calibri" w:eastAsia="Times New Roman" w:hAnsi="Calibri" w:cs="Calibri"/>
                <w:b/>
                <w:bCs/>
                <w:color w:val="000000"/>
                <w:kern w:val="0"/>
                <w:lang w:eastAsia="en-GB"/>
                <w14:ligatures w14:val="none"/>
              </w:rPr>
              <w:t>%</w:t>
            </w:r>
            <w:r w:rsidR="00C14324" w:rsidRPr="001730CD">
              <w:rPr>
                <w:rFonts w:ascii="Calibri" w:eastAsia="Times New Roman" w:hAnsi="Calibri" w:cs="Calibri"/>
                <w:b/>
                <w:bCs/>
                <w:color w:val="000000"/>
                <w:kern w:val="0"/>
                <w:lang w:eastAsia="en-GB"/>
                <w14:ligatures w14:val="none"/>
              </w:rPr>
              <w:t>)</w:t>
            </w:r>
          </w:p>
        </w:tc>
        <w:tc>
          <w:tcPr>
            <w:tcW w:w="1984" w:type="dxa"/>
            <w:tcBorders>
              <w:top w:val="single" w:sz="4" w:space="0" w:color="auto"/>
              <w:left w:val="nil"/>
              <w:bottom w:val="single" w:sz="4" w:space="0" w:color="auto"/>
              <w:right w:val="nil"/>
            </w:tcBorders>
            <w:noWrap/>
            <w:vAlign w:val="bottom"/>
            <w:hideMark/>
          </w:tcPr>
          <w:p w14:paraId="1D6CD8FF" w14:textId="0FBDFFB7" w:rsidR="001730CD" w:rsidRPr="001730CD" w:rsidRDefault="001730CD" w:rsidP="00FE2F0E">
            <w:pPr>
              <w:spacing w:after="0" w:line="360" w:lineRule="auto"/>
              <w:rPr>
                <w:rFonts w:ascii="Aptos Narrow" w:eastAsia="Times New Roman" w:hAnsi="Aptos Narrow" w:cs="Times New Roman"/>
                <w:b/>
                <w:bCs/>
                <w:color w:val="000000"/>
                <w:kern w:val="0"/>
                <w:lang w:eastAsia="en-GB"/>
                <w14:ligatures w14:val="none"/>
              </w:rPr>
            </w:pPr>
            <w:r w:rsidRPr="001730CD">
              <w:rPr>
                <w:rFonts w:ascii="Aptos Narrow" w:eastAsia="Times New Roman" w:hAnsi="Aptos Narrow" w:cs="Times New Roman"/>
                <w:b/>
                <w:bCs/>
                <w:color w:val="000000"/>
                <w:kern w:val="0"/>
                <w:lang w:eastAsia="en-GB"/>
                <w14:ligatures w14:val="none"/>
              </w:rPr>
              <w:t>Xpert Positive</w:t>
            </w:r>
            <w:r w:rsidR="00C14324">
              <w:rPr>
                <w:rFonts w:ascii="Aptos Narrow" w:eastAsia="Times New Roman" w:hAnsi="Aptos Narrow" w:cs="Times New Roman"/>
                <w:b/>
                <w:bCs/>
                <w:color w:val="000000"/>
                <w:kern w:val="0"/>
                <w:lang w:eastAsia="en-GB"/>
                <w14:ligatures w14:val="none"/>
              </w:rPr>
              <w:t xml:space="preserve"> </w:t>
            </w:r>
            <w:r w:rsidR="00C14324">
              <w:rPr>
                <w:rFonts w:ascii="Calibri" w:eastAsia="Times New Roman" w:hAnsi="Calibri" w:cs="Calibri"/>
                <w:b/>
                <w:bCs/>
                <w:color w:val="000000"/>
                <w:kern w:val="0"/>
                <w:lang w:eastAsia="en-GB"/>
                <w14:ligatures w14:val="none"/>
              </w:rPr>
              <w:t xml:space="preserve">n </w:t>
            </w:r>
            <w:r w:rsidR="00C14324" w:rsidRPr="001730CD">
              <w:rPr>
                <w:rFonts w:ascii="Calibri" w:eastAsia="Times New Roman" w:hAnsi="Calibri" w:cs="Calibri"/>
                <w:b/>
                <w:bCs/>
                <w:color w:val="000000"/>
                <w:kern w:val="0"/>
                <w:lang w:eastAsia="en-GB"/>
                <w14:ligatures w14:val="none"/>
              </w:rPr>
              <w:t>(</w:t>
            </w:r>
            <w:r w:rsidR="00C14324">
              <w:rPr>
                <w:rFonts w:ascii="Calibri" w:eastAsia="Times New Roman" w:hAnsi="Calibri" w:cs="Calibri"/>
                <w:b/>
                <w:bCs/>
                <w:color w:val="000000"/>
                <w:kern w:val="0"/>
                <w:lang w:eastAsia="en-GB"/>
                <w14:ligatures w14:val="none"/>
              </w:rPr>
              <w:t>%</w:t>
            </w:r>
            <w:r w:rsidR="00C14324" w:rsidRPr="001730CD">
              <w:rPr>
                <w:rFonts w:ascii="Calibri" w:eastAsia="Times New Roman" w:hAnsi="Calibri" w:cs="Calibri"/>
                <w:b/>
                <w:bCs/>
                <w:color w:val="000000"/>
                <w:kern w:val="0"/>
                <w:lang w:eastAsia="en-GB"/>
                <w14:ligatures w14:val="none"/>
              </w:rPr>
              <w:t>)</w:t>
            </w:r>
          </w:p>
        </w:tc>
        <w:tc>
          <w:tcPr>
            <w:tcW w:w="1880" w:type="dxa"/>
            <w:tcBorders>
              <w:top w:val="single" w:sz="4" w:space="0" w:color="auto"/>
              <w:left w:val="nil"/>
              <w:bottom w:val="single" w:sz="4" w:space="0" w:color="auto"/>
              <w:right w:val="single" w:sz="4" w:space="0" w:color="auto"/>
            </w:tcBorders>
            <w:noWrap/>
            <w:vAlign w:val="bottom"/>
            <w:hideMark/>
          </w:tcPr>
          <w:p w14:paraId="73CD63D5" w14:textId="50813AA8" w:rsidR="001730CD" w:rsidRPr="001730CD" w:rsidRDefault="001730CD" w:rsidP="00FE2F0E">
            <w:pPr>
              <w:spacing w:after="0" w:line="360" w:lineRule="auto"/>
              <w:rPr>
                <w:rFonts w:ascii="Aptos Narrow" w:eastAsia="Times New Roman" w:hAnsi="Aptos Narrow" w:cs="Times New Roman"/>
                <w:b/>
                <w:bCs/>
                <w:color w:val="000000"/>
                <w:kern w:val="0"/>
                <w:lang w:eastAsia="en-GB"/>
                <w14:ligatures w14:val="none"/>
              </w:rPr>
            </w:pPr>
            <w:r w:rsidRPr="001730CD">
              <w:rPr>
                <w:rFonts w:ascii="Aptos Narrow" w:eastAsia="Times New Roman" w:hAnsi="Aptos Narrow" w:cs="Times New Roman"/>
                <w:b/>
                <w:bCs/>
                <w:color w:val="000000"/>
                <w:kern w:val="0"/>
                <w:lang w:eastAsia="en-GB"/>
                <w14:ligatures w14:val="none"/>
              </w:rPr>
              <w:t>Xpert Indeterminate</w:t>
            </w:r>
            <w:r w:rsidR="00C14324">
              <w:rPr>
                <w:rFonts w:ascii="Aptos Narrow" w:eastAsia="Times New Roman" w:hAnsi="Aptos Narrow" w:cs="Times New Roman"/>
                <w:b/>
                <w:bCs/>
                <w:color w:val="000000"/>
                <w:kern w:val="0"/>
                <w:lang w:eastAsia="en-GB"/>
                <w14:ligatures w14:val="none"/>
              </w:rPr>
              <w:t xml:space="preserve"> </w:t>
            </w:r>
            <w:r w:rsidR="00C14324">
              <w:rPr>
                <w:rFonts w:ascii="Calibri" w:eastAsia="Times New Roman" w:hAnsi="Calibri" w:cs="Calibri"/>
                <w:b/>
                <w:bCs/>
                <w:color w:val="000000"/>
                <w:kern w:val="0"/>
                <w:lang w:eastAsia="en-GB"/>
                <w14:ligatures w14:val="none"/>
              </w:rPr>
              <w:t xml:space="preserve">n </w:t>
            </w:r>
            <w:r w:rsidR="00C14324" w:rsidRPr="001730CD">
              <w:rPr>
                <w:rFonts w:ascii="Calibri" w:eastAsia="Times New Roman" w:hAnsi="Calibri" w:cs="Calibri"/>
                <w:b/>
                <w:bCs/>
                <w:color w:val="000000"/>
                <w:kern w:val="0"/>
                <w:lang w:eastAsia="en-GB"/>
                <w14:ligatures w14:val="none"/>
              </w:rPr>
              <w:t>(</w:t>
            </w:r>
            <w:r w:rsidR="00C14324">
              <w:rPr>
                <w:rFonts w:ascii="Calibri" w:eastAsia="Times New Roman" w:hAnsi="Calibri" w:cs="Calibri"/>
                <w:b/>
                <w:bCs/>
                <w:color w:val="000000"/>
                <w:kern w:val="0"/>
                <w:lang w:eastAsia="en-GB"/>
                <w14:ligatures w14:val="none"/>
              </w:rPr>
              <w:t>%</w:t>
            </w:r>
            <w:r w:rsidR="00C14324" w:rsidRPr="001730CD">
              <w:rPr>
                <w:rFonts w:ascii="Calibri" w:eastAsia="Times New Roman" w:hAnsi="Calibri" w:cs="Calibri"/>
                <w:b/>
                <w:bCs/>
                <w:color w:val="000000"/>
                <w:kern w:val="0"/>
                <w:lang w:eastAsia="en-GB"/>
                <w14:ligatures w14:val="none"/>
              </w:rPr>
              <w:t>)</w:t>
            </w:r>
          </w:p>
        </w:tc>
      </w:tr>
      <w:tr w:rsidR="001730CD" w:rsidRPr="001730CD" w14:paraId="755EF8FF" w14:textId="77777777" w:rsidTr="00C14324">
        <w:trPr>
          <w:trHeight w:val="290"/>
        </w:trPr>
        <w:tc>
          <w:tcPr>
            <w:tcW w:w="2122" w:type="dxa"/>
            <w:tcBorders>
              <w:top w:val="nil"/>
              <w:left w:val="single" w:sz="4" w:space="0" w:color="auto"/>
              <w:bottom w:val="nil"/>
              <w:right w:val="nil"/>
            </w:tcBorders>
            <w:noWrap/>
            <w:vAlign w:val="bottom"/>
            <w:hideMark/>
          </w:tcPr>
          <w:p w14:paraId="107C8235" w14:textId="77777777" w:rsidR="001730CD" w:rsidRPr="001730CD" w:rsidRDefault="001730CD" w:rsidP="00FE2F0E">
            <w:pPr>
              <w:spacing w:after="0" w:line="360" w:lineRule="auto"/>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kern w:val="0"/>
                <w:lang w:eastAsia="en-GB"/>
                <w14:ligatures w14:val="none"/>
              </w:rPr>
              <w:t>Yes</w:t>
            </w:r>
          </w:p>
        </w:tc>
        <w:tc>
          <w:tcPr>
            <w:tcW w:w="1701" w:type="dxa"/>
            <w:tcBorders>
              <w:top w:val="nil"/>
              <w:left w:val="nil"/>
              <w:bottom w:val="nil"/>
              <w:right w:val="nil"/>
            </w:tcBorders>
            <w:noWrap/>
            <w:vAlign w:val="bottom"/>
            <w:hideMark/>
          </w:tcPr>
          <w:p w14:paraId="139BE2B4" w14:textId="2782D5DE" w:rsidR="001730CD" w:rsidRPr="001730CD" w:rsidRDefault="001730CD" w:rsidP="00FE2F0E">
            <w:pPr>
              <w:spacing w:after="0" w:line="360" w:lineRule="auto"/>
              <w:jc w:val="right"/>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color w:val="000000"/>
                <w:kern w:val="0"/>
                <w:lang w:eastAsia="en-GB"/>
                <w14:ligatures w14:val="none"/>
              </w:rPr>
              <w:t>175</w:t>
            </w:r>
            <w:r w:rsidR="00ED107F">
              <w:rPr>
                <w:rFonts w:ascii="Aptos Narrow" w:eastAsia="Times New Roman" w:hAnsi="Aptos Narrow" w:cs="Times New Roman"/>
                <w:color w:val="000000"/>
                <w:kern w:val="0"/>
                <w:lang w:eastAsia="en-GB"/>
                <w14:ligatures w14:val="none"/>
              </w:rPr>
              <w:t>(42.6)</w:t>
            </w:r>
          </w:p>
        </w:tc>
        <w:tc>
          <w:tcPr>
            <w:tcW w:w="2126" w:type="dxa"/>
            <w:tcBorders>
              <w:top w:val="nil"/>
              <w:left w:val="nil"/>
              <w:bottom w:val="nil"/>
              <w:right w:val="nil"/>
            </w:tcBorders>
            <w:noWrap/>
            <w:vAlign w:val="bottom"/>
            <w:hideMark/>
          </w:tcPr>
          <w:p w14:paraId="5E54D6C0" w14:textId="7AE263CE" w:rsidR="001730CD" w:rsidRPr="001730CD" w:rsidRDefault="001730CD" w:rsidP="00FE2F0E">
            <w:pPr>
              <w:spacing w:after="0" w:line="360" w:lineRule="auto"/>
              <w:jc w:val="right"/>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color w:val="000000"/>
                <w:kern w:val="0"/>
                <w:lang w:eastAsia="en-GB"/>
                <w14:ligatures w14:val="none"/>
              </w:rPr>
              <w:t>126</w:t>
            </w:r>
            <w:r w:rsidR="00BE4D3D">
              <w:rPr>
                <w:rFonts w:ascii="Aptos Narrow" w:eastAsia="Times New Roman" w:hAnsi="Aptos Narrow" w:cs="Times New Roman"/>
                <w:color w:val="000000"/>
                <w:kern w:val="0"/>
                <w:lang w:eastAsia="en-GB"/>
                <w14:ligatures w14:val="none"/>
              </w:rPr>
              <w:t>(72.0)</w:t>
            </w:r>
          </w:p>
        </w:tc>
        <w:tc>
          <w:tcPr>
            <w:tcW w:w="1984" w:type="dxa"/>
            <w:tcBorders>
              <w:top w:val="nil"/>
              <w:left w:val="nil"/>
              <w:bottom w:val="nil"/>
              <w:right w:val="nil"/>
            </w:tcBorders>
            <w:noWrap/>
            <w:vAlign w:val="bottom"/>
            <w:hideMark/>
          </w:tcPr>
          <w:p w14:paraId="77BF68E6" w14:textId="345ACA48" w:rsidR="001730CD" w:rsidRPr="001730CD" w:rsidRDefault="001730CD" w:rsidP="00FE2F0E">
            <w:pPr>
              <w:spacing w:after="0" w:line="360" w:lineRule="auto"/>
              <w:jc w:val="right"/>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color w:val="000000"/>
                <w:kern w:val="0"/>
                <w:lang w:eastAsia="en-GB"/>
                <w14:ligatures w14:val="none"/>
              </w:rPr>
              <w:t>49</w:t>
            </w:r>
            <w:r w:rsidR="006D033A">
              <w:rPr>
                <w:rFonts w:ascii="Aptos Narrow" w:eastAsia="Times New Roman" w:hAnsi="Aptos Narrow" w:cs="Times New Roman"/>
                <w:color w:val="000000"/>
                <w:kern w:val="0"/>
                <w:lang w:eastAsia="en-GB"/>
                <w14:ligatures w14:val="none"/>
              </w:rPr>
              <w:t>(28.0)</w:t>
            </w:r>
          </w:p>
        </w:tc>
        <w:tc>
          <w:tcPr>
            <w:tcW w:w="1880" w:type="dxa"/>
            <w:tcBorders>
              <w:top w:val="nil"/>
              <w:left w:val="nil"/>
              <w:bottom w:val="nil"/>
              <w:right w:val="single" w:sz="4" w:space="0" w:color="auto"/>
            </w:tcBorders>
            <w:noWrap/>
            <w:vAlign w:val="bottom"/>
            <w:hideMark/>
          </w:tcPr>
          <w:p w14:paraId="05284801" w14:textId="1240A750" w:rsidR="001730CD" w:rsidRPr="001730CD" w:rsidRDefault="001730CD" w:rsidP="00FE2F0E">
            <w:pPr>
              <w:spacing w:after="0" w:line="360" w:lineRule="auto"/>
              <w:jc w:val="right"/>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color w:val="000000"/>
                <w:kern w:val="0"/>
                <w:lang w:eastAsia="en-GB"/>
                <w14:ligatures w14:val="none"/>
              </w:rPr>
              <w:t>0</w:t>
            </w:r>
            <w:r w:rsidR="005B357E">
              <w:rPr>
                <w:rFonts w:ascii="Aptos Narrow" w:eastAsia="Times New Roman" w:hAnsi="Aptos Narrow" w:cs="Times New Roman"/>
                <w:color w:val="000000"/>
                <w:kern w:val="0"/>
                <w:lang w:eastAsia="en-GB"/>
                <w14:ligatures w14:val="none"/>
              </w:rPr>
              <w:t>(0.0</w:t>
            </w:r>
            <w:r w:rsidR="002961ED">
              <w:rPr>
                <w:rFonts w:ascii="Aptos Narrow" w:eastAsia="Times New Roman" w:hAnsi="Aptos Narrow" w:cs="Times New Roman"/>
                <w:color w:val="000000"/>
                <w:kern w:val="0"/>
                <w:lang w:eastAsia="en-GB"/>
                <w14:ligatures w14:val="none"/>
              </w:rPr>
              <w:t>)</w:t>
            </w:r>
          </w:p>
        </w:tc>
      </w:tr>
      <w:tr w:rsidR="001730CD" w:rsidRPr="001730CD" w14:paraId="60BE33F6" w14:textId="77777777" w:rsidTr="00C14324">
        <w:trPr>
          <w:trHeight w:val="290"/>
        </w:trPr>
        <w:tc>
          <w:tcPr>
            <w:tcW w:w="2122" w:type="dxa"/>
            <w:tcBorders>
              <w:top w:val="nil"/>
              <w:left w:val="single" w:sz="4" w:space="0" w:color="auto"/>
              <w:bottom w:val="nil"/>
              <w:right w:val="nil"/>
            </w:tcBorders>
            <w:noWrap/>
            <w:vAlign w:val="bottom"/>
            <w:hideMark/>
          </w:tcPr>
          <w:p w14:paraId="57833609" w14:textId="77777777" w:rsidR="001730CD" w:rsidRPr="001730CD" w:rsidRDefault="001730CD" w:rsidP="00FE2F0E">
            <w:pPr>
              <w:spacing w:after="0" w:line="360" w:lineRule="auto"/>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color w:val="000000"/>
                <w:kern w:val="0"/>
                <w:lang w:eastAsia="en-GB"/>
                <w14:ligatures w14:val="none"/>
              </w:rPr>
              <w:t>No</w:t>
            </w:r>
          </w:p>
        </w:tc>
        <w:tc>
          <w:tcPr>
            <w:tcW w:w="1701" w:type="dxa"/>
            <w:tcBorders>
              <w:top w:val="nil"/>
              <w:left w:val="nil"/>
              <w:bottom w:val="nil"/>
              <w:right w:val="nil"/>
            </w:tcBorders>
            <w:noWrap/>
            <w:vAlign w:val="bottom"/>
            <w:hideMark/>
          </w:tcPr>
          <w:p w14:paraId="5FBCEA95" w14:textId="69C4EE4D" w:rsidR="001730CD" w:rsidRPr="001730CD" w:rsidRDefault="001730CD" w:rsidP="00FE2F0E">
            <w:pPr>
              <w:spacing w:after="0" w:line="360" w:lineRule="auto"/>
              <w:jc w:val="right"/>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color w:val="000000"/>
                <w:kern w:val="0"/>
                <w:lang w:eastAsia="en-GB"/>
                <w14:ligatures w14:val="none"/>
              </w:rPr>
              <w:t>71</w:t>
            </w:r>
            <w:r w:rsidR="00ED107F">
              <w:rPr>
                <w:rFonts w:ascii="Aptos Narrow" w:eastAsia="Times New Roman" w:hAnsi="Aptos Narrow" w:cs="Times New Roman"/>
                <w:color w:val="000000"/>
                <w:kern w:val="0"/>
                <w:lang w:eastAsia="en-GB"/>
                <w14:ligatures w14:val="none"/>
              </w:rPr>
              <w:t>(17.3)</w:t>
            </w:r>
          </w:p>
        </w:tc>
        <w:tc>
          <w:tcPr>
            <w:tcW w:w="2126" w:type="dxa"/>
            <w:tcBorders>
              <w:top w:val="nil"/>
              <w:left w:val="nil"/>
              <w:bottom w:val="nil"/>
              <w:right w:val="nil"/>
            </w:tcBorders>
            <w:noWrap/>
            <w:vAlign w:val="bottom"/>
            <w:hideMark/>
          </w:tcPr>
          <w:p w14:paraId="6D8044DF" w14:textId="13D285D7" w:rsidR="001730CD" w:rsidRPr="001730CD" w:rsidRDefault="001730CD" w:rsidP="00FE2F0E">
            <w:pPr>
              <w:spacing w:after="0" w:line="360" w:lineRule="auto"/>
              <w:jc w:val="right"/>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color w:val="000000"/>
                <w:kern w:val="0"/>
                <w:lang w:eastAsia="en-GB"/>
                <w14:ligatures w14:val="none"/>
              </w:rPr>
              <w:t>50</w:t>
            </w:r>
            <w:r w:rsidR="00BE4D3D">
              <w:rPr>
                <w:rFonts w:ascii="Aptos Narrow" w:eastAsia="Times New Roman" w:hAnsi="Aptos Narrow" w:cs="Times New Roman"/>
                <w:color w:val="000000"/>
                <w:kern w:val="0"/>
                <w:lang w:eastAsia="en-GB"/>
                <w14:ligatures w14:val="none"/>
              </w:rPr>
              <w:t>(70.4)</w:t>
            </w:r>
          </w:p>
        </w:tc>
        <w:tc>
          <w:tcPr>
            <w:tcW w:w="1984" w:type="dxa"/>
            <w:tcBorders>
              <w:top w:val="nil"/>
              <w:left w:val="nil"/>
              <w:bottom w:val="nil"/>
              <w:right w:val="nil"/>
            </w:tcBorders>
            <w:noWrap/>
            <w:vAlign w:val="bottom"/>
            <w:hideMark/>
          </w:tcPr>
          <w:p w14:paraId="6CDF0AAE" w14:textId="5A5DCBC6" w:rsidR="001730CD" w:rsidRPr="001730CD" w:rsidRDefault="001730CD" w:rsidP="00FE2F0E">
            <w:pPr>
              <w:spacing w:after="0" w:line="360" w:lineRule="auto"/>
              <w:jc w:val="right"/>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color w:val="000000"/>
                <w:kern w:val="0"/>
                <w:lang w:eastAsia="en-GB"/>
                <w14:ligatures w14:val="none"/>
              </w:rPr>
              <w:t>21</w:t>
            </w:r>
            <w:r w:rsidR="006D033A">
              <w:rPr>
                <w:rFonts w:ascii="Aptos Narrow" w:eastAsia="Times New Roman" w:hAnsi="Aptos Narrow" w:cs="Times New Roman"/>
                <w:color w:val="000000"/>
                <w:kern w:val="0"/>
                <w:lang w:eastAsia="en-GB"/>
                <w14:ligatures w14:val="none"/>
              </w:rPr>
              <w:t>(29.6)</w:t>
            </w:r>
          </w:p>
        </w:tc>
        <w:tc>
          <w:tcPr>
            <w:tcW w:w="1880" w:type="dxa"/>
            <w:tcBorders>
              <w:top w:val="nil"/>
              <w:left w:val="nil"/>
              <w:bottom w:val="nil"/>
              <w:right w:val="single" w:sz="4" w:space="0" w:color="auto"/>
            </w:tcBorders>
            <w:noWrap/>
            <w:vAlign w:val="bottom"/>
            <w:hideMark/>
          </w:tcPr>
          <w:p w14:paraId="43A9B62A" w14:textId="70E45708" w:rsidR="001730CD" w:rsidRPr="001730CD" w:rsidRDefault="001730CD" w:rsidP="00FE2F0E">
            <w:pPr>
              <w:spacing w:after="0" w:line="360" w:lineRule="auto"/>
              <w:jc w:val="right"/>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color w:val="000000"/>
                <w:kern w:val="0"/>
                <w:lang w:eastAsia="en-GB"/>
                <w14:ligatures w14:val="none"/>
              </w:rPr>
              <w:t>0</w:t>
            </w:r>
            <w:r w:rsidR="002961ED">
              <w:rPr>
                <w:rFonts w:ascii="Aptos Narrow" w:eastAsia="Times New Roman" w:hAnsi="Aptos Narrow" w:cs="Times New Roman"/>
                <w:color w:val="000000"/>
                <w:kern w:val="0"/>
                <w:lang w:eastAsia="en-GB"/>
                <w14:ligatures w14:val="none"/>
              </w:rPr>
              <w:t>(0.0)</w:t>
            </w:r>
          </w:p>
        </w:tc>
      </w:tr>
      <w:tr w:rsidR="001730CD" w:rsidRPr="001730CD" w14:paraId="61D596B0" w14:textId="77777777" w:rsidTr="00C14324">
        <w:trPr>
          <w:trHeight w:val="290"/>
        </w:trPr>
        <w:tc>
          <w:tcPr>
            <w:tcW w:w="2122" w:type="dxa"/>
            <w:tcBorders>
              <w:top w:val="nil"/>
              <w:left w:val="single" w:sz="4" w:space="0" w:color="auto"/>
              <w:bottom w:val="nil"/>
              <w:right w:val="nil"/>
            </w:tcBorders>
            <w:noWrap/>
            <w:vAlign w:val="bottom"/>
            <w:hideMark/>
          </w:tcPr>
          <w:p w14:paraId="7BDC41E0" w14:textId="77777777" w:rsidR="001730CD" w:rsidRPr="001730CD" w:rsidRDefault="001730CD" w:rsidP="00FE2F0E">
            <w:pPr>
              <w:spacing w:after="0" w:line="360" w:lineRule="auto"/>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color w:val="000000"/>
                <w:kern w:val="0"/>
                <w:lang w:eastAsia="en-GB"/>
                <w14:ligatures w14:val="none"/>
              </w:rPr>
              <w:t>Unsure</w:t>
            </w:r>
          </w:p>
        </w:tc>
        <w:tc>
          <w:tcPr>
            <w:tcW w:w="1701" w:type="dxa"/>
            <w:tcBorders>
              <w:top w:val="nil"/>
              <w:left w:val="nil"/>
              <w:bottom w:val="nil"/>
              <w:right w:val="nil"/>
            </w:tcBorders>
            <w:noWrap/>
            <w:vAlign w:val="bottom"/>
            <w:hideMark/>
          </w:tcPr>
          <w:p w14:paraId="4BD82297" w14:textId="1971F77C" w:rsidR="001730CD" w:rsidRPr="001730CD" w:rsidRDefault="001730CD" w:rsidP="00FE2F0E">
            <w:pPr>
              <w:spacing w:after="0" w:line="360" w:lineRule="auto"/>
              <w:jc w:val="right"/>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color w:val="000000"/>
                <w:kern w:val="0"/>
                <w:lang w:eastAsia="en-GB"/>
                <w14:ligatures w14:val="none"/>
              </w:rPr>
              <w:t>165</w:t>
            </w:r>
            <w:r w:rsidR="00A86D0B">
              <w:rPr>
                <w:rFonts w:ascii="Aptos Narrow" w:eastAsia="Times New Roman" w:hAnsi="Aptos Narrow" w:cs="Times New Roman"/>
                <w:color w:val="000000"/>
                <w:kern w:val="0"/>
                <w:lang w:eastAsia="en-GB"/>
                <w14:ligatures w14:val="none"/>
              </w:rPr>
              <w:t>(</w:t>
            </w:r>
            <w:r w:rsidR="00BE4D3D">
              <w:rPr>
                <w:rFonts w:ascii="Aptos Narrow" w:eastAsia="Times New Roman" w:hAnsi="Aptos Narrow" w:cs="Times New Roman"/>
                <w:color w:val="000000"/>
                <w:kern w:val="0"/>
                <w:lang w:eastAsia="en-GB"/>
                <w14:ligatures w14:val="none"/>
              </w:rPr>
              <w:t>40.1)</w:t>
            </w:r>
          </w:p>
        </w:tc>
        <w:tc>
          <w:tcPr>
            <w:tcW w:w="2126" w:type="dxa"/>
            <w:tcBorders>
              <w:top w:val="nil"/>
              <w:left w:val="nil"/>
              <w:bottom w:val="nil"/>
              <w:right w:val="nil"/>
            </w:tcBorders>
            <w:noWrap/>
            <w:vAlign w:val="bottom"/>
            <w:hideMark/>
          </w:tcPr>
          <w:p w14:paraId="3DB3CA34" w14:textId="240FB00B" w:rsidR="001730CD" w:rsidRPr="001730CD" w:rsidRDefault="001730CD" w:rsidP="00FE2F0E">
            <w:pPr>
              <w:spacing w:after="0" w:line="360" w:lineRule="auto"/>
              <w:jc w:val="right"/>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color w:val="000000"/>
                <w:kern w:val="0"/>
                <w:lang w:eastAsia="en-GB"/>
                <w14:ligatures w14:val="none"/>
              </w:rPr>
              <w:t>130</w:t>
            </w:r>
            <w:r w:rsidR="00BE4D3D">
              <w:rPr>
                <w:rFonts w:ascii="Aptos Narrow" w:eastAsia="Times New Roman" w:hAnsi="Aptos Narrow" w:cs="Times New Roman"/>
                <w:color w:val="000000"/>
                <w:kern w:val="0"/>
                <w:lang w:eastAsia="en-GB"/>
                <w14:ligatures w14:val="none"/>
              </w:rPr>
              <w:t>(78.8)</w:t>
            </w:r>
          </w:p>
        </w:tc>
        <w:tc>
          <w:tcPr>
            <w:tcW w:w="1984" w:type="dxa"/>
            <w:tcBorders>
              <w:top w:val="nil"/>
              <w:left w:val="nil"/>
              <w:bottom w:val="nil"/>
              <w:right w:val="nil"/>
            </w:tcBorders>
            <w:noWrap/>
            <w:vAlign w:val="bottom"/>
            <w:hideMark/>
          </w:tcPr>
          <w:p w14:paraId="35611471" w14:textId="7C1155BA" w:rsidR="001730CD" w:rsidRPr="001730CD" w:rsidRDefault="001730CD" w:rsidP="00FE2F0E">
            <w:pPr>
              <w:spacing w:after="0" w:line="360" w:lineRule="auto"/>
              <w:jc w:val="right"/>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color w:val="000000"/>
                <w:kern w:val="0"/>
                <w:lang w:eastAsia="en-GB"/>
                <w14:ligatures w14:val="none"/>
              </w:rPr>
              <w:t>34</w:t>
            </w:r>
            <w:r w:rsidR="006D033A">
              <w:rPr>
                <w:rFonts w:ascii="Aptos Narrow" w:eastAsia="Times New Roman" w:hAnsi="Aptos Narrow" w:cs="Times New Roman"/>
                <w:color w:val="000000"/>
                <w:kern w:val="0"/>
                <w:lang w:eastAsia="en-GB"/>
                <w14:ligatures w14:val="none"/>
              </w:rPr>
              <w:t>(</w:t>
            </w:r>
            <w:r w:rsidR="002B39B6">
              <w:rPr>
                <w:rFonts w:ascii="Aptos Narrow" w:eastAsia="Times New Roman" w:hAnsi="Aptos Narrow" w:cs="Times New Roman"/>
                <w:color w:val="000000"/>
                <w:kern w:val="0"/>
                <w:lang w:eastAsia="en-GB"/>
                <w14:ligatures w14:val="none"/>
              </w:rPr>
              <w:t>20.6)</w:t>
            </w:r>
          </w:p>
        </w:tc>
        <w:tc>
          <w:tcPr>
            <w:tcW w:w="1880" w:type="dxa"/>
            <w:tcBorders>
              <w:top w:val="nil"/>
              <w:left w:val="nil"/>
              <w:bottom w:val="nil"/>
              <w:right w:val="single" w:sz="4" w:space="0" w:color="auto"/>
            </w:tcBorders>
            <w:noWrap/>
            <w:vAlign w:val="bottom"/>
            <w:hideMark/>
          </w:tcPr>
          <w:p w14:paraId="685A0DF0" w14:textId="00556172" w:rsidR="001730CD" w:rsidRPr="001730CD" w:rsidRDefault="001730CD" w:rsidP="00FE2F0E">
            <w:pPr>
              <w:spacing w:after="0" w:line="360" w:lineRule="auto"/>
              <w:jc w:val="right"/>
              <w:rPr>
                <w:rFonts w:ascii="Aptos Narrow" w:eastAsia="Times New Roman" w:hAnsi="Aptos Narrow" w:cs="Times New Roman"/>
                <w:color w:val="000000"/>
                <w:kern w:val="0"/>
                <w:lang w:eastAsia="en-GB"/>
                <w14:ligatures w14:val="none"/>
              </w:rPr>
            </w:pPr>
            <w:r w:rsidRPr="001730CD">
              <w:rPr>
                <w:rFonts w:ascii="Aptos Narrow" w:eastAsia="Times New Roman" w:hAnsi="Aptos Narrow" w:cs="Times New Roman"/>
                <w:color w:val="000000"/>
                <w:kern w:val="0"/>
                <w:lang w:eastAsia="en-GB"/>
                <w14:ligatures w14:val="none"/>
              </w:rPr>
              <w:t>1</w:t>
            </w:r>
            <w:r w:rsidR="002961ED">
              <w:rPr>
                <w:rFonts w:ascii="Aptos Narrow" w:eastAsia="Times New Roman" w:hAnsi="Aptos Narrow" w:cs="Times New Roman"/>
                <w:color w:val="000000"/>
                <w:kern w:val="0"/>
                <w:lang w:eastAsia="en-GB"/>
                <w14:ligatures w14:val="none"/>
              </w:rPr>
              <w:t>(</w:t>
            </w:r>
            <w:r w:rsidR="00C14324">
              <w:rPr>
                <w:rFonts w:ascii="Aptos Narrow" w:eastAsia="Times New Roman" w:hAnsi="Aptos Narrow" w:cs="Times New Roman"/>
                <w:color w:val="000000"/>
                <w:kern w:val="0"/>
                <w:lang w:eastAsia="en-GB"/>
                <w14:ligatures w14:val="none"/>
              </w:rPr>
              <w:t>0.6)</w:t>
            </w:r>
          </w:p>
        </w:tc>
      </w:tr>
      <w:tr w:rsidR="001730CD" w:rsidRPr="001730CD" w14:paraId="44290D08" w14:textId="77777777" w:rsidTr="00C14324">
        <w:trPr>
          <w:trHeight w:val="290"/>
        </w:trPr>
        <w:tc>
          <w:tcPr>
            <w:tcW w:w="2122" w:type="dxa"/>
            <w:tcBorders>
              <w:top w:val="single" w:sz="4" w:space="0" w:color="auto"/>
              <w:left w:val="single" w:sz="4" w:space="0" w:color="auto"/>
              <w:bottom w:val="single" w:sz="4" w:space="0" w:color="auto"/>
              <w:right w:val="nil"/>
            </w:tcBorders>
            <w:noWrap/>
            <w:vAlign w:val="bottom"/>
            <w:hideMark/>
          </w:tcPr>
          <w:p w14:paraId="5A02CA5C" w14:textId="77777777" w:rsidR="001730CD" w:rsidRPr="001730CD" w:rsidRDefault="001730CD" w:rsidP="00FE2F0E">
            <w:pPr>
              <w:spacing w:after="0" w:line="360" w:lineRule="auto"/>
              <w:rPr>
                <w:rFonts w:ascii="Aptos Narrow" w:eastAsia="Times New Roman" w:hAnsi="Aptos Narrow" w:cs="Times New Roman"/>
                <w:b/>
                <w:bCs/>
                <w:color w:val="000000"/>
                <w:kern w:val="0"/>
                <w:lang w:eastAsia="en-GB"/>
                <w14:ligatures w14:val="none"/>
              </w:rPr>
            </w:pPr>
            <w:r w:rsidRPr="001730CD">
              <w:rPr>
                <w:rFonts w:ascii="Aptos Narrow" w:eastAsia="Times New Roman" w:hAnsi="Aptos Narrow" w:cs="Times New Roman"/>
                <w:b/>
                <w:bCs/>
                <w:kern w:val="0"/>
                <w:lang w:eastAsia="en-GB"/>
                <w14:ligatures w14:val="none"/>
              </w:rPr>
              <w:t>Total</w:t>
            </w:r>
          </w:p>
        </w:tc>
        <w:tc>
          <w:tcPr>
            <w:tcW w:w="1701" w:type="dxa"/>
            <w:tcBorders>
              <w:top w:val="single" w:sz="4" w:space="0" w:color="auto"/>
              <w:left w:val="nil"/>
              <w:bottom w:val="single" w:sz="4" w:space="0" w:color="auto"/>
              <w:right w:val="nil"/>
            </w:tcBorders>
            <w:noWrap/>
            <w:vAlign w:val="bottom"/>
            <w:hideMark/>
          </w:tcPr>
          <w:p w14:paraId="3819FEE5" w14:textId="5887EC02" w:rsidR="001730CD" w:rsidRPr="001730CD" w:rsidRDefault="001730CD" w:rsidP="00FE2F0E">
            <w:pPr>
              <w:spacing w:after="0" w:line="360" w:lineRule="auto"/>
              <w:jc w:val="right"/>
              <w:rPr>
                <w:rFonts w:ascii="Aptos Narrow" w:eastAsia="Times New Roman" w:hAnsi="Aptos Narrow" w:cs="Times New Roman"/>
                <w:b/>
                <w:bCs/>
                <w:color w:val="000000"/>
                <w:kern w:val="0"/>
                <w:lang w:eastAsia="en-GB"/>
                <w14:ligatures w14:val="none"/>
              </w:rPr>
            </w:pPr>
            <w:r w:rsidRPr="001730CD">
              <w:rPr>
                <w:rFonts w:ascii="Aptos Narrow" w:eastAsia="Times New Roman" w:hAnsi="Aptos Narrow" w:cs="Times New Roman"/>
                <w:b/>
                <w:bCs/>
                <w:color w:val="000000"/>
                <w:kern w:val="0"/>
                <w:lang w:eastAsia="en-GB"/>
                <w14:ligatures w14:val="none"/>
              </w:rPr>
              <w:t>411</w:t>
            </w:r>
            <w:r w:rsidR="006D033A">
              <w:rPr>
                <w:rFonts w:ascii="Aptos Narrow" w:eastAsia="Times New Roman" w:hAnsi="Aptos Narrow" w:cs="Times New Roman"/>
                <w:b/>
                <w:bCs/>
                <w:color w:val="000000"/>
                <w:kern w:val="0"/>
                <w:lang w:eastAsia="en-GB"/>
                <w14:ligatures w14:val="none"/>
              </w:rPr>
              <w:t>(100)</w:t>
            </w:r>
          </w:p>
        </w:tc>
        <w:tc>
          <w:tcPr>
            <w:tcW w:w="2126" w:type="dxa"/>
            <w:tcBorders>
              <w:top w:val="single" w:sz="4" w:space="0" w:color="auto"/>
              <w:left w:val="nil"/>
              <w:bottom w:val="single" w:sz="4" w:space="0" w:color="auto"/>
              <w:right w:val="nil"/>
            </w:tcBorders>
            <w:noWrap/>
            <w:vAlign w:val="bottom"/>
            <w:hideMark/>
          </w:tcPr>
          <w:p w14:paraId="58545801" w14:textId="23A54A80" w:rsidR="001730CD" w:rsidRPr="001730CD" w:rsidRDefault="001730CD" w:rsidP="00FE2F0E">
            <w:pPr>
              <w:spacing w:after="0" w:line="360" w:lineRule="auto"/>
              <w:jc w:val="right"/>
              <w:rPr>
                <w:rFonts w:ascii="Aptos Narrow" w:eastAsia="Times New Roman" w:hAnsi="Aptos Narrow" w:cs="Times New Roman"/>
                <w:b/>
                <w:bCs/>
                <w:color w:val="000000"/>
                <w:kern w:val="0"/>
                <w:lang w:eastAsia="en-GB"/>
                <w14:ligatures w14:val="none"/>
              </w:rPr>
            </w:pPr>
            <w:r w:rsidRPr="001730CD">
              <w:rPr>
                <w:rFonts w:ascii="Aptos Narrow" w:eastAsia="Times New Roman" w:hAnsi="Aptos Narrow" w:cs="Times New Roman"/>
                <w:b/>
                <w:bCs/>
                <w:color w:val="000000"/>
                <w:kern w:val="0"/>
                <w:lang w:eastAsia="en-GB"/>
                <w14:ligatures w14:val="none"/>
              </w:rPr>
              <w:t>306</w:t>
            </w:r>
            <w:r w:rsidR="00BE4D3D">
              <w:rPr>
                <w:rFonts w:ascii="Aptos Narrow" w:eastAsia="Times New Roman" w:hAnsi="Aptos Narrow" w:cs="Times New Roman"/>
                <w:b/>
                <w:bCs/>
                <w:color w:val="000000"/>
                <w:kern w:val="0"/>
                <w:lang w:eastAsia="en-GB"/>
                <w14:ligatures w14:val="none"/>
              </w:rPr>
              <w:t>(</w:t>
            </w:r>
            <w:r w:rsidR="006D033A">
              <w:rPr>
                <w:rFonts w:ascii="Aptos Narrow" w:eastAsia="Times New Roman" w:hAnsi="Aptos Narrow" w:cs="Times New Roman"/>
                <w:b/>
                <w:bCs/>
                <w:color w:val="000000"/>
                <w:kern w:val="0"/>
                <w:lang w:eastAsia="en-GB"/>
                <w14:ligatures w14:val="none"/>
              </w:rPr>
              <w:t>74.5)</w:t>
            </w:r>
          </w:p>
        </w:tc>
        <w:tc>
          <w:tcPr>
            <w:tcW w:w="1984" w:type="dxa"/>
            <w:tcBorders>
              <w:top w:val="single" w:sz="4" w:space="0" w:color="auto"/>
              <w:left w:val="nil"/>
              <w:bottom w:val="single" w:sz="4" w:space="0" w:color="auto"/>
              <w:right w:val="nil"/>
            </w:tcBorders>
            <w:noWrap/>
            <w:vAlign w:val="bottom"/>
            <w:hideMark/>
          </w:tcPr>
          <w:p w14:paraId="36C0FCC6" w14:textId="4925AEA9" w:rsidR="001730CD" w:rsidRPr="001730CD" w:rsidRDefault="001730CD" w:rsidP="00FE2F0E">
            <w:pPr>
              <w:spacing w:after="0" w:line="360" w:lineRule="auto"/>
              <w:jc w:val="right"/>
              <w:rPr>
                <w:rFonts w:ascii="Aptos Narrow" w:eastAsia="Times New Roman" w:hAnsi="Aptos Narrow" w:cs="Times New Roman"/>
                <w:b/>
                <w:bCs/>
                <w:color w:val="000000"/>
                <w:kern w:val="0"/>
                <w:lang w:eastAsia="en-GB"/>
                <w14:ligatures w14:val="none"/>
              </w:rPr>
            </w:pPr>
            <w:r w:rsidRPr="001730CD">
              <w:rPr>
                <w:rFonts w:ascii="Aptos Narrow" w:eastAsia="Times New Roman" w:hAnsi="Aptos Narrow" w:cs="Times New Roman"/>
                <w:b/>
                <w:bCs/>
                <w:color w:val="000000"/>
                <w:kern w:val="0"/>
                <w:lang w:eastAsia="en-GB"/>
                <w14:ligatures w14:val="none"/>
              </w:rPr>
              <w:t>104</w:t>
            </w:r>
            <w:r w:rsidR="002B39B6">
              <w:rPr>
                <w:rFonts w:ascii="Aptos Narrow" w:eastAsia="Times New Roman" w:hAnsi="Aptos Narrow" w:cs="Times New Roman"/>
                <w:b/>
                <w:bCs/>
                <w:color w:val="000000"/>
                <w:kern w:val="0"/>
                <w:lang w:eastAsia="en-GB"/>
                <w14:ligatures w14:val="none"/>
              </w:rPr>
              <w:t>(25.3)</w:t>
            </w:r>
          </w:p>
        </w:tc>
        <w:tc>
          <w:tcPr>
            <w:tcW w:w="1880" w:type="dxa"/>
            <w:tcBorders>
              <w:top w:val="single" w:sz="4" w:space="0" w:color="auto"/>
              <w:left w:val="nil"/>
              <w:bottom w:val="single" w:sz="4" w:space="0" w:color="auto"/>
              <w:right w:val="single" w:sz="4" w:space="0" w:color="auto"/>
            </w:tcBorders>
            <w:noWrap/>
            <w:vAlign w:val="bottom"/>
            <w:hideMark/>
          </w:tcPr>
          <w:p w14:paraId="24AE0CAD" w14:textId="5302CDED" w:rsidR="001730CD" w:rsidRPr="001730CD" w:rsidRDefault="001730CD" w:rsidP="00FE2F0E">
            <w:pPr>
              <w:spacing w:after="0" w:line="360" w:lineRule="auto"/>
              <w:jc w:val="right"/>
              <w:rPr>
                <w:rFonts w:ascii="Aptos Narrow" w:eastAsia="Times New Roman" w:hAnsi="Aptos Narrow" w:cs="Times New Roman"/>
                <w:b/>
                <w:bCs/>
                <w:color w:val="000000"/>
                <w:kern w:val="0"/>
                <w:lang w:eastAsia="en-GB"/>
                <w14:ligatures w14:val="none"/>
              </w:rPr>
            </w:pPr>
            <w:r w:rsidRPr="001730CD">
              <w:rPr>
                <w:rFonts w:ascii="Aptos Narrow" w:eastAsia="Times New Roman" w:hAnsi="Aptos Narrow" w:cs="Times New Roman"/>
                <w:b/>
                <w:bCs/>
                <w:color w:val="000000"/>
                <w:kern w:val="0"/>
                <w:lang w:eastAsia="en-GB"/>
                <w14:ligatures w14:val="none"/>
              </w:rPr>
              <w:t>1</w:t>
            </w:r>
            <w:r w:rsidR="00C14324">
              <w:rPr>
                <w:rFonts w:ascii="Aptos Narrow" w:eastAsia="Times New Roman" w:hAnsi="Aptos Narrow" w:cs="Times New Roman"/>
                <w:b/>
                <w:bCs/>
                <w:color w:val="000000"/>
                <w:kern w:val="0"/>
                <w:lang w:eastAsia="en-GB"/>
                <w14:ligatures w14:val="none"/>
              </w:rPr>
              <w:t>(0.2)</w:t>
            </w:r>
          </w:p>
        </w:tc>
      </w:tr>
    </w:tbl>
    <w:p w14:paraId="2845550E" w14:textId="7DEAF0DC" w:rsidR="000269BA" w:rsidRDefault="0069440D" w:rsidP="00FE2F0E">
      <w:pPr>
        <w:spacing w:line="360" w:lineRule="auto"/>
        <w:jc w:val="both"/>
        <w:rPr>
          <w:rFonts w:ascii="Times New Roman" w:hAnsi="Times New Roman" w:cs="Times New Roman"/>
          <w:b/>
          <w:bCs/>
          <w:sz w:val="24"/>
          <w:szCs w:val="24"/>
        </w:rPr>
      </w:pPr>
      <w:r w:rsidRPr="0069440D">
        <w:rPr>
          <w:rFonts w:ascii="Times New Roman" w:hAnsi="Times New Roman" w:cs="Times New Roman"/>
          <w:b/>
          <w:bCs/>
          <w:sz w:val="24"/>
          <w:szCs w:val="24"/>
        </w:rPr>
        <w:t>χ²</w:t>
      </w:r>
      <w:r w:rsidRPr="0069440D">
        <w:rPr>
          <w:rFonts w:ascii="Times New Roman" w:hAnsi="Times New Roman" w:cs="Times New Roman"/>
          <w:sz w:val="24"/>
          <w:szCs w:val="24"/>
        </w:rPr>
        <w:t xml:space="preserve"> = </w:t>
      </w:r>
      <w:r w:rsidRPr="0069440D">
        <w:rPr>
          <w:rFonts w:ascii="Times New Roman" w:hAnsi="Times New Roman" w:cs="Times New Roman"/>
          <w:b/>
          <w:bCs/>
          <w:sz w:val="24"/>
          <w:szCs w:val="24"/>
        </w:rPr>
        <w:t>4.66</w:t>
      </w:r>
      <w:r>
        <w:rPr>
          <w:rFonts w:ascii="Times New Roman" w:hAnsi="Times New Roman" w:cs="Times New Roman"/>
          <w:b/>
          <w:bCs/>
          <w:sz w:val="24"/>
          <w:szCs w:val="24"/>
        </w:rPr>
        <w:t xml:space="preserve">   </w:t>
      </w:r>
      <w:r>
        <w:rPr>
          <w:rFonts w:ascii="Times New Roman" w:hAnsi="Times New Roman" w:cs="Times New Roman"/>
          <w:sz w:val="24"/>
          <w:szCs w:val="24"/>
        </w:rPr>
        <w:t>P</w:t>
      </w:r>
      <w:r w:rsidRPr="0069440D">
        <w:rPr>
          <w:rFonts w:ascii="Times New Roman" w:hAnsi="Times New Roman" w:cs="Times New Roman"/>
          <w:b/>
          <w:bCs/>
          <w:sz w:val="24"/>
          <w:szCs w:val="24"/>
        </w:rPr>
        <w:t>-value</w:t>
      </w:r>
      <w:r w:rsidRPr="0069440D">
        <w:rPr>
          <w:rFonts w:ascii="Times New Roman" w:hAnsi="Times New Roman" w:cs="Times New Roman"/>
          <w:sz w:val="24"/>
          <w:szCs w:val="24"/>
        </w:rPr>
        <w:t xml:space="preserve"> = </w:t>
      </w:r>
      <w:r w:rsidRPr="0069440D">
        <w:rPr>
          <w:rFonts w:ascii="Times New Roman" w:hAnsi="Times New Roman" w:cs="Times New Roman"/>
          <w:b/>
          <w:bCs/>
          <w:sz w:val="24"/>
          <w:szCs w:val="24"/>
        </w:rPr>
        <w:t>0.324</w:t>
      </w:r>
    </w:p>
    <w:p w14:paraId="3D519B55" w14:textId="1B37019B" w:rsidR="002163EC" w:rsidRPr="002163EC" w:rsidRDefault="002163EC" w:rsidP="00FE2F0E">
      <w:pPr>
        <w:spacing w:line="360" w:lineRule="auto"/>
        <w:jc w:val="both"/>
        <w:rPr>
          <w:rFonts w:ascii="Times New Roman" w:hAnsi="Times New Roman" w:cs="Times New Roman"/>
          <w:b/>
          <w:bCs/>
          <w:sz w:val="24"/>
          <w:szCs w:val="24"/>
        </w:rPr>
      </w:pPr>
      <w:r w:rsidRPr="002163EC">
        <w:rPr>
          <w:rFonts w:ascii="Times New Roman" w:hAnsi="Times New Roman" w:cs="Times New Roman"/>
          <w:b/>
          <w:bCs/>
          <w:sz w:val="24"/>
          <w:szCs w:val="24"/>
        </w:rPr>
        <w:t>Discussion</w:t>
      </w:r>
    </w:p>
    <w:p w14:paraId="7EC0D0CF" w14:textId="53481D04" w:rsidR="002163EC" w:rsidRPr="002163EC" w:rsidRDefault="002163EC" w:rsidP="00FE2F0E">
      <w:p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t>This study demonstrated a tuberculosis prevalence of 25.3% among individuals evaluated using Xpert MTB, indicating a substantial disease burden. This prevalence is comparable to reports from multiple regions in Nigeria, including Enugu, Nasarawa, Bayelsa, Bauchi, Rivers, and Benue States, where similar proportions of bacteriologically confirmed TB have been reported [</w:t>
      </w:r>
      <w:r w:rsidR="00FF17AC">
        <w:rPr>
          <w:rFonts w:ascii="Times New Roman" w:hAnsi="Times New Roman" w:cs="Times New Roman"/>
          <w:sz w:val="24"/>
          <w:szCs w:val="24"/>
        </w:rPr>
        <w:t>8</w:t>
      </w:r>
      <w:r w:rsidRPr="002163EC">
        <w:rPr>
          <w:rFonts w:ascii="Times New Roman" w:hAnsi="Times New Roman" w:cs="Times New Roman"/>
          <w:sz w:val="24"/>
          <w:szCs w:val="24"/>
        </w:rPr>
        <w:t>–</w:t>
      </w:r>
      <w:r w:rsidR="00FF17AC">
        <w:rPr>
          <w:rFonts w:ascii="Times New Roman" w:hAnsi="Times New Roman" w:cs="Times New Roman"/>
          <w:sz w:val="24"/>
          <w:szCs w:val="24"/>
        </w:rPr>
        <w:t>10</w:t>
      </w:r>
      <w:r w:rsidRPr="002163EC">
        <w:rPr>
          <w:rFonts w:ascii="Times New Roman" w:hAnsi="Times New Roman" w:cs="Times New Roman"/>
          <w:sz w:val="24"/>
          <w:szCs w:val="24"/>
        </w:rPr>
        <w:t>,</w:t>
      </w:r>
      <w:r w:rsidR="00F51845">
        <w:rPr>
          <w:rFonts w:ascii="Times New Roman" w:hAnsi="Times New Roman" w:cs="Times New Roman"/>
          <w:sz w:val="24"/>
          <w:szCs w:val="24"/>
        </w:rPr>
        <w:t>1</w:t>
      </w:r>
      <w:r w:rsidR="00FF17AC">
        <w:rPr>
          <w:rFonts w:ascii="Times New Roman" w:hAnsi="Times New Roman" w:cs="Times New Roman"/>
          <w:sz w:val="24"/>
          <w:szCs w:val="24"/>
        </w:rPr>
        <w:t>4</w:t>
      </w:r>
      <w:r w:rsidRPr="002163EC">
        <w:rPr>
          <w:rFonts w:ascii="Times New Roman" w:hAnsi="Times New Roman" w:cs="Times New Roman"/>
          <w:sz w:val="24"/>
          <w:szCs w:val="24"/>
        </w:rPr>
        <w:t>–</w:t>
      </w:r>
      <w:r w:rsidR="00F51845">
        <w:rPr>
          <w:rFonts w:ascii="Times New Roman" w:hAnsi="Times New Roman" w:cs="Times New Roman"/>
          <w:sz w:val="24"/>
          <w:szCs w:val="24"/>
        </w:rPr>
        <w:t>1</w:t>
      </w:r>
      <w:r w:rsidR="00FF17AC">
        <w:rPr>
          <w:rFonts w:ascii="Times New Roman" w:hAnsi="Times New Roman" w:cs="Times New Roman"/>
          <w:sz w:val="24"/>
          <w:szCs w:val="24"/>
        </w:rPr>
        <w:t>6</w:t>
      </w:r>
      <w:r w:rsidRPr="002163EC">
        <w:rPr>
          <w:rFonts w:ascii="Times New Roman" w:hAnsi="Times New Roman" w:cs="Times New Roman"/>
          <w:sz w:val="24"/>
          <w:szCs w:val="24"/>
        </w:rPr>
        <w:t>]. These findings confirm the persistent and widespread transmission of TB across diverse geographical settings in the country.</w:t>
      </w:r>
    </w:p>
    <w:p w14:paraId="46179999" w14:textId="60CB7100" w:rsidR="002163EC" w:rsidRPr="002163EC" w:rsidRDefault="002163EC" w:rsidP="00FE2F0E">
      <w:p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t>The observed prevalence also aligns with reports from studies among high-risk populations, particularly people living with HIV, where TB prevalence remains high [</w:t>
      </w:r>
      <w:r w:rsidR="00FF17AC">
        <w:rPr>
          <w:rFonts w:ascii="Times New Roman" w:hAnsi="Times New Roman" w:cs="Times New Roman"/>
          <w:sz w:val="24"/>
          <w:szCs w:val="24"/>
        </w:rPr>
        <w:t>11</w:t>
      </w:r>
      <w:r w:rsidRPr="002163EC">
        <w:rPr>
          <w:rFonts w:ascii="Times New Roman" w:hAnsi="Times New Roman" w:cs="Times New Roman"/>
          <w:sz w:val="24"/>
          <w:szCs w:val="24"/>
        </w:rPr>
        <w:t>,1</w:t>
      </w:r>
      <w:r w:rsidR="00FF17AC">
        <w:rPr>
          <w:rFonts w:ascii="Times New Roman" w:hAnsi="Times New Roman" w:cs="Times New Roman"/>
          <w:sz w:val="24"/>
          <w:szCs w:val="24"/>
        </w:rPr>
        <w:t>7</w:t>
      </w:r>
      <w:r w:rsidRPr="002163EC">
        <w:rPr>
          <w:rFonts w:ascii="Times New Roman" w:hAnsi="Times New Roman" w:cs="Times New Roman"/>
          <w:sz w:val="24"/>
          <w:szCs w:val="24"/>
        </w:rPr>
        <w:t>,</w:t>
      </w:r>
      <w:r w:rsidR="00FF17AC">
        <w:rPr>
          <w:rFonts w:ascii="Times New Roman" w:hAnsi="Times New Roman" w:cs="Times New Roman"/>
          <w:sz w:val="24"/>
          <w:szCs w:val="24"/>
        </w:rPr>
        <w:t>20</w:t>
      </w:r>
      <w:r w:rsidRPr="002163EC">
        <w:rPr>
          <w:rFonts w:ascii="Times New Roman" w:hAnsi="Times New Roman" w:cs="Times New Roman"/>
          <w:sz w:val="24"/>
          <w:szCs w:val="24"/>
        </w:rPr>
        <w:t>,</w:t>
      </w:r>
      <w:r w:rsidR="001759AB">
        <w:rPr>
          <w:rFonts w:ascii="Times New Roman" w:hAnsi="Times New Roman" w:cs="Times New Roman"/>
          <w:sz w:val="24"/>
          <w:szCs w:val="24"/>
        </w:rPr>
        <w:t>2</w:t>
      </w:r>
      <w:r w:rsidR="00FF17AC">
        <w:rPr>
          <w:rFonts w:ascii="Times New Roman" w:hAnsi="Times New Roman" w:cs="Times New Roman"/>
          <w:sz w:val="24"/>
          <w:szCs w:val="24"/>
        </w:rPr>
        <w:t>3</w:t>
      </w:r>
      <w:r w:rsidRPr="002163EC">
        <w:rPr>
          <w:rFonts w:ascii="Times New Roman" w:hAnsi="Times New Roman" w:cs="Times New Roman"/>
          <w:sz w:val="24"/>
          <w:szCs w:val="24"/>
        </w:rPr>
        <w:t>,</w:t>
      </w:r>
      <w:r w:rsidR="004607B1">
        <w:rPr>
          <w:rFonts w:ascii="Times New Roman" w:hAnsi="Times New Roman" w:cs="Times New Roman"/>
          <w:sz w:val="24"/>
          <w:szCs w:val="24"/>
        </w:rPr>
        <w:t>2</w:t>
      </w:r>
      <w:r w:rsidR="00FF17AC">
        <w:rPr>
          <w:rFonts w:ascii="Times New Roman" w:hAnsi="Times New Roman" w:cs="Times New Roman"/>
          <w:sz w:val="24"/>
          <w:szCs w:val="24"/>
        </w:rPr>
        <w:t>5</w:t>
      </w:r>
      <w:r w:rsidRPr="002163EC">
        <w:rPr>
          <w:rFonts w:ascii="Times New Roman" w:hAnsi="Times New Roman" w:cs="Times New Roman"/>
          <w:sz w:val="24"/>
          <w:szCs w:val="24"/>
        </w:rPr>
        <w:t>]. Although the present study was not restricted to HIV-infected individuals, the similarity in prevalence underscores the endemic nature of tuberculosis in Nigeria. The very low proportion of indeterminate Xpert results further reflects acceptable specimen quality and diagnostic performance, consistent with prior reports [</w:t>
      </w:r>
      <w:r w:rsidR="00FF17AC">
        <w:rPr>
          <w:rFonts w:ascii="Times New Roman" w:hAnsi="Times New Roman" w:cs="Times New Roman"/>
          <w:sz w:val="24"/>
          <w:szCs w:val="24"/>
        </w:rPr>
        <w:t>21</w:t>
      </w:r>
      <w:r w:rsidRPr="002163EC">
        <w:rPr>
          <w:rFonts w:ascii="Times New Roman" w:hAnsi="Times New Roman" w:cs="Times New Roman"/>
          <w:sz w:val="24"/>
          <w:szCs w:val="24"/>
        </w:rPr>
        <w:t>].</w:t>
      </w:r>
    </w:p>
    <w:p w14:paraId="126C5AED" w14:textId="1C24211B" w:rsidR="002163EC" w:rsidRPr="002163EC" w:rsidRDefault="002163EC" w:rsidP="00FE2F0E">
      <w:p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t>Age distribution showed that TB cases were more frequent among young and middle-aged adults; however, age was not statistically associated with TB positivity. This finding aligns with previous Nigerian studies reporting no independent association between age and bacteriologically confirmed TB after statistical adjustment [</w:t>
      </w:r>
      <w:r w:rsidR="00FF17AC">
        <w:rPr>
          <w:rFonts w:ascii="Times New Roman" w:hAnsi="Times New Roman" w:cs="Times New Roman"/>
          <w:sz w:val="24"/>
          <w:szCs w:val="24"/>
        </w:rPr>
        <w:t>9</w:t>
      </w:r>
      <w:r w:rsidRPr="002163EC">
        <w:rPr>
          <w:rFonts w:ascii="Times New Roman" w:hAnsi="Times New Roman" w:cs="Times New Roman"/>
          <w:sz w:val="24"/>
          <w:szCs w:val="24"/>
        </w:rPr>
        <w:t>,</w:t>
      </w:r>
      <w:r w:rsidR="006D3795">
        <w:rPr>
          <w:rFonts w:ascii="Times New Roman" w:hAnsi="Times New Roman" w:cs="Times New Roman"/>
          <w:sz w:val="24"/>
          <w:szCs w:val="24"/>
        </w:rPr>
        <w:t>22</w:t>
      </w:r>
      <w:r w:rsidRPr="002163EC">
        <w:rPr>
          <w:rFonts w:ascii="Times New Roman" w:hAnsi="Times New Roman" w:cs="Times New Roman"/>
          <w:sz w:val="24"/>
          <w:szCs w:val="24"/>
        </w:rPr>
        <w:t>]. High community transmission, combined with similar exposure risks across age groups, may explain the absence of significant age-related differences. Additionally, smaller sample sizes in older age categories may limit the detection of statistical associations.</w:t>
      </w:r>
    </w:p>
    <w:p w14:paraId="61E8EF7E" w14:textId="040D0A23" w:rsidR="002163EC" w:rsidRPr="002163EC" w:rsidRDefault="002163EC" w:rsidP="00FE2F0E">
      <w:p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t>Gender was also not significantly associated with TB positivity. While global surveillance data often indicate a male predominance in TB burden, several Nigerian facility-based studies have demonstrated comparable detection rates between males and females when access to diagnostics is similar [</w:t>
      </w:r>
      <w:r w:rsidR="00D71B73">
        <w:rPr>
          <w:rFonts w:ascii="Times New Roman" w:hAnsi="Times New Roman" w:cs="Times New Roman"/>
          <w:sz w:val="24"/>
          <w:szCs w:val="24"/>
        </w:rPr>
        <w:t>8</w:t>
      </w:r>
      <w:r w:rsidRPr="002163EC">
        <w:rPr>
          <w:rFonts w:ascii="Times New Roman" w:hAnsi="Times New Roman" w:cs="Times New Roman"/>
          <w:sz w:val="24"/>
          <w:szCs w:val="24"/>
        </w:rPr>
        <w:t>,</w:t>
      </w:r>
      <w:r w:rsidR="00D71B73">
        <w:rPr>
          <w:rFonts w:ascii="Times New Roman" w:hAnsi="Times New Roman" w:cs="Times New Roman"/>
          <w:sz w:val="24"/>
          <w:szCs w:val="24"/>
        </w:rPr>
        <w:t>9</w:t>
      </w:r>
      <w:r w:rsidRPr="002163EC">
        <w:rPr>
          <w:rFonts w:ascii="Times New Roman" w:hAnsi="Times New Roman" w:cs="Times New Roman"/>
          <w:sz w:val="24"/>
          <w:szCs w:val="24"/>
        </w:rPr>
        <w:t>,</w:t>
      </w:r>
      <w:r w:rsidR="00D71B73">
        <w:rPr>
          <w:rFonts w:ascii="Times New Roman" w:hAnsi="Times New Roman" w:cs="Times New Roman"/>
          <w:sz w:val="24"/>
          <w:szCs w:val="24"/>
        </w:rPr>
        <w:t>11</w:t>
      </w:r>
      <w:r w:rsidRPr="002163EC">
        <w:rPr>
          <w:rFonts w:ascii="Times New Roman" w:hAnsi="Times New Roman" w:cs="Times New Roman"/>
          <w:sz w:val="24"/>
          <w:szCs w:val="24"/>
        </w:rPr>
        <w:t xml:space="preserve">]. This suggests that equitable access to diagnostic services may </w:t>
      </w:r>
      <w:r w:rsidRPr="002163EC">
        <w:rPr>
          <w:rFonts w:ascii="Times New Roman" w:hAnsi="Times New Roman" w:cs="Times New Roman"/>
          <w:sz w:val="24"/>
          <w:szCs w:val="24"/>
        </w:rPr>
        <w:lastRenderedPageBreak/>
        <w:t>reduce observed gender disparities. Improved health-seeking behaviour and community-based screening initiatives may also contribute to narrowing sex differences in TB detection.</w:t>
      </w:r>
    </w:p>
    <w:p w14:paraId="403893DC" w14:textId="3FDF9975" w:rsidR="002163EC" w:rsidRPr="002163EC" w:rsidRDefault="002163EC" w:rsidP="00FE2F0E">
      <w:p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t>Educational level showed no significant association with TB positivity. This finding supports earlier reports indicating that education alone does not independently predict bacteriologically confirmed TB in high-burden environments [</w:t>
      </w:r>
      <w:r w:rsidR="00D71B73">
        <w:rPr>
          <w:rFonts w:ascii="Times New Roman" w:hAnsi="Times New Roman" w:cs="Times New Roman"/>
          <w:sz w:val="24"/>
          <w:szCs w:val="24"/>
        </w:rPr>
        <w:t>8</w:t>
      </w:r>
      <w:r w:rsidRPr="002163EC">
        <w:rPr>
          <w:rFonts w:ascii="Times New Roman" w:hAnsi="Times New Roman" w:cs="Times New Roman"/>
          <w:sz w:val="24"/>
          <w:szCs w:val="24"/>
        </w:rPr>
        <w:t>,</w:t>
      </w:r>
      <w:r w:rsidR="00D71B73">
        <w:rPr>
          <w:rFonts w:ascii="Times New Roman" w:hAnsi="Times New Roman" w:cs="Times New Roman"/>
          <w:sz w:val="24"/>
          <w:szCs w:val="24"/>
        </w:rPr>
        <w:t>9</w:t>
      </w:r>
      <w:r w:rsidRPr="002163EC">
        <w:rPr>
          <w:rFonts w:ascii="Times New Roman" w:hAnsi="Times New Roman" w:cs="Times New Roman"/>
          <w:sz w:val="24"/>
          <w:szCs w:val="24"/>
        </w:rPr>
        <w:t>,1</w:t>
      </w:r>
      <w:r w:rsidR="00D71B73">
        <w:rPr>
          <w:rFonts w:ascii="Times New Roman" w:hAnsi="Times New Roman" w:cs="Times New Roman"/>
          <w:sz w:val="24"/>
          <w:szCs w:val="24"/>
        </w:rPr>
        <w:t>1</w:t>
      </w:r>
      <w:r w:rsidRPr="002163EC">
        <w:rPr>
          <w:rFonts w:ascii="Times New Roman" w:hAnsi="Times New Roman" w:cs="Times New Roman"/>
          <w:sz w:val="24"/>
          <w:szCs w:val="24"/>
        </w:rPr>
        <w:t>]. Although education influences health awareness, the intensity of community transmission may override its protective effects. Exposure risks and healthcare access often cut across educational categories in endemic settings.</w:t>
      </w:r>
    </w:p>
    <w:p w14:paraId="558D25A7" w14:textId="1D14F9CF" w:rsidR="002163EC" w:rsidRPr="002163EC" w:rsidRDefault="002163EC" w:rsidP="00FE2F0E">
      <w:p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t>A key finding of this study is the significant association between previous tuberculosis diagnosis and current TB positivity. Individuals with prior TB were more likely to test positive, suggesting relapse, reinfection, or persistent disease. Similar findings have been widely reported in Nigeria, where retreatment cases constitute a notable proportion of TB notifications [</w:t>
      </w:r>
      <w:r w:rsidR="00631E03">
        <w:rPr>
          <w:rFonts w:ascii="Times New Roman" w:hAnsi="Times New Roman" w:cs="Times New Roman"/>
          <w:sz w:val="24"/>
          <w:szCs w:val="24"/>
        </w:rPr>
        <w:t>8</w:t>
      </w:r>
      <w:r w:rsidRPr="002163EC">
        <w:rPr>
          <w:rFonts w:ascii="Times New Roman" w:hAnsi="Times New Roman" w:cs="Times New Roman"/>
          <w:sz w:val="24"/>
          <w:szCs w:val="24"/>
        </w:rPr>
        <w:t>–</w:t>
      </w:r>
      <w:r w:rsidR="00631E03">
        <w:rPr>
          <w:rFonts w:ascii="Times New Roman" w:hAnsi="Times New Roman" w:cs="Times New Roman"/>
          <w:sz w:val="24"/>
          <w:szCs w:val="24"/>
        </w:rPr>
        <w:t>10</w:t>
      </w:r>
      <w:r w:rsidRPr="002163EC">
        <w:rPr>
          <w:rFonts w:ascii="Times New Roman" w:hAnsi="Times New Roman" w:cs="Times New Roman"/>
          <w:sz w:val="24"/>
          <w:szCs w:val="24"/>
        </w:rPr>
        <w:t>,</w:t>
      </w:r>
      <w:r w:rsidR="00162F5A">
        <w:rPr>
          <w:rFonts w:ascii="Times New Roman" w:hAnsi="Times New Roman" w:cs="Times New Roman"/>
          <w:sz w:val="24"/>
          <w:szCs w:val="24"/>
        </w:rPr>
        <w:t>1</w:t>
      </w:r>
      <w:r w:rsidR="00631E03">
        <w:rPr>
          <w:rFonts w:ascii="Times New Roman" w:hAnsi="Times New Roman" w:cs="Times New Roman"/>
          <w:sz w:val="24"/>
          <w:szCs w:val="24"/>
        </w:rPr>
        <w:t>6</w:t>
      </w:r>
      <w:r w:rsidRPr="002163EC">
        <w:rPr>
          <w:rFonts w:ascii="Times New Roman" w:hAnsi="Times New Roman" w:cs="Times New Roman"/>
          <w:sz w:val="24"/>
          <w:szCs w:val="24"/>
        </w:rPr>
        <w:t>,1</w:t>
      </w:r>
      <w:r w:rsidR="00631E03">
        <w:rPr>
          <w:rFonts w:ascii="Times New Roman" w:hAnsi="Times New Roman" w:cs="Times New Roman"/>
          <w:sz w:val="24"/>
          <w:szCs w:val="24"/>
        </w:rPr>
        <w:t>8</w:t>
      </w:r>
      <w:r w:rsidRPr="002163EC">
        <w:rPr>
          <w:rFonts w:ascii="Times New Roman" w:hAnsi="Times New Roman" w:cs="Times New Roman"/>
          <w:sz w:val="24"/>
          <w:szCs w:val="24"/>
        </w:rPr>
        <w:t>]. Studies focusing on drug-resistant TB have further shown that prior treatment is a major risk factor for subsequent disease, including rifampicin resistance [</w:t>
      </w:r>
      <w:r w:rsidR="00162F5A">
        <w:rPr>
          <w:rFonts w:ascii="Times New Roman" w:hAnsi="Times New Roman" w:cs="Times New Roman"/>
          <w:sz w:val="24"/>
          <w:szCs w:val="24"/>
        </w:rPr>
        <w:t>1</w:t>
      </w:r>
      <w:r w:rsidR="00631E03">
        <w:rPr>
          <w:rFonts w:ascii="Times New Roman" w:hAnsi="Times New Roman" w:cs="Times New Roman"/>
          <w:sz w:val="24"/>
          <w:szCs w:val="24"/>
        </w:rPr>
        <w:t>3</w:t>
      </w:r>
      <w:r w:rsidRPr="002163EC">
        <w:rPr>
          <w:rFonts w:ascii="Times New Roman" w:hAnsi="Times New Roman" w:cs="Times New Roman"/>
          <w:sz w:val="24"/>
          <w:szCs w:val="24"/>
        </w:rPr>
        <w:t>,1</w:t>
      </w:r>
      <w:r w:rsidR="005F2025">
        <w:rPr>
          <w:rFonts w:ascii="Times New Roman" w:hAnsi="Times New Roman" w:cs="Times New Roman"/>
          <w:sz w:val="24"/>
          <w:szCs w:val="24"/>
        </w:rPr>
        <w:t>9</w:t>
      </w:r>
      <w:r w:rsidRPr="002163EC">
        <w:rPr>
          <w:rFonts w:ascii="Times New Roman" w:hAnsi="Times New Roman" w:cs="Times New Roman"/>
          <w:sz w:val="24"/>
          <w:szCs w:val="24"/>
        </w:rPr>
        <w:t>]. This association highlights gaps in treatment completion, post-treatment follow-up, and reinfection prevention.</w:t>
      </w:r>
      <w:r w:rsidR="00AE576B">
        <w:rPr>
          <w:rFonts w:ascii="Times New Roman" w:hAnsi="Times New Roman" w:cs="Times New Roman"/>
          <w:sz w:val="24"/>
          <w:szCs w:val="24"/>
        </w:rPr>
        <w:t xml:space="preserve"> </w:t>
      </w:r>
      <w:r w:rsidR="00AE576B" w:rsidRPr="00892750">
        <w:rPr>
          <w:rFonts w:ascii="Times New Roman" w:hAnsi="Times New Roman" w:cs="Times New Roman"/>
          <w:sz w:val="24"/>
          <w:szCs w:val="24"/>
          <w:highlight w:val="yellow"/>
        </w:rPr>
        <w:t>However, this study did not collect specific data on treatment completion status, relapse confirmation, or documented treatment default. Therefore, while prior TB history was significantly associated with current positivity, the underlying cause of recurrence (e.g., relapse, reinfection, or treatment interruption) cannot be conclusively determined from the present data. Interpretation of this association should thus remain within the limits of the variables measured.</w:t>
      </w:r>
    </w:p>
    <w:p w14:paraId="22EA637E" w14:textId="40F3F57A" w:rsidR="002163EC" w:rsidRDefault="002163EC" w:rsidP="00FE2F0E">
      <w:p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t>BCG vaccination status was not significantly associated with TB positivity. This aligns with existing evidence that BCG offers protection mainly against severe childhood TB rather than adult pulmonary disease. Several Nigerian studies have reported similar findings, showing no significant association between BCG status and GeneXpert-confirmed TB [</w:t>
      </w:r>
      <w:r w:rsidR="005F2025">
        <w:rPr>
          <w:rFonts w:ascii="Times New Roman" w:hAnsi="Times New Roman" w:cs="Times New Roman"/>
          <w:sz w:val="24"/>
          <w:szCs w:val="24"/>
        </w:rPr>
        <w:t>8</w:t>
      </w:r>
      <w:r w:rsidRPr="002163EC">
        <w:rPr>
          <w:rFonts w:ascii="Times New Roman" w:hAnsi="Times New Roman" w:cs="Times New Roman"/>
          <w:sz w:val="24"/>
          <w:szCs w:val="24"/>
        </w:rPr>
        <w:t>–</w:t>
      </w:r>
      <w:r w:rsidR="001A78A0">
        <w:rPr>
          <w:rFonts w:ascii="Times New Roman" w:hAnsi="Times New Roman" w:cs="Times New Roman"/>
          <w:sz w:val="24"/>
          <w:szCs w:val="24"/>
        </w:rPr>
        <w:t>10, 16, 26</w:t>
      </w:r>
      <w:r w:rsidRPr="002163EC">
        <w:rPr>
          <w:rFonts w:ascii="Times New Roman" w:hAnsi="Times New Roman" w:cs="Times New Roman"/>
          <w:sz w:val="24"/>
          <w:szCs w:val="24"/>
        </w:rPr>
        <w:t>]. Waning immunity over time and reliance on self-reported vaccination history may contribute to this observation. Consequently, vaccination history should not influence decisions regarding TB diagnostic testing.</w:t>
      </w:r>
    </w:p>
    <w:p w14:paraId="721F93CD" w14:textId="77777777" w:rsidR="002163EC" w:rsidRPr="002163EC" w:rsidRDefault="002163EC" w:rsidP="00FE2F0E">
      <w:pPr>
        <w:spacing w:line="360" w:lineRule="auto"/>
        <w:jc w:val="both"/>
        <w:rPr>
          <w:rFonts w:ascii="Times New Roman" w:hAnsi="Times New Roman" w:cs="Times New Roman"/>
          <w:b/>
          <w:bCs/>
          <w:sz w:val="24"/>
          <w:szCs w:val="24"/>
        </w:rPr>
      </w:pPr>
      <w:r w:rsidRPr="002163EC">
        <w:rPr>
          <w:rFonts w:ascii="Times New Roman" w:hAnsi="Times New Roman" w:cs="Times New Roman"/>
          <w:b/>
          <w:bCs/>
          <w:sz w:val="24"/>
          <w:szCs w:val="24"/>
        </w:rPr>
        <w:t>Conclusion</w:t>
      </w:r>
    </w:p>
    <w:p w14:paraId="2371E38B" w14:textId="3FBD390B" w:rsidR="00C1493F" w:rsidRDefault="002163EC" w:rsidP="00FE2F0E">
      <w:pPr>
        <w:spacing w:line="360" w:lineRule="auto"/>
        <w:jc w:val="both"/>
        <w:rPr>
          <w:rFonts w:ascii="Times New Roman" w:hAnsi="Times New Roman" w:cs="Times New Roman"/>
          <w:sz w:val="24"/>
          <w:szCs w:val="24"/>
        </w:rPr>
      </w:pPr>
      <w:r w:rsidRPr="007A6DC1">
        <w:rPr>
          <w:rFonts w:ascii="Times New Roman" w:hAnsi="Times New Roman" w:cs="Times New Roman"/>
          <w:sz w:val="24"/>
          <w:szCs w:val="24"/>
        </w:rPr>
        <w:t xml:space="preserve">Tuberculosis remains highly prevalent among individuals undergoing diagnostic evaluation, with approximately one-quarter testing positive by Xpert MTB. While age, gender, educational level, and BCG vaccination status were not significantly associated with TB positivity, a </w:t>
      </w:r>
      <w:r w:rsidRPr="007A6DC1">
        <w:rPr>
          <w:rFonts w:ascii="Times New Roman" w:hAnsi="Times New Roman" w:cs="Times New Roman"/>
          <w:sz w:val="24"/>
          <w:szCs w:val="24"/>
        </w:rPr>
        <w:lastRenderedPageBreak/>
        <w:t xml:space="preserve">previous history of tuberculosis emerged as a strong predictor of current disease. </w:t>
      </w:r>
      <w:r w:rsidR="00EC6522" w:rsidRPr="00256C36">
        <w:rPr>
          <w:rFonts w:ascii="Times New Roman" w:hAnsi="Times New Roman" w:cs="Times New Roman"/>
          <w:sz w:val="24"/>
          <w:szCs w:val="24"/>
          <w:highlight w:val="yellow"/>
        </w:rPr>
        <w:t>Although a considerable proportion of positive cases occurred among previously treated individuals, this study did not directly assess treatment adherence, relapse confirmation, or default status. Therefore, conclusions regarding treatment failure or relapse as primary drivers cannot be definitively established from the present data and should be interpreted cautiously.</w:t>
      </w:r>
      <w:r w:rsidR="00EC6522" w:rsidRPr="00256C36">
        <w:rPr>
          <w:rFonts w:ascii="Times New Roman" w:hAnsi="Times New Roman" w:cs="Times New Roman"/>
          <w:sz w:val="24"/>
          <w:szCs w:val="24"/>
        </w:rPr>
        <w:t xml:space="preserve"> </w:t>
      </w:r>
      <w:r w:rsidR="003160AF" w:rsidRPr="007A6DC1">
        <w:rPr>
          <w:rFonts w:ascii="Times New Roman" w:hAnsi="Times New Roman" w:cs="Times New Roman"/>
          <w:sz w:val="24"/>
          <w:szCs w:val="24"/>
        </w:rPr>
        <w:t>The study highlights that a significant number of positive cases are previously treated individuals and identifies relapse and defaulting as key drivers of unsuccessful outcomes.</w:t>
      </w:r>
    </w:p>
    <w:p w14:paraId="594220C1" w14:textId="58EF6A12" w:rsidR="001C3C6A" w:rsidRDefault="001C3C6A" w:rsidP="00FE2F0E">
      <w:pPr>
        <w:spacing w:line="360" w:lineRule="auto"/>
        <w:jc w:val="both"/>
        <w:rPr>
          <w:rFonts w:ascii="Times New Roman" w:hAnsi="Times New Roman" w:cs="Times New Roman"/>
          <w:sz w:val="24"/>
          <w:szCs w:val="24"/>
        </w:rPr>
      </w:pPr>
    </w:p>
    <w:p w14:paraId="73C52C32" w14:textId="77777777" w:rsidR="001C3C6A" w:rsidRPr="002163EC" w:rsidRDefault="001C3C6A" w:rsidP="00FE2F0E">
      <w:pPr>
        <w:spacing w:line="360" w:lineRule="auto"/>
        <w:jc w:val="both"/>
        <w:rPr>
          <w:rFonts w:ascii="Times New Roman" w:hAnsi="Times New Roman" w:cs="Times New Roman"/>
          <w:sz w:val="24"/>
          <w:szCs w:val="24"/>
        </w:rPr>
      </w:pPr>
    </w:p>
    <w:p w14:paraId="4AEFA2E2" w14:textId="77777777" w:rsidR="002163EC" w:rsidRPr="002163EC" w:rsidRDefault="002163EC" w:rsidP="00FE2F0E">
      <w:pPr>
        <w:spacing w:line="360" w:lineRule="auto"/>
        <w:jc w:val="both"/>
        <w:rPr>
          <w:rFonts w:ascii="Times New Roman" w:hAnsi="Times New Roman" w:cs="Times New Roman"/>
          <w:b/>
          <w:bCs/>
          <w:sz w:val="24"/>
          <w:szCs w:val="24"/>
        </w:rPr>
      </w:pPr>
      <w:r w:rsidRPr="002163EC">
        <w:rPr>
          <w:rFonts w:ascii="Times New Roman" w:hAnsi="Times New Roman" w:cs="Times New Roman"/>
          <w:b/>
          <w:bCs/>
          <w:sz w:val="24"/>
          <w:szCs w:val="24"/>
        </w:rPr>
        <w:t>Recommendations</w:t>
      </w:r>
    </w:p>
    <w:p w14:paraId="4FFD8272" w14:textId="5F957584" w:rsidR="006A54E4" w:rsidRPr="006A54E4" w:rsidRDefault="006A54E4" w:rsidP="006A54E4">
      <w:pPr>
        <w:numPr>
          <w:ilvl w:val="0"/>
          <w:numId w:val="4"/>
        </w:numPr>
        <w:spacing w:line="360" w:lineRule="auto"/>
        <w:jc w:val="both"/>
        <w:rPr>
          <w:rFonts w:ascii="Times New Roman" w:hAnsi="Times New Roman" w:cs="Times New Roman"/>
          <w:sz w:val="24"/>
          <w:szCs w:val="24"/>
        </w:rPr>
      </w:pPr>
      <w:r w:rsidRPr="006A54E4">
        <w:rPr>
          <w:rFonts w:ascii="Times New Roman" w:hAnsi="Times New Roman" w:cs="Times New Roman"/>
          <w:sz w:val="24"/>
          <w:szCs w:val="24"/>
        </w:rPr>
        <w:t>To the National Tuberculosis, Leprosy and Buruli Ulcer Control Programme (NTBLCP) and State TB Control Units:</w:t>
      </w:r>
      <w:r w:rsidRPr="006A54E4">
        <w:rPr>
          <w:rFonts w:ascii="Times New Roman" w:hAnsi="Times New Roman" w:cs="Times New Roman"/>
          <w:sz w:val="24"/>
          <w:szCs w:val="24"/>
        </w:rPr>
        <w:br/>
        <w:t>Strengthen post-treatment follow-up systems by implementing structured monitoring schedules for previously treated TB patients to enable early detection of relapse or reinfection.</w:t>
      </w:r>
    </w:p>
    <w:p w14:paraId="4B8229ED" w14:textId="728AA6A7" w:rsidR="006A54E4" w:rsidRPr="006A54E4" w:rsidRDefault="006A54E4" w:rsidP="006A54E4">
      <w:pPr>
        <w:numPr>
          <w:ilvl w:val="0"/>
          <w:numId w:val="4"/>
        </w:numPr>
        <w:spacing w:line="360" w:lineRule="auto"/>
        <w:jc w:val="both"/>
        <w:rPr>
          <w:rFonts w:ascii="Times New Roman" w:hAnsi="Times New Roman" w:cs="Times New Roman"/>
          <w:sz w:val="24"/>
          <w:szCs w:val="24"/>
        </w:rPr>
      </w:pPr>
      <w:r w:rsidRPr="006A54E4">
        <w:rPr>
          <w:rFonts w:ascii="Times New Roman" w:hAnsi="Times New Roman" w:cs="Times New Roman"/>
          <w:sz w:val="24"/>
          <w:szCs w:val="24"/>
        </w:rPr>
        <w:t>To TB Programme Managers, DOTS Coordinators, and Healthcare Providers:</w:t>
      </w:r>
      <w:r w:rsidRPr="006A54E4">
        <w:rPr>
          <w:rFonts w:ascii="Times New Roman" w:hAnsi="Times New Roman" w:cs="Times New Roman"/>
          <w:sz w:val="24"/>
          <w:szCs w:val="24"/>
        </w:rPr>
        <w:br/>
        <w:t xml:space="preserve">Enhance adherence support mechanisms by expanding directly observed therapy (DOT), patient </w:t>
      </w:r>
      <w:r w:rsidR="00BE0142">
        <w:rPr>
          <w:rFonts w:ascii="Times New Roman" w:hAnsi="Times New Roman" w:cs="Times New Roman"/>
          <w:sz w:val="24"/>
          <w:szCs w:val="24"/>
        </w:rPr>
        <w:t>counselling</w:t>
      </w:r>
      <w:r w:rsidRPr="006A54E4">
        <w:rPr>
          <w:rFonts w:ascii="Times New Roman" w:hAnsi="Times New Roman" w:cs="Times New Roman"/>
          <w:sz w:val="24"/>
          <w:szCs w:val="24"/>
        </w:rPr>
        <w:t xml:space="preserve"> services, reminder systems, and community-based treatment support to </w:t>
      </w:r>
      <w:r w:rsidR="00BE0142">
        <w:rPr>
          <w:rFonts w:ascii="Times New Roman" w:hAnsi="Times New Roman" w:cs="Times New Roman"/>
          <w:sz w:val="24"/>
          <w:szCs w:val="24"/>
        </w:rPr>
        <w:t>minimise</w:t>
      </w:r>
      <w:r w:rsidRPr="006A54E4">
        <w:rPr>
          <w:rFonts w:ascii="Times New Roman" w:hAnsi="Times New Roman" w:cs="Times New Roman"/>
          <w:sz w:val="24"/>
          <w:szCs w:val="24"/>
        </w:rPr>
        <w:t xml:space="preserve"> treatment interruption and reduce recurrence.</w:t>
      </w:r>
    </w:p>
    <w:p w14:paraId="5B8F531F" w14:textId="77777777" w:rsidR="006A54E4" w:rsidRPr="006A54E4" w:rsidRDefault="006A54E4" w:rsidP="006A54E4">
      <w:pPr>
        <w:numPr>
          <w:ilvl w:val="0"/>
          <w:numId w:val="4"/>
        </w:numPr>
        <w:spacing w:line="360" w:lineRule="auto"/>
        <w:jc w:val="both"/>
        <w:rPr>
          <w:rFonts w:ascii="Times New Roman" w:hAnsi="Times New Roman" w:cs="Times New Roman"/>
          <w:sz w:val="24"/>
          <w:szCs w:val="24"/>
        </w:rPr>
      </w:pPr>
      <w:r w:rsidRPr="006A54E4">
        <w:rPr>
          <w:rFonts w:ascii="Times New Roman" w:hAnsi="Times New Roman" w:cs="Times New Roman"/>
          <w:sz w:val="24"/>
          <w:szCs w:val="24"/>
        </w:rPr>
        <w:t>To State Ministries of Health and Local Government Health Authorities:</w:t>
      </w:r>
      <w:r w:rsidRPr="006A54E4">
        <w:rPr>
          <w:rFonts w:ascii="Times New Roman" w:hAnsi="Times New Roman" w:cs="Times New Roman"/>
          <w:sz w:val="24"/>
          <w:szCs w:val="24"/>
        </w:rPr>
        <w:br/>
        <w:t>Expand routine TB screening and surveillance activities in high-burden communities through active case finding, community outreach programs, and strengthened contact tracing initiatives.</w:t>
      </w:r>
    </w:p>
    <w:p w14:paraId="2474A6ED" w14:textId="7A069571" w:rsidR="006A54E4" w:rsidRPr="006A54E4" w:rsidRDefault="006A54E4" w:rsidP="006A54E4">
      <w:pPr>
        <w:numPr>
          <w:ilvl w:val="0"/>
          <w:numId w:val="4"/>
        </w:numPr>
        <w:spacing w:line="360" w:lineRule="auto"/>
        <w:jc w:val="both"/>
        <w:rPr>
          <w:rFonts w:ascii="Times New Roman" w:hAnsi="Times New Roman" w:cs="Times New Roman"/>
          <w:sz w:val="24"/>
          <w:szCs w:val="24"/>
        </w:rPr>
      </w:pPr>
      <w:r w:rsidRPr="006A54E4">
        <w:rPr>
          <w:rFonts w:ascii="Times New Roman" w:hAnsi="Times New Roman" w:cs="Times New Roman"/>
          <w:sz w:val="24"/>
          <w:szCs w:val="24"/>
        </w:rPr>
        <w:t xml:space="preserve">To National and State Reference Laboratories and TB Diagnostic </w:t>
      </w:r>
      <w:r w:rsidR="00BE0142" w:rsidRPr="00CA5885">
        <w:rPr>
          <w:rFonts w:ascii="Times New Roman" w:hAnsi="Times New Roman" w:cs="Times New Roman"/>
          <w:sz w:val="24"/>
          <w:szCs w:val="24"/>
        </w:rPr>
        <w:t>Centres</w:t>
      </w:r>
      <w:r w:rsidRPr="006A54E4">
        <w:rPr>
          <w:rFonts w:ascii="Times New Roman" w:hAnsi="Times New Roman" w:cs="Times New Roman"/>
          <w:sz w:val="24"/>
          <w:szCs w:val="24"/>
        </w:rPr>
        <w:t>:</w:t>
      </w:r>
      <w:r w:rsidRPr="006A54E4">
        <w:rPr>
          <w:rFonts w:ascii="Times New Roman" w:hAnsi="Times New Roman" w:cs="Times New Roman"/>
          <w:sz w:val="24"/>
          <w:szCs w:val="24"/>
        </w:rPr>
        <w:br/>
        <w:t xml:space="preserve">Integrate continuous drug-resistance </w:t>
      </w:r>
      <w:r w:rsidR="00BE0142" w:rsidRPr="00CA5885">
        <w:rPr>
          <w:rFonts w:ascii="Times New Roman" w:hAnsi="Times New Roman" w:cs="Times New Roman"/>
          <w:sz w:val="24"/>
          <w:szCs w:val="24"/>
        </w:rPr>
        <w:t>monitoring</w:t>
      </w:r>
      <w:r w:rsidR="00BE0142">
        <w:rPr>
          <w:rFonts w:ascii="Times New Roman" w:hAnsi="Times New Roman" w:cs="Times New Roman"/>
          <w:sz w:val="24"/>
          <w:szCs w:val="24"/>
        </w:rPr>
        <w:t>, particularly</w:t>
      </w:r>
      <w:r w:rsidRPr="006A54E4">
        <w:rPr>
          <w:rFonts w:ascii="Times New Roman" w:hAnsi="Times New Roman" w:cs="Times New Roman"/>
          <w:sz w:val="24"/>
          <w:szCs w:val="24"/>
        </w:rPr>
        <w:t xml:space="preserve"> through GeneXpert and other molecular diagnostic </w:t>
      </w:r>
      <w:r w:rsidR="00BE0142">
        <w:rPr>
          <w:rFonts w:ascii="Times New Roman" w:hAnsi="Times New Roman" w:cs="Times New Roman"/>
          <w:sz w:val="24"/>
          <w:szCs w:val="24"/>
        </w:rPr>
        <w:t>tools, for</w:t>
      </w:r>
      <w:r w:rsidRPr="006A54E4">
        <w:rPr>
          <w:rFonts w:ascii="Times New Roman" w:hAnsi="Times New Roman" w:cs="Times New Roman"/>
          <w:sz w:val="24"/>
          <w:szCs w:val="24"/>
        </w:rPr>
        <w:t xml:space="preserve"> all previously treated TB patients to facilitate early detection and appropriate management of drug-resistant TB.</w:t>
      </w:r>
    </w:p>
    <w:p w14:paraId="786A0FEE" w14:textId="1C38397A" w:rsidR="00DB74E3" w:rsidRPr="00BE0142" w:rsidRDefault="006A54E4" w:rsidP="00FE2F0E">
      <w:pPr>
        <w:numPr>
          <w:ilvl w:val="0"/>
          <w:numId w:val="4"/>
        </w:numPr>
        <w:spacing w:line="360" w:lineRule="auto"/>
        <w:jc w:val="both"/>
        <w:rPr>
          <w:rFonts w:ascii="Times New Roman" w:hAnsi="Times New Roman" w:cs="Times New Roman"/>
          <w:sz w:val="24"/>
          <w:szCs w:val="24"/>
        </w:rPr>
      </w:pPr>
      <w:r w:rsidRPr="006A54E4">
        <w:rPr>
          <w:rFonts w:ascii="Times New Roman" w:hAnsi="Times New Roman" w:cs="Times New Roman"/>
          <w:sz w:val="24"/>
          <w:szCs w:val="24"/>
        </w:rPr>
        <w:t>To Community Health Departments, Public Health Educators, and Civil Society Organizations:</w:t>
      </w:r>
      <w:r w:rsidRPr="006A54E4">
        <w:rPr>
          <w:rFonts w:ascii="Times New Roman" w:hAnsi="Times New Roman" w:cs="Times New Roman"/>
          <w:sz w:val="24"/>
          <w:szCs w:val="24"/>
        </w:rPr>
        <w:br/>
        <w:t xml:space="preserve">Intensify community awareness campaigns focused on early symptom recognition, </w:t>
      </w:r>
      <w:r w:rsidRPr="006A54E4">
        <w:rPr>
          <w:rFonts w:ascii="Times New Roman" w:hAnsi="Times New Roman" w:cs="Times New Roman"/>
          <w:sz w:val="24"/>
          <w:szCs w:val="24"/>
        </w:rPr>
        <w:lastRenderedPageBreak/>
        <w:t>timely healthcare seeking, and treatment adherence to reduce ongoing transmission and improve treatment outcomes.</w:t>
      </w:r>
    </w:p>
    <w:p w14:paraId="09779E66" w14:textId="77777777" w:rsidR="00C1493F" w:rsidRPr="007A6DC1" w:rsidRDefault="00C1493F" w:rsidP="00C1493F">
      <w:pPr>
        <w:spacing w:line="360" w:lineRule="auto"/>
        <w:jc w:val="both"/>
        <w:rPr>
          <w:rFonts w:ascii="Times New Roman" w:hAnsi="Times New Roman" w:cs="Times New Roman"/>
          <w:b/>
          <w:bCs/>
          <w:sz w:val="24"/>
          <w:szCs w:val="24"/>
        </w:rPr>
      </w:pPr>
      <w:r w:rsidRPr="007A6DC1">
        <w:rPr>
          <w:rFonts w:ascii="Times New Roman" w:hAnsi="Times New Roman" w:cs="Times New Roman"/>
          <w:b/>
          <w:bCs/>
          <w:sz w:val="24"/>
          <w:szCs w:val="24"/>
        </w:rPr>
        <w:t>Limitations of the Study</w:t>
      </w:r>
    </w:p>
    <w:p w14:paraId="208B92E4" w14:textId="1C9ECABA" w:rsidR="00E52DB7" w:rsidRDefault="00E52DB7" w:rsidP="00E52DB7">
      <w:pPr>
        <w:spacing w:line="360" w:lineRule="auto"/>
        <w:jc w:val="both"/>
        <w:rPr>
          <w:rFonts w:ascii="Times New Roman" w:hAnsi="Times New Roman" w:cs="Times New Roman"/>
          <w:sz w:val="24"/>
          <w:szCs w:val="24"/>
        </w:rPr>
      </w:pPr>
      <w:r w:rsidRPr="00E52DB7">
        <w:rPr>
          <w:rFonts w:ascii="Times New Roman" w:hAnsi="Times New Roman" w:cs="Times New Roman"/>
          <w:sz w:val="24"/>
          <w:szCs w:val="24"/>
        </w:rPr>
        <w:t xml:space="preserve">The study only includes participants who visited the selected health facilities (presumptive cases), which excluded individuals with TB who did not seek care due to lack of money, distance, stigma, or reliance on traditional healers. </w:t>
      </w:r>
      <w:r w:rsidRPr="00E52DB7">
        <w:rPr>
          <w:rFonts w:ascii="Times New Roman" w:hAnsi="Times New Roman" w:cs="Times New Roman"/>
          <w:sz w:val="24"/>
          <w:szCs w:val="24"/>
          <w:highlight w:val="yellow"/>
        </w:rPr>
        <w:t xml:space="preserve">Furthermore, because the study was conducted in DOTS centres and involved only individuals presenting with symptoms suggestive of pulmonary tuberculosis, the reported prevalence reflects a facility-based prevalence among presumptive cases rather than community prevalence. This recruitment strategy may introduce selection bias, as symptomatic individuals attending </w:t>
      </w:r>
      <w:r>
        <w:rPr>
          <w:rFonts w:ascii="Times New Roman" w:hAnsi="Times New Roman" w:cs="Times New Roman"/>
          <w:sz w:val="24"/>
          <w:szCs w:val="24"/>
          <w:highlight w:val="yellow"/>
        </w:rPr>
        <w:t>specialised</w:t>
      </w:r>
      <w:r w:rsidRPr="00E52DB7">
        <w:rPr>
          <w:rFonts w:ascii="Times New Roman" w:hAnsi="Times New Roman" w:cs="Times New Roman"/>
          <w:sz w:val="24"/>
          <w:szCs w:val="24"/>
          <w:highlight w:val="yellow"/>
        </w:rPr>
        <w:t xml:space="preserve"> TB diagnostic centres are more likely to test positive. Therefore, the findings should not be </w:t>
      </w:r>
      <w:r>
        <w:rPr>
          <w:rFonts w:ascii="Times New Roman" w:hAnsi="Times New Roman" w:cs="Times New Roman"/>
          <w:sz w:val="24"/>
          <w:szCs w:val="24"/>
          <w:highlight w:val="yellow"/>
        </w:rPr>
        <w:t>generalised</w:t>
      </w:r>
      <w:r w:rsidRPr="00E52DB7">
        <w:rPr>
          <w:rFonts w:ascii="Times New Roman" w:hAnsi="Times New Roman" w:cs="Times New Roman"/>
          <w:sz w:val="24"/>
          <w:szCs w:val="24"/>
          <w:highlight w:val="yellow"/>
        </w:rPr>
        <w:t xml:space="preserve"> to the wider community without caution.</w:t>
      </w:r>
      <w:r w:rsidRPr="00E52DB7">
        <w:rPr>
          <w:rFonts w:ascii="Times New Roman" w:hAnsi="Times New Roman" w:cs="Times New Roman"/>
          <w:sz w:val="24"/>
          <w:szCs w:val="24"/>
        </w:rPr>
        <w:t xml:space="preserve"> While individuals who did not seek care were not captured, potentially missing undiagnosed community cases, the concentration of symptomatic participants in TB-focused facilities may also result in prevalence estimates that differ from true population-level rates.</w:t>
      </w:r>
    </w:p>
    <w:p w14:paraId="20990E8E" w14:textId="695E601E" w:rsidR="00064B45" w:rsidRPr="00064B45" w:rsidRDefault="00064B45" w:rsidP="00064B45">
      <w:pPr>
        <w:spacing w:line="360" w:lineRule="auto"/>
        <w:jc w:val="both"/>
        <w:rPr>
          <w:rFonts w:ascii="Times New Roman" w:hAnsi="Times New Roman" w:cs="Times New Roman"/>
          <w:b/>
          <w:sz w:val="24"/>
          <w:szCs w:val="24"/>
        </w:rPr>
      </w:pPr>
      <w:r w:rsidRPr="00064B45">
        <w:rPr>
          <w:rFonts w:ascii="Times New Roman" w:hAnsi="Times New Roman" w:cs="Times New Roman"/>
          <w:b/>
          <w:sz w:val="24"/>
          <w:szCs w:val="24"/>
        </w:rPr>
        <w:t>Ethical consideration</w:t>
      </w:r>
      <w:r>
        <w:rPr>
          <w:rFonts w:ascii="Times New Roman" w:hAnsi="Times New Roman" w:cs="Times New Roman"/>
          <w:b/>
          <w:sz w:val="24"/>
          <w:szCs w:val="24"/>
        </w:rPr>
        <w:t xml:space="preserve"> and </w:t>
      </w:r>
      <w:r w:rsidRPr="00064B45">
        <w:rPr>
          <w:rFonts w:ascii="Times New Roman" w:hAnsi="Times New Roman" w:cs="Times New Roman"/>
          <w:b/>
          <w:sz w:val="24"/>
          <w:szCs w:val="24"/>
        </w:rPr>
        <w:t>Consent</w:t>
      </w:r>
    </w:p>
    <w:p w14:paraId="12D40C34" w14:textId="2AD01110" w:rsidR="00064B45" w:rsidRPr="00E52DB7" w:rsidRDefault="00064B45" w:rsidP="00064B45">
      <w:pPr>
        <w:spacing w:line="360" w:lineRule="auto"/>
        <w:jc w:val="both"/>
        <w:rPr>
          <w:rFonts w:ascii="Times New Roman" w:hAnsi="Times New Roman" w:cs="Times New Roman"/>
          <w:sz w:val="24"/>
          <w:szCs w:val="24"/>
        </w:rPr>
      </w:pPr>
      <w:r w:rsidRPr="00064B45">
        <w:rPr>
          <w:rFonts w:ascii="Times New Roman" w:hAnsi="Times New Roman" w:cs="Times New Roman"/>
          <w:sz w:val="24"/>
          <w:szCs w:val="24"/>
        </w:rPr>
        <w:t xml:space="preserve">Ethical approval for this study was obtained from the relevant Health Research Ethics Committees, including the Plateau State Ministry of Health (MOH/MIS/202/VOL 1/XX), Nasarawa State Ministry of Health (18/06/2017), and the Benue State Ministry of Health and Human Services (MOH/STA/204/1/085/2025). The study was conducted in accordance with the principles of the Declaration of Helsinki and applicable national ethical guidelines. Participation was entirely voluntary, and written informed </w:t>
      </w:r>
      <w:bookmarkStart w:id="1" w:name="_GoBack"/>
      <w:r w:rsidRPr="00064B45">
        <w:rPr>
          <w:rFonts w:ascii="Times New Roman" w:hAnsi="Times New Roman" w:cs="Times New Roman"/>
          <w:sz w:val="24"/>
          <w:szCs w:val="24"/>
        </w:rPr>
        <w:t>consent</w:t>
      </w:r>
      <w:bookmarkEnd w:id="1"/>
      <w:r w:rsidRPr="00064B45">
        <w:rPr>
          <w:rFonts w:ascii="Times New Roman" w:hAnsi="Times New Roman" w:cs="Times New Roman"/>
          <w:sz w:val="24"/>
          <w:szCs w:val="24"/>
        </w:rPr>
        <w:t xml:space="preserve"> was obtained from all adult participants, while parental consent and child assent were obtained for minors. Confidentiality was maintained using unique identification codes, and all data were securely stored and used solely for research purposes. Participants were informed of their right to withdraw from the study at any time without any consequences to their access to healthcare services. Individuals diagnosed with tuberculosis were appropriately referred for treatment in line with national treatment guidelines.</w:t>
      </w:r>
    </w:p>
    <w:p w14:paraId="19416BED" w14:textId="77777777" w:rsidR="004942D1" w:rsidRPr="00005ED1" w:rsidRDefault="004942D1" w:rsidP="004942D1">
      <w:pPr>
        <w:pStyle w:val="NoSpacing"/>
        <w:rPr>
          <w:rFonts w:ascii="Arial" w:hAnsi="Arial" w:cs="Arial"/>
          <w:highlight w:val="yellow"/>
        </w:rPr>
      </w:pPr>
      <w:bookmarkStart w:id="2" w:name="_Hlk219284361"/>
      <w:bookmarkStart w:id="3" w:name="_Hlk198031404"/>
      <w:r w:rsidRPr="00005ED1">
        <w:rPr>
          <w:rFonts w:ascii="Arial" w:hAnsi="Arial" w:cs="Arial"/>
          <w:highlight w:val="yellow"/>
        </w:rPr>
        <w:t>Disclaimer (Artificial intelligence)</w:t>
      </w:r>
    </w:p>
    <w:p w14:paraId="7DD626C2" w14:textId="77777777" w:rsidR="004942D1" w:rsidRPr="00005ED1" w:rsidRDefault="004942D1" w:rsidP="004942D1">
      <w:pPr>
        <w:pStyle w:val="NoSpacing"/>
        <w:rPr>
          <w:rFonts w:ascii="Arial" w:hAnsi="Arial" w:cs="Arial"/>
          <w:highlight w:val="yellow"/>
        </w:rPr>
      </w:pPr>
    </w:p>
    <w:p w14:paraId="1B99D225" w14:textId="77777777" w:rsidR="004942D1" w:rsidRPr="00005ED1" w:rsidRDefault="004942D1" w:rsidP="004942D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2"/>
      <w:r w:rsidRPr="00005ED1">
        <w:rPr>
          <w:rFonts w:ascii="Arial" w:hAnsi="Arial" w:cs="Arial"/>
          <w:highlight w:val="yellow"/>
        </w:rPr>
        <w:t xml:space="preserve">. </w:t>
      </w:r>
    </w:p>
    <w:bookmarkEnd w:id="3"/>
    <w:p w14:paraId="3E82B344" w14:textId="77777777" w:rsidR="00DB74E3" w:rsidRDefault="00DB74E3" w:rsidP="00FE2F0E">
      <w:pPr>
        <w:spacing w:line="360" w:lineRule="auto"/>
        <w:jc w:val="both"/>
        <w:rPr>
          <w:rFonts w:ascii="Times New Roman" w:hAnsi="Times New Roman" w:cs="Times New Roman"/>
          <w:sz w:val="24"/>
          <w:szCs w:val="24"/>
        </w:rPr>
      </w:pPr>
    </w:p>
    <w:p w14:paraId="7DE171BE" w14:textId="77777777" w:rsidR="00DB74E3" w:rsidRDefault="00DB74E3" w:rsidP="00FE2F0E">
      <w:pPr>
        <w:spacing w:line="360" w:lineRule="auto"/>
        <w:jc w:val="both"/>
        <w:rPr>
          <w:rFonts w:ascii="Times New Roman" w:hAnsi="Times New Roman" w:cs="Times New Roman"/>
          <w:sz w:val="24"/>
          <w:szCs w:val="24"/>
        </w:rPr>
      </w:pPr>
    </w:p>
    <w:p w14:paraId="356E9D8C" w14:textId="77777777" w:rsidR="00DB74E3" w:rsidRDefault="00DB74E3" w:rsidP="00FE2F0E">
      <w:pPr>
        <w:spacing w:line="360" w:lineRule="auto"/>
        <w:jc w:val="both"/>
        <w:rPr>
          <w:rFonts w:ascii="Times New Roman" w:hAnsi="Times New Roman" w:cs="Times New Roman"/>
          <w:sz w:val="24"/>
          <w:szCs w:val="24"/>
        </w:rPr>
      </w:pPr>
    </w:p>
    <w:p w14:paraId="3C16C8E8" w14:textId="38CCD9E4" w:rsidR="002163EC" w:rsidRPr="002163EC" w:rsidRDefault="002163EC" w:rsidP="00FE2F0E">
      <w:pPr>
        <w:spacing w:line="360" w:lineRule="auto"/>
        <w:jc w:val="both"/>
        <w:rPr>
          <w:rFonts w:ascii="Times New Roman" w:hAnsi="Times New Roman" w:cs="Times New Roman"/>
          <w:b/>
          <w:bCs/>
          <w:sz w:val="24"/>
          <w:szCs w:val="24"/>
        </w:rPr>
      </w:pPr>
      <w:r w:rsidRPr="002163EC">
        <w:rPr>
          <w:rFonts w:ascii="Times New Roman" w:hAnsi="Times New Roman" w:cs="Times New Roman"/>
          <w:b/>
          <w:bCs/>
          <w:sz w:val="24"/>
          <w:szCs w:val="24"/>
        </w:rPr>
        <w:t xml:space="preserve">References </w:t>
      </w:r>
    </w:p>
    <w:p w14:paraId="14B17CC5" w14:textId="77777777" w:rsidR="00486CEA" w:rsidRPr="00486CEA" w:rsidRDefault="00486CEA" w:rsidP="00FE2F0E">
      <w:pPr>
        <w:pStyle w:val="ListParagraph"/>
        <w:numPr>
          <w:ilvl w:val="0"/>
          <w:numId w:val="5"/>
        </w:numPr>
        <w:spacing w:line="360" w:lineRule="auto"/>
        <w:jc w:val="both"/>
        <w:rPr>
          <w:rFonts w:ascii="Times New Roman" w:hAnsi="Times New Roman" w:cs="Times New Roman"/>
          <w:color w:val="000000" w:themeColor="text1"/>
          <w:sz w:val="24"/>
          <w:szCs w:val="24"/>
        </w:rPr>
      </w:pPr>
      <w:r w:rsidRPr="00486CEA">
        <w:rPr>
          <w:rFonts w:ascii="Times New Roman" w:hAnsi="Times New Roman" w:cs="Times New Roman"/>
          <w:color w:val="000000" w:themeColor="text1"/>
          <w:sz w:val="24"/>
          <w:szCs w:val="24"/>
          <w:lang w:val="it-IT"/>
        </w:rPr>
        <w:t xml:space="preserve">Abi DA, Magaji A, Al-Mansur S, Jang B, Ibrahim A, Gamde MS, et al. </w:t>
      </w:r>
      <w:r w:rsidRPr="00486CEA">
        <w:rPr>
          <w:rFonts w:ascii="Times New Roman" w:hAnsi="Times New Roman" w:cs="Times New Roman"/>
          <w:color w:val="000000" w:themeColor="text1"/>
          <w:sz w:val="24"/>
          <w:szCs w:val="24"/>
        </w:rPr>
        <w:t xml:space="preserve">Knowledge gaps in tuberculosis among students and its implications for public health: a review. </w:t>
      </w:r>
      <w:r w:rsidRPr="00486CEA">
        <w:rPr>
          <w:rFonts w:ascii="Times New Roman" w:hAnsi="Times New Roman" w:cs="Times New Roman"/>
          <w:i/>
          <w:iCs/>
          <w:color w:val="000000" w:themeColor="text1"/>
          <w:sz w:val="24"/>
          <w:szCs w:val="24"/>
        </w:rPr>
        <w:t>Microbes Infect Dis</w:t>
      </w:r>
      <w:r w:rsidRPr="00486CEA">
        <w:rPr>
          <w:rFonts w:ascii="Times New Roman" w:hAnsi="Times New Roman" w:cs="Times New Roman"/>
          <w:color w:val="000000" w:themeColor="text1"/>
          <w:sz w:val="24"/>
          <w:szCs w:val="24"/>
        </w:rPr>
        <w:t>. 2024;5(1):139–147.</w:t>
      </w:r>
    </w:p>
    <w:p w14:paraId="780C4CAF" w14:textId="77777777" w:rsidR="00486CEA" w:rsidRPr="00486CEA" w:rsidRDefault="00486CEA" w:rsidP="00FE2F0E">
      <w:pPr>
        <w:pStyle w:val="ListParagraph"/>
        <w:numPr>
          <w:ilvl w:val="0"/>
          <w:numId w:val="5"/>
        </w:numPr>
        <w:spacing w:line="360" w:lineRule="auto"/>
        <w:jc w:val="both"/>
        <w:rPr>
          <w:rFonts w:ascii="Times New Roman" w:hAnsi="Times New Roman" w:cs="Times New Roman"/>
          <w:color w:val="000000" w:themeColor="text1"/>
          <w:sz w:val="24"/>
          <w:szCs w:val="24"/>
        </w:rPr>
      </w:pPr>
      <w:r w:rsidRPr="00486CEA">
        <w:rPr>
          <w:rFonts w:ascii="Times New Roman" w:hAnsi="Times New Roman" w:cs="Times New Roman"/>
          <w:color w:val="000000" w:themeColor="text1"/>
          <w:sz w:val="24"/>
          <w:szCs w:val="24"/>
          <w:lang w:val="it-IT"/>
        </w:rPr>
        <w:t xml:space="preserve">Abi DA, Samson BJ, Gamde MS, Abriba SP. </w:t>
      </w:r>
      <w:r w:rsidRPr="00486CEA">
        <w:rPr>
          <w:rFonts w:ascii="Times New Roman" w:hAnsi="Times New Roman" w:cs="Times New Roman"/>
          <w:color w:val="000000" w:themeColor="text1"/>
          <w:sz w:val="24"/>
          <w:szCs w:val="24"/>
        </w:rPr>
        <w:t xml:space="preserve">Detection of </w:t>
      </w:r>
      <w:r w:rsidRPr="00486CEA">
        <w:rPr>
          <w:rFonts w:ascii="Times New Roman" w:hAnsi="Times New Roman" w:cs="Times New Roman"/>
          <w:i/>
          <w:iCs/>
          <w:color w:val="000000" w:themeColor="text1"/>
          <w:sz w:val="24"/>
          <w:szCs w:val="24"/>
        </w:rPr>
        <w:t>Mycobacterium tuberculosis</w:t>
      </w:r>
      <w:r w:rsidRPr="00486CEA">
        <w:rPr>
          <w:rFonts w:ascii="Times New Roman" w:hAnsi="Times New Roman" w:cs="Times New Roman"/>
          <w:color w:val="000000" w:themeColor="text1"/>
          <w:sz w:val="24"/>
          <w:szCs w:val="24"/>
        </w:rPr>
        <w:t xml:space="preserve"> in tongue swab. </w:t>
      </w:r>
      <w:r w:rsidRPr="00486CEA">
        <w:rPr>
          <w:rFonts w:ascii="Times New Roman" w:hAnsi="Times New Roman" w:cs="Times New Roman"/>
          <w:i/>
          <w:iCs/>
          <w:color w:val="000000" w:themeColor="text1"/>
          <w:sz w:val="24"/>
          <w:szCs w:val="24"/>
        </w:rPr>
        <w:t>Microbes Infect Dis</w:t>
      </w:r>
      <w:r w:rsidRPr="00486CEA">
        <w:rPr>
          <w:rFonts w:ascii="Times New Roman" w:hAnsi="Times New Roman" w:cs="Times New Roman"/>
          <w:color w:val="000000" w:themeColor="text1"/>
          <w:sz w:val="24"/>
          <w:szCs w:val="24"/>
        </w:rPr>
        <w:t>. 2024;5(1):168–177.</w:t>
      </w:r>
    </w:p>
    <w:p w14:paraId="296B4CDE" w14:textId="0C8EF5F9" w:rsidR="00152E45" w:rsidRPr="00486CEA" w:rsidRDefault="00486CEA" w:rsidP="00FE2F0E">
      <w:pPr>
        <w:pStyle w:val="ListParagraph"/>
        <w:numPr>
          <w:ilvl w:val="0"/>
          <w:numId w:val="5"/>
        </w:numPr>
        <w:spacing w:line="360" w:lineRule="auto"/>
        <w:jc w:val="both"/>
        <w:rPr>
          <w:rFonts w:ascii="Times New Roman" w:hAnsi="Times New Roman" w:cs="Times New Roman"/>
          <w:color w:val="000000" w:themeColor="text1"/>
          <w:sz w:val="24"/>
          <w:szCs w:val="24"/>
        </w:rPr>
      </w:pPr>
      <w:r w:rsidRPr="00486CEA">
        <w:rPr>
          <w:rFonts w:ascii="Times New Roman" w:hAnsi="Times New Roman" w:cs="Times New Roman"/>
          <w:color w:val="000000" w:themeColor="text1"/>
          <w:sz w:val="24"/>
          <w:szCs w:val="24"/>
          <w:lang w:val="it-IT"/>
        </w:rPr>
        <w:t xml:space="preserve">Abi DA, Sumayya A-M, Chama RB, Ajik M, Adeyoola AB, Emma-Ekwealor E, Nnenna OC &amp; Gamde MS. </w:t>
      </w:r>
      <w:r w:rsidRPr="00486CEA">
        <w:rPr>
          <w:rFonts w:ascii="Times New Roman" w:hAnsi="Times New Roman" w:cs="Times New Roman"/>
          <w:color w:val="000000" w:themeColor="text1"/>
          <w:sz w:val="24"/>
          <w:szCs w:val="24"/>
        </w:rPr>
        <w:t>Commentary review on trends and emerging challenges of tuberculosis and drug resistance. </w:t>
      </w:r>
      <w:r w:rsidRPr="00486CEA">
        <w:rPr>
          <w:rFonts w:ascii="Times New Roman" w:hAnsi="Times New Roman" w:cs="Times New Roman"/>
          <w:i/>
          <w:iCs/>
          <w:color w:val="000000" w:themeColor="text1"/>
          <w:sz w:val="24"/>
          <w:szCs w:val="24"/>
        </w:rPr>
        <w:t>Journal of Public Health and Diseases.</w:t>
      </w:r>
      <w:r w:rsidRPr="00486CEA">
        <w:rPr>
          <w:rFonts w:ascii="Times New Roman" w:hAnsi="Times New Roman" w:cs="Times New Roman"/>
          <w:color w:val="000000" w:themeColor="text1"/>
          <w:sz w:val="24"/>
          <w:szCs w:val="24"/>
        </w:rPr>
        <w:t> 2025 Apr 30:7(2): 25-34.</w:t>
      </w:r>
    </w:p>
    <w:p w14:paraId="44A4A473" w14:textId="77777777" w:rsidR="0099050B" w:rsidRDefault="00CB7809" w:rsidP="00FE2F0E">
      <w:pPr>
        <w:pStyle w:val="ListParagraph"/>
        <w:numPr>
          <w:ilvl w:val="0"/>
          <w:numId w:val="5"/>
        </w:numPr>
        <w:spacing w:line="360" w:lineRule="auto"/>
        <w:jc w:val="both"/>
        <w:rPr>
          <w:rFonts w:ascii="Times New Roman" w:hAnsi="Times New Roman" w:cs="Times New Roman"/>
          <w:sz w:val="24"/>
          <w:szCs w:val="24"/>
        </w:rPr>
      </w:pPr>
      <w:r w:rsidRPr="00FB7D3C">
        <w:rPr>
          <w:rFonts w:ascii="Times New Roman" w:hAnsi="Times New Roman" w:cs="Times New Roman"/>
          <w:sz w:val="24"/>
          <w:szCs w:val="24"/>
        </w:rPr>
        <w:t xml:space="preserve">World Health Organization. </w:t>
      </w:r>
      <w:r w:rsidRPr="00FB7D3C">
        <w:rPr>
          <w:rFonts w:ascii="Times New Roman" w:hAnsi="Times New Roman" w:cs="Times New Roman"/>
          <w:i/>
          <w:iCs/>
          <w:sz w:val="24"/>
          <w:szCs w:val="24"/>
        </w:rPr>
        <w:t>Global tuberculosis report 2024</w:t>
      </w:r>
      <w:r w:rsidRPr="00FB7D3C">
        <w:rPr>
          <w:rFonts w:ascii="Times New Roman" w:hAnsi="Times New Roman" w:cs="Times New Roman"/>
          <w:sz w:val="24"/>
          <w:szCs w:val="24"/>
        </w:rPr>
        <w:t xml:space="preserve">. Geneva: </w:t>
      </w:r>
      <w:r w:rsidR="001F4658" w:rsidRPr="00FB7D3C">
        <w:rPr>
          <w:rFonts w:ascii="Times New Roman" w:hAnsi="Times New Roman" w:cs="Times New Roman"/>
          <w:sz w:val="24"/>
          <w:szCs w:val="24"/>
        </w:rPr>
        <w:t>WHO, 202</w:t>
      </w:r>
      <w:r w:rsidR="00FB7D3C" w:rsidRPr="00FB7D3C">
        <w:rPr>
          <w:rFonts w:ascii="Times New Roman" w:hAnsi="Times New Roman" w:cs="Times New Roman"/>
          <w:sz w:val="24"/>
          <w:szCs w:val="24"/>
        </w:rPr>
        <w:t>4</w:t>
      </w:r>
    </w:p>
    <w:p w14:paraId="77F3AC68" w14:textId="12A0FA07" w:rsidR="001F4658" w:rsidRPr="00FB7D3C" w:rsidRDefault="00CB7809" w:rsidP="00FE2F0E">
      <w:pPr>
        <w:pStyle w:val="ListParagraph"/>
        <w:numPr>
          <w:ilvl w:val="0"/>
          <w:numId w:val="5"/>
        </w:numPr>
        <w:spacing w:line="360" w:lineRule="auto"/>
        <w:jc w:val="both"/>
        <w:rPr>
          <w:rFonts w:ascii="Times New Roman" w:hAnsi="Times New Roman" w:cs="Times New Roman"/>
          <w:sz w:val="24"/>
          <w:szCs w:val="24"/>
        </w:rPr>
      </w:pPr>
      <w:r w:rsidRPr="00FB7D3C">
        <w:rPr>
          <w:rFonts w:ascii="Times New Roman" w:hAnsi="Times New Roman" w:cs="Times New Roman"/>
          <w:sz w:val="24"/>
          <w:szCs w:val="24"/>
        </w:rPr>
        <w:t xml:space="preserve">World Health Organization. </w:t>
      </w:r>
      <w:r w:rsidRPr="00FB7D3C">
        <w:rPr>
          <w:rFonts w:ascii="Times New Roman" w:hAnsi="Times New Roman" w:cs="Times New Roman"/>
          <w:i/>
          <w:iCs/>
          <w:sz w:val="24"/>
          <w:szCs w:val="24"/>
        </w:rPr>
        <w:t>Global tuberculosis report 2024</w:t>
      </w:r>
      <w:r w:rsidRPr="00FB7D3C">
        <w:rPr>
          <w:rFonts w:ascii="Times New Roman" w:hAnsi="Times New Roman" w:cs="Times New Roman"/>
          <w:sz w:val="24"/>
          <w:szCs w:val="24"/>
        </w:rPr>
        <w:t xml:space="preserve">. Geneva: </w:t>
      </w:r>
      <w:r w:rsidR="001F4658" w:rsidRPr="00FB7D3C">
        <w:rPr>
          <w:rFonts w:ascii="Times New Roman" w:hAnsi="Times New Roman" w:cs="Times New Roman"/>
          <w:sz w:val="24"/>
          <w:szCs w:val="24"/>
        </w:rPr>
        <w:t xml:space="preserve">WHO, 2025 </w:t>
      </w:r>
      <w:hyperlink r:id="rId8" w:history="1">
        <w:r w:rsidR="001F4658" w:rsidRPr="00FB7D3C">
          <w:rPr>
            <w:rStyle w:val="Hyperlink"/>
            <w:rFonts w:ascii="Times New Roman" w:hAnsi="Times New Roman" w:cs="Times New Roman"/>
            <w:sz w:val="24"/>
            <w:szCs w:val="24"/>
          </w:rPr>
          <w:t>https://www.who.int/news-room/fact-sheets/detail/tuberculosis</w:t>
        </w:r>
      </w:hyperlink>
    </w:p>
    <w:p w14:paraId="36D46E3E" w14:textId="14416B30" w:rsidR="00794731" w:rsidRPr="00794731" w:rsidRDefault="00794731" w:rsidP="00FE2F0E">
      <w:pPr>
        <w:numPr>
          <w:ilvl w:val="0"/>
          <w:numId w:val="5"/>
        </w:numPr>
        <w:spacing w:line="360" w:lineRule="auto"/>
        <w:jc w:val="both"/>
        <w:rPr>
          <w:rFonts w:ascii="Times New Roman" w:hAnsi="Times New Roman" w:cs="Times New Roman"/>
          <w:sz w:val="24"/>
          <w:szCs w:val="24"/>
        </w:rPr>
      </w:pPr>
      <w:r w:rsidRPr="00794731">
        <w:rPr>
          <w:rFonts w:ascii="Times New Roman" w:hAnsi="Times New Roman" w:cs="Times New Roman"/>
          <w:sz w:val="24"/>
          <w:szCs w:val="24"/>
        </w:rPr>
        <w:t>National Tuberculosis, Leprosy and Buruli Ulcer Control Programme (NTBLCP). National Strategic Plan for Tuberculosis, Leprosy and Buruli Ulcer Control 2021–2025. Abuja: Federal Ministry of Health; 2023.</w:t>
      </w:r>
    </w:p>
    <w:p w14:paraId="046BF0D0" w14:textId="64FC1E41" w:rsidR="00CC230C" w:rsidRPr="008F2578" w:rsidRDefault="00794731" w:rsidP="00FE2F0E">
      <w:pPr>
        <w:numPr>
          <w:ilvl w:val="0"/>
          <w:numId w:val="5"/>
        </w:numPr>
        <w:spacing w:line="360" w:lineRule="auto"/>
        <w:jc w:val="both"/>
        <w:rPr>
          <w:rFonts w:ascii="Times New Roman" w:hAnsi="Times New Roman" w:cs="Times New Roman"/>
          <w:sz w:val="24"/>
          <w:szCs w:val="24"/>
        </w:rPr>
      </w:pPr>
      <w:r w:rsidRPr="00794731">
        <w:rPr>
          <w:rFonts w:ascii="Times New Roman" w:hAnsi="Times New Roman" w:cs="Times New Roman"/>
          <w:sz w:val="24"/>
          <w:szCs w:val="24"/>
        </w:rPr>
        <w:t>National Tuberculosis, Leprosy and Buruli Ulcer Control Programme (NTBLCP). Annual TB Report 2023. Abuja: FMOH; 2024.</w:t>
      </w:r>
    </w:p>
    <w:p w14:paraId="51264AEA" w14:textId="025EA852" w:rsidR="002163EC" w:rsidRPr="002163EC" w:rsidRDefault="002163EC" w:rsidP="00FE2F0E">
      <w:pPr>
        <w:numPr>
          <w:ilvl w:val="0"/>
          <w:numId w:val="5"/>
        </w:numPr>
        <w:spacing w:line="360" w:lineRule="auto"/>
        <w:jc w:val="both"/>
        <w:rPr>
          <w:rFonts w:ascii="Times New Roman" w:hAnsi="Times New Roman" w:cs="Times New Roman"/>
          <w:sz w:val="24"/>
          <w:szCs w:val="24"/>
        </w:rPr>
      </w:pPr>
      <w:proofErr w:type="spellStart"/>
      <w:r w:rsidRPr="002163EC">
        <w:rPr>
          <w:rFonts w:ascii="Times New Roman" w:hAnsi="Times New Roman" w:cs="Times New Roman"/>
          <w:sz w:val="24"/>
          <w:szCs w:val="24"/>
        </w:rPr>
        <w:t>Ugwu</w:t>
      </w:r>
      <w:proofErr w:type="spellEnd"/>
      <w:r w:rsidRPr="002163EC">
        <w:rPr>
          <w:rFonts w:ascii="Times New Roman" w:hAnsi="Times New Roman" w:cs="Times New Roman"/>
          <w:sz w:val="24"/>
          <w:szCs w:val="24"/>
        </w:rPr>
        <w:t xml:space="preserve"> KO, </w:t>
      </w:r>
      <w:proofErr w:type="spellStart"/>
      <w:r w:rsidRPr="002163EC">
        <w:rPr>
          <w:rFonts w:ascii="Times New Roman" w:hAnsi="Times New Roman" w:cs="Times New Roman"/>
          <w:sz w:val="24"/>
          <w:szCs w:val="24"/>
        </w:rPr>
        <w:t>Agbo</w:t>
      </w:r>
      <w:proofErr w:type="spellEnd"/>
      <w:r w:rsidRPr="002163EC">
        <w:rPr>
          <w:rFonts w:ascii="Times New Roman" w:hAnsi="Times New Roman" w:cs="Times New Roman"/>
          <w:sz w:val="24"/>
          <w:szCs w:val="24"/>
        </w:rPr>
        <w:t xml:space="preserve"> MC, </w:t>
      </w:r>
      <w:proofErr w:type="spellStart"/>
      <w:r w:rsidRPr="002163EC">
        <w:rPr>
          <w:rFonts w:ascii="Times New Roman" w:hAnsi="Times New Roman" w:cs="Times New Roman"/>
          <w:sz w:val="24"/>
          <w:szCs w:val="24"/>
        </w:rPr>
        <w:t>Ezeonu</w:t>
      </w:r>
      <w:proofErr w:type="spellEnd"/>
      <w:r w:rsidRPr="002163EC">
        <w:rPr>
          <w:rFonts w:ascii="Times New Roman" w:hAnsi="Times New Roman" w:cs="Times New Roman"/>
          <w:sz w:val="24"/>
          <w:szCs w:val="24"/>
        </w:rPr>
        <w:t xml:space="preserve"> IM. Prevalence of tuberculosis, drug-resistant tuberculosis and HIV/TB co-infection in Enugu, Nigeria. </w:t>
      </w:r>
      <w:proofErr w:type="spellStart"/>
      <w:r w:rsidRPr="002163EC">
        <w:rPr>
          <w:rFonts w:ascii="Times New Roman" w:hAnsi="Times New Roman" w:cs="Times New Roman"/>
          <w:sz w:val="24"/>
          <w:szCs w:val="24"/>
        </w:rPr>
        <w:t>Afr</w:t>
      </w:r>
      <w:proofErr w:type="spellEnd"/>
      <w:r w:rsidRPr="002163EC">
        <w:rPr>
          <w:rFonts w:ascii="Times New Roman" w:hAnsi="Times New Roman" w:cs="Times New Roman"/>
          <w:sz w:val="24"/>
          <w:szCs w:val="24"/>
        </w:rPr>
        <w:t xml:space="preserve"> J Infect Dis. 2021;15(2):24–30.</w:t>
      </w:r>
    </w:p>
    <w:p w14:paraId="4514DCA8"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t xml:space="preserve">Egbe K, Ike AC, </w:t>
      </w:r>
      <w:proofErr w:type="spellStart"/>
      <w:r w:rsidRPr="002163EC">
        <w:rPr>
          <w:rFonts w:ascii="Times New Roman" w:hAnsi="Times New Roman" w:cs="Times New Roman"/>
          <w:sz w:val="24"/>
          <w:szCs w:val="24"/>
        </w:rPr>
        <w:t>Aleruchi</w:t>
      </w:r>
      <w:proofErr w:type="spellEnd"/>
      <w:r w:rsidRPr="002163EC">
        <w:rPr>
          <w:rFonts w:ascii="Times New Roman" w:hAnsi="Times New Roman" w:cs="Times New Roman"/>
          <w:sz w:val="24"/>
          <w:szCs w:val="24"/>
        </w:rPr>
        <w:t xml:space="preserve"> C. Prevalence of tuberculosis and rifampicin resistance among patients seeking medical care in Nasarawa State, North Central Nigeria. Sci J Public Health. </w:t>
      </w:r>
      <w:proofErr w:type="gramStart"/>
      <w:r w:rsidRPr="002163EC">
        <w:rPr>
          <w:rFonts w:ascii="Times New Roman" w:hAnsi="Times New Roman" w:cs="Times New Roman"/>
          <w:sz w:val="24"/>
          <w:szCs w:val="24"/>
        </w:rPr>
        <w:t>2016;4:214</w:t>
      </w:r>
      <w:proofErr w:type="gramEnd"/>
      <w:r w:rsidRPr="002163EC">
        <w:rPr>
          <w:rFonts w:ascii="Times New Roman" w:hAnsi="Times New Roman" w:cs="Times New Roman"/>
          <w:sz w:val="24"/>
          <w:szCs w:val="24"/>
        </w:rPr>
        <w:t>–218.</w:t>
      </w:r>
    </w:p>
    <w:p w14:paraId="4C61F737"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proofErr w:type="spellStart"/>
      <w:r w:rsidRPr="002163EC">
        <w:rPr>
          <w:rFonts w:ascii="Times New Roman" w:hAnsi="Times New Roman" w:cs="Times New Roman"/>
          <w:sz w:val="24"/>
          <w:szCs w:val="24"/>
        </w:rPr>
        <w:t>Bolarinwa</w:t>
      </w:r>
      <w:proofErr w:type="spellEnd"/>
      <w:r w:rsidRPr="002163EC">
        <w:rPr>
          <w:rFonts w:ascii="Times New Roman" w:hAnsi="Times New Roman" w:cs="Times New Roman"/>
          <w:sz w:val="24"/>
          <w:szCs w:val="24"/>
        </w:rPr>
        <w:t xml:space="preserve"> OF, </w:t>
      </w:r>
      <w:proofErr w:type="spellStart"/>
      <w:r w:rsidRPr="002163EC">
        <w:rPr>
          <w:rFonts w:ascii="Times New Roman" w:hAnsi="Times New Roman" w:cs="Times New Roman"/>
          <w:sz w:val="24"/>
          <w:szCs w:val="24"/>
        </w:rPr>
        <w:t>Ngwai</w:t>
      </w:r>
      <w:proofErr w:type="spellEnd"/>
      <w:r w:rsidRPr="002163EC">
        <w:rPr>
          <w:rFonts w:ascii="Times New Roman" w:hAnsi="Times New Roman" w:cs="Times New Roman"/>
          <w:sz w:val="24"/>
          <w:szCs w:val="24"/>
        </w:rPr>
        <w:t xml:space="preserve"> YB, </w:t>
      </w:r>
      <w:proofErr w:type="spellStart"/>
      <w:r w:rsidRPr="002163EC">
        <w:rPr>
          <w:rFonts w:ascii="Times New Roman" w:hAnsi="Times New Roman" w:cs="Times New Roman"/>
          <w:sz w:val="24"/>
          <w:szCs w:val="24"/>
        </w:rPr>
        <w:t>Nkene</w:t>
      </w:r>
      <w:proofErr w:type="spellEnd"/>
      <w:r w:rsidRPr="002163EC">
        <w:rPr>
          <w:rFonts w:ascii="Times New Roman" w:hAnsi="Times New Roman" w:cs="Times New Roman"/>
          <w:sz w:val="24"/>
          <w:szCs w:val="24"/>
        </w:rPr>
        <w:t xml:space="preserve"> IH, et al. Temporal trend and prevalence of </w:t>
      </w:r>
      <w:r w:rsidRPr="002163EC">
        <w:rPr>
          <w:rFonts w:ascii="Times New Roman" w:hAnsi="Times New Roman" w:cs="Times New Roman"/>
          <w:i/>
          <w:iCs/>
          <w:sz w:val="24"/>
          <w:szCs w:val="24"/>
        </w:rPr>
        <w:t>Mycobacterium tuberculosis</w:t>
      </w:r>
      <w:r w:rsidRPr="002163EC">
        <w:rPr>
          <w:rFonts w:ascii="Times New Roman" w:hAnsi="Times New Roman" w:cs="Times New Roman"/>
          <w:sz w:val="24"/>
          <w:szCs w:val="24"/>
        </w:rPr>
        <w:t xml:space="preserve"> among patients attending ERCC Medical Centre, Alushi, Nigeria. Asian J Res Infect Dis. 2025;16(9):54–62.</w:t>
      </w:r>
    </w:p>
    <w:p w14:paraId="6555DF2E"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lang w:val="nl-NL"/>
        </w:rPr>
        <w:lastRenderedPageBreak/>
        <w:t xml:space="preserve">Akubuo CRM, Agbasi OM, Mejuru CC, et al. </w:t>
      </w:r>
      <w:r w:rsidRPr="002163EC">
        <w:rPr>
          <w:rFonts w:ascii="Times New Roman" w:hAnsi="Times New Roman" w:cs="Times New Roman"/>
          <w:sz w:val="24"/>
          <w:szCs w:val="24"/>
        </w:rPr>
        <w:t>Prevalence of tuberculosis among HIV-positive patients attending a tertiary hospital in South-Eastern Nigeria. 2025.</w:t>
      </w:r>
    </w:p>
    <w:p w14:paraId="2A5FDEA0"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t>Yazeed GB, Musa BOP, Abba AA, et al. Prevalence of pulmonary tuberculosis among Hausa-Fulani patients attending National Tuberculosis and Leprosy Training Centre, Zaria, Nigeria. 2025.</w:t>
      </w:r>
    </w:p>
    <w:p w14:paraId="3AEC5DB7"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t>Adamu AU, Taura DW, Mukhtar MD, et al. Prevalence of rifampicin-resistant tuberculosis among patients with pulmonary tuberculosis in Kano, Nigeria.</w:t>
      </w:r>
    </w:p>
    <w:p w14:paraId="18D41B29"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lang w:val="it-IT"/>
        </w:rPr>
        <w:t xml:space="preserve">Silas G, Nwakulite A, Azibagir W, et al. </w:t>
      </w:r>
      <w:r w:rsidRPr="002163EC">
        <w:rPr>
          <w:rFonts w:ascii="Times New Roman" w:hAnsi="Times New Roman" w:cs="Times New Roman"/>
          <w:sz w:val="24"/>
          <w:szCs w:val="24"/>
        </w:rPr>
        <w:t xml:space="preserve">Evaluating the prevalence of </w:t>
      </w:r>
      <w:r w:rsidRPr="002163EC">
        <w:rPr>
          <w:rFonts w:ascii="Times New Roman" w:hAnsi="Times New Roman" w:cs="Times New Roman"/>
          <w:i/>
          <w:iCs/>
          <w:sz w:val="24"/>
          <w:szCs w:val="24"/>
        </w:rPr>
        <w:t>Mycobacterium tuberculosis</w:t>
      </w:r>
      <w:r w:rsidRPr="002163EC">
        <w:rPr>
          <w:rFonts w:ascii="Times New Roman" w:hAnsi="Times New Roman" w:cs="Times New Roman"/>
          <w:sz w:val="24"/>
          <w:szCs w:val="24"/>
        </w:rPr>
        <w:t xml:space="preserve"> among symptomatic individuals in </w:t>
      </w:r>
      <w:proofErr w:type="spellStart"/>
      <w:r w:rsidRPr="002163EC">
        <w:rPr>
          <w:rFonts w:ascii="Times New Roman" w:hAnsi="Times New Roman" w:cs="Times New Roman"/>
          <w:sz w:val="24"/>
          <w:szCs w:val="24"/>
        </w:rPr>
        <w:t>Uyakama</w:t>
      </w:r>
      <w:proofErr w:type="spellEnd"/>
      <w:r w:rsidRPr="002163EC">
        <w:rPr>
          <w:rFonts w:ascii="Times New Roman" w:hAnsi="Times New Roman" w:cs="Times New Roman"/>
          <w:sz w:val="24"/>
          <w:szCs w:val="24"/>
        </w:rPr>
        <w:t xml:space="preserve"> community, Rivers State, Nigeria. South Asian J Res </w:t>
      </w:r>
      <w:proofErr w:type="spellStart"/>
      <w:r w:rsidRPr="002163EC">
        <w:rPr>
          <w:rFonts w:ascii="Times New Roman" w:hAnsi="Times New Roman" w:cs="Times New Roman"/>
          <w:sz w:val="24"/>
          <w:szCs w:val="24"/>
        </w:rPr>
        <w:t>Microbiol</w:t>
      </w:r>
      <w:proofErr w:type="spellEnd"/>
      <w:r w:rsidRPr="002163EC">
        <w:rPr>
          <w:rFonts w:ascii="Times New Roman" w:hAnsi="Times New Roman" w:cs="Times New Roman"/>
          <w:sz w:val="24"/>
          <w:szCs w:val="24"/>
        </w:rPr>
        <w:t>. 2025;19(6):15–21.</w:t>
      </w:r>
    </w:p>
    <w:p w14:paraId="1C22BA08"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lang w:val="it-IT"/>
        </w:rPr>
        <w:t xml:space="preserve">Shehu MA, Amoo FK, Ibrahim MM, et al. </w:t>
      </w:r>
      <w:r w:rsidRPr="002163EC">
        <w:rPr>
          <w:rFonts w:ascii="Times New Roman" w:hAnsi="Times New Roman" w:cs="Times New Roman"/>
          <w:sz w:val="24"/>
          <w:szCs w:val="24"/>
        </w:rPr>
        <w:t>Prevalence and risk factors associated with tuberculosis among patients attending General Hospital Toro, Bauchi State, Nigeria. DUJOPAS. 2025;11(2c).</w:t>
      </w:r>
    </w:p>
    <w:p w14:paraId="7B4778FA"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t>Amala SE, Silas G. Prevalence of tuberculosis and multidrug-resistant tuberculosis in Bayelsa State, Nigeria. Asian J Health Med Res. 2019;5(1):1–5.</w:t>
      </w:r>
    </w:p>
    <w:p w14:paraId="7FF9183C"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lang w:val="it-IT"/>
        </w:rPr>
        <w:t xml:space="preserve">Nwoga HO, Igweagu CP, Umeh GC. </w:t>
      </w:r>
      <w:r w:rsidRPr="002163EC">
        <w:rPr>
          <w:rFonts w:ascii="Times New Roman" w:hAnsi="Times New Roman" w:cs="Times New Roman"/>
          <w:sz w:val="24"/>
          <w:szCs w:val="24"/>
        </w:rPr>
        <w:t>Prevalence and determinants of TB/HIV coinfection in Enugu State, Nigeria. BMJ Open. 2024;</w:t>
      </w:r>
      <w:proofErr w:type="gramStart"/>
      <w:r w:rsidRPr="002163EC">
        <w:rPr>
          <w:rFonts w:ascii="Times New Roman" w:hAnsi="Times New Roman" w:cs="Times New Roman"/>
          <w:sz w:val="24"/>
          <w:szCs w:val="24"/>
        </w:rPr>
        <w:t>14:e</w:t>
      </w:r>
      <w:proofErr w:type="gramEnd"/>
      <w:r w:rsidRPr="002163EC">
        <w:rPr>
          <w:rFonts w:ascii="Times New Roman" w:hAnsi="Times New Roman" w:cs="Times New Roman"/>
          <w:sz w:val="24"/>
          <w:szCs w:val="24"/>
        </w:rPr>
        <w:t>088287.</w:t>
      </w:r>
    </w:p>
    <w:p w14:paraId="1223BB19"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t xml:space="preserve">Ejeh FE, et al. Prevalence of rifampicin-resistant tuberculosis among HIV/TB coinfected patients in Benue State, Nigeria. Pan </w:t>
      </w:r>
      <w:proofErr w:type="spellStart"/>
      <w:r w:rsidRPr="002163EC">
        <w:rPr>
          <w:rFonts w:ascii="Times New Roman" w:hAnsi="Times New Roman" w:cs="Times New Roman"/>
          <w:sz w:val="24"/>
          <w:szCs w:val="24"/>
        </w:rPr>
        <w:t>Afr</w:t>
      </w:r>
      <w:proofErr w:type="spellEnd"/>
      <w:r w:rsidRPr="002163EC">
        <w:rPr>
          <w:rFonts w:ascii="Times New Roman" w:hAnsi="Times New Roman" w:cs="Times New Roman"/>
          <w:sz w:val="24"/>
          <w:szCs w:val="24"/>
        </w:rPr>
        <w:t xml:space="preserve"> Med J. </w:t>
      </w:r>
      <w:proofErr w:type="gramStart"/>
      <w:r w:rsidRPr="002163EC">
        <w:rPr>
          <w:rFonts w:ascii="Times New Roman" w:hAnsi="Times New Roman" w:cs="Times New Roman"/>
          <w:sz w:val="24"/>
          <w:szCs w:val="24"/>
        </w:rPr>
        <w:t>2021;38:203</w:t>
      </w:r>
      <w:proofErr w:type="gramEnd"/>
      <w:r w:rsidRPr="002163EC">
        <w:rPr>
          <w:rFonts w:ascii="Times New Roman" w:hAnsi="Times New Roman" w:cs="Times New Roman"/>
          <w:sz w:val="24"/>
          <w:szCs w:val="24"/>
        </w:rPr>
        <w:t>.</w:t>
      </w:r>
    </w:p>
    <w:p w14:paraId="7FCD66F3"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t xml:space="preserve">Daniel O, Osman E. Prevalence and risk factors associated with drug-resistant tuberculosis in South-West Nigeria. Asian Pac J Trop Med. </w:t>
      </w:r>
      <w:proofErr w:type="gramStart"/>
      <w:r w:rsidRPr="002163EC">
        <w:rPr>
          <w:rFonts w:ascii="Times New Roman" w:hAnsi="Times New Roman" w:cs="Times New Roman"/>
          <w:sz w:val="24"/>
          <w:szCs w:val="24"/>
        </w:rPr>
        <w:t>2011;4:148</w:t>
      </w:r>
      <w:proofErr w:type="gramEnd"/>
      <w:r w:rsidRPr="002163EC">
        <w:rPr>
          <w:rFonts w:ascii="Times New Roman" w:hAnsi="Times New Roman" w:cs="Times New Roman"/>
          <w:sz w:val="24"/>
          <w:szCs w:val="24"/>
        </w:rPr>
        <w:t>–151.</w:t>
      </w:r>
    </w:p>
    <w:p w14:paraId="05F37350"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lang w:val="nl-NL"/>
        </w:rPr>
        <w:t xml:space="preserve">Audu ES, Nwagbo DF, John BI, et al. </w:t>
      </w:r>
      <w:r w:rsidRPr="002163EC">
        <w:rPr>
          <w:rFonts w:ascii="Times New Roman" w:hAnsi="Times New Roman" w:cs="Times New Roman"/>
          <w:sz w:val="24"/>
          <w:szCs w:val="24"/>
        </w:rPr>
        <w:t xml:space="preserve">Prevalence of </w:t>
      </w:r>
      <w:r w:rsidRPr="002163EC">
        <w:rPr>
          <w:rFonts w:ascii="Times New Roman" w:hAnsi="Times New Roman" w:cs="Times New Roman"/>
          <w:i/>
          <w:iCs/>
          <w:sz w:val="24"/>
          <w:szCs w:val="24"/>
        </w:rPr>
        <w:t>Mycobacterium tuberculosis</w:t>
      </w:r>
      <w:r w:rsidRPr="002163EC">
        <w:rPr>
          <w:rFonts w:ascii="Times New Roman" w:hAnsi="Times New Roman" w:cs="Times New Roman"/>
          <w:sz w:val="24"/>
          <w:szCs w:val="24"/>
        </w:rPr>
        <w:t xml:space="preserve"> among HIV-positive patients attending BSUTH Makurdi. Int J Sci Res </w:t>
      </w:r>
      <w:proofErr w:type="spellStart"/>
      <w:r w:rsidRPr="002163EC">
        <w:rPr>
          <w:rFonts w:ascii="Times New Roman" w:hAnsi="Times New Roman" w:cs="Times New Roman"/>
          <w:sz w:val="24"/>
          <w:szCs w:val="24"/>
        </w:rPr>
        <w:t>Biol</w:t>
      </w:r>
      <w:proofErr w:type="spellEnd"/>
      <w:r w:rsidRPr="002163EC">
        <w:rPr>
          <w:rFonts w:ascii="Times New Roman" w:hAnsi="Times New Roman" w:cs="Times New Roman"/>
          <w:sz w:val="24"/>
          <w:szCs w:val="24"/>
        </w:rPr>
        <w:t xml:space="preserve"> Sci. 2025;12(5):18–24.</w:t>
      </w:r>
    </w:p>
    <w:p w14:paraId="679B816D"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proofErr w:type="spellStart"/>
      <w:r w:rsidRPr="002163EC">
        <w:rPr>
          <w:rFonts w:ascii="Times New Roman" w:hAnsi="Times New Roman" w:cs="Times New Roman"/>
          <w:sz w:val="24"/>
          <w:szCs w:val="24"/>
        </w:rPr>
        <w:t>Odume</w:t>
      </w:r>
      <w:proofErr w:type="spellEnd"/>
      <w:r w:rsidRPr="002163EC">
        <w:rPr>
          <w:rFonts w:ascii="Times New Roman" w:hAnsi="Times New Roman" w:cs="Times New Roman"/>
          <w:sz w:val="24"/>
          <w:szCs w:val="24"/>
        </w:rPr>
        <w:t xml:space="preserve"> B, </w:t>
      </w:r>
      <w:proofErr w:type="spellStart"/>
      <w:r w:rsidRPr="002163EC">
        <w:rPr>
          <w:rFonts w:ascii="Times New Roman" w:hAnsi="Times New Roman" w:cs="Times New Roman"/>
          <w:sz w:val="24"/>
          <w:szCs w:val="24"/>
        </w:rPr>
        <w:t>Ogbudebe</w:t>
      </w:r>
      <w:proofErr w:type="spellEnd"/>
      <w:r w:rsidRPr="002163EC">
        <w:rPr>
          <w:rFonts w:ascii="Times New Roman" w:hAnsi="Times New Roman" w:cs="Times New Roman"/>
          <w:sz w:val="24"/>
          <w:szCs w:val="24"/>
        </w:rPr>
        <w:t xml:space="preserve"> C, Mukadi Y, et al. The burden of subclinical tuberculosis in Nigeria. Public Health Action. 2024;14(4).</w:t>
      </w:r>
    </w:p>
    <w:p w14:paraId="53C129BC"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proofErr w:type="spellStart"/>
      <w:r w:rsidRPr="002163EC">
        <w:rPr>
          <w:rFonts w:ascii="Times New Roman" w:hAnsi="Times New Roman" w:cs="Times New Roman"/>
          <w:sz w:val="24"/>
          <w:szCs w:val="24"/>
        </w:rPr>
        <w:t>Ajide</w:t>
      </w:r>
      <w:proofErr w:type="spellEnd"/>
      <w:r w:rsidRPr="002163EC">
        <w:rPr>
          <w:rFonts w:ascii="Times New Roman" w:hAnsi="Times New Roman" w:cs="Times New Roman"/>
          <w:sz w:val="24"/>
          <w:szCs w:val="24"/>
        </w:rPr>
        <w:t xml:space="preserve"> B, </w:t>
      </w:r>
      <w:proofErr w:type="spellStart"/>
      <w:r w:rsidRPr="002163EC">
        <w:rPr>
          <w:rFonts w:ascii="Times New Roman" w:hAnsi="Times New Roman" w:cs="Times New Roman"/>
          <w:sz w:val="24"/>
          <w:szCs w:val="24"/>
        </w:rPr>
        <w:t>Chuku</w:t>
      </w:r>
      <w:proofErr w:type="spellEnd"/>
      <w:r w:rsidRPr="002163EC">
        <w:rPr>
          <w:rFonts w:ascii="Times New Roman" w:hAnsi="Times New Roman" w:cs="Times New Roman"/>
          <w:sz w:val="24"/>
          <w:szCs w:val="24"/>
        </w:rPr>
        <w:t xml:space="preserve"> A, Lawson L, </w:t>
      </w:r>
      <w:proofErr w:type="spellStart"/>
      <w:r w:rsidRPr="002163EC">
        <w:rPr>
          <w:rFonts w:ascii="Times New Roman" w:hAnsi="Times New Roman" w:cs="Times New Roman"/>
          <w:sz w:val="24"/>
          <w:szCs w:val="24"/>
        </w:rPr>
        <w:t>Orole</w:t>
      </w:r>
      <w:proofErr w:type="spellEnd"/>
      <w:r w:rsidRPr="002163EC">
        <w:rPr>
          <w:rFonts w:ascii="Times New Roman" w:hAnsi="Times New Roman" w:cs="Times New Roman"/>
          <w:sz w:val="24"/>
          <w:szCs w:val="24"/>
        </w:rPr>
        <w:t xml:space="preserve"> K, </w:t>
      </w:r>
      <w:proofErr w:type="spellStart"/>
      <w:r w:rsidRPr="002163EC">
        <w:rPr>
          <w:rFonts w:ascii="Times New Roman" w:hAnsi="Times New Roman" w:cs="Times New Roman"/>
          <w:sz w:val="24"/>
          <w:szCs w:val="24"/>
        </w:rPr>
        <w:t>Adogo</w:t>
      </w:r>
      <w:proofErr w:type="spellEnd"/>
      <w:r w:rsidRPr="002163EC">
        <w:rPr>
          <w:rFonts w:ascii="Times New Roman" w:hAnsi="Times New Roman" w:cs="Times New Roman"/>
          <w:sz w:val="24"/>
          <w:szCs w:val="24"/>
        </w:rPr>
        <w:t xml:space="preserve"> L. Prevalence of </w:t>
      </w:r>
      <w:r w:rsidRPr="002163EC">
        <w:rPr>
          <w:rFonts w:ascii="Times New Roman" w:hAnsi="Times New Roman" w:cs="Times New Roman"/>
          <w:i/>
          <w:iCs/>
          <w:sz w:val="24"/>
          <w:szCs w:val="24"/>
        </w:rPr>
        <w:t>Mycobacterium tuberculosis</w:t>
      </w:r>
      <w:r w:rsidRPr="002163EC">
        <w:rPr>
          <w:rFonts w:ascii="Times New Roman" w:hAnsi="Times New Roman" w:cs="Times New Roman"/>
          <w:sz w:val="24"/>
          <w:szCs w:val="24"/>
        </w:rPr>
        <w:t xml:space="preserve"> in North Central Nigeria. Niger J </w:t>
      </w:r>
      <w:proofErr w:type="spellStart"/>
      <w:r w:rsidRPr="002163EC">
        <w:rPr>
          <w:rFonts w:ascii="Times New Roman" w:hAnsi="Times New Roman" w:cs="Times New Roman"/>
          <w:sz w:val="24"/>
          <w:szCs w:val="24"/>
        </w:rPr>
        <w:t>Microbiol</w:t>
      </w:r>
      <w:proofErr w:type="spellEnd"/>
      <w:r w:rsidRPr="002163EC">
        <w:rPr>
          <w:rFonts w:ascii="Times New Roman" w:hAnsi="Times New Roman" w:cs="Times New Roman"/>
          <w:sz w:val="24"/>
          <w:szCs w:val="24"/>
        </w:rPr>
        <w:t>. 34(2):5325–5332.</w:t>
      </w:r>
    </w:p>
    <w:p w14:paraId="346AE3CB"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proofErr w:type="spellStart"/>
      <w:r w:rsidRPr="002163EC">
        <w:rPr>
          <w:rFonts w:ascii="Times New Roman" w:hAnsi="Times New Roman" w:cs="Times New Roman"/>
          <w:sz w:val="24"/>
          <w:szCs w:val="24"/>
        </w:rPr>
        <w:lastRenderedPageBreak/>
        <w:t>Adu</w:t>
      </w:r>
      <w:proofErr w:type="spellEnd"/>
      <w:r w:rsidRPr="002163EC">
        <w:rPr>
          <w:rFonts w:ascii="Times New Roman" w:hAnsi="Times New Roman" w:cs="Times New Roman"/>
          <w:sz w:val="24"/>
          <w:szCs w:val="24"/>
        </w:rPr>
        <w:t xml:space="preserve"> ME, </w:t>
      </w:r>
      <w:proofErr w:type="spellStart"/>
      <w:r w:rsidRPr="002163EC">
        <w:rPr>
          <w:rFonts w:ascii="Times New Roman" w:hAnsi="Times New Roman" w:cs="Times New Roman"/>
          <w:sz w:val="24"/>
          <w:szCs w:val="24"/>
        </w:rPr>
        <w:t>Ezie</w:t>
      </w:r>
      <w:proofErr w:type="spellEnd"/>
      <w:r w:rsidRPr="002163EC">
        <w:rPr>
          <w:rFonts w:ascii="Times New Roman" w:hAnsi="Times New Roman" w:cs="Times New Roman"/>
          <w:sz w:val="24"/>
          <w:szCs w:val="24"/>
        </w:rPr>
        <w:t xml:space="preserve"> E, </w:t>
      </w:r>
      <w:proofErr w:type="spellStart"/>
      <w:r w:rsidRPr="002163EC">
        <w:rPr>
          <w:rFonts w:ascii="Times New Roman" w:hAnsi="Times New Roman" w:cs="Times New Roman"/>
          <w:sz w:val="24"/>
          <w:szCs w:val="24"/>
        </w:rPr>
        <w:t>Isibor</w:t>
      </w:r>
      <w:proofErr w:type="spellEnd"/>
      <w:r w:rsidRPr="002163EC">
        <w:rPr>
          <w:rFonts w:ascii="Times New Roman" w:hAnsi="Times New Roman" w:cs="Times New Roman"/>
          <w:sz w:val="24"/>
          <w:szCs w:val="24"/>
        </w:rPr>
        <w:t xml:space="preserve"> CN, </w:t>
      </w:r>
      <w:proofErr w:type="spellStart"/>
      <w:r w:rsidRPr="002163EC">
        <w:rPr>
          <w:rFonts w:ascii="Times New Roman" w:hAnsi="Times New Roman" w:cs="Times New Roman"/>
          <w:sz w:val="24"/>
          <w:szCs w:val="24"/>
        </w:rPr>
        <w:t>Jemikalajah</w:t>
      </w:r>
      <w:proofErr w:type="spellEnd"/>
      <w:r w:rsidRPr="002163EC">
        <w:rPr>
          <w:rFonts w:ascii="Times New Roman" w:hAnsi="Times New Roman" w:cs="Times New Roman"/>
          <w:sz w:val="24"/>
          <w:szCs w:val="24"/>
        </w:rPr>
        <w:t xml:space="preserve"> DJ. Prevalence of </w:t>
      </w:r>
      <w:r w:rsidRPr="002163EC">
        <w:rPr>
          <w:rFonts w:ascii="Times New Roman" w:hAnsi="Times New Roman" w:cs="Times New Roman"/>
          <w:i/>
          <w:iCs/>
          <w:sz w:val="24"/>
          <w:szCs w:val="24"/>
        </w:rPr>
        <w:t>Mycobacterium tuberculosis</w:t>
      </w:r>
      <w:r w:rsidRPr="002163EC">
        <w:rPr>
          <w:rFonts w:ascii="Times New Roman" w:hAnsi="Times New Roman" w:cs="Times New Roman"/>
          <w:sz w:val="24"/>
          <w:szCs w:val="24"/>
        </w:rPr>
        <w:t xml:space="preserve"> in HIV patients attending ART centre, Agbor, Nigeria. </w:t>
      </w:r>
      <w:proofErr w:type="spellStart"/>
      <w:r w:rsidRPr="002163EC">
        <w:rPr>
          <w:rFonts w:ascii="Times New Roman" w:hAnsi="Times New Roman" w:cs="Times New Roman"/>
          <w:sz w:val="24"/>
          <w:szCs w:val="24"/>
        </w:rPr>
        <w:t>Afr</w:t>
      </w:r>
      <w:proofErr w:type="spellEnd"/>
      <w:r w:rsidRPr="002163EC">
        <w:rPr>
          <w:rFonts w:ascii="Times New Roman" w:hAnsi="Times New Roman" w:cs="Times New Roman"/>
          <w:sz w:val="24"/>
          <w:szCs w:val="24"/>
        </w:rPr>
        <w:t xml:space="preserve"> J Cell </w:t>
      </w:r>
      <w:proofErr w:type="spellStart"/>
      <w:r w:rsidRPr="002163EC">
        <w:rPr>
          <w:rFonts w:ascii="Times New Roman" w:hAnsi="Times New Roman" w:cs="Times New Roman"/>
          <w:sz w:val="24"/>
          <w:szCs w:val="24"/>
        </w:rPr>
        <w:t>Pathol</w:t>
      </w:r>
      <w:proofErr w:type="spellEnd"/>
      <w:r w:rsidRPr="002163EC">
        <w:rPr>
          <w:rFonts w:ascii="Times New Roman" w:hAnsi="Times New Roman" w:cs="Times New Roman"/>
          <w:sz w:val="24"/>
          <w:szCs w:val="24"/>
        </w:rPr>
        <w:t>. 2015;4(5):62–65.</w:t>
      </w:r>
    </w:p>
    <w:p w14:paraId="03B1BC11"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rPr>
        <w:t>Ahmad T, Zohaib MD. Prevalence of tuberculosis infection in the general population of District Lower Dir, Pakistan. Middle East J Sci Res. 2015;23(1):14–17.</w:t>
      </w:r>
    </w:p>
    <w:p w14:paraId="54887912"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lang w:val="it-IT"/>
        </w:rPr>
        <w:t xml:space="preserve">Gyar SD, Dauda E, Reuben CR. </w:t>
      </w:r>
      <w:r w:rsidRPr="002163EC">
        <w:rPr>
          <w:rFonts w:ascii="Times New Roman" w:hAnsi="Times New Roman" w:cs="Times New Roman"/>
          <w:sz w:val="24"/>
          <w:szCs w:val="24"/>
        </w:rPr>
        <w:t xml:space="preserve">Prevalence of tuberculosis among HIV/AIDS patients in Lafia, Nigeria. Int J </w:t>
      </w:r>
      <w:proofErr w:type="spellStart"/>
      <w:r w:rsidRPr="002163EC">
        <w:rPr>
          <w:rFonts w:ascii="Times New Roman" w:hAnsi="Times New Roman" w:cs="Times New Roman"/>
          <w:sz w:val="24"/>
          <w:szCs w:val="24"/>
        </w:rPr>
        <w:t>Curr</w:t>
      </w:r>
      <w:proofErr w:type="spellEnd"/>
      <w:r w:rsidRPr="002163EC">
        <w:rPr>
          <w:rFonts w:ascii="Times New Roman" w:hAnsi="Times New Roman" w:cs="Times New Roman"/>
          <w:sz w:val="24"/>
          <w:szCs w:val="24"/>
        </w:rPr>
        <w:t xml:space="preserve"> </w:t>
      </w:r>
      <w:proofErr w:type="spellStart"/>
      <w:r w:rsidRPr="002163EC">
        <w:rPr>
          <w:rFonts w:ascii="Times New Roman" w:hAnsi="Times New Roman" w:cs="Times New Roman"/>
          <w:sz w:val="24"/>
          <w:szCs w:val="24"/>
        </w:rPr>
        <w:t>Microbiol</w:t>
      </w:r>
      <w:proofErr w:type="spellEnd"/>
      <w:r w:rsidRPr="002163EC">
        <w:rPr>
          <w:rFonts w:ascii="Times New Roman" w:hAnsi="Times New Roman" w:cs="Times New Roman"/>
          <w:sz w:val="24"/>
          <w:szCs w:val="24"/>
        </w:rPr>
        <w:t xml:space="preserve"> </w:t>
      </w:r>
      <w:proofErr w:type="spellStart"/>
      <w:r w:rsidRPr="002163EC">
        <w:rPr>
          <w:rFonts w:ascii="Times New Roman" w:hAnsi="Times New Roman" w:cs="Times New Roman"/>
          <w:sz w:val="24"/>
          <w:szCs w:val="24"/>
        </w:rPr>
        <w:t>Appl</w:t>
      </w:r>
      <w:proofErr w:type="spellEnd"/>
      <w:r w:rsidRPr="002163EC">
        <w:rPr>
          <w:rFonts w:ascii="Times New Roman" w:hAnsi="Times New Roman" w:cs="Times New Roman"/>
          <w:sz w:val="24"/>
          <w:szCs w:val="24"/>
        </w:rPr>
        <w:t xml:space="preserve"> Sci. 2014;3(6):831–838.</w:t>
      </w:r>
    </w:p>
    <w:p w14:paraId="1299776A" w14:textId="77777777" w:rsidR="002163EC" w:rsidRPr="002163EC" w:rsidRDefault="002163EC" w:rsidP="00FE2F0E">
      <w:pPr>
        <w:numPr>
          <w:ilvl w:val="0"/>
          <w:numId w:val="5"/>
        </w:numPr>
        <w:spacing w:line="360" w:lineRule="auto"/>
        <w:jc w:val="both"/>
        <w:rPr>
          <w:rFonts w:ascii="Times New Roman" w:hAnsi="Times New Roman" w:cs="Times New Roman"/>
          <w:sz w:val="24"/>
          <w:szCs w:val="24"/>
        </w:rPr>
      </w:pPr>
      <w:r w:rsidRPr="002163EC">
        <w:rPr>
          <w:rFonts w:ascii="Times New Roman" w:hAnsi="Times New Roman" w:cs="Times New Roman"/>
          <w:sz w:val="24"/>
          <w:szCs w:val="24"/>
          <w:lang w:val="it-IT"/>
        </w:rPr>
        <w:t xml:space="preserve">Sani RA, Garba SA, Oyeleke SB, Abalaka ME. </w:t>
      </w:r>
      <w:r w:rsidRPr="002163EC">
        <w:rPr>
          <w:rFonts w:ascii="Times New Roman" w:hAnsi="Times New Roman" w:cs="Times New Roman"/>
          <w:sz w:val="24"/>
          <w:szCs w:val="24"/>
        </w:rPr>
        <w:t xml:space="preserve">Prevalence of pulmonary tuberculosis in Minna and Suleja, Niger State, Nigeria. Am J Med </w:t>
      </w:r>
      <w:proofErr w:type="spellStart"/>
      <w:r w:rsidRPr="002163EC">
        <w:rPr>
          <w:rFonts w:ascii="Times New Roman" w:hAnsi="Times New Roman" w:cs="Times New Roman"/>
          <w:sz w:val="24"/>
          <w:szCs w:val="24"/>
        </w:rPr>
        <w:t>Med</w:t>
      </w:r>
      <w:proofErr w:type="spellEnd"/>
      <w:r w:rsidRPr="002163EC">
        <w:rPr>
          <w:rFonts w:ascii="Times New Roman" w:hAnsi="Times New Roman" w:cs="Times New Roman"/>
          <w:sz w:val="24"/>
          <w:szCs w:val="24"/>
        </w:rPr>
        <w:t xml:space="preserve"> Sci. 2015;5(6):287–291.</w:t>
      </w:r>
    </w:p>
    <w:p w14:paraId="24AE33A4" w14:textId="77777777" w:rsidR="002163EC" w:rsidRPr="001C3910" w:rsidRDefault="002163EC" w:rsidP="00FE2F0E">
      <w:pPr>
        <w:spacing w:line="360" w:lineRule="auto"/>
        <w:jc w:val="both"/>
        <w:rPr>
          <w:rFonts w:ascii="Times New Roman" w:hAnsi="Times New Roman" w:cs="Times New Roman"/>
          <w:sz w:val="24"/>
          <w:szCs w:val="24"/>
        </w:rPr>
      </w:pPr>
    </w:p>
    <w:p w14:paraId="2CC15D56" w14:textId="77777777" w:rsidR="00772499" w:rsidRPr="00DB50C0" w:rsidRDefault="00772499" w:rsidP="00FE2F0E">
      <w:pPr>
        <w:spacing w:line="360" w:lineRule="auto"/>
        <w:jc w:val="both"/>
        <w:rPr>
          <w:rFonts w:ascii="Times New Roman" w:hAnsi="Times New Roman" w:cs="Times New Roman"/>
          <w:sz w:val="24"/>
          <w:szCs w:val="24"/>
        </w:rPr>
      </w:pPr>
    </w:p>
    <w:sectPr w:rsidR="00772499" w:rsidRPr="00DB50C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F54C7" w14:textId="77777777" w:rsidR="00D30453" w:rsidRDefault="00D30453" w:rsidP="00272F56">
      <w:pPr>
        <w:spacing w:after="0" w:line="240" w:lineRule="auto"/>
      </w:pPr>
      <w:r>
        <w:separator/>
      </w:r>
    </w:p>
  </w:endnote>
  <w:endnote w:type="continuationSeparator" w:id="0">
    <w:p w14:paraId="0F01601F" w14:textId="77777777" w:rsidR="00D30453" w:rsidRDefault="00D30453" w:rsidP="00272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Narrow">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25D7B" w14:textId="77777777" w:rsidR="008C3D66" w:rsidRDefault="008C3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488802"/>
      <w:docPartObj>
        <w:docPartGallery w:val="Page Numbers (Bottom of Page)"/>
        <w:docPartUnique/>
      </w:docPartObj>
    </w:sdtPr>
    <w:sdtEndPr>
      <w:rPr>
        <w:noProof/>
      </w:rPr>
    </w:sdtEndPr>
    <w:sdtContent>
      <w:p w14:paraId="72691A48" w14:textId="13667705" w:rsidR="00272F56" w:rsidRDefault="00272F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671FA9" w14:textId="77777777" w:rsidR="00272F56" w:rsidRDefault="00272F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648F4" w14:textId="77777777" w:rsidR="008C3D66" w:rsidRDefault="008C3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E0669" w14:textId="77777777" w:rsidR="00D30453" w:rsidRDefault="00D30453" w:rsidP="00272F56">
      <w:pPr>
        <w:spacing w:after="0" w:line="240" w:lineRule="auto"/>
      </w:pPr>
      <w:r>
        <w:separator/>
      </w:r>
    </w:p>
  </w:footnote>
  <w:footnote w:type="continuationSeparator" w:id="0">
    <w:p w14:paraId="3BE7979E" w14:textId="77777777" w:rsidR="00D30453" w:rsidRDefault="00D30453" w:rsidP="00272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9EE6B" w14:textId="6A6142D0" w:rsidR="008C3D66" w:rsidRDefault="00D30453">
    <w:pPr>
      <w:pStyle w:val="Header"/>
    </w:pPr>
    <w:r>
      <w:rPr>
        <w:noProof/>
      </w:rPr>
      <w:pict w14:anchorId="21A5A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35758" w14:textId="7F70E010" w:rsidR="008C3D66" w:rsidRDefault="00D30453">
    <w:pPr>
      <w:pStyle w:val="Header"/>
    </w:pPr>
    <w:r>
      <w:rPr>
        <w:noProof/>
      </w:rPr>
      <w:pict w14:anchorId="4D34D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322D0" w14:textId="051DB615" w:rsidR="008C3D66" w:rsidRDefault="00D30453">
    <w:pPr>
      <w:pStyle w:val="Header"/>
    </w:pPr>
    <w:r>
      <w:rPr>
        <w:noProof/>
      </w:rPr>
      <w:pict w14:anchorId="7826D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2C9"/>
    <w:multiLevelType w:val="multilevel"/>
    <w:tmpl w:val="0BEEF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5603FC"/>
    <w:multiLevelType w:val="multilevel"/>
    <w:tmpl w:val="0A02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6347C6"/>
    <w:multiLevelType w:val="hybridMultilevel"/>
    <w:tmpl w:val="67EC27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1A6AAF"/>
    <w:multiLevelType w:val="multilevel"/>
    <w:tmpl w:val="F2D0C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5D6A74"/>
    <w:multiLevelType w:val="hybridMultilevel"/>
    <w:tmpl w:val="6554C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4B19F3"/>
    <w:multiLevelType w:val="hybridMultilevel"/>
    <w:tmpl w:val="4538C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DB0D95"/>
    <w:multiLevelType w:val="multilevel"/>
    <w:tmpl w:val="8D5E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895913"/>
    <w:multiLevelType w:val="multilevel"/>
    <w:tmpl w:val="57895913"/>
    <w:lvl w:ilvl="0">
      <w:start w:val="4"/>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5C19F6"/>
    <w:multiLevelType w:val="multilevel"/>
    <w:tmpl w:val="67A6A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996B4C"/>
    <w:multiLevelType w:val="multilevel"/>
    <w:tmpl w:val="2108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EB203F"/>
    <w:multiLevelType w:val="multilevel"/>
    <w:tmpl w:val="97BC9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9"/>
  </w:num>
  <w:num w:numId="4">
    <w:abstractNumId w:val="10"/>
  </w:num>
  <w:num w:numId="5">
    <w:abstractNumId w:val="3"/>
  </w:num>
  <w:num w:numId="6">
    <w:abstractNumId w:val="7"/>
  </w:num>
  <w:num w:numId="7">
    <w:abstractNumId w:val="8"/>
  </w:num>
  <w:num w:numId="8">
    <w:abstractNumId w:val="4"/>
  </w:num>
  <w:num w:numId="9">
    <w:abstractNumId w:val="5"/>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EB7"/>
    <w:rsid w:val="00002EAD"/>
    <w:rsid w:val="00003FC6"/>
    <w:rsid w:val="00007211"/>
    <w:rsid w:val="00016863"/>
    <w:rsid w:val="000217A8"/>
    <w:rsid w:val="000269BA"/>
    <w:rsid w:val="00027D5D"/>
    <w:rsid w:val="000313E9"/>
    <w:rsid w:val="00041424"/>
    <w:rsid w:val="00046F06"/>
    <w:rsid w:val="00052B0C"/>
    <w:rsid w:val="00061D78"/>
    <w:rsid w:val="00064B45"/>
    <w:rsid w:val="00065F41"/>
    <w:rsid w:val="0006620E"/>
    <w:rsid w:val="00067AE6"/>
    <w:rsid w:val="000707E0"/>
    <w:rsid w:val="00074961"/>
    <w:rsid w:val="0007504F"/>
    <w:rsid w:val="000758D3"/>
    <w:rsid w:val="00087DD8"/>
    <w:rsid w:val="00087E8F"/>
    <w:rsid w:val="00090311"/>
    <w:rsid w:val="000A0F68"/>
    <w:rsid w:val="000B0A3B"/>
    <w:rsid w:val="000B2806"/>
    <w:rsid w:val="000C02B4"/>
    <w:rsid w:val="000C608F"/>
    <w:rsid w:val="000D0F9F"/>
    <w:rsid w:val="000D2F1B"/>
    <w:rsid w:val="000D684D"/>
    <w:rsid w:val="000E3648"/>
    <w:rsid w:val="000E56C0"/>
    <w:rsid w:val="001127AC"/>
    <w:rsid w:val="00115C2B"/>
    <w:rsid w:val="00115CC8"/>
    <w:rsid w:val="00124028"/>
    <w:rsid w:val="001329AA"/>
    <w:rsid w:val="00134A27"/>
    <w:rsid w:val="00140185"/>
    <w:rsid w:val="001408E2"/>
    <w:rsid w:val="00143398"/>
    <w:rsid w:val="00152302"/>
    <w:rsid w:val="00152E45"/>
    <w:rsid w:val="0016044A"/>
    <w:rsid w:val="00162F5A"/>
    <w:rsid w:val="001655F8"/>
    <w:rsid w:val="00172AC1"/>
    <w:rsid w:val="001730CD"/>
    <w:rsid w:val="001735EE"/>
    <w:rsid w:val="00174895"/>
    <w:rsid w:val="001759AB"/>
    <w:rsid w:val="00175ABC"/>
    <w:rsid w:val="00175F05"/>
    <w:rsid w:val="00180848"/>
    <w:rsid w:val="00183FE0"/>
    <w:rsid w:val="0018554B"/>
    <w:rsid w:val="001979C7"/>
    <w:rsid w:val="001A63C7"/>
    <w:rsid w:val="001A7860"/>
    <w:rsid w:val="001A78A0"/>
    <w:rsid w:val="001B53D0"/>
    <w:rsid w:val="001C3910"/>
    <w:rsid w:val="001C3C6A"/>
    <w:rsid w:val="001C7C25"/>
    <w:rsid w:val="001D0402"/>
    <w:rsid w:val="001D34DD"/>
    <w:rsid w:val="001D6057"/>
    <w:rsid w:val="001E4E53"/>
    <w:rsid w:val="001E7581"/>
    <w:rsid w:val="001F1C94"/>
    <w:rsid w:val="001F4658"/>
    <w:rsid w:val="00200311"/>
    <w:rsid w:val="002024FF"/>
    <w:rsid w:val="002163EC"/>
    <w:rsid w:val="00216D49"/>
    <w:rsid w:val="002241E8"/>
    <w:rsid w:val="00224B8B"/>
    <w:rsid w:val="00224DA7"/>
    <w:rsid w:val="002258BF"/>
    <w:rsid w:val="002332FE"/>
    <w:rsid w:val="00235D2B"/>
    <w:rsid w:val="00244EF2"/>
    <w:rsid w:val="00246D1C"/>
    <w:rsid w:val="0024785D"/>
    <w:rsid w:val="00254921"/>
    <w:rsid w:val="00256C36"/>
    <w:rsid w:val="00261E02"/>
    <w:rsid w:val="0026275A"/>
    <w:rsid w:val="00271313"/>
    <w:rsid w:val="00272F56"/>
    <w:rsid w:val="00292541"/>
    <w:rsid w:val="002961ED"/>
    <w:rsid w:val="002A3AA1"/>
    <w:rsid w:val="002A7FF5"/>
    <w:rsid w:val="002B39B6"/>
    <w:rsid w:val="002B6FC6"/>
    <w:rsid w:val="002B70BC"/>
    <w:rsid w:val="002C76DB"/>
    <w:rsid w:val="002D457C"/>
    <w:rsid w:val="002E5676"/>
    <w:rsid w:val="002F3DCF"/>
    <w:rsid w:val="002F7B3F"/>
    <w:rsid w:val="00310DD0"/>
    <w:rsid w:val="00310F0E"/>
    <w:rsid w:val="003160AF"/>
    <w:rsid w:val="003173F3"/>
    <w:rsid w:val="0032381D"/>
    <w:rsid w:val="0033489F"/>
    <w:rsid w:val="00335DCC"/>
    <w:rsid w:val="00344A45"/>
    <w:rsid w:val="00347209"/>
    <w:rsid w:val="00354979"/>
    <w:rsid w:val="00364F0D"/>
    <w:rsid w:val="0037771B"/>
    <w:rsid w:val="003818B6"/>
    <w:rsid w:val="00384CF8"/>
    <w:rsid w:val="003B283E"/>
    <w:rsid w:val="003B4914"/>
    <w:rsid w:val="003C55D2"/>
    <w:rsid w:val="003E064D"/>
    <w:rsid w:val="003E4F04"/>
    <w:rsid w:val="003F3A03"/>
    <w:rsid w:val="003F51C0"/>
    <w:rsid w:val="00400962"/>
    <w:rsid w:val="00403079"/>
    <w:rsid w:val="004036A5"/>
    <w:rsid w:val="004121FD"/>
    <w:rsid w:val="004176BE"/>
    <w:rsid w:val="00426492"/>
    <w:rsid w:val="004307A4"/>
    <w:rsid w:val="00430C1B"/>
    <w:rsid w:val="00434470"/>
    <w:rsid w:val="00437191"/>
    <w:rsid w:val="00446577"/>
    <w:rsid w:val="00454995"/>
    <w:rsid w:val="00455B2C"/>
    <w:rsid w:val="004607B1"/>
    <w:rsid w:val="0046453E"/>
    <w:rsid w:val="0047067E"/>
    <w:rsid w:val="00483FCF"/>
    <w:rsid w:val="00486CEA"/>
    <w:rsid w:val="0049363C"/>
    <w:rsid w:val="004942D1"/>
    <w:rsid w:val="004A3ECF"/>
    <w:rsid w:val="004B24DE"/>
    <w:rsid w:val="004C1388"/>
    <w:rsid w:val="004C27BB"/>
    <w:rsid w:val="004C2958"/>
    <w:rsid w:val="004C7242"/>
    <w:rsid w:val="004D10BB"/>
    <w:rsid w:val="004E7826"/>
    <w:rsid w:val="004F25CC"/>
    <w:rsid w:val="00506C61"/>
    <w:rsid w:val="005129F4"/>
    <w:rsid w:val="00516C6D"/>
    <w:rsid w:val="005413FC"/>
    <w:rsid w:val="00541C72"/>
    <w:rsid w:val="005504A1"/>
    <w:rsid w:val="00550E58"/>
    <w:rsid w:val="005611D2"/>
    <w:rsid w:val="005644AC"/>
    <w:rsid w:val="00564784"/>
    <w:rsid w:val="00566A4F"/>
    <w:rsid w:val="005773BB"/>
    <w:rsid w:val="005774D6"/>
    <w:rsid w:val="00580BDD"/>
    <w:rsid w:val="005840FC"/>
    <w:rsid w:val="005852F4"/>
    <w:rsid w:val="005931DC"/>
    <w:rsid w:val="00595ACE"/>
    <w:rsid w:val="005A0EA1"/>
    <w:rsid w:val="005A5EE8"/>
    <w:rsid w:val="005B357E"/>
    <w:rsid w:val="005C72B9"/>
    <w:rsid w:val="005D08AD"/>
    <w:rsid w:val="005D7773"/>
    <w:rsid w:val="005E3562"/>
    <w:rsid w:val="005E4167"/>
    <w:rsid w:val="005E5F1C"/>
    <w:rsid w:val="005E7D87"/>
    <w:rsid w:val="005F2025"/>
    <w:rsid w:val="005F6B96"/>
    <w:rsid w:val="0060086A"/>
    <w:rsid w:val="00602A28"/>
    <w:rsid w:val="00606FEE"/>
    <w:rsid w:val="0061095F"/>
    <w:rsid w:val="006133DF"/>
    <w:rsid w:val="0061558C"/>
    <w:rsid w:val="006259B9"/>
    <w:rsid w:val="00631E03"/>
    <w:rsid w:val="0063570B"/>
    <w:rsid w:val="00635B36"/>
    <w:rsid w:val="00642DE4"/>
    <w:rsid w:val="00646B35"/>
    <w:rsid w:val="00653CAA"/>
    <w:rsid w:val="006541F7"/>
    <w:rsid w:val="00663136"/>
    <w:rsid w:val="00665830"/>
    <w:rsid w:val="00680B64"/>
    <w:rsid w:val="00682A2C"/>
    <w:rsid w:val="0069440D"/>
    <w:rsid w:val="00694B3D"/>
    <w:rsid w:val="006977C0"/>
    <w:rsid w:val="00697D2C"/>
    <w:rsid w:val="006A0CB6"/>
    <w:rsid w:val="006A1E8F"/>
    <w:rsid w:val="006A3E8C"/>
    <w:rsid w:val="006A54E4"/>
    <w:rsid w:val="006A5D6C"/>
    <w:rsid w:val="006B0261"/>
    <w:rsid w:val="006B60C6"/>
    <w:rsid w:val="006B627C"/>
    <w:rsid w:val="006B7517"/>
    <w:rsid w:val="006C61C7"/>
    <w:rsid w:val="006C62E3"/>
    <w:rsid w:val="006D033A"/>
    <w:rsid w:val="006D3795"/>
    <w:rsid w:val="006D4000"/>
    <w:rsid w:val="006F4EAC"/>
    <w:rsid w:val="0070564E"/>
    <w:rsid w:val="007066C0"/>
    <w:rsid w:val="00714F9F"/>
    <w:rsid w:val="0071644C"/>
    <w:rsid w:val="007165BD"/>
    <w:rsid w:val="007208CD"/>
    <w:rsid w:val="007226F2"/>
    <w:rsid w:val="00730415"/>
    <w:rsid w:val="00730A7B"/>
    <w:rsid w:val="00736940"/>
    <w:rsid w:val="0074175E"/>
    <w:rsid w:val="00741911"/>
    <w:rsid w:val="00742A36"/>
    <w:rsid w:val="00743536"/>
    <w:rsid w:val="00746364"/>
    <w:rsid w:val="00752FC1"/>
    <w:rsid w:val="00772066"/>
    <w:rsid w:val="00772139"/>
    <w:rsid w:val="00772499"/>
    <w:rsid w:val="007770B5"/>
    <w:rsid w:val="00782CBE"/>
    <w:rsid w:val="007840F8"/>
    <w:rsid w:val="00793F21"/>
    <w:rsid w:val="00794731"/>
    <w:rsid w:val="007952B4"/>
    <w:rsid w:val="00795B23"/>
    <w:rsid w:val="007970C5"/>
    <w:rsid w:val="007A6DC1"/>
    <w:rsid w:val="007A7325"/>
    <w:rsid w:val="007B445F"/>
    <w:rsid w:val="007B4FDF"/>
    <w:rsid w:val="007B5768"/>
    <w:rsid w:val="007D3619"/>
    <w:rsid w:val="007D5C62"/>
    <w:rsid w:val="007E2E44"/>
    <w:rsid w:val="007F0333"/>
    <w:rsid w:val="007F244D"/>
    <w:rsid w:val="007F410B"/>
    <w:rsid w:val="008014AE"/>
    <w:rsid w:val="008032D6"/>
    <w:rsid w:val="00807D70"/>
    <w:rsid w:val="008101C0"/>
    <w:rsid w:val="00814C9D"/>
    <w:rsid w:val="00832C73"/>
    <w:rsid w:val="00837BEB"/>
    <w:rsid w:val="00837E37"/>
    <w:rsid w:val="008420A6"/>
    <w:rsid w:val="008427D4"/>
    <w:rsid w:val="00843395"/>
    <w:rsid w:val="00850C48"/>
    <w:rsid w:val="00850DB4"/>
    <w:rsid w:val="0085409B"/>
    <w:rsid w:val="00865ADA"/>
    <w:rsid w:val="00871BAB"/>
    <w:rsid w:val="008753C2"/>
    <w:rsid w:val="00876794"/>
    <w:rsid w:val="00877600"/>
    <w:rsid w:val="0088652A"/>
    <w:rsid w:val="00890D84"/>
    <w:rsid w:val="00892750"/>
    <w:rsid w:val="00897891"/>
    <w:rsid w:val="008A051B"/>
    <w:rsid w:val="008A0EAA"/>
    <w:rsid w:val="008A2270"/>
    <w:rsid w:val="008B124E"/>
    <w:rsid w:val="008B19A4"/>
    <w:rsid w:val="008B6298"/>
    <w:rsid w:val="008C39BC"/>
    <w:rsid w:val="008C3D66"/>
    <w:rsid w:val="008D0009"/>
    <w:rsid w:val="008E426C"/>
    <w:rsid w:val="008E7945"/>
    <w:rsid w:val="008F1F89"/>
    <w:rsid w:val="008F2578"/>
    <w:rsid w:val="00901C10"/>
    <w:rsid w:val="0090238D"/>
    <w:rsid w:val="009065B8"/>
    <w:rsid w:val="0091166C"/>
    <w:rsid w:val="00913CA1"/>
    <w:rsid w:val="00914D74"/>
    <w:rsid w:val="00921A5F"/>
    <w:rsid w:val="00921A77"/>
    <w:rsid w:val="00923A83"/>
    <w:rsid w:val="00923D28"/>
    <w:rsid w:val="00924235"/>
    <w:rsid w:val="00937006"/>
    <w:rsid w:val="00942D0B"/>
    <w:rsid w:val="00944008"/>
    <w:rsid w:val="00957BA9"/>
    <w:rsid w:val="0096526A"/>
    <w:rsid w:val="00982776"/>
    <w:rsid w:val="009847BC"/>
    <w:rsid w:val="0098786D"/>
    <w:rsid w:val="0099050B"/>
    <w:rsid w:val="009943A9"/>
    <w:rsid w:val="009A108A"/>
    <w:rsid w:val="009B03C6"/>
    <w:rsid w:val="009B06AF"/>
    <w:rsid w:val="009C1CF6"/>
    <w:rsid w:val="009C56AF"/>
    <w:rsid w:val="009D5A81"/>
    <w:rsid w:val="009E7CFF"/>
    <w:rsid w:val="009F239C"/>
    <w:rsid w:val="00A02FFB"/>
    <w:rsid w:val="00A07335"/>
    <w:rsid w:val="00A125EE"/>
    <w:rsid w:val="00A17D73"/>
    <w:rsid w:val="00A3051D"/>
    <w:rsid w:val="00A31080"/>
    <w:rsid w:val="00A3198C"/>
    <w:rsid w:val="00A324CB"/>
    <w:rsid w:val="00A3428B"/>
    <w:rsid w:val="00A36D63"/>
    <w:rsid w:val="00A37B47"/>
    <w:rsid w:val="00A426AD"/>
    <w:rsid w:val="00A5066E"/>
    <w:rsid w:val="00A613B1"/>
    <w:rsid w:val="00A723E7"/>
    <w:rsid w:val="00A81D67"/>
    <w:rsid w:val="00A824B3"/>
    <w:rsid w:val="00A8585A"/>
    <w:rsid w:val="00A86D0B"/>
    <w:rsid w:val="00A928DA"/>
    <w:rsid w:val="00A955A7"/>
    <w:rsid w:val="00AA2746"/>
    <w:rsid w:val="00AB69B4"/>
    <w:rsid w:val="00AC1990"/>
    <w:rsid w:val="00AD7660"/>
    <w:rsid w:val="00AE0251"/>
    <w:rsid w:val="00AE1EEC"/>
    <w:rsid w:val="00AE3441"/>
    <w:rsid w:val="00AE576B"/>
    <w:rsid w:val="00AE5EB7"/>
    <w:rsid w:val="00B024D1"/>
    <w:rsid w:val="00B06F83"/>
    <w:rsid w:val="00B109BA"/>
    <w:rsid w:val="00B10AC0"/>
    <w:rsid w:val="00B12B9C"/>
    <w:rsid w:val="00B15464"/>
    <w:rsid w:val="00B15B11"/>
    <w:rsid w:val="00B204B8"/>
    <w:rsid w:val="00B22DF0"/>
    <w:rsid w:val="00B23C1C"/>
    <w:rsid w:val="00B2431B"/>
    <w:rsid w:val="00B2456B"/>
    <w:rsid w:val="00B2619A"/>
    <w:rsid w:val="00B33185"/>
    <w:rsid w:val="00B509AA"/>
    <w:rsid w:val="00B55CB3"/>
    <w:rsid w:val="00B55D81"/>
    <w:rsid w:val="00B56B5D"/>
    <w:rsid w:val="00B6137C"/>
    <w:rsid w:val="00B6341D"/>
    <w:rsid w:val="00B66AD2"/>
    <w:rsid w:val="00B75961"/>
    <w:rsid w:val="00B87C5C"/>
    <w:rsid w:val="00B912C6"/>
    <w:rsid w:val="00BB0104"/>
    <w:rsid w:val="00BB41B7"/>
    <w:rsid w:val="00BC7776"/>
    <w:rsid w:val="00BC7E90"/>
    <w:rsid w:val="00BC7EB0"/>
    <w:rsid w:val="00BE0142"/>
    <w:rsid w:val="00BE2FAE"/>
    <w:rsid w:val="00BE4D3D"/>
    <w:rsid w:val="00BE618A"/>
    <w:rsid w:val="00BE7064"/>
    <w:rsid w:val="00BF4858"/>
    <w:rsid w:val="00C02F59"/>
    <w:rsid w:val="00C03AFE"/>
    <w:rsid w:val="00C11ED1"/>
    <w:rsid w:val="00C14324"/>
    <w:rsid w:val="00C1493F"/>
    <w:rsid w:val="00C14C60"/>
    <w:rsid w:val="00C15F22"/>
    <w:rsid w:val="00C17C75"/>
    <w:rsid w:val="00C21F6B"/>
    <w:rsid w:val="00C300F0"/>
    <w:rsid w:val="00C317CF"/>
    <w:rsid w:val="00C3198E"/>
    <w:rsid w:val="00C35374"/>
    <w:rsid w:val="00C3781F"/>
    <w:rsid w:val="00C4599D"/>
    <w:rsid w:val="00C45E68"/>
    <w:rsid w:val="00C476AB"/>
    <w:rsid w:val="00C55CA0"/>
    <w:rsid w:val="00C6513C"/>
    <w:rsid w:val="00C6546D"/>
    <w:rsid w:val="00C75AD4"/>
    <w:rsid w:val="00C857A9"/>
    <w:rsid w:val="00C93879"/>
    <w:rsid w:val="00CA2AC7"/>
    <w:rsid w:val="00CA36B8"/>
    <w:rsid w:val="00CA47EA"/>
    <w:rsid w:val="00CA5885"/>
    <w:rsid w:val="00CB10B3"/>
    <w:rsid w:val="00CB3F28"/>
    <w:rsid w:val="00CB47E7"/>
    <w:rsid w:val="00CB7809"/>
    <w:rsid w:val="00CC230C"/>
    <w:rsid w:val="00CF2A64"/>
    <w:rsid w:val="00CF76E3"/>
    <w:rsid w:val="00D17EEB"/>
    <w:rsid w:val="00D226B0"/>
    <w:rsid w:val="00D23069"/>
    <w:rsid w:val="00D301A4"/>
    <w:rsid w:val="00D30453"/>
    <w:rsid w:val="00D40ECC"/>
    <w:rsid w:val="00D4336E"/>
    <w:rsid w:val="00D439E6"/>
    <w:rsid w:val="00D478F1"/>
    <w:rsid w:val="00D605BE"/>
    <w:rsid w:val="00D63BB2"/>
    <w:rsid w:val="00D708B5"/>
    <w:rsid w:val="00D71B73"/>
    <w:rsid w:val="00D735A7"/>
    <w:rsid w:val="00D875A6"/>
    <w:rsid w:val="00D919CC"/>
    <w:rsid w:val="00D9629C"/>
    <w:rsid w:val="00DA1870"/>
    <w:rsid w:val="00DA5502"/>
    <w:rsid w:val="00DB50C0"/>
    <w:rsid w:val="00DB59DA"/>
    <w:rsid w:val="00DB74E3"/>
    <w:rsid w:val="00DC0C9E"/>
    <w:rsid w:val="00DC27EE"/>
    <w:rsid w:val="00DC29AD"/>
    <w:rsid w:val="00DD1B1C"/>
    <w:rsid w:val="00DD2ABD"/>
    <w:rsid w:val="00DD5B99"/>
    <w:rsid w:val="00DD758D"/>
    <w:rsid w:val="00DE00AF"/>
    <w:rsid w:val="00DE7297"/>
    <w:rsid w:val="00DE7965"/>
    <w:rsid w:val="00E10CBF"/>
    <w:rsid w:val="00E1431B"/>
    <w:rsid w:val="00E177F9"/>
    <w:rsid w:val="00E221C5"/>
    <w:rsid w:val="00E22527"/>
    <w:rsid w:val="00E229F1"/>
    <w:rsid w:val="00E305A8"/>
    <w:rsid w:val="00E412A5"/>
    <w:rsid w:val="00E51BC1"/>
    <w:rsid w:val="00E52DB7"/>
    <w:rsid w:val="00E5360D"/>
    <w:rsid w:val="00E606C1"/>
    <w:rsid w:val="00E6365E"/>
    <w:rsid w:val="00E648F7"/>
    <w:rsid w:val="00E650F3"/>
    <w:rsid w:val="00E74592"/>
    <w:rsid w:val="00E805E0"/>
    <w:rsid w:val="00E81821"/>
    <w:rsid w:val="00E84561"/>
    <w:rsid w:val="00E947B1"/>
    <w:rsid w:val="00EA29B6"/>
    <w:rsid w:val="00EA5E0B"/>
    <w:rsid w:val="00EA649F"/>
    <w:rsid w:val="00EB3C46"/>
    <w:rsid w:val="00EC0E7A"/>
    <w:rsid w:val="00EC2D83"/>
    <w:rsid w:val="00EC6522"/>
    <w:rsid w:val="00EC7E3F"/>
    <w:rsid w:val="00ED0082"/>
    <w:rsid w:val="00ED107F"/>
    <w:rsid w:val="00EE3E71"/>
    <w:rsid w:val="00EE465A"/>
    <w:rsid w:val="00EE4BC0"/>
    <w:rsid w:val="00EE7BD7"/>
    <w:rsid w:val="00EF076F"/>
    <w:rsid w:val="00EF1235"/>
    <w:rsid w:val="00EF2F9C"/>
    <w:rsid w:val="00F02E58"/>
    <w:rsid w:val="00F223DF"/>
    <w:rsid w:val="00F26114"/>
    <w:rsid w:val="00F27370"/>
    <w:rsid w:val="00F43B97"/>
    <w:rsid w:val="00F440EA"/>
    <w:rsid w:val="00F51845"/>
    <w:rsid w:val="00F51A53"/>
    <w:rsid w:val="00F52438"/>
    <w:rsid w:val="00F53382"/>
    <w:rsid w:val="00F56C26"/>
    <w:rsid w:val="00F61B97"/>
    <w:rsid w:val="00F629E5"/>
    <w:rsid w:val="00F668C6"/>
    <w:rsid w:val="00F72027"/>
    <w:rsid w:val="00F76A2C"/>
    <w:rsid w:val="00F81ACE"/>
    <w:rsid w:val="00F84824"/>
    <w:rsid w:val="00F85196"/>
    <w:rsid w:val="00F947C2"/>
    <w:rsid w:val="00F97156"/>
    <w:rsid w:val="00FA3600"/>
    <w:rsid w:val="00FA5C28"/>
    <w:rsid w:val="00FA75BE"/>
    <w:rsid w:val="00FB174F"/>
    <w:rsid w:val="00FB7A75"/>
    <w:rsid w:val="00FB7D3C"/>
    <w:rsid w:val="00FC0976"/>
    <w:rsid w:val="00FC264A"/>
    <w:rsid w:val="00FE253B"/>
    <w:rsid w:val="00FE2F0E"/>
    <w:rsid w:val="00FE50D2"/>
    <w:rsid w:val="00FE5733"/>
    <w:rsid w:val="00FE5EC9"/>
    <w:rsid w:val="00FF1328"/>
    <w:rsid w:val="00FF17AC"/>
    <w:rsid w:val="00FF5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481ADB"/>
  <w15:chartTrackingRefBased/>
  <w15:docId w15:val="{7349D046-A8D6-436F-8620-913D5958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E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5E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5E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5E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5E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5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E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5E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5E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5E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5E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5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EB7"/>
    <w:rPr>
      <w:rFonts w:eastAsiaTheme="majorEastAsia" w:cstheme="majorBidi"/>
      <w:color w:val="272727" w:themeColor="text1" w:themeTint="D8"/>
    </w:rPr>
  </w:style>
  <w:style w:type="paragraph" w:styleId="Title">
    <w:name w:val="Title"/>
    <w:basedOn w:val="Normal"/>
    <w:next w:val="Normal"/>
    <w:link w:val="TitleChar"/>
    <w:uiPriority w:val="10"/>
    <w:qFormat/>
    <w:rsid w:val="00AE5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EB7"/>
    <w:pPr>
      <w:spacing w:before="160"/>
      <w:jc w:val="center"/>
    </w:pPr>
    <w:rPr>
      <w:i/>
      <w:iCs/>
      <w:color w:val="404040" w:themeColor="text1" w:themeTint="BF"/>
    </w:rPr>
  </w:style>
  <w:style w:type="character" w:customStyle="1" w:styleId="QuoteChar">
    <w:name w:val="Quote Char"/>
    <w:basedOn w:val="DefaultParagraphFont"/>
    <w:link w:val="Quote"/>
    <w:uiPriority w:val="29"/>
    <w:rsid w:val="00AE5EB7"/>
    <w:rPr>
      <w:i/>
      <w:iCs/>
      <w:color w:val="404040" w:themeColor="text1" w:themeTint="BF"/>
    </w:rPr>
  </w:style>
  <w:style w:type="paragraph" w:styleId="ListParagraph">
    <w:name w:val="List Paragraph"/>
    <w:basedOn w:val="Normal"/>
    <w:uiPriority w:val="34"/>
    <w:qFormat/>
    <w:rsid w:val="00AE5EB7"/>
    <w:pPr>
      <w:ind w:left="720"/>
      <w:contextualSpacing/>
    </w:pPr>
  </w:style>
  <w:style w:type="character" w:styleId="IntenseEmphasis">
    <w:name w:val="Intense Emphasis"/>
    <w:basedOn w:val="DefaultParagraphFont"/>
    <w:uiPriority w:val="21"/>
    <w:qFormat/>
    <w:rsid w:val="00AE5EB7"/>
    <w:rPr>
      <w:i/>
      <w:iCs/>
      <w:color w:val="2F5496" w:themeColor="accent1" w:themeShade="BF"/>
    </w:rPr>
  </w:style>
  <w:style w:type="paragraph" w:styleId="IntenseQuote">
    <w:name w:val="Intense Quote"/>
    <w:basedOn w:val="Normal"/>
    <w:next w:val="Normal"/>
    <w:link w:val="IntenseQuoteChar"/>
    <w:uiPriority w:val="30"/>
    <w:qFormat/>
    <w:rsid w:val="00AE5E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5EB7"/>
    <w:rPr>
      <w:i/>
      <w:iCs/>
      <w:color w:val="2F5496" w:themeColor="accent1" w:themeShade="BF"/>
    </w:rPr>
  </w:style>
  <w:style w:type="character" w:styleId="IntenseReference">
    <w:name w:val="Intense Reference"/>
    <w:basedOn w:val="DefaultParagraphFont"/>
    <w:uiPriority w:val="32"/>
    <w:qFormat/>
    <w:rsid w:val="00AE5EB7"/>
    <w:rPr>
      <w:b/>
      <w:bCs/>
      <w:smallCaps/>
      <w:color w:val="2F5496" w:themeColor="accent1" w:themeShade="BF"/>
      <w:spacing w:val="5"/>
    </w:rPr>
  </w:style>
  <w:style w:type="character" w:styleId="Hyperlink">
    <w:name w:val="Hyperlink"/>
    <w:basedOn w:val="DefaultParagraphFont"/>
    <w:uiPriority w:val="99"/>
    <w:unhideWhenUsed/>
    <w:rsid w:val="00AE5EB7"/>
    <w:rPr>
      <w:color w:val="0563C1" w:themeColor="hyperlink"/>
      <w:u w:val="single"/>
    </w:rPr>
  </w:style>
  <w:style w:type="character" w:styleId="UnresolvedMention">
    <w:name w:val="Unresolved Mention"/>
    <w:basedOn w:val="DefaultParagraphFont"/>
    <w:uiPriority w:val="99"/>
    <w:semiHidden/>
    <w:unhideWhenUsed/>
    <w:rsid w:val="00AE5EB7"/>
    <w:rPr>
      <w:color w:val="605E5C"/>
      <w:shd w:val="clear" w:color="auto" w:fill="E1DFDD"/>
    </w:rPr>
  </w:style>
  <w:style w:type="table" w:styleId="TableGrid">
    <w:name w:val="Table Grid"/>
    <w:basedOn w:val="TableNormal"/>
    <w:uiPriority w:val="39"/>
    <w:rsid w:val="00DC29A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0F68"/>
    <w:rPr>
      <w:sz w:val="16"/>
      <w:szCs w:val="16"/>
    </w:rPr>
  </w:style>
  <w:style w:type="paragraph" w:styleId="CommentText">
    <w:name w:val="annotation text"/>
    <w:basedOn w:val="Normal"/>
    <w:link w:val="CommentTextChar"/>
    <w:uiPriority w:val="99"/>
    <w:unhideWhenUsed/>
    <w:rsid w:val="000A0F68"/>
    <w:pPr>
      <w:spacing w:line="240" w:lineRule="auto"/>
    </w:pPr>
    <w:rPr>
      <w:sz w:val="20"/>
      <w:szCs w:val="20"/>
    </w:rPr>
  </w:style>
  <w:style w:type="character" w:customStyle="1" w:styleId="CommentTextChar">
    <w:name w:val="Comment Text Char"/>
    <w:basedOn w:val="DefaultParagraphFont"/>
    <w:link w:val="CommentText"/>
    <w:uiPriority w:val="99"/>
    <w:rsid w:val="000A0F68"/>
    <w:rPr>
      <w:sz w:val="20"/>
      <w:szCs w:val="20"/>
    </w:rPr>
  </w:style>
  <w:style w:type="paragraph" w:styleId="CommentSubject">
    <w:name w:val="annotation subject"/>
    <w:basedOn w:val="CommentText"/>
    <w:next w:val="CommentText"/>
    <w:link w:val="CommentSubjectChar"/>
    <w:uiPriority w:val="99"/>
    <w:semiHidden/>
    <w:unhideWhenUsed/>
    <w:rsid w:val="000A0F68"/>
    <w:rPr>
      <w:b/>
      <w:bCs/>
    </w:rPr>
  </w:style>
  <w:style w:type="character" w:customStyle="1" w:styleId="CommentSubjectChar">
    <w:name w:val="Comment Subject Char"/>
    <w:basedOn w:val="CommentTextChar"/>
    <w:link w:val="CommentSubject"/>
    <w:uiPriority w:val="99"/>
    <w:semiHidden/>
    <w:rsid w:val="000A0F68"/>
    <w:rPr>
      <w:b/>
      <w:bCs/>
      <w:sz w:val="20"/>
      <w:szCs w:val="20"/>
    </w:rPr>
  </w:style>
  <w:style w:type="paragraph" w:styleId="NormalWeb">
    <w:name w:val="Normal (Web)"/>
    <w:basedOn w:val="Normal"/>
    <w:uiPriority w:val="99"/>
    <w:semiHidden/>
    <w:unhideWhenUsed/>
    <w:rsid w:val="00A5066E"/>
    <w:rPr>
      <w:rFonts w:ascii="Times New Roman" w:hAnsi="Times New Roman" w:cs="Times New Roman"/>
      <w:sz w:val="24"/>
      <w:szCs w:val="24"/>
    </w:rPr>
  </w:style>
  <w:style w:type="paragraph" w:styleId="Header">
    <w:name w:val="header"/>
    <w:basedOn w:val="Normal"/>
    <w:link w:val="HeaderChar"/>
    <w:uiPriority w:val="99"/>
    <w:unhideWhenUsed/>
    <w:rsid w:val="00272F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F56"/>
  </w:style>
  <w:style w:type="paragraph" w:styleId="Footer">
    <w:name w:val="footer"/>
    <w:basedOn w:val="Normal"/>
    <w:link w:val="FooterChar"/>
    <w:uiPriority w:val="99"/>
    <w:unhideWhenUsed/>
    <w:rsid w:val="00272F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F56"/>
  </w:style>
  <w:style w:type="paragraph" w:styleId="NoSpacing">
    <w:name w:val="No Spacing"/>
    <w:uiPriority w:val="1"/>
    <w:qFormat/>
    <w:rsid w:val="004942D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tuberculosi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PINPC\Documents\Colleagues%20work\Abigail_Dept%20PHD%20work\Abigail_PhD_Datas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NG"/>
              <a:t>SPUTUM </a:t>
            </a:r>
            <a:r>
              <a:rPr lang="en-US"/>
              <a:t>GENE</a:t>
            </a:r>
            <a:r>
              <a:rPr lang="en-US" baseline="0"/>
              <a:t> XPERT RESULT</a:t>
            </a:r>
            <a:endParaRPr lang="en-US"/>
          </a:p>
        </c:rich>
      </c:tx>
      <c:layout>
        <c:manualLayout>
          <c:xMode val="edge"/>
          <c:yMode val="edge"/>
          <c:x val="2.5458223972003504E-2"/>
          <c:y val="1.388888888888888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Sheet2!$F$8</c:f>
              <c:strCache>
                <c:ptCount val="1"/>
                <c:pt idx="0">
                  <c:v>Gene Xpert Result</c:v>
                </c:pt>
              </c:strCache>
            </c:strRef>
          </c:tx>
          <c:spPr>
            <a:solidFill>
              <a:srgbClr val="FF0000"/>
            </a:solidFill>
          </c:spPr>
          <c:dPt>
            <c:idx val="0"/>
            <c:bubble3D val="0"/>
            <c:spPr>
              <a:solidFill>
                <a:srgbClr val="FF000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7D2C-44AE-AFE3-15F2ACC73D66}"/>
              </c:ext>
            </c:extLst>
          </c:dPt>
          <c:dPt>
            <c:idx val="1"/>
            <c:bubble3D val="0"/>
            <c:spPr>
              <a:solidFill>
                <a:srgbClr val="00B05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7D2C-44AE-AFE3-15F2ACC73D66}"/>
              </c:ext>
            </c:extLst>
          </c:dPt>
          <c:dPt>
            <c:idx val="2"/>
            <c:bubble3D val="0"/>
            <c:spPr>
              <a:solidFill>
                <a:srgbClr val="00206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7D2C-44AE-AFE3-15F2ACC73D66}"/>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fld id="{51A3B33F-A17F-4D83-8D35-B861E4DDE5C8}" type="CATEGORYNAME">
                      <a:rPr lang="en-US">
                        <a:solidFill>
                          <a:schemeClr val="tx1"/>
                        </a:solidFill>
                      </a:rPr>
                      <a:pPr>
                        <a:defRPr>
                          <a:solidFill>
                            <a:schemeClr val="tx1"/>
                          </a:solidFill>
                        </a:defRPr>
                      </a:pPr>
                      <a:t>[CATEGORY NAME]</a:t>
                    </a:fld>
                    <a:r>
                      <a:rPr lang="en-US" baseline="0">
                        <a:solidFill>
                          <a:schemeClr val="tx1"/>
                        </a:solidFill>
                      </a:rPr>
                      <a:t>, </a:t>
                    </a:r>
                    <a:fld id="{4CB0921C-8F53-41D6-9657-10E7B173B4FC}" type="VALUE">
                      <a:rPr lang="en-US" baseline="0">
                        <a:solidFill>
                          <a:schemeClr val="tx1"/>
                        </a:solidFill>
                      </a:rPr>
                      <a:pPr>
                        <a:defRPr>
                          <a:solidFill>
                            <a:schemeClr val="tx1"/>
                          </a:solidFill>
                        </a:defRPr>
                      </a:pPr>
                      <a:t>[VALUE]</a:t>
                    </a:fld>
                    <a:r>
                      <a:rPr lang="en-US" baseline="0">
                        <a:solidFill>
                          <a:schemeClr val="tx1"/>
                        </a:solidFill>
                      </a:rPr>
                      <a:t>, 25.3%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D2C-44AE-AFE3-15F2ACC73D66}"/>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fld id="{C8122C84-CBB2-4D50-99CD-01B951C67916}" type="CATEGORYNAME">
                      <a:rPr lang="en-US">
                        <a:solidFill>
                          <a:schemeClr val="tx1"/>
                        </a:solidFill>
                      </a:rPr>
                      <a:pPr>
                        <a:defRPr>
                          <a:solidFill>
                            <a:schemeClr val="tx1"/>
                          </a:solidFill>
                        </a:defRPr>
                      </a:pPr>
                      <a:t>[CATEGORY NAME]</a:t>
                    </a:fld>
                    <a:r>
                      <a:rPr lang="en-US" baseline="0">
                        <a:solidFill>
                          <a:schemeClr val="tx1"/>
                        </a:solidFill>
                      </a:rPr>
                      <a:t>, </a:t>
                    </a:r>
                    <a:fld id="{B9E10049-BABB-4868-84D1-C22FBD4E4317}" type="VALUE">
                      <a:rPr lang="en-US" baseline="0">
                        <a:solidFill>
                          <a:schemeClr val="tx1"/>
                        </a:solidFill>
                      </a:rPr>
                      <a:pPr>
                        <a:defRPr>
                          <a:solidFill>
                            <a:schemeClr val="tx1"/>
                          </a:solidFill>
                        </a:defRPr>
                      </a:pPr>
                      <a:t>[VALUE]</a:t>
                    </a:fld>
                    <a:r>
                      <a:rPr lang="en-US" baseline="0">
                        <a:solidFill>
                          <a:schemeClr val="tx1"/>
                        </a:solidFill>
                      </a:rPr>
                      <a:t>, 74.5%</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D2C-44AE-AFE3-15F2ACC73D66}"/>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fld id="{8E5673F3-A7EC-49E2-A786-C6872F35B1AD}" type="CATEGORYNAME">
                      <a:rPr lang="en-US">
                        <a:solidFill>
                          <a:schemeClr val="tx1"/>
                        </a:solidFill>
                      </a:rPr>
                      <a:pPr>
                        <a:defRPr>
                          <a:solidFill>
                            <a:schemeClr val="tx1"/>
                          </a:solidFill>
                        </a:defRPr>
                      </a:pPr>
                      <a:t>[CATEGORY NAME]</a:t>
                    </a:fld>
                    <a:r>
                      <a:rPr lang="en-US" baseline="0">
                        <a:solidFill>
                          <a:schemeClr val="tx1"/>
                        </a:solidFill>
                      </a:rPr>
                      <a:t>, </a:t>
                    </a:r>
                    <a:fld id="{A6813C7C-E390-482C-A12E-7B78B1D65CB5}" type="VALUE">
                      <a:rPr lang="en-US" baseline="0">
                        <a:solidFill>
                          <a:schemeClr val="tx1"/>
                        </a:solidFill>
                      </a:rPr>
                      <a:pPr>
                        <a:defRPr>
                          <a:solidFill>
                            <a:schemeClr val="tx1"/>
                          </a:solidFill>
                        </a:defRPr>
                      </a:pPr>
                      <a:t>[VALUE]</a:t>
                    </a:fld>
                    <a:r>
                      <a:rPr lang="en-US" baseline="0">
                        <a:solidFill>
                          <a:schemeClr val="tx1"/>
                        </a:solidFill>
                      </a:rPr>
                      <a:t>, 0.2%</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D2C-44AE-AFE3-15F2ACC73D6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Sheet2!$E$9:$E$11</c:f>
              <c:strCache>
                <c:ptCount val="3"/>
                <c:pt idx="0">
                  <c:v>Positive</c:v>
                </c:pt>
                <c:pt idx="1">
                  <c:v>Negative</c:v>
                </c:pt>
                <c:pt idx="2">
                  <c:v>Indeterminate</c:v>
                </c:pt>
              </c:strCache>
            </c:strRef>
          </c:cat>
          <c:val>
            <c:numRef>
              <c:f>Sheet2!$F$9:$F$11</c:f>
              <c:numCache>
                <c:formatCode>General</c:formatCode>
                <c:ptCount val="3"/>
                <c:pt idx="0">
                  <c:v>104</c:v>
                </c:pt>
                <c:pt idx="1">
                  <c:v>306</c:v>
                </c:pt>
                <c:pt idx="2">
                  <c:v>1</c:v>
                </c:pt>
              </c:numCache>
            </c:numRef>
          </c:val>
          <c:extLst>
            <c:ext xmlns:c16="http://schemas.microsoft.com/office/drawing/2014/chart" uri="{C3380CC4-5D6E-409C-BE32-E72D297353CC}">
              <c16:uniqueId val="{00000006-7D2C-44AE-AFE3-15F2ACC73D66}"/>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2214</TotalTime>
  <Pages>14</Pages>
  <Words>3986</Words>
  <Characters>22721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Abi Daniel</dc:creator>
  <cp:keywords/>
  <dc:description/>
  <cp:lastModifiedBy>Editor GP 005</cp:lastModifiedBy>
  <cp:revision>495</cp:revision>
  <dcterms:created xsi:type="dcterms:W3CDTF">2025-11-25T07:50:00Z</dcterms:created>
  <dcterms:modified xsi:type="dcterms:W3CDTF">2026-02-17T10:40:00Z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891adde0-d4b7-47f0-bb7e-733ab4c44a01</vt:lpwstr>
  </property>
</Properties>
</file>