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E30E"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 Cell Functional Plasticity in Gestation: Beyond Indices to Oxygen-Sensing and Rheology</w:t>
      </w:r>
    </w:p>
    <w:p w14:paraId="7FD16AE5" w14:textId="77777777" w:rsidR="007D4569" w:rsidRDefault="007D4569"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F719451" w14:textId="77777777" w:rsidR="007D4569" w:rsidRDefault="007D4569"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353D293"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Abstract</w:t>
      </w:r>
    </w:p>
    <w:p w14:paraId="51C22180"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Background:</w:t>
      </w:r>
      <w:r w:rsidRPr="00B0245D">
        <w:rPr>
          <w:rFonts w:ascii="Times New Roman" w:eastAsia="Times New Roman" w:hAnsi="Times New Roman" w:cs="Times New Roman"/>
          <w:sz w:val="24"/>
          <w:szCs w:val="24"/>
        </w:rPr>
        <w:br/>
        <w:t>Pregnancy induces coordinated hematologic adaptations to sustain maternal–fetal oxygen exchange. While clinical assessment traditionally relies on red cell indices such as hemoglobin concentration, hematocrit, and mean corpuscular volume, these static measures incompletely reflect the dynamic functional remodeling of erythrocytes during gestation. Emerging evidence indicates that red blood cells (RBCs) undergo significant biochemical and biomechanical adaptations that influence oxygen delivery, vascular signaling, and microcirculatory flow.</w:t>
      </w:r>
    </w:p>
    <w:p w14:paraId="1F8C0C03" w14:textId="2544113E" w:rsidR="00CC03B8" w:rsidRPr="00B0245D" w:rsidRDefault="002A661A" w:rsidP="00B0245D">
      <w:pPr>
        <w:spacing w:before="100" w:beforeAutospacing="1" w:after="100" w:afterAutospacing="1" w:line="240" w:lineRule="auto"/>
        <w:jc w:val="both"/>
        <w:rPr>
          <w:rFonts w:ascii="Times New Roman" w:eastAsia="Times New Roman" w:hAnsi="Times New Roman" w:cs="Times New Roman"/>
          <w:sz w:val="24"/>
          <w:szCs w:val="24"/>
        </w:rPr>
      </w:pPr>
      <w:r w:rsidRPr="002A661A">
        <w:rPr>
          <w:rFonts w:ascii="Times New Roman" w:eastAsia="Times New Roman" w:hAnsi="Times New Roman" w:cs="Times New Roman"/>
          <w:b/>
          <w:bCs/>
          <w:color w:val="FF0000"/>
          <w:sz w:val="24"/>
          <w:szCs w:val="24"/>
        </w:rPr>
        <w:t>Aim</w:t>
      </w:r>
      <w:r w:rsidR="00CC03B8" w:rsidRPr="00B0245D">
        <w:rPr>
          <w:rFonts w:ascii="Times New Roman" w:eastAsia="Times New Roman" w:hAnsi="Times New Roman" w:cs="Times New Roman"/>
          <w:b/>
          <w:bCs/>
          <w:sz w:val="24"/>
          <w:szCs w:val="24"/>
        </w:rPr>
        <w:t>:</w:t>
      </w:r>
      <w:r w:rsidR="00CC03B8" w:rsidRPr="00B0245D">
        <w:rPr>
          <w:rFonts w:ascii="Times New Roman" w:eastAsia="Times New Roman" w:hAnsi="Times New Roman" w:cs="Times New Roman"/>
          <w:sz w:val="24"/>
          <w:szCs w:val="24"/>
        </w:rPr>
        <w:br/>
        <w:t>To synthesize current evidence on red cell functional plasticity in pregnancy, emphasizing mechanisms beyond conventional indices, including oxygen-sensing modulation, membrane biomechanics, nitric oxide handling, and rheologic adaptation.</w:t>
      </w:r>
    </w:p>
    <w:p w14:paraId="5AB580C4" w14:textId="0A05D7F2"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Methods:</w:t>
      </w:r>
      <w:r w:rsidRPr="00B0245D">
        <w:rPr>
          <w:rFonts w:ascii="Times New Roman" w:eastAsia="Times New Roman" w:hAnsi="Times New Roman" w:cs="Times New Roman"/>
          <w:sz w:val="24"/>
          <w:szCs w:val="24"/>
        </w:rPr>
        <w:br/>
        <w:t xml:space="preserve">This narrative review integrates experimental, clinical, and translational studies examining erythrocyte physiology in normal and complicated pregnancies. </w:t>
      </w:r>
      <w:r w:rsidR="002A661A" w:rsidRPr="002A661A">
        <w:rPr>
          <w:rFonts w:ascii="Times New Roman" w:eastAsia="Times New Roman" w:hAnsi="Times New Roman" w:cs="Times New Roman"/>
          <w:color w:val="FF0000"/>
          <w:sz w:val="24"/>
          <w:szCs w:val="24"/>
        </w:rPr>
        <w:t>The</w:t>
      </w:r>
      <w:r w:rsidRPr="00B0245D">
        <w:rPr>
          <w:rFonts w:ascii="Times New Roman" w:eastAsia="Times New Roman" w:hAnsi="Times New Roman" w:cs="Times New Roman"/>
          <w:sz w:val="24"/>
          <w:szCs w:val="24"/>
        </w:rPr>
        <w:t xml:space="preserve"> domains analyzed include hemoglobin–oxygen affinity regulation (notably 2,3-bisphosphoglycerate dynamics), red cell deformability, oxidative stress responses, ATP-mediated vascular signaling, and microvascular rheology. Evidence from hypertensive disorders of pregnancy, fetal growth restriction, and gestational anemia is incorporated to contextualize pathophysiologic implications.</w:t>
      </w:r>
    </w:p>
    <w:p w14:paraId="0019C975" w14:textId="76C86E94"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Results:</w:t>
      </w:r>
      <w:r w:rsidRPr="00B0245D">
        <w:rPr>
          <w:rFonts w:ascii="Times New Roman" w:eastAsia="Times New Roman" w:hAnsi="Times New Roman" w:cs="Times New Roman"/>
          <w:sz w:val="24"/>
          <w:szCs w:val="24"/>
        </w:rPr>
        <w:br/>
        <w:t xml:space="preserve">Gestation is associated with adaptive increases in erythropoietic activity, enhanced red cell deformability, rightward shifts in the maternal oxygen dissociation curve </w:t>
      </w:r>
      <w:r w:rsidR="002A661A" w:rsidRPr="002A661A">
        <w:rPr>
          <w:rFonts w:ascii="Times New Roman" w:eastAsia="Times New Roman" w:hAnsi="Times New Roman" w:cs="Times New Roman"/>
          <w:color w:val="FF0000"/>
          <w:sz w:val="24"/>
          <w:szCs w:val="24"/>
        </w:rPr>
        <w:t>(ODC)</w:t>
      </w:r>
      <w:r w:rsidR="002A661A">
        <w:rPr>
          <w:rFonts w:ascii="Times New Roman" w:eastAsia="Times New Roman" w:hAnsi="Times New Roman" w:cs="Times New Roman"/>
          <w:sz w:val="24"/>
          <w:szCs w:val="24"/>
        </w:rPr>
        <w:t xml:space="preserve"> </w:t>
      </w:r>
      <w:r w:rsidRPr="00B0245D">
        <w:rPr>
          <w:rFonts w:ascii="Times New Roman" w:eastAsia="Times New Roman" w:hAnsi="Times New Roman" w:cs="Times New Roman"/>
          <w:sz w:val="24"/>
          <w:szCs w:val="24"/>
        </w:rPr>
        <w:t>mediated by 2,3-bisphosphoglycerate, and modulation of nitric oxide–dependent vascular interactions. These changes optimize uteroplacental oxygen transfer and systemic hemodynamics. In contrast, pathologic pregnancies demonstrate impaired deformability, oxidative membrane injury, dysregulated nitric oxide signaling, and altered rheologic properties, contributing to placental hypoperfusion and adverse outcomes. Conventional hematologic indices fail to capture these functional alterations.</w:t>
      </w:r>
    </w:p>
    <w:p w14:paraId="78523058"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Conclusion:</w:t>
      </w:r>
      <w:r w:rsidRPr="00B0245D">
        <w:rPr>
          <w:rFonts w:ascii="Times New Roman" w:eastAsia="Times New Roman" w:hAnsi="Times New Roman" w:cs="Times New Roman"/>
          <w:sz w:val="24"/>
          <w:szCs w:val="24"/>
        </w:rPr>
        <w:br/>
        <w:t>Red cell functional plasticity represents a critical yet under-recognized component of maternal–fetal physiology. Incorporating functional erythrocyte phenotyping—such as oxygen affinity assessment and deformability testing—into obstetric evaluation may enhance early detection of high-risk pregnancies and inform precision hematology approaches. Transitioning from static indices to functional biomarkers offers a refined framework for understanding and managing hematologic adaptation in gestation.</w:t>
      </w:r>
    </w:p>
    <w:p w14:paraId="04158B92"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B0245D">
        <w:rPr>
          <w:rFonts w:ascii="Times New Roman" w:eastAsia="Times New Roman" w:hAnsi="Times New Roman" w:cs="Times New Roman"/>
          <w:b/>
          <w:bCs/>
          <w:i/>
          <w:sz w:val="24"/>
          <w:szCs w:val="24"/>
        </w:rPr>
        <w:lastRenderedPageBreak/>
        <w:t xml:space="preserve">Keywords: </w:t>
      </w:r>
      <w:r w:rsidRPr="00B0245D">
        <w:rPr>
          <w:rFonts w:ascii="Times New Roman" w:eastAsia="Times New Roman" w:hAnsi="Times New Roman" w:cs="Times New Roman"/>
          <w:i/>
          <w:sz w:val="24"/>
          <w:szCs w:val="24"/>
        </w:rPr>
        <w:t>Red cell deformability; Oxygen dissociation curve; 2,3-Bisphosphoglycerate; Microvascular rheology; Pregnancy hematology</w:t>
      </w:r>
    </w:p>
    <w:p w14:paraId="49981B02"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B0245D">
        <w:rPr>
          <w:rFonts w:ascii="Times New Roman" w:eastAsia="Times New Roman" w:hAnsi="Times New Roman" w:cs="Times New Roman"/>
          <w:b/>
          <w:bCs/>
          <w:sz w:val="24"/>
          <w:szCs w:val="24"/>
        </w:rPr>
        <w:t>Introduction</w:t>
      </w:r>
    </w:p>
    <w:p w14:paraId="6B50F3B1" w14:textId="114322DA" w:rsidR="00CC03B8" w:rsidRPr="00B0245D" w:rsidRDefault="00CC03B8" w:rsidP="00B0245D">
      <w:pPr>
        <w:pStyle w:val="NormalWeb"/>
        <w:jc w:val="both"/>
      </w:pPr>
      <w:r w:rsidRPr="00B0245D">
        <w:t xml:space="preserve">Pregnancy represents one of the most profound examples of physiologic adaptation in human biology. Within a relatively short temporal window, the maternal organism must accommodate increased metabolic demand, expanded vascular capacity, and the oxygenation requirements of a genetically distinct fetus. Central to this adaptive process is the hematologic system, particularly the </w:t>
      </w:r>
      <w:r w:rsidRPr="00667417">
        <w:rPr>
          <w:color w:val="FF0000"/>
        </w:rPr>
        <w:t>RBC</w:t>
      </w:r>
      <w:r w:rsidRPr="00B0245D">
        <w:t>, whose primary role in oxygen transport becomes critically amplified during gestation. While gestational hematology has traditionally been framed around changes in hemoglobin concentration, hematocrit, and red cell indices, contemporary evidence indicates that erythrocytes undergo substantial functional remodeling that extends beyond quantitative expansion or dilutional shifts</w:t>
      </w:r>
      <w:r w:rsidR="00EC6141" w:rsidRPr="00B0245D">
        <w:t xml:space="preserve"> [1-2]</w:t>
      </w:r>
      <w:r w:rsidRPr="00B0245D">
        <w:t>.</w:t>
      </w:r>
      <w:r w:rsidR="00EC6141" w:rsidRPr="00B0245D">
        <w:t xml:space="preserve"> </w:t>
      </w:r>
      <w:r w:rsidRPr="00B0245D">
        <w:t>The concept of “physiologic anemia of pregnancy” has dominated clinical discourse for decades. Plasma volume increases by approximately 40–50%, exceeding the 20–30% rise in red cell mass, resulting in relative hemodilution. Although this adaptation reduces blood viscosity and enhances uteroplacental perfusion, it provides only a partial explanation for optimized maternal–fetal oxygen transfer. Hemoglobin concentration alone does not determine tissue oxygen delivery; rather, oxygen transport is governed by an integrated interplay among hemoglobin affinity, red cell deformability, microvascular flow dynamics, and vascular signaling pathways. Thus, a purely index-based assessment of erythrocytes risks underestimating the complexity of gestational adaptation</w:t>
      </w:r>
      <w:r w:rsidR="00EC6141" w:rsidRPr="00B0245D">
        <w:t xml:space="preserve"> [2]</w:t>
      </w:r>
      <w:r w:rsidRPr="00B0245D">
        <w:t>.</w:t>
      </w:r>
    </w:p>
    <w:p w14:paraId="1BA1B095" w14:textId="77777777" w:rsidR="00CC03B8" w:rsidRPr="00B0245D" w:rsidRDefault="00CC03B8" w:rsidP="00B0245D">
      <w:pPr>
        <w:pStyle w:val="NormalWeb"/>
        <w:jc w:val="both"/>
      </w:pPr>
      <w:r w:rsidRPr="00B0245D">
        <w:t xml:space="preserve">Red blood cells are increasingly recognized as metabolically active and functionally versatile cells. Despite lacking nuclei and mitochondria, erythrocytes possess intricate regulatory networks involving glycolytic flux, redox buffering systems, nitric oxide metabolism, and </w:t>
      </w:r>
      <w:proofErr w:type="spellStart"/>
      <w:r w:rsidRPr="00B0245D">
        <w:t>mechanotransduction</w:t>
      </w:r>
      <w:proofErr w:type="spellEnd"/>
      <w:r w:rsidRPr="00B0245D">
        <w:t xml:space="preserve"> responses to shear stress. These systems enable RBCs to respond dynamically to hypoxic cues and vascular conditions. During pregnancy, hormonal influences, altered cytokine milieus, and increased erythropoietic drive collectively reshape red cell phenotype and function. Such plasticity ensures adequate oxygen unloading at the uteroplacental interface, where diffusion gradients are relatively narrow and efficiency is paramount</w:t>
      </w:r>
      <w:r w:rsidR="00EC6141" w:rsidRPr="00B0245D">
        <w:t xml:space="preserve"> [3-4]</w:t>
      </w:r>
      <w:r w:rsidRPr="00B0245D">
        <w:t>.</w:t>
      </w:r>
    </w:p>
    <w:p w14:paraId="25001188" w14:textId="50CD9F49" w:rsidR="00CC03B8" w:rsidRPr="00B0245D" w:rsidRDefault="00CC03B8" w:rsidP="00B0245D">
      <w:pPr>
        <w:pStyle w:val="NormalWeb"/>
        <w:jc w:val="both"/>
      </w:pPr>
      <w:r w:rsidRPr="00B0245D">
        <w:t xml:space="preserve">A critical component of this adaptation lies in modulation of hemoglobin–oxygen affinity. Maternal erythrocytes exhibit adjustments in intracellular 2,3-bisphosphoglycerate (2,3-BPG), shifting the </w:t>
      </w:r>
      <w:r w:rsidR="008B6B0D" w:rsidRPr="00C611AE">
        <w:rPr>
          <w:color w:val="FF0000"/>
        </w:rPr>
        <w:t>ODC</w:t>
      </w:r>
      <w:r w:rsidRPr="00B0245D">
        <w:t xml:space="preserve"> rightward to facilitate oxygen release to tissues. This maternal shift operates in concert with the intrinsically left-shifted fetal hemoglobin dissociation curve, creating a complementary system optimized for transplacental oxygen exchange. Beyond oxygen affinity, erythrocyte deformability plays a decisive role in enabling passage through the low-resistance, high-flow microvasculature of the placenta. Subtle alterations in membrane cytoskeleton composition, lipid asymmetry, and intracellular hydration state can significantly influence microvascular rheology and oxygen diffusion efficiency</w:t>
      </w:r>
      <w:r w:rsidR="00EC6141" w:rsidRPr="00B0245D">
        <w:t xml:space="preserve"> [5-6]</w:t>
      </w:r>
      <w:r w:rsidRPr="00B0245D">
        <w:t>.</w:t>
      </w:r>
    </w:p>
    <w:p w14:paraId="0EAD5A3D" w14:textId="77777777" w:rsidR="00CC03B8" w:rsidRPr="00B0245D" w:rsidRDefault="00CC03B8" w:rsidP="00B0245D">
      <w:pPr>
        <w:pStyle w:val="NormalWeb"/>
        <w:jc w:val="both"/>
      </w:pPr>
      <w:r w:rsidRPr="00B0245D">
        <w:t xml:space="preserve">Furthermore, RBCs participate actively in vascular homeostasis through nitric oxide (NO) signaling and ATP release under hypoxic stress. These mechanisms modulate endothelial tone and local perfusion, processes that are particularly relevant in pregnancy, where systemic vasodilation and reduced vascular resistance are physiologic hallmarks. Disruption of erythrocyte-mediated </w:t>
      </w:r>
      <w:r w:rsidRPr="00B0245D">
        <w:lastRenderedPageBreak/>
        <w:t>signaling pathways has been implicated in hypertensive disorders of pregnancy, including preeclampsia, underscoring the pathophysiologic significance of red cell functional integrity</w:t>
      </w:r>
      <w:r w:rsidR="00EC6141" w:rsidRPr="00B0245D">
        <w:t xml:space="preserve"> [7]</w:t>
      </w:r>
      <w:r w:rsidRPr="00B0245D">
        <w:t>.</w:t>
      </w:r>
      <w:r w:rsidR="00EC6141" w:rsidRPr="00B0245D">
        <w:t xml:space="preserve"> </w:t>
      </w:r>
      <w:r w:rsidRPr="00B0245D">
        <w:t>Oxidative stress represents another dimension of red cell adaptation in gestation. Increased metabolic turnover and placental mitochondrial activity elevate reactive oxygen species production. Erythrocytes, equipped with antioxidant systems such as glutathione, superoxide dismutase, and catalase, must maintain redox balance to preserve membrane flexibility and hemoglobin functionality. Failure of these protective systems can precipitate membrane rigidity, impaired oxygen handling, and shortened erythrocyte lifespan—features observed in complicated pregnancies</w:t>
      </w:r>
      <w:r w:rsidR="00EC6141" w:rsidRPr="00B0245D">
        <w:t xml:space="preserve"> [8]</w:t>
      </w:r>
      <w:r w:rsidRPr="00B0245D">
        <w:t>.</w:t>
      </w:r>
      <w:r w:rsidR="00EC6141" w:rsidRPr="00B0245D">
        <w:t xml:space="preserve"> </w:t>
      </w:r>
      <w:r w:rsidRPr="00B0245D">
        <w:t>This review therefore examines the multidimensional remodeling of erythrocytes in gestation, synthesizing molecular, biophysical, and translational perspectives. By moving beyond conventional indices toward functional phenotyping, a more comprehensive framework emerges for understanding both physiologic adaptation and the hematologic contributions to adverse pregnancy outcomes.</w:t>
      </w:r>
    </w:p>
    <w:p w14:paraId="2B6B82BE" w14:textId="77777777" w:rsidR="00CC03B8" w:rsidRPr="00B0245D" w:rsidRDefault="00CC03B8" w:rsidP="00B0245D">
      <w:pPr>
        <w:pStyle w:val="Heading2"/>
        <w:jc w:val="both"/>
        <w:rPr>
          <w:sz w:val="24"/>
          <w:szCs w:val="24"/>
        </w:rPr>
      </w:pPr>
      <w:r w:rsidRPr="00B0245D">
        <w:rPr>
          <w:sz w:val="24"/>
          <w:szCs w:val="24"/>
        </w:rPr>
        <w:t>Methods</w:t>
      </w:r>
    </w:p>
    <w:p w14:paraId="56838FC9" w14:textId="5AC76EFE" w:rsidR="00CC03B8" w:rsidRPr="00B0245D" w:rsidRDefault="00CC03B8" w:rsidP="00B0245D">
      <w:pPr>
        <w:pStyle w:val="NormalWeb"/>
        <w:jc w:val="both"/>
      </w:pPr>
      <w:r w:rsidRPr="00B0245D">
        <w:t xml:space="preserve">This narrative review was conducted to synthesize current knowledge on </w:t>
      </w:r>
      <w:r w:rsidRPr="00C611AE">
        <w:rPr>
          <w:color w:val="FF0000"/>
        </w:rPr>
        <w:t>RBC</w:t>
      </w:r>
      <w:r w:rsidRPr="00B0245D">
        <w:t xml:space="preserve"> functional plasticity in pregnancy, focusing on oxygen-sensing, deformability, rheology, nitric oxide signaling, and redox adaptation. A comprehensive literature search was performed using major biomedical databases, including </w:t>
      </w:r>
      <w:r w:rsidRPr="00B0245D">
        <w:rPr>
          <w:rStyle w:val="Strong"/>
          <w:b w:val="0"/>
        </w:rPr>
        <w:t>PubMed, Scopus, and Web of Science</w:t>
      </w:r>
      <w:r w:rsidRPr="00B0245D">
        <w:t xml:space="preserve">, for studies published up to 2025. Search terms included combinations of </w:t>
      </w:r>
      <w:r w:rsidRPr="00B0245D">
        <w:rPr>
          <w:rStyle w:val="Strong"/>
        </w:rPr>
        <w:t>“</w:t>
      </w:r>
      <w:r w:rsidRPr="00B0245D">
        <w:rPr>
          <w:rStyle w:val="Strong"/>
          <w:b w:val="0"/>
        </w:rPr>
        <w:t>red blood cell,” “erythrocyte,” “pregnancy,” “oxygen affinity,” “2,3-bisphosphoglycerate,” “deformability,” “rheology,” “nitric oxide,” “ATP release,” “oxidative stress,”</w:t>
      </w:r>
      <w:r w:rsidRPr="00B0245D">
        <w:rPr>
          <w:b/>
        </w:rPr>
        <w:t xml:space="preserve"> </w:t>
      </w:r>
      <w:r w:rsidRPr="00B0245D">
        <w:t>and</w:t>
      </w:r>
      <w:r w:rsidRPr="00B0245D">
        <w:rPr>
          <w:b/>
        </w:rPr>
        <w:t xml:space="preserve"> </w:t>
      </w:r>
      <w:r w:rsidRPr="00B0245D">
        <w:rPr>
          <w:rStyle w:val="Strong"/>
          <w:b w:val="0"/>
        </w:rPr>
        <w:t>“uteroplacental perfusion</w:t>
      </w:r>
      <w:r w:rsidRPr="00B0245D">
        <w:rPr>
          <w:rStyle w:val="Strong"/>
        </w:rPr>
        <w:t>.”</w:t>
      </w:r>
      <w:r w:rsidRPr="00B0245D">
        <w:t xml:space="preserve"> Both experimental and clinical studies were considered, including in vitro mechanistic studies, observational cohort studies, and translational research.</w:t>
      </w:r>
    </w:p>
    <w:p w14:paraId="102FE6EB" w14:textId="77777777" w:rsidR="00CC03B8" w:rsidRPr="00B0245D" w:rsidRDefault="00CC03B8" w:rsidP="00B0245D">
      <w:pPr>
        <w:pStyle w:val="NormalWeb"/>
        <w:jc w:val="both"/>
      </w:pPr>
      <w:r w:rsidRPr="00B0245D">
        <w:t>Inclusion criteria encompassed studies examining functional aspects of erythrocytes in normal and complicated pregnancies, including hypertensive disorders, gestational diabetes, anemia, and fetal growth restriction. Studies that focused solely on quantitative red cell indices without functional assessment were excluded unless providing context for comparative discussion. Reference lists of retrieved articles were manually screened to identify additional relevant publications.</w:t>
      </w:r>
      <w:r w:rsidR="00EA53C5" w:rsidRPr="00B0245D">
        <w:t xml:space="preserve"> </w:t>
      </w:r>
      <w:r w:rsidRPr="00B0245D">
        <w:t>The review integrates evidence across multiple domains, including molecular mechanisms (e.g., 2,3-bisphosphoglycerate metabolism, oxidative stress pathways), biophysical properties (e.g., deformability, membrane biomechanics), rheologic and microvascular studies, and translational clinical research. Data were synthesized narratively to highlight adaptive mechanisms, pathophysiologic disruptions, and clinical implications. Emphasis was placed on recent discoveries within the past decade while acknowledging foundational studies that established key principles of gestational hematology.</w:t>
      </w:r>
      <w:r w:rsidR="00EA53C5" w:rsidRPr="00B0245D">
        <w:t xml:space="preserve"> </w:t>
      </w:r>
      <w:r w:rsidRPr="00B0245D">
        <w:t>This approach enables a comprehensive, multidimensional understanding of red cell functional plasticity in pregnancy, emphasizing physiological relevance and translational potential for clinical practice.</w:t>
      </w:r>
    </w:p>
    <w:p w14:paraId="18BA7122"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Hematologic Remodeling: Beyond Hemodilution</w:t>
      </w:r>
    </w:p>
    <w:p w14:paraId="4392DBD3" w14:textId="77777777" w:rsidR="00CC03B8" w:rsidRPr="00B0245D" w:rsidRDefault="00CC03B8" w:rsidP="00B0245D">
      <w:pPr>
        <w:pStyle w:val="NormalWeb"/>
        <w:jc w:val="both"/>
      </w:pPr>
      <w:r w:rsidRPr="00B0245D">
        <w:t xml:space="preserve">The hematologic adaptation to pregnancy has long been summarized under the umbrella of “physiologic anemia,” a term that reflects the disproportionate expansion of plasma volume relative to red cell mass. While this hemodilution is clinically observable and hemodynamically </w:t>
      </w:r>
      <w:r w:rsidRPr="00B0245D">
        <w:lastRenderedPageBreak/>
        <w:t>advantageous—reducing blood viscosity and facilitating uteroplacental perfusion—it represents only the surface manifestation of a far more intricate remodeling process within the erythron. Beneath the quantitative shifts in hemoglobin concentration and hematocrit lies a dynamic recalibration of erythropoiesis, red cell phenotype, and systemic regulatory pathways.</w:t>
      </w:r>
      <w:r w:rsidR="00EC6141" w:rsidRPr="00B0245D">
        <w:t xml:space="preserve"> </w:t>
      </w:r>
      <w:r w:rsidRPr="00B0245D">
        <w:t>From early gestation, rising estrogen and progesterone levels stimulate activation of the renin–angiotensin–aldosterone system, promoting sodium and water retention and driving plasma volume expansion. Concurrently, maternal oxygen demand increases due to heightened metabolic activity, expansion of uterine tissues, and the oxygen requirements of the developing fetus. These physiologic pressures trigger enhanced erythropoietin (EPO) production, predominantly via renal hypoxia-sensing mechanisms mediated by hypoxia-inducible factors (HIFs). The result is augmented erythropoietic activity within the bone marrow, leading to a measurable rise in red cell mass, albeit insufficient to match plasma expansion</w:t>
      </w:r>
      <w:r w:rsidR="00EC6141" w:rsidRPr="00B0245D">
        <w:t xml:space="preserve"> [9-10]</w:t>
      </w:r>
      <w:r w:rsidRPr="00B0245D">
        <w:t>.</w:t>
      </w:r>
    </w:p>
    <w:p w14:paraId="74080983" w14:textId="77777777" w:rsidR="00CC03B8" w:rsidRPr="00B0245D" w:rsidRDefault="00CC03B8" w:rsidP="00B0245D">
      <w:pPr>
        <w:pStyle w:val="NormalWeb"/>
        <w:jc w:val="both"/>
      </w:pPr>
      <w:r w:rsidRPr="00B0245D">
        <w:t>However, gestational erythropoiesis is not merely quantitative; it is qualitatively distinct. Pregnancy is associated with increased reticulocytosis, reflecting accelerated marrow output and a relatively younger circulating erythrocyte population. Younger erythrocytes are metabolically more active, possess higher deformability, and exhibit enhanced glycolytic capacity compared with senescent cells. This demographic shift within the circulating red cell pool contributes meaningfully to improved microvascular flow and oxygen delivery, even when hemoglobin concentration appears reduced</w:t>
      </w:r>
      <w:r w:rsidR="00EC6141" w:rsidRPr="00B0245D">
        <w:t xml:space="preserve"> [11-12]</w:t>
      </w:r>
      <w:r w:rsidRPr="00B0245D">
        <w:t>.</w:t>
      </w:r>
      <w:r w:rsidR="00EC6141" w:rsidRPr="00B0245D">
        <w:t xml:space="preserve"> </w:t>
      </w:r>
      <w:r w:rsidRPr="00B0245D">
        <w:t>Iron metabolism undergoes substantial recalibration to sustain this erythropoietic expansion. Maternal hepcidin levels are physiologically suppressed during pregnancy, facilitating increased intestinal iron absorption and mobilization from stores. This suppression is partly mediated by erythroferrone released from erythroblasts in response to EPO stimulation. The resulting enhancement in iron bioavailability supports hemoglobin synthesis but also influences intracellular metabolic pathways, including those regulating 2,3-bisphosphoglycerate production and redox balance. Inadequate iron availability, even in the absence of overt anemia, may impair these functional adaptations and compromise oxygen unloading efficiency</w:t>
      </w:r>
      <w:r w:rsidR="00EC6141" w:rsidRPr="00B0245D">
        <w:t xml:space="preserve"> [13-14]</w:t>
      </w:r>
      <w:r w:rsidRPr="00B0245D">
        <w:t>.</w:t>
      </w:r>
    </w:p>
    <w:p w14:paraId="7361DAF3" w14:textId="77777777" w:rsidR="00CC03B8" w:rsidRPr="00B0245D" w:rsidRDefault="00CC03B8" w:rsidP="00B0245D">
      <w:pPr>
        <w:pStyle w:val="NormalWeb"/>
        <w:jc w:val="both"/>
      </w:pPr>
      <w:r w:rsidRPr="00B0245D">
        <w:t xml:space="preserve">Beyond erythropoiesis, gestation induces modifications in red cell membrane composition and cytoskeletal organization. Alterations in membrane phospholipid distribution, cholesterol content, and </w:t>
      </w:r>
      <w:proofErr w:type="spellStart"/>
      <w:r w:rsidRPr="00B0245D">
        <w:t>spectrin</w:t>
      </w:r>
      <w:proofErr w:type="spellEnd"/>
      <w:r w:rsidRPr="00B0245D">
        <w:t>–actin interactions have been described, collectively influencing membrane fluidity and mechanical resilience. These structural adjustments are likely adaptive responses to the evolving hemodynamic environment characterized by increased cardiac output and reduced systemic vascular resistance. The net effect is preservation—or modest enhancement—of red cell deformability, a critical determinant of effective perfusion within the uteroplacental microcirculation</w:t>
      </w:r>
      <w:r w:rsidR="00EC6141" w:rsidRPr="00B0245D">
        <w:t xml:space="preserve"> [15-16]</w:t>
      </w:r>
      <w:r w:rsidRPr="00B0245D">
        <w:t>.</w:t>
      </w:r>
      <w:r w:rsidR="00EC6141" w:rsidRPr="00B0245D">
        <w:t xml:space="preserve"> </w:t>
      </w:r>
      <w:r w:rsidRPr="00B0245D">
        <w:t>Systemic inflammatory and immunologic modulation during pregnancy also intersects with hematologic remodeling. Although pregnancy is often described as a state of controlled inflammation, cytokine fluctuations can subtly influence erythropoiesis and red cell lifespan. Anti-inflammatory dominance in early and mid-gestation supports efficient erythroid maturation, whereas dysregulated inflammatory responses in complicated pregnancies may disrupt marrow responsiveness and accelerate erythrocyte clearance</w:t>
      </w:r>
      <w:r w:rsidR="00EC6141" w:rsidRPr="00B0245D">
        <w:t xml:space="preserve"> [17]</w:t>
      </w:r>
      <w:r w:rsidRPr="00B0245D">
        <w:t>.</w:t>
      </w:r>
      <w:r w:rsidR="00EC6141" w:rsidRPr="00B0245D">
        <w:t xml:space="preserve"> </w:t>
      </w:r>
      <w:r w:rsidRPr="00B0245D">
        <w:t xml:space="preserve">Thus, gestational hematologic remodeling represents an orchestrated, multilayered process encompassing plasma expansion, erythropoietic acceleration, iron trafficking optimization, and structural refinement of circulating red cells. Hemodilution, though clinically prominent, is only one dimension of this adaptive landscape. A more comprehensive appreciation of pregnancy-associated erythron dynamics </w:t>
      </w:r>
      <w:r w:rsidRPr="00B0245D">
        <w:lastRenderedPageBreak/>
        <w:t>reveals a system actively recalibrating itself to sustain oxygen homeostasis under evolving physiologic demands</w:t>
      </w:r>
      <w:r w:rsidR="00EC6141" w:rsidRPr="00B0245D">
        <w:t xml:space="preserve"> [18]</w:t>
      </w:r>
      <w:r w:rsidRPr="00B0245D">
        <w:t>.</w:t>
      </w:r>
    </w:p>
    <w:p w14:paraId="0C199FEE"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Oxygen-Sensing and Hemoglobin Affinity Modulation</w:t>
      </w:r>
    </w:p>
    <w:p w14:paraId="4E19267B" w14:textId="1E481734" w:rsidR="00CC03B8" w:rsidRPr="00B0245D" w:rsidRDefault="00CC03B8" w:rsidP="00B0245D">
      <w:pPr>
        <w:pStyle w:val="NormalWeb"/>
        <w:jc w:val="both"/>
      </w:pPr>
      <w:r w:rsidRPr="00B0245D">
        <w:t>Effective maternal–fetal oxygen transfer during pregnancy depends not solely on hemoglobin concentration, but on the finely tuned regulation of hemoglobin–oxygen affinity and cellular oxygen-sensing mechanisms. The erythrocyte operates as a responsive biochemical unit capable of adjusting oxygen unloading in accordance with systemic metabolic demand and local microenvironmental cues. In gestation, these regulatory processes undergo adaptive recalibration to optimize oxygen delivery across the uteroplacental interface, where diffusion gradients are relatively modest and physiologic efficiency is paramount</w:t>
      </w:r>
      <w:r w:rsidR="00EC6141" w:rsidRPr="00B0245D">
        <w:t xml:space="preserve"> [19]</w:t>
      </w:r>
      <w:r w:rsidRPr="00B0245D">
        <w:t>.</w:t>
      </w:r>
      <w:r w:rsidR="00EC6141" w:rsidRPr="00B0245D">
        <w:t xml:space="preserve"> </w:t>
      </w:r>
      <w:r w:rsidRPr="00B0245D">
        <w:t xml:space="preserve">Central to this adaptation is modulation of the </w:t>
      </w:r>
      <w:r w:rsidRPr="001D6A3D">
        <w:rPr>
          <w:color w:val="FF0000"/>
        </w:rPr>
        <w:t>ODC</w:t>
      </w:r>
      <w:r w:rsidRPr="00B0245D">
        <w:t xml:space="preserve">. Maternal erythrocytes exhibit a rightward shift of the ODC during pregnancy, largely mediated by increased intracellular concentrations of 2,3-bisphosphoglycerate (2,3-BPG). </w:t>
      </w:r>
      <w:r w:rsidR="00EA53C5" w:rsidRPr="00B0245D">
        <w:t>This glycolytic intermediate bind</w:t>
      </w:r>
      <w:r w:rsidRPr="00B0245D">
        <w:t xml:space="preserve"> deoxygenated hemoglobin, stabilizing the T (tense) conformation and reducing oxygen affinity. The functional consequence is enhanced oxygen release at the tissue level, particularly in the relatively low-oxygen environment of the placenta. Even subtle alterations in 2,3-BPG concentration can significantly influence P50 values—the partial pressure of oxygen at which hemoglobin is 50% saturated—thereby modulating oxygen unloading capacity without necessitating changes in hemoglobin mass</w:t>
      </w:r>
      <w:r w:rsidR="00EC6141" w:rsidRPr="00B0245D">
        <w:t xml:space="preserve"> [20]</w:t>
      </w:r>
      <w:r w:rsidRPr="00B0245D">
        <w:t>.</w:t>
      </w:r>
    </w:p>
    <w:p w14:paraId="35E61F4A" w14:textId="77777777" w:rsidR="00CC03B8" w:rsidRPr="00B0245D" w:rsidRDefault="00CC03B8" w:rsidP="00B0245D">
      <w:pPr>
        <w:pStyle w:val="NormalWeb"/>
        <w:jc w:val="both"/>
      </w:pPr>
      <w:r w:rsidRPr="00B0245D">
        <w:t xml:space="preserve">Hormonal influences appear to contribute to this metabolic recalibration. Estrogen and progesterone, which rise progressively throughout gestation, may affect erythrocyte glycolytic flux and enzyme activity, including </w:t>
      </w:r>
      <w:proofErr w:type="spellStart"/>
      <w:r w:rsidRPr="00B0245D">
        <w:t>bisphosphoglycerate</w:t>
      </w:r>
      <w:proofErr w:type="spellEnd"/>
      <w:r w:rsidRPr="00B0245D">
        <w:t xml:space="preserve"> mutase, the key enzyme regulating 2,3-BPG synthesis. Additionally, gestational increases in erythropoietin stimulate production of younger erythrocytes, which possess higher glycolytic activity and consequently greater 2,3-BPG levels. The aggregate effect is a maternal red cell population biochemically primed for oxygen release</w:t>
      </w:r>
      <w:r w:rsidR="00EC6141" w:rsidRPr="00B0245D">
        <w:t xml:space="preserve"> [21]</w:t>
      </w:r>
      <w:r w:rsidRPr="00B0245D">
        <w:t>.</w:t>
      </w:r>
      <w:r w:rsidR="00F84917" w:rsidRPr="00B0245D">
        <w:t xml:space="preserve"> </w:t>
      </w:r>
      <w:r w:rsidRPr="00B0245D">
        <w:t>The maternal adaptation is physiologically complemented by fetal hemoglobin (</w:t>
      </w:r>
      <w:proofErr w:type="spellStart"/>
      <w:r w:rsidRPr="00B0245D">
        <w:t>HbF</w:t>
      </w:r>
      <w:proofErr w:type="spellEnd"/>
      <w:r w:rsidRPr="00B0245D">
        <w:t xml:space="preserve">), which inherently exhibits higher oxygen affinity due to reduced interaction with 2,3-BPG. This intrinsic left-shifted ODC allows fetal erythrocytes to extract oxygen efficiently from maternal blood within the placental circulation. The bidirectional gradient—maternal right shift and fetal left shift—creates a synergistic transfer system that maximizes oxygen flux across the </w:t>
      </w:r>
      <w:proofErr w:type="spellStart"/>
      <w:r w:rsidRPr="00B0245D">
        <w:t>syncytiotrophoblast</w:t>
      </w:r>
      <w:proofErr w:type="spellEnd"/>
      <w:r w:rsidRPr="00B0245D">
        <w:t>. This elegant biochemical interplay underscores the interdependence of maternal and fetal erythrocyte physiology</w:t>
      </w:r>
      <w:r w:rsidR="00F84917" w:rsidRPr="00B0245D">
        <w:t xml:space="preserve"> [22]</w:t>
      </w:r>
      <w:r w:rsidRPr="00B0245D">
        <w:t>.</w:t>
      </w:r>
    </w:p>
    <w:p w14:paraId="584B3538" w14:textId="77777777" w:rsidR="00CC03B8" w:rsidRPr="00B0245D" w:rsidRDefault="00CC03B8" w:rsidP="00B0245D">
      <w:pPr>
        <w:pStyle w:val="NormalWeb"/>
        <w:jc w:val="both"/>
      </w:pPr>
      <w:r w:rsidRPr="00B0245D">
        <w:t>Oxygen sensing in pregnancy extends beyond hemoglobin affinity modulation. Hypoxia-inducible factor (HIF) pathways, primarily activated in response to tissue oxygen tension, regulate erythropoietin production and influence iron metabolism through downstream mediators such as erythroferrone and hepcidin. Subtle fluctuations in maternal oxygenation—whether due to altitude, anemia, or placental insufficiency—activate these pathways, altering erythropoietic output and systemic iron handling. Thus, the oxygen-sensing network integrates renal, hepatic, and marrow responses to maintain equilibrium between oxygen supply and demand</w:t>
      </w:r>
      <w:r w:rsidR="00F84917" w:rsidRPr="00B0245D">
        <w:t xml:space="preserve"> [23-24]</w:t>
      </w:r>
      <w:r w:rsidRPr="00B0245D">
        <w:t>.</w:t>
      </w:r>
      <w:r w:rsidR="00F84917" w:rsidRPr="00B0245D">
        <w:t xml:space="preserve"> </w:t>
      </w:r>
      <w:r w:rsidRPr="00B0245D">
        <w:t xml:space="preserve">Acid–base balance further modulates hemoglobin affinity through the Bohr effect. Pregnancy is characterized by mild respiratory alkalosis due to progesterone-mediated hyperventilation. The resulting reduction in carbon dioxide levels slightly shifts the ODC leftward; however, the concurrent rise in 2,3-BPG typically predominates, ensuring an overall rightward functional bias. This balance reflects a </w:t>
      </w:r>
      <w:r w:rsidRPr="00B0245D">
        <w:lastRenderedPageBreak/>
        <w:t>complex interplay between respiratory physiology and erythrocyte metabolism, illustrating the systemic integration of maternal adaptation</w:t>
      </w:r>
      <w:r w:rsidR="00F84917" w:rsidRPr="00B0245D">
        <w:t xml:space="preserve"> [25]</w:t>
      </w:r>
      <w:r w:rsidRPr="00B0245D">
        <w:t>.</w:t>
      </w:r>
      <w:r w:rsidR="00F84917" w:rsidRPr="00B0245D">
        <w:t xml:space="preserve"> </w:t>
      </w:r>
      <w:r w:rsidRPr="00B0245D">
        <w:t>In pathologic states, these finely tuned mechanisms may become disrupted. Iron deficiency, even before overt anemia develops, can impair 2,3-BPG synthesis and alter ODC dynamics. Hypertensive disorders of pregnancy have been associated with oxidative modification of hemoglobin and altered red cell metabolism, potentially compromising oxygen unloading efficiency. Such disturbances may exacerbate placental hypoxia and contribute to fetal growth restriction</w:t>
      </w:r>
      <w:r w:rsidR="00F84917" w:rsidRPr="00B0245D">
        <w:t xml:space="preserve"> [26]</w:t>
      </w:r>
      <w:r w:rsidRPr="00B0245D">
        <w:t>.</w:t>
      </w:r>
    </w:p>
    <w:p w14:paraId="58458F4B"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Red Cell Deformability and Membrane Biomechanics</w:t>
      </w:r>
    </w:p>
    <w:p w14:paraId="7F9703F0" w14:textId="77777777" w:rsidR="00CC03B8" w:rsidRPr="00B0245D" w:rsidRDefault="00CC03B8" w:rsidP="00B0245D">
      <w:pPr>
        <w:pStyle w:val="NormalWeb"/>
        <w:jc w:val="both"/>
      </w:pPr>
      <w:r w:rsidRPr="00B0245D">
        <w:t xml:space="preserve">Red blood cell deformability is a fundamental determinant of effective microcirculatory flow, particularly in pregnancy where uteroplacental perfusion must accommodate progressively increasing metabolic demands. The erythrocyte, with a resting diameter of approximately 7–8 </w:t>
      </w:r>
      <w:proofErr w:type="spellStart"/>
      <w:r w:rsidRPr="00B0245D">
        <w:t>μm</w:t>
      </w:r>
      <w:proofErr w:type="spellEnd"/>
      <w:r w:rsidRPr="00B0245D">
        <w:t>, routinely traverses capillaries narrower than itself. This capability depends on its unique biconcave geometry, viscoelastic membrane properties, and a highly organized cytoskeletal network. During gestation, these biomechanical characteristics undergo adaptive modulation to sustain optimal oxygen delivery within a dynamically evolving hemodynamic environment</w:t>
      </w:r>
      <w:r w:rsidR="00F84917" w:rsidRPr="00B0245D">
        <w:t xml:space="preserve"> [27]</w:t>
      </w:r>
      <w:r w:rsidRPr="00B0245D">
        <w:t>.</w:t>
      </w:r>
      <w:r w:rsidR="00F84917" w:rsidRPr="00B0245D">
        <w:t xml:space="preserve"> </w:t>
      </w:r>
      <w:r w:rsidRPr="00B0245D">
        <w:t xml:space="preserve">At the structural level, the red cell membrane consists of a lipid bilayer anchored to an underlying </w:t>
      </w:r>
      <w:proofErr w:type="spellStart"/>
      <w:r w:rsidRPr="00B0245D">
        <w:t>spectrin</w:t>
      </w:r>
      <w:proofErr w:type="spellEnd"/>
      <w:r w:rsidRPr="00B0245D">
        <w:t>–actin cytoskeleton through protein complexes including ankyrin and band 3. This architecture confers both flexibility and resilience, allowing reversible deformation under shear stress. In normal pregnancy, several studies suggest preservation—or modest enhancement—of deformability, likely reflecting the combined effects of increased reticulocyte proportion and adaptive membrane remodeling. Younger erythrocytes possess greater surface-area-to-volume ratios and more robust cytoskeletal elasticity, characteristics that facilitate efficient capillary transit</w:t>
      </w:r>
      <w:r w:rsidR="00F84917" w:rsidRPr="00B0245D">
        <w:t xml:space="preserve"> [28]</w:t>
      </w:r>
      <w:r w:rsidRPr="00B0245D">
        <w:t>.</w:t>
      </w:r>
    </w:p>
    <w:p w14:paraId="5F7F0A44" w14:textId="77777777" w:rsidR="00CC03B8" w:rsidRPr="00B0245D" w:rsidRDefault="00CC03B8" w:rsidP="00B0245D">
      <w:pPr>
        <w:pStyle w:val="NormalWeb"/>
        <w:jc w:val="both"/>
      </w:pPr>
      <w:r w:rsidRPr="00B0245D">
        <w:t>Gestational hormonal changes and metabolic shifts may influence membrane lipid composition and fluidity. Alterations in cholesterol-to-phospholipid ratios, redistribution of phosphatidylserine, and modulation of membrane-bound enzymes have been observed in physiologic states associated with increased erythropoietic activity. These changes can subtly modify membrane viscosity and mechanical responsiveness. Importantly, the expanded plasma volume and reduced systemic vascular resistance characteristic of pregnancy create a hemodynamic milieu in which optimal red cell flexibility reduces flow resistance and enhances oxygen diffusion at the placental interface</w:t>
      </w:r>
      <w:r w:rsidR="00F84917" w:rsidRPr="00B0245D">
        <w:t xml:space="preserve"> [29]</w:t>
      </w:r>
      <w:r w:rsidRPr="00B0245D">
        <w:t>.</w:t>
      </w:r>
      <w:r w:rsidR="00F84917" w:rsidRPr="00B0245D">
        <w:t xml:space="preserve"> </w:t>
      </w:r>
      <w:r w:rsidRPr="00B0245D">
        <w:t>Intracellular hydration status further influences red cell deformability. Osmotic balance regulates cell volume and cytoplasmic viscosity; dehydration increases intracellular hemoglobin concentration, raising internal viscosity and reducing flexibility. In normal gestation, plasma osmolarity decreases slightly, which may contribute to maintenance of favorable rheologic properties. However, disturbances in fluid balance or metabolic stress can disrupt this equilibrium</w:t>
      </w:r>
      <w:r w:rsidR="00F84917" w:rsidRPr="00B0245D">
        <w:t xml:space="preserve"> [30]</w:t>
      </w:r>
      <w:r w:rsidRPr="00B0245D">
        <w:t>.</w:t>
      </w:r>
    </w:p>
    <w:p w14:paraId="27B9CB1D" w14:textId="77777777" w:rsidR="00CC03B8" w:rsidRPr="00B0245D" w:rsidRDefault="00CC03B8" w:rsidP="00B0245D">
      <w:pPr>
        <w:pStyle w:val="NormalWeb"/>
        <w:jc w:val="both"/>
      </w:pPr>
      <w:r w:rsidRPr="00B0245D">
        <w:t xml:space="preserve">Oxidative stress represents a critical modulator of membrane biomechanics. Although pregnancy entails increased metabolic activity and reactive oxygen species generation, uncomplicated gestation is typically accompanied by upregulated antioxidant defenses within erythrocytes, including glutathione and superoxide dismutase systems. These mechanisms preserve membrane integrity and prevent lipid peroxidation. When oxidative stress exceeds protective capacity—as observed in preeclampsia or gestational diabetes—structural proteins and membrane lipids undergo oxidative modification. The result is increased rigidity, reduced deformability, and </w:t>
      </w:r>
      <w:r w:rsidRPr="00B0245D">
        <w:lastRenderedPageBreak/>
        <w:t>impaired microvascular passage. Such mechanical alterations may exacerbate placental hypoperfusion and contribute to adverse fetal outcomes</w:t>
      </w:r>
      <w:r w:rsidR="00F84917" w:rsidRPr="00B0245D">
        <w:t xml:space="preserve"> [31-32]</w:t>
      </w:r>
      <w:r w:rsidRPr="00B0245D">
        <w:t>.</w:t>
      </w:r>
      <w:r w:rsidR="00F84917" w:rsidRPr="00B0245D">
        <w:t xml:space="preserve"> </w:t>
      </w:r>
      <w:r w:rsidRPr="00B0245D">
        <w:t>Red cell aggregation dynamics also interact with deformability to influence overall blood rheology. Elevated fibrinogen levels during pregnancy promote reversible erythrocyte aggregation, particularly under low-shear conditions. While physiologic aggregation may aid microcirculatory efficiency, excessive aggregation coupled with reduced deformability can increase viscosity and impair placental blood flow. Thus, deformability must be interpreted within the broader rheologic context</w:t>
      </w:r>
      <w:r w:rsidR="00F84917" w:rsidRPr="00B0245D">
        <w:t xml:space="preserve"> [33]</w:t>
      </w:r>
      <w:r w:rsidRPr="00B0245D">
        <w:t>.</w:t>
      </w:r>
      <w:r w:rsidR="00F84917" w:rsidRPr="00B0245D">
        <w:t xml:space="preserve"> </w:t>
      </w:r>
      <w:r w:rsidRPr="00B0245D">
        <w:t>Advances in biophysical assessment techniques, including laser-assisted optical rotational cell analyzers (ektacytometry) and microfluidic deformability assays, have enabled more precise characterization of erythrocyte mechanical properties in pregnancy. These technologies reveal functional differences not apparent in standard hematologic testing, highlighting the inadequacy of relying solely on red cell indices to evaluate gestational adaptation (Table 1)</w:t>
      </w:r>
      <w:r w:rsidR="00F84917" w:rsidRPr="00B0245D">
        <w:t xml:space="preserve"> [34]</w:t>
      </w:r>
      <w:r w:rsidRPr="00B0245D">
        <w:t>.</w:t>
      </w:r>
    </w:p>
    <w:p w14:paraId="1DB1ED68" w14:textId="77777777" w:rsidR="00EA53C5" w:rsidRPr="00B0245D" w:rsidRDefault="00EA53C5"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Table 1. Red Cell Deformability and Membrane Biomechanics in Pregnancy</w:t>
      </w:r>
    </w:p>
    <w:tbl>
      <w:tblPr>
        <w:tblStyle w:val="TableGrid"/>
        <w:tblW w:w="0" w:type="auto"/>
        <w:tblLook w:val="04A0" w:firstRow="1" w:lastRow="0" w:firstColumn="1" w:lastColumn="0" w:noHBand="0" w:noVBand="1"/>
      </w:tblPr>
      <w:tblGrid>
        <w:gridCol w:w="1724"/>
        <w:gridCol w:w="1463"/>
        <w:gridCol w:w="2033"/>
        <w:gridCol w:w="2104"/>
        <w:gridCol w:w="2026"/>
      </w:tblGrid>
      <w:tr w:rsidR="00EA53C5" w:rsidRPr="00B0245D" w14:paraId="11E5D283" w14:textId="77777777" w:rsidTr="00EA53C5">
        <w:tc>
          <w:tcPr>
            <w:tcW w:w="0" w:type="auto"/>
            <w:hideMark/>
          </w:tcPr>
          <w:p w14:paraId="4DED6867"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Feature</w:t>
            </w:r>
          </w:p>
        </w:tc>
        <w:tc>
          <w:tcPr>
            <w:tcW w:w="0" w:type="auto"/>
            <w:hideMark/>
          </w:tcPr>
          <w:p w14:paraId="27CB050C"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Adaptation</w:t>
            </w:r>
          </w:p>
        </w:tc>
        <w:tc>
          <w:tcPr>
            <w:tcW w:w="0" w:type="auto"/>
            <w:hideMark/>
          </w:tcPr>
          <w:p w14:paraId="328D57BB"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Mechanistic Basis</w:t>
            </w:r>
          </w:p>
        </w:tc>
        <w:tc>
          <w:tcPr>
            <w:tcW w:w="0" w:type="auto"/>
            <w:hideMark/>
          </w:tcPr>
          <w:p w14:paraId="736B6783"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Clinical Significance</w:t>
            </w:r>
          </w:p>
        </w:tc>
        <w:tc>
          <w:tcPr>
            <w:tcW w:w="0" w:type="auto"/>
            <w:hideMark/>
          </w:tcPr>
          <w:p w14:paraId="7A6F10D6"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Pathologic Alterations</w:t>
            </w:r>
          </w:p>
        </w:tc>
      </w:tr>
      <w:tr w:rsidR="00EA53C5" w:rsidRPr="00B0245D" w14:paraId="2B485BF8" w14:textId="77777777" w:rsidTr="00EA53C5">
        <w:tc>
          <w:tcPr>
            <w:tcW w:w="0" w:type="auto"/>
            <w:hideMark/>
          </w:tcPr>
          <w:p w14:paraId="38C9AD4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Deformability</w:t>
            </w:r>
          </w:p>
        </w:tc>
        <w:tc>
          <w:tcPr>
            <w:tcW w:w="0" w:type="auto"/>
            <w:hideMark/>
          </w:tcPr>
          <w:p w14:paraId="2C0A4847"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Maintained or slightly enhanced</w:t>
            </w:r>
          </w:p>
        </w:tc>
        <w:tc>
          <w:tcPr>
            <w:tcW w:w="0" w:type="auto"/>
            <w:hideMark/>
          </w:tcPr>
          <w:p w14:paraId="21839573"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Increased proportion of young erythrocytes, cytoskeletal remodeling, favorable membrane lipid composition</w:t>
            </w:r>
          </w:p>
        </w:tc>
        <w:tc>
          <w:tcPr>
            <w:tcW w:w="0" w:type="auto"/>
            <w:hideMark/>
          </w:tcPr>
          <w:p w14:paraId="50092575"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Facilitates microvascular transit and efficient oxygen delivery, especially in uteroplacental circulation</w:t>
            </w:r>
          </w:p>
        </w:tc>
        <w:tc>
          <w:tcPr>
            <w:tcW w:w="0" w:type="auto"/>
            <w:hideMark/>
          </w:tcPr>
          <w:p w14:paraId="09EEDAB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in preeclampsia, gestational diabetes; contributes to impaired placental perfusion</w:t>
            </w:r>
          </w:p>
        </w:tc>
      </w:tr>
      <w:tr w:rsidR="00EA53C5" w:rsidRPr="00B0245D" w14:paraId="5DBFDE16" w14:textId="77777777" w:rsidTr="00EA53C5">
        <w:tc>
          <w:tcPr>
            <w:tcW w:w="0" w:type="auto"/>
            <w:hideMark/>
          </w:tcPr>
          <w:p w14:paraId="11FCFE4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Membrane Fluidity</w:t>
            </w:r>
          </w:p>
        </w:tc>
        <w:tc>
          <w:tcPr>
            <w:tcW w:w="0" w:type="auto"/>
            <w:hideMark/>
          </w:tcPr>
          <w:p w14:paraId="31B2D03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Slight increase</w:t>
            </w:r>
          </w:p>
        </w:tc>
        <w:tc>
          <w:tcPr>
            <w:tcW w:w="0" w:type="auto"/>
            <w:hideMark/>
          </w:tcPr>
          <w:p w14:paraId="33E9B3B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Altered phospholipid-to-cholesterol ratio, asymmetric lipid distribution</w:t>
            </w:r>
          </w:p>
        </w:tc>
        <w:tc>
          <w:tcPr>
            <w:tcW w:w="0" w:type="auto"/>
            <w:hideMark/>
          </w:tcPr>
          <w:p w14:paraId="279FDA4E"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Preserves flexibility for capillary passage and shear stress adaptation</w:t>
            </w:r>
          </w:p>
        </w:tc>
        <w:tc>
          <w:tcPr>
            <w:tcW w:w="0" w:type="auto"/>
            <w:hideMark/>
          </w:tcPr>
          <w:p w14:paraId="3A86BAFA"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Lipid peroxidation or oxidative damage reduces fluidity, increasing rigidity</w:t>
            </w:r>
          </w:p>
        </w:tc>
      </w:tr>
      <w:tr w:rsidR="00EA53C5" w:rsidRPr="00B0245D" w14:paraId="5594B154" w14:textId="77777777" w:rsidTr="00EA53C5">
        <w:tc>
          <w:tcPr>
            <w:tcW w:w="0" w:type="auto"/>
            <w:hideMark/>
          </w:tcPr>
          <w:p w14:paraId="24B7E6F5"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Cytoskeletal Integrity</w:t>
            </w:r>
          </w:p>
        </w:tc>
        <w:tc>
          <w:tcPr>
            <w:tcW w:w="0" w:type="auto"/>
            <w:hideMark/>
          </w:tcPr>
          <w:p w14:paraId="3E240D3C"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Optimized </w:t>
            </w:r>
            <w:proofErr w:type="spellStart"/>
            <w:r w:rsidRPr="00B0245D">
              <w:rPr>
                <w:rFonts w:ascii="Times New Roman" w:eastAsia="Times New Roman" w:hAnsi="Times New Roman" w:cs="Times New Roman"/>
                <w:sz w:val="24"/>
                <w:szCs w:val="24"/>
              </w:rPr>
              <w:t>spectrin</w:t>
            </w:r>
            <w:proofErr w:type="spellEnd"/>
            <w:r w:rsidRPr="00B0245D">
              <w:rPr>
                <w:rFonts w:ascii="Times New Roman" w:eastAsia="Times New Roman" w:hAnsi="Times New Roman" w:cs="Times New Roman"/>
                <w:sz w:val="24"/>
                <w:szCs w:val="24"/>
              </w:rPr>
              <w:t>–</w:t>
            </w:r>
            <w:proofErr w:type="spellStart"/>
            <w:r w:rsidRPr="00B0245D">
              <w:rPr>
                <w:rFonts w:ascii="Times New Roman" w:eastAsia="Times New Roman" w:hAnsi="Times New Roman" w:cs="Times New Roman"/>
                <w:sz w:val="24"/>
                <w:szCs w:val="24"/>
              </w:rPr>
              <w:t>actin</w:t>
            </w:r>
            <w:proofErr w:type="spellEnd"/>
            <w:r w:rsidRPr="00B0245D">
              <w:rPr>
                <w:rFonts w:ascii="Times New Roman" w:eastAsia="Times New Roman" w:hAnsi="Times New Roman" w:cs="Times New Roman"/>
                <w:sz w:val="24"/>
                <w:szCs w:val="24"/>
              </w:rPr>
              <w:t xml:space="preserve"> network</w:t>
            </w:r>
          </w:p>
        </w:tc>
        <w:tc>
          <w:tcPr>
            <w:tcW w:w="0" w:type="auto"/>
            <w:hideMark/>
          </w:tcPr>
          <w:p w14:paraId="081C948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Cytoskeletal reorganization, phosphorylation of membrane proteins</w:t>
            </w:r>
          </w:p>
        </w:tc>
        <w:tc>
          <w:tcPr>
            <w:tcW w:w="0" w:type="auto"/>
            <w:hideMark/>
          </w:tcPr>
          <w:p w14:paraId="4B7B082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reversible deformation and resilience to mechanical stress</w:t>
            </w:r>
          </w:p>
        </w:tc>
        <w:tc>
          <w:tcPr>
            <w:tcW w:w="0" w:type="auto"/>
            <w:hideMark/>
          </w:tcPr>
          <w:p w14:paraId="49F4F62B"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Disrupted in oxidative stress or inflammation, leading to hemolysis or impaired microcirculation</w:t>
            </w:r>
          </w:p>
        </w:tc>
      </w:tr>
      <w:tr w:rsidR="00EA53C5" w:rsidRPr="00B0245D" w14:paraId="5ED844FD" w14:textId="77777777" w:rsidTr="00EA53C5">
        <w:tc>
          <w:tcPr>
            <w:tcW w:w="0" w:type="auto"/>
            <w:hideMark/>
          </w:tcPr>
          <w:p w14:paraId="4463B7F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Reticulocyte Fraction</w:t>
            </w:r>
          </w:p>
        </w:tc>
        <w:tc>
          <w:tcPr>
            <w:tcW w:w="0" w:type="auto"/>
            <w:hideMark/>
          </w:tcPr>
          <w:p w14:paraId="4095270B"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Increased</w:t>
            </w:r>
          </w:p>
        </w:tc>
        <w:tc>
          <w:tcPr>
            <w:tcW w:w="0" w:type="auto"/>
            <w:hideMark/>
          </w:tcPr>
          <w:p w14:paraId="3507A032"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Elevated erythropoietin levels and accelerated erythropoiesis</w:t>
            </w:r>
          </w:p>
        </w:tc>
        <w:tc>
          <w:tcPr>
            <w:tcW w:w="0" w:type="auto"/>
            <w:hideMark/>
          </w:tcPr>
          <w:p w14:paraId="009977C8"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Younger RBCs are more deformable and metabolically active, enhancing oxygen delivery</w:t>
            </w:r>
          </w:p>
        </w:tc>
        <w:tc>
          <w:tcPr>
            <w:tcW w:w="0" w:type="auto"/>
            <w:hideMark/>
          </w:tcPr>
          <w:p w14:paraId="1A94F06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Insufficient reticulocyte response in anemia or iron deficiency limits deformability adaptation</w:t>
            </w:r>
          </w:p>
        </w:tc>
      </w:tr>
      <w:tr w:rsidR="00EA53C5" w:rsidRPr="00B0245D" w14:paraId="46B3ED7C" w14:textId="77777777" w:rsidTr="00EA53C5">
        <w:tc>
          <w:tcPr>
            <w:tcW w:w="0" w:type="auto"/>
            <w:hideMark/>
          </w:tcPr>
          <w:p w14:paraId="29DB768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lastRenderedPageBreak/>
              <w:t>Oxidative Resistance</w:t>
            </w:r>
          </w:p>
        </w:tc>
        <w:tc>
          <w:tcPr>
            <w:tcW w:w="0" w:type="auto"/>
            <w:hideMark/>
          </w:tcPr>
          <w:p w14:paraId="635E6497"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Upregulated antioxidant defenses</w:t>
            </w:r>
          </w:p>
        </w:tc>
        <w:tc>
          <w:tcPr>
            <w:tcW w:w="0" w:type="auto"/>
            <w:hideMark/>
          </w:tcPr>
          <w:p w14:paraId="3745EF5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Glutathione, superoxide dismutase, catalase activity</w:t>
            </w:r>
          </w:p>
        </w:tc>
        <w:tc>
          <w:tcPr>
            <w:tcW w:w="0" w:type="auto"/>
            <w:hideMark/>
          </w:tcPr>
          <w:p w14:paraId="10FC9BF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Protects membrane integrity, maintains deformability</w:t>
            </w:r>
          </w:p>
        </w:tc>
        <w:tc>
          <w:tcPr>
            <w:tcW w:w="0" w:type="auto"/>
            <w:hideMark/>
          </w:tcPr>
          <w:p w14:paraId="45F798F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Overwhelmed in preeclampsia or gestational diabetes, causing rigidity and early RBC clearance</w:t>
            </w:r>
          </w:p>
        </w:tc>
      </w:tr>
      <w:tr w:rsidR="00EA53C5" w:rsidRPr="00B0245D" w14:paraId="4004D146" w14:textId="77777777" w:rsidTr="00EA53C5">
        <w:tc>
          <w:tcPr>
            <w:tcW w:w="0" w:type="auto"/>
            <w:hideMark/>
          </w:tcPr>
          <w:p w14:paraId="7FAA78E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Mechanical Response to Shear Stress</w:t>
            </w:r>
          </w:p>
        </w:tc>
        <w:tc>
          <w:tcPr>
            <w:tcW w:w="0" w:type="auto"/>
            <w:hideMark/>
          </w:tcPr>
          <w:p w14:paraId="49ECFB00"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Preserved</w:t>
            </w:r>
          </w:p>
        </w:tc>
        <w:tc>
          <w:tcPr>
            <w:tcW w:w="0" w:type="auto"/>
            <w:hideMark/>
          </w:tcPr>
          <w:p w14:paraId="23661B20"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Membrane-cytoskeleton coupling, ATP-mediated signaling</w:t>
            </w:r>
          </w:p>
        </w:tc>
        <w:tc>
          <w:tcPr>
            <w:tcW w:w="0" w:type="auto"/>
            <w:hideMark/>
          </w:tcPr>
          <w:p w14:paraId="1F2B523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Ensures efficient perfusion through narrow placental microvasculature</w:t>
            </w:r>
          </w:p>
        </w:tc>
        <w:tc>
          <w:tcPr>
            <w:tcW w:w="0" w:type="auto"/>
            <w:hideMark/>
          </w:tcPr>
          <w:p w14:paraId="5BFE260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Impaired in hypertensive disorders, increasing microvascular resistance</w:t>
            </w:r>
          </w:p>
        </w:tc>
      </w:tr>
    </w:tbl>
    <w:p w14:paraId="13DD4D43"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Nitric Oxide, ATP Release, and Vascular Signaling</w:t>
      </w:r>
    </w:p>
    <w:p w14:paraId="2BE9CD38" w14:textId="0BF7DC4B" w:rsidR="00CC03B8" w:rsidRPr="00B0245D" w:rsidRDefault="00CC03B8" w:rsidP="00B0245D">
      <w:pPr>
        <w:pStyle w:val="NormalWeb"/>
        <w:jc w:val="both"/>
      </w:pPr>
      <w:r w:rsidRPr="00B0245D">
        <w:t xml:space="preserve">Red blood cells are increasingly recognized as active regulators of vascular tone rather than passive oxygen carriers. In pregnancy, where systemic vasodilation and reduced peripheral vascular resistance are defining physiologic features, erythrocyte-mediated signaling assumes particular relevance. Through modulation of </w:t>
      </w:r>
      <w:r w:rsidRPr="004D5087">
        <w:rPr>
          <w:color w:val="FF0000"/>
        </w:rPr>
        <w:t>NO</w:t>
      </w:r>
      <w:r w:rsidRPr="00B0245D">
        <w:t xml:space="preserve"> bioavailability and shear-dependent </w:t>
      </w:r>
      <w:r w:rsidRPr="004D5087">
        <w:rPr>
          <w:color w:val="FF0000"/>
        </w:rPr>
        <w:t>ATP</w:t>
      </w:r>
      <w:r w:rsidRPr="00B0245D">
        <w:t xml:space="preserve"> release, red cells contribute to the fine control of microvascular perfusion, especially within the uteroplacental circulation</w:t>
      </w:r>
      <w:r w:rsidR="000D6B5A" w:rsidRPr="00B0245D">
        <w:t xml:space="preserve"> [35]</w:t>
      </w:r>
      <w:r w:rsidRPr="00B0245D">
        <w:t>.</w:t>
      </w:r>
      <w:r w:rsidR="000D6B5A" w:rsidRPr="00B0245D">
        <w:t xml:space="preserve"> </w:t>
      </w:r>
      <w:r w:rsidRPr="00B0245D">
        <w:t>Nitric oxide is central to vascular homeostasis. Synthesized primarily by endothelial nitric oxide synthase (</w:t>
      </w:r>
      <w:proofErr w:type="spellStart"/>
      <w:r w:rsidRPr="00B0245D">
        <w:t>eNOS</w:t>
      </w:r>
      <w:proofErr w:type="spellEnd"/>
      <w:r w:rsidRPr="00B0245D">
        <w:t>), NO diffuses into smooth muscle cells, activating guanylate cyclase and promoting vasodilation. Red blood cells interact with this pathway in multiple ways. Hemoglobin can bind, transport, and release NO-related species, including S-</w:t>
      </w:r>
      <w:proofErr w:type="spellStart"/>
      <w:r w:rsidRPr="00B0245D">
        <w:t>nitrosothiols</w:t>
      </w:r>
      <w:proofErr w:type="spellEnd"/>
      <w:r w:rsidRPr="00B0245D">
        <w:t>, functioning as both a sink and a reservoir. The balance between NO scavenging and controlled release is influenced by hemoglobin oxygenation state; deoxygenated hemoglobin has greater capacity to carry and potentially deliver bioactive NO equivalents. This oxygen-dependent modulation creates a feedback loop in which local hypoxia promotes vasodilatory signaling, thereby enhancing regional blood flow</w:t>
      </w:r>
      <w:r w:rsidR="000D6B5A" w:rsidRPr="00B0245D">
        <w:t xml:space="preserve"> [36]</w:t>
      </w:r>
      <w:r w:rsidRPr="00B0245D">
        <w:t>.</w:t>
      </w:r>
    </w:p>
    <w:p w14:paraId="4372BAEE" w14:textId="77777777" w:rsidR="00CC03B8" w:rsidRPr="00B0245D" w:rsidRDefault="00CC03B8" w:rsidP="00B0245D">
      <w:pPr>
        <w:pStyle w:val="NormalWeb"/>
        <w:jc w:val="both"/>
      </w:pPr>
      <w:r w:rsidRPr="00B0245D">
        <w:t>During normal pregnancy, increased cardiac output and expanded vascular capacity necessitate coordinated regulation of NO pathways. Elevated estrogen levels stimulate endothelial NO production, while erythrocytes modulate downstream distribution and buffering. The dynamic interplay between endothelial synthesis and erythrocyte handling ensures that vasodilation is sufficient to accommodate rising uteroplacental demands without compromising systemic hemodynamic stability</w:t>
      </w:r>
      <w:r w:rsidR="000D6B5A" w:rsidRPr="00B0245D">
        <w:t xml:space="preserve"> [37]</w:t>
      </w:r>
      <w:r w:rsidRPr="00B0245D">
        <w:t>.</w:t>
      </w:r>
      <w:r w:rsidR="000D6B5A" w:rsidRPr="00B0245D">
        <w:t xml:space="preserve"> </w:t>
      </w:r>
      <w:r w:rsidRPr="00B0245D">
        <w:t>ATP release from red blood cells represents another critical mechanism linking oxygen sensing to vascular response. Under conditions of reduced oxygen tension or increased shear stress, erythrocytes release ATP into the plasma. Extracellular ATP binds to purinergic receptors on endothelial cells, triggering NO production and vasodilation. This process effectively couples local oxygen demand to microvascular perfusion, forming a rapid adaptive system independent of neural input. In the context of pregnancy, where placental oxygen gradients are finely balanced, ATP-mediated signaling may enhance blood flow precisely in regions experiencing relative hypoxia</w:t>
      </w:r>
      <w:r w:rsidR="000D6B5A" w:rsidRPr="00B0245D">
        <w:t xml:space="preserve"> [38]</w:t>
      </w:r>
      <w:r w:rsidRPr="00B0245D">
        <w:t>.</w:t>
      </w:r>
    </w:p>
    <w:p w14:paraId="237A1148" w14:textId="77777777" w:rsidR="00CC03B8" w:rsidRPr="00B0245D" w:rsidRDefault="00CC03B8" w:rsidP="00B0245D">
      <w:pPr>
        <w:pStyle w:val="NormalWeb"/>
        <w:jc w:val="both"/>
      </w:pPr>
      <w:r w:rsidRPr="00B0245D">
        <w:t xml:space="preserve">The integrity of red cell membrane channels and cytoskeletal components is essential for regulated ATP release. Alterations in membrane deformability, intracellular calcium handling, or oxidative </w:t>
      </w:r>
      <w:r w:rsidRPr="00B0245D">
        <w:lastRenderedPageBreak/>
        <w:t>damage can impair this mechanism. Evidence suggests that in uncomplicated gestation, ATP release responsiveness is preserved or enhanced, supporting optimal placental perfusion. Conversely, in hypertensive disorders of pregnancy such as preeclampsia, diminished ATP release and disrupted NO signaling have been documented. These abnormalities contribute to endothelial dysfunction, vasoconstriction, and impaired uteroplacental circulation</w:t>
      </w:r>
      <w:r w:rsidR="000D6B5A" w:rsidRPr="00B0245D">
        <w:t xml:space="preserve"> [39]</w:t>
      </w:r>
      <w:r w:rsidRPr="00B0245D">
        <w:t>.</w:t>
      </w:r>
      <w:r w:rsidR="000D6B5A" w:rsidRPr="00B0245D">
        <w:t xml:space="preserve"> </w:t>
      </w:r>
      <w:r w:rsidRPr="00B0245D">
        <w:t>Oxidative stress further complicates erythrocyte–vascular interactions. Reactive oxygen species can inactivate NO and promote hemoglobin oxidation, limiting the availability of bioactive nitrogen species. When redox balance is disrupted, the erythrocyte may shift from a facilitator of vasodilation to a contributor to vascular stiffness and inflammation. Such changes underscore the importance of maintaining red cell antioxidant capacity during gestation</w:t>
      </w:r>
      <w:r w:rsidR="000D6B5A" w:rsidRPr="00B0245D">
        <w:t xml:space="preserve"> [40-41]</w:t>
      </w:r>
      <w:r w:rsidRPr="00B0245D">
        <w:t>.</w:t>
      </w:r>
    </w:p>
    <w:p w14:paraId="1CF5C250"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Oxidative Stress and Redox Adaptation</w:t>
      </w:r>
    </w:p>
    <w:p w14:paraId="1B2C31A9" w14:textId="77777777" w:rsidR="00CC03B8" w:rsidRPr="00B0245D" w:rsidRDefault="00CC03B8" w:rsidP="00B0245D">
      <w:pPr>
        <w:pStyle w:val="NormalWeb"/>
        <w:jc w:val="both"/>
      </w:pPr>
      <w:r w:rsidRPr="00B0245D">
        <w:t>Pregnancy is characterized by heightened metabolic activity, accelerated mitochondrial respiration within the placenta, and increased oxygen consumption by maternal tissues. These physiologic shifts inevitably generate reactive oxygen species (ROS), placing the maternal circulation in a state of controlled oxidative tension</w:t>
      </w:r>
      <w:r w:rsidR="000D6B5A" w:rsidRPr="00B0245D">
        <w:t xml:space="preserve"> [42-43]</w:t>
      </w:r>
      <w:r w:rsidRPr="00B0245D">
        <w:t>. Within this environment, red blood cells occupy a uniquely vulnerable yet strategically important position. Constantly exposed to high oxygen flux and lacking nuclei or mitochondria for repair and renewal, erythrocytes rely on tightly regulated redox systems to preserve membrane integrity, hemoglobin functionality, and microvascular competence</w:t>
      </w:r>
      <w:r w:rsidR="000D6B5A" w:rsidRPr="00B0245D">
        <w:t xml:space="preserve"> [44-45]</w:t>
      </w:r>
      <w:r w:rsidRPr="00B0245D">
        <w:t>.</w:t>
      </w:r>
      <w:r w:rsidR="000D6B5A" w:rsidRPr="00B0245D">
        <w:t xml:space="preserve"> </w:t>
      </w:r>
      <w:r w:rsidRPr="00B0245D">
        <w:t>In uncomplicated gestation, redox balance is maintained through adaptive upregulation of antioxidant defenses. The glutathione system serves as the primary intracellular buffer against oxidative injury, supported by enzymes such as glutathione peroxidase, superoxide dismutase, and catalase. These enzymatic pathways neutralize superoxide radicals and hydrogen peroxide, preventing lipid peroxidation and protein oxidation within the red cell membrane. Evidence suggests that during normal pregnancy, erythrocytes exhibit enhanced antioxidant capacity, reflecting a compensatory response to increased oxidative load. This adaptive strengthening of red cell redox machinery preserves deformability and sustains efficient oxygen transport despite systemic metabolic stress</w:t>
      </w:r>
      <w:r w:rsidR="000D6B5A" w:rsidRPr="00B0245D">
        <w:t xml:space="preserve"> [46]</w:t>
      </w:r>
      <w:r w:rsidRPr="00B0245D">
        <w:t>.</w:t>
      </w:r>
    </w:p>
    <w:p w14:paraId="0979D586" w14:textId="77777777" w:rsidR="00CC03B8" w:rsidRPr="00B0245D" w:rsidRDefault="00CC03B8" w:rsidP="00B0245D">
      <w:pPr>
        <w:pStyle w:val="NormalWeb"/>
        <w:jc w:val="both"/>
      </w:pPr>
      <w:r w:rsidRPr="00B0245D">
        <w:t>Hemoglobin itself participates in redox chemistry. Under physiologic conditions, a small proportion of hemoglobin undergoes auto-oxidation to methemoglobin, which is rapidly reduced back to its functional ferrous state by methemoglobin reductase systems. During pregnancy, maintenance of this reduction–oxidation equilibrium is essential to prevent accumulation of non–oxygen-binding hemoglobin species. Subtle disruptions in this balance may impair oxygen delivery efficiency without altering total hemoglobin concentration, further illustrating the limitations of static indices</w:t>
      </w:r>
      <w:r w:rsidR="000D6B5A" w:rsidRPr="00B0245D">
        <w:t xml:space="preserve"> [47]</w:t>
      </w:r>
      <w:r w:rsidRPr="00B0245D">
        <w:t>.</w:t>
      </w:r>
      <w:r w:rsidR="000D6B5A" w:rsidRPr="00B0245D">
        <w:t xml:space="preserve"> </w:t>
      </w:r>
      <w:r w:rsidRPr="00B0245D">
        <w:t xml:space="preserve">The red cell membrane is particularly susceptible to oxidative injury. Lipid peroxidation alters membrane fluidity, disrupts phospholipid asymmetry, and damages cytoskeletal proteins such as </w:t>
      </w:r>
      <w:proofErr w:type="spellStart"/>
      <w:r w:rsidRPr="00B0245D">
        <w:t>spectrin</w:t>
      </w:r>
      <w:proofErr w:type="spellEnd"/>
      <w:r w:rsidRPr="00B0245D">
        <w:t xml:space="preserve"> and ankyrin. These structural perturbations reduce deformability and increase susceptibility to premature clearance by the reticuloendothelial system. In physiologic pregnancy, controlled antioxidant activity mitigates these effects, ensuring preservation of membrane resilience despite increased circulatory turnover</w:t>
      </w:r>
      <w:r w:rsidR="000D6B5A" w:rsidRPr="00B0245D">
        <w:t xml:space="preserve"> [48]</w:t>
      </w:r>
      <w:r w:rsidRPr="00B0245D">
        <w:t>.</w:t>
      </w:r>
    </w:p>
    <w:p w14:paraId="220120D7" w14:textId="77777777" w:rsidR="00CC03B8" w:rsidRPr="00B0245D" w:rsidRDefault="00CC03B8" w:rsidP="00B0245D">
      <w:pPr>
        <w:pStyle w:val="NormalWeb"/>
        <w:jc w:val="both"/>
      </w:pPr>
      <w:r w:rsidRPr="00B0245D">
        <w:t xml:space="preserve">Pathologic pregnancies, however, are often characterized by exaggerated oxidative stress. In preeclampsia, placental ischemia–reperfusion phenomena amplify ROS generation, overwhelming erythrocyte antioxidant defenses. Elevated levels of malondialdehyde and other lipid peroxidation </w:t>
      </w:r>
      <w:r w:rsidRPr="00B0245D">
        <w:lastRenderedPageBreak/>
        <w:t xml:space="preserve">markers have been documented, correlating with reduced red cell flexibility and altered nitric oxide bioavailability. Similarly, gestational diabetes introduces </w:t>
      </w:r>
      <w:proofErr w:type="spellStart"/>
      <w:r w:rsidRPr="00B0245D">
        <w:t>glyco</w:t>
      </w:r>
      <w:proofErr w:type="spellEnd"/>
      <w:r w:rsidRPr="00B0245D">
        <w:t>-oxidative stress, promoting nonenzymatic glycation of membrane proteins and impairing redox buffering capacity. These cumulative insults compromise red cell survival and function, contributing to vascular dysfunction and placental hypoperfusion</w:t>
      </w:r>
      <w:r w:rsidR="000D6B5A" w:rsidRPr="00B0245D">
        <w:t xml:space="preserve"> [49]</w:t>
      </w:r>
      <w:r w:rsidRPr="00B0245D">
        <w:t>.</w:t>
      </w:r>
      <w:r w:rsidR="0072024C" w:rsidRPr="00B0245D">
        <w:t xml:space="preserve"> </w:t>
      </w:r>
      <w:r w:rsidRPr="00B0245D">
        <w:t>Iron metabolism further intersects with redox dynamics. While iron is indispensable for hemoglobin synthesis, excess labile iron can catalyze Fenton reactions, generating highly reactive hydroxyl radicals. The physiologic suppression of hepcidin during pregnancy enhances iron mobilization but requires tight regulatory control to avoid oxidative excess. Thus, gestational iron homeostasis must balance erythropoietic demand with redox safety</w:t>
      </w:r>
      <w:r w:rsidR="000D6B5A" w:rsidRPr="00B0245D">
        <w:t xml:space="preserve"> [50]</w:t>
      </w:r>
      <w:r w:rsidRPr="00B0245D">
        <w:t>.</w:t>
      </w:r>
      <w:r w:rsidR="0072024C" w:rsidRPr="00B0245D">
        <w:t xml:space="preserve"> O</w:t>
      </w:r>
      <w:r w:rsidRPr="00B0245D">
        <w:t>xidative stress in pregnancy is not uniformly detrimental; rather, it serves as a signaling mechanism in controlled quantities. Redox-sensitive pathways influence erythropoiesis, vascular tone, and immune modulation. The challenge lies in maintaining equilibrium between physiologic signaling and pathologic injury. Red blood cells, positioned at the interface of oxygen transport and vascular regulation, function both as targets and modulators of this balance.</w:t>
      </w:r>
    </w:p>
    <w:p w14:paraId="2055A38F"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Microvascular Rheology and Uteroplacental Perfusion</w:t>
      </w:r>
    </w:p>
    <w:p w14:paraId="10707B6B" w14:textId="05863D0F" w:rsidR="00CC03B8" w:rsidRPr="00B0245D" w:rsidRDefault="00CC03B8" w:rsidP="00B0245D">
      <w:pPr>
        <w:pStyle w:val="NormalWeb"/>
        <w:jc w:val="both"/>
      </w:pPr>
      <w:r w:rsidRPr="00B0245D">
        <w:t>Effective maternal–fetal exchange depends fundamentally on the rheologic properties of blood within the uteroplacental circulation. While systemic hemodynamics in pregnancy are characterized by increased cardiac output and reduced peripheral vascular resistance, the efficiency of oxygen and nutrient delivery at the placental interface is governed at the microvascular level. In this confined and highly specialized vascular bed,</w:t>
      </w:r>
      <w:r w:rsidR="004D5087" w:rsidRPr="00B0245D">
        <w:t xml:space="preserve"> </w:t>
      </w:r>
      <w:r w:rsidRPr="004D5087">
        <w:rPr>
          <w:color w:val="FF0000"/>
        </w:rPr>
        <w:t>RBC</w:t>
      </w:r>
      <w:r w:rsidRPr="00B0245D">
        <w:t xml:space="preserve"> behavior—its deformability, aggregation tendency, and interaction with plasma proteins—becomes a decisive determinant of perfusion quality</w:t>
      </w:r>
      <w:r w:rsidR="00B0245D" w:rsidRPr="00B0245D">
        <w:t xml:space="preserve"> [51]</w:t>
      </w:r>
      <w:r w:rsidRPr="00B0245D">
        <w:t>.</w:t>
      </w:r>
      <w:r w:rsidR="00B0245D" w:rsidRPr="00B0245D">
        <w:t xml:space="preserve"> </w:t>
      </w:r>
      <w:r w:rsidRPr="00B0245D">
        <w:t>Blood viscosity is not a static parameter but a dynamic property influenced by hematocrit, plasma composition, shear rate, and erythrocyte mechanics. In normal pregnancy, plasma volume expansion reduces hematocrit and lowers bulk viscosity, facilitating flow through low-resistance vascular networks. However, this apparent dilutional advantage is only one dimension of gestational rheology. The functional competence of individual erythrocytes to traverse narrow spiral arteries and intervillous spaces is equally critical. Enhanced deformability and a relatively younger red cell population support efficient capillary transit, minimizing flow resistance within placental microchannels</w:t>
      </w:r>
      <w:r w:rsidR="00B0245D" w:rsidRPr="00B0245D">
        <w:t xml:space="preserve"> [52]</w:t>
      </w:r>
      <w:r w:rsidRPr="00B0245D">
        <w:t>.</w:t>
      </w:r>
    </w:p>
    <w:p w14:paraId="463B82E0" w14:textId="77777777" w:rsidR="00CC03B8" w:rsidRPr="00B0245D" w:rsidRDefault="00CC03B8" w:rsidP="00B0245D">
      <w:pPr>
        <w:pStyle w:val="NormalWeb"/>
        <w:jc w:val="both"/>
      </w:pPr>
      <w:r w:rsidRPr="00B0245D">
        <w:t xml:space="preserve">The uteroplacental circulation operates under unique structural conditions. Maternal blood enters the intervillous space through remodeled spiral arteries, creating a low-pressure, high-volume exchange environment. Within this system, RBCs must navigate complex flow patterns and sustain adequate oxygen diffusion across the </w:t>
      </w:r>
      <w:proofErr w:type="spellStart"/>
      <w:r w:rsidRPr="00B0245D">
        <w:t>syncytiotrophoblast</w:t>
      </w:r>
      <w:proofErr w:type="spellEnd"/>
      <w:r w:rsidRPr="00B0245D">
        <w:t>. Subtle changes in red cell mechanical properties can significantly influence oxygen flux. Increased rigidity or aggregation elevates local viscosity, slows transit time, and may reduce effective oxygen unloading despite normal systemic oxygen content</w:t>
      </w:r>
      <w:r w:rsidR="00B0245D" w:rsidRPr="00B0245D">
        <w:t xml:space="preserve"> [53]</w:t>
      </w:r>
      <w:r w:rsidRPr="00B0245D">
        <w:t>.</w:t>
      </w:r>
      <w:r w:rsidR="00B0245D" w:rsidRPr="00B0245D">
        <w:t xml:space="preserve"> </w:t>
      </w:r>
      <w:r w:rsidRPr="00B0245D">
        <w:t>Plasma proteins play a substantial role in modulating erythrocyte aggregation. Pregnancy is associated with elevated fibrinogen and other acute-phase reactants, which promote reversible red cell aggregation under low shear conditions. Physiologically, this may optimize axial flow and enhance plasma skimming effects, thereby improving microvascular efficiency. However, excessive aggregation, particularly when combined with reduced deformability, increases resistance and may predispose to placental hypoperfusion. The balance between aggregation and dispersion is therefore finely regulated and sensitive to inflammatory and metabolic perturbations</w:t>
      </w:r>
      <w:r w:rsidR="00B0245D" w:rsidRPr="00B0245D">
        <w:t xml:space="preserve"> [54]</w:t>
      </w:r>
      <w:r w:rsidRPr="00B0245D">
        <w:t>.</w:t>
      </w:r>
    </w:p>
    <w:p w14:paraId="74189E65" w14:textId="77777777" w:rsidR="00CC03B8" w:rsidRPr="00B0245D" w:rsidRDefault="00CC03B8" w:rsidP="00B0245D">
      <w:pPr>
        <w:pStyle w:val="NormalWeb"/>
        <w:jc w:val="both"/>
      </w:pPr>
      <w:r w:rsidRPr="00B0245D">
        <w:lastRenderedPageBreak/>
        <w:t>In pathologic pregnancies, rheologic disturbances become more pronounced. Hypertensive disorders such as preeclampsia are associated with endothelial dysfunction, increased circulating inflammatory mediators, and oxidative stress—all of which adversely affect erythrocyte flexibility and aggregation behavior. Elevated blood viscosity and impaired microcirculatory flow have been documented in these conditions, correlating with reduced uteroplacental perfusion and adverse fetal outcomes, including growth restriction. Similarly, gestational diabetes and inflammatory states can alter plasma protein profiles and red cell membrane characteristics, compounding rheologic impairment</w:t>
      </w:r>
      <w:r w:rsidR="00B0245D" w:rsidRPr="00B0245D">
        <w:t xml:space="preserve"> [55]</w:t>
      </w:r>
      <w:r w:rsidRPr="00B0245D">
        <w:t>.</w:t>
      </w:r>
      <w:r w:rsidR="00B0245D" w:rsidRPr="00B0245D">
        <w:t xml:space="preserve"> </w:t>
      </w:r>
      <w:r w:rsidRPr="00B0245D">
        <w:t>Microvascular rheology also interacts with oxygen delivery kinetics. Prolonged capillary transit time may enhance oxygen extraction under certain conditions, but excessive slowing due to increased viscosity or rigidity can paradoxically reduce overall tissue oxygenation by limiting perfusion volume. Thus, optimal uteroplacental function requires a precise equilibrium between flow velocity and oxygen diffusion efficiency</w:t>
      </w:r>
      <w:r w:rsidR="00B0245D" w:rsidRPr="00B0245D">
        <w:t xml:space="preserve"> [56]</w:t>
      </w:r>
      <w:r w:rsidRPr="00B0245D">
        <w:t>.</w:t>
      </w:r>
      <w:r w:rsidR="00B0245D" w:rsidRPr="00B0245D">
        <w:t xml:space="preserve"> </w:t>
      </w:r>
      <w:r w:rsidRPr="00B0245D">
        <w:t>Advances in microfluidic modeling of placental circulation have illuminated how small variations in red cell deformability or aggregation significantly alter oxygen transfer dynamics. These models underscore that gestational adaptation is not solely about increasing oxygen content but about preserving the mechanical and flow characteristics that permit effective distribution.</w:t>
      </w:r>
    </w:p>
    <w:p w14:paraId="6F816C6B"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 xml:space="preserve">Clinical Implications </w:t>
      </w:r>
    </w:p>
    <w:p w14:paraId="53293C15" w14:textId="77777777" w:rsidR="00CC03B8" w:rsidRPr="00B0245D" w:rsidRDefault="00CC03B8" w:rsidP="00B0245D">
      <w:pPr>
        <w:pStyle w:val="NormalWeb"/>
        <w:jc w:val="both"/>
      </w:pPr>
      <w:r w:rsidRPr="00B0245D">
        <w:t>Conventional hematologic evaluation, which relies primarily on static indices such as hemoglobin concentration, hematocrit, and red cell indices, provides an incomplete picture of erythrocyte adaptation. Functional alterations—encompassing oxygen-sensing, deformability, rheology, nitric oxide handling, and redox resilience—can precede measurable changes in routine laboratory parameters, offering an opportunity for earlier detection of maternal or fetal compromise</w:t>
      </w:r>
      <w:r w:rsidR="00B0245D" w:rsidRPr="00B0245D">
        <w:t xml:space="preserve"> [57]</w:t>
      </w:r>
      <w:r w:rsidRPr="00B0245D">
        <w:t>.</w:t>
      </w:r>
      <w:r w:rsidR="00B0245D" w:rsidRPr="00B0245D">
        <w:t xml:space="preserve"> </w:t>
      </w:r>
      <w:r w:rsidRPr="00B0245D">
        <w:t>One major clinical application lies in the assessment and management of anemia. Traditional diagnostic thresholds may underestimate functional oxygen delivery capacity. For instance, iron deficiency, even in the absence of overt anemia, can impair 2,3-bisphosphoglycerate synthesis and reduce oxygen unloading at the tissue level. Functional evaluation of erythrocyte oxygen affinity could identify subclinical compromise, guiding timely iron supplementation and reducing the risk of fetal growth restriction or maternal fatigue. Similarly, in pregnancies complicated by advanced maternal age or multifetal gestation, monitoring erythrocyte deformability and microvascular flow could provide additional insight into oxygen delivery efficiency beyond hemoglobin measurements</w:t>
      </w:r>
      <w:r w:rsidR="00B0245D" w:rsidRPr="00B0245D">
        <w:t xml:space="preserve"> [58]</w:t>
      </w:r>
      <w:r w:rsidRPr="00B0245D">
        <w:t>.</w:t>
      </w:r>
    </w:p>
    <w:p w14:paraId="6FF2CB2A" w14:textId="77777777" w:rsidR="00CC03B8" w:rsidRPr="00B0245D" w:rsidRDefault="00CC03B8" w:rsidP="00B0245D">
      <w:pPr>
        <w:pStyle w:val="NormalWeb"/>
        <w:jc w:val="both"/>
      </w:pPr>
      <w:r w:rsidRPr="00B0245D">
        <w:t>The predictive value of red cell functional assessment extends to hypertensive disorders of pregnancy, including preeclampsia. Impaired red cell deformability, altered membrane biomechanics, and disrupted nitric oxide signaling have been associated with endothelial dysfunction and placental hypoperfusion. Identifying these early alterations could inform risk stratification and the initiation of preventive interventions such as low-dose aspirin, antioxidant therapy, or enhanced surveillance. Moreover, functional markers may help monitor response to therapy, providing a dynamic assessment of maternal vascular adaptation</w:t>
      </w:r>
      <w:r w:rsidR="00B0245D" w:rsidRPr="00B0245D">
        <w:t xml:space="preserve"> [59]</w:t>
      </w:r>
      <w:r w:rsidRPr="00B0245D">
        <w:t>.</w:t>
      </w:r>
      <w:r w:rsidR="00B0245D" w:rsidRPr="00B0245D">
        <w:t xml:space="preserve"> </w:t>
      </w:r>
      <w:r w:rsidRPr="00B0245D">
        <w:t>Microvascular rheology also informs obstetric care in conditions predisposed to thrombotic complications. Altered red cell aggregation or increased blood viscosity can exacerbate placental insufficiency and predispose to fetal growth restriction. By integrating rheologic and functional red cell assessments, clinicians may better identify pregnancies at risk for adverse outcomes, enabling targeted monitoring, timely delivery planning, or prophylactic anticoagulation in selected cases</w:t>
      </w:r>
      <w:r w:rsidR="00B0245D" w:rsidRPr="00B0245D">
        <w:t xml:space="preserve"> </w:t>
      </w:r>
      <w:r w:rsidR="00B0245D" w:rsidRPr="00B0245D">
        <w:lastRenderedPageBreak/>
        <w:t>[60]</w:t>
      </w:r>
      <w:r w:rsidRPr="00B0245D">
        <w:t>.</w:t>
      </w:r>
      <w:r w:rsidR="00B0245D" w:rsidRPr="00B0245D">
        <w:t xml:space="preserve"> R</w:t>
      </w:r>
      <w:r w:rsidRPr="00B0245D">
        <w:t>ed cell functional plasticity has translational implications for emerging diagnostic technologies. Microfluidic devices, ektacytometry, and real-time oxygen dissociation measurements offer the potential to incorporate functional erythrocyte profiling into routine prenatal care. By moving beyond static indices, these approaches can provide individualized assessments of maternal–fetal oxygen delivery and vascular competence, supporting precision obstetric management</w:t>
      </w:r>
      <w:r w:rsidR="00EA53C5" w:rsidRPr="00B0245D">
        <w:t xml:space="preserve"> (Table 2)</w:t>
      </w:r>
      <w:r w:rsidR="00B0245D" w:rsidRPr="00B0245D">
        <w:t xml:space="preserve"> [61]</w:t>
      </w:r>
      <w:r w:rsidRPr="00B0245D">
        <w:t>.</w:t>
      </w:r>
    </w:p>
    <w:p w14:paraId="50690CC8" w14:textId="77777777" w:rsidR="00EA53C5" w:rsidRPr="00B0245D" w:rsidRDefault="00EA53C5" w:rsidP="00B0245D">
      <w:pPr>
        <w:spacing w:before="100" w:beforeAutospacing="1" w:after="100" w:afterAutospacing="1" w:line="240" w:lineRule="auto"/>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Table 2. Clinical Implications of Red Cell Functional Plasticity in Pregnancy</w:t>
      </w:r>
    </w:p>
    <w:tbl>
      <w:tblPr>
        <w:tblStyle w:val="TableGrid"/>
        <w:tblW w:w="0" w:type="auto"/>
        <w:tblLook w:val="04A0" w:firstRow="1" w:lastRow="0" w:firstColumn="1" w:lastColumn="0" w:noHBand="0" w:noVBand="1"/>
      </w:tblPr>
      <w:tblGrid>
        <w:gridCol w:w="1885"/>
        <w:gridCol w:w="2244"/>
        <w:gridCol w:w="2032"/>
        <w:gridCol w:w="3189"/>
      </w:tblGrid>
      <w:tr w:rsidR="00EA53C5" w:rsidRPr="00B0245D" w14:paraId="5623F4F4" w14:textId="77777777" w:rsidTr="00EA53C5">
        <w:tc>
          <w:tcPr>
            <w:tcW w:w="0" w:type="auto"/>
            <w:hideMark/>
          </w:tcPr>
          <w:p w14:paraId="691C3EAD"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Functional Parameter</w:t>
            </w:r>
          </w:p>
        </w:tc>
        <w:tc>
          <w:tcPr>
            <w:tcW w:w="0" w:type="auto"/>
            <w:hideMark/>
          </w:tcPr>
          <w:p w14:paraId="7B9D73DF"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Adaptation</w:t>
            </w:r>
          </w:p>
        </w:tc>
        <w:tc>
          <w:tcPr>
            <w:tcW w:w="0" w:type="auto"/>
            <w:hideMark/>
          </w:tcPr>
          <w:p w14:paraId="627329F8"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Clinical Relevance</w:t>
            </w:r>
          </w:p>
        </w:tc>
        <w:tc>
          <w:tcPr>
            <w:tcW w:w="0" w:type="auto"/>
            <w:hideMark/>
          </w:tcPr>
          <w:p w14:paraId="771E07F3"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Potential Complications if Dysregulated</w:t>
            </w:r>
          </w:p>
        </w:tc>
      </w:tr>
      <w:tr w:rsidR="00EA53C5" w:rsidRPr="00B0245D" w14:paraId="1EBAB788" w14:textId="77777777" w:rsidTr="00EA53C5">
        <w:tc>
          <w:tcPr>
            <w:tcW w:w="0" w:type="auto"/>
            <w:hideMark/>
          </w:tcPr>
          <w:p w14:paraId="3C792243"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Oxygen Affinity (2,3-BPG modulation)</w:t>
            </w:r>
          </w:p>
        </w:tc>
        <w:tc>
          <w:tcPr>
            <w:tcW w:w="0" w:type="auto"/>
            <w:hideMark/>
          </w:tcPr>
          <w:p w14:paraId="0E243437"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Rightward shift of maternal oxygen dissociation curve to facilitate tissue oxygen unloading</w:t>
            </w:r>
          </w:p>
        </w:tc>
        <w:tc>
          <w:tcPr>
            <w:tcW w:w="0" w:type="auto"/>
            <w:hideMark/>
          </w:tcPr>
          <w:p w14:paraId="1DF3ED9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Ensures efficient maternal–fetal oxygen transfer</w:t>
            </w:r>
          </w:p>
        </w:tc>
        <w:tc>
          <w:tcPr>
            <w:tcW w:w="0" w:type="auto"/>
            <w:hideMark/>
          </w:tcPr>
          <w:p w14:paraId="31EE518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Iron deficiency or disrupted 2,3-BPG metabolism → impaired oxygen delivery, fetal hypoxia</w:t>
            </w:r>
          </w:p>
        </w:tc>
      </w:tr>
      <w:tr w:rsidR="00EA53C5" w:rsidRPr="00B0245D" w14:paraId="5D4DB622" w14:textId="77777777" w:rsidTr="00EA53C5">
        <w:tc>
          <w:tcPr>
            <w:tcW w:w="0" w:type="auto"/>
            <w:hideMark/>
          </w:tcPr>
          <w:p w14:paraId="7C1FB02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 Cell Deformability</w:t>
            </w:r>
          </w:p>
        </w:tc>
        <w:tc>
          <w:tcPr>
            <w:tcW w:w="0" w:type="auto"/>
            <w:hideMark/>
          </w:tcPr>
          <w:p w14:paraId="66B68B08"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Maintained or enhanced to optimize microvascular transit</w:t>
            </w:r>
          </w:p>
        </w:tc>
        <w:tc>
          <w:tcPr>
            <w:tcW w:w="0" w:type="auto"/>
            <w:hideMark/>
          </w:tcPr>
          <w:p w14:paraId="0400A64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uteroplacental perfusion and systemic oxygen delivery</w:t>
            </w:r>
          </w:p>
        </w:tc>
        <w:tc>
          <w:tcPr>
            <w:tcW w:w="0" w:type="auto"/>
            <w:hideMark/>
          </w:tcPr>
          <w:p w14:paraId="27F78247"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deformability → placental hypoperfusion, preeclampsia, fetal growth restriction</w:t>
            </w:r>
          </w:p>
        </w:tc>
      </w:tr>
      <w:tr w:rsidR="00EA53C5" w:rsidRPr="00B0245D" w14:paraId="1B48B3DB" w14:textId="77777777" w:rsidTr="00EA53C5">
        <w:tc>
          <w:tcPr>
            <w:tcW w:w="0" w:type="auto"/>
            <w:hideMark/>
          </w:tcPr>
          <w:p w14:paraId="0951161D"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Membrane Biomechanics</w:t>
            </w:r>
          </w:p>
        </w:tc>
        <w:tc>
          <w:tcPr>
            <w:tcW w:w="0" w:type="auto"/>
            <w:hideMark/>
          </w:tcPr>
          <w:p w14:paraId="06CA0F4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Adaptive cytoskeletal and lipid remodeling</w:t>
            </w:r>
          </w:p>
        </w:tc>
        <w:tc>
          <w:tcPr>
            <w:tcW w:w="0" w:type="auto"/>
            <w:hideMark/>
          </w:tcPr>
          <w:p w14:paraId="10B81DB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Preserves flexibility and shear stress response</w:t>
            </w:r>
          </w:p>
        </w:tc>
        <w:tc>
          <w:tcPr>
            <w:tcW w:w="0" w:type="auto"/>
            <w:hideMark/>
          </w:tcPr>
          <w:p w14:paraId="02589494"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Oxidative damage or inflammation → hemolysis, microvascular obstruction</w:t>
            </w:r>
          </w:p>
        </w:tc>
      </w:tr>
      <w:tr w:rsidR="00EA53C5" w:rsidRPr="00B0245D" w14:paraId="21839C69" w14:textId="77777777" w:rsidTr="00EA53C5">
        <w:tc>
          <w:tcPr>
            <w:tcW w:w="0" w:type="auto"/>
            <w:hideMark/>
          </w:tcPr>
          <w:p w14:paraId="4F2893FA"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Nitric Oxide Handling</w:t>
            </w:r>
          </w:p>
        </w:tc>
        <w:tc>
          <w:tcPr>
            <w:tcW w:w="0" w:type="auto"/>
            <w:hideMark/>
          </w:tcPr>
          <w:p w14:paraId="62C1D03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w:t>
            </w:r>
            <w:proofErr w:type="spellStart"/>
            <w:r w:rsidRPr="00B0245D">
              <w:rPr>
                <w:rFonts w:ascii="Times New Roman" w:eastAsia="Times New Roman" w:hAnsi="Times New Roman" w:cs="Times New Roman"/>
                <w:sz w:val="24"/>
                <w:szCs w:val="24"/>
              </w:rPr>
              <w:t>nitrosothiol</w:t>
            </w:r>
            <w:proofErr w:type="spellEnd"/>
            <w:r w:rsidRPr="00B0245D">
              <w:rPr>
                <w:rFonts w:ascii="Times New Roman" w:eastAsia="Times New Roman" w:hAnsi="Times New Roman" w:cs="Times New Roman"/>
                <w:sz w:val="24"/>
                <w:szCs w:val="24"/>
              </w:rPr>
              <w:t>-mediated NO transport and release</w:t>
            </w:r>
          </w:p>
        </w:tc>
        <w:tc>
          <w:tcPr>
            <w:tcW w:w="0" w:type="auto"/>
            <w:hideMark/>
          </w:tcPr>
          <w:p w14:paraId="405E75A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Contributes to systemic and local vasodilation</w:t>
            </w:r>
          </w:p>
        </w:tc>
        <w:tc>
          <w:tcPr>
            <w:tcW w:w="0" w:type="auto"/>
            <w:hideMark/>
          </w:tcPr>
          <w:p w14:paraId="02D431B5"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Impaired NO signaling → endothelial dysfunction, hypertension, impaired uteroplacental flow</w:t>
            </w:r>
          </w:p>
        </w:tc>
      </w:tr>
      <w:tr w:rsidR="00EA53C5" w:rsidRPr="00B0245D" w14:paraId="792179A5" w14:textId="77777777" w:rsidTr="00EA53C5">
        <w:tc>
          <w:tcPr>
            <w:tcW w:w="0" w:type="auto"/>
            <w:hideMark/>
          </w:tcPr>
          <w:p w14:paraId="51142FB4"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ATP Release</w:t>
            </w:r>
          </w:p>
        </w:tc>
        <w:tc>
          <w:tcPr>
            <w:tcW w:w="0" w:type="auto"/>
            <w:hideMark/>
          </w:tcPr>
          <w:p w14:paraId="0E76E8C8"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Shear- and hypoxia-dependent release stimulates endothelial vasodilation</w:t>
            </w:r>
          </w:p>
        </w:tc>
        <w:tc>
          <w:tcPr>
            <w:tcW w:w="0" w:type="auto"/>
            <w:hideMark/>
          </w:tcPr>
          <w:p w14:paraId="02CCF2B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Matches oxygen delivery to local tissue demand</w:t>
            </w:r>
          </w:p>
        </w:tc>
        <w:tc>
          <w:tcPr>
            <w:tcW w:w="0" w:type="auto"/>
            <w:hideMark/>
          </w:tcPr>
          <w:p w14:paraId="0B87F07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ATP release → microvascular constriction, increased vascular resistance</w:t>
            </w:r>
          </w:p>
        </w:tc>
      </w:tr>
      <w:tr w:rsidR="00EA53C5" w:rsidRPr="00B0245D" w14:paraId="6C570A58" w14:textId="77777777" w:rsidTr="00EA53C5">
        <w:tc>
          <w:tcPr>
            <w:tcW w:w="0" w:type="auto"/>
            <w:hideMark/>
          </w:tcPr>
          <w:p w14:paraId="1444B36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Redox Balance</w:t>
            </w:r>
          </w:p>
        </w:tc>
        <w:tc>
          <w:tcPr>
            <w:tcW w:w="0" w:type="auto"/>
            <w:hideMark/>
          </w:tcPr>
          <w:p w14:paraId="2AA36CE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Upregulated antioxidant defenses in RBCs</w:t>
            </w:r>
          </w:p>
        </w:tc>
        <w:tc>
          <w:tcPr>
            <w:tcW w:w="0" w:type="auto"/>
            <w:hideMark/>
          </w:tcPr>
          <w:p w14:paraId="5A94D43F"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Maintains hemoglobin function and membrane integrity</w:t>
            </w:r>
          </w:p>
        </w:tc>
        <w:tc>
          <w:tcPr>
            <w:tcW w:w="0" w:type="auto"/>
            <w:hideMark/>
          </w:tcPr>
          <w:p w14:paraId="1A9F4CEE"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Oxidative stress overwhelms defenses → increased RBC rigidity, early clearance, and vascular compromise</w:t>
            </w:r>
          </w:p>
        </w:tc>
      </w:tr>
      <w:tr w:rsidR="00EA53C5" w:rsidRPr="00B0245D" w14:paraId="4D5524FB" w14:textId="77777777" w:rsidTr="00EA53C5">
        <w:tc>
          <w:tcPr>
            <w:tcW w:w="0" w:type="auto"/>
            <w:hideMark/>
          </w:tcPr>
          <w:p w14:paraId="6234C18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Rheology and Aggregation</w:t>
            </w:r>
          </w:p>
        </w:tc>
        <w:tc>
          <w:tcPr>
            <w:tcW w:w="0" w:type="auto"/>
            <w:hideMark/>
          </w:tcPr>
          <w:p w14:paraId="1CF1907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Optimal aggregation and viscosity for microvascular efficiency</w:t>
            </w:r>
          </w:p>
        </w:tc>
        <w:tc>
          <w:tcPr>
            <w:tcW w:w="0" w:type="auto"/>
            <w:hideMark/>
          </w:tcPr>
          <w:p w14:paraId="7A3F1990"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placental perfusion while minimizing systemic resistance</w:t>
            </w:r>
          </w:p>
        </w:tc>
        <w:tc>
          <w:tcPr>
            <w:tcW w:w="0" w:type="auto"/>
            <w:hideMark/>
          </w:tcPr>
          <w:p w14:paraId="61C4935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Excessive aggregation or </w:t>
            </w:r>
            <w:proofErr w:type="spellStart"/>
            <w:r w:rsidRPr="00B0245D">
              <w:rPr>
                <w:rFonts w:ascii="Times New Roman" w:eastAsia="Times New Roman" w:hAnsi="Times New Roman" w:cs="Times New Roman"/>
                <w:sz w:val="24"/>
                <w:szCs w:val="24"/>
              </w:rPr>
              <w:t>hyperviscosity</w:t>
            </w:r>
            <w:proofErr w:type="spellEnd"/>
            <w:r w:rsidRPr="00B0245D">
              <w:rPr>
                <w:rFonts w:ascii="Times New Roman" w:eastAsia="Times New Roman" w:hAnsi="Times New Roman" w:cs="Times New Roman"/>
                <w:sz w:val="24"/>
                <w:szCs w:val="24"/>
              </w:rPr>
              <w:t xml:space="preserve"> → impaired perfusion, fetal growth restriction, thrombotic risk</w:t>
            </w:r>
          </w:p>
        </w:tc>
      </w:tr>
      <w:tr w:rsidR="00EA53C5" w:rsidRPr="00B0245D" w14:paraId="3BBEEB53" w14:textId="77777777" w:rsidTr="00EA53C5">
        <w:tc>
          <w:tcPr>
            <w:tcW w:w="0" w:type="auto"/>
            <w:hideMark/>
          </w:tcPr>
          <w:p w14:paraId="567889BF"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lastRenderedPageBreak/>
              <w:t>Clinical Monitoring Implications</w:t>
            </w:r>
          </w:p>
        </w:tc>
        <w:tc>
          <w:tcPr>
            <w:tcW w:w="0" w:type="auto"/>
            <w:hideMark/>
          </w:tcPr>
          <w:p w14:paraId="6949590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Functional changes may precede standard indices</w:t>
            </w:r>
          </w:p>
        </w:tc>
        <w:tc>
          <w:tcPr>
            <w:tcW w:w="0" w:type="auto"/>
            <w:hideMark/>
          </w:tcPr>
          <w:p w14:paraId="3DEA1A7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Potential for early detection of high-risk pregnancies</w:t>
            </w:r>
          </w:p>
        </w:tc>
        <w:tc>
          <w:tcPr>
            <w:tcW w:w="0" w:type="auto"/>
            <w:hideMark/>
          </w:tcPr>
          <w:p w14:paraId="59054F45"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Reliance solely on hemoglobin/hematocrit may miss subclinical dysfunction</w:t>
            </w:r>
          </w:p>
        </w:tc>
      </w:tr>
    </w:tbl>
    <w:p w14:paraId="2656A027"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Conclusion</w:t>
      </w:r>
    </w:p>
    <w:p w14:paraId="21AFF335" w14:textId="1CBC9BFA"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 blood cells in pregnancy exhibit remarkable functional plasticity that extends far beyond traditional hematologic indices. Through coordinated modulation of oxygen affinity, membrane biomechanics, deformability, nitric oxide signaling, ATP-mediated vascular interactions, redox balance, and microvascular rheology, erythrocytes actively contribute to maternal–fetal oxygen homeostasis and vascular adaptation. These dynamic processes enable efficient oxygen delivery to the developing fetus while accommodating the hemodynamic and metabolic demands of gestation.</w:t>
      </w:r>
      <w:r w:rsidR="004D5087">
        <w:rPr>
          <w:rFonts w:ascii="Times New Roman" w:eastAsia="Times New Roman" w:hAnsi="Times New Roman" w:cs="Times New Roman"/>
          <w:sz w:val="24"/>
          <w:szCs w:val="24"/>
        </w:rPr>
        <w:t xml:space="preserve"> </w:t>
      </w:r>
      <w:r w:rsidRPr="00B0245D">
        <w:rPr>
          <w:rFonts w:ascii="Times New Roman" w:eastAsia="Times New Roman" w:hAnsi="Times New Roman" w:cs="Times New Roman"/>
          <w:sz w:val="24"/>
          <w:szCs w:val="24"/>
        </w:rPr>
        <w:t>Disruption of these adaptive mechanisms—whether through iron deficiency, oxidative stress, hypertensive disorders, or metabolic dysregulation—can compromise microvascular flow, impair oxygen unloading, and contribute to adverse outcomes such as preeclampsia, fetal growth restriction, or gestational anemia. Traditional reliance on static red cell indices often fails to capture these functional impairments, highlighting the need for more comprehensive, functional approaches to obstetric hematology.</w:t>
      </w:r>
    </w:p>
    <w:p w14:paraId="761200A2" w14:textId="296E6B92" w:rsidR="00CC03B8"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Incorporating assessments of red cell deformability, oxygen-sensing capacity, rheology, and redox resilience into clinical practice offers a framework for precision monitoring, early risk detection, and individualized management. By recognizing erythrocytes as active participants in maternal–fetal physiology rather than passive oxygen carriers, clinicians and researchers can better understand the pathophysiology of complicated pregnancies and develop strategies to optimize perinatal outcomes. Ultimately, moving from index-based evaluation to functional phenotyping represents a paradigm shift in the hematology of pregnancy, bridging molecular insight with clinical relevance.</w:t>
      </w:r>
    </w:p>
    <w:p w14:paraId="0C2187E6" w14:textId="7D673D72" w:rsidR="00224D86" w:rsidRDefault="00224D86" w:rsidP="00B0245D">
      <w:pPr>
        <w:spacing w:before="100" w:beforeAutospacing="1" w:after="100" w:afterAutospacing="1" w:line="240" w:lineRule="auto"/>
        <w:jc w:val="both"/>
        <w:rPr>
          <w:rFonts w:ascii="Times New Roman" w:eastAsia="Times New Roman" w:hAnsi="Times New Roman" w:cs="Times New Roman"/>
          <w:sz w:val="24"/>
          <w:szCs w:val="24"/>
        </w:rPr>
      </w:pPr>
    </w:p>
    <w:p w14:paraId="1BF4D468" w14:textId="77777777" w:rsidR="00224D86" w:rsidRPr="00005ED1" w:rsidRDefault="00224D86" w:rsidP="00224D86">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1A856DC7" w14:textId="77777777" w:rsidR="00224D86" w:rsidRPr="00005ED1" w:rsidRDefault="00224D86" w:rsidP="00224D86">
      <w:pPr>
        <w:pStyle w:val="NoSpacing"/>
        <w:rPr>
          <w:rFonts w:ascii="Arial" w:hAnsi="Arial" w:cs="Arial"/>
          <w:highlight w:val="yellow"/>
        </w:rPr>
      </w:pPr>
    </w:p>
    <w:p w14:paraId="0BD13686" w14:textId="66003D04" w:rsidR="00224D86" w:rsidRPr="00005ED1" w:rsidRDefault="00224D86" w:rsidP="00224D8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7CAD35C5" w14:textId="77777777" w:rsidR="00224D86" w:rsidRPr="00B0245D" w:rsidRDefault="00224D86" w:rsidP="00B0245D">
      <w:pPr>
        <w:spacing w:before="100" w:beforeAutospacing="1" w:after="100" w:afterAutospacing="1" w:line="240" w:lineRule="auto"/>
        <w:jc w:val="both"/>
        <w:rPr>
          <w:rFonts w:ascii="Times New Roman" w:eastAsia="Times New Roman" w:hAnsi="Times New Roman" w:cs="Times New Roman"/>
          <w:sz w:val="24"/>
          <w:szCs w:val="24"/>
        </w:rPr>
      </w:pPr>
    </w:p>
    <w:p w14:paraId="2BAF3286" w14:textId="77777777" w:rsidR="00B0245D" w:rsidRPr="00B0245D" w:rsidRDefault="00B0245D" w:rsidP="00B0245D">
      <w:pPr>
        <w:spacing w:line="240" w:lineRule="auto"/>
        <w:jc w:val="both"/>
        <w:rPr>
          <w:rFonts w:ascii="Times New Roman" w:hAnsi="Times New Roman" w:cs="Times New Roman"/>
          <w:b/>
          <w:sz w:val="24"/>
          <w:szCs w:val="24"/>
        </w:rPr>
      </w:pPr>
      <w:r w:rsidRPr="00B0245D">
        <w:rPr>
          <w:rFonts w:ascii="Times New Roman" w:hAnsi="Times New Roman" w:cs="Times New Roman"/>
          <w:b/>
          <w:sz w:val="24"/>
          <w:szCs w:val="24"/>
        </w:rPr>
        <w:t>References</w:t>
      </w:r>
    </w:p>
    <w:p w14:paraId="7B32194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Soma-Pillay, P., Nelson-Piercy, C., </w:t>
      </w:r>
      <w:proofErr w:type="spellStart"/>
      <w:r w:rsidRPr="00B0245D">
        <w:rPr>
          <w:rFonts w:ascii="Times New Roman" w:eastAsia="Times New Roman" w:hAnsi="Times New Roman" w:cs="Times New Roman"/>
          <w:sz w:val="24"/>
          <w:szCs w:val="24"/>
        </w:rPr>
        <w:t>Tolppanen</w:t>
      </w:r>
      <w:proofErr w:type="spellEnd"/>
      <w:r w:rsidRPr="00B0245D">
        <w:rPr>
          <w:rFonts w:ascii="Times New Roman" w:eastAsia="Times New Roman" w:hAnsi="Times New Roman" w:cs="Times New Roman"/>
          <w:sz w:val="24"/>
          <w:szCs w:val="24"/>
        </w:rPr>
        <w:t xml:space="preserve">, H., &amp; </w:t>
      </w:r>
      <w:proofErr w:type="spellStart"/>
      <w:r w:rsidRPr="00B0245D">
        <w:rPr>
          <w:rFonts w:ascii="Times New Roman" w:eastAsia="Times New Roman" w:hAnsi="Times New Roman" w:cs="Times New Roman"/>
          <w:sz w:val="24"/>
          <w:szCs w:val="24"/>
        </w:rPr>
        <w:t>Mebazaa</w:t>
      </w:r>
      <w:proofErr w:type="spellEnd"/>
      <w:r w:rsidRPr="00B0245D">
        <w:rPr>
          <w:rFonts w:ascii="Times New Roman" w:eastAsia="Times New Roman" w:hAnsi="Times New Roman" w:cs="Times New Roman"/>
          <w:sz w:val="24"/>
          <w:szCs w:val="24"/>
        </w:rPr>
        <w:t xml:space="preserve">, A. (2016). Physiological changes in pregnancy. </w:t>
      </w:r>
      <w:r w:rsidRPr="00B0245D">
        <w:rPr>
          <w:rFonts w:ascii="Times New Roman" w:eastAsia="Times New Roman" w:hAnsi="Times New Roman" w:cs="Times New Roman"/>
          <w:i/>
          <w:iCs/>
          <w:sz w:val="24"/>
          <w:szCs w:val="24"/>
        </w:rPr>
        <w:t>Cardiovascular journal of Africa</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27</w:t>
      </w:r>
      <w:r w:rsidRPr="00B0245D">
        <w:rPr>
          <w:rFonts w:ascii="Times New Roman" w:eastAsia="Times New Roman" w:hAnsi="Times New Roman" w:cs="Times New Roman"/>
          <w:sz w:val="24"/>
          <w:szCs w:val="24"/>
        </w:rPr>
        <w:t xml:space="preserve">(2), 89–94. </w:t>
      </w:r>
      <w:hyperlink r:id="rId7" w:history="1">
        <w:r w:rsidRPr="00B0245D">
          <w:rPr>
            <w:rStyle w:val="Hyperlink"/>
            <w:rFonts w:ascii="Times New Roman" w:eastAsia="Times New Roman" w:hAnsi="Times New Roman" w:cs="Times New Roman"/>
            <w:sz w:val="24"/>
            <w:szCs w:val="24"/>
          </w:rPr>
          <w:t>https://doi.org/10.5830/CVJA-2016-021</w:t>
        </w:r>
      </w:hyperlink>
    </w:p>
    <w:p w14:paraId="4C0036B2"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Gangakhedkar</w:t>
      </w:r>
      <w:proofErr w:type="spellEnd"/>
      <w:r w:rsidRPr="00B0245D">
        <w:rPr>
          <w:rFonts w:ascii="Times New Roman" w:eastAsia="Times New Roman" w:hAnsi="Times New Roman" w:cs="Times New Roman"/>
          <w:sz w:val="24"/>
          <w:szCs w:val="24"/>
        </w:rPr>
        <w:t xml:space="preserve">, G. R., &amp; Kulkarni, A. P. (2021). Physiological Changes in Pregnancy. </w:t>
      </w:r>
      <w:r w:rsidRPr="00B0245D">
        <w:rPr>
          <w:rFonts w:ascii="Times New Roman" w:eastAsia="Times New Roman" w:hAnsi="Times New Roman" w:cs="Times New Roman"/>
          <w:i/>
          <w:iCs/>
          <w:sz w:val="24"/>
          <w:szCs w:val="24"/>
        </w:rPr>
        <w:t xml:space="preserve">Indian journal of critical care </w:t>
      </w:r>
      <w:proofErr w:type="gramStart"/>
      <w:r w:rsidRPr="00B0245D">
        <w:rPr>
          <w:rFonts w:ascii="Times New Roman" w:eastAsia="Times New Roman" w:hAnsi="Times New Roman" w:cs="Times New Roman"/>
          <w:i/>
          <w:iCs/>
          <w:sz w:val="24"/>
          <w:szCs w:val="24"/>
        </w:rPr>
        <w:t>medicine :</w:t>
      </w:r>
      <w:proofErr w:type="gramEnd"/>
      <w:r w:rsidRPr="00B0245D">
        <w:rPr>
          <w:rFonts w:ascii="Times New Roman" w:eastAsia="Times New Roman" w:hAnsi="Times New Roman" w:cs="Times New Roman"/>
          <w:i/>
          <w:iCs/>
          <w:sz w:val="24"/>
          <w:szCs w:val="24"/>
        </w:rPr>
        <w:t xml:space="preserve"> peer-reviewed, official publication of Indian Society of Critical Care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(Suppl 3), S189–S192. https://doi.org/10.5005/jp-journals-10071-24039</w:t>
      </w:r>
    </w:p>
    <w:p w14:paraId="3F3F213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Spinelli, S., Marino, A., </w:t>
      </w:r>
      <w:proofErr w:type="spellStart"/>
      <w:r w:rsidRPr="00B0245D">
        <w:rPr>
          <w:rFonts w:ascii="Times New Roman" w:eastAsia="Times New Roman" w:hAnsi="Times New Roman" w:cs="Times New Roman"/>
          <w:sz w:val="24"/>
          <w:szCs w:val="24"/>
        </w:rPr>
        <w:t>Remigante</w:t>
      </w:r>
      <w:proofErr w:type="spellEnd"/>
      <w:r w:rsidRPr="00B0245D">
        <w:rPr>
          <w:rFonts w:ascii="Times New Roman" w:eastAsia="Times New Roman" w:hAnsi="Times New Roman" w:cs="Times New Roman"/>
          <w:sz w:val="24"/>
          <w:szCs w:val="24"/>
        </w:rPr>
        <w:t xml:space="preserve">, A., &amp; Morabito, R. (2025). Redox Homeostasis in Red Blood Cells: From Molecular Mechanisms to Antioxidant Strategies. </w:t>
      </w:r>
      <w:r w:rsidRPr="00B0245D">
        <w:rPr>
          <w:rFonts w:ascii="Times New Roman" w:eastAsia="Times New Roman" w:hAnsi="Times New Roman" w:cs="Times New Roman"/>
          <w:i/>
          <w:iCs/>
          <w:sz w:val="24"/>
          <w:szCs w:val="24"/>
        </w:rPr>
        <w:t>Current issues in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47</w:t>
      </w:r>
      <w:r w:rsidRPr="00B0245D">
        <w:rPr>
          <w:rFonts w:ascii="Times New Roman" w:eastAsia="Times New Roman" w:hAnsi="Times New Roman" w:cs="Times New Roman"/>
          <w:sz w:val="24"/>
          <w:szCs w:val="24"/>
        </w:rPr>
        <w:t>(8), 655. https://doi.org/10.3390/cimb47080655</w:t>
      </w:r>
    </w:p>
    <w:p w14:paraId="73E9C039"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Kuhn, V., Diederich, L., Keller, T. C. S., 4th, Kramer, C. M., </w:t>
      </w:r>
      <w:proofErr w:type="spellStart"/>
      <w:r w:rsidRPr="00B0245D">
        <w:rPr>
          <w:rFonts w:ascii="Times New Roman" w:eastAsia="Times New Roman" w:hAnsi="Times New Roman" w:cs="Times New Roman"/>
          <w:sz w:val="24"/>
          <w:szCs w:val="24"/>
        </w:rPr>
        <w:t>Lückstädt</w:t>
      </w:r>
      <w:proofErr w:type="spellEnd"/>
      <w:r w:rsidRPr="00B0245D">
        <w:rPr>
          <w:rFonts w:ascii="Times New Roman" w:eastAsia="Times New Roman" w:hAnsi="Times New Roman" w:cs="Times New Roman"/>
          <w:sz w:val="24"/>
          <w:szCs w:val="24"/>
        </w:rPr>
        <w:t xml:space="preserve">, W., Panknin, C., </w:t>
      </w:r>
      <w:proofErr w:type="spellStart"/>
      <w:r w:rsidRPr="00B0245D">
        <w:rPr>
          <w:rFonts w:ascii="Times New Roman" w:eastAsia="Times New Roman" w:hAnsi="Times New Roman" w:cs="Times New Roman"/>
          <w:sz w:val="24"/>
          <w:szCs w:val="24"/>
        </w:rPr>
        <w:t>Suvorava</w:t>
      </w:r>
      <w:proofErr w:type="spellEnd"/>
      <w:r w:rsidRPr="00B0245D">
        <w:rPr>
          <w:rFonts w:ascii="Times New Roman" w:eastAsia="Times New Roman" w:hAnsi="Times New Roman" w:cs="Times New Roman"/>
          <w:sz w:val="24"/>
          <w:szCs w:val="24"/>
        </w:rPr>
        <w:t xml:space="preserve">, T., Isakson, B. E., Kelm, M., &amp; Cortese-Krott, M. M. (2017). Red Blood Cell Function and Dysfunction: Redox Regulation, Nitric Oxide Metabolism, Anemia. </w:t>
      </w:r>
      <w:r w:rsidRPr="00B0245D">
        <w:rPr>
          <w:rFonts w:ascii="Times New Roman" w:eastAsia="Times New Roman" w:hAnsi="Times New Roman" w:cs="Times New Roman"/>
          <w:i/>
          <w:iCs/>
          <w:sz w:val="24"/>
          <w:szCs w:val="24"/>
        </w:rPr>
        <w:t>Antioxidants &amp; redox signaling</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26</w:t>
      </w:r>
      <w:r w:rsidRPr="00B0245D">
        <w:rPr>
          <w:rFonts w:ascii="Times New Roman" w:eastAsia="Times New Roman" w:hAnsi="Times New Roman" w:cs="Times New Roman"/>
          <w:sz w:val="24"/>
          <w:szCs w:val="24"/>
        </w:rPr>
        <w:t>(13), 718–742. https://doi.org/10.1089/ars.2016.6954</w:t>
      </w:r>
    </w:p>
    <w:p w14:paraId="69803FF8"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Bellingham, A. J., Detter, J. C., &amp; </w:t>
      </w:r>
      <w:proofErr w:type="spellStart"/>
      <w:r w:rsidRPr="00B0245D">
        <w:rPr>
          <w:rFonts w:ascii="Times New Roman" w:eastAsia="Times New Roman" w:hAnsi="Times New Roman" w:cs="Times New Roman"/>
          <w:sz w:val="24"/>
          <w:szCs w:val="24"/>
        </w:rPr>
        <w:t>Lenfant</w:t>
      </w:r>
      <w:proofErr w:type="spellEnd"/>
      <w:r w:rsidRPr="00B0245D">
        <w:rPr>
          <w:rFonts w:ascii="Times New Roman" w:eastAsia="Times New Roman" w:hAnsi="Times New Roman" w:cs="Times New Roman"/>
          <w:sz w:val="24"/>
          <w:szCs w:val="24"/>
        </w:rPr>
        <w:t xml:space="preserve">, C. (1971). Regulatory mechanisms of hemoglobin oxygen affinity in acidosis and alkalosis. </w:t>
      </w:r>
      <w:r w:rsidRPr="00B0245D">
        <w:rPr>
          <w:rFonts w:ascii="Times New Roman" w:eastAsia="Times New Roman" w:hAnsi="Times New Roman" w:cs="Times New Roman"/>
          <w:i/>
          <w:iCs/>
          <w:sz w:val="24"/>
          <w:szCs w:val="24"/>
        </w:rPr>
        <w:t>The Journal of clinical investigation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50</w:t>
      </w:r>
      <w:r w:rsidRPr="00B0245D">
        <w:rPr>
          <w:rFonts w:ascii="Times New Roman" w:eastAsia="Times New Roman" w:hAnsi="Times New Roman" w:cs="Times New Roman"/>
          <w:sz w:val="24"/>
          <w:szCs w:val="24"/>
        </w:rPr>
        <w:t>(3), 700–706. https://doi.org/10.1172/JCI106540</w:t>
      </w:r>
    </w:p>
    <w:p w14:paraId="7822F14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Gomez-Cambronero J. (2001). THE OXYGEN DISSOCIATION CURVE OF HEMOGLOBIN: BRIDGING THE GAP BETWEEN BIOCHEMISTRY AND PHYSIOLOGY. </w:t>
      </w:r>
      <w:r w:rsidRPr="00B0245D">
        <w:rPr>
          <w:rFonts w:ascii="Times New Roman" w:eastAsia="Times New Roman" w:hAnsi="Times New Roman" w:cs="Times New Roman"/>
          <w:i/>
          <w:iCs/>
          <w:sz w:val="24"/>
          <w:szCs w:val="24"/>
        </w:rPr>
        <w:t>Journal of chemical education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78</w:t>
      </w:r>
      <w:r w:rsidRPr="00B0245D">
        <w:rPr>
          <w:rFonts w:ascii="Times New Roman" w:eastAsia="Times New Roman" w:hAnsi="Times New Roman" w:cs="Times New Roman"/>
          <w:sz w:val="24"/>
          <w:szCs w:val="24"/>
        </w:rPr>
        <w:t>(6), 757. https://doi.org/10.1021/ed078p757</w:t>
      </w:r>
    </w:p>
    <w:p w14:paraId="6F8EDEA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Simmonds, M. J., Detterich, J. A., &amp; </w:t>
      </w:r>
      <w:proofErr w:type="spellStart"/>
      <w:r w:rsidRPr="00B0245D">
        <w:rPr>
          <w:rFonts w:ascii="Times New Roman" w:eastAsia="Times New Roman" w:hAnsi="Times New Roman" w:cs="Times New Roman"/>
          <w:sz w:val="24"/>
          <w:szCs w:val="24"/>
        </w:rPr>
        <w:t>Connes</w:t>
      </w:r>
      <w:proofErr w:type="spellEnd"/>
      <w:r w:rsidRPr="00B0245D">
        <w:rPr>
          <w:rFonts w:ascii="Times New Roman" w:eastAsia="Times New Roman" w:hAnsi="Times New Roman" w:cs="Times New Roman"/>
          <w:sz w:val="24"/>
          <w:szCs w:val="24"/>
        </w:rPr>
        <w:t xml:space="preserve">, P. (2014). Nitric oxide, vasodilation and the red blood cell. </w:t>
      </w:r>
      <w:r w:rsidRPr="00B0245D">
        <w:rPr>
          <w:rFonts w:ascii="Times New Roman" w:eastAsia="Times New Roman" w:hAnsi="Times New Roman" w:cs="Times New Roman"/>
          <w:i/>
          <w:iCs/>
          <w:sz w:val="24"/>
          <w:szCs w:val="24"/>
        </w:rPr>
        <w:t>Biorheology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51</w:t>
      </w:r>
      <w:r w:rsidRPr="00B0245D">
        <w:rPr>
          <w:rFonts w:ascii="Times New Roman" w:eastAsia="Times New Roman" w:hAnsi="Times New Roman" w:cs="Times New Roman"/>
          <w:sz w:val="24"/>
          <w:szCs w:val="24"/>
        </w:rPr>
        <w:t>(2-3), 121–134. https://doi.org/10.3233/BIR-140653</w:t>
      </w:r>
    </w:p>
    <w:p w14:paraId="5700667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Vornic</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Buciu</w:t>
      </w:r>
      <w:proofErr w:type="spellEnd"/>
      <w:r w:rsidRPr="00B0245D">
        <w:rPr>
          <w:rFonts w:ascii="Times New Roman" w:eastAsia="Times New Roman" w:hAnsi="Times New Roman" w:cs="Times New Roman"/>
          <w:sz w:val="24"/>
          <w:szCs w:val="24"/>
        </w:rPr>
        <w:t xml:space="preserve">, V., Furau, C. G., Gaje, P. N., </w:t>
      </w:r>
      <w:proofErr w:type="spellStart"/>
      <w:r w:rsidRPr="00B0245D">
        <w:rPr>
          <w:rFonts w:ascii="Times New Roman" w:eastAsia="Times New Roman" w:hAnsi="Times New Roman" w:cs="Times New Roman"/>
          <w:sz w:val="24"/>
          <w:szCs w:val="24"/>
        </w:rPr>
        <w:t>Ceausu</w:t>
      </w:r>
      <w:proofErr w:type="spellEnd"/>
      <w:r w:rsidRPr="00B0245D">
        <w:rPr>
          <w:rFonts w:ascii="Times New Roman" w:eastAsia="Times New Roman" w:hAnsi="Times New Roman" w:cs="Times New Roman"/>
          <w:sz w:val="24"/>
          <w:szCs w:val="24"/>
        </w:rPr>
        <w:t xml:space="preserve">, R. A., Dumitru, C. S., Barb, A. C., </w:t>
      </w:r>
      <w:proofErr w:type="spellStart"/>
      <w:r w:rsidRPr="00B0245D">
        <w:rPr>
          <w:rFonts w:ascii="Times New Roman" w:eastAsia="Times New Roman" w:hAnsi="Times New Roman" w:cs="Times New Roman"/>
          <w:sz w:val="24"/>
          <w:szCs w:val="24"/>
        </w:rPr>
        <w:t>Novacescu</w:t>
      </w:r>
      <w:proofErr w:type="spellEnd"/>
      <w:r w:rsidRPr="00B0245D">
        <w:rPr>
          <w:rFonts w:ascii="Times New Roman" w:eastAsia="Times New Roman" w:hAnsi="Times New Roman" w:cs="Times New Roman"/>
          <w:sz w:val="24"/>
          <w:szCs w:val="24"/>
        </w:rPr>
        <w:t xml:space="preserve">, D., </w:t>
      </w:r>
      <w:proofErr w:type="spellStart"/>
      <w:r w:rsidRPr="00B0245D">
        <w:rPr>
          <w:rFonts w:ascii="Times New Roman" w:eastAsia="Times New Roman" w:hAnsi="Times New Roman" w:cs="Times New Roman"/>
          <w:sz w:val="24"/>
          <w:szCs w:val="24"/>
        </w:rPr>
        <w:t>Cumpanas</w:t>
      </w:r>
      <w:proofErr w:type="spellEnd"/>
      <w:r w:rsidRPr="00B0245D">
        <w:rPr>
          <w:rFonts w:ascii="Times New Roman" w:eastAsia="Times New Roman" w:hAnsi="Times New Roman" w:cs="Times New Roman"/>
          <w:sz w:val="24"/>
          <w:szCs w:val="24"/>
        </w:rPr>
        <w:t xml:space="preserve">, A. A., </w:t>
      </w:r>
      <w:proofErr w:type="spellStart"/>
      <w:r w:rsidRPr="00B0245D">
        <w:rPr>
          <w:rFonts w:ascii="Times New Roman" w:eastAsia="Times New Roman" w:hAnsi="Times New Roman" w:cs="Times New Roman"/>
          <w:sz w:val="24"/>
          <w:szCs w:val="24"/>
        </w:rPr>
        <w:t>Latcu</w:t>
      </w:r>
      <w:proofErr w:type="spellEnd"/>
      <w:r w:rsidRPr="00B0245D">
        <w:rPr>
          <w:rFonts w:ascii="Times New Roman" w:eastAsia="Times New Roman" w:hAnsi="Times New Roman" w:cs="Times New Roman"/>
          <w:sz w:val="24"/>
          <w:szCs w:val="24"/>
        </w:rPr>
        <w:t xml:space="preserve">, S. C., Cut, T. G., &amp; Zara, F. (2024). Oxidative Stress and Placental Pathogenesis: A Contemporary Overview of Potential Biomarkers and Emerging Therapeutics.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(22), 12195. https://doi.org/10.3390/ijms252212195</w:t>
      </w:r>
    </w:p>
    <w:p w14:paraId="4566B25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Tkachenko, O., Shchekochikhin, D., &amp; Schrier, R. W. (2014). Hormones and hemodynamics in pregnancy. </w:t>
      </w:r>
      <w:r w:rsidRPr="00B0245D">
        <w:rPr>
          <w:rFonts w:ascii="Times New Roman" w:eastAsia="Times New Roman" w:hAnsi="Times New Roman" w:cs="Times New Roman"/>
          <w:i/>
          <w:iCs/>
          <w:sz w:val="24"/>
          <w:szCs w:val="24"/>
        </w:rPr>
        <w:t>International journal of endocrinology and metabolism</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w:t>
      </w:r>
      <w:r w:rsidRPr="00B0245D">
        <w:rPr>
          <w:rFonts w:ascii="Times New Roman" w:eastAsia="Times New Roman" w:hAnsi="Times New Roman" w:cs="Times New Roman"/>
          <w:sz w:val="24"/>
          <w:szCs w:val="24"/>
        </w:rPr>
        <w:t>(2), e14098. https://doi.org/10.5812/ijem.14098</w:t>
      </w:r>
    </w:p>
    <w:p w14:paraId="0FD3F99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Napso, T., Yong, H. E. J., Lopez-Tello, J., &amp; </w:t>
      </w:r>
      <w:proofErr w:type="spellStart"/>
      <w:r w:rsidRPr="00B0245D">
        <w:rPr>
          <w:rFonts w:ascii="Times New Roman" w:eastAsia="Times New Roman" w:hAnsi="Times New Roman" w:cs="Times New Roman"/>
          <w:sz w:val="24"/>
          <w:szCs w:val="24"/>
        </w:rPr>
        <w:t>Sferruzzi</w:t>
      </w:r>
      <w:proofErr w:type="spellEnd"/>
      <w:r w:rsidRPr="00B0245D">
        <w:rPr>
          <w:rFonts w:ascii="Times New Roman" w:eastAsia="Times New Roman" w:hAnsi="Times New Roman" w:cs="Times New Roman"/>
          <w:sz w:val="24"/>
          <w:szCs w:val="24"/>
        </w:rPr>
        <w:t xml:space="preserve">-Perri, A. N. (2018). The Role of Placental Hormones in Mediating Maternal Adaptations to Support Pregnancy and Lactation.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w:t>
      </w:r>
      <w:r w:rsidRPr="00B0245D">
        <w:rPr>
          <w:rFonts w:ascii="Times New Roman" w:eastAsia="Times New Roman" w:hAnsi="Times New Roman" w:cs="Times New Roman"/>
          <w:sz w:val="24"/>
          <w:szCs w:val="24"/>
        </w:rPr>
        <w:t>, 1091. https://doi.org/10.3389/fphys.2018.01091</w:t>
      </w:r>
    </w:p>
    <w:p w14:paraId="521BBF3F"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Choi, J. W., &amp; Pai, S. H. (2001). Change in erythropoiesis with gestational age during pregnancy. </w:t>
      </w:r>
      <w:r w:rsidRPr="00B0245D">
        <w:rPr>
          <w:rFonts w:ascii="Times New Roman" w:eastAsia="Times New Roman" w:hAnsi="Times New Roman" w:cs="Times New Roman"/>
          <w:i/>
          <w:iCs/>
          <w:sz w:val="24"/>
          <w:szCs w:val="24"/>
        </w:rPr>
        <w:t>Annals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80</w:t>
      </w:r>
      <w:r w:rsidRPr="00B0245D">
        <w:rPr>
          <w:rFonts w:ascii="Times New Roman" w:eastAsia="Times New Roman" w:hAnsi="Times New Roman" w:cs="Times New Roman"/>
          <w:sz w:val="24"/>
          <w:szCs w:val="24"/>
        </w:rPr>
        <w:t>(1), 26–31. https://doi.org/10.1007/s002770000229</w:t>
      </w:r>
    </w:p>
    <w:p w14:paraId="0D84AB1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Cha H. J. (2024). Erythropoiesis: insights from a genomic perspective. </w:t>
      </w:r>
      <w:r w:rsidRPr="00B0245D">
        <w:rPr>
          <w:rFonts w:ascii="Times New Roman" w:eastAsia="Times New Roman" w:hAnsi="Times New Roman" w:cs="Times New Roman"/>
          <w:i/>
          <w:iCs/>
          <w:sz w:val="24"/>
          <w:szCs w:val="24"/>
        </w:rPr>
        <w:t>Experimental &amp; molecular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56</w:t>
      </w:r>
      <w:r w:rsidRPr="00B0245D">
        <w:rPr>
          <w:rFonts w:ascii="Times New Roman" w:eastAsia="Times New Roman" w:hAnsi="Times New Roman" w:cs="Times New Roman"/>
          <w:sz w:val="24"/>
          <w:szCs w:val="24"/>
        </w:rPr>
        <w:t>(10), 2099–2104. https://doi.org/10.1038/s12276-024-01311-1</w:t>
      </w:r>
    </w:p>
    <w:p w14:paraId="35A4EEC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Sangkhae, V., Fisher, A. L., Ganz, T., &amp; Nemeth, E. (2023). Iron Homeostasis During Pregnancy: Maternal, Placental, and Fetal Regulatory Mechanisms. </w:t>
      </w:r>
      <w:r w:rsidRPr="00B0245D">
        <w:rPr>
          <w:rFonts w:ascii="Times New Roman" w:eastAsia="Times New Roman" w:hAnsi="Times New Roman" w:cs="Times New Roman"/>
          <w:i/>
          <w:iCs/>
          <w:sz w:val="24"/>
          <w:szCs w:val="24"/>
        </w:rPr>
        <w:t>Annual review of nutrition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43</w:t>
      </w:r>
      <w:r w:rsidRPr="00B0245D">
        <w:rPr>
          <w:rFonts w:ascii="Times New Roman" w:eastAsia="Times New Roman" w:hAnsi="Times New Roman" w:cs="Times New Roman"/>
          <w:sz w:val="24"/>
          <w:szCs w:val="24"/>
        </w:rPr>
        <w:t>, 279–300. https://doi.org/10.1146/annurev-nutr-061021-030404</w:t>
      </w:r>
    </w:p>
    <w:p w14:paraId="1368CBB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Sangkhae, V., Yu, V., Coffey, R., O'Brien, K. O., Ganz, T., &amp; Nemeth, E. (2022). Erythroferrone contributes to iron mobilization for embryo erythropoiesis in iron-deficient mouse pregnancies. </w:t>
      </w:r>
      <w:r w:rsidRPr="00B0245D">
        <w:rPr>
          <w:rFonts w:ascii="Times New Roman" w:eastAsia="Times New Roman" w:hAnsi="Times New Roman" w:cs="Times New Roman"/>
          <w:i/>
          <w:iCs/>
          <w:sz w:val="24"/>
          <w:szCs w:val="24"/>
        </w:rPr>
        <w:t>American journal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97</w:t>
      </w:r>
      <w:r w:rsidRPr="00B0245D">
        <w:rPr>
          <w:rFonts w:ascii="Times New Roman" w:eastAsia="Times New Roman" w:hAnsi="Times New Roman" w:cs="Times New Roman"/>
          <w:sz w:val="24"/>
          <w:szCs w:val="24"/>
        </w:rPr>
        <w:t>(10), 1348–1358. https://doi.org/10.1002/ajh.26680</w:t>
      </w:r>
    </w:p>
    <w:p w14:paraId="365CF92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Cooper, R. A., Arner, E. C., Wiley, J. S., &amp; </w:t>
      </w:r>
      <w:proofErr w:type="spellStart"/>
      <w:r w:rsidRPr="00B0245D">
        <w:rPr>
          <w:rFonts w:ascii="Times New Roman" w:eastAsia="Times New Roman" w:hAnsi="Times New Roman" w:cs="Times New Roman"/>
          <w:sz w:val="24"/>
          <w:szCs w:val="24"/>
        </w:rPr>
        <w:t>Shattil</w:t>
      </w:r>
      <w:proofErr w:type="spellEnd"/>
      <w:r w:rsidRPr="00B0245D">
        <w:rPr>
          <w:rFonts w:ascii="Times New Roman" w:eastAsia="Times New Roman" w:hAnsi="Times New Roman" w:cs="Times New Roman"/>
          <w:sz w:val="24"/>
          <w:szCs w:val="24"/>
        </w:rPr>
        <w:t xml:space="preserve">, S. J. (1975). Modification of red cell membrane structure by cholesterol-rich lipid dispersions. A model for the primary spur cell defect. </w:t>
      </w:r>
      <w:r w:rsidRPr="00B0245D">
        <w:rPr>
          <w:rFonts w:ascii="Times New Roman" w:eastAsia="Times New Roman" w:hAnsi="Times New Roman" w:cs="Times New Roman"/>
          <w:i/>
          <w:iCs/>
          <w:sz w:val="24"/>
          <w:szCs w:val="24"/>
        </w:rPr>
        <w:t>The Journal of clinical investigation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55</w:t>
      </w:r>
      <w:r w:rsidRPr="00B0245D">
        <w:rPr>
          <w:rFonts w:ascii="Times New Roman" w:eastAsia="Times New Roman" w:hAnsi="Times New Roman" w:cs="Times New Roman"/>
          <w:sz w:val="24"/>
          <w:szCs w:val="24"/>
        </w:rPr>
        <w:t>(1), 115–126. https://doi.org/10.1172/JCI107901</w:t>
      </w:r>
    </w:p>
    <w:p w14:paraId="27CE87A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Gold, J. C., &amp; Phillips, M. C. (1992). Effects of membrane lipids and -proteins and cytoskeletal proteins on the kinetics of cholesterol exchange between high density lipoprotein and human red blood cells, ghosts and </w:t>
      </w:r>
      <w:proofErr w:type="spellStart"/>
      <w:r w:rsidRPr="00B0245D">
        <w:rPr>
          <w:rFonts w:ascii="Times New Roman" w:eastAsia="Times New Roman" w:hAnsi="Times New Roman" w:cs="Times New Roman"/>
          <w:sz w:val="24"/>
          <w:szCs w:val="24"/>
        </w:rPr>
        <w:t>microvesicles</w:t>
      </w:r>
      <w:proofErr w:type="spellEnd"/>
      <w:r w:rsidRPr="00B0245D">
        <w:rPr>
          <w:rFonts w:ascii="Times New Roman" w:eastAsia="Times New Roman" w:hAnsi="Times New Roman" w:cs="Times New Roman"/>
          <w:sz w:val="24"/>
          <w:szCs w:val="24"/>
        </w:rPr>
        <w:t xml:space="preserve">. </w:t>
      </w:r>
      <w:proofErr w:type="spellStart"/>
      <w:r w:rsidRPr="00B0245D">
        <w:rPr>
          <w:rFonts w:ascii="Times New Roman" w:eastAsia="Times New Roman" w:hAnsi="Times New Roman" w:cs="Times New Roman"/>
          <w:i/>
          <w:iCs/>
          <w:sz w:val="24"/>
          <w:szCs w:val="24"/>
        </w:rPr>
        <w:t>Biochimica</w:t>
      </w:r>
      <w:proofErr w:type="spellEnd"/>
      <w:r w:rsidRPr="00B0245D">
        <w:rPr>
          <w:rFonts w:ascii="Times New Roman" w:eastAsia="Times New Roman" w:hAnsi="Times New Roman" w:cs="Times New Roman"/>
          <w:i/>
          <w:iCs/>
          <w:sz w:val="24"/>
          <w:szCs w:val="24"/>
        </w:rPr>
        <w:t xml:space="preserve"> et </w:t>
      </w:r>
      <w:proofErr w:type="spellStart"/>
      <w:r w:rsidRPr="00B0245D">
        <w:rPr>
          <w:rFonts w:ascii="Times New Roman" w:eastAsia="Times New Roman" w:hAnsi="Times New Roman" w:cs="Times New Roman"/>
          <w:i/>
          <w:iCs/>
          <w:sz w:val="24"/>
          <w:szCs w:val="24"/>
        </w:rPr>
        <w:t>biophysica</w:t>
      </w:r>
      <w:proofErr w:type="spellEnd"/>
      <w:r w:rsidRPr="00B0245D">
        <w:rPr>
          <w:rFonts w:ascii="Times New Roman" w:eastAsia="Times New Roman" w:hAnsi="Times New Roman" w:cs="Times New Roman"/>
          <w:i/>
          <w:iCs/>
          <w:sz w:val="24"/>
          <w:szCs w:val="24"/>
        </w:rPr>
        <w:t xml:space="preserve"> acta</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1111</w:t>
      </w:r>
      <w:r w:rsidRPr="00B0245D">
        <w:rPr>
          <w:rFonts w:ascii="Times New Roman" w:eastAsia="Times New Roman" w:hAnsi="Times New Roman" w:cs="Times New Roman"/>
          <w:sz w:val="24"/>
          <w:szCs w:val="24"/>
        </w:rPr>
        <w:t>(1), 103–110. https://doi.org/10.1016/0005-2736(92)90279-u</w:t>
      </w:r>
    </w:p>
    <w:p w14:paraId="39363C7A"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Pazos, M., Sperling, R. S., Moran, T. M., &amp; Kraus, T. A. (2012). The influence of pregnancy on systemic immunity. </w:t>
      </w:r>
      <w:r w:rsidRPr="00B0245D">
        <w:rPr>
          <w:rFonts w:ascii="Times New Roman" w:eastAsia="Times New Roman" w:hAnsi="Times New Roman" w:cs="Times New Roman"/>
          <w:i/>
          <w:iCs/>
          <w:sz w:val="24"/>
          <w:szCs w:val="24"/>
        </w:rPr>
        <w:t>Immunologic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54</w:t>
      </w:r>
      <w:r w:rsidRPr="00B0245D">
        <w:rPr>
          <w:rFonts w:ascii="Times New Roman" w:eastAsia="Times New Roman" w:hAnsi="Times New Roman" w:cs="Times New Roman"/>
          <w:sz w:val="24"/>
          <w:szCs w:val="24"/>
        </w:rPr>
        <w:t>(1-3), 254–261. https://doi.org/10.1007/s12026-012-8303-9</w:t>
      </w:r>
    </w:p>
    <w:p w14:paraId="70BADA0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Gebreweld</w:t>
      </w:r>
      <w:proofErr w:type="spellEnd"/>
      <w:r w:rsidRPr="00B0245D">
        <w:rPr>
          <w:rFonts w:ascii="Times New Roman" w:eastAsia="Times New Roman" w:hAnsi="Times New Roman" w:cs="Times New Roman"/>
          <w:sz w:val="24"/>
          <w:szCs w:val="24"/>
        </w:rPr>
        <w:t xml:space="preserve">, A., Bekele, D., &amp; Tsegaye, A. (2018). Hematological profile of pregnant women at St. Paul's Hospital Millennium Medical College, Addis Ababa, Ethiopia. </w:t>
      </w:r>
      <w:r w:rsidRPr="00B0245D">
        <w:rPr>
          <w:rFonts w:ascii="Times New Roman" w:eastAsia="Times New Roman" w:hAnsi="Times New Roman" w:cs="Times New Roman"/>
          <w:i/>
          <w:iCs/>
          <w:sz w:val="24"/>
          <w:szCs w:val="24"/>
        </w:rPr>
        <w:t>BMC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18</w:t>
      </w:r>
      <w:r w:rsidRPr="00B0245D">
        <w:rPr>
          <w:rFonts w:ascii="Times New Roman" w:eastAsia="Times New Roman" w:hAnsi="Times New Roman" w:cs="Times New Roman"/>
          <w:sz w:val="24"/>
          <w:szCs w:val="24"/>
        </w:rPr>
        <w:t>, 15. https://doi.org/10.1186/s12878-018-0111-6</w:t>
      </w:r>
    </w:p>
    <w:p w14:paraId="4B4A2F5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Brown, E. G., Mendoza, G. J., Chervenak, F. A., Karmel, B. Z., Krouskop, R. W., LeBlanc, M. H., Winslow, R. M., &amp; Moll, G. W., Jr (1990). The relationship of maternal erythrocyte oxygen transport parameters to intrauterine growth retardation.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162</w:t>
      </w:r>
      <w:r w:rsidRPr="00B0245D">
        <w:rPr>
          <w:rFonts w:ascii="Times New Roman" w:eastAsia="Times New Roman" w:hAnsi="Times New Roman" w:cs="Times New Roman"/>
          <w:sz w:val="24"/>
          <w:szCs w:val="24"/>
        </w:rPr>
        <w:t>(1), 223–229. https://doi.org/10.1016/0002-9378(90)90855-2</w:t>
      </w:r>
    </w:p>
    <w:p w14:paraId="78078B8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Brown, E. G., Mendoza, G. J., Chervenak, F. A., Karmel, B. Z., Krouskop, R. W., LeBlanc, M. H., Winslow, R. M., &amp; Moll, G. W., Jr (1990). The relationship of maternal erythrocyte oxygen transport parameters to intrauterine growth retardation.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162</w:t>
      </w:r>
      <w:r w:rsidRPr="00B0245D">
        <w:rPr>
          <w:rFonts w:ascii="Times New Roman" w:eastAsia="Times New Roman" w:hAnsi="Times New Roman" w:cs="Times New Roman"/>
          <w:sz w:val="24"/>
          <w:szCs w:val="24"/>
        </w:rPr>
        <w:t>(1), 223–229. https://doi.org/10.1016/0002-9378(90)90855-2</w:t>
      </w:r>
    </w:p>
    <w:p w14:paraId="548183BA"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Jee, S. B., &amp; Sawal, A. (2024). Physiological Changes in Pregnant Women Due to Hormonal Changes. </w:t>
      </w:r>
      <w:r w:rsidRPr="00B0245D">
        <w:rPr>
          <w:rFonts w:ascii="Times New Roman" w:eastAsia="Times New Roman" w:hAnsi="Times New Roman" w:cs="Times New Roman"/>
          <w:i/>
          <w:iCs/>
          <w:sz w:val="24"/>
          <w:szCs w:val="24"/>
        </w:rPr>
        <w:t>Cureus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(3), e55544. https://doi.org/10.7759/cureus.55544</w:t>
      </w:r>
    </w:p>
    <w:p w14:paraId="07A758C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Giardina, B., Scatena, R., Clementi, M. E., Cerroni, L., Nuutinen, M., Brix, O., Sletten, S. N., Castagnola, M., &amp; </w:t>
      </w:r>
      <w:proofErr w:type="spellStart"/>
      <w:r w:rsidRPr="00B0245D">
        <w:rPr>
          <w:rFonts w:ascii="Times New Roman" w:eastAsia="Times New Roman" w:hAnsi="Times New Roman" w:cs="Times New Roman"/>
          <w:sz w:val="24"/>
          <w:szCs w:val="24"/>
        </w:rPr>
        <w:t>Condò</w:t>
      </w:r>
      <w:proofErr w:type="spellEnd"/>
      <w:r w:rsidRPr="00B0245D">
        <w:rPr>
          <w:rFonts w:ascii="Times New Roman" w:eastAsia="Times New Roman" w:hAnsi="Times New Roman" w:cs="Times New Roman"/>
          <w:sz w:val="24"/>
          <w:szCs w:val="24"/>
        </w:rPr>
        <w:t xml:space="preserve">, S. G. (1993). Physiological relevance of the overall delta H of oxygen binding to fetal human hemoglobin. </w:t>
      </w:r>
      <w:r w:rsidRPr="00B0245D">
        <w:rPr>
          <w:rFonts w:ascii="Times New Roman" w:eastAsia="Times New Roman" w:hAnsi="Times New Roman" w:cs="Times New Roman"/>
          <w:i/>
          <w:iCs/>
          <w:sz w:val="24"/>
          <w:szCs w:val="24"/>
        </w:rPr>
        <w:t>Journal of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229</w:t>
      </w:r>
      <w:r w:rsidRPr="00B0245D">
        <w:rPr>
          <w:rFonts w:ascii="Times New Roman" w:eastAsia="Times New Roman" w:hAnsi="Times New Roman" w:cs="Times New Roman"/>
          <w:sz w:val="24"/>
          <w:szCs w:val="24"/>
        </w:rPr>
        <w:t>(2), 512–516. https://doi.org/10.1006/jmbi.1993.1050</w:t>
      </w:r>
    </w:p>
    <w:p w14:paraId="3A068F5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Haase V. H. (2017). Therapeutic targeting of the HIF oxygen-sensing pathway: Lessons learned from clinical studies. </w:t>
      </w:r>
      <w:r w:rsidRPr="00B0245D">
        <w:rPr>
          <w:rFonts w:ascii="Times New Roman" w:eastAsia="Times New Roman" w:hAnsi="Times New Roman" w:cs="Times New Roman"/>
          <w:i/>
          <w:iCs/>
          <w:sz w:val="24"/>
          <w:szCs w:val="24"/>
        </w:rPr>
        <w:t>Experimental cell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356</w:t>
      </w:r>
      <w:r w:rsidRPr="00B0245D">
        <w:rPr>
          <w:rFonts w:ascii="Times New Roman" w:eastAsia="Times New Roman" w:hAnsi="Times New Roman" w:cs="Times New Roman"/>
          <w:sz w:val="24"/>
          <w:szCs w:val="24"/>
        </w:rPr>
        <w:t>(2), 160–165. https://doi.org/10.1016/j.yexcr.2017.05.004</w:t>
      </w:r>
    </w:p>
    <w:p w14:paraId="28B58812"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Shah, Y. M., &amp; Xie, L. (2014). Hypoxia-inducible factors link iron homeostasis and erythropoiesis. </w:t>
      </w:r>
      <w:r w:rsidRPr="00B0245D">
        <w:rPr>
          <w:rFonts w:ascii="Times New Roman" w:eastAsia="Times New Roman" w:hAnsi="Times New Roman" w:cs="Times New Roman"/>
          <w:i/>
          <w:iCs/>
          <w:sz w:val="24"/>
          <w:szCs w:val="24"/>
        </w:rPr>
        <w:t>Gastroenterology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146</w:t>
      </w:r>
      <w:r w:rsidRPr="00B0245D">
        <w:rPr>
          <w:rFonts w:ascii="Times New Roman" w:eastAsia="Times New Roman" w:hAnsi="Times New Roman" w:cs="Times New Roman"/>
          <w:sz w:val="24"/>
          <w:szCs w:val="24"/>
        </w:rPr>
        <w:t>(3), 630–642. https://doi.org/10.1053/j.gastro.2013.12.031</w:t>
      </w:r>
    </w:p>
    <w:p w14:paraId="5731EC5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Ahmed A. (2021). </w:t>
      </w:r>
      <w:proofErr w:type="spellStart"/>
      <w:r w:rsidRPr="00B0245D">
        <w:rPr>
          <w:rFonts w:ascii="Times New Roman" w:eastAsia="Times New Roman" w:hAnsi="Times New Roman" w:cs="Times New Roman"/>
          <w:sz w:val="24"/>
          <w:szCs w:val="24"/>
        </w:rPr>
        <w:t>Fetomaternal</w:t>
      </w:r>
      <w:proofErr w:type="spellEnd"/>
      <w:r w:rsidRPr="00B0245D">
        <w:rPr>
          <w:rFonts w:ascii="Times New Roman" w:eastAsia="Times New Roman" w:hAnsi="Times New Roman" w:cs="Times New Roman"/>
          <w:sz w:val="24"/>
          <w:szCs w:val="24"/>
        </w:rPr>
        <w:t xml:space="preserve"> Acid-Base Balance and Electrolytes during Pregnancy. </w:t>
      </w:r>
      <w:r w:rsidRPr="00B0245D">
        <w:rPr>
          <w:rFonts w:ascii="Times New Roman" w:eastAsia="Times New Roman" w:hAnsi="Times New Roman" w:cs="Times New Roman"/>
          <w:i/>
          <w:iCs/>
          <w:sz w:val="24"/>
          <w:szCs w:val="24"/>
        </w:rPr>
        <w:t xml:space="preserve">Indian journal of critical care </w:t>
      </w:r>
      <w:proofErr w:type="gramStart"/>
      <w:r w:rsidRPr="00B0245D">
        <w:rPr>
          <w:rFonts w:ascii="Times New Roman" w:eastAsia="Times New Roman" w:hAnsi="Times New Roman" w:cs="Times New Roman"/>
          <w:i/>
          <w:iCs/>
          <w:sz w:val="24"/>
          <w:szCs w:val="24"/>
        </w:rPr>
        <w:t>medicine :</w:t>
      </w:r>
      <w:proofErr w:type="gramEnd"/>
      <w:r w:rsidRPr="00B0245D">
        <w:rPr>
          <w:rFonts w:ascii="Times New Roman" w:eastAsia="Times New Roman" w:hAnsi="Times New Roman" w:cs="Times New Roman"/>
          <w:i/>
          <w:iCs/>
          <w:sz w:val="24"/>
          <w:szCs w:val="24"/>
        </w:rPr>
        <w:t xml:space="preserve"> peer-reviewed, official publication of Indian Society of Critical Care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(Suppl 3), S193–S199. https://doi.org/10.5005/jp-journals-10071-24030</w:t>
      </w:r>
    </w:p>
    <w:p w14:paraId="31456CC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Rachid, J. R., Vu, J., Liu, S. N., Panahi, S., Badhan, N. S., Holody, C. D., Roshmi, R. R., </w:t>
      </w:r>
      <w:proofErr w:type="spellStart"/>
      <w:r w:rsidRPr="00B0245D">
        <w:rPr>
          <w:rFonts w:ascii="Times New Roman" w:eastAsia="Times New Roman" w:hAnsi="Times New Roman" w:cs="Times New Roman"/>
          <w:sz w:val="24"/>
          <w:szCs w:val="24"/>
        </w:rPr>
        <w:t>Wiedemeyer</w:t>
      </w:r>
      <w:proofErr w:type="spellEnd"/>
      <w:r w:rsidRPr="00B0245D">
        <w:rPr>
          <w:rFonts w:ascii="Times New Roman" w:eastAsia="Times New Roman" w:hAnsi="Times New Roman" w:cs="Times New Roman"/>
          <w:sz w:val="24"/>
          <w:szCs w:val="24"/>
        </w:rPr>
        <w:t xml:space="preserve">, A. R., Noble, R. M. N., &amp; Bourque, S. L. (2025). Effects of iron deficiency </w:t>
      </w:r>
      <w:proofErr w:type="spellStart"/>
      <w:r w:rsidRPr="00B0245D">
        <w:rPr>
          <w:rFonts w:ascii="Times New Roman" w:eastAsia="Times New Roman" w:hAnsi="Times New Roman" w:cs="Times New Roman"/>
          <w:sz w:val="24"/>
          <w:szCs w:val="24"/>
        </w:rPr>
        <w:t>anaemia</w:t>
      </w:r>
      <w:proofErr w:type="spellEnd"/>
      <w:r w:rsidRPr="00B0245D">
        <w:rPr>
          <w:rFonts w:ascii="Times New Roman" w:eastAsia="Times New Roman" w:hAnsi="Times New Roman" w:cs="Times New Roman"/>
          <w:sz w:val="24"/>
          <w:szCs w:val="24"/>
        </w:rPr>
        <w:t xml:space="preserve"> on maternal </w:t>
      </w:r>
      <w:proofErr w:type="spellStart"/>
      <w:r w:rsidRPr="00B0245D">
        <w:rPr>
          <w:rFonts w:ascii="Times New Roman" w:eastAsia="Times New Roman" w:hAnsi="Times New Roman" w:cs="Times New Roman"/>
          <w:sz w:val="24"/>
          <w:szCs w:val="24"/>
        </w:rPr>
        <w:t>haemodynamics</w:t>
      </w:r>
      <w:proofErr w:type="spellEnd"/>
      <w:r w:rsidRPr="00B0245D">
        <w:rPr>
          <w:rFonts w:ascii="Times New Roman" w:eastAsia="Times New Roman" w:hAnsi="Times New Roman" w:cs="Times New Roman"/>
          <w:sz w:val="24"/>
          <w:szCs w:val="24"/>
        </w:rPr>
        <w:t xml:space="preserve"> and cardiac function in pregnant spontaneously hypertensive rats. </w:t>
      </w:r>
      <w:r w:rsidRPr="00B0245D">
        <w:rPr>
          <w:rFonts w:ascii="Times New Roman" w:eastAsia="Times New Roman" w:hAnsi="Times New Roman" w:cs="Times New Roman"/>
          <w:i/>
          <w:iCs/>
          <w:sz w:val="24"/>
          <w:szCs w:val="24"/>
        </w:rPr>
        <w:t>Cardiovascular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121</w:t>
      </w:r>
      <w:r w:rsidRPr="00B0245D">
        <w:rPr>
          <w:rFonts w:ascii="Times New Roman" w:eastAsia="Times New Roman" w:hAnsi="Times New Roman" w:cs="Times New Roman"/>
          <w:sz w:val="24"/>
          <w:szCs w:val="24"/>
        </w:rPr>
        <w:t>(12), 1956–1968. https://doi.org/10.1093/cvr/cvaf149</w:t>
      </w:r>
    </w:p>
    <w:p w14:paraId="4F69C7B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Schauf, B., Mannschreck, B., Becker, S., Dietz, K., </w:t>
      </w:r>
      <w:proofErr w:type="spellStart"/>
      <w:r w:rsidRPr="00B0245D">
        <w:rPr>
          <w:rFonts w:ascii="Times New Roman" w:eastAsia="Times New Roman" w:hAnsi="Times New Roman" w:cs="Times New Roman"/>
          <w:sz w:val="24"/>
          <w:szCs w:val="24"/>
        </w:rPr>
        <w:t>Wallwiener</w:t>
      </w:r>
      <w:proofErr w:type="spellEnd"/>
      <w:r w:rsidRPr="00B0245D">
        <w:rPr>
          <w:rFonts w:ascii="Times New Roman" w:eastAsia="Times New Roman" w:hAnsi="Times New Roman" w:cs="Times New Roman"/>
          <w:sz w:val="24"/>
          <w:szCs w:val="24"/>
        </w:rPr>
        <w:t xml:space="preserve">, D., &amp; </w:t>
      </w:r>
      <w:proofErr w:type="spellStart"/>
      <w:r w:rsidRPr="00B0245D">
        <w:rPr>
          <w:rFonts w:ascii="Times New Roman" w:eastAsia="Times New Roman" w:hAnsi="Times New Roman" w:cs="Times New Roman"/>
          <w:sz w:val="24"/>
          <w:szCs w:val="24"/>
        </w:rPr>
        <w:t>Aydeniz</w:t>
      </w:r>
      <w:proofErr w:type="spellEnd"/>
      <w:r w:rsidRPr="00B0245D">
        <w:rPr>
          <w:rFonts w:ascii="Times New Roman" w:eastAsia="Times New Roman" w:hAnsi="Times New Roman" w:cs="Times New Roman"/>
          <w:sz w:val="24"/>
          <w:szCs w:val="24"/>
        </w:rPr>
        <w:t xml:space="preserve">, B. (2004). Evaluation of red blood cell deformability and uterine blood flow in pregnant women with preeclampsia or </w:t>
      </w:r>
      <w:proofErr w:type="spellStart"/>
      <w:r w:rsidRPr="00B0245D">
        <w:rPr>
          <w:rFonts w:ascii="Times New Roman" w:eastAsia="Times New Roman" w:hAnsi="Times New Roman" w:cs="Times New Roman"/>
          <w:sz w:val="24"/>
          <w:szCs w:val="24"/>
        </w:rPr>
        <w:t>iugr</w:t>
      </w:r>
      <w:proofErr w:type="spellEnd"/>
      <w:r w:rsidRPr="00B0245D">
        <w:rPr>
          <w:rFonts w:ascii="Times New Roman" w:eastAsia="Times New Roman" w:hAnsi="Times New Roman" w:cs="Times New Roman"/>
          <w:sz w:val="24"/>
          <w:szCs w:val="24"/>
        </w:rPr>
        <w:t xml:space="preserve"> and reduced uterine blood flow following the intravenous application of magnesium. </w:t>
      </w:r>
      <w:r w:rsidRPr="00B0245D">
        <w:rPr>
          <w:rFonts w:ascii="Times New Roman" w:eastAsia="Times New Roman" w:hAnsi="Times New Roman" w:cs="Times New Roman"/>
          <w:i/>
          <w:iCs/>
          <w:sz w:val="24"/>
          <w:szCs w:val="24"/>
        </w:rPr>
        <w:t>Hypertension in pregnancy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23</w:t>
      </w:r>
      <w:r w:rsidRPr="00B0245D">
        <w:rPr>
          <w:rFonts w:ascii="Times New Roman" w:eastAsia="Times New Roman" w:hAnsi="Times New Roman" w:cs="Times New Roman"/>
          <w:sz w:val="24"/>
          <w:szCs w:val="24"/>
        </w:rPr>
        <w:t>(3), 331–343. https://doi.org/10.1081/PRG-200030319</w:t>
      </w:r>
    </w:p>
    <w:p w14:paraId="282043C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Li, H., &amp; </w:t>
      </w:r>
      <w:proofErr w:type="spellStart"/>
      <w:r w:rsidRPr="00B0245D">
        <w:rPr>
          <w:rFonts w:ascii="Times New Roman" w:eastAsia="Times New Roman" w:hAnsi="Times New Roman" w:cs="Times New Roman"/>
          <w:sz w:val="24"/>
          <w:szCs w:val="24"/>
        </w:rPr>
        <w:t>Lykotrafitis</w:t>
      </w:r>
      <w:proofErr w:type="spellEnd"/>
      <w:r w:rsidRPr="00B0245D">
        <w:rPr>
          <w:rFonts w:ascii="Times New Roman" w:eastAsia="Times New Roman" w:hAnsi="Times New Roman" w:cs="Times New Roman"/>
          <w:sz w:val="24"/>
          <w:szCs w:val="24"/>
        </w:rPr>
        <w:t xml:space="preserve">, G. (2014). Erythrocyte membrane model with explicit description of the lipid bilayer and the </w:t>
      </w:r>
      <w:proofErr w:type="spellStart"/>
      <w:r w:rsidRPr="00B0245D">
        <w:rPr>
          <w:rFonts w:ascii="Times New Roman" w:eastAsia="Times New Roman" w:hAnsi="Times New Roman" w:cs="Times New Roman"/>
          <w:sz w:val="24"/>
          <w:szCs w:val="24"/>
        </w:rPr>
        <w:t>spectrin</w:t>
      </w:r>
      <w:proofErr w:type="spellEnd"/>
      <w:r w:rsidRPr="00B0245D">
        <w:rPr>
          <w:rFonts w:ascii="Times New Roman" w:eastAsia="Times New Roman" w:hAnsi="Times New Roman" w:cs="Times New Roman"/>
          <w:sz w:val="24"/>
          <w:szCs w:val="24"/>
        </w:rPr>
        <w:t xml:space="preserve"> network. </w:t>
      </w:r>
      <w:r w:rsidRPr="00B0245D">
        <w:rPr>
          <w:rFonts w:ascii="Times New Roman" w:eastAsia="Times New Roman" w:hAnsi="Times New Roman" w:cs="Times New Roman"/>
          <w:i/>
          <w:iCs/>
          <w:sz w:val="24"/>
          <w:szCs w:val="24"/>
        </w:rPr>
        <w:t>Biophysical journal</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107</w:t>
      </w:r>
      <w:r w:rsidRPr="00B0245D">
        <w:rPr>
          <w:rFonts w:ascii="Times New Roman" w:eastAsia="Times New Roman" w:hAnsi="Times New Roman" w:cs="Times New Roman"/>
          <w:sz w:val="24"/>
          <w:szCs w:val="24"/>
        </w:rPr>
        <w:t>(3), 642–653. https://doi.org/10.1016/j.bpj.2014.06.031</w:t>
      </w:r>
    </w:p>
    <w:p w14:paraId="78D5D46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Saadat, N., </w:t>
      </w:r>
      <w:proofErr w:type="spellStart"/>
      <w:r w:rsidRPr="00B0245D">
        <w:rPr>
          <w:rFonts w:ascii="Times New Roman" w:eastAsia="Times New Roman" w:hAnsi="Times New Roman" w:cs="Times New Roman"/>
          <w:sz w:val="24"/>
          <w:szCs w:val="24"/>
        </w:rPr>
        <w:t>Aguate</w:t>
      </w:r>
      <w:proofErr w:type="spellEnd"/>
      <w:r w:rsidRPr="00B0245D">
        <w:rPr>
          <w:rFonts w:ascii="Times New Roman" w:eastAsia="Times New Roman" w:hAnsi="Times New Roman" w:cs="Times New Roman"/>
          <w:sz w:val="24"/>
          <w:szCs w:val="24"/>
        </w:rPr>
        <w:t xml:space="preserve">, F., Nowak, A. L., Hyer, S., Lin, A. B., Decot, H., Koch, H., Walker, D. S., Lydic, T., Padmanabhan, V., Campos, G. L., Misra, D., &amp; Giurgescu, C. (2024). Changes in Lipid Profiles with the Progression of Pregnancy in Black Women. </w:t>
      </w:r>
      <w:r w:rsidRPr="00B0245D">
        <w:rPr>
          <w:rFonts w:ascii="Times New Roman" w:eastAsia="Times New Roman" w:hAnsi="Times New Roman" w:cs="Times New Roman"/>
          <w:i/>
          <w:iCs/>
          <w:sz w:val="24"/>
          <w:szCs w:val="24"/>
        </w:rPr>
        <w:t>Journal of clinical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(10), 2795. https://doi.org/10.3390/jcm13102795</w:t>
      </w:r>
    </w:p>
    <w:p w14:paraId="3E4277D1"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Gallagher P. G. (2017). Disorders of erythrocyte hydration. </w:t>
      </w:r>
      <w:r w:rsidRPr="00B0245D">
        <w:rPr>
          <w:rFonts w:ascii="Times New Roman" w:eastAsia="Times New Roman" w:hAnsi="Times New Roman" w:cs="Times New Roman"/>
          <w:i/>
          <w:iCs/>
          <w:sz w:val="24"/>
          <w:szCs w:val="24"/>
        </w:rPr>
        <w:t>Blood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130</w:t>
      </w:r>
      <w:r w:rsidRPr="00B0245D">
        <w:rPr>
          <w:rFonts w:ascii="Times New Roman" w:eastAsia="Times New Roman" w:hAnsi="Times New Roman" w:cs="Times New Roman"/>
          <w:sz w:val="24"/>
          <w:szCs w:val="24"/>
        </w:rPr>
        <w:t>(25), 2699–2708. https://doi.org/10.1182/blood-2017-04-590810</w:t>
      </w:r>
    </w:p>
    <w:p w14:paraId="16FB654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Grzeszczak, K., </w:t>
      </w:r>
      <w:proofErr w:type="spellStart"/>
      <w:r w:rsidRPr="00B0245D">
        <w:rPr>
          <w:rFonts w:ascii="Times New Roman" w:eastAsia="Times New Roman" w:hAnsi="Times New Roman" w:cs="Times New Roman"/>
          <w:sz w:val="24"/>
          <w:szCs w:val="24"/>
        </w:rPr>
        <w:t>Łanocha-Arendarczyk</w:t>
      </w:r>
      <w:proofErr w:type="spellEnd"/>
      <w:r w:rsidRPr="00B0245D">
        <w:rPr>
          <w:rFonts w:ascii="Times New Roman" w:eastAsia="Times New Roman" w:hAnsi="Times New Roman" w:cs="Times New Roman"/>
          <w:sz w:val="24"/>
          <w:szCs w:val="24"/>
        </w:rPr>
        <w:t xml:space="preserve">, N., Malinowski, W., Ziętek, P., &amp; Kosik-Bogacka, D. (2023). Oxidative Stress in Pregnancy. </w:t>
      </w:r>
      <w:r w:rsidRPr="00B0245D">
        <w:rPr>
          <w:rFonts w:ascii="Times New Roman" w:eastAsia="Times New Roman" w:hAnsi="Times New Roman" w:cs="Times New Roman"/>
          <w:i/>
          <w:iCs/>
          <w:sz w:val="24"/>
          <w:szCs w:val="24"/>
        </w:rPr>
        <w:t>Biomolecules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(12), 1768. https://doi.org/10.3390/biom13121768</w:t>
      </w:r>
    </w:p>
    <w:p w14:paraId="4568C17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Assani, A. D.,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Siloși</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M. V., Dijmărescu, A. L., Assani, M. Z., </w:t>
      </w:r>
      <w:proofErr w:type="spellStart"/>
      <w:r w:rsidRPr="00B0245D">
        <w:rPr>
          <w:rFonts w:ascii="Times New Roman" w:eastAsia="Times New Roman" w:hAnsi="Times New Roman" w:cs="Times New Roman"/>
          <w:sz w:val="24"/>
          <w:szCs w:val="24"/>
        </w:rPr>
        <w:t>Manolea</w:t>
      </w:r>
      <w:proofErr w:type="spellEnd"/>
      <w:r w:rsidRPr="00B0245D">
        <w:rPr>
          <w:rFonts w:ascii="Times New Roman" w:eastAsia="Times New Roman" w:hAnsi="Times New Roman" w:cs="Times New Roman"/>
          <w:sz w:val="24"/>
          <w:szCs w:val="24"/>
        </w:rPr>
        <w:t xml:space="preserve">, M. M., &amp; Văduva, C. C. (2025). Pregnancy Under Pressure: Oxidative Stress as a Common Thread in Maternal Disorders. </w:t>
      </w:r>
      <w:r w:rsidRPr="00B0245D">
        <w:rPr>
          <w:rFonts w:ascii="Times New Roman" w:eastAsia="Times New Roman" w:hAnsi="Times New Roman" w:cs="Times New Roman"/>
          <w:i/>
          <w:iCs/>
          <w:sz w:val="24"/>
          <w:szCs w:val="24"/>
        </w:rPr>
        <w:t>Life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(9), 1348. https://doi.org/10.3390/life15091348</w:t>
      </w:r>
    </w:p>
    <w:p w14:paraId="5ED2AAF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Tsikouras</w:t>
      </w:r>
      <w:proofErr w:type="spellEnd"/>
      <w:r w:rsidRPr="00B0245D">
        <w:rPr>
          <w:rFonts w:ascii="Times New Roman" w:eastAsia="Times New Roman" w:hAnsi="Times New Roman" w:cs="Times New Roman"/>
          <w:sz w:val="24"/>
          <w:szCs w:val="24"/>
        </w:rPr>
        <w:t xml:space="preserve">, P., </w:t>
      </w:r>
      <w:proofErr w:type="spellStart"/>
      <w:r w:rsidRPr="00B0245D">
        <w:rPr>
          <w:rFonts w:ascii="Times New Roman" w:eastAsia="Times New Roman" w:hAnsi="Times New Roman" w:cs="Times New Roman"/>
          <w:sz w:val="24"/>
          <w:szCs w:val="24"/>
        </w:rPr>
        <w:t>Niesigk</w:t>
      </w:r>
      <w:proofErr w:type="spellEnd"/>
      <w:r w:rsidRPr="00B0245D">
        <w:rPr>
          <w:rFonts w:ascii="Times New Roman" w:eastAsia="Times New Roman" w:hAnsi="Times New Roman" w:cs="Times New Roman"/>
          <w:sz w:val="24"/>
          <w:szCs w:val="24"/>
        </w:rPr>
        <w:t xml:space="preserve">, B., von Tempelhoff, G. F., Rath, W., Schelkunov, O., Daragó, P., &amp; Csorba, R. (2018). Blood rheology during normal pregnancy. </w:t>
      </w:r>
      <w:r w:rsidRPr="00B0245D">
        <w:rPr>
          <w:rFonts w:ascii="Times New Roman" w:eastAsia="Times New Roman" w:hAnsi="Times New Roman" w:cs="Times New Roman"/>
          <w:i/>
          <w:iCs/>
          <w:sz w:val="24"/>
          <w:szCs w:val="24"/>
        </w:rPr>
        <w:t>Clinical hemorheology and microcirculation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69</w:t>
      </w:r>
      <w:r w:rsidRPr="00B0245D">
        <w:rPr>
          <w:rFonts w:ascii="Times New Roman" w:eastAsia="Times New Roman" w:hAnsi="Times New Roman" w:cs="Times New Roman"/>
          <w:sz w:val="24"/>
          <w:szCs w:val="24"/>
        </w:rPr>
        <w:t>(1-2), 101–114. https://doi.org/10.3233/CH-189104</w:t>
      </w:r>
    </w:p>
    <w:p w14:paraId="52F5195F"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Parrow, N. L., Violet, P. C., Tu, H., Nichols, J., Pittman, C. A., Fitzhugh, C., Fleming, R. E., Mohandas, N., Tisdale, J. F., &amp; Levine, M. (2018). Measuring Deformability and Red Cell Heterogeneity in Blood by Ektacytometry. </w:t>
      </w:r>
      <w:r w:rsidRPr="00B0245D">
        <w:rPr>
          <w:rFonts w:ascii="Times New Roman" w:eastAsia="Times New Roman" w:hAnsi="Times New Roman" w:cs="Times New Roman"/>
          <w:i/>
          <w:iCs/>
          <w:sz w:val="24"/>
          <w:szCs w:val="24"/>
        </w:rPr>
        <w:t xml:space="preserve">Journal of visualized </w:t>
      </w:r>
      <w:proofErr w:type="gramStart"/>
      <w:r w:rsidRPr="00B0245D">
        <w:rPr>
          <w:rFonts w:ascii="Times New Roman" w:eastAsia="Times New Roman" w:hAnsi="Times New Roman" w:cs="Times New Roman"/>
          <w:i/>
          <w:iCs/>
          <w:sz w:val="24"/>
          <w:szCs w:val="24"/>
        </w:rPr>
        <w:t>experiments :</w:t>
      </w:r>
      <w:proofErr w:type="gram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JoVE</w:t>
      </w:r>
      <w:proofErr w:type="spellEnd"/>
      <w:r w:rsidRPr="00B0245D">
        <w:rPr>
          <w:rFonts w:ascii="Times New Roman" w:eastAsia="Times New Roman" w:hAnsi="Times New Roman" w:cs="Times New Roman"/>
          <w:sz w:val="24"/>
          <w:szCs w:val="24"/>
        </w:rPr>
        <w:t>, (131), 56910. https://doi.org/10.3791/56910</w:t>
      </w:r>
    </w:p>
    <w:p w14:paraId="1FDB3D5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Xu, Y., Yu, Z., Liu, H., Bian, X., &amp; Tang, W. (2025). Erythrocytes enhance oxygen-carrying capacity through self-regulation.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 1592176. https://doi.org/10.3389/fphys.2025.1592176</w:t>
      </w:r>
    </w:p>
    <w:p w14:paraId="38CCCE5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Tran, N., Garcia, T., Aniqa, M., Ali, S., Ally, A., &amp; </w:t>
      </w:r>
      <w:proofErr w:type="spellStart"/>
      <w:r w:rsidRPr="00B0245D">
        <w:rPr>
          <w:rFonts w:ascii="Times New Roman" w:eastAsia="Times New Roman" w:hAnsi="Times New Roman" w:cs="Times New Roman"/>
          <w:sz w:val="24"/>
          <w:szCs w:val="24"/>
        </w:rPr>
        <w:t>Nauli</w:t>
      </w:r>
      <w:proofErr w:type="spellEnd"/>
      <w:r w:rsidRPr="00B0245D">
        <w:rPr>
          <w:rFonts w:ascii="Times New Roman" w:eastAsia="Times New Roman" w:hAnsi="Times New Roman" w:cs="Times New Roman"/>
          <w:sz w:val="24"/>
          <w:szCs w:val="24"/>
        </w:rPr>
        <w:t>, S. M. (2022). Endothelial Nitric Oxide Synthase (</w:t>
      </w:r>
      <w:proofErr w:type="spellStart"/>
      <w:r w:rsidRPr="00B0245D">
        <w:rPr>
          <w:rFonts w:ascii="Times New Roman" w:eastAsia="Times New Roman" w:hAnsi="Times New Roman" w:cs="Times New Roman"/>
          <w:sz w:val="24"/>
          <w:szCs w:val="24"/>
        </w:rPr>
        <w:t>eNOS</w:t>
      </w:r>
      <w:proofErr w:type="spellEnd"/>
      <w:r w:rsidRPr="00B0245D">
        <w:rPr>
          <w:rFonts w:ascii="Times New Roman" w:eastAsia="Times New Roman" w:hAnsi="Times New Roman" w:cs="Times New Roman"/>
          <w:sz w:val="24"/>
          <w:szCs w:val="24"/>
        </w:rPr>
        <w:t xml:space="preserve">) and the Cardiovascular System: in Physiology and in Disease States. </w:t>
      </w:r>
      <w:r w:rsidRPr="00B0245D">
        <w:rPr>
          <w:rFonts w:ascii="Times New Roman" w:eastAsia="Times New Roman" w:hAnsi="Times New Roman" w:cs="Times New Roman"/>
          <w:i/>
          <w:iCs/>
          <w:sz w:val="24"/>
          <w:szCs w:val="24"/>
        </w:rPr>
        <w:t>American journal of biomedical science &amp;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 xml:space="preserve">(2), 153–177. </w:t>
      </w:r>
    </w:p>
    <w:p w14:paraId="24144E4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Boeldt, D. S., &amp; Bird, I. M. (2017). Vascular adaptation in pregnancy and endothelial dysfunction in preeclampsia. </w:t>
      </w:r>
      <w:r w:rsidRPr="00B0245D">
        <w:rPr>
          <w:rFonts w:ascii="Times New Roman" w:eastAsia="Times New Roman" w:hAnsi="Times New Roman" w:cs="Times New Roman"/>
          <w:i/>
          <w:iCs/>
          <w:sz w:val="24"/>
          <w:szCs w:val="24"/>
        </w:rPr>
        <w:t>The Journal of endocrinology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232</w:t>
      </w:r>
      <w:r w:rsidRPr="00B0245D">
        <w:rPr>
          <w:rFonts w:ascii="Times New Roman" w:eastAsia="Times New Roman" w:hAnsi="Times New Roman" w:cs="Times New Roman"/>
          <w:sz w:val="24"/>
          <w:szCs w:val="24"/>
        </w:rPr>
        <w:t>(1), R27–R44. https://doi.org/10.1530/JOE-16-0340</w:t>
      </w:r>
    </w:p>
    <w:p w14:paraId="3A0C950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Gou, Z., Zhang, H., Abbasi, M., &amp; Misbah, C. (2021). Red blood cells under flow show maximal ATP release for specific hematocrit. </w:t>
      </w:r>
      <w:r w:rsidRPr="00B0245D">
        <w:rPr>
          <w:rFonts w:ascii="Times New Roman" w:eastAsia="Times New Roman" w:hAnsi="Times New Roman" w:cs="Times New Roman"/>
          <w:i/>
          <w:iCs/>
          <w:sz w:val="24"/>
          <w:szCs w:val="24"/>
        </w:rPr>
        <w:t>Biophysical journal</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120</w:t>
      </w:r>
      <w:r w:rsidRPr="00B0245D">
        <w:rPr>
          <w:rFonts w:ascii="Times New Roman" w:eastAsia="Times New Roman" w:hAnsi="Times New Roman" w:cs="Times New Roman"/>
          <w:sz w:val="24"/>
          <w:szCs w:val="24"/>
        </w:rPr>
        <w:t>(21), 4819–4831. https://doi.org/10.1016/j.bpj.2021.09.025</w:t>
      </w:r>
    </w:p>
    <w:p w14:paraId="0FBDD1B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Yamaguchi, T., &amp; Fukuzaki, S. (2019). ATP effects on response of human erythrocyte membrane to high pressure. </w:t>
      </w:r>
      <w:r w:rsidRPr="00B0245D">
        <w:rPr>
          <w:rFonts w:ascii="Times New Roman" w:eastAsia="Times New Roman" w:hAnsi="Times New Roman" w:cs="Times New Roman"/>
          <w:i/>
          <w:iCs/>
          <w:sz w:val="24"/>
          <w:szCs w:val="24"/>
        </w:rPr>
        <w:t xml:space="preserve">Biophysics and </w:t>
      </w:r>
      <w:proofErr w:type="spellStart"/>
      <w:r w:rsidRPr="00B0245D">
        <w:rPr>
          <w:rFonts w:ascii="Times New Roman" w:eastAsia="Times New Roman" w:hAnsi="Times New Roman" w:cs="Times New Roman"/>
          <w:i/>
          <w:iCs/>
          <w:sz w:val="24"/>
          <w:szCs w:val="24"/>
        </w:rPr>
        <w:t>physicobiology</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 158–166. https://doi.org/10.2142/biophysico.16.0_158</w:t>
      </w:r>
    </w:p>
    <w:p w14:paraId="0023E8E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Igwe, M. C.,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(2024). Oxidative stress's impact on red blood cells: Unveiling implications for health and disease.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103</w:t>
      </w:r>
      <w:r w:rsidRPr="00B0245D">
        <w:rPr>
          <w:rFonts w:ascii="Times New Roman" w:eastAsia="Times New Roman" w:hAnsi="Times New Roman" w:cs="Times New Roman"/>
          <w:sz w:val="24"/>
          <w:szCs w:val="24"/>
        </w:rPr>
        <w:t>(9), e37360. https://doi.org/10.1097/MD.0000000000037360</w:t>
      </w:r>
    </w:p>
    <w:p w14:paraId="7CA9891A"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Assani, A. D.,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Siloși</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M. V., Dijmărescu, A. L., Assani, M. Z., </w:t>
      </w:r>
      <w:proofErr w:type="spellStart"/>
      <w:r w:rsidRPr="00B0245D">
        <w:rPr>
          <w:rFonts w:ascii="Times New Roman" w:eastAsia="Times New Roman" w:hAnsi="Times New Roman" w:cs="Times New Roman"/>
          <w:sz w:val="24"/>
          <w:szCs w:val="24"/>
        </w:rPr>
        <w:t>Manolea</w:t>
      </w:r>
      <w:proofErr w:type="spellEnd"/>
      <w:r w:rsidRPr="00B0245D">
        <w:rPr>
          <w:rFonts w:ascii="Times New Roman" w:eastAsia="Times New Roman" w:hAnsi="Times New Roman" w:cs="Times New Roman"/>
          <w:sz w:val="24"/>
          <w:szCs w:val="24"/>
        </w:rPr>
        <w:t xml:space="preserve">, M. M., &amp; Văduva, C. C. (2025). Pregnancy Under Pressure: Oxidative Stress as a Common Thread in Maternal Disorders. </w:t>
      </w:r>
      <w:r w:rsidRPr="00B0245D">
        <w:rPr>
          <w:rFonts w:ascii="Times New Roman" w:eastAsia="Times New Roman" w:hAnsi="Times New Roman" w:cs="Times New Roman"/>
          <w:i/>
          <w:iCs/>
          <w:sz w:val="24"/>
          <w:szCs w:val="24"/>
        </w:rPr>
        <w:t>Life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(9), 1348. https://doi.org/10.3390/life15091348</w:t>
      </w:r>
    </w:p>
    <w:p w14:paraId="0EFD9F5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w:t>
      </w:r>
      <w:proofErr w:type="spellStart"/>
      <w:r w:rsidRPr="00B0245D">
        <w:rPr>
          <w:rFonts w:ascii="Times New Roman" w:eastAsia="Times New Roman" w:hAnsi="Times New Roman" w:cs="Times New Roman"/>
          <w:sz w:val="24"/>
          <w:szCs w:val="24"/>
        </w:rPr>
        <w:t>Altraide</w:t>
      </w:r>
      <w:proofErr w:type="spellEnd"/>
      <w:r w:rsidRPr="00B0245D">
        <w:rPr>
          <w:rFonts w:ascii="Times New Roman" w:eastAsia="Times New Roman" w:hAnsi="Times New Roman" w:cs="Times New Roman"/>
          <w:sz w:val="24"/>
          <w:szCs w:val="24"/>
        </w:rPr>
        <w:t xml:space="preserve">, B. O.,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(2026). Estimation of prevalence and complications of iron deficiency anemia in pregnancy at Obio-Akpor, Rivers State, Nigeria from 2019 to 2023.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105</w:t>
      </w:r>
      <w:r w:rsidRPr="00B0245D">
        <w:rPr>
          <w:rFonts w:ascii="Times New Roman" w:eastAsia="Times New Roman" w:hAnsi="Times New Roman" w:cs="Times New Roman"/>
          <w:sz w:val="24"/>
          <w:szCs w:val="24"/>
        </w:rPr>
        <w:t>(7), e47666. https://doi.org/10.1097/MD.0000000000047666</w:t>
      </w:r>
    </w:p>
    <w:p w14:paraId="32D675E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lastRenderedPageBreak/>
        <w:t>Obeagu</w:t>
      </w:r>
      <w:proofErr w:type="spellEnd"/>
      <w:r w:rsidRPr="00B0245D">
        <w:rPr>
          <w:rFonts w:ascii="Times New Roman" w:eastAsia="Times New Roman" w:hAnsi="Times New Roman" w:cs="Times New Roman"/>
          <w:sz w:val="24"/>
          <w:szCs w:val="24"/>
        </w:rPr>
        <w:t xml:space="preserve">, E. I.,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(2024). Protecting maternal health: Strategies against HIV and malaria in pregnancy.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103</w:t>
      </w:r>
      <w:r w:rsidRPr="00B0245D">
        <w:rPr>
          <w:rFonts w:ascii="Times New Roman" w:eastAsia="Times New Roman" w:hAnsi="Times New Roman" w:cs="Times New Roman"/>
          <w:sz w:val="24"/>
          <w:szCs w:val="24"/>
        </w:rPr>
        <w:t>(36), e39565. https://doi.org/10.1097/MD.0000000000039565</w:t>
      </w:r>
    </w:p>
    <w:p w14:paraId="687588E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w:t>
      </w:r>
      <w:proofErr w:type="spellStart"/>
      <w:r w:rsidRPr="00B0245D">
        <w:rPr>
          <w:rFonts w:ascii="Times New Roman" w:eastAsia="Times New Roman" w:hAnsi="Times New Roman" w:cs="Times New Roman"/>
          <w:sz w:val="24"/>
          <w:szCs w:val="24"/>
        </w:rPr>
        <w:t>Altraide</w:t>
      </w:r>
      <w:proofErr w:type="spellEnd"/>
      <w:r w:rsidRPr="00B0245D">
        <w:rPr>
          <w:rFonts w:ascii="Times New Roman" w:eastAsia="Times New Roman" w:hAnsi="Times New Roman" w:cs="Times New Roman"/>
          <w:sz w:val="24"/>
          <w:szCs w:val="24"/>
        </w:rPr>
        <w:t xml:space="preserve">, B. O.,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(2025). Iron deficiency anemia in pregnancy and related complications with specific insight in Rivers State, Nigeria: a narrative review. </w:t>
      </w:r>
      <w:r w:rsidRPr="00B0245D">
        <w:rPr>
          <w:rFonts w:ascii="Times New Roman" w:eastAsia="Times New Roman" w:hAnsi="Times New Roman" w:cs="Times New Roman"/>
          <w:i/>
          <w:iCs/>
          <w:sz w:val="24"/>
          <w:szCs w:val="24"/>
        </w:rPr>
        <w:t>Annals of medicine and surgery (2012)</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87</w:t>
      </w:r>
      <w:r w:rsidRPr="00B0245D">
        <w:rPr>
          <w:rFonts w:ascii="Times New Roman" w:eastAsia="Times New Roman" w:hAnsi="Times New Roman" w:cs="Times New Roman"/>
          <w:sz w:val="24"/>
          <w:szCs w:val="24"/>
        </w:rPr>
        <w:t>(6), 3435–3444. https://doi.org/10.1097/MS9.0000000000003224</w:t>
      </w:r>
    </w:p>
    <w:p w14:paraId="00115D3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(2025). Complications of anemia in pregnancy: An updated overview for healthcare professionals.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104</w:t>
      </w:r>
      <w:r w:rsidRPr="00B0245D">
        <w:rPr>
          <w:rFonts w:ascii="Times New Roman" w:eastAsia="Times New Roman" w:hAnsi="Times New Roman" w:cs="Times New Roman"/>
          <w:sz w:val="24"/>
          <w:szCs w:val="24"/>
        </w:rPr>
        <w:t>(35), e44246. https://doi.org/10.1097/MD.0000000000044246</w:t>
      </w:r>
    </w:p>
    <w:p w14:paraId="3532886F"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Aoyama, K., &amp; Nakaki, T. (2015). Glutathione in Cellular Redox Homeostasis: Association with the Excitatory Amino Acid Carrier 1 (EAAC1). </w:t>
      </w:r>
      <w:r w:rsidRPr="00B0245D">
        <w:rPr>
          <w:rFonts w:ascii="Times New Roman" w:eastAsia="Times New Roman" w:hAnsi="Times New Roman" w:cs="Times New Roman"/>
          <w:i/>
          <w:iCs/>
          <w:sz w:val="24"/>
          <w:szCs w:val="24"/>
        </w:rPr>
        <w:t>Molecules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20</w:t>
      </w:r>
      <w:r w:rsidRPr="00B0245D">
        <w:rPr>
          <w:rFonts w:ascii="Times New Roman" w:eastAsia="Times New Roman" w:hAnsi="Times New Roman" w:cs="Times New Roman"/>
          <w:sz w:val="24"/>
          <w:szCs w:val="24"/>
        </w:rPr>
        <w:t>(5), 8742–8758. https://doi.org/10.3390/molecules20058742</w:t>
      </w:r>
    </w:p>
    <w:p w14:paraId="6EA8E8A8"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Mansouri, A., &amp; Lurie, A. A. (1993). Concise review: methemoglobinemia. </w:t>
      </w:r>
      <w:r w:rsidRPr="00B0245D">
        <w:rPr>
          <w:rFonts w:ascii="Times New Roman" w:eastAsia="Times New Roman" w:hAnsi="Times New Roman" w:cs="Times New Roman"/>
          <w:i/>
          <w:iCs/>
          <w:sz w:val="24"/>
          <w:szCs w:val="24"/>
        </w:rPr>
        <w:t>American journal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42</w:t>
      </w:r>
      <w:r w:rsidRPr="00B0245D">
        <w:rPr>
          <w:rFonts w:ascii="Times New Roman" w:eastAsia="Times New Roman" w:hAnsi="Times New Roman" w:cs="Times New Roman"/>
          <w:sz w:val="24"/>
          <w:szCs w:val="24"/>
        </w:rPr>
        <w:t>(1), 7–12. https://doi.org/10.1002/ajh.2830420104</w:t>
      </w:r>
    </w:p>
    <w:p w14:paraId="60F276C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Spinelli, S., Marino, A., </w:t>
      </w:r>
      <w:proofErr w:type="spellStart"/>
      <w:r w:rsidRPr="00B0245D">
        <w:rPr>
          <w:rFonts w:ascii="Times New Roman" w:eastAsia="Times New Roman" w:hAnsi="Times New Roman" w:cs="Times New Roman"/>
          <w:sz w:val="24"/>
          <w:szCs w:val="24"/>
        </w:rPr>
        <w:t>Remigante</w:t>
      </w:r>
      <w:proofErr w:type="spellEnd"/>
      <w:r w:rsidRPr="00B0245D">
        <w:rPr>
          <w:rFonts w:ascii="Times New Roman" w:eastAsia="Times New Roman" w:hAnsi="Times New Roman" w:cs="Times New Roman"/>
          <w:sz w:val="24"/>
          <w:szCs w:val="24"/>
        </w:rPr>
        <w:t xml:space="preserve">, A., &amp; Morabito, R. (2025). Redox Homeostasis in Red Blood Cells: From Molecular Mechanisms to Antioxidant Strategies. </w:t>
      </w:r>
      <w:r w:rsidRPr="00B0245D">
        <w:rPr>
          <w:rFonts w:ascii="Times New Roman" w:eastAsia="Times New Roman" w:hAnsi="Times New Roman" w:cs="Times New Roman"/>
          <w:i/>
          <w:iCs/>
          <w:sz w:val="24"/>
          <w:szCs w:val="24"/>
        </w:rPr>
        <w:t>Current issues in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47</w:t>
      </w:r>
      <w:r w:rsidRPr="00B0245D">
        <w:rPr>
          <w:rFonts w:ascii="Times New Roman" w:eastAsia="Times New Roman" w:hAnsi="Times New Roman" w:cs="Times New Roman"/>
          <w:sz w:val="24"/>
          <w:szCs w:val="24"/>
        </w:rPr>
        <w:t>(8), 655. https://doi.org/10.3390/cimb47080655</w:t>
      </w:r>
    </w:p>
    <w:p w14:paraId="50C4ADC1"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Aouache</w:t>
      </w:r>
      <w:proofErr w:type="spellEnd"/>
      <w:r w:rsidRPr="00B0245D">
        <w:rPr>
          <w:rFonts w:ascii="Times New Roman" w:eastAsia="Times New Roman" w:hAnsi="Times New Roman" w:cs="Times New Roman"/>
          <w:sz w:val="24"/>
          <w:szCs w:val="24"/>
        </w:rPr>
        <w:t xml:space="preserve">, R., </w:t>
      </w:r>
      <w:proofErr w:type="spellStart"/>
      <w:r w:rsidRPr="00B0245D">
        <w:rPr>
          <w:rFonts w:ascii="Times New Roman" w:eastAsia="Times New Roman" w:hAnsi="Times New Roman" w:cs="Times New Roman"/>
          <w:sz w:val="24"/>
          <w:szCs w:val="24"/>
        </w:rPr>
        <w:t>Biquard</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Vaiman</w:t>
      </w:r>
      <w:proofErr w:type="spellEnd"/>
      <w:r w:rsidRPr="00B0245D">
        <w:rPr>
          <w:rFonts w:ascii="Times New Roman" w:eastAsia="Times New Roman" w:hAnsi="Times New Roman" w:cs="Times New Roman"/>
          <w:sz w:val="24"/>
          <w:szCs w:val="24"/>
        </w:rPr>
        <w:t xml:space="preserve">, D., &amp; Miralles, F. (2018). Oxidative Stress in Preeclampsia and Placental Diseases.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19</w:t>
      </w:r>
      <w:r w:rsidRPr="00B0245D">
        <w:rPr>
          <w:rFonts w:ascii="Times New Roman" w:eastAsia="Times New Roman" w:hAnsi="Times New Roman" w:cs="Times New Roman"/>
          <w:sz w:val="24"/>
          <w:szCs w:val="24"/>
        </w:rPr>
        <w:t>(5), 1496. https://doi.org/10.3390/ijms19051496</w:t>
      </w:r>
    </w:p>
    <w:p w14:paraId="244A94B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Roemhild, K., von Maltzahn, F., </w:t>
      </w:r>
      <w:proofErr w:type="spellStart"/>
      <w:r w:rsidRPr="00B0245D">
        <w:rPr>
          <w:rFonts w:ascii="Times New Roman" w:eastAsia="Times New Roman" w:hAnsi="Times New Roman" w:cs="Times New Roman"/>
          <w:sz w:val="24"/>
          <w:szCs w:val="24"/>
        </w:rPr>
        <w:t>Weiskirchen</w:t>
      </w:r>
      <w:proofErr w:type="spellEnd"/>
      <w:r w:rsidRPr="00B0245D">
        <w:rPr>
          <w:rFonts w:ascii="Times New Roman" w:eastAsia="Times New Roman" w:hAnsi="Times New Roman" w:cs="Times New Roman"/>
          <w:sz w:val="24"/>
          <w:szCs w:val="24"/>
        </w:rPr>
        <w:t xml:space="preserve">, R., </w:t>
      </w:r>
      <w:proofErr w:type="spellStart"/>
      <w:r w:rsidRPr="00B0245D">
        <w:rPr>
          <w:rFonts w:ascii="Times New Roman" w:eastAsia="Times New Roman" w:hAnsi="Times New Roman" w:cs="Times New Roman"/>
          <w:sz w:val="24"/>
          <w:szCs w:val="24"/>
        </w:rPr>
        <w:t>Knüchel</w:t>
      </w:r>
      <w:proofErr w:type="spellEnd"/>
      <w:r w:rsidRPr="00B0245D">
        <w:rPr>
          <w:rFonts w:ascii="Times New Roman" w:eastAsia="Times New Roman" w:hAnsi="Times New Roman" w:cs="Times New Roman"/>
          <w:sz w:val="24"/>
          <w:szCs w:val="24"/>
        </w:rPr>
        <w:t xml:space="preserve">, R., von Stillfried, S., &amp; Lammers, T. (2021). Iron metabolism: pathophysiology and pharmacology. </w:t>
      </w:r>
      <w:r w:rsidRPr="00B0245D">
        <w:rPr>
          <w:rFonts w:ascii="Times New Roman" w:eastAsia="Times New Roman" w:hAnsi="Times New Roman" w:cs="Times New Roman"/>
          <w:i/>
          <w:iCs/>
          <w:sz w:val="24"/>
          <w:szCs w:val="24"/>
        </w:rPr>
        <w:t>Trends in pharmacological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42</w:t>
      </w:r>
      <w:r w:rsidRPr="00B0245D">
        <w:rPr>
          <w:rFonts w:ascii="Times New Roman" w:eastAsia="Times New Roman" w:hAnsi="Times New Roman" w:cs="Times New Roman"/>
          <w:sz w:val="24"/>
          <w:szCs w:val="24"/>
        </w:rPr>
        <w:t>(8), 640–656. https://doi.org/10.1016/j.tips.2021.05.001</w:t>
      </w:r>
    </w:p>
    <w:p w14:paraId="5C36FA0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Arenas, G. A., &amp; Lorca, R. A. (2024). Effects of hypoxia on uteroplacental and fetoplacental vascular function during pregnancy.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 1490154. https://doi.org/10.3389/fphys.2024.1490154</w:t>
      </w:r>
    </w:p>
    <w:p w14:paraId="4422D36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Nader, E., Skinner, S., Romana, M., Fort, R., </w:t>
      </w:r>
      <w:proofErr w:type="spellStart"/>
      <w:r w:rsidRPr="00B0245D">
        <w:rPr>
          <w:rFonts w:ascii="Times New Roman" w:eastAsia="Times New Roman" w:hAnsi="Times New Roman" w:cs="Times New Roman"/>
          <w:sz w:val="24"/>
          <w:szCs w:val="24"/>
        </w:rPr>
        <w:t>Lemonne</w:t>
      </w:r>
      <w:proofErr w:type="spellEnd"/>
      <w:r w:rsidRPr="00B0245D">
        <w:rPr>
          <w:rFonts w:ascii="Times New Roman" w:eastAsia="Times New Roman" w:hAnsi="Times New Roman" w:cs="Times New Roman"/>
          <w:sz w:val="24"/>
          <w:szCs w:val="24"/>
        </w:rPr>
        <w:t xml:space="preserve">, N., Guillot, N., Gauthier, A., Antoine-Jonville, S., </w:t>
      </w:r>
      <w:proofErr w:type="spellStart"/>
      <w:r w:rsidRPr="00B0245D">
        <w:rPr>
          <w:rFonts w:ascii="Times New Roman" w:eastAsia="Times New Roman" w:hAnsi="Times New Roman" w:cs="Times New Roman"/>
          <w:sz w:val="24"/>
          <w:szCs w:val="24"/>
        </w:rPr>
        <w:t>Renoux</w:t>
      </w:r>
      <w:proofErr w:type="spellEnd"/>
      <w:r w:rsidRPr="00B0245D">
        <w:rPr>
          <w:rFonts w:ascii="Times New Roman" w:eastAsia="Times New Roman" w:hAnsi="Times New Roman" w:cs="Times New Roman"/>
          <w:sz w:val="24"/>
          <w:szCs w:val="24"/>
        </w:rPr>
        <w:t xml:space="preserve">, C., Hardy-Dessources, M. D., Stauffer, E., Joly, P., Bertrand, Y., &amp; </w:t>
      </w:r>
      <w:proofErr w:type="spellStart"/>
      <w:r w:rsidRPr="00B0245D">
        <w:rPr>
          <w:rFonts w:ascii="Times New Roman" w:eastAsia="Times New Roman" w:hAnsi="Times New Roman" w:cs="Times New Roman"/>
          <w:sz w:val="24"/>
          <w:szCs w:val="24"/>
        </w:rPr>
        <w:t>Connes</w:t>
      </w:r>
      <w:proofErr w:type="spellEnd"/>
      <w:r w:rsidRPr="00B0245D">
        <w:rPr>
          <w:rFonts w:ascii="Times New Roman" w:eastAsia="Times New Roman" w:hAnsi="Times New Roman" w:cs="Times New Roman"/>
          <w:sz w:val="24"/>
          <w:szCs w:val="24"/>
        </w:rPr>
        <w:t xml:space="preserve">, P. (2019). Blood Rheology: Key Parameters, Impact on Blood Flow, Role in Sickle Cell Disease and Effects of Exercise.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w:t>
      </w:r>
      <w:r w:rsidRPr="00B0245D">
        <w:rPr>
          <w:rFonts w:ascii="Times New Roman" w:eastAsia="Times New Roman" w:hAnsi="Times New Roman" w:cs="Times New Roman"/>
          <w:sz w:val="24"/>
          <w:szCs w:val="24"/>
        </w:rPr>
        <w:t>, 1329. https://doi.org/10.3389/fphys.2019.01329</w:t>
      </w:r>
    </w:p>
    <w:p w14:paraId="07160A9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Thornburg, K. L., &amp; Louey, S. (2013). Uteroplacental circulation and fetal vascular function and development. </w:t>
      </w:r>
      <w:r w:rsidRPr="00B0245D">
        <w:rPr>
          <w:rFonts w:ascii="Times New Roman" w:eastAsia="Times New Roman" w:hAnsi="Times New Roman" w:cs="Times New Roman"/>
          <w:i/>
          <w:iCs/>
          <w:sz w:val="24"/>
          <w:szCs w:val="24"/>
        </w:rPr>
        <w:t>Current vascular pharmacology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11</w:t>
      </w:r>
      <w:r w:rsidRPr="00B0245D">
        <w:rPr>
          <w:rFonts w:ascii="Times New Roman" w:eastAsia="Times New Roman" w:hAnsi="Times New Roman" w:cs="Times New Roman"/>
          <w:sz w:val="24"/>
          <w:szCs w:val="24"/>
        </w:rPr>
        <w:t>(5), 748–757. https://doi.org/10.2174/1570161111311050012</w:t>
      </w:r>
    </w:p>
    <w:p w14:paraId="73A0FE59"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Ozanne, P., </w:t>
      </w:r>
      <w:proofErr w:type="spellStart"/>
      <w:r w:rsidRPr="00B0245D">
        <w:rPr>
          <w:rFonts w:ascii="Times New Roman" w:eastAsia="Times New Roman" w:hAnsi="Times New Roman" w:cs="Times New Roman"/>
          <w:sz w:val="24"/>
          <w:szCs w:val="24"/>
        </w:rPr>
        <w:t>Linderkamp</w:t>
      </w:r>
      <w:proofErr w:type="spellEnd"/>
      <w:r w:rsidRPr="00B0245D">
        <w:rPr>
          <w:rFonts w:ascii="Times New Roman" w:eastAsia="Times New Roman" w:hAnsi="Times New Roman" w:cs="Times New Roman"/>
          <w:sz w:val="24"/>
          <w:szCs w:val="24"/>
        </w:rPr>
        <w:t xml:space="preserve">, O., Miller, F. C., &amp; Meiselman, H. J. (1983). Erythrocyte aggregation during normal pregnancy.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147</w:t>
      </w:r>
      <w:r w:rsidRPr="00B0245D">
        <w:rPr>
          <w:rFonts w:ascii="Times New Roman" w:eastAsia="Times New Roman" w:hAnsi="Times New Roman" w:cs="Times New Roman"/>
          <w:sz w:val="24"/>
          <w:szCs w:val="24"/>
        </w:rPr>
        <w:t>(5), 576–583. https://doi.org/10.1016/0002-9378(83)90021-2</w:t>
      </w:r>
    </w:p>
    <w:p w14:paraId="024A7EB8"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Lamarca B. (2012). Endothelial dysfunction. An important mediator in the pathophysiology of hypertension during pre-eclampsia. </w:t>
      </w:r>
      <w:r w:rsidRPr="00B0245D">
        <w:rPr>
          <w:rFonts w:ascii="Times New Roman" w:eastAsia="Times New Roman" w:hAnsi="Times New Roman" w:cs="Times New Roman"/>
          <w:i/>
          <w:iCs/>
          <w:sz w:val="24"/>
          <w:szCs w:val="24"/>
        </w:rPr>
        <w:t xml:space="preserve">Minerva </w:t>
      </w:r>
      <w:proofErr w:type="spellStart"/>
      <w:r w:rsidRPr="00B0245D">
        <w:rPr>
          <w:rFonts w:ascii="Times New Roman" w:eastAsia="Times New Roman" w:hAnsi="Times New Roman" w:cs="Times New Roman"/>
          <w:i/>
          <w:iCs/>
          <w:sz w:val="24"/>
          <w:szCs w:val="24"/>
        </w:rPr>
        <w:t>ginecologica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64</w:t>
      </w:r>
      <w:r w:rsidRPr="00B0245D">
        <w:rPr>
          <w:rFonts w:ascii="Times New Roman" w:eastAsia="Times New Roman" w:hAnsi="Times New Roman" w:cs="Times New Roman"/>
          <w:sz w:val="24"/>
          <w:szCs w:val="24"/>
        </w:rPr>
        <w:t xml:space="preserve">(4), 309–320. </w:t>
      </w:r>
    </w:p>
    <w:p w14:paraId="7EEBF8F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Østergaard, L., </w:t>
      </w:r>
      <w:proofErr w:type="spellStart"/>
      <w:r w:rsidRPr="00B0245D">
        <w:rPr>
          <w:rFonts w:ascii="Times New Roman" w:eastAsia="Times New Roman" w:hAnsi="Times New Roman" w:cs="Times New Roman"/>
          <w:sz w:val="24"/>
          <w:szCs w:val="24"/>
        </w:rPr>
        <w:t>Granfeldt</w:t>
      </w:r>
      <w:proofErr w:type="spellEnd"/>
      <w:r w:rsidRPr="00B0245D">
        <w:rPr>
          <w:rFonts w:ascii="Times New Roman" w:eastAsia="Times New Roman" w:hAnsi="Times New Roman" w:cs="Times New Roman"/>
          <w:sz w:val="24"/>
          <w:szCs w:val="24"/>
        </w:rPr>
        <w:t xml:space="preserve">, A., Secher, N., Tietze, A., Iversen, N. K., Jensen, M. S., Andersen, K. K., </w:t>
      </w:r>
      <w:proofErr w:type="spellStart"/>
      <w:r w:rsidRPr="00B0245D">
        <w:rPr>
          <w:rFonts w:ascii="Times New Roman" w:eastAsia="Times New Roman" w:hAnsi="Times New Roman" w:cs="Times New Roman"/>
          <w:sz w:val="24"/>
          <w:szCs w:val="24"/>
        </w:rPr>
        <w:t>Nagenthiraja</w:t>
      </w:r>
      <w:proofErr w:type="spellEnd"/>
      <w:r w:rsidRPr="00B0245D">
        <w:rPr>
          <w:rFonts w:ascii="Times New Roman" w:eastAsia="Times New Roman" w:hAnsi="Times New Roman" w:cs="Times New Roman"/>
          <w:sz w:val="24"/>
          <w:szCs w:val="24"/>
        </w:rPr>
        <w:t xml:space="preserve">, K., Gutiérrez-Lizardi, P., Mouridsen, K., Jespersen, S. N., &amp; Tønnesen, E. K. (2015). Microcirculatory dysfunction and tissue oxygenation in critical illness. </w:t>
      </w:r>
      <w:r w:rsidRPr="00B0245D">
        <w:rPr>
          <w:rFonts w:ascii="Times New Roman" w:eastAsia="Times New Roman" w:hAnsi="Times New Roman" w:cs="Times New Roman"/>
          <w:i/>
          <w:iCs/>
          <w:sz w:val="24"/>
          <w:szCs w:val="24"/>
        </w:rPr>
        <w:t xml:space="preserve">Acta </w:t>
      </w:r>
      <w:proofErr w:type="spellStart"/>
      <w:r w:rsidRPr="00B0245D">
        <w:rPr>
          <w:rFonts w:ascii="Times New Roman" w:eastAsia="Times New Roman" w:hAnsi="Times New Roman" w:cs="Times New Roman"/>
          <w:i/>
          <w:iCs/>
          <w:sz w:val="24"/>
          <w:szCs w:val="24"/>
        </w:rPr>
        <w:t>anaesthesiologica</w:t>
      </w:r>
      <w:proofErr w:type="spell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Scandinavica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59</w:t>
      </w:r>
      <w:r w:rsidRPr="00B0245D">
        <w:rPr>
          <w:rFonts w:ascii="Times New Roman" w:eastAsia="Times New Roman" w:hAnsi="Times New Roman" w:cs="Times New Roman"/>
          <w:sz w:val="24"/>
          <w:szCs w:val="24"/>
        </w:rPr>
        <w:t>(10), 1246–1259. https://doi.org/10.1111/aas.12581</w:t>
      </w:r>
    </w:p>
    <w:p w14:paraId="3DBBD8D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Caimi, G., Carlisi, M., &amp; Presti, R. L. (2023). Red Blood Cell Distribution Width, Erythrocyte Indices, and Elongation Index at Baseline in a Group of Trained Subjects. </w:t>
      </w:r>
      <w:r w:rsidRPr="00B0245D">
        <w:rPr>
          <w:rFonts w:ascii="Times New Roman" w:eastAsia="Times New Roman" w:hAnsi="Times New Roman" w:cs="Times New Roman"/>
          <w:i/>
          <w:iCs/>
          <w:sz w:val="24"/>
          <w:szCs w:val="24"/>
        </w:rPr>
        <w:t>Journal of clinical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 151. https://doi.org/10.3390/jcm13010151</w:t>
      </w:r>
    </w:p>
    <w:p w14:paraId="6A7A228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Kumar, A., Sharma, E., Marley, A., Samaan, M. A., &amp; Brookes, M. J. (2022). Iron deficiency </w:t>
      </w:r>
      <w:proofErr w:type="spellStart"/>
      <w:r w:rsidRPr="00B0245D">
        <w:rPr>
          <w:rFonts w:ascii="Times New Roman" w:eastAsia="Times New Roman" w:hAnsi="Times New Roman" w:cs="Times New Roman"/>
          <w:sz w:val="24"/>
          <w:szCs w:val="24"/>
        </w:rPr>
        <w:t>anaemia</w:t>
      </w:r>
      <w:proofErr w:type="spellEnd"/>
      <w:r w:rsidRPr="00B0245D">
        <w:rPr>
          <w:rFonts w:ascii="Times New Roman" w:eastAsia="Times New Roman" w:hAnsi="Times New Roman" w:cs="Times New Roman"/>
          <w:sz w:val="24"/>
          <w:szCs w:val="24"/>
        </w:rPr>
        <w:t xml:space="preserve">: pathophysiology, assessment, practical management. </w:t>
      </w:r>
      <w:r w:rsidRPr="00B0245D">
        <w:rPr>
          <w:rFonts w:ascii="Times New Roman" w:eastAsia="Times New Roman" w:hAnsi="Times New Roman" w:cs="Times New Roman"/>
          <w:i/>
          <w:iCs/>
          <w:sz w:val="24"/>
          <w:szCs w:val="24"/>
        </w:rPr>
        <w:t>BMJ open gastroenterology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w:t>
      </w:r>
      <w:r w:rsidRPr="00B0245D">
        <w:rPr>
          <w:rFonts w:ascii="Times New Roman" w:eastAsia="Times New Roman" w:hAnsi="Times New Roman" w:cs="Times New Roman"/>
          <w:sz w:val="24"/>
          <w:szCs w:val="24"/>
        </w:rPr>
        <w:t>(1), e000759. https://doi.org/10.1136/bmjgast-2021-000759</w:t>
      </w:r>
    </w:p>
    <w:p w14:paraId="6A8C0D0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Alexandrova-Watanabe, A., Abadjieva, E., Giosheva, I., </w:t>
      </w:r>
      <w:proofErr w:type="spellStart"/>
      <w:r w:rsidRPr="00B0245D">
        <w:rPr>
          <w:rFonts w:ascii="Times New Roman" w:eastAsia="Times New Roman" w:hAnsi="Times New Roman" w:cs="Times New Roman"/>
          <w:sz w:val="24"/>
          <w:szCs w:val="24"/>
        </w:rPr>
        <w:t>Langari</w:t>
      </w:r>
      <w:proofErr w:type="spellEnd"/>
      <w:r w:rsidRPr="00B0245D">
        <w:rPr>
          <w:rFonts w:ascii="Times New Roman" w:eastAsia="Times New Roman" w:hAnsi="Times New Roman" w:cs="Times New Roman"/>
          <w:sz w:val="24"/>
          <w:szCs w:val="24"/>
        </w:rPr>
        <w:t xml:space="preserve">, A., Tiankov, T., Gartchev, E., </w:t>
      </w:r>
      <w:proofErr w:type="spellStart"/>
      <w:r w:rsidRPr="00B0245D">
        <w:rPr>
          <w:rFonts w:ascii="Times New Roman" w:eastAsia="Times New Roman" w:hAnsi="Times New Roman" w:cs="Times New Roman"/>
          <w:sz w:val="24"/>
          <w:szCs w:val="24"/>
        </w:rPr>
        <w:t>Komsa-Penkova</w:t>
      </w:r>
      <w:proofErr w:type="spellEnd"/>
      <w:r w:rsidRPr="00B0245D">
        <w:rPr>
          <w:rFonts w:ascii="Times New Roman" w:eastAsia="Times New Roman" w:hAnsi="Times New Roman" w:cs="Times New Roman"/>
          <w:sz w:val="24"/>
          <w:szCs w:val="24"/>
        </w:rPr>
        <w:t xml:space="preserve">, R., &amp; </w:t>
      </w:r>
      <w:proofErr w:type="spellStart"/>
      <w:r w:rsidRPr="00B0245D">
        <w:rPr>
          <w:rFonts w:ascii="Times New Roman" w:eastAsia="Times New Roman" w:hAnsi="Times New Roman" w:cs="Times New Roman"/>
          <w:sz w:val="24"/>
          <w:szCs w:val="24"/>
        </w:rPr>
        <w:t>Todinova</w:t>
      </w:r>
      <w:proofErr w:type="spellEnd"/>
      <w:r w:rsidRPr="00B0245D">
        <w:rPr>
          <w:rFonts w:ascii="Times New Roman" w:eastAsia="Times New Roman" w:hAnsi="Times New Roman" w:cs="Times New Roman"/>
          <w:sz w:val="24"/>
          <w:szCs w:val="24"/>
        </w:rPr>
        <w:t xml:space="preserve">, S. (2024). Assessment of Red Blood Cell Aggregation in Preeclampsia by Microfluidic Image Flow Analysis-Impact of Oxidative Stress on Disease Severity.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(7), 3732. https://doi.org/10.3390/ijms25073732</w:t>
      </w:r>
    </w:p>
    <w:p w14:paraId="19DDB4C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Tsikouras</w:t>
      </w:r>
      <w:proofErr w:type="spellEnd"/>
      <w:r w:rsidRPr="00B0245D">
        <w:rPr>
          <w:rFonts w:ascii="Times New Roman" w:eastAsia="Times New Roman" w:hAnsi="Times New Roman" w:cs="Times New Roman"/>
          <w:sz w:val="24"/>
          <w:szCs w:val="24"/>
        </w:rPr>
        <w:t xml:space="preserve">, P., </w:t>
      </w:r>
      <w:proofErr w:type="spellStart"/>
      <w:r w:rsidRPr="00B0245D">
        <w:rPr>
          <w:rFonts w:ascii="Times New Roman" w:eastAsia="Times New Roman" w:hAnsi="Times New Roman" w:cs="Times New Roman"/>
          <w:sz w:val="24"/>
          <w:szCs w:val="24"/>
        </w:rPr>
        <w:t>Niesigk</w:t>
      </w:r>
      <w:proofErr w:type="spellEnd"/>
      <w:r w:rsidRPr="00B0245D">
        <w:rPr>
          <w:rFonts w:ascii="Times New Roman" w:eastAsia="Times New Roman" w:hAnsi="Times New Roman" w:cs="Times New Roman"/>
          <w:sz w:val="24"/>
          <w:szCs w:val="24"/>
        </w:rPr>
        <w:t xml:space="preserve">, B., von Tempelhoff, G. F., Rath, W., Schelkunov, O., Daragó, P., &amp; Csorba, R. (2018). Blood rheology during normal pregnancy. </w:t>
      </w:r>
      <w:r w:rsidRPr="00B0245D">
        <w:rPr>
          <w:rFonts w:ascii="Times New Roman" w:eastAsia="Times New Roman" w:hAnsi="Times New Roman" w:cs="Times New Roman"/>
          <w:i/>
          <w:iCs/>
          <w:sz w:val="24"/>
          <w:szCs w:val="24"/>
        </w:rPr>
        <w:t>Clinical hemorheology and microcirculation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69</w:t>
      </w:r>
      <w:r w:rsidRPr="00B0245D">
        <w:rPr>
          <w:rFonts w:ascii="Times New Roman" w:eastAsia="Times New Roman" w:hAnsi="Times New Roman" w:cs="Times New Roman"/>
          <w:sz w:val="24"/>
          <w:szCs w:val="24"/>
        </w:rPr>
        <w:t>(1-2), 101–114. https://doi.org/10.3233/CH-189104</w:t>
      </w:r>
    </w:p>
    <w:p w14:paraId="696CA582"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Liu, W., Xie, L., Yang, J., Gong, X., Sun, D., &amp; Zhang, C. (2025). A Microfluidic Device for Detecting the Deformability of Red Blood Cells. </w:t>
      </w:r>
      <w:r w:rsidRPr="00B0245D">
        <w:rPr>
          <w:rFonts w:ascii="Times New Roman" w:eastAsia="Times New Roman" w:hAnsi="Times New Roman" w:cs="Times New Roman"/>
          <w:i/>
          <w:iCs/>
          <w:sz w:val="24"/>
          <w:szCs w:val="24"/>
        </w:rPr>
        <w:t>Biosensors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(11), 758. https://doi.org/10.3390/bios15110758</w:t>
      </w:r>
    </w:p>
    <w:p w14:paraId="0816520F" w14:textId="77777777" w:rsidR="004E2D81" w:rsidRPr="00B0245D" w:rsidRDefault="004E2D81" w:rsidP="00B0245D">
      <w:pPr>
        <w:spacing w:line="240" w:lineRule="auto"/>
        <w:jc w:val="both"/>
        <w:rPr>
          <w:rFonts w:ascii="Times New Roman" w:hAnsi="Times New Roman" w:cs="Times New Roman"/>
          <w:sz w:val="24"/>
          <w:szCs w:val="24"/>
        </w:rPr>
      </w:pPr>
      <w:bookmarkStart w:id="2" w:name="_GoBack"/>
      <w:bookmarkEnd w:id="2"/>
    </w:p>
    <w:sectPr w:rsidR="004E2D81" w:rsidRPr="00B024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CC098" w14:textId="77777777" w:rsidR="00C83277" w:rsidRDefault="00C83277" w:rsidP="003F380C">
      <w:pPr>
        <w:spacing w:after="0" w:line="240" w:lineRule="auto"/>
      </w:pPr>
      <w:r>
        <w:separator/>
      </w:r>
    </w:p>
  </w:endnote>
  <w:endnote w:type="continuationSeparator" w:id="0">
    <w:p w14:paraId="5CE41710" w14:textId="77777777" w:rsidR="00C83277" w:rsidRDefault="00C83277" w:rsidP="003F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205E" w14:textId="77777777" w:rsidR="003F380C" w:rsidRDefault="003F3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E5B7" w14:textId="77777777" w:rsidR="003F380C" w:rsidRDefault="003F3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9D1C" w14:textId="77777777" w:rsidR="003F380C" w:rsidRDefault="003F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64D3B" w14:textId="77777777" w:rsidR="00C83277" w:rsidRDefault="00C83277" w:rsidP="003F380C">
      <w:pPr>
        <w:spacing w:after="0" w:line="240" w:lineRule="auto"/>
      </w:pPr>
      <w:r>
        <w:separator/>
      </w:r>
    </w:p>
  </w:footnote>
  <w:footnote w:type="continuationSeparator" w:id="0">
    <w:p w14:paraId="4F711011" w14:textId="77777777" w:rsidR="00C83277" w:rsidRDefault="00C83277" w:rsidP="003F3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2469" w14:textId="475446A0" w:rsidR="003F380C" w:rsidRDefault="00C83277">
    <w:pPr>
      <w:pStyle w:val="Header"/>
    </w:pPr>
    <w:r>
      <w:rPr>
        <w:noProof/>
      </w:rPr>
      <w:pict w14:anchorId="104BC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A02B" w14:textId="702FA366" w:rsidR="003F380C" w:rsidRDefault="00C83277">
    <w:pPr>
      <w:pStyle w:val="Header"/>
    </w:pPr>
    <w:r>
      <w:rPr>
        <w:noProof/>
      </w:rPr>
      <w:pict w14:anchorId="02E6E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AFA9" w14:textId="5A0DA203" w:rsidR="003F380C" w:rsidRDefault="00C83277">
    <w:pPr>
      <w:pStyle w:val="Header"/>
    </w:pPr>
    <w:r>
      <w:rPr>
        <w:noProof/>
      </w:rPr>
      <w:pict w14:anchorId="3924F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F22C8"/>
    <w:multiLevelType w:val="hybridMultilevel"/>
    <w:tmpl w:val="A024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37A29"/>
    <w:multiLevelType w:val="multilevel"/>
    <w:tmpl w:val="AA8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36F61"/>
    <w:multiLevelType w:val="multilevel"/>
    <w:tmpl w:val="73CA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B8"/>
    <w:rsid w:val="000D6B5A"/>
    <w:rsid w:val="001D6A3D"/>
    <w:rsid w:val="00224D86"/>
    <w:rsid w:val="002A661A"/>
    <w:rsid w:val="003833FE"/>
    <w:rsid w:val="003F380C"/>
    <w:rsid w:val="004D5087"/>
    <w:rsid w:val="004E2D81"/>
    <w:rsid w:val="00667417"/>
    <w:rsid w:val="0072024C"/>
    <w:rsid w:val="007B186B"/>
    <w:rsid w:val="007D4569"/>
    <w:rsid w:val="008A1169"/>
    <w:rsid w:val="008B6B0D"/>
    <w:rsid w:val="008D2DA2"/>
    <w:rsid w:val="00A123E2"/>
    <w:rsid w:val="00AB169D"/>
    <w:rsid w:val="00B0245D"/>
    <w:rsid w:val="00C611AE"/>
    <w:rsid w:val="00C83277"/>
    <w:rsid w:val="00CC03B8"/>
    <w:rsid w:val="00DC0E3B"/>
    <w:rsid w:val="00EA53C5"/>
    <w:rsid w:val="00EC6141"/>
    <w:rsid w:val="00F8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AF49E"/>
  <w15:chartTrackingRefBased/>
  <w15:docId w15:val="{734D74CB-28F6-4A35-81C5-47872C6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0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0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3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03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03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3B8"/>
    <w:rPr>
      <w:b/>
      <w:bCs/>
    </w:rPr>
  </w:style>
  <w:style w:type="character" w:styleId="Emphasis">
    <w:name w:val="Emphasis"/>
    <w:basedOn w:val="DefaultParagraphFont"/>
    <w:uiPriority w:val="20"/>
    <w:qFormat/>
    <w:rsid w:val="00CC03B8"/>
    <w:rPr>
      <w:i/>
      <w:iCs/>
    </w:rPr>
  </w:style>
  <w:style w:type="table" w:styleId="TableGrid">
    <w:name w:val="Table Grid"/>
    <w:basedOn w:val="TableNormal"/>
    <w:uiPriority w:val="39"/>
    <w:rsid w:val="00EA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917"/>
    <w:pPr>
      <w:ind w:left="720"/>
      <w:contextualSpacing/>
    </w:pPr>
  </w:style>
  <w:style w:type="character" w:styleId="Hyperlink">
    <w:name w:val="Hyperlink"/>
    <w:basedOn w:val="DefaultParagraphFont"/>
    <w:uiPriority w:val="99"/>
    <w:unhideWhenUsed/>
    <w:rsid w:val="00F84917"/>
    <w:rPr>
      <w:color w:val="0563C1" w:themeColor="hyperlink"/>
      <w:u w:val="single"/>
    </w:rPr>
  </w:style>
  <w:style w:type="character" w:styleId="UnresolvedMention">
    <w:name w:val="Unresolved Mention"/>
    <w:basedOn w:val="DefaultParagraphFont"/>
    <w:uiPriority w:val="99"/>
    <w:semiHidden/>
    <w:unhideWhenUsed/>
    <w:rsid w:val="008D2DA2"/>
    <w:rPr>
      <w:color w:val="605E5C"/>
      <w:shd w:val="clear" w:color="auto" w:fill="E1DFDD"/>
    </w:rPr>
  </w:style>
  <w:style w:type="paragraph" w:styleId="Header">
    <w:name w:val="header"/>
    <w:basedOn w:val="Normal"/>
    <w:link w:val="HeaderChar"/>
    <w:uiPriority w:val="99"/>
    <w:unhideWhenUsed/>
    <w:rsid w:val="003F3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0C"/>
  </w:style>
  <w:style w:type="paragraph" w:styleId="Footer">
    <w:name w:val="footer"/>
    <w:basedOn w:val="Normal"/>
    <w:link w:val="FooterChar"/>
    <w:uiPriority w:val="99"/>
    <w:unhideWhenUsed/>
    <w:rsid w:val="003F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0C"/>
  </w:style>
  <w:style w:type="paragraph" w:styleId="NoSpacing">
    <w:name w:val="No Spacing"/>
    <w:uiPriority w:val="1"/>
    <w:qFormat/>
    <w:rsid w:val="00224D8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7475">
      <w:bodyDiv w:val="1"/>
      <w:marLeft w:val="0"/>
      <w:marRight w:val="0"/>
      <w:marTop w:val="0"/>
      <w:marBottom w:val="0"/>
      <w:divBdr>
        <w:top w:val="none" w:sz="0" w:space="0" w:color="auto"/>
        <w:left w:val="none" w:sz="0" w:space="0" w:color="auto"/>
        <w:bottom w:val="none" w:sz="0" w:space="0" w:color="auto"/>
        <w:right w:val="none" w:sz="0" w:space="0" w:color="auto"/>
      </w:divBdr>
    </w:div>
    <w:div w:id="360057917">
      <w:bodyDiv w:val="1"/>
      <w:marLeft w:val="0"/>
      <w:marRight w:val="0"/>
      <w:marTop w:val="0"/>
      <w:marBottom w:val="0"/>
      <w:divBdr>
        <w:top w:val="none" w:sz="0" w:space="0" w:color="auto"/>
        <w:left w:val="none" w:sz="0" w:space="0" w:color="auto"/>
        <w:bottom w:val="none" w:sz="0" w:space="0" w:color="auto"/>
        <w:right w:val="none" w:sz="0" w:space="0" w:color="auto"/>
      </w:divBdr>
    </w:div>
    <w:div w:id="547767546">
      <w:bodyDiv w:val="1"/>
      <w:marLeft w:val="0"/>
      <w:marRight w:val="0"/>
      <w:marTop w:val="0"/>
      <w:marBottom w:val="0"/>
      <w:divBdr>
        <w:top w:val="none" w:sz="0" w:space="0" w:color="auto"/>
        <w:left w:val="none" w:sz="0" w:space="0" w:color="auto"/>
        <w:bottom w:val="none" w:sz="0" w:space="0" w:color="auto"/>
        <w:right w:val="none" w:sz="0" w:space="0" w:color="auto"/>
      </w:divBdr>
    </w:div>
    <w:div w:id="640965505">
      <w:bodyDiv w:val="1"/>
      <w:marLeft w:val="0"/>
      <w:marRight w:val="0"/>
      <w:marTop w:val="0"/>
      <w:marBottom w:val="0"/>
      <w:divBdr>
        <w:top w:val="none" w:sz="0" w:space="0" w:color="auto"/>
        <w:left w:val="none" w:sz="0" w:space="0" w:color="auto"/>
        <w:bottom w:val="none" w:sz="0" w:space="0" w:color="auto"/>
        <w:right w:val="none" w:sz="0" w:space="0" w:color="auto"/>
      </w:divBdr>
      <w:divsChild>
        <w:div w:id="1099180306">
          <w:marLeft w:val="0"/>
          <w:marRight w:val="0"/>
          <w:marTop w:val="0"/>
          <w:marBottom w:val="0"/>
          <w:divBdr>
            <w:top w:val="none" w:sz="0" w:space="0" w:color="auto"/>
            <w:left w:val="none" w:sz="0" w:space="0" w:color="auto"/>
            <w:bottom w:val="none" w:sz="0" w:space="0" w:color="auto"/>
            <w:right w:val="none" w:sz="0" w:space="0" w:color="auto"/>
          </w:divBdr>
          <w:divsChild>
            <w:div w:id="12241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3010">
      <w:bodyDiv w:val="1"/>
      <w:marLeft w:val="0"/>
      <w:marRight w:val="0"/>
      <w:marTop w:val="0"/>
      <w:marBottom w:val="0"/>
      <w:divBdr>
        <w:top w:val="none" w:sz="0" w:space="0" w:color="auto"/>
        <w:left w:val="none" w:sz="0" w:space="0" w:color="auto"/>
        <w:bottom w:val="none" w:sz="0" w:space="0" w:color="auto"/>
        <w:right w:val="none" w:sz="0" w:space="0" w:color="auto"/>
      </w:divBdr>
    </w:div>
    <w:div w:id="859510092">
      <w:bodyDiv w:val="1"/>
      <w:marLeft w:val="0"/>
      <w:marRight w:val="0"/>
      <w:marTop w:val="0"/>
      <w:marBottom w:val="0"/>
      <w:divBdr>
        <w:top w:val="none" w:sz="0" w:space="0" w:color="auto"/>
        <w:left w:val="none" w:sz="0" w:space="0" w:color="auto"/>
        <w:bottom w:val="none" w:sz="0" w:space="0" w:color="auto"/>
        <w:right w:val="none" w:sz="0" w:space="0" w:color="auto"/>
      </w:divBdr>
      <w:divsChild>
        <w:div w:id="1071194082">
          <w:marLeft w:val="0"/>
          <w:marRight w:val="0"/>
          <w:marTop w:val="0"/>
          <w:marBottom w:val="0"/>
          <w:divBdr>
            <w:top w:val="none" w:sz="0" w:space="0" w:color="auto"/>
            <w:left w:val="none" w:sz="0" w:space="0" w:color="auto"/>
            <w:bottom w:val="none" w:sz="0" w:space="0" w:color="auto"/>
            <w:right w:val="none" w:sz="0" w:space="0" w:color="auto"/>
          </w:divBdr>
          <w:divsChild>
            <w:div w:id="246576418">
              <w:marLeft w:val="0"/>
              <w:marRight w:val="0"/>
              <w:marTop w:val="0"/>
              <w:marBottom w:val="0"/>
              <w:divBdr>
                <w:top w:val="none" w:sz="0" w:space="0" w:color="auto"/>
                <w:left w:val="none" w:sz="0" w:space="0" w:color="auto"/>
                <w:bottom w:val="none" w:sz="0" w:space="0" w:color="auto"/>
                <w:right w:val="none" w:sz="0" w:space="0" w:color="auto"/>
              </w:divBdr>
              <w:divsChild>
                <w:div w:id="827600846">
                  <w:marLeft w:val="0"/>
                  <w:marRight w:val="0"/>
                  <w:marTop w:val="0"/>
                  <w:marBottom w:val="0"/>
                  <w:divBdr>
                    <w:top w:val="none" w:sz="0" w:space="0" w:color="auto"/>
                    <w:left w:val="none" w:sz="0" w:space="0" w:color="auto"/>
                    <w:bottom w:val="none" w:sz="0" w:space="0" w:color="auto"/>
                    <w:right w:val="none" w:sz="0" w:space="0" w:color="auto"/>
                  </w:divBdr>
                  <w:divsChild>
                    <w:div w:id="85807931">
                      <w:marLeft w:val="0"/>
                      <w:marRight w:val="0"/>
                      <w:marTop w:val="0"/>
                      <w:marBottom w:val="0"/>
                      <w:divBdr>
                        <w:top w:val="none" w:sz="0" w:space="0" w:color="auto"/>
                        <w:left w:val="none" w:sz="0" w:space="0" w:color="auto"/>
                        <w:bottom w:val="none" w:sz="0" w:space="0" w:color="auto"/>
                        <w:right w:val="none" w:sz="0" w:space="0" w:color="auto"/>
                      </w:divBdr>
                      <w:divsChild>
                        <w:div w:id="1640963187">
                          <w:marLeft w:val="0"/>
                          <w:marRight w:val="0"/>
                          <w:marTop w:val="0"/>
                          <w:marBottom w:val="0"/>
                          <w:divBdr>
                            <w:top w:val="none" w:sz="0" w:space="0" w:color="auto"/>
                            <w:left w:val="none" w:sz="0" w:space="0" w:color="auto"/>
                            <w:bottom w:val="none" w:sz="0" w:space="0" w:color="auto"/>
                            <w:right w:val="none" w:sz="0" w:space="0" w:color="auto"/>
                          </w:divBdr>
                          <w:divsChild>
                            <w:div w:id="216622920">
                              <w:marLeft w:val="0"/>
                              <w:marRight w:val="0"/>
                              <w:marTop w:val="0"/>
                              <w:marBottom w:val="0"/>
                              <w:divBdr>
                                <w:top w:val="none" w:sz="0" w:space="0" w:color="auto"/>
                                <w:left w:val="none" w:sz="0" w:space="0" w:color="auto"/>
                                <w:bottom w:val="none" w:sz="0" w:space="0" w:color="auto"/>
                                <w:right w:val="none" w:sz="0" w:space="0" w:color="auto"/>
                              </w:divBdr>
                              <w:divsChild>
                                <w:div w:id="1358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448521">
      <w:bodyDiv w:val="1"/>
      <w:marLeft w:val="0"/>
      <w:marRight w:val="0"/>
      <w:marTop w:val="0"/>
      <w:marBottom w:val="0"/>
      <w:divBdr>
        <w:top w:val="none" w:sz="0" w:space="0" w:color="auto"/>
        <w:left w:val="none" w:sz="0" w:space="0" w:color="auto"/>
        <w:bottom w:val="none" w:sz="0" w:space="0" w:color="auto"/>
        <w:right w:val="none" w:sz="0" w:space="0" w:color="auto"/>
      </w:divBdr>
    </w:div>
    <w:div w:id="911232120">
      <w:bodyDiv w:val="1"/>
      <w:marLeft w:val="0"/>
      <w:marRight w:val="0"/>
      <w:marTop w:val="0"/>
      <w:marBottom w:val="0"/>
      <w:divBdr>
        <w:top w:val="none" w:sz="0" w:space="0" w:color="auto"/>
        <w:left w:val="none" w:sz="0" w:space="0" w:color="auto"/>
        <w:bottom w:val="none" w:sz="0" w:space="0" w:color="auto"/>
        <w:right w:val="none" w:sz="0" w:space="0" w:color="auto"/>
      </w:divBdr>
      <w:divsChild>
        <w:div w:id="283587389">
          <w:marLeft w:val="0"/>
          <w:marRight w:val="0"/>
          <w:marTop w:val="0"/>
          <w:marBottom w:val="0"/>
          <w:divBdr>
            <w:top w:val="none" w:sz="0" w:space="0" w:color="auto"/>
            <w:left w:val="none" w:sz="0" w:space="0" w:color="auto"/>
            <w:bottom w:val="none" w:sz="0" w:space="0" w:color="auto"/>
            <w:right w:val="none" w:sz="0" w:space="0" w:color="auto"/>
          </w:divBdr>
          <w:divsChild>
            <w:div w:id="497624220">
              <w:marLeft w:val="0"/>
              <w:marRight w:val="0"/>
              <w:marTop w:val="0"/>
              <w:marBottom w:val="0"/>
              <w:divBdr>
                <w:top w:val="none" w:sz="0" w:space="0" w:color="auto"/>
                <w:left w:val="none" w:sz="0" w:space="0" w:color="auto"/>
                <w:bottom w:val="none" w:sz="0" w:space="0" w:color="auto"/>
                <w:right w:val="none" w:sz="0" w:space="0" w:color="auto"/>
              </w:divBdr>
              <w:divsChild>
                <w:div w:id="635139745">
                  <w:marLeft w:val="0"/>
                  <w:marRight w:val="0"/>
                  <w:marTop w:val="0"/>
                  <w:marBottom w:val="0"/>
                  <w:divBdr>
                    <w:top w:val="none" w:sz="0" w:space="0" w:color="auto"/>
                    <w:left w:val="none" w:sz="0" w:space="0" w:color="auto"/>
                    <w:bottom w:val="none" w:sz="0" w:space="0" w:color="auto"/>
                    <w:right w:val="none" w:sz="0" w:space="0" w:color="auto"/>
                  </w:divBdr>
                  <w:divsChild>
                    <w:div w:id="1204558827">
                      <w:marLeft w:val="0"/>
                      <w:marRight w:val="0"/>
                      <w:marTop w:val="0"/>
                      <w:marBottom w:val="0"/>
                      <w:divBdr>
                        <w:top w:val="none" w:sz="0" w:space="0" w:color="auto"/>
                        <w:left w:val="none" w:sz="0" w:space="0" w:color="auto"/>
                        <w:bottom w:val="none" w:sz="0" w:space="0" w:color="auto"/>
                        <w:right w:val="none" w:sz="0" w:space="0" w:color="auto"/>
                      </w:divBdr>
                      <w:divsChild>
                        <w:div w:id="860583673">
                          <w:marLeft w:val="0"/>
                          <w:marRight w:val="0"/>
                          <w:marTop w:val="0"/>
                          <w:marBottom w:val="0"/>
                          <w:divBdr>
                            <w:top w:val="none" w:sz="0" w:space="0" w:color="auto"/>
                            <w:left w:val="none" w:sz="0" w:space="0" w:color="auto"/>
                            <w:bottom w:val="none" w:sz="0" w:space="0" w:color="auto"/>
                            <w:right w:val="none" w:sz="0" w:space="0" w:color="auto"/>
                          </w:divBdr>
                          <w:divsChild>
                            <w:div w:id="740828881">
                              <w:marLeft w:val="0"/>
                              <w:marRight w:val="0"/>
                              <w:marTop w:val="0"/>
                              <w:marBottom w:val="0"/>
                              <w:divBdr>
                                <w:top w:val="none" w:sz="0" w:space="0" w:color="auto"/>
                                <w:left w:val="none" w:sz="0" w:space="0" w:color="auto"/>
                                <w:bottom w:val="none" w:sz="0" w:space="0" w:color="auto"/>
                                <w:right w:val="none" w:sz="0" w:space="0" w:color="auto"/>
                              </w:divBdr>
                              <w:divsChild>
                                <w:div w:id="1691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4159">
      <w:bodyDiv w:val="1"/>
      <w:marLeft w:val="0"/>
      <w:marRight w:val="0"/>
      <w:marTop w:val="0"/>
      <w:marBottom w:val="0"/>
      <w:divBdr>
        <w:top w:val="none" w:sz="0" w:space="0" w:color="auto"/>
        <w:left w:val="none" w:sz="0" w:space="0" w:color="auto"/>
        <w:bottom w:val="none" w:sz="0" w:space="0" w:color="auto"/>
        <w:right w:val="none" w:sz="0" w:space="0" w:color="auto"/>
      </w:divBdr>
    </w:div>
    <w:div w:id="980696533">
      <w:bodyDiv w:val="1"/>
      <w:marLeft w:val="0"/>
      <w:marRight w:val="0"/>
      <w:marTop w:val="0"/>
      <w:marBottom w:val="0"/>
      <w:divBdr>
        <w:top w:val="none" w:sz="0" w:space="0" w:color="auto"/>
        <w:left w:val="none" w:sz="0" w:space="0" w:color="auto"/>
        <w:bottom w:val="none" w:sz="0" w:space="0" w:color="auto"/>
        <w:right w:val="none" w:sz="0" w:space="0" w:color="auto"/>
      </w:divBdr>
    </w:div>
    <w:div w:id="1212500695">
      <w:bodyDiv w:val="1"/>
      <w:marLeft w:val="0"/>
      <w:marRight w:val="0"/>
      <w:marTop w:val="0"/>
      <w:marBottom w:val="0"/>
      <w:divBdr>
        <w:top w:val="none" w:sz="0" w:space="0" w:color="auto"/>
        <w:left w:val="none" w:sz="0" w:space="0" w:color="auto"/>
        <w:bottom w:val="none" w:sz="0" w:space="0" w:color="auto"/>
        <w:right w:val="none" w:sz="0" w:space="0" w:color="auto"/>
      </w:divBdr>
      <w:divsChild>
        <w:div w:id="665208448">
          <w:marLeft w:val="0"/>
          <w:marRight w:val="0"/>
          <w:marTop w:val="0"/>
          <w:marBottom w:val="0"/>
          <w:divBdr>
            <w:top w:val="none" w:sz="0" w:space="0" w:color="auto"/>
            <w:left w:val="none" w:sz="0" w:space="0" w:color="auto"/>
            <w:bottom w:val="none" w:sz="0" w:space="0" w:color="auto"/>
            <w:right w:val="none" w:sz="0" w:space="0" w:color="auto"/>
          </w:divBdr>
          <w:divsChild>
            <w:div w:id="15646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6957">
      <w:bodyDiv w:val="1"/>
      <w:marLeft w:val="0"/>
      <w:marRight w:val="0"/>
      <w:marTop w:val="0"/>
      <w:marBottom w:val="0"/>
      <w:divBdr>
        <w:top w:val="none" w:sz="0" w:space="0" w:color="auto"/>
        <w:left w:val="none" w:sz="0" w:space="0" w:color="auto"/>
        <w:bottom w:val="none" w:sz="0" w:space="0" w:color="auto"/>
        <w:right w:val="none" w:sz="0" w:space="0" w:color="auto"/>
      </w:divBdr>
    </w:div>
    <w:div w:id="1459689415">
      <w:bodyDiv w:val="1"/>
      <w:marLeft w:val="0"/>
      <w:marRight w:val="0"/>
      <w:marTop w:val="0"/>
      <w:marBottom w:val="0"/>
      <w:divBdr>
        <w:top w:val="none" w:sz="0" w:space="0" w:color="auto"/>
        <w:left w:val="none" w:sz="0" w:space="0" w:color="auto"/>
        <w:bottom w:val="none" w:sz="0" w:space="0" w:color="auto"/>
        <w:right w:val="none" w:sz="0" w:space="0" w:color="auto"/>
      </w:divBdr>
    </w:div>
    <w:div w:id="14767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830/CVJA-2016-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8692</Words>
  <Characters>49548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2</cp:revision>
  <dcterms:created xsi:type="dcterms:W3CDTF">2026-02-23T17:49:00Z</dcterms:created>
  <dcterms:modified xsi:type="dcterms:W3CDTF">2026-02-23T17:49:00Z</dcterms:modified>
</cp:coreProperties>
</file>