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0124C" w14:textId="2081E784" w:rsidR="009363BB" w:rsidRPr="00480C1B" w:rsidRDefault="009363BB" w:rsidP="00480C1B">
      <w:pPr>
        <w:jc w:val="center"/>
        <w:rPr>
          <w:rFonts w:ascii="Times New Roman" w:hAnsi="Times New Roman" w:cs="Times New Roman"/>
          <w:b/>
          <w:bCs/>
          <w:i/>
          <w:iCs/>
          <w:color w:val="000000" w:themeColor="text1"/>
          <w:sz w:val="28"/>
          <w:szCs w:val="28"/>
          <w:u w:val="single"/>
        </w:rPr>
      </w:pPr>
      <w:bookmarkStart w:id="0" w:name="_Hlk106437725"/>
      <w:r w:rsidRPr="00480C1B">
        <w:rPr>
          <w:rFonts w:ascii="Times New Roman" w:hAnsi="Times New Roman" w:cs="Times New Roman"/>
          <w:b/>
          <w:bCs/>
          <w:i/>
          <w:iCs/>
          <w:color w:val="000000" w:themeColor="text1"/>
          <w:sz w:val="28"/>
          <w:szCs w:val="28"/>
          <w:u w:val="single"/>
        </w:rPr>
        <w:t>Original Research article</w:t>
      </w:r>
    </w:p>
    <w:p w14:paraId="087E9460" w14:textId="77777777" w:rsidR="00B3442A" w:rsidRDefault="00350A71" w:rsidP="003C4C3A">
      <w:pPr>
        <w:pStyle w:val="CommentText"/>
        <w:spacing w:line="360" w:lineRule="auto"/>
        <w:jc w:val="center"/>
        <w:rPr>
          <w:rFonts w:ascii="Times New Roman" w:hAnsi="Times New Roman" w:cs="Times New Roman"/>
          <w:b/>
          <w:bCs/>
          <w:sz w:val="28"/>
          <w:szCs w:val="28"/>
        </w:rPr>
      </w:pPr>
      <w:r>
        <w:rPr>
          <w:rFonts w:ascii="Times New Roman" w:hAnsi="Times New Roman" w:cs="Times New Roman"/>
          <w:b/>
          <w:bCs/>
          <w:color w:val="000000" w:themeColor="text1"/>
          <w:sz w:val="28"/>
          <w:szCs w:val="28"/>
        </w:rPr>
        <w:t xml:space="preserve">Growth and phenology of minor </w:t>
      </w:r>
      <w:r w:rsidRPr="00B3442A">
        <w:rPr>
          <w:rFonts w:ascii="Times New Roman" w:hAnsi="Times New Roman" w:cs="Times New Roman"/>
          <w:b/>
          <w:bCs/>
          <w:color w:val="000000" w:themeColor="text1"/>
          <w:sz w:val="28"/>
          <w:szCs w:val="28"/>
        </w:rPr>
        <w:t>millets as influenced by fertility levels</w:t>
      </w:r>
      <w:r w:rsidR="00B3442A" w:rsidRPr="00B3442A">
        <w:rPr>
          <w:rFonts w:ascii="Times New Roman" w:hAnsi="Times New Roman" w:cs="Times New Roman"/>
          <w:b/>
          <w:bCs/>
          <w:color w:val="000000" w:themeColor="text1"/>
          <w:sz w:val="28"/>
          <w:szCs w:val="28"/>
        </w:rPr>
        <w:t xml:space="preserve"> </w:t>
      </w:r>
      <w:r w:rsidR="00B3442A" w:rsidRPr="00B3442A">
        <w:rPr>
          <w:rFonts w:ascii="Times New Roman" w:hAnsi="Times New Roman" w:cs="Times New Roman"/>
          <w:b/>
          <w:bCs/>
          <w:sz w:val="28"/>
          <w:szCs w:val="28"/>
          <w:highlight w:val="yellow"/>
        </w:rPr>
        <w:t>under semi-arid conditions of Haryana</w:t>
      </w:r>
    </w:p>
    <w:p w14:paraId="7A85DDEC" w14:textId="4133C1BE" w:rsidR="007D6271" w:rsidRPr="009A5D3B" w:rsidRDefault="007D6271" w:rsidP="00350A71">
      <w:pPr>
        <w:spacing w:before="120" w:after="120"/>
        <w:jc w:val="center"/>
        <w:rPr>
          <w:rFonts w:ascii="Times New Roman" w:eastAsia="Calibri" w:hAnsi="Times New Roman" w:cs="Times New Roman"/>
          <w:b/>
          <w:bCs/>
          <w:iCs/>
          <w:color w:val="000000" w:themeColor="text1"/>
          <w:sz w:val="24"/>
          <w:szCs w:val="24"/>
          <w:lang w:val="en-IN"/>
        </w:rPr>
      </w:pPr>
      <w:r w:rsidRPr="009A5D3B">
        <w:rPr>
          <w:rFonts w:ascii="Times New Roman" w:hAnsi="Times New Roman" w:cs="Times New Roman"/>
          <w:b/>
          <w:bCs/>
          <w:color w:val="000000"/>
          <w:sz w:val="24"/>
          <w:szCs w:val="24"/>
        </w:rPr>
        <w:t>ABSTRACT</w:t>
      </w:r>
      <w:bookmarkEnd w:id="0"/>
    </w:p>
    <w:p w14:paraId="7E07A79A" w14:textId="6D65E2AF" w:rsidR="00D47A71" w:rsidRPr="009A5D3B" w:rsidRDefault="00691DED" w:rsidP="009A5D3B">
      <w:pPr>
        <w:autoSpaceDE w:val="0"/>
        <w:autoSpaceDN w:val="0"/>
        <w:adjustRightInd w:val="0"/>
        <w:rPr>
          <w:rFonts w:ascii="Times New Roman" w:eastAsiaTheme="minorHAnsi" w:hAnsi="Times New Roman" w:cs="Times New Roman"/>
          <w:bCs/>
          <w:sz w:val="24"/>
          <w:szCs w:val="24"/>
          <w:lang w:val="en-IN"/>
        </w:rPr>
      </w:pPr>
      <w:r w:rsidRPr="009A5D3B">
        <w:rPr>
          <w:rFonts w:ascii="Times New Roman" w:eastAsiaTheme="minorHAnsi" w:hAnsi="Times New Roman" w:cs="Times New Roman"/>
          <w:bCs/>
          <w:sz w:val="24"/>
          <w:szCs w:val="24"/>
          <w:lang w:val="en-IN"/>
        </w:rPr>
        <w:t xml:space="preserve">Decline in productivity of major cereal crops has been observed due to climate change and global warming. </w:t>
      </w:r>
      <w:r w:rsidRPr="004D5287">
        <w:rPr>
          <w:rFonts w:ascii="Times New Roman" w:eastAsiaTheme="minorHAnsi" w:hAnsi="Times New Roman" w:cs="Times New Roman"/>
          <w:bCs/>
          <w:color w:val="000000" w:themeColor="text1"/>
          <w:sz w:val="24"/>
          <w:szCs w:val="24"/>
          <w:lang w:val="en-IN"/>
        </w:rPr>
        <w:t>The main effects of climate change are increase in temperature, uncertainties in rainfall and enhancement of greenhouse gasses emission. So</w:t>
      </w:r>
      <w:r w:rsidRPr="009A5D3B">
        <w:rPr>
          <w:rFonts w:ascii="Times New Roman" w:eastAsiaTheme="minorHAnsi" w:hAnsi="Times New Roman" w:cs="Times New Roman"/>
          <w:bCs/>
          <w:sz w:val="24"/>
          <w:szCs w:val="24"/>
          <w:lang w:val="en-IN"/>
        </w:rPr>
        <w:t xml:space="preserve">, under these changed climatic scenario to ensure the nutrition and food security at national level the adoption of millets may be a good choice as millets are climate smart crops because of </w:t>
      </w:r>
      <w:r w:rsidR="00F55496" w:rsidRPr="009A5D3B">
        <w:rPr>
          <w:rFonts w:ascii="Times New Roman" w:eastAsiaTheme="minorHAnsi" w:hAnsi="Times New Roman" w:cs="Times New Roman"/>
          <w:bCs/>
          <w:sz w:val="24"/>
          <w:szCs w:val="24"/>
          <w:lang w:val="en-IN"/>
        </w:rPr>
        <w:t xml:space="preserve">their </w:t>
      </w:r>
      <w:r w:rsidRPr="009A5D3B">
        <w:rPr>
          <w:rFonts w:ascii="Times New Roman" w:eastAsiaTheme="minorHAnsi" w:hAnsi="Times New Roman" w:cs="Times New Roman"/>
          <w:bCs/>
          <w:sz w:val="24"/>
          <w:szCs w:val="24"/>
          <w:lang w:val="en-IN"/>
        </w:rPr>
        <w:t>high nutritive value</w:t>
      </w:r>
      <w:r w:rsidR="00F55496" w:rsidRPr="009A5D3B">
        <w:rPr>
          <w:rFonts w:ascii="Times New Roman" w:eastAsiaTheme="minorHAnsi" w:hAnsi="Times New Roman" w:cs="Times New Roman"/>
          <w:bCs/>
          <w:sz w:val="24"/>
          <w:szCs w:val="24"/>
          <w:lang w:val="en-IN"/>
        </w:rPr>
        <w:t xml:space="preserve">, better adaptation to </w:t>
      </w:r>
      <w:r w:rsidRPr="009A5D3B">
        <w:rPr>
          <w:rFonts w:ascii="Times New Roman" w:eastAsiaTheme="minorHAnsi" w:hAnsi="Times New Roman" w:cs="Times New Roman"/>
          <w:bCs/>
          <w:sz w:val="24"/>
          <w:szCs w:val="24"/>
          <w:lang w:val="en-IN"/>
        </w:rPr>
        <w:t xml:space="preserve">warm and drought conditions with short life, </w:t>
      </w:r>
      <w:r w:rsidR="00F55496" w:rsidRPr="009A5D3B">
        <w:rPr>
          <w:rFonts w:ascii="Times New Roman" w:eastAsiaTheme="minorHAnsi" w:hAnsi="Times New Roman" w:cs="Times New Roman"/>
          <w:bCs/>
          <w:sz w:val="24"/>
          <w:szCs w:val="24"/>
          <w:lang w:val="en-IN"/>
        </w:rPr>
        <w:t xml:space="preserve">low external inputs requirement and higher </w:t>
      </w:r>
      <w:r w:rsidRPr="009A5D3B">
        <w:rPr>
          <w:rFonts w:ascii="Times New Roman" w:eastAsiaTheme="minorHAnsi" w:hAnsi="Times New Roman" w:cs="Times New Roman"/>
          <w:bCs/>
          <w:sz w:val="24"/>
          <w:szCs w:val="24"/>
          <w:lang w:val="en-IN"/>
        </w:rPr>
        <w:t>tolerance to water and temperatures stress</w:t>
      </w:r>
      <w:r w:rsidR="00F55496" w:rsidRPr="009A5D3B">
        <w:rPr>
          <w:rFonts w:ascii="Times New Roman" w:eastAsiaTheme="minorHAnsi" w:hAnsi="Times New Roman" w:cs="Times New Roman"/>
          <w:bCs/>
          <w:sz w:val="24"/>
          <w:szCs w:val="24"/>
          <w:lang w:val="en-IN"/>
        </w:rPr>
        <w:t xml:space="preserve">. </w:t>
      </w:r>
      <w:r w:rsidR="00D47A71" w:rsidRPr="009A5D3B">
        <w:rPr>
          <w:rFonts w:ascii="Times New Roman" w:eastAsiaTheme="minorHAnsi" w:hAnsi="Times New Roman" w:cs="Times New Roman"/>
          <w:bCs/>
          <w:sz w:val="24"/>
          <w:szCs w:val="24"/>
          <w:lang w:val="en-IN"/>
        </w:rPr>
        <w:t>The extent cultivated for the production of minor millets in India has declined significantly in recent decades due to the dominance of major cereal crops, despite their nutritional and agronomic benefits. Enhancement of millet productivity involves efficient nutrient management practices, especially nitrogen (N) and phosphorus (P), to maximize growth and yield. The goal of this research was to evaluate the growth and phenology response of different minor millet varieties under different levels of nitrogen and phosphorus application.</w:t>
      </w:r>
      <w:r w:rsidR="009A5D3B" w:rsidRPr="009A5D3B">
        <w:rPr>
          <w:rFonts w:ascii="Times New Roman" w:eastAsiaTheme="minorHAnsi" w:hAnsi="Times New Roman" w:cs="Times New Roman"/>
          <w:bCs/>
          <w:sz w:val="24"/>
          <w:szCs w:val="24"/>
          <w:lang w:val="en-IN"/>
        </w:rPr>
        <w:t xml:space="preserve"> </w:t>
      </w:r>
      <w:r w:rsidR="00D47A71" w:rsidRPr="009A5D3B">
        <w:rPr>
          <w:rFonts w:ascii="Times New Roman" w:hAnsi="Times New Roman" w:cs="Times New Roman"/>
          <w:color w:val="000000"/>
          <w:sz w:val="24"/>
          <w:szCs w:val="24"/>
        </w:rPr>
        <w:t xml:space="preserve">Specifically, the study </w:t>
      </w:r>
      <w:r w:rsidR="00D47A71" w:rsidRPr="009A5D3B">
        <w:rPr>
          <w:rFonts w:ascii="Times New Roman" w:hAnsi="Times New Roman" w:cs="Times New Roman"/>
          <w:sz w:val="24"/>
          <w:szCs w:val="24"/>
        </w:rPr>
        <w:t>was laid out in split plot design to analyze</w:t>
      </w:r>
      <w:r w:rsidR="00D47A71" w:rsidRPr="009A5D3B">
        <w:rPr>
          <w:rFonts w:ascii="Times New Roman" w:hAnsi="Times New Roman" w:cs="Times New Roman"/>
          <w:color w:val="000000"/>
          <w:sz w:val="24"/>
          <w:szCs w:val="24"/>
        </w:rPr>
        <w:t xml:space="preserve"> four </w:t>
      </w:r>
      <w:r w:rsidR="005F7FAF" w:rsidRPr="00706F13">
        <w:rPr>
          <w:rFonts w:ascii="Times New Roman" w:hAnsi="Times New Roman" w:cs="Times New Roman"/>
          <w:color w:val="000000"/>
          <w:sz w:val="24"/>
          <w:szCs w:val="24"/>
          <w:highlight w:val="yellow"/>
        </w:rPr>
        <w:t>species</w:t>
      </w:r>
      <w:r w:rsidR="005F7FAF">
        <w:rPr>
          <w:rFonts w:ascii="Times New Roman" w:hAnsi="Times New Roman" w:cs="Times New Roman"/>
          <w:color w:val="000000"/>
          <w:sz w:val="24"/>
          <w:szCs w:val="24"/>
        </w:rPr>
        <w:t xml:space="preserve"> </w:t>
      </w:r>
      <w:r w:rsidR="00D47A71" w:rsidRPr="009A5D3B">
        <w:rPr>
          <w:rFonts w:ascii="Times New Roman" w:hAnsi="Times New Roman" w:cs="Times New Roman"/>
          <w:color w:val="000000"/>
          <w:sz w:val="24"/>
          <w:szCs w:val="24"/>
        </w:rPr>
        <w:t>of various minor millets: Foxtail millet (SIA</w:t>
      </w:r>
      <w:r w:rsidR="002167FC">
        <w:rPr>
          <w:rFonts w:ascii="Times New Roman" w:hAnsi="Times New Roman" w:cs="Times New Roman"/>
          <w:color w:val="000000"/>
          <w:sz w:val="24"/>
          <w:szCs w:val="24"/>
        </w:rPr>
        <w:t xml:space="preserve"> </w:t>
      </w:r>
      <w:r w:rsidR="00D47A71" w:rsidRPr="009A5D3B">
        <w:rPr>
          <w:rFonts w:ascii="Times New Roman" w:hAnsi="Times New Roman" w:cs="Times New Roman"/>
          <w:color w:val="000000"/>
          <w:sz w:val="24"/>
          <w:szCs w:val="24"/>
        </w:rPr>
        <w:t>3156), Barnyard millet (VL</w:t>
      </w:r>
      <w:r w:rsidR="002167FC">
        <w:rPr>
          <w:rFonts w:ascii="Times New Roman" w:hAnsi="Times New Roman" w:cs="Times New Roman"/>
          <w:color w:val="000000"/>
          <w:sz w:val="24"/>
          <w:szCs w:val="24"/>
        </w:rPr>
        <w:t xml:space="preserve"> </w:t>
      </w:r>
      <w:r w:rsidR="00D47A71" w:rsidRPr="009A5D3B">
        <w:rPr>
          <w:rFonts w:ascii="Times New Roman" w:hAnsi="Times New Roman" w:cs="Times New Roman"/>
          <w:color w:val="000000"/>
          <w:sz w:val="24"/>
          <w:szCs w:val="24"/>
        </w:rPr>
        <w:t>207), Proso millet (TNAU</w:t>
      </w:r>
      <w:r w:rsidR="002167FC">
        <w:rPr>
          <w:rFonts w:ascii="Times New Roman" w:hAnsi="Times New Roman" w:cs="Times New Roman"/>
          <w:color w:val="000000"/>
          <w:sz w:val="24"/>
          <w:szCs w:val="24"/>
        </w:rPr>
        <w:t xml:space="preserve"> </w:t>
      </w:r>
      <w:r w:rsidR="00D47A71" w:rsidRPr="009A5D3B">
        <w:rPr>
          <w:rFonts w:ascii="Times New Roman" w:hAnsi="Times New Roman" w:cs="Times New Roman"/>
          <w:color w:val="000000"/>
          <w:sz w:val="24"/>
          <w:szCs w:val="24"/>
        </w:rPr>
        <w:t>202), and Finger millet (GPU</w:t>
      </w:r>
      <w:r w:rsidR="002167FC">
        <w:rPr>
          <w:rFonts w:ascii="Times New Roman" w:hAnsi="Times New Roman" w:cs="Times New Roman"/>
          <w:color w:val="000000"/>
          <w:sz w:val="24"/>
          <w:szCs w:val="24"/>
        </w:rPr>
        <w:t xml:space="preserve"> </w:t>
      </w:r>
      <w:r w:rsidR="00D47A71" w:rsidRPr="009A5D3B">
        <w:rPr>
          <w:rFonts w:ascii="Times New Roman" w:hAnsi="Times New Roman" w:cs="Times New Roman"/>
          <w:color w:val="000000"/>
          <w:sz w:val="24"/>
          <w:szCs w:val="24"/>
        </w:rPr>
        <w:t>67) designated as main plots. Additionally, four levels of nitrogen and phosphorus are applied in sub-plots, categorized as N</w:t>
      </w:r>
      <w:r w:rsidR="00D47A71" w:rsidRPr="009A5D3B">
        <w:rPr>
          <w:rFonts w:ascii="Times New Roman" w:hAnsi="Times New Roman" w:cs="Times New Roman"/>
          <w:color w:val="000000"/>
          <w:sz w:val="24"/>
          <w:szCs w:val="24"/>
          <w:vertAlign w:val="subscript"/>
        </w:rPr>
        <w:t>0</w:t>
      </w:r>
      <w:r w:rsidR="00D47A71" w:rsidRPr="009A5D3B">
        <w:rPr>
          <w:rFonts w:ascii="Times New Roman" w:hAnsi="Times New Roman" w:cs="Times New Roman"/>
          <w:color w:val="000000"/>
          <w:sz w:val="24"/>
          <w:szCs w:val="24"/>
        </w:rPr>
        <w:t xml:space="preserve"> + P</w:t>
      </w:r>
      <w:r w:rsidR="00D47A71" w:rsidRPr="009A5D3B">
        <w:rPr>
          <w:rFonts w:ascii="Times New Roman" w:hAnsi="Times New Roman" w:cs="Times New Roman"/>
          <w:color w:val="000000"/>
          <w:sz w:val="24"/>
          <w:szCs w:val="24"/>
          <w:vertAlign w:val="subscript"/>
        </w:rPr>
        <w:t>0</w:t>
      </w:r>
      <w:r w:rsidR="00D47A71" w:rsidRPr="009A5D3B">
        <w:rPr>
          <w:rFonts w:ascii="Times New Roman" w:hAnsi="Times New Roman" w:cs="Times New Roman"/>
          <w:color w:val="000000"/>
          <w:sz w:val="24"/>
          <w:szCs w:val="24"/>
        </w:rPr>
        <w:t>, N</w:t>
      </w:r>
      <w:r w:rsidR="00D47A71" w:rsidRPr="009A5D3B">
        <w:rPr>
          <w:rFonts w:ascii="Times New Roman" w:hAnsi="Times New Roman" w:cs="Times New Roman"/>
          <w:color w:val="000000"/>
          <w:sz w:val="24"/>
          <w:szCs w:val="24"/>
          <w:vertAlign w:val="subscript"/>
        </w:rPr>
        <w:t>20</w:t>
      </w:r>
      <w:r w:rsidR="00D47A71" w:rsidRPr="009A5D3B">
        <w:rPr>
          <w:rFonts w:ascii="Times New Roman" w:hAnsi="Times New Roman" w:cs="Times New Roman"/>
          <w:color w:val="000000"/>
          <w:sz w:val="24"/>
          <w:szCs w:val="24"/>
        </w:rPr>
        <w:t xml:space="preserve"> + P</w:t>
      </w:r>
      <w:r w:rsidR="00D47A71" w:rsidRPr="009A5D3B">
        <w:rPr>
          <w:rFonts w:ascii="Times New Roman" w:hAnsi="Times New Roman" w:cs="Times New Roman"/>
          <w:color w:val="000000"/>
          <w:sz w:val="24"/>
          <w:szCs w:val="24"/>
          <w:vertAlign w:val="subscript"/>
        </w:rPr>
        <w:t>10</w:t>
      </w:r>
      <w:r w:rsidR="00D47A71" w:rsidRPr="009A5D3B">
        <w:rPr>
          <w:rFonts w:ascii="Times New Roman" w:hAnsi="Times New Roman" w:cs="Times New Roman"/>
          <w:color w:val="000000"/>
          <w:sz w:val="24"/>
          <w:szCs w:val="24"/>
        </w:rPr>
        <w:t>, N</w:t>
      </w:r>
      <w:r w:rsidR="00D47A71" w:rsidRPr="009A5D3B">
        <w:rPr>
          <w:rFonts w:ascii="Times New Roman" w:hAnsi="Times New Roman" w:cs="Times New Roman"/>
          <w:color w:val="000000"/>
          <w:sz w:val="24"/>
          <w:szCs w:val="24"/>
          <w:vertAlign w:val="subscript"/>
        </w:rPr>
        <w:t>40</w:t>
      </w:r>
      <w:r w:rsidR="00D47A71" w:rsidRPr="009A5D3B">
        <w:rPr>
          <w:rFonts w:ascii="Times New Roman" w:hAnsi="Times New Roman" w:cs="Times New Roman"/>
          <w:color w:val="000000"/>
          <w:sz w:val="24"/>
          <w:szCs w:val="24"/>
        </w:rPr>
        <w:t xml:space="preserve"> + P</w:t>
      </w:r>
      <w:r w:rsidR="00D47A71" w:rsidRPr="009A5D3B">
        <w:rPr>
          <w:rFonts w:ascii="Times New Roman" w:hAnsi="Times New Roman" w:cs="Times New Roman"/>
          <w:color w:val="000000"/>
          <w:sz w:val="24"/>
          <w:szCs w:val="24"/>
          <w:vertAlign w:val="subscript"/>
        </w:rPr>
        <w:t>20</w:t>
      </w:r>
      <w:r w:rsidR="00D47A71" w:rsidRPr="009A5D3B">
        <w:rPr>
          <w:rFonts w:ascii="Times New Roman" w:hAnsi="Times New Roman" w:cs="Times New Roman"/>
          <w:color w:val="000000"/>
          <w:sz w:val="24"/>
          <w:szCs w:val="24"/>
        </w:rPr>
        <w:t>, and N</w:t>
      </w:r>
      <w:r w:rsidR="00D47A71" w:rsidRPr="009A5D3B">
        <w:rPr>
          <w:rFonts w:ascii="Times New Roman" w:hAnsi="Times New Roman" w:cs="Times New Roman"/>
          <w:color w:val="000000"/>
          <w:sz w:val="24"/>
          <w:szCs w:val="24"/>
          <w:vertAlign w:val="subscript"/>
        </w:rPr>
        <w:t>60</w:t>
      </w:r>
      <w:r w:rsidR="00D47A71" w:rsidRPr="009A5D3B">
        <w:rPr>
          <w:rFonts w:ascii="Times New Roman" w:hAnsi="Times New Roman" w:cs="Times New Roman"/>
          <w:color w:val="000000"/>
          <w:sz w:val="24"/>
          <w:szCs w:val="24"/>
        </w:rPr>
        <w:t xml:space="preserve"> + P</w:t>
      </w:r>
      <w:r w:rsidR="00D47A71" w:rsidRPr="009A5D3B">
        <w:rPr>
          <w:rFonts w:ascii="Times New Roman" w:hAnsi="Times New Roman" w:cs="Times New Roman"/>
          <w:color w:val="000000"/>
          <w:sz w:val="24"/>
          <w:szCs w:val="24"/>
          <w:vertAlign w:val="subscript"/>
        </w:rPr>
        <w:t>30</w:t>
      </w:r>
      <w:r w:rsidR="00D47A71" w:rsidRPr="009A5D3B">
        <w:rPr>
          <w:rFonts w:ascii="Times New Roman" w:hAnsi="Times New Roman" w:cs="Times New Roman"/>
          <w:color w:val="000000"/>
          <w:sz w:val="24"/>
          <w:szCs w:val="24"/>
        </w:rPr>
        <w:t xml:space="preserve"> kg ha</w:t>
      </w:r>
      <w:r w:rsidR="00D47A71" w:rsidRPr="009A5D3B">
        <w:rPr>
          <w:rFonts w:ascii="Times New Roman" w:hAnsi="Times New Roman" w:cs="Times New Roman"/>
          <w:color w:val="000000"/>
          <w:sz w:val="24"/>
          <w:szCs w:val="24"/>
          <w:vertAlign w:val="superscript"/>
        </w:rPr>
        <w:t>-1</w:t>
      </w:r>
      <w:r w:rsidR="00D47A71" w:rsidRPr="009A5D3B">
        <w:rPr>
          <w:rFonts w:ascii="Times New Roman" w:hAnsi="Times New Roman" w:cs="Times New Roman"/>
          <w:color w:val="000000"/>
          <w:sz w:val="24"/>
          <w:szCs w:val="24"/>
        </w:rPr>
        <w:t>. The recorded data included growth attributes such as plant population (mrl</w:t>
      </w:r>
      <w:r w:rsidR="00D47A71" w:rsidRPr="009A5D3B">
        <w:rPr>
          <w:rFonts w:ascii="Times New Roman" w:hAnsi="Times New Roman" w:cs="Times New Roman"/>
          <w:color w:val="000000"/>
          <w:sz w:val="24"/>
          <w:szCs w:val="24"/>
          <w:vertAlign w:val="superscript"/>
        </w:rPr>
        <w:t>-1</w:t>
      </w:r>
      <w:r w:rsidR="00D47A71" w:rsidRPr="009A5D3B">
        <w:rPr>
          <w:rFonts w:ascii="Times New Roman" w:hAnsi="Times New Roman" w:cs="Times New Roman"/>
          <w:color w:val="000000"/>
          <w:sz w:val="24"/>
          <w:szCs w:val="24"/>
        </w:rPr>
        <w:t>), plant height (cm), dry matter accumulation (g mrl</w:t>
      </w:r>
      <w:r w:rsidR="00D47A71" w:rsidRPr="009A5D3B">
        <w:rPr>
          <w:rFonts w:ascii="Times New Roman" w:hAnsi="Times New Roman" w:cs="Times New Roman"/>
          <w:color w:val="000000"/>
          <w:sz w:val="24"/>
          <w:szCs w:val="24"/>
          <w:vertAlign w:val="superscript"/>
        </w:rPr>
        <w:t>-1</w:t>
      </w:r>
      <w:r w:rsidR="00D47A71" w:rsidRPr="009A5D3B">
        <w:rPr>
          <w:rFonts w:ascii="Times New Roman" w:hAnsi="Times New Roman" w:cs="Times New Roman"/>
          <w:color w:val="000000"/>
          <w:sz w:val="24"/>
          <w:szCs w:val="24"/>
        </w:rPr>
        <w:t>), and number of tillers (mrl</w:t>
      </w:r>
      <w:r w:rsidR="00D47A71" w:rsidRPr="009A5D3B">
        <w:rPr>
          <w:rFonts w:ascii="Times New Roman" w:hAnsi="Times New Roman" w:cs="Times New Roman"/>
          <w:color w:val="000000"/>
          <w:sz w:val="24"/>
          <w:szCs w:val="24"/>
          <w:vertAlign w:val="superscript"/>
        </w:rPr>
        <w:t>-1</w:t>
      </w:r>
      <w:r w:rsidR="00D47A71" w:rsidRPr="009A5D3B">
        <w:rPr>
          <w:rFonts w:ascii="Times New Roman" w:hAnsi="Times New Roman" w:cs="Times New Roman"/>
          <w:color w:val="000000"/>
          <w:sz w:val="24"/>
          <w:szCs w:val="24"/>
        </w:rPr>
        <w:t xml:space="preserve">). </w:t>
      </w:r>
      <w:r w:rsidR="00D47A71" w:rsidRPr="004D1524">
        <w:rPr>
          <w:rFonts w:ascii="Times New Roman" w:hAnsi="Times New Roman" w:cs="Times New Roman"/>
          <w:color w:val="000000"/>
          <w:sz w:val="24"/>
          <w:szCs w:val="24"/>
          <w:highlight w:val="yellow"/>
        </w:rPr>
        <w:t xml:space="preserve">Phenological </w:t>
      </w:r>
      <w:r w:rsidR="004D1524" w:rsidRPr="004D1524">
        <w:rPr>
          <w:rFonts w:ascii="Times New Roman" w:hAnsi="Times New Roman" w:cs="Times New Roman"/>
          <w:color w:val="000000"/>
          <w:sz w:val="24"/>
          <w:szCs w:val="24"/>
          <w:highlight w:val="yellow"/>
        </w:rPr>
        <w:t>observations</w:t>
      </w:r>
      <w:r w:rsidR="00D47A71" w:rsidRPr="004D1524">
        <w:rPr>
          <w:rFonts w:ascii="Times New Roman" w:hAnsi="Times New Roman" w:cs="Times New Roman"/>
          <w:color w:val="000000"/>
          <w:sz w:val="24"/>
          <w:szCs w:val="24"/>
          <w:highlight w:val="yellow"/>
        </w:rPr>
        <w:t xml:space="preserve"> were </w:t>
      </w:r>
      <w:r w:rsidR="004D1524" w:rsidRPr="004D1524">
        <w:rPr>
          <w:rFonts w:ascii="Times New Roman" w:hAnsi="Times New Roman" w:cs="Times New Roman"/>
          <w:color w:val="000000"/>
          <w:sz w:val="24"/>
          <w:szCs w:val="24"/>
          <w:highlight w:val="yellow"/>
        </w:rPr>
        <w:t>recorded</w:t>
      </w:r>
      <w:r w:rsidR="00D47A71" w:rsidRPr="009A5D3B">
        <w:rPr>
          <w:rFonts w:ascii="Times New Roman" w:hAnsi="Times New Roman" w:cs="Times New Roman"/>
          <w:color w:val="000000"/>
          <w:sz w:val="24"/>
          <w:szCs w:val="24"/>
        </w:rPr>
        <w:t>, including the measurement of days to crop emergence, days to heading, and days to maturity.</w:t>
      </w:r>
      <w:r w:rsidR="004D1524">
        <w:rPr>
          <w:rFonts w:ascii="Times New Roman" w:hAnsi="Times New Roman" w:cs="Times New Roman"/>
          <w:color w:val="000000"/>
          <w:sz w:val="24"/>
          <w:szCs w:val="24"/>
        </w:rPr>
        <w:t xml:space="preserve"> </w:t>
      </w:r>
      <w:r w:rsidR="00D47A71" w:rsidRPr="009A5D3B">
        <w:rPr>
          <w:rFonts w:ascii="Times New Roman" w:hAnsi="Times New Roman" w:cs="Times New Roman"/>
          <w:sz w:val="24"/>
          <w:szCs w:val="24"/>
        </w:rPr>
        <w:t xml:space="preserve">The results indicated </w:t>
      </w:r>
      <w:r w:rsidR="00A86A5E" w:rsidRPr="009A5D3B">
        <w:rPr>
          <w:rFonts w:ascii="Times New Roman" w:hAnsi="Times New Roman" w:cs="Times New Roman"/>
          <w:sz w:val="24"/>
          <w:szCs w:val="24"/>
        </w:rPr>
        <w:t xml:space="preserve">that </w:t>
      </w:r>
      <w:r w:rsidR="00D47A71" w:rsidRPr="009A5D3B">
        <w:rPr>
          <w:rFonts w:ascii="Times New Roman" w:hAnsi="Times New Roman" w:cs="Times New Roman"/>
          <w:sz w:val="24"/>
          <w:szCs w:val="24"/>
        </w:rPr>
        <w:t xml:space="preserve">the application of nitrogen and phosphorus </w:t>
      </w:r>
      <w:r w:rsidR="00A86A5E" w:rsidRPr="009A5D3B">
        <w:rPr>
          <w:rFonts w:ascii="Times New Roman" w:hAnsi="Times New Roman" w:cs="Times New Roman"/>
          <w:sz w:val="24"/>
          <w:szCs w:val="24"/>
        </w:rPr>
        <w:t>to</w:t>
      </w:r>
      <w:r w:rsidR="00D47A71" w:rsidRPr="009A5D3B">
        <w:rPr>
          <w:rFonts w:ascii="Times New Roman" w:hAnsi="Times New Roman" w:cs="Times New Roman"/>
          <w:sz w:val="24"/>
          <w:szCs w:val="24"/>
        </w:rPr>
        <w:t xml:space="preserve"> various minor millets significantly improved the growth and </w:t>
      </w:r>
      <w:r w:rsidR="00A86A5E" w:rsidRPr="009A5D3B">
        <w:rPr>
          <w:rFonts w:ascii="Times New Roman" w:hAnsi="Times New Roman" w:cs="Times New Roman"/>
          <w:sz w:val="24"/>
          <w:szCs w:val="24"/>
        </w:rPr>
        <w:t>phonological</w:t>
      </w:r>
      <w:r w:rsidR="00D47A71" w:rsidRPr="009A5D3B">
        <w:rPr>
          <w:rFonts w:ascii="Times New Roman" w:hAnsi="Times New Roman" w:cs="Times New Roman"/>
          <w:sz w:val="24"/>
          <w:szCs w:val="24"/>
        </w:rPr>
        <w:t xml:space="preserve"> attributes </w:t>
      </w:r>
      <w:r w:rsidR="00A86A5E" w:rsidRPr="009A5D3B">
        <w:rPr>
          <w:rFonts w:ascii="Times New Roman" w:hAnsi="Times New Roman" w:cs="Times New Roman"/>
          <w:sz w:val="24"/>
          <w:szCs w:val="24"/>
        </w:rPr>
        <w:t>of millets which finally affected yield performance.</w:t>
      </w:r>
    </w:p>
    <w:p w14:paraId="06B5BFAD" w14:textId="2019A79D" w:rsidR="007D6271" w:rsidRPr="009A5D3B" w:rsidRDefault="007D6271" w:rsidP="00350A71">
      <w:pPr>
        <w:widowControl w:val="0"/>
        <w:autoSpaceDE w:val="0"/>
        <w:autoSpaceDN w:val="0"/>
        <w:spacing w:before="120" w:after="120"/>
        <w:rPr>
          <w:rFonts w:ascii="Times New Roman" w:hAnsi="Times New Roman" w:cs="Times New Roman"/>
          <w:bCs/>
          <w:sz w:val="24"/>
          <w:szCs w:val="24"/>
        </w:rPr>
      </w:pPr>
      <w:r w:rsidRPr="009A5D3B">
        <w:rPr>
          <w:rFonts w:ascii="Times New Roman" w:hAnsi="Times New Roman" w:cs="Times New Roman"/>
          <w:b/>
          <w:bCs/>
          <w:sz w:val="24"/>
          <w:szCs w:val="24"/>
        </w:rPr>
        <w:t xml:space="preserve">Key words: </w:t>
      </w:r>
      <w:r w:rsidR="00D47A71" w:rsidRPr="009A5D3B">
        <w:rPr>
          <w:rFonts w:ascii="Times New Roman" w:hAnsi="Times New Roman" w:cs="Times New Roman"/>
          <w:bCs/>
          <w:sz w:val="24"/>
          <w:szCs w:val="24"/>
        </w:rPr>
        <w:t>Growth, Minor millets</w:t>
      </w:r>
      <w:r w:rsidRPr="009A5D3B">
        <w:rPr>
          <w:rFonts w:ascii="Times New Roman" w:hAnsi="Times New Roman" w:cs="Times New Roman"/>
          <w:bCs/>
          <w:sz w:val="24"/>
          <w:szCs w:val="24"/>
        </w:rPr>
        <w:t xml:space="preserve">, </w:t>
      </w:r>
      <w:r w:rsidR="00D47A71" w:rsidRPr="009A5D3B">
        <w:rPr>
          <w:rFonts w:ascii="Times New Roman" w:hAnsi="Times New Roman" w:cs="Times New Roman"/>
          <w:bCs/>
          <w:sz w:val="24"/>
          <w:szCs w:val="24"/>
        </w:rPr>
        <w:t>Nitrogen, Phenological, Phosphorus</w:t>
      </w:r>
    </w:p>
    <w:p w14:paraId="09B67AF7" w14:textId="77777777" w:rsidR="000313A4" w:rsidRDefault="000313A4" w:rsidP="00A811B0">
      <w:pPr>
        <w:pStyle w:val="Default"/>
        <w:spacing w:before="120" w:after="120" w:line="360" w:lineRule="auto"/>
        <w:jc w:val="center"/>
        <w:rPr>
          <w:rFonts w:ascii="Times New Roman" w:hAnsi="Times New Roman" w:cs="Times New Roman"/>
          <w:b/>
          <w:bCs/>
          <w:color w:val="000000" w:themeColor="text1"/>
        </w:rPr>
      </w:pPr>
    </w:p>
    <w:p w14:paraId="27F354B0" w14:textId="76788C97" w:rsidR="007D6271" w:rsidRPr="00A811B0" w:rsidRDefault="007D6271" w:rsidP="00A811B0">
      <w:pPr>
        <w:pStyle w:val="Default"/>
        <w:spacing w:before="120" w:after="120" w:line="360" w:lineRule="auto"/>
        <w:jc w:val="center"/>
        <w:rPr>
          <w:rFonts w:ascii="Times New Roman" w:hAnsi="Times New Roman" w:cs="Times New Roman"/>
          <w:b/>
          <w:bCs/>
          <w:color w:val="000000" w:themeColor="text1"/>
        </w:rPr>
      </w:pPr>
      <w:r w:rsidRPr="00A811B0">
        <w:rPr>
          <w:rFonts w:ascii="Times New Roman" w:hAnsi="Times New Roman" w:cs="Times New Roman"/>
          <w:b/>
          <w:bCs/>
          <w:color w:val="000000" w:themeColor="text1"/>
        </w:rPr>
        <w:t>INTRODUCTION</w:t>
      </w:r>
    </w:p>
    <w:p w14:paraId="3D04AC8B" w14:textId="0F12AF55" w:rsidR="00882211" w:rsidRPr="00A811B0" w:rsidRDefault="00882211" w:rsidP="00A811B0">
      <w:pPr>
        <w:pStyle w:val="Default"/>
        <w:spacing w:before="120" w:after="120" w:line="360" w:lineRule="auto"/>
        <w:ind w:firstLine="720"/>
        <w:jc w:val="both"/>
        <w:rPr>
          <w:rFonts w:ascii="Times New Roman" w:hAnsi="Times New Roman" w:cs="Times New Roman"/>
          <w:color w:val="000000" w:themeColor="text1"/>
        </w:rPr>
      </w:pPr>
      <w:r w:rsidRPr="00A811B0">
        <w:rPr>
          <w:rFonts w:ascii="Times New Roman" w:hAnsi="Times New Roman" w:cs="Times New Roman"/>
          <w:color w:val="000000" w:themeColor="text1"/>
        </w:rPr>
        <w:lastRenderedPageBreak/>
        <w:t xml:space="preserve">Minor millets are cereal crops with small seeds that belong to the grass family, the family </w:t>
      </w:r>
      <w:proofErr w:type="spellStart"/>
      <w:r w:rsidRPr="00A811B0">
        <w:rPr>
          <w:rFonts w:ascii="Times New Roman" w:hAnsi="Times New Roman" w:cs="Times New Roman"/>
          <w:i/>
          <w:color w:val="000000" w:themeColor="text1"/>
        </w:rPr>
        <w:t>Poaceae</w:t>
      </w:r>
      <w:proofErr w:type="spellEnd"/>
      <w:r w:rsidRPr="00A811B0">
        <w:rPr>
          <w:rFonts w:ascii="Times New Roman" w:hAnsi="Times New Roman" w:cs="Times New Roman"/>
          <w:color w:val="000000" w:themeColor="text1"/>
        </w:rPr>
        <w:t xml:space="preserve">, and were cultivated over 5,000 years ago. The major cultivation regions in dry and semi-dry conditions of India are Rajasthan, Uttar Pradesh, and Karnataka (Das </w:t>
      </w:r>
      <w:r w:rsidRPr="008B1B8F">
        <w:rPr>
          <w:rFonts w:ascii="Times New Roman" w:hAnsi="Times New Roman" w:cs="Times New Roman"/>
          <w:iCs/>
          <w:color w:val="000000" w:themeColor="text1"/>
          <w:highlight w:val="yellow"/>
        </w:rPr>
        <w:t>et al.,</w:t>
      </w:r>
      <w:r w:rsidRPr="00A811B0">
        <w:rPr>
          <w:rFonts w:ascii="Times New Roman" w:hAnsi="Times New Roman" w:cs="Times New Roman"/>
          <w:color w:val="000000" w:themeColor="text1"/>
        </w:rPr>
        <w:t xml:space="preserve"> 2019). Of the noted 11 minor millet species, the following: finger millet (</w:t>
      </w:r>
      <w:r w:rsidRPr="00A811B0">
        <w:rPr>
          <w:rFonts w:ascii="Times New Roman" w:hAnsi="Times New Roman" w:cs="Times New Roman"/>
          <w:i/>
          <w:color w:val="000000" w:themeColor="text1"/>
        </w:rPr>
        <w:t>Eleusine</w:t>
      </w:r>
      <w:r w:rsidR="004D5287">
        <w:rPr>
          <w:rFonts w:ascii="Times New Roman" w:hAnsi="Times New Roman" w:cs="Times New Roman"/>
          <w:i/>
          <w:color w:val="000000" w:themeColor="text1"/>
        </w:rPr>
        <w:t xml:space="preserve"> </w:t>
      </w:r>
      <w:r w:rsidRPr="00A811B0">
        <w:rPr>
          <w:rFonts w:ascii="Times New Roman" w:hAnsi="Times New Roman" w:cs="Times New Roman"/>
          <w:i/>
          <w:color w:val="000000" w:themeColor="text1"/>
        </w:rPr>
        <w:t>coracana</w:t>
      </w:r>
      <w:r w:rsidRPr="00A811B0">
        <w:rPr>
          <w:rFonts w:ascii="Times New Roman" w:hAnsi="Times New Roman" w:cs="Times New Roman"/>
          <w:color w:val="000000" w:themeColor="text1"/>
        </w:rPr>
        <w:t xml:space="preserve"> L.), foxtail millet (</w:t>
      </w:r>
      <w:proofErr w:type="spellStart"/>
      <w:r w:rsidRPr="00A7434B">
        <w:rPr>
          <w:rFonts w:ascii="Times New Roman" w:hAnsi="Times New Roman" w:cs="Times New Roman"/>
          <w:i/>
          <w:color w:val="000000" w:themeColor="text1"/>
          <w:highlight w:val="yellow"/>
        </w:rPr>
        <w:t>Setaria</w:t>
      </w:r>
      <w:proofErr w:type="spellEnd"/>
      <w:r w:rsidR="004D5287" w:rsidRPr="00A7434B">
        <w:rPr>
          <w:rFonts w:ascii="Times New Roman" w:hAnsi="Times New Roman" w:cs="Times New Roman"/>
          <w:i/>
          <w:color w:val="000000" w:themeColor="text1"/>
          <w:highlight w:val="yellow"/>
        </w:rPr>
        <w:t xml:space="preserve"> </w:t>
      </w:r>
      <w:proofErr w:type="spellStart"/>
      <w:r w:rsidRPr="00A7434B">
        <w:rPr>
          <w:rFonts w:ascii="Times New Roman" w:hAnsi="Times New Roman" w:cs="Times New Roman"/>
          <w:i/>
          <w:color w:val="000000" w:themeColor="text1"/>
          <w:highlight w:val="yellow"/>
        </w:rPr>
        <w:t>italica</w:t>
      </w:r>
      <w:proofErr w:type="spellEnd"/>
      <w:r w:rsidRPr="00A811B0">
        <w:rPr>
          <w:rFonts w:ascii="Times New Roman" w:hAnsi="Times New Roman" w:cs="Times New Roman"/>
          <w:color w:val="000000" w:themeColor="text1"/>
        </w:rPr>
        <w:t xml:space="preserve"> L.), barnyard millet (</w:t>
      </w:r>
      <w:proofErr w:type="spellStart"/>
      <w:r w:rsidRPr="00A811B0">
        <w:rPr>
          <w:rFonts w:ascii="Times New Roman" w:hAnsi="Times New Roman" w:cs="Times New Roman"/>
          <w:i/>
          <w:color w:val="000000" w:themeColor="text1"/>
        </w:rPr>
        <w:t>Echinochloa</w:t>
      </w:r>
      <w:proofErr w:type="spellEnd"/>
      <w:r w:rsidRPr="00A811B0">
        <w:rPr>
          <w:rFonts w:ascii="Times New Roman" w:hAnsi="Times New Roman" w:cs="Times New Roman"/>
          <w:color w:val="000000" w:themeColor="text1"/>
        </w:rPr>
        <w:t xml:space="preserve"> spp.), little millet (</w:t>
      </w:r>
      <w:r w:rsidRPr="00A7434B">
        <w:rPr>
          <w:rFonts w:ascii="Times New Roman" w:hAnsi="Times New Roman" w:cs="Times New Roman"/>
          <w:i/>
          <w:color w:val="000000" w:themeColor="text1"/>
          <w:highlight w:val="yellow"/>
        </w:rPr>
        <w:t>Panicum</w:t>
      </w:r>
      <w:r w:rsidR="004D5287" w:rsidRPr="00A7434B">
        <w:rPr>
          <w:rFonts w:ascii="Times New Roman" w:hAnsi="Times New Roman" w:cs="Times New Roman"/>
          <w:i/>
          <w:color w:val="000000" w:themeColor="text1"/>
          <w:highlight w:val="yellow"/>
        </w:rPr>
        <w:t xml:space="preserve"> </w:t>
      </w:r>
      <w:proofErr w:type="spellStart"/>
      <w:r w:rsidRPr="00A7434B">
        <w:rPr>
          <w:rFonts w:ascii="Times New Roman" w:hAnsi="Times New Roman" w:cs="Times New Roman"/>
          <w:i/>
          <w:color w:val="000000" w:themeColor="text1"/>
          <w:highlight w:val="yellow"/>
        </w:rPr>
        <w:t>sumatrense</w:t>
      </w:r>
      <w:proofErr w:type="spellEnd"/>
      <w:r w:rsidRPr="00A811B0">
        <w:rPr>
          <w:rFonts w:ascii="Times New Roman" w:hAnsi="Times New Roman" w:cs="Times New Roman"/>
          <w:color w:val="000000" w:themeColor="text1"/>
        </w:rPr>
        <w:t xml:space="preserve"> L.), </w:t>
      </w:r>
      <w:proofErr w:type="spellStart"/>
      <w:r w:rsidRPr="00A811B0">
        <w:rPr>
          <w:rFonts w:ascii="Times New Roman" w:hAnsi="Times New Roman" w:cs="Times New Roman"/>
          <w:color w:val="000000" w:themeColor="text1"/>
        </w:rPr>
        <w:t>proso</w:t>
      </w:r>
      <w:proofErr w:type="spellEnd"/>
      <w:r w:rsidRPr="00A811B0">
        <w:rPr>
          <w:rFonts w:ascii="Times New Roman" w:hAnsi="Times New Roman" w:cs="Times New Roman"/>
          <w:color w:val="000000" w:themeColor="text1"/>
        </w:rPr>
        <w:t xml:space="preserve"> millet (</w:t>
      </w:r>
      <w:r w:rsidRPr="00A7434B">
        <w:rPr>
          <w:rFonts w:ascii="Times New Roman" w:hAnsi="Times New Roman" w:cs="Times New Roman"/>
          <w:i/>
          <w:color w:val="000000" w:themeColor="text1"/>
          <w:highlight w:val="yellow"/>
        </w:rPr>
        <w:t>Panicum</w:t>
      </w:r>
      <w:r w:rsidR="00A7434B" w:rsidRPr="00A7434B">
        <w:rPr>
          <w:rFonts w:ascii="Times New Roman" w:hAnsi="Times New Roman" w:cs="Times New Roman"/>
          <w:i/>
          <w:color w:val="000000" w:themeColor="text1"/>
          <w:highlight w:val="yellow"/>
        </w:rPr>
        <w:t xml:space="preserve"> </w:t>
      </w:r>
      <w:proofErr w:type="spellStart"/>
      <w:r w:rsidRPr="00A7434B">
        <w:rPr>
          <w:rFonts w:ascii="Times New Roman" w:hAnsi="Times New Roman" w:cs="Times New Roman"/>
          <w:i/>
          <w:color w:val="000000" w:themeColor="text1"/>
          <w:highlight w:val="yellow"/>
        </w:rPr>
        <w:t>miliaceum</w:t>
      </w:r>
      <w:proofErr w:type="spellEnd"/>
      <w:r w:rsidRPr="00A7434B">
        <w:rPr>
          <w:rFonts w:ascii="Times New Roman" w:hAnsi="Times New Roman" w:cs="Times New Roman"/>
          <w:color w:val="000000" w:themeColor="text1"/>
          <w:highlight w:val="yellow"/>
        </w:rPr>
        <w:t xml:space="preserve"> L</w:t>
      </w:r>
      <w:r w:rsidRPr="00A811B0">
        <w:rPr>
          <w:rFonts w:ascii="Times New Roman" w:hAnsi="Times New Roman" w:cs="Times New Roman"/>
          <w:color w:val="000000" w:themeColor="text1"/>
        </w:rPr>
        <w:t xml:space="preserve">.), </w:t>
      </w:r>
      <w:proofErr w:type="spellStart"/>
      <w:r w:rsidRPr="00A811B0">
        <w:rPr>
          <w:rFonts w:ascii="Times New Roman" w:hAnsi="Times New Roman" w:cs="Times New Roman"/>
          <w:color w:val="000000" w:themeColor="text1"/>
        </w:rPr>
        <w:t>kodo</w:t>
      </w:r>
      <w:proofErr w:type="spellEnd"/>
      <w:r w:rsidRPr="00A811B0">
        <w:rPr>
          <w:rFonts w:ascii="Times New Roman" w:hAnsi="Times New Roman" w:cs="Times New Roman"/>
          <w:color w:val="000000" w:themeColor="text1"/>
        </w:rPr>
        <w:t xml:space="preserve"> millet (</w:t>
      </w:r>
      <w:proofErr w:type="spellStart"/>
      <w:r w:rsidRPr="00A7434B">
        <w:rPr>
          <w:rFonts w:ascii="Times New Roman" w:hAnsi="Times New Roman" w:cs="Times New Roman"/>
          <w:i/>
          <w:color w:val="000000" w:themeColor="text1"/>
          <w:highlight w:val="yellow"/>
        </w:rPr>
        <w:t>Paspalum</w:t>
      </w:r>
      <w:proofErr w:type="spellEnd"/>
      <w:r w:rsidR="00A7434B" w:rsidRPr="00A7434B">
        <w:rPr>
          <w:rFonts w:ascii="Times New Roman" w:hAnsi="Times New Roman" w:cs="Times New Roman"/>
          <w:i/>
          <w:color w:val="000000" w:themeColor="text1"/>
          <w:highlight w:val="yellow"/>
        </w:rPr>
        <w:t xml:space="preserve"> </w:t>
      </w:r>
      <w:proofErr w:type="spellStart"/>
      <w:r w:rsidRPr="00A7434B">
        <w:rPr>
          <w:rFonts w:ascii="Times New Roman" w:hAnsi="Times New Roman" w:cs="Times New Roman"/>
          <w:i/>
          <w:color w:val="000000" w:themeColor="text1"/>
          <w:highlight w:val="yellow"/>
        </w:rPr>
        <w:t>scrobiculatum</w:t>
      </w:r>
      <w:proofErr w:type="spellEnd"/>
      <w:r w:rsidRPr="00A811B0">
        <w:rPr>
          <w:rFonts w:ascii="Times New Roman" w:hAnsi="Times New Roman" w:cs="Times New Roman"/>
          <w:color w:val="000000" w:themeColor="text1"/>
        </w:rPr>
        <w:t xml:space="preserve"> L.), </w:t>
      </w:r>
      <w:proofErr w:type="spellStart"/>
      <w:r w:rsidRPr="00A811B0">
        <w:rPr>
          <w:rFonts w:ascii="Times New Roman" w:hAnsi="Times New Roman" w:cs="Times New Roman"/>
          <w:color w:val="000000" w:themeColor="text1"/>
        </w:rPr>
        <w:t>fonio</w:t>
      </w:r>
      <w:proofErr w:type="spellEnd"/>
      <w:r w:rsidRPr="00A811B0">
        <w:rPr>
          <w:rFonts w:ascii="Times New Roman" w:hAnsi="Times New Roman" w:cs="Times New Roman"/>
          <w:color w:val="000000" w:themeColor="text1"/>
        </w:rPr>
        <w:t xml:space="preserve"> millet (</w:t>
      </w:r>
      <w:proofErr w:type="spellStart"/>
      <w:r w:rsidRPr="00A7434B">
        <w:rPr>
          <w:rFonts w:ascii="Times New Roman" w:hAnsi="Times New Roman" w:cs="Times New Roman"/>
          <w:i/>
          <w:color w:val="000000" w:themeColor="text1"/>
          <w:highlight w:val="yellow"/>
        </w:rPr>
        <w:t>Digitaria</w:t>
      </w:r>
      <w:proofErr w:type="spellEnd"/>
      <w:r w:rsidR="00A7434B" w:rsidRPr="00A7434B">
        <w:rPr>
          <w:rFonts w:ascii="Times New Roman" w:hAnsi="Times New Roman" w:cs="Times New Roman"/>
          <w:i/>
          <w:color w:val="000000" w:themeColor="text1"/>
          <w:highlight w:val="yellow"/>
        </w:rPr>
        <w:t xml:space="preserve"> </w:t>
      </w:r>
      <w:proofErr w:type="spellStart"/>
      <w:r w:rsidRPr="00A7434B">
        <w:rPr>
          <w:rFonts w:ascii="Times New Roman" w:hAnsi="Times New Roman" w:cs="Times New Roman"/>
          <w:i/>
          <w:color w:val="000000" w:themeColor="text1"/>
          <w:highlight w:val="yellow"/>
        </w:rPr>
        <w:t>exilis</w:t>
      </w:r>
      <w:proofErr w:type="spellEnd"/>
      <w:r w:rsidRPr="00A7434B">
        <w:rPr>
          <w:rFonts w:ascii="Times New Roman" w:hAnsi="Times New Roman" w:cs="Times New Roman"/>
          <w:color w:val="000000" w:themeColor="text1"/>
          <w:highlight w:val="yellow"/>
        </w:rPr>
        <w:t xml:space="preserve"> L.</w:t>
      </w:r>
      <w:r w:rsidRPr="00A811B0">
        <w:rPr>
          <w:rFonts w:ascii="Times New Roman" w:hAnsi="Times New Roman" w:cs="Times New Roman"/>
          <w:color w:val="000000" w:themeColor="text1"/>
        </w:rPr>
        <w:t xml:space="preserve">), </w:t>
      </w:r>
      <w:proofErr w:type="spellStart"/>
      <w:r w:rsidRPr="00A811B0">
        <w:rPr>
          <w:rFonts w:ascii="Times New Roman" w:hAnsi="Times New Roman" w:cs="Times New Roman"/>
          <w:color w:val="000000" w:themeColor="text1"/>
        </w:rPr>
        <w:t>teff</w:t>
      </w:r>
      <w:proofErr w:type="spellEnd"/>
      <w:r w:rsidR="007A5EDD">
        <w:rPr>
          <w:rFonts w:ascii="Times New Roman" w:hAnsi="Times New Roman" w:cs="Times New Roman"/>
          <w:color w:val="000000" w:themeColor="text1"/>
        </w:rPr>
        <w:t xml:space="preserve"> </w:t>
      </w:r>
      <w:r w:rsidRPr="00A811B0">
        <w:rPr>
          <w:rFonts w:ascii="Times New Roman" w:hAnsi="Times New Roman" w:cs="Times New Roman"/>
          <w:color w:val="000000" w:themeColor="text1"/>
        </w:rPr>
        <w:t>(</w:t>
      </w:r>
      <w:proofErr w:type="spellStart"/>
      <w:r w:rsidRPr="00351E4C">
        <w:rPr>
          <w:rFonts w:ascii="Times New Roman" w:hAnsi="Times New Roman" w:cs="Times New Roman"/>
          <w:i/>
          <w:color w:val="000000" w:themeColor="text1"/>
          <w:highlight w:val="yellow"/>
        </w:rPr>
        <w:t>Eragrostis</w:t>
      </w:r>
      <w:proofErr w:type="spellEnd"/>
      <w:r w:rsidR="00351E4C" w:rsidRPr="00351E4C">
        <w:rPr>
          <w:rFonts w:ascii="Times New Roman" w:hAnsi="Times New Roman" w:cs="Times New Roman"/>
          <w:i/>
          <w:color w:val="000000" w:themeColor="text1"/>
          <w:highlight w:val="yellow"/>
        </w:rPr>
        <w:t xml:space="preserve"> </w:t>
      </w:r>
      <w:proofErr w:type="spellStart"/>
      <w:r w:rsidRPr="00351E4C">
        <w:rPr>
          <w:rFonts w:ascii="Times New Roman" w:hAnsi="Times New Roman" w:cs="Times New Roman"/>
          <w:i/>
          <w:color w:val="000000" w:themeColor="text1"/>
          <w:highlight w:val="yellow"/>
        </w:rPr>
        <w:t>tef</w:t>
      </w:r>
      <w:proofErr w:type="spellEnd"/>
      <w:r w:rsidRPr="00351E4C">
        <w:rPr>
          <w:rFonts w:ascii="Times New Roman" w:hAnsi="Times New Roman" w:cs="Times New Roman"/>
          <w:color w:val="000000" w:themeColor="text1"/>
          <w:highlight w:val="yellow"/>
        </w:rPr>
        <w:t xml:space="preserve"> (</w:t>
      </w:r>
      <w:proofErr w:type="spellStart"/>
      <w:r w:rsidRPr="00351E4C">
        <w:rPr>
          <w:rFonts w:ascii="Times New Roman" w:hAnsi="Times New Roman" w:cs="Times New Roman"/>
          <w:color w:val="000000" w:themeColor="text1"/>
          <w:highlight w:val="yellow"/>
        </w:rPr>
        <w:t>Zucc</w:t>
      </w:r>
      <w:proofErr w:type="spellEnd"/>
      <w:r w:rsidRPr="00351E4C">
        <w:rPr>
          <w:rFonts w:ascii="Times New Roman" w:hAnsi="Times New Roman" w:cs="Times New Roman"/>
          <w:color w:val="000000" w:themeColor="text1"/>
          <w:highlight w:val="yellow"/>
        </w:rPr>
        <w:t>.) Trotter</w:t>
      </w:r>
      <w:r w:rsidRPr="00A811B0">
        <w:rPr>
          <w:rFonts w:ascii="Times New Roman" w:hAnsi="Times New Roman" w:cs="Times New Roman"/>
          <w:color w:val="000000" w:themeColor="text1"/>
        </w:rPr>
        <w:t>), brown top millet (</w:t>
      </w:r>
      <w:proofErr w:type="spellStart"/>
      <w:r w:rsidRPr="00A811B0">
        <w:rPr>
          <w:rFonts w:ascii="Times New Roman" w:hAnsi="Times New Roman" w:cs="Times New Roman"/>
          <w:i/>
          <w:color w:val="000000" w:themeColor="text1"/>
        </w:rPr>
        <w:t>Urochloa</w:t>
      </w:r>
      <w:proofErr w:type="spellEnd"/>
      <w:r w:rsidRPr="00A811B0">
        <w:rPr>
          <w:rFonts w:ascii="Times New Roman" w:hAnsi="Times New Roman" w:cs="Times New Roman"/>
          <w:i/>
          <w:color w:val="000000" w:themeColor="text1"/>
        </w:rPr>
        <w:t xml:space="preserve"> ramose</w:t>
      </w:r>
      <w:r w:rsidRPr="00A811B0">
        <w:rPr>
          <w:rFonts w:ascii="Times New Roman" w:hAnsi="Times New Roman" w:cs="Times New Roman"/>
          <w:color w:val="000000" w:themeColor="text1"/>
        </w:rPr>
        <w:t xml:space="preserve"> L.), Job’s tears (</w:t>
      </w:r>
      <w:proofErr w:type="spellStart"/>
      <w:r w:rsidRPr="007A5EDD">
        <w:rPr>
          <w:rFonts w:ascii="Times New Roman" w:hAnsi="Times New Roman" w:cs="Times New Roman"/>
          <w:i/>
          <w:color w:val="000000" w:themeColor="text1"/>
          <w:highlight w:val="yellow"/>
        </w:rPr>
        <w:t>Coix</w:t>
      </w:r>
      <w:proofErr w:type="spellEnd"/>
      <w:r w:rsidR="007A5EDD" w:rsidRPr="007A5EDD">
        <w:rPr>
          <w:rFonts w:ascii="Times New Roman" w:hAnsi="Times New Roman" w:cs="Times New Roman"/>
          <w:i/>
          <w:color w:val="000000" w:themeColor="text1"/>
          <w:highlight w:val="yellow"/>
        </w:rPr>
        <w:t xml:space="preserve"> </w:t>
      </w:r>
      <w:proofErr w:type="spellStart"/>
      <w:r w:rsidRPr="007A5EDD">
        <w:rPr>
          <w:rFonts w:ascii="Times New Roman" w:hAnsi="Times New Roman" w:cs="Times New Roman"/>
          <w:i/>
          <w:color w:val="000000" w:themeColor="text1"/>
          <w:highlight w:val="yellow"/>
        </w:rPr>
        <w:t>lacryma-jobi</w:t>
      </w:r>
      <w:proofErr w:type="spellEnd"/>
      <w:r w:rsidRPr="00A811B0">
        <w:rPr>
          <w:rFonts w:ascii="Times New Roman" w:hAnsi="Times New Roman" w:cs="Times New Roman"/>
          <w:color w:val="000000" w:themeColor="text1"/>
        </w:rPr>
        <w:t>), and guinea millet (</w:t>
      </w:r>
      <w:proofErr w:type="spellStart"/>
      <w:r w:rsidRPr="00A811B0">
        <w:rPr>
          <w:rFonts w:ascii="Times New Roman" w:hAnsi="Times New Roman" w:cs="Times New Roman"/>
          <w:i/>
          <w:color w:val="000000" w:themeColor="text1"/>
        </w:rPr>
        <w:t>Urochloa</w:t>
      </w:r>
      <w:proofErr w:type="spellEnd"/>
      <w:r w:rsidR="007A5EDD">
        <w:rPr>
          <w:rFonts w:ascii="Times New Roman" w:hAnsi="Times New Roman" w:cs="Times New Roman"/>
          <w:i/>
          <w:color w:val="000000" w:themeColor="text1"/>
        </w:rPr>
        <w:t xml:space="preserve"> </w:t>
      </w:r>
      <w:proofErr w:type="spellStart"/>
      <w:r w:rsidRPr="00A811B0">
        <w:rPr>
          <w:rFonts w:ascii="Times New Roman" w:hAnsi="Times New Roman" w:cs="Times New Roman"/>
          <w:i/>
          <w:color w:val="000000" w:themeColor="text1"/>
        </w:rPr>
        <w:t>deflexa</w:t>
      </w:r>
      <w:proofErr w:type="spellEnd"/>
      <w:r w:rsidRPr="00A811B0">
        <w:rPr>
          <w:rFonts w:ascii="Times New Roman" w:hAnsi="Times New Roman" w:cs="Times New Roman"/>
          <w:color w:val="000000" w:themeColor="text1"/>
        </w:rPr>
        <w:t>) are recognized as being well suited to adverse climatic conditions, having a short growing cycle of about 70 to 80 days and resistant to pests and diseases (</w:t>
      </w:r>
      <w:r w:rsidR="008F254A">
        <w:rPr>
          <w:rFonts w:ascii="Times New Roman" w:hAnsi="Times New Roman" w:cs="Times New Roman"/>
          <w:color w:val="000000" w:themeColor="text1"/>
        </w:rPr>
        <w:t xml:space="preserve">Dhaka </w:t>
      </w:r>
      <w:r w:rsidR="008F254A" w:rsidRPr="008B1B8F">
        <w:rPr>
          <w:rFonts w:ascii="Times New Roman" w:hAnsi="Times New Roman" w:cs="Times New Roman"/>
          <w:iCs/>
          <w:color w:val="000000" w:themeColor="text1"/>
        </w:rPr>
        <w:t>et al</w:t>
      </w:r>
      <w:r w:rsidR="008F254A">
        <w:rPr>
          <w:rFonts w:ascii="Times New Roman" w:hAnsi="Times New Roman" w:cs="Times New Roman"/>
          <w:color w:val="000000" w:themeColor="text1"/>
        </w:rPr>
        <w:t xml:space="preserve">., 2025; </w:t>
      </w:r>
      <w:r w:rsidR="00957879" w:rsidRPr="00957879">
        <w:rPr>
          <w:rFonts w:ascii="Times New Roman" w:hAnsi="Times New Roman" w:cs="Times New Roman"/>
          <w:color w:val="000000" w:themeColor="text1"/>
          <w:highlight w:val="yellow"/>
        </w:rPr>
        <w:t xml:space="preserve">Dhaka </w:t>
      </w:r>
      <w:r w:rsidR="00957879" w:rsidRPr="008B1B8F">
        <w:rPr>
          <w:rFonts w:ascii="Times New Roman" w:hAnsi="Times New Roman" w:cs="Times New Roman"/>
          <w:iCs/>
          <w:color w:val="000000" w:themeColor="text1"/>
          <w:highlight w:val="yellow"/>
        </w:rPr>
        <w:t>et al.,</w:t>
      </w:r>
      <w:r w:rsidR="00957879" w:rsidRPr="00957879">
        <w:rPr>
          <w:rFonts w:ascii="Times New Roman" w:hAnsi="Times New Roman" w:cs="Times New Roman"/>
          <w:color w:val="000000" w:themeColor="text1"/>
          <w:highlight w:val="yellow"/>
        </w:rPr>
        <w:t xml:space="preserve"> 2024</w:t>
      </w:r>
      <w:r w:rsidR="00957879">
        <w:rPr>
          <w:rFonts w:ascii="Times New Roman" w:hAnsi="Times New Roman" w:cs="Times New Roman"/>
          <w:color w:val="000000" w:themeColor="text1"/>
        </w:rPr>
        <w:t xml:space="preserve">; </w:t>
      </w:r>
      <w:r w:rsidR="00350A71">
        <w:rPr>
          <w:rFonts w:ascii="Times New Roman" w:eastAsiaTheme="minorHAnsi" w:hAnsi="Times New Roman" w:cs="Times New Roman"/>
          <w:bCs/>
          <w:sz w:val="23"/>
          <w:szCs w:val="23"/>
          <w:lang w:val="en-IN"/>
        </w:rPr>
        <w:t xml:space="preserve">Dhaka </w:t>
      </w:r>
      <w:r w:rsidR="00350A71" w:rsidRPr="008B1B8F">
        <w:rPr>
          <w:rFonts w:ascii="Times New Roman" w:eastAsiaTheme="minorHAnsi" w:hAnsi="Times New Roman" w:cs="Times New Roman"/>
          <w:bCs/>
          <w:iCs/>
          <w:sz w:val="23"/>
          <w:szCs w:val="23"/>
          <w:lang w:val="en-IN"/>
        </w:rPr>
        <w:t>et al</w:t>
      </w:r>
      <w:r w:rsidR="008877A5" w:rsidRPr="008B1B8F">
        <w:rPr>
          <w:rFonts w:ascii="Times New Roman" w:eastAsiaTheme="minorHAnsi" w:hAnsi="Times New Roman" w:cs="Times New Roman"/>
          <w:bCs/>
          <w:iCs/>
          <w:sz w:val="23"/>
          <w:szCs w:val="23"/>
          <w:lang w:val="en-IN"/>
        </w:rPr>
        <w:t>.</w:t>
      </w:r>
      <w:r w:rsidR="00350A71" w:rsidRPr="008B1B8F">
        <w:rPr>
          <w:rFonts w:ascii="Times New Roman" w:eastAsiaTheme="minorHAnsi" w:hAnsi="Times New Roman" w:cs="Times New Roman"/>
          <w:bCs/>
          <w:iCs/>
          <w:sz w:val="23"/>
          <w:szCs w:val="23"/>
          <w:lang w:val="en-IN"/>
        </w:rPr>
        <w:t xml:space="preserve">, 2023; </w:t>
      </w:r>
      <w:r w:rsidRPr="008B1B8F">
        <w:rPr>
          <w:rFonts w:ascii="Times New Roman" w:hAnsi="Times New Roman" w:cs="Times New Roman"/>
          <w:iCs/>
          <w:color w:val="000000" w:themeColor="text1"/>
        </w:rPr>
        <w:t>Devi et al., 2014; Macauley</w:t>
      </w:r>
      <w:r w:rsidRPr="00A811B0">
        <w:rPr>
          <w:rFonts w:ascii="Times New Roman" w:hAnsi="Times New Roman" w:cs="Times New Roman"/>
          <w:color w:val="000000" w:themeColor="text1"/>
        </w:rPr>
        <w:t xml:space="preserve"> and </w:t>
      </w:r>
      <w:proofErr w:type="spellStart"/>
      <w:r w:rsidRPr="00A811B0">
        <w:rPr>
          <w:rFonts w:ascii="Times New Roman" w:hAnsi="Times New Roman" w:cs="Times New Roman"/>
          <w:color w:val="000000" w:themeColor="text1"/>
        </w:rPr>
        <w:t>Ramadjita</w:t>
      </w:r>
      <w:proofErr w:type="spellEnd"/>
      <w:r w:rsidRPr="00A811B0">
        <w:rPr>
          <w:rFonts w:ascii="Times New Roman" w:hAnsi="Times New Roman" w:cs="Times New Roman"/>
          <w:color w:val="000000" w:themeColor="text1"/>
        </w:rPr>
        <w:t>, 2015). The largest area under minor millets' production in Madhya Pradesh is 1.65 lakh hectares, followed by Chhattisgarh and Uttarakhand, with each having about 0.48 lakh hectares under production. Madhya Pradesh ranked first in production, with 147,000 tons of production, followed by Uttarakhand with 60,000 tons and Tamil Nadu with 33,000 tons. The highest productivity has been recorded at 2321 kg per hectare in Gujarat, followed by Uttarakhand and Tamil Nadu at 1503 kg per hectare and 1348 kg per hectare, respectively.</w:t>
      </w:r>
      <w:r w:rsidR="008877A5">
        <w:rPr>
          <w:rFonts w:ascii="Times New Roman" w:hAnsi="Times New Roman" w:cs="Times New Roman"/>
          <w:color w:val="000000" w:themeColor="text1"/>
        </w:rPr>
        <w:t xml:space="preserve"> </w:t>
      </w:r>
      <w:r w:rsidRPr="00A811B0">
        <w:rPr>
          <w:rFonts w:ascii="Times New Roman" w:hAnsi="Times New Roman" w:cs="Times New Roman"/>
          <w:color w:val="000000" w:themeColor="text1"/>
        </w:rPr>
        <w:t>The area under minor millet cultivation in India has drastically decreased, from 2,447 thousand hectares in 1990-91 to only 458 thousand hectares in 2019-20. The main reason behind this is because of the over-cultivation of major cereals (APEDA, 2024).</w:t>
      </w:r>
    </w:p>
    <w:p w14:paraId="775C2AB5" w14:textId="4A8230CA" w:rsidR="00882211" w:rsidRPr="00A811B0" w:rsidRDefault="00882211" w:rsidP="00A811B0">
      <w:pPr>
        <w:pStyle w:val="Default"/>
        <w:spacing w:before="120" w:after="120" w:line="360" w:lineRule="auto"/>
        <w:ind w:firstLine="720"/>
        <w:jc w:val="both"/>
        <w:rPr>
          <w:rFonts w:ascii="Times New Roman" w:hAnsi="Times New Roman" w:cs="Times New Roman"/>
          <w:color w:val="000000" w:themeColor="text1"/>
        </w:rPr>
      </w:pPr>
      <w:r w:rsidRPr="00A811B0">
        <w:rPr>
          <w:rFonts w:ascii="Times New Roman" w:hAnsi="Times New Roman" w:cs="Times New Roman"/>
          <w:color w:val="000000" w:themeColor="text1"/>
        </w:rPr>
        <w:t xml:space="preserve">Fertilization plays a critical role in enhancing both the qualitative and quantitative aspects of crop yield. The quality of crops can be significantly improved </w:t>
      </w:r>
      <w:r w:rsidRPr="008877A5">
        <w:rPr>
          <w:rFonts w:ascii="Times New Roman" w:hAnsi="Times New Roman" w:cs="Times New Roman"/>
          <w:color w:val="000000" w:themeColor="text1"/>
        </w:rPr>
        <w:t xml:space="preserve">through effective management of soil nutrients, as demonstrated in studies </w:t>
      </w:r>
      <w:r w:rsidRPr="008B1B8F">
        <w:rPr>
          <w:rFonts w:ascii="Times New Roman" w:hAnsi="Times New Roman" w:cs="Times New Roman"/>
          <w:color w:val="000000" w:themeColor="text1"/>
        </w:rPr>
        <w:t xml:space="preserve">by </w:t>
      </w:r>
      <w:r w:rsidR="008877A5" w:rsidRPr="008B1B8F">
        <w:rPr>
          <w:rFonts w:ascii="Times New Roman" w:hAnsi="Times New Roman" w:cs="Times New Roman"/>
          <w:color w:val="000000" w:themeColor="text1"/>
        </w:rPr>
        <w:t>(</w:t>
      </w:r>
      <w:r w:rsidRPr="008B1B8F">
        <w:rPr>
          <w:rFonts w:ascii="Times New Roman" w:hAnsi="Times New Roman" w:cs="Times New Roman"/>
          <w:color w:val="000000" w:themeColor="text1"/>
        </w:rPr>
        <w:t>Ali et al.</w:t>
      </w:r>
      <w:r w:rsidR="008877A5" w:rsidRPr="008B1B8F">
        <w:rPr>
          <w:rFonts w:ascii="Times New Roman" w:hAnsi="Times New Roman" w:cs="Times New Roman"/>
          <w:color w:val="000000" w:themeColor="text1"/>
        </w:rPr>
        <w:t xml:space="preserve">, </w:t>
      </w:r>
      <w:r w:rsidRPr="008B1B8F">
        <w:rPr>
          <w:rFonts w:ascii="Times New Roman" w:hAnsi="Times New Roman" w:cs="Times New Roman"/>
          <w:color w:val="000000" w:themeColor="text1"/>
        </w:rPr>
        <w:t>2008</w:t>
      </w:r>
      <w:r w:rsidR="008877A5" w:rsidRPr="008B1B8F">
        <w:rPr>
          <w:rFonts w:ascii="Times New Roman" w:hAnsi="Times New Roman" w:cs="Times New Roman"/>
          <w:color w:val="000000" w:themeColor="text1"/>
        </w:rPr>
        <w:t xml:space="preserve">; </w:t>
      </w:r>
      <w:r w:rsidRPr="008B1B8F">
        <w:rPr>
          <w:rFonts w:ascii="Times New Roman" w:hAnsi="Times New Roman" w:cs="Times New Roman"/>
          <w:color w:val="000000" w:themeColor="text1"/>
        </w:rPr>
        <w:t>Pathak et al.</w:t>
      </w:r>
      <w:r w:rsidR="008877A5" w:rsidRPr="008B1B8F">
        <w:rPr>
          <w:rFonts w:ascii="Times New Roman" w:hAnsi="Times New Roman" w:cs="Times New Roman"/>
          <w:color w:val="000000" w:themeColor="text1"/>
        </w:rPr>
        <w:t xml:space="preserve">, </w:t>
      </w:r>
      <w:r w:rsidRPr="008B1B8F">
        <w:rPr>
          <w:rFonts w:ascii="Times New Roman" w:hAnsi="Times New Roman" w:cs="Times New Roman"/>
          <w:color w:val="000000" w:themeColor="text1"/>
        </w:rPr>
        <w:t>2012</w:t>
      </w:r>
      <w:r w:rsidR="008877A5" w:rsidRPr="008B1B8F">
        <w:rPr>
          <w:rFonts w:ascii="Times New Roman" w:hAnsi="Times New Roman" w:cs="Times New Roman"/>
          <w:color w:val="000000" w:themeColor="text1"/>
        </w:rPr>
        <w:t xml:space="preserve">; </w:t>
      </w:r>
      <w:r w:rsidR="008877A5" w:rsidRPr="008B1B8F">
        <w:rPr>
          <w:rFonts w:ascii="Times New Roman" w:eastAsiaTheme="minorHAnsi" w:hAnsi="Times New Roman" w:cs="Times New Roman"/>
          <w:bCs/>
          <w:lang w:val="en-IN"/>
        </w:rPr>
        <w:t>Dhaka et al., 2023a</w:t>
      </w:r>
      <w:r w:rsidRPr="008B1B8F">
        <w:rPr>
          <w:rFonts w:ascii="Times New Roman" w:hAnsi="Times New Roman" w:cs="Times New Roman"/>
          <w:color w:val="000000" w:themeColor="text1"/>
        </w:rPr>
        <w:t>). The productivity of minor millets is significantly constrained by the sub-optimal utilization of primary nutrients, particularly nitrogen (N) and phosphorus (P), which</w:t>
      </w:r>
      <w:r w:rsidRPr="00A811B0">
        <w:rPr>
          <w:rFonts w:ascii="Times New Roman" w:hAnsi="Times New Roman" w:cs="Times New Roman"/>
          <w:color w:val="000000" w:themeColor="text1"/>
        </w:rPr>
        <w:t xml:space="preserve"> are essential for plant growth and development. Nitrogen plays a vital role in photosynthetic processes and overall vegetative growth, whereas phosphorus is crucial for root development, energy transfer, and the initial establishment of plants (</w:t>
      </w:r>
      <w:r w:rsidR="008E66FB" w:rsidRPr="00320750">
        <w:rPr>
          <w:rFonts w:ascii="Times New Roman" w:hAnsi="Times New Roman" w:cs="Times New Roman"/>
          <w:highlight w:val="yellow"/>
          <w:lang w:val="en-IN"/>
        </w:rPr>
        <w:t>Sharma</w:t>
      </w:r>
      <w:r w:rsidR="008E66FB" w:rsidRPr="008E66FB">
        <w:rPr>
          <w:rFonts w:ascii="Times New Roman" w:hAnsi="Times New Roman" w:cs="Times New Roman"/>
          <w:color w:val="000000" w:themeColor="text1"/>
          <w:highlight w:val="yellow"/>
          <w:lang w:val="en-IN"/>
        </w:rPr>
        <w:t xml:space="preserve"> </w:t>
      </w:r>
      <w:r w:rsidR="008E66FB" w:rsidRPr="008E66FB">
        <w:rPr>
          <w:rFonts w:ascii="Times New Roman" w:hAnsi="Times New Roman" w:cs="Times New Roman"/>
          <w:iCs/>
          <w:color w:val="000000" w:themeColor="text1"/>
          <w:highlight w:val="yellow"/>
        </w:rPr>
        <w:t>et al</w:t>
      </w:r>
      <w:r w:rsidR="008E66FB" w:rsidRPr="008E66FB">
        <w:rPr>
          <w:rFonts w:ascii="Times New Roman" w:hAnsi="Times New Roman" w:cs="Times New Roman"/>
          <w:i/>
          <w:color w:val="000000" w:themeColor="text1"/>
          <w:highlight w:val="yellow"/>
        </w:rPr>
        <w:t>.,</w:t>
      </w:r>
      <w:r w:rsidR="008E66FB" w:rsidRPr="008E66FB">
        <w:rPr>
          <w:rFonts w:ascii="Times New Roman" w:hAnsi="Times New Roman" w:cs="Times New Roman"/>
          <w:color w:val="000000" w:themeColor="text1"/>
          <w:highlight w:val="yellow"/>
        </w:rPr>
        <w:t xml:space="preserve"> 2023;</w:t>
      </w:r>
      <w:r w:rsidR="008E66FB">
        <w:rPr>
          <w:rFonts w:ascii="Times New Roman" w:hAnsi="Times New Roman" w:cs="Times New Roman"/>
          <w:color w:val="000000" w:themeColor="text1"/>
        </w:rPr>
        <w:t xml:space="preserve"> </w:t>
      </w:r>
      <w:r w:rsidR="00E6005C" w:rsidRPr="004C49E5">
        <w:rPr>
          <w:rFonts w:ascii="Times New Roman" w:hAnsi="Times New Roman" w:cs="Times New Roman"/>
          <w:color w:val="000000" w:themeColor="text1"/>
          <w:lang w:val="en-IN"/>
        </w:rPr>
        <w:t>Kamal</w:t>
      </w:r>
      <w:r w:rsidR="00E6005C" w:rsidRPr="008E2E3F">
        <w:rPr>
          <w:rFonts w:ascii="Times New Roman" w:hAnsi="Times New Roman" w:cs="Times New Roman"/>
          <w:color w:val="000000" w:themeColor="text1"/>
        </w:rPr>
        <w:t xml:space="preserve"> </w:t>
      </w:r>
      <w:r w:rsidR="00E6005C" w:rsidRPr="008E2E3F">
        <w:rPr>
          <w:rFonts w:ascii="Times New Roman" w:hAnsi="Times New Roman" w:cs="Times New Roman"/>
          <w:iCs/>
          <w:color w:val="000000" w:themeColor="text1"/>
        </w:rPr>
        <w:t>et al</w:t>
      </w:r>
      <w:r w:rsidR="00E6005C" w:rsidRPr="008E2E3F">
        <w:rPr>
          <w:rFonts w:ascii="Times New Roman" w:hAnsi="Times New Roman" w:cs="Times New Roman"/>
          <w:i/>
          <w:color w:val="000000" w:themeColor="text1"/>
        </w:rPr>
        <w:t>.</w:t>
      </w:r>
      <w:r w:rsidR="00E6005C">
        <w:rPr>
          <w:rFonts w:ascii="Times New Roman" w:hAnsi="Times New Roman" w:cs="Times New Roman"/>
          <w:i/>
          <w:color w:val="000000" w:themeColor="text1"/>
        </w:rPr>
        <w:t>,</w:t>
      </w:r>
      <w:r w:rsidR="00E6005C">
        <w:rPr>
          <w:rFonts w:ascii="Times New Roman" w:hAnsi="Times New Roman" w:cs="Times New Roman"/>
          <w:color w:val="000000" w:themeColor="text1"/>
        </w:rPr>
        <w:t xml:space="preserve"> </w:t>
      </w:r>
      <w:r w:rsidR="00E6005C" w:rsidRPr="008E2E3F">
        <w:rPr>
          <w:rFonts w:ascii="Times New Roman" w:hAnsi="Times New Roman" w:cs="Times New Roman"/>
          <w:color w:val="000000" w:themeColor="text1"/>
        </w:rPr>
        <w:t xml:space="preserve">2024; </w:t>
      </w:r>
      <w:r w:rsidR="005656B7" w:rsidRPr="005656B7">
        <w:rPr>
          <w:rFonts w:ascii="Times New Roman" w:hAnsi="Times New Roman" w:cs="Times New Roman"/>
          <w:color w:val="000000" w:themeColor="text1"/>
          <w:highlight w:val="yellow"/>
          <w:lang w:val="en-IN"/>
        </w:rPr>
        <w:t>Kamal</w:t>
      </w:r>
      <w:r w:rsidR="005656B7" w:rsidRPr="005656B7">
        <w:rPr>
          <w:rFonts w:ascii="Times New Roman" w:hAnsi="Times New Roman" w:cs="Times New Roman"/>
          <w:color w:val="000000" w:themeColor="text1"/>
          <w:highlight w:val="yellow"/>
        </w:rPr>
        <w:t xml:space="preserve"> </w:t>
      </w:r>
      <w:r w:rsidR="005656B7" w:rsidRPr="005656B7">
        <w:rPr>
          <w:rFonts w:ascii="Times New Roman" w:hAnsi="Times New Roman" w:cs="Times New Roman"/>
          <w:iCs/>
          <w:color w:val="000000" w:themeColor="text1"/>
          <w:highlight w:val="yellow"/>
        </w:rPr>
        <w:t>et al</w:t>
      </w:r>
      <w:r w:rsidR="005656B7" w:rsidRPr="005656B7">
        <w:rPr>
          <w:rFonts w:ascii="Times New Roman" w:hAnsi="Times New Roman" w:cs="Times New Roman"/>
          <w:i/>
          <w:color w:val="000000" w:themeColor="text1"/>
          <w:highlight w:val="yellow"/>
        </w:rPr>
        <w:t>.,</w:t>
      </w:r>
      <w:r w:rsidR="005656B7" w:rsidRPr="005656B7">
        <w:rPr>
          <w:rFonts w:ascii="Times New Roman" w:hAnsi="Times New Roman" w:cs="Times New Roman"/>
          <w:color w:val="000000" w:themeColor="text1"/>
          <w:highlight w:val="yellow"/>
        </w:rPr>
        <w:t xml:space="preserve"> 2023;</w:t>
      </w:r>
      <w:r w:rsidR="005656B7">
        <w:rPr>
          <w:rFonts w:ascii="Times New Roman" w:hAnsi="Times New Roman" w:cs="Times New Roman"/>
          <w:color w:val="000000" w:themeColor="text1"/>
        </w:rPr>
        <w:t xml:space="preserve"> </w:t>
      </w:r>
      <w:r w:rsidRPr="00A811B0">
        <w:rPr>
          <w:rFonts w:ascii="Times New Roman" w:hAnsi="Times New Roman" w:cs="Times New Roman"/>
          <w:color w:val="000000" w:themeColor="text1"/>
        </w:rPr>
        <w:t xml:space="preserve">CGIAR, 2005). A suitable balance of these nutrients can markedly improve phenology and biomass accumulation in millets, resulting in enhanced performance in both rainfed and irrigated environments. The current study was undertaken to assess the response of minor millets to different </w:t>
      </w:r>
      <w:r w:rsidRPr="00A811B0">
        <w:rPr>
          <w:rFonts w:ascii="Times New Roman" w:hAnsi="Times New Roman" w:cs="Times New Roman"/>
          <w:color w:val="000000" w:themeColor="text1"/>
        </w:rPr>
        <w:lastRenderedPageBreak/>
        <w:t>levels of nitrogen and phosphorus, focusing on their phenological stages and overall growth behavior.</w:t>
      </w:r>
    </w:p>
    <w:p w14:paraId="25DF5645" w14:textId="77777777" w:rsidR="00F90FC5" w:rsidRPr="00A811B0" w:rsidRDefault="00F90FC5" w:rsidP="00A811B0">
      <w:pPr>
        <w:spacing w:before="120" w:after="120"/>
        <w:jc w:val="center"/>
        <w:rPr>
          <w:rFonts w:ascii="Times New Roman" w:eastAsiaTheme="minorHAnsi" w:hAnsi="Times New Roman" w:cs="Times New Roman"/>
          <w:b/>
          <w:bCs/>
          <w:sz w:val="24"/>
          <w:szCs w:val="24"/>
          <w:lang w:val="en-IN"/>
        </w:rPr>
      </w:pPr>
      <w:r w:rsidRPr="00A811B0">
        <w:rPr>
          <w:rFonts w:ascii="Times New Roman" w:eastAsiaTheme="minorHAnsi" w:hAnsi="Times New Roman" w:cs="Times New Roman"/>
          <w:b/>
          <w:bCs/>
          <w:sz w:val="24"/>
          <w:szCs w:val="24"/>
          <w:lang w:val="en-IN"/>
        </w:rPr>
        <w:t>MATERIALS AND METHODS</w:t>
      </w:r>
    </w:p>
    <w:p w14:paraId="03FD59EE" w14:textId="77777777" w:rsidR="00F90FC5" w:rsidRPr="00A811B0" w:rsidRDefault="00F90FC5" w:rsidP="00A811B0">
      <w:pPr>
        <w:spacing w:before="120" w:after="120"/>
        <w:rPr>
          <w:rFonts w:ascii="Times New Roman" w:eastAsia="Wingdings" w:hAnsi="Times New Roman" w:cs="Times New Roman"/>
          <w:b/>
          <w:color w:val="000000"/>
          <w:sz w:val="24"/>
          <w:szCs w:val="24"/>
        </w:rPr>
      </w:pPr>
      <w:r w:rsidRPr="00A811B0">
        <w:rPr>
          <w:rFonts w:ascii="Times New Roman" w:eastAsia="Wingdings" w:hAnsi="Times New Roman" w:cs="Times New Roman"/>
          <w:b/>
          <w:color w:val="000000"/>
          <w:sz w:val="24"/>
          <w:szCs w:val="24"/>
        </w:rPr>
        <w:t>Experimental site and location</w:t>
      </w:r>
    </w:p>
    <w:p w14:paraId="55EA85D7" w14:textId="43BFFB62" w:rsidR="00F57225" w:rsidRDefault="00381F16" w:rsidP="00F57225">
      <w:pPr>
        <w:spacing w:before="120" w:after="120"/>
        <w:ind w:firstLine="720"/>
        <w:rPr>
          <w:rFonts w:ascii="Times New Roman" w:hAnsi="Times New Roman" w:cs="Times New Roman"/>
          <w:color w:val="000000"/>
          <w:sz w:val="24"/>
          <w:szCs w:val="24"/>
        </w:rPr>
      </w:pPr>
      <w:r w:rsidRPr="00A811B0">
        <w:rPr>
          <w:rFonts w:ascii="Times New Roman" w:hAnsi="Times New Roman" w:cs="Times New Roman"/>
          <w:color w:val="000000"/>
          <w:sz w:val="24"/>
          <w:szCs w:val="24"/>
        </w:rPr>
        <w:t xml:space="preserve">The experiment was conducted in the </w:t>
      </w:r>
      <w:r w:rsidRPr="00A811B0">
        <w:rPr>
          <w:rFonts w:ascii="Times New Roman" w:hAnsi="Times New Roman" w:cs="Times New Roman"/>
          <w:i/>
          <w:color w:val="000000"/>
          <w:sz w:val="24"/>
          <w:szCs w:val="24"/>
        </w:rPr>
        <w:t>kharif</w:t>
      </w:r>
      <w:r w:rsidRPr="00A811B0">
        <w:rPr>
          <w:rFonts w:ascii="Times New Roman" w:hAnsi="Times New Roman" w:cs="Times New Roman"/>
          <w:color w:val="000000"/>
          <w:sz w:val="24"/>
          <w:szCs w:val="24"/>
        </w:rPr>
        <w:t xml:space="preserve"> season of </w:t>
      </w:r>
      <w:r w:rsidR="008F254A">
        <w:rPr>
          <w:rFonts w:ascii="Times New Roman" w:hAnsi="Times New Roman" w:cs="Times New Roman"/>
          <w:color w:val="000000"/>
          <w:sz w:val="24"/>
          <w:szCs w:val="24"/>
        </w:rPr>
        <w:t>2023</w:t>
      </w:r>
      <w:r w:rsidRPr="00A811B0">
        <w:rPr>
          <w:rFonts w:ascii="Times New Roman" w:hAnsi="Times New Roman" w:cs="Times New Roman"/>
          <w:color w:val="000000"/>
          <w:sz w:val="24"/>
          <w:szCs w:val="24"/>
        </w:rPr>
        <w:t xml:space="preserve"> at the Agronomy Research Farm of CCS Haryana Agricultural University, Hisar. Hisar is positioned at a latitude of 29°10' N and a longitude of 75°46' E, with an elevation of 215 meters above mean sea level.</w:t>
      </w:r>
      <w:r w:rsidR="00F57225">
        <w:rPr>
          <w:rFonts w:ascii="Times New Roman" w:hAnsi="Times New Roman" w:cs="Times New Roman"/>
          <w:color w:val="000000"/>
          <w:sz w:val="24"/>
          <w:szCs w:val="24"/>
        </w:rPr>
        <w:t xml:space="preserve"> </w:t>
      </w:r>
      <w:r w:rsidR="00F57225" w:rsidRPr="00353478">
        <w:rPr>
          <w:rFonts w:ascii="Times New Roman" w:hAnsi="Times New Roman" w:cs="Times New Roman"/>
          <w:color w:val="000000"/>
          <w:sz w:val="24"/>
          <w:szCs w:val="24"/>
        </w:rPr>
        <w:t xml:space="preserve">The soil at the research site has a sandy texture determined by International Pipette Method </w:t>
      </w:r>
      <w:r w:rsidR="00F57225" w:rsidRPr="004D1524">
        <w:rPr>
          <w:rFonts w:ascii="Times New Roman" w:hAnsi="Times New Roman" w:cs="Times New Roman"/>
          <w:color w:val="000000"/>
          <w:sz w:val="24"/>
          <w:szCs w:val="24"/>
          <w:highlight w:val="yellow"/>
        </w:rPr>
        <w:t>(Piper, 1966),</w:t>
      </w:r>
      <w:r w:rsidR="00F57225" w:rsidRPr="00353478">
        <w:rPr>
          <w:rFonts w:ascii="Times New Roman" w:hAnsi="Times New Roman" w:cs="Times New Roman"/>
          <w:color w:val="000000"/>
          <w:sz w:val="24"/>
          <w:szCs w:val="24"/>
        </w:rPr>
        <w:t xml:space="preserve"> slightly alkaline in pH (7.8) determined by Glass electrode pH water method by making soil to water suspension of 1:2.5 ratio </w:t>
      </w:r>
      <w:r w:rsidR="00F57225" w:rsidRPr="00353478">
        <w:rPr>
          <w:rFonts w:ascii="Times New Roman" w:hAnsi="Times New Roman" w:cs="Times New Roman"/>
          <w:color w:val="000000"/>
          <w:sz w:val="24"/>
          <w:szCs w:val="24"/>
          <w:highlight w:val="yellow"/>
        </w:rPr>
        <w:t>(Jackson, 1973)</w:t>
      </w:r>
      <w:r w:rsidR="00F57225" w:rsidRPr="004D1524">
        <w:rPr>
          <w:rFonts w:ascii="Times New Roman" w:hAnsi="Times New Roman" w:cs="Times New Roman"/>
          <w:color w:val="000000"/>
          <w:sz w:val="24"/>
          <w:szCs w:val="24"/>
          <w:highlight w:val="yellow"/>
        </w:rPr>
        <w:t>,</w:t>
      </w:r>
      <w:r w:rsidR="00F57225" w:rsidRPr="00353478">
        <w:rPr>
          <w:rFonts w:ascii="Times New Roman" w:hAnsi="Times New Roman" w:cs="Times New Roman"/>
          <w:color w:val="000000"/>
          <w:sz w:val="24"/>
          <w:szCs w:val="24"/>
        </w:rPr>
        <w:t xml:space="preserve"> organic carbon (0.51%) determined by Wet oxidation method </w:t>
      </w:r>
      <w:r w:rsidR="00F57225" w:rsidRPr="00353478">
        <w:rPr>
          <w:rFonts w:ascii="Times New Roman" w:hAnsi="Times New Roman" w:cs="Times New Roman"/>
          <w:color w:val="000000"/>
          <w:sz w:val="24"/>
          <w:szCs w:val="24"/>
          <w:highlight w:val="yellow"/>
        </w:rPr>
        <w:t>(Jackson,</w:t>
      </w:r>
      <w:r w:rsidR="00A046D9">
        <w:rPr>
          <w:rFonts w:ascii="Times New Roman" w:hAnsi="Times New Roman" w:cs="Times New Roman"/>
          <w:color w:val="000000"/>
          <w:sz w:val="24"/>
          <w:szCs w:val="24"/>
          <w:highlight w:val="yellow"/>
        </w:rPr>
        <w:t xml:space="preserve"> </w:t>
      </w:r>
      <w:r w:rsidR="00F57225" w:rsidRPr="00353478">
        <w:rPr>
          <w:rFonts w:ascii="Times New Roman" w:hAnsi="Times New Roman" w:cs="Times New Roman"/>
          <w:color w:val="000000"/>
          <w:sz w:val="24"/>
          <w:szCs w:val="24"/>
          <w:highlight w:val="yellow"/>
        </w:rPr>
        <w:t>1973),</w:t>
      </w:r>
      <w:r w:rsidR="00F57225" w:rsidRPr="00353478">
        <w:rPr>
          <w:rFonts w:ascii="Times New Roman" w:hAnsi="Times New Roman" w:cs="Times New Roman"/>
          <w:color w:val="000000"/>
          <w:sz w:val="24"/>
          <w:szCs w:val="24"/>
        </w:rPr>
        <w:t xml:space="preserve"> low in available N (147 kg ha</w:t>
      </w:r>
      <w:r w:rsidR="00F57225" w:rsidRPr="00353478">
        <w:rPr>
          <w:rFonts w:ascii="Times New Roman" w:hAnsi="Times New Roman" w:cs="Times New Roman"/>
          <w:color w:val="000000"/>
          <w:sz w:val="24"/>
          <w:szCs w:val="24"/>
          <w:vertAlign w:val="superscript"/>
        </w:rPr>
        <w:t>-1</w:t>
      </w:r>
      <w:r w:rsidR="00F57225" w:rsidRPr="00353478">
        <w:rPr>
          <w:rFonts w:ascii="Times New Roman" w:hAnsi="Times New Roman" w:cs="Times New Roman"/>
          <w:color w:val="000000"/>
          <w:sz w:val="24"/>
          <w:szCs w:val="24"/>
        </w:rPr>
        <w:t xml:space="preserve">) determined by using Alkaline permanganate method </w:t>
      </w:r>
      <w:r w:rsidR="00F57225" w:rsidRPr="00353478">
        <w:rPr>
          <w:rFonts w:ascii="Times New Roman" w:hAnsi="Times New Roman" w:cs="Times New Roman"/>
          <w:color w:val="000000"/>
          <w:sz w:val="24"/>
          <w:szCs w:val="24"/>
          <w:highlight w:val="yellow"/>
        </w:rPr>
        <w:t>(Subbiah and Asija, 1956),</w:t>
      </w:r>
      <w:r w:rsidR="00F57225" w:rsidRPr="00353478">
        <w:rPr>
          <w:rFonts w:ascii="Times New Roman" w:hAnsi="Times New Roman" w:cs="Times New Roman"/>
          <w:color w:val="000000"/>
          <w:sz w:val="24"/>
          <w:szCs w:val="24"/>
        </w:rPr>
        <w:t xml:space="preserve"> medium in available P (18.2 kg ha</w:t>
      </w:r>
      <w:r w:rsidR="00F57225" w:rsidRPr="00353478">
        <w:rPr>
          <w:rFonts w:ascii="Times New Roman" w:hAnsi="Times New Roman" w:cs="Times New Roman"/>
          <w:color w:val="000000"/>
          <w:sz w:val="24"/>
          <w:szCs w:val="24"/>
          <w:vertAlign w:val="superscript"/>
        </w:rPr>
        <w:t>-1</w:t>
      </w:r>
      <w:r w:rsidR="00F57225" w:rsidRPr="00353478">
        <w:rPr>
          <w:rFonts w:ascii="Times New Roman" w:hAnsi="Times New Roman" w:cs="Times New Roman"/>
          <w:color w:val="000000"/>
          <w:sz w:val="24"/>
          <w:szCs w:val="24"/>
        </w:rPr>
        <w:t xml:space="preserve">) determined by Olsen’s calorimetric method </w:t>
      </w:r>
      <w:r w:rsidR="00F57225" w:rsidRPr="00353478">
        <w:rPr>
          <w:rFonts w:ascii="Times New Roman" w:hAnsi="Times New Roman" w:cs="Times New Roman"/>
          <w:color w:val="000000"/>
          <w:sz w:val="24"/>
          <w:szCs w:val="24"/>
          <w:highlight w:val="yellow"/>
        </w:rPr>
        <w:t>(Olsen et al., 1954),</w:t>
      </w:r>
      <w:r w:rsidR="00F57225" w:rsidRPr="00353478">
        <w:rPr>
          <w:rFonts w:ascii="Times New Roman" w:hAnsi="Times New Roman" w:cs="Times New Roman"/>
          <w:color w:val="000000"/>
          <w:sz w:val="24"/>
          <w:szCs w:val="24"/>
        </w:rPr>
        <w:t xml:space="preserve"> medium in available K (280 kg ha</w:t>
      </w:r>
      <w:r w:rsidR="00F57225" w:rsidRPr="00353478">
        <w:rPr>
          <w:rFonts w:ascii="Times New Roman" w:hAnsi="Times New Roman" w:cs="Times New Roman"/>
          <w:color w:val="000000"/>
          <w:sz w:val="24"/>
          <w:szCs w:val="24"/>
          <w:vertAlign w:val="superscript"/>
        </w:rPr>
        <w:t>-1</w:t>
      </w:r>
      <w:r w:rsidR="00F57225" w:rsidRPr="00353478">
        <w:rPr>
          <w:rFonts w:ascii="Times New Roman" w:hAnsi="Times New Roman" w:cs="Times New Roman"/>
          <w:color w:val="000000"/>
          <w:sz w:val="24"/>
          <w:szCs w:val="24"/>
        </w:rPr>
        <w:t xml:space="preserve">) determined by Flame photometric method </w:t>
      </w:r>
      <w:r w:rsidR="00F57225" w:rsidRPr="00353478">
        <w:rPr>
          <w:rFonts w:ascii="Times New Roman" w:hAnsi="Times New Roman" w:cs="Times New Roman"/>
          <w:color w:val="000000"/>
          <w:sz w:val="24"/>
          <w:szCs w:val="24"/>
          <w:highlight w:val="yellow"/>
        </w:rPr>
        <w:t>(Richards, 1954)</w:t>
      </w:r>
      <w:r w:rsidR="00F57225" w:rsidRPr="00353478">
        <w:rPr>
          <w:rFonts w:ascii="Times New Roman" w:hAnsi="Times New Roman" w:cs="Times New Roman"/>
          <w:color w:val="000000"/>
          <w:sz w:val="24"/>
          <w:szCs w:val="24"/>
        </w:rPr>
        <w:t>.</w:t>
      </w:r>
      <w:r w:rsidR="00F57225">
        <w:rPr>
          <w:rFonts w:ascii="Times New Roman" w:hAnsi="Times New Roman" w:cs="Times New Roman"/>
          <w:color w:val="000000"/>
          <w:sz w:val="24"/>
          <w:szCs w:val="24"/>
        </w:rPr>
        <w:t xml:space="preserve">  </w:t>
      </w:r>
    </w:p>
    <w:p w14:paraId="3CC617A5" w14:textId="4C694D71" w:rsidR="00381F16" w:rsidRDefault="00381F16" w:rsidP="00A811B0">
      <w:pPr>
        <w:spacing w:before="120" w:after="120"/>
        <w:ind w:firstLine="720"/>
        <w:rPr>
          <w:rFonts w:ascii="Times New Roman" w:hAnsi="Times New Roman" w:cs="Times New Roman"/>
          <w:color w:val="000000"/>
          <w:sz w:val="24"/>
          <w:szCs w:val="24"/>
        </w:rPr>
      </w:pPr>
      <w:r w:rsidRPr="00A811B0">
        <w:rPr>
          <w:rFonts w:ascii="Times New Roman" w:hAnsi="Times New Roman" w:cs="Times New Roman"/>
          <w:color w:val="000000"/>
          <w:sz w:val="24"/>
          <w:szCs w:val="24"/>
        </w:rPr>
        <w:t xml:space="preserve">The experiment was conducted using a split plot design, incorporating sixteen treatment combinations and three replications. Specifically, the study involves four </w:t>
      </w:r>
      <w:r w:rsidR="00706F13" w:rsidRPr="00706F13">
        <w:rPr>
          <w:rFonts w:ascii="Times New Roman" w:hAnsi="Times New Roman" w:cs="Times New Roman"/>
          <w:color w:val="000000"/>
          <w:sz w:val="24"/>
          <w:szCs w:val="24"/>
          <w:highlight w:val="yellow"/>
        </w:rPr>
        <w:t>species</w:t>
      </w:r>
      <w:r w:rsidR="00706F13">
        <w:rPr>
          <w:rFonts w:ascii="Times New Roman" w:hAnsi="Times New Roman" w:cs="Times New Roman"/>
          <w:color w:val="000000"/>
          <w:sz w:val="24"/>
          <w:szCs w:val="24"/>
        </w:rPr>
        <w:t xml:space="preserve"> </w:t>
      </w:r>
      <w:r w:rsidRPr="00A811B0">
        <w:rPr>
          <w:rFonts w:ascii="Times New Roman" w:hAnsi="Times New Roman" w:cs="Times New Roman"/>
          <w:color w:val="000000"/>
          <w:sz w:val="24"/>
          <w:szCs w:val="24"/>
        </w:rPr>
        <w:t>of various minor millets: Foxtail millet (SIA</w:t>
      </w:r>
      <w:r w:rsidR="002167FC">
        <w:rPr>
          <w:rFonts w:ascii="Times New Roman" w:hAnsi="Times New Roman" w:cs="Times New Roman"/>
          <w:color w:val="000000"/>
          <w:sz w:val="24"/>
          <w:szCs w:val="24"/>
        </w:rPr>
        <w:t xml:space="preserve"> </w:t>
      </w:r>
      <w:r w:rsidRPr="00A811B0">
        <w:rPr>
          <w:rFonts w:ascii="Times New Roman" w:hAnsi="Times New Roman" w:cs="Times New Roman"/>
          <w:color w:val="000000"/>
          <w:sz w:val="24"/>
          <w:szCs w:val="24"/>
        </w:rPr>
        <w:t>3156), Barnyard millet (VL</w:t>
      </w:r>
      <w:r w:rsidR="002167FC">
        <w:rPr>
          <w:rFonts w:ascii="Times New Roman" w:hAnsi="Times New Roman" w:cs="Times New Roman"/>
          <w:color w:val="000000"/>
          <w:sz w:val="24"/>
          <w:szCs w:val="24"/>
        </w:rPr>
        <w:t xml:space="preserve"> </w:t>
      </w:r>
      <w:r w:rsidRPr="00A811B0">
        <w:rPr>
          <w:rFonts w:ascii="Times New Roman" w:hAnsi="Times New Roman" w:cs="Times New Roman"/>
          <w:color w:val="000000"/>
          <w:sz w:val="24"/>
          <w:szCs w:val="24"/>
        </w:rPr>
        <w:t>207), Proso millet (TNAU</w:t>
      </w:r>
      <w:r w:rsidR="002167FC">
        <w:rPr>
          <w:rFonts w:ascii="Times New Roman" w:hAnsi="Times New Roman" w:cs="Times New Roman"/>
          <w:color w:val="000000"/>
          <w:sz w:val="24"/>
          <w:szCs w:val="24"/>
        </w:rPr>
        <w:t xml:space="preserve"> </w:t>
      </w:r>
      <w:r w:rsidRPr="00A811B0">
        <w:rPr>
          <w:rFonts w:ascii="Times New Roman" w:hAnsi="Times New Roman" w:cs="Times New Roman"/>
          <w:color w:val="000000"/>
          <w:sz w:val="24"/>
          <w:szCs w:val="24"/>
        </w:rPr>
        <w:t>202), and Finger millet (GPU</w:t>
      </w:r>
      <w:r w:rsidR="002167FC">
        <w:rPr>
          <w:rFonts w:ascii="Times New Roman" w:hAnsi="Times New Roman" w:cs="Times New Roman"/>
          <w:color w:val="000000"/>
          <w:sz w:val="24"/>
          <w:szCs w:val="24"/>
        </w:rPr>
        <w:t xml:space="preserve"> </w:t>
      </w:r>
      <w:r w:rsidRPr="00A811B0">
        <w:rPr>
          <w:rFonts w:ascii="Times New Roman" w:hAnsi="Times New Roman" w:cs="Times New Roman"/>
          <w:color w:val="000000"/>
          <w:sz w:val="24"/>
          <w:szCs w:val="24"/>
        </w:rPr>
        <w:t>67) designated as main plots. Additionally, four levels of nitrogen and phosphorus are applied in sub-plots, categorized as N</w:t>
      </w:r>
      <w:r w:rsidRPr="00A811B0">
        <w:rPr>
          <w:rFonts w:ascii="Times New Roman" w:hAnsi="Times New Roman" w:cs="Times New Roman"/>
          <w:color w:val="000000"/>
          <w:sz w:val="24"/>
          <w:szCs w:val="24"/>
          <w:vertAlign w:val="subscript"/>
        </w:rPr>
        <w:t>0</w:t>
      </w:r>
      <w:r w:rsidRPr="00A811B0">
        <w:rPr>
          <w:rFonts w:ascii="Times New Roman" w:hAnsi="Times New Roman" w:cs="Times New Roman"/>
          <w:color w:val="000000"/>
          <w:sz w:val="24"/>
          <w:szCs w:val="24"/>
        </w:rPr>
        <w:t xml:space="preserve"> + P</w:t>
      </w:r>
      <w:r w:rsidRPr="00A811B0">
        <w:rPr>
          <w:rFonts w:ascii="Times New Roman" w:hAnsi="Times New Roman" w:cs="Times New Roman"/>
          <w:color w:val="000000"/>
          <w:sz w:val="24"/>
          <w:szCs w:val="24"/>
          <w:vertAlign w:val="subscript"/>
        </w:rPr>
        <w:t>0</w:t>
      </w:r>
      <w:r w:rsidRPr="00A811B0">
        <w:rPr>
          <w:rFonts w:ascii="Times New Roman" w:hAnsi="Times New Roman" w:cs="Times New Roman"/>
          <w:color w:val="000000"/>
          <w:sz w:val="24"/>
          <w:szCs w:val="24"/>
        </w:rPr>
        <w:t>, N</w:t>
      </w:r>
      <w:r w:rsidRPr="00A811B0">
        <w:rPr>
          <w:rFonts w:ascii="Times New Roman" w:hAnsi="Times New Roman" w:cs="Times New Roman"/>
          <w:color w:val="000000"/>
          <w:sz w:val="24"/>
          <w:szCs w:val="24"/>
          <w:vertAlign w:val="subscript"/>
        </w:rPr>
        <w:t>20</w:t>
      </w:r>
      <w:r w:rsidRPr="00A811B0">
        <w:rPr>
          <w:rFonts w:ascii="Times New Roman" w:hAnsi="Times New Roman" w:cs="Times New Roman"/>
          <w:color w:val="000000"/>
          <w:sz w:val="24"/>
          <w:szCs w:val="24"/>
        </w:rPr>
        <w:t xml:space="preserve"> + P</w:t>
      </w:r>
      <w:r w:rsidRPr="00A811B0">
        <w:rPr>
          <w:rFonts w:ascii="Times New Roman" w:hAnsi="Times New Roman" w:cs="Times New Roman"/>
          <w:color w:val="000000"/>
          <w:sz w:val="24"/>
          <w:szCs w:val="24"/>
          <w:vertAlign w:val="subscript"/>
        </w:rPr>
        <w:t>10</w:t>
      </w:r>
      <w:r w:rsidRPr="00A811B0">
        <w:rPr>
          <w:rFonts w:ascii="Times New Roman" w:hAnsi="Times New Roman" w:cs="Times New Roman"/>
          <w:color w:val="000000"/>
          <w:sz w:val="24"/>
          <w:szCs w:val="24"/>
        </w:rPr>
        <w:t>, N</w:t>
      </w:r>
      <w:r w:rsidRPr="00A811B0">
        <w:rPr>
          <w:rFonts w:ascii="Times New Roman" w:hAnsi="Times New Roman" w:cs="Times New Roman"/>
          <w:color w:val="000000"/>
          <w:sz w:val="24"/>
          <w:szCs w:val="24"/>
          <w:vertAlign w:val="subscript"/>
        </w:rPr>
        <w:t>40</w:t>
      </w:r>
      <w:r w:rsidRPr="00A811B0">
        <w:rPr>
          <w:rFonts w:ascii="Times New Roman" w:hAnsi="Times New Roman" w:cs="Times New Roman"/>
          <w:color w:val="000000"/>
          <w:sz w:val="24"/>
          <w:szCs w:val="24"/>
        </w:rPr>
        <w:t xml:space="preserve"> + P</w:t>
      </w:r>
      <w:r w:rsidRPr="00A811B0">
        <w:rPr>
          <w:rFonts w:ascii="Times New Roman" w:hAnsi="Times New Roman" w:cs="Times New Roman"/>
          <w:color w:val="000000"/>
          <w:sz w:val="24"/>
          <w:szCs w:val="24"/>
          <w:vertAlign w:val="subscript"/>
        </w:rPr>
        <w:t>20</w:t>
      </w:r>
      <w:r w:rsidRPr="00A811B0">
        <w:rPr>
          <w:rFonts w:ascii="Times New Roman" w:hAnsi="Times New Roman" w:cs="Times New Roman"/>
          <w:color w:val="000000"/>
          <w:sz w:val="24"/>
          <w:szCs w:val="24"/>
        </w:rPr>
        <w:t>, and N</w:t>
      </w:r>
      <w:r w:rsidRPr="00A811B0">
        <w:rPr>
          <w:rFonts w:ascii="Times New Roman" w:hAnsi="Times New Roman" w:cs="Times New Roman"/>
          <w:color w:val="000000"/>
          <w:sz w:val="24"/>
          <w:szCs w:val="24"/>
          <w:vertAlign w:val="subscript"/>
        </w:rPr>
        <w:t>60</w:t>
      </w:r>
      <w:r w:rsidRPr="00A811B0">
        <w:rPr>
          <w:rFonts w:ascii="Times New Roman" w:hAnsi="Times New Roman" w:cs="Times New Roman"/>
          <w:color w:val="000000"/>
          <w:sz w:val="24"/>
          <w:szCs w:val="24"/>
        </w:rPr>
        <w:t xml:space="preserve"> + P</w:t>
      </w:r>
      <w:r w:rsidRPr="00A811B0">
        <w:rPr>
          <w:rFonts w:ascii="Times New Roman" w:hAnsi="Times New Roman" w:cs="Times New Roman"/>
          <w:color w:val="000000"/>
          <w:sz w:val="24"/>
          <w:szCs w:val="24"/>
          <w:vertAlign w:val="subscript"/>
        </w:rPr>
        <w:t>30</w:t>
      </w:r>
      <w:r w:rsidRPr="00A811B0">
        <w:rPr>
          <w:rFonts w:ascii="Times New Roman" w:hAnsi="Times New Roman" w:cs="Times New Roman"/>
          <w:color w:val="000000"/>
          <w:sz w:val="24"/>
          <w:szCs w:val="24"/>
        </w:rPr>
        <w:t xml:space="preserve"> kg ha</w:t>
      </w:r>
      <w:r w:rsidRPr="00A811B0">
        <w:rPr>
          <w:rFonts w:ascii="Times New Roman" w:hAnsi="Times New Roman" w:cs="Times New Roman"/>
          <w:color w:val="000000"/>
          <w:sz w:val="24"/>
          <w:szCs w:val="24"/>
          <w:vertAlign w:val="superscript"/>
        </w:rPr>
        <w:t>-1</w:t>
      </w:r>
      <w:r w:rsidRPr="00A811B0">
        <w:rPr>
          <w:rFonts w:ascii="Times New Roman" w:hAnsi="Times New Roman" w:cs="Times New Roman"/>
          <w:color w:val="000000"/>
          <w:sz w:val="24"/>
          <w:szCs w:val="24"/>
        </w:rPr>
        <w:t xml:space="preserve">. The land preparation involved two ploughing operations utilizing a harrow and a cultivator, followed by planking and pre-sowing irrigation to maintain optimal moisture levels. Following the layout procedure utilizing levelling rods, a complete application of phosphorus and fifty percent of the nitrogen dosage, in accordance with the specified treatments, was integrated during the field preparation phase. Sowing was subsequently conducted with a row spacing of 30 cm in mid-June. The residual nitrogen was utilized as a top dressing subsequent to the processes of thinning and gap filling. </w:t>
      </w:r>
      <w:r w:rsidRPr="0091736C">
        <w:rPr>
          <w:rFonts w:ascii="Times New Roman" w:hAnsi="Times New Roman" w:cs="Times New Roman"/>
          <w:color w:val="000000"/>
          <w:sz w:val="24"/>
          <w:szCs w:val="24"/>
        </w:rPr>
        <w:t xml:space="preserve">Urea </w:t>
      </w:r>
      <w:r w:rsidR="0091736C" w:rsidRPr="0091736C">
        <w:rPr>
          <w:rFonts w:ascii="Times New Roman" w:hAnsi="Times New Roman" w:cs="Times New Roman"/>
          <w:sz w:val="24"/>
          <w:szCs w:val="24"/>
          <w:highlight w:val="yellow"/>
        </w:rPr>
        <w:t>(46% N)</w:t>
      </w:r>
      <w:r w:rsidR="0091736C" w:rsidRPr="0091736C">
        <w:rPr>
          <w:rFonts w:ascii="Times New Roman" w:hAnsi="Times New Roman" w:cs="Times New Roman"/>
          <w:sz w:val="24"/>
          <w:szCs w:val="24"/>
        </w:rPr>
        <w:t xml:space="preserve"> </w:t>
      </w:r>
      <w:r w:rsidRPr="0091736C">
        <w:rPr>
          <w:rFonts w:ascii="Times New Roman" w:hAnsi="Times New Roman" w:cs="Times New Roman"/>
          <w:color w:val="000000"/>
          <w:sz w:val="24"/>
          <w:szCs w:val="24"/>
        </w:rPr>
        <w:t>and</w:t>
      </w:r>
      <w:r w:rsidRPr="00A811B0">
        <w:rPr>
          <w:rFonts w:ascii="Times New Roman" w:hAnsi="Times New Roman" w:cs="Times New Roman"/>
          <w:color w:val="000000"/>
          <w:sz w:val="24"/>
          <w:szCs w:val="24"/>
        </w:rPr>
        <w:t xml:space="preserve"> Di-ammonium Phosphate (DAP</w:t>
      </w:r>
      <w:r w:rsidRPr="0091736C">
        <w:rPr>
          <w:rFonts w:ascii="Times New Roman" w:hAnsi="Times New Roman" w:cs="Times New Roman"/>
          <w:color w:val="000000"/>
          <w:sz w:val="24"/>
          <w:szCs w:val="24"/>
        </w:rPr>
        <w:t xml:space="preserve">) </w:t>
      </w:r>
      <w:r w:rsidR="0091736C" w:rsidRPr="0091736C">
        <w:rPr>
          <w:rFonts w:ascii="Times New Roman" w:hAnsi="Times New Roman" w:cs="Times New Roman"/>
          <w:sz w:val="24"/>
          <w:szCs w:val="24"/>
          <w:highlight w:val="yellow"/>
        </w:rPr>
        <w:t>(18% N, 46% P₂O₅)</w:t>
      </w:r>
      <w:r w:rsidR="0091736C" w:rsidRPr="0091736C">
        <w:rPr>
          <w:rFonts w:ascii="Times New Roman" w:hAnsi="Times New Roman" w:cs="Times New Roman"/>
          <w:sz w:val="24"/>
          <w:szCs w:val="24"/>
        </w:rPr>
        <w:t xml:space="preserve"> </w:t>
      </w:r>
      <w:r w:rsidRPr="0091736C">
        <w:rPr>
          <w:rFonts w:ascii="Times New Roman" w:hAnsi="Times New Roman" w:cs="Times New Roman"/>
          <w:color w:val="000000"/>
          <w:sz w:val="24"/>
          <w:szCs w:val="24"/>
        </w:rPr>
        <w:t>served as the sources of nitrogen and phosphorus. Manual weeding was conducted at 20-25 and 35-40</w:t>
      </w:r>
      <w:r w:rsidRPr="00A811B0">
        <w:rPr>
          <w:rFonts w:ascii="Times New Roman" w:hAnsi="Times New Roman" w:cs="Times New Roman"/>
          <w:color w:val="000000"/>
          <w:sz w:val="24"/>
          <w:szCs w:val="24"/>
        </w:rPr>
        <w:t xml:space="preserve"> days after sowing (DAS), with two irrigations provided according to crop requirements during periods of dry weather. </w:t>
      </w:r>
    </w:p>
    <w:p w14:paraId="1685ED5C" w14:textId="4EC2E483" w:rsidR="00DC22C3" w:rsidRPr="00A811B0" w:rsidRDefault="00DC22C3" w:rsidP="00A811B0">
      <w:pPr>
        <w:pStyle w:val="NormalWeb"/>
        <w:spacing w:before="120" w:beforeAutospacing="0" w:after="120" w:afterAutospacing="0" w:line="360" w:lineRule="auto"/>
        <w:jc w:val="both"/>
        <w:rPr>
          <w:rFonts w:ascii="Times New Roman" w:eastAsia="Wingdings" w:hAnsi="Times New Roman" w:cs="Times New Roman"/>
          <w:color w:val="000000"/>
        </w:rPr>
      </w:pPr>
      <w:r w:rsidRPr="00A811B0">
        <w:rPr>
          <w:rFonts w:ascii="Times New Roman" w:hAnsi="Times New Roman" w:cs="Times New Roman"/>
          <w:b/>
          <w:bCs/>
          <w:color w:val="000000"/>
        </w:rPr>
        <w:t>Observations recorded</w:t>
      </w:r>
    </w:p>
    <w:p w14:paraId="2AEFA2C9" w14:textId="7CA65147" w:rsidR="00381F16" w:rsidRPr="00A811B0" w:rsidRDefault="00381F16" w:rsidP="00A811B0">
      <w:pPr>
        <w:spacing w:before="120" w:after="120"/>
        <w:ind w:firstLine="720"/>
        <w:rPr>
          <w:rFonts w:ascii="Times New Roman" w:hAnsi="Times New Roman" w:cs="Times New Roman"/>
          <w:color w:val="000000"/>
          <w:sz w:val="24"/>
          <w:szCs w:val="24"/>
        </w:rPr>
      </w:pPr>
      <w:r w:rsidRPr="00A811B0">
        <w:rPr>
          <w:rFonts w:ascii="Times New Roman" w:hAnsi="Times New Roman" w:cs="Times New Roman"/>
          <w:color w:val="000000"/>
          <w:sz w:val="24"/>
          <w:szCs w:val="24"/>
        </w:rPr>
        <w:lastRenderedPageBreak/>
        <w:t>The recorded data included growth attributes such as plant population (mrl</w:t>
      </w:r>
      <w:r w:rsidRPr="00A811B0">
        <w:rPr>
          <w:rFonts w:ascii="Times New Roman" w:hAnsi="Times New Roman" w:cs="Times New Roman"/>
          <w:color w:val="000000"/>
          <w:sz w:val="24"/>
          <w:szCs w:val="24"/>
          <w:vertAlign w:val="superscript"/>
        </w:rPr>
        <w:t>-1</w:t>
      </w:r>
      <w:r w:rsidRPr="00A811B0">
        <w:rPr>
          <w:rFonts w:ascii="Times New Roman" w:hAnsi="Times New Roman" w:cs="Times New Roman"/>
          <w:color w:val="000000"/>
          <w:sz w:val="24"/>
          <w:szCs w:val="24"/>
        </w:rPr>
        <w:t>), plant height (cm), dry matter accumulation (g mrl</w:t>
      </w:r>
      <w:r w:rsidRPr="00A811B0">
        <w:rPr>
          <w:rFonts w:ascii="Times New Roman" w:hAnsi="Times New Roman" w:cs="Times New Roman"/>
          <w:color w:val="000000"/>
          <w:sz w:val="24"/>
          <w:szCs w:val="24"/>
          <w:vertAlign w:val="superscript"/>
        </w:rPr>
        <w:t>-1</w:t>
      </w:r>
      <w:r w:rsidRPr="00A811B0">
        <w:rPr>
          <w:rFonts w:ascii="Times New Roman" w:hAnsi="Times New Roman" w:cs="Times New Roman"/>
          <w:color w:val="000000"/>
          <w:sz w:val="24"/>
          <w:szCs w:val="24"/>
        </w:rPr>
        <w:t>), and number of tillers (mrl</w:t>
      </w:r>
      <w:r w:rsidRPr="00A811B0">
        <w:rPr>
          <w:rFonts w:ascii="Times New Roman" w:hAnsi="Times New Roman" w:cs="Times New Roman"/>
          <w:color w:val="000000"/>
          <w:sz w:val="24"/>
          <w:szCs w:val="24"/>
          <w:vertAlign w:val="superscript"/>
        </w:rPr>
        <w:t>-1</w:t>
      </w:r>
      <w:r w:rsidRPr="00A811B0">
        <w:rPr>
          <w:rFonts w:ascii="Times New Roman" w:hAnsi="Times New Roman" w:cs="Times New Roman"/>
          <w:color w:val="000000"/>
          <w:sz w:val="24"/>
          <w:szCs w:val="24"/>
        </w:rPr>
        <w:t xml:space="preserve">). The plant population was quantified per </w:t>
      </w:r>
      <w:proofErr w:type="spellStart"/>
      <w:r w:rsidRPr="00A811B0">
        <w:rPr>
          <w:rFonts w:ascii="Times New Roman" w:hAnsi="Times New Roman" w:cs="Times New Roman"/>
          <w:color w:val="000000"/>
          <w:sz w:val="24"/>
          <w:szCs w:val="24"/>
        </w:rPr>
        <w:t>metre</w:t>
      </w:r>
      <w:proofErr w:type="spellEnd"/>
      <w:r w:rsidRPr="00A811B0">
        <w:rPr>
          <w:rFonts w:ascii="Times New Roman" w:hAnsi="Times New Roman" w:cs="Times New Roman"/>
          <w:color w:val="000000"/>
          <w:sz w:val="24"/>
          <w:szCs w:val="24"/>
        </w:rPr>
        <w:t xml:space="preserve"> of row length at 15 days after sowing (DAS). Plant height was recorded at 20, 40, and 60 days after sowing (DAS), as well as at maturity. Measurements were taken from ground level to the apex of the shoot using a </w:t>
      </w:r>
      <w:proofErr w:type="spellStart"/>
      <w:r w:rsidRPr="00A811B0">
        <w:rPr>
          <w:rFonts w:ascii="Times New Roman" w:hAnsi="Times New Roman" w:cs="Times New Roman"/>
          <w:color w:val="000000"/>
          <w:sz w:val="24"/>
          <w:szCs w:val="24"/>
        </w:rPr>
        <w:t>metre</w:t>
      </w:r>
      <w:proofErr w:type="spellEnd"/>
      <w:r w:rsidRPr="00A811B0">
        <w:rPr>
          <w:rFonts w:ascii="Times New Roman" w:hAnsi="Times New Roman" w:cs="Times New Roman"/>
          <w:color w:val="000000"/>
          <w:sz w:val="24"/>
          <w:szCs w:val="24"/>
        </w:rPr>
        <w:t xml:space="preserve"> rod (cm). The accumulation of dry matter in plant samples for a one-meter row length was measured at 20, 40, and 60 days after sowing (DAS), as well as at maturity. The plants were severed at ground level and placed into a brown paper bag. The sample was subsequently dried in a thermally controlled oven at 60 °C until it reached a constant weigh</w:t>
      </w:r>
      <w:r w:rsidR="00DC22C3" w:rsidRPr="00A811B0">
        <w:rPr>
          <w:rFonts w:ascii="Times New Roman" w:hAnsi="Times New Roman" w:cs="Times New Roman"/>
          <w:color w:val="000000"/>
          <w:sz w:val="24"/>
          <w:szCs w:val="24"/>
        </w:rPr>
        <w:t>t, which was recorded in gram</w:t>
      </w:r>
      <w:r w:rsidRPr="00A811B0">
        <w:rPr>
          <w:rFonts w:ascii="Times New Roman" w:hAnsi="Times New Roman" w:cs="Times New Roman"/>
          <w:color w:val="000000"/>
          <w:sz w:val="24"/>
          <w:szCs w:val="24"/>
        </w:rPr>
        <w:t xml:space="preserve"> per meter </w:t>
      </w:r>
      <w:r w:rsidR="00DC22C3" w:rsidRPr="00A811B0">
        <w:rPr>
          <w:rFonts w:ascii="Times New Roman" w:hAnsi="Times New Roman" w:cs="Times New Roman"/>
          <w:color w:val="000000"/>
          <w:sz w:val="24"/>
          <w:szCs w:val="24"/>
        </w:rPr>
        <w:t>row length</w:t>
      </w:r>
      <w:r w:rsidRPr="00A811B0">
        <w:rPr>
          <w:rFonts w:ascii="Times New Roman" w:hAnsi="Times New Roman" w:cs="Times New Roman"/>
          <w:color w:val="000000"/>
          <w:sz w:val="24"/>
          <w:szCs w:val="24"/>
        </w:rPr>
        <w:t xml:space="preserve"> (g mrl</w:t>
      </w:r>
      <w:r w:rsidRPr="00A811B0">
        <w:rPr>
          <w:rFonts w:ascii="Times New Roman" w:hAnsi="Times New Roman" w:cs="Times New Roman"/>
          <w:color w:val="000000"/>
          <w:sz w:val="24"/>
          <w:szCs w:val="24"/>
          <w:vertAlign w:val="superscript"/>
        </w:rPr>
        <w:t>-1</w:t>
      </w:r>
      <w:r w:rsidRPr="00A811B0">
        <w:rPr>
          <w:rFonts w:ascii="Times New Roman" w:hAnsi="Times New Roman" w:cs="Times New Roman"/>
          <w:color w:val="000000"/>
          <w:sz w:val="24"/>
          <w:szCs w:val="24"/>
        </w:rPr>
        <w:t xml:space="preserve">). The total number of tillers was counted from a one-meter row length in selected rows of each plot using a measuring rod at 40 and 60 days after sowing (DAS), as well as at maturity. Phenological </w:t>
      </w:r>
      <w:r w:rsidR="006C0476" w:rsidRPr="006C0476">
        <w:rPr>
          <w:rFonts w:ascii="Times New Roman" w:hAnsi="Times New Roman" w:cs="Times New Roman"/>
          <w:color w:val="000000"/>
          <w:sz w:val="24"/>
          <w:szCs w:val="24"/>
          <w:highlight w:val="yellow"/>
        </w:rPr>
        <w:t>observations</w:t>
      </w:r>
      <w:r w:rsidRPr="006C0476">
        <w:rPr>
          <w:rFonts w:ascii="Times New Roman" w:hAnsi="Times New Roman" w:cs="Times New Roman"/>
          <w:color w:val="000000"/>
          <w:sz w:val="24"/>
          <w:szCs w:val="24"/>
          <w:highlight w:val="yellow"/>
        </w:rPr>
        <w:t xml:space="preserve"> were</w:t>
      </w:r>
      <w:r w:rsidR="006C0476" w:rsidRPr="006C0476">
        <w:rPr>
          <w:rFonts w:ascii="Times New Roman" w:hAnsi="Times New Roman" w:cs="Times New Roman"/>
          <w:color w:val="000000"/>
          <w:sz w:val="24"/>
          <w:szCs w:val="24"/>
          <w:highlight w:val="yellow"/>
        </w:rPr>
        <w:t xml:space="preserve"> recorded</w:t>
      </w:r>
      <w:r w:rsidRPr="006C0476">
        <w:rPr>
          <w:rFonts w:ascii="Times New Roman" w:hAnsi="Times New Roman" w:cs="Times New Roman"/>
          <w:color w:val="000000"/>
          <w:sz w:val="24"/>
          <w:szCs w:val="24"/>
          <w:highlight w:val="yellow"/>
        </w:rPr>
        <w:t>,</w:t>
      </w:r>
      <w:r w:rsidRPr="00A811B0">
        <w:rPr>
          <w:rFonts w:ascii="Times New Roman" w:hAnsi="Times New Roman" w:cs="Times New Roman"/>
          <w:color w:val="000000"/>
          <w:sz w:val="24"/>
          <w:szCs w:val="24"/>
        </w:rPr>
        <w:t xml:space="preserve"> including the measurement of days to crop emergence, days to heading, and days to maturity. The recorded data were </w:t>
      </w:r>
      <w:r w:rsidR="00DC22C3" w:rsidRPr="00A811B0">
        <w:rPr>
          <w:rFonts w:ascii="Times New Roman" w:hAnsi="Times New Roman" w:cs="Times New Roman"/>
          <w:color w:val="000000"/>
          <w:sz w:val="24"/>
          <w:szCs w:val="24"/>
        </w:rPr>
        <w:t>analyzed</w:t>
      </w:r>
      <w:r w:rsidRPr="00A811B0">
        <w:rPr>
          <w:rFonts w:ascii="Times New Roman" w:hAnsi="Times New Roman" w:cs="Times New Roman"/>
          <w:color w:val="000000"/>
          <w:sz w:val="24"/>
          <w:szCs w:val="24"/>
        </w:rPr>
        <w:t xml:space="preserve"> using the analysis of variance (ANOVA) technique as outlined by Gomez and Gomez (1984) for a split plot design. The least significance test was employed to </w:t>
      </w:r>
      <w:proofErr w:type="spellStart"/>
      <w:r w:rsidRPr="00A811B0">
        <w:rPr>
          <w:rFonts w:ascii="Times New Roman" w:hAnsi="Times New Roman" w:cs="Times New Roman"/>
          <w:color w:val="000000"/>
          <w:sz w:val="24"/>
          <w:szCs w:val="24"/>
        </w:rPr>
        <w:t>analyse</w:t>
      </w:r>
      <w:proofErr w:type="spellEnd"/>
      <w:r w:rsidRPr="00A811B0">
        <w:rPr>
          <w:rFonts w:ascii="Times New Roman" w:hAnsi="Times New Roman" w:cs="Times New Roman"/>
          <w:color w:val="000000"/>
          <w:sz w:val="24"/>
          <w:szCs w:val="24"/>
        </w:rPr>
        <w:t xml:space="preserve"> the impact of treatme</w:t>
      </w:r>
      <w:r w:rsidR="00C06BBC" w:rsidRPr="00A811B0">
        <w:rPr>
          <w:rFonts w:ascii="Times New Roman" w:hAnsi="Times New Roman" w:cs="Times New Roman"/>
          <w:color w:val="000000"/>
          <w:sz w:val="24"/>
          <w:szCs w:val="24"/>
        </w:rPr>
        <w:t>nts at a 5% significance level.</w:t>
      </w:r>
    </w:p>
    <w:p w14:paraId="4644D3FB" w14:textId="77777777" w:rsidR="006D7130" w:rsidRPr="00A811B0" w:rsidRDefault="006D7130" w:rsidP="00A811B0">
      <w:pPr>
        <w:spacing w:before="120" w:after="120"/>
        <w:jc w:val="center"/>
        <w:rPr>
          <w:rFonts w:ascii="Times New Roman" w:hAnsi="Times New Roman" w:cs="Times New Roman"/>
          <w:b/>
          <w:bCs/>
          <w:color w:val="000000" w:themeColor="text1"/>
          <w:sz w:val="24"/>
          <w:szCs w:val="24"/>
        </w:rPr>
      </w:pPr>
      <w:r w:rsidRPr="00A811B0">
        <w:rPr>
          <w:rFonts w:ascii="Times New Roman" w:hAnsi="Times New Roman" w:cs="Times New Roman"/>
          <w:b/>
          <w:bCs/>
          <w:color w:val="000000" w:themeColor="text1"/>
          <w:sz w:val="24"/>
          <w:szCs w:val="24"/>
        </w:rPr>
        <w:t>RESULTS AND DISCUSSION</w:t>
      </w:r>
    </w:p>
    <w:p w14:paraId="598531A7" w14:textId="77777777" w:rsidR="006D7130" w:rsidRPr="00A811B0" w:rsidRDefault="006D7130" w:rsidP="00A811B0">
      <w:pPr>
        <w:spacing w:before="120" w:after="120"/>
        <w:rPr>
          <w:rFonts w:ascii="Times New Roman" w:hAnsi="Times New Roman" w:cs="Times New Roman"/>
          <w:b/>
          <w:bCs/>
          <w:color w:val="000000" w:themeColor="text1"/>
          <w:sz w:val="24"/>
          <w:szCs w:val="24"/>
        </w:rPr>
      </w:pPr>
      <w:r w:rsidRPr="00A811B0">
        <w:rPr>
          <w:rFonts w:ascii="Times New Roman" w:hAnsi="Times New Roman" w:cs="Times New Roman"/>
          <w:b/>
          <w:bCs/>
          <w:color w:val="000000" w:themeColor="text1"/>
          <w:sz w:val="24"/>
          <w:szCs w:val="24"/>
        </w:rPr>
        <w:t xml:space="preserve">Effect </w:t>
      </w:r>
      <w:r w:rsidR="00DA632F" w:rsidRPr="00A811B0">
        <w:rPr>
          <w:rFonts w:ascii="Times New Roman" w:hAnsi="Times New Roman" w:cs="Times New Roman"/>
          <w:b/>
          <w:bCs/>
          <w:color w:val="000000" w:themeColor="text1"/>
          <w:sz w:val="24"/>
          <w:szCs w:val="24"/>
        </w:rPr>
        <w:t xml:space="preserve">of </w:t>
      </w:r>
      <w:r w:rsidR="00911E0A">
        <w:rPr>
          <w:rFonts w:ascii="Times New Roman" w:hAnsi="Times New Roman" w:cs="Times New Roman"/>
          <w:b/>
          <w:bCs/>
          <w:color w:val="000000" w:themeColor="text1"/>
          <w:sz w:val="24"/>
          <w:szCs w:val="24"/>
        </w:rPr>
        <w:t xml:space="preserve">different </w:t>
      </w:r>
      <w:r w:rsidR="00DA632F" w:rsidRPr="00A811B0">
        <w:rPr>
          <w:rFonts w:ascii="Times New Roman" w:hAnsi="Times New Roman" w:cs="Times New Roman"/>
          <w:b/>
          <w:bCs/>
          <w:color w:val="000000" w:themeColor="text1"/>
          <w:sz w:val="24"/>
          <w:szCs w:val="24"/>
        </w:rPr>
        <w:t xml:space="preserve">fertility </w:t>
      </w:r>
      <w:r w:rsidRPr="00A811B0">
        <w:rPr>
          <w:rFonts w:ascii="Times New Roman" w:hAnsi="Times New Roman" w:cs="Times New Roman"/>
          <w:b/>
          <w:bCs/>
          <w:color w:val="000000" w:themeColor="text1"/>
          <w:sz w:val="24"/>
          <w:szCs w:val="24"/>
        </w:rPr>
        <w:t xml:space="preserve">levels on </w:t>
      </w:r>
      <w:r w:rsidR="00685742" w:rsidRPr="00A811B0">
        <w:rPr>
          <w:rFonts w:ascii="Times New Roman" w:hAnsi="Times New Roman" w:cs="Times New Roman"/>
          <w:b/>
          <w:bCs/>
          <w:color w:val="000000" w:themeColor="text1"/>
          <w:sz w:val="24"/>
          <w:szCs w:val="24"/>
        </w:rPr>
        <w:t>growth parameters</w:t>
      </w:r>
    </w:p>
    <w:p w14:paraId="65CEBBF7" w14:textId="32706B49" w:rsidR="00DA632F" w:rsidRPr="00B4420C" w:rsidRDefault="00685742" w:rsidP="00EA30ED">
      <w:pPr>
        <w:pStyle w:val="BodyText"/>
        <w:spacing w:before="120" w:after="120" w:line="360" w:lineRule="auto"/>
        <w:ind w:right="163" w:firstLine="719"/>
        <w:jc w:val="both"/>
        <w:rPr>
          <w:bCs/>
          <w:color w:val="000000"/>
          <w:lang w:val="en-IN" w:bidi="en-US"/>
        </w:rPr>
      </w:pPr>
      <w:r w:rsidRPr="00A811B0">
        <w:rPr>
          <w:bCs/>
          <w:color w:val="000000"/>
          <w:sz w:val="24"/>
          <w:szCs w:val="24"/>
          <w:lang w:bidi="en-US"/>
        </w:rPr>
        <w:t xml:space="preserve">The data on growth traits are presented in Table 1 &amp; 2. The data </w:t>
      </w:r>
      <w:r w:rsidR="00EA6000">
        <w:rPr>
          <w:bCs/>
          <w:color w:val="000000"/>
          <w:sz w:val="24"/>
          <w:szCs w:val="24"/>
          <w:lang w:bidi="en-US"/>
        </w:rPr>
        <w:t>of</w:t>
      </w:r>
      <w:r w:rsidRPr="00A811B0">
        <w:rPr>
          <w:bCs/>
          <w:color w:val="000000"/>
          <w:sz w:val="24"/>
          <w:szCs w:val="24"/>
          <w:lang w:bidi="en-US"/>
        </w:rPr>
        <w:t xml:space="preserve"> plant population recorded </w:t>
      </w:r>
      <w:r w:rsidR="002F6438" w:rsidRPr="00A811B0">
        <w:rPr>
          <w:bCs/>
          <w:color w:val="000000"/>
          <w:sz w:val="24"/>
          <w:szCs w:val="24"/>
          <w:lang w:bidi="en-US"/>
        </w:rPr>
        <w:t xml:space="preserve">non-significant effect at 15 days after sowing (DAS), however </w:t>
      </w:r>
      <w:proofErr w:type="spellStart"/>
      <w:r w:rsidRPr="00A811B0">
        <w:rPr>
          <w:bCs/>
          <w:color w:val="000000"/>
          <w:sz w:val="24"/>
          <w:szCs w:val="24"/>
          <w:lang w:bidi="en-US"/>
        </w:rPr>
        <w:t>proso</w:t>
      </w:r>
      <w:proofErr w:type="spellEnd"/>
      <w:r w:rsidRPr="00A811B0">
        <w:rPr>
          <w:bCs/>
          <w:color w:val="000000"/>
          <w:sz w:val="24"/>
          <w:szCs w:val="24"/>
          <w:lang w:bidi="en-US"/>
        </w:rPr>
        <w:t xml:space="preserve"> millet (TNAU 202) exhibited a slightly higher plant population (9.00 plants mrl</w:t>
      </w:r>
      <w:r w:rsidRPr="00A811B0">
        <w:rPr>
          <w:bCs/>
          <w:color w:val="000000"/>
          <w:sz w:val="24"/>
          <w:szCs w:val="24"/>
          <w:vertAlign w:val="superscript"/>
          <w:lang w:bidi="en-US"/>
        </w:rPr>
        <w:t>-1</w:t>
      </w:r>
      <w:r w:rsidRPr="00A811B0">
        <w:rPr>
          <w:bCs/>
          <w:color w:val="000000"/>
          <w:sz w:val="24"/>
          <w:szCs w:val="24"/>
          <w:lang w:bidi="en-US"/>
        </w:rPr>
        <w:t>) compared to foxtail millet (8.83 plants mrl</w:t>
      </w:r>
      <w:r w:rsidRPr="00A811B0">
        <w:rPr>
          <w:bCs/>
          <w:color w:val="000000"/>
          <w:sz w:val="24"/>
          <w:szCs w:val="24"/>
          <w:vertAlign w:val="superscript"/>
          <w:lang w:bidi="en-US"/>
        </w:rPr>
        <w:t>-1</w:t>
      </w:r>
      <w:r w:rsidRPr="00A811B0">
        <w:rPr>
          <w:bCs/>
          <w:color w:val="000000"/>
          <w:sz w:val="24"/>
          <w:szCs w:val="24"/>
          <w:lang w:bidi="en-US"/>
        </w:rPr>
        <w:t>), while finger millet (GPU 67) had the lowest plant population (8.42 plants mrl</w:t>
      </w:r>
      <w:r w:rsidRPr="00A811B0">
        <w:rPr>
          <w:bCs/>
          <w:color w:val="000000"/>
          <w:sz w:val="24"/>
          <w:szCs w:val="24"/>
          <w:vertAlign w:val="superscript"/>
          <w:lang w:bidi="en-US"/>
        </w:rPr>
        <w:t>-1</w:t>
      </w:r>
      <w:r w:rsidRPr="00A811B0">
        <w:rPr>
          <w:bCs/>
          <w:color w:val="000000"/>
          <w:sz w:val="24"/>
          <w:szCs w:val="24"/>
          <w:lang w:bidi="en-US"/>
        </w:rPr>
        <w:t xml:space="preserve">). </w:t>
      </w:r>
      <w:r w:rsidR="002F6438" w:rsidRPr="00A811B0">
        <w:rPr>
          <w:bCs/>
          <w:color w:val="000000"/>
          <w:sz w:val="24"/>
          <w:szCs w:val="24"/>
          <w:lang w:bidi="en-US"/>
        </w:rPr>
        <w:t>I</w:t>
      </w:r>
      <w:r w:rsidR="002F6438" w:rsidRPr="00A811B0">
        <w:rPr>
          <w:sz w:val="24"/>
          <w:szCs w:val="24"/>
        </w:rPr>
        <w:t xml:space="preserve">rrespective of </w:t>
      </w:r>
      <w:r w:rsidR="002F6438" w:rsidRPr="009D697E">
        <w:rPr>
          <w:sz w:val="24"/>
          <w:szCs w:val="24"/>
          <w:highlight w:val="yellow"/>
        </w:rPr>
        <w:t>minor millet</w:t>
      </w:r>
      <w:r w:rsidR="009D697E" w:rsidRPr="009D697E">
        <w:rPr>
          <w:sz w:val="24"/>
          <w:szCs w:val="24"/>
          <w:highlight w:val="yellow"/>
        </w:rPr>
        <w:t>s</w:t>
      </w:r>
      <w:r w:rsidR="009D697E">
        <w:rPr>
          <w:sz w:val="24"/>
          <w:szCs w:val="24"/>
        </w:rPr>
        <w:t xml:space="preserve"> </w:t>
      </w:r>
      <w:r w:rsidR="002F6438" w:rsidRPr="00A811B0">
        <w:rPr>
          <w:sz w:val="24"/>
          <w:szCs w:val="24"/>
        </w:rPr>
        <w:t>and nitrogen and phosphorus levels plant height continuously increased up to maturity.</w:t>
      </w:r>
      <w:r w:rsidR="0051305A">
        <w:rPr>
          <w:sz w:val="24"/>
          <w:szCs w:val="24"/>
        </w:rPr>
        <w:t xml:space="preserve"> </w:t>
      </w:r>
      <w:r w:rsidR="002F6438" w:rsidRPr="00A811B0">
        <w:rPr>
          <w:sz w:val="24"/>
          <w:szCs w:val="24"/>
        </w:rPr>
        <w:t>The</w:t>
      </w:r>
      <w:r w:rsidR="0051305A">
        <w:rPr>
          <w:sz w:val="24"/>
          <w:szCs w:val="24"/>
        </w:rPr>
        <w:t xml:space="preserve"> </w:t>
      </w:r>
      <w:r w:rsidR="002F6438" w:rsidRPr="00A811B0">
        <w:rPr>
          <w:sz w:val="24"/>
          <w:szCs w:val="24"/>
        </w:rPr>
        <w:t>maximum</w:t>
      </w:r>
      <w:r w:rsidR="0051305A">
        <w:rPr>
          <w:sz w:val="24"/>
          <w:szCs w:val="24"/>
        </w:rPr>
        <w:t xml:space="preserve"> </w:t>
      </w:r>
      <w:r w:rsidR="002F6438" w:rsidRPr="00A811B0">
        <w:rPr>
          <w:sz w:val="24"/>
          <w:szCs w:val="24"/>
        </w:rPr>
        <w:t>increase</w:t>
      </w:r>
      <w:r w:rsidR="0051305A">
        <w:rPr>
          <w:sz w:val="24"/>
          <w:szCs w:val="24"/>
        </w:rPr>
        <w:t xml:space="preserve"> </w:t>
      </w:r>
      <w:r w:rsidR="002F6438" w:rsidRPr="00A811B0">
        <w:rPr>
          <w:sz w:val="24"/>
          <w:szCs w:val="24"/>
        </w:rPr>
        <w:t>in</w:t>
      </w:r>
      <w:r w:rsidR="0051305A">
        <w:rPr>
          <w:sz w:val="24"/>
          <w:szCs w:val="24"/>
        </w:rPr>
        <w:t xml:space="preserve"> </w:t>
      </w:r>
      <w:r w:rsidR="002F6438" w:rsidRPr="00A811B0">
        <w:rPr>
          <w:sz w:val="24"/>
          <w:szCs w:val="24"/>
        </w:rPr>
        <w:t>plant</w:t>
      </w:r>
      <w:r w:rsidR="0051305A">
        <w:rPr>
          <w:sz w:val="24"/>
          <w:szCs w:val="24"/>
        </w:rPr>
        <w:t xml:space="preserve"> </w:t>
      </w:r>
      <w:r w:rsidR="002F6438" w:rsidRPr="00A811B0">
        <w:rPr>
          <w:sz w:val="24"/>
          <w:szCs w:val="24"/>
        </w:rPr>
        <w:t>height</w:t>
      </w:r>
      <w:r w:rsidR="0051305A">
        <w:rPr>
          <w:sz w:val="24"/>
          <w:szCs w:val="24"/>
        </w:rPr>
        <w:t xml:space="preserve"> </w:t>
      </w:r>
      <w:r w:rsidR="002F6438" w:rsidRPr="00A811B0">
        <w:rPr>
          <w:sz w:val="24"/>
          <w:szCs w:val="24"/>
        </w:rPr>
        <w:t>was</w:t>
      </w:r>
      <w:r w:rsidR="0051305A">
        <w:rPr>
          <w:sz w:val="24"/>
          <w:szCs w:val="24"/>
        </w:rPr>
        <w:t xml:space="preserve"> </w:t>
      </w:r>
      <w:r w:rsidR="002F6438" w:rsidRPr="00A811B0">
        <w:rPr>
          <w:sz w:val="24"/>
          <w:szCs w:val="24"/>
        </w:rPr>
        <w:t>observed</w:t>
      </w:r>
      <w:r w:rsidR="0051305A">
        <w:rPr>
          <w:sz w:val="24"/>
          <w:szCs w:val="24"/>
        </w:rPr>
        <w:t xml:space="preserve"> </w:t>
      </w:r>
      <w:r w:rsidR="002F6438" w:rsidRPr="00A811B0">
        <w:rPr>
          <w:sz w:val="24"/>
          <w:szCs w:val="24"/>
        </w:rPr>
        <w:t>between</w:t>
      </w:r>
      <w:r w:rsidR="0051305A">
        <w:rPr>
          <w:sz w:val="24"/>
          <w:szCs w:val="24"/>
        </w:rPr>
        <w:t xml:space="preserve"> </w:t>
      </w:r>
      <w:r w:rsidR="002F6438" w:rsidRPr="00A811B0">
        <w:rPr>
          <w:sz w:val="24"/>
          <w:szCs w:val="24"/>
        </w:rPr>
        <w:t>20</w:t>
      </w:r>
      <w:r w:rsidR="006C4906">
        <w:rPr>
          <w:sz w:val="24"/>
          <w:szCs w:val="24"/>
        </w:rPr>
        <w:t xml:space="preserve"> </w:t>
      </w:r>
      <w:r w:rsidR="002F6438" w:rsidRPr="00A811B0">
        <w:rPr>
          <w:sz w:val="24"/>
          <w:szCs w:val="24"/>
        </w:rPr>
        <w:t>and</w:t>
      </w:r>
      <w:r w:rsidR="006C4906">
        <w:rPr>
          <w:sz w:val="24"/>
          <w:szCs w:val="24"/>
        </w:rPr>
        <w:t xml:space="preserve"> </w:t>
      </w:r>
      <w:r w:rsidR="002F6438" w:rsidRPr="00A811B0">
        <w:rPr>
          <w:sz w:val="24"/>
          <w:szCs w:val="24"/>
        </w:rPr>
        <w:t>60</w:t>
      </w:r>
      <w:r w:rsidR="006C4906">
        <w:rPr>
          <w:sz w:val="24"/>
          <w:szCs w:val="24"/>
        </w:rPr>
        <w:t xml:space="preserve"> </w:t>
      </w:r>
      <w:r w:rsidR="002F6438" w:rsidRPr="00A811B0">
        <w:rPr>
          <w:sz w:val="24"/>
          <w:szCs w:val="24"/>
        </w:rPr>
        <w:t>DAS,</w:t>
      </w:r>
      <w:r w:rsidR="006C4906">
        <w:rPr>
          <w:sz w:val="24"/>
          <w:szCs w:val="24"/>
        </w:rPr>
        <w:t xml:space="preserve"> </w:t>
      </w:r>
      <w:r w:rsidR="002F6438" w:rsidRPr="00A811B0">
        <w:rPr>
          <w:sz w:val="24"/>
          <w:szCs w:val="24"/>
        </w:rPr>
        <w:t xml:space="preserve">followed by a slight increase from 60 DAS to maturity, except for finger millet. Among different minor millet, </w:t>
      </w:r>
      <w:proofErr w:type="spellStart"/>
      <w:r w:rsidR="002F6438" w:rsidRPr="00A811B0">
        <w:rPr>
          <w:sz w:val="24"/>
          <w:szCs w:val="24"/>
        </w:rPr>
        <w:t>proso</w:t>
      </w:r>
      <w:proofErr w:type="spellEnd"/>
      <w:r w:rsidR="002F6438" w:rsidRPr="00A811B0">
        <w:rPr>
          <w:sz w:val="24"/>
          <w:szCs w:val="24"/>
        </w:rPr>
        <w:t xml:space="preserve"> millet recorded highest plant height at 20 DAS (31.86 cm) and 40 DAS</w:t>
      </w:r>
      <w:r w:rsidR="0051305A">
        <w:rPr>
          <w:sz w:val="24"/>
          <w:szCs w:val="24"/>
        </w:rPr>
        <w:t xml:space="preserve"> </w:t>
      </w:r>
      <w:r w:rsidR="002F6438" w:rsidRPr="00A811B0">
        <w:rPr>
          <w:sz w:val="24"/>
          <w:szCs w:val="24"/>
        </w:rPr>
        <w:t>(100.40 cm),</w:t>
      </w:r>
      <w:r w:rsidR="0051305A">
        <w:rPr>
          <w:sz w:val="24"/>
          <w:szCs w:val="24"/>
        </w:rPr>
        <w:t xml:space="preserve"> </w:t>
      </w:r>
      <w:r w:rsidR="002F6438" w:rsidRPr="00A811B0">
        <w:rPr>
          <w:sz w:val="24"/>
          <w:szCs w:val="24"/>
        </w:rPr>
        <w:t>whereas,</w:t>
      </w:r>
      <w:r w:rsidR="0051305A">
        <w:rPr>
          <w:sz w:val="24"/>
          <w:szCs w:val="24"/>
        </w:rPr>
        <w:t xml:space="preserve"> </w:t>
      </w:r>
      <w:r w:rsidR="002F6438" w:rsidRPr="00A811B0">
        <w:rPr>
          <w:sz w:val="24"/>
          <w:szCs w:val="24"/>
        </w:rPr>
        <w:t>at</w:t>
      </w:r>
      <w:r w:rsidR="0051305A">
        <w:rPr>
          <w:sz w:val="24"/>
          <w:szCs w:val="24"/>
        </w:rPr>
        <w:t xml:space="preserve"> </w:t>
      </w:r>
      <w:r w:rsidR="002F6438" w:rsidRPr="00A811B0">
        <w:rPr>
          <w:sz w:val="24"/>
          <w:szCs w:val="24"/>
        </w:rPr>
        <w:t>60</w:t>
      </w:r>
      <w:r w:rsidR="008B1B8F">
        <w:rPr>
          <w:sz w:val="24"/>
          <w:szCs w:val="24"/>
        </w:rPr>
        <w:t xml:space="preserve"> </w:t>
      </w:r>
      <w:r w:rsidR="002F6438" w:rsidRPr="00A811B0">
        <w:rPr>
          <w:sz w:val="24"/>
          <w:szCs w:val="24"/>
        </w:rPr>
        <w:t>DAS</w:t>
      </w:r>
      <w:r w:rsidR="0051305A">
        <w:rPr>
          <w:sz w:val="24"/>
          <w:szCs w:val="24"/>
        </w:rPr>
        <w:t xml:space="preserve"> </w:t>
      </w:r>
      <w:r w:rsidR="002F6438" w:rsidRPr="00A811B0">
        <w:rPr>
          <w:sz w:val="24"/>
          <w:szCs w:val="24"/>
        </w:rPr>
        <w:t>(143.78cm)</w:t>
      </w:r>
      <w:r w:rsidR="0051305A">
        <w:rPr>
          <w:sz w:val="24"/>
          <w:szCs w:val="24"/>
        </w:rPr>
        <w:t xml:space="preserve"> </w:t>
      </w:r>
      <w:r w:rsidR="002F6438" w:rsidRPr="00A811B0">
        <w:rPr>
          <w:sz w:val="24"/>
          <w:szCs w:val="24"/>
        </w:rPr>
        <w:t>and</w:t>
      </w:r>
      <w:r w:rsidR="0051305A">
        <w:rPr>
          <w:sz w:val="24"/>
          <w:szCs w:val="24"/>
        </w:rPr>
        <w:t xml:space="preserve"> </w:t>
      </w:r>
      <w:r w:rsidR="002F6438" w:rsidRPr="00A811B0">
        <w:rPr>
          <w:sz w:val="24"/>
          <w:szCs w:val="24"/>
        </w:rPr>
        <w:t>at</w:t>
      </w:r>
      <w:r w:rsidR="0051305A">
        <w:rPr>
          <w:sz w:val="24"/>
          <w:szCs w:val="24"/>
        </w:rPr>
        <w:t xml:space="preserve"> </w:t>
      </w:r>
      <w:r w:rsidR="002F6438" w:rsidRPr="00A811B0">
        <w:rPr>
          <w:sz w:val="24"/>
          <w:szCs w:val="24"/>
        </w:rPr>
        <w:t>maturity</w:t>
      </w:r>
      <w:r w:rsidR="0051305A">
        <w:rPr>
          <w:sz w:val="24"/>
          <w:szCs w:val="24"/>
        </w:rPr>
        <w:t xml:space="preserve"> </w:t>
      </w:r>
      <w:r w:rsidR="002F6438" w:rsidRPr="00A811B0">
        <w:rPr>
          <w:sz w:val="24"/>
          <w:szCs w:val="24"/>
        </w:rPr>
        <w:t>(146.23cm)</w:t>
      </w:r>
      <w:r w:rsidR="0051305A">
        <w:rPr>
          <w:sz w:val="24"/>
          <w:szCs w:val="24"/>
        </w:rPr>
        <w:t xml:space="preserve"> </w:t>
      </w:r>
      <w:r w:rsidR="002F6438" w:rsidRPr="00A811B0">
        <w:rPr>
          <w:sz w:val="24"/>
          <w:szCs w:val="24"/>
        </w:rPr>
        <w:t>highest</w:t>
      </w:r>
      <w:r w:rsidR="0051305A">
        <w:rPr>
          <w:sz w:val="24"/>
          <w:szCs w:val="24"/>
        </w:rPr>
        <w:t xml:space="preserve"> </w:t>
      </w:r>
      <w:r w:rsidR="002F6438" w:rsidRPr="00A811B0">
        <w:rPr>
          <w:sz w:val="24"/>
          <w:szCs w:val="24"/>
        </w:rPr>
        <w:t>plant</w:t>
      </w:r>
      <w:r w:rsidR="0051305A">
        <w:rPr>
          <w:sz w:val="24"/>
          <w:szCs w:val="24"/>
        </w:rPr>
        <w:t xml:space="preserve"> </w:t>
      </w:r>
      <w:r w:rsidR="002F6438" w:rsidRPr="00A811B0">
        <w:rPr>
          <w:sz w:val="24"/>
          <w:szCs w:val="24"/>
        </w:rPr>
        <w:t>height</w:t>
      </w:r>
      <w:r w:rsidR="0051305A">
        <w:rPr>
          <w:sz w:val="24"/>
          <w:szCs w:val="24"/>
        </w:rPr>
        <w:t xml:space="preserve"> </w:t>
      </w:r>
      <w:r w:rsidR="002F6438" w:rsidRPr="00A811B0">
        <w:rPr>
          <w:spacing w:val="-5"/>
          <w:sz w:val="24"/>
          <w:szCs w:val="24"/>
        </w:rPr>
        <w:t xml:space="preserve">was </w:t>
      </w:r>
      <w:r w:rsidR="002F6438" w:rsidRPr="00A811B0">
        <w:rPr>
          <w:sz w:val="24"/>
          <w:szCs w:val="24"/>
        </w:rPr>
        <w:t xml:space="preserve">recorded with foxtail millet, which was found statistically at par with </w:t>
      </w:r>
      <w:proofErr w:type="spellStart"/>
      <w:r w:rsidR="002F6438" w:rsidRPr="00A811B0">
        <w:rPr>
          <w:sz w:val="24"/>
          <w:szCs w:val="24"/>
        </w:rPr>
        <w:t>proso</w:t>
      </w:r>
      <w:proofErr w:type="spellEnd"/>
      <w:r w:rsidR="002F6438" w:rsidRPr="00A811B0">
        <w:rPr>
          <w:sz w:val="24"/>
          <w:szCs w:val="24"/>
        </w:rPr>
        <w:t xml:space="preserve"> millet at maturity (136.42 cm). Whereas, finger millet recorded minimum plant height during all the growth stages i.e., (15.5 cm) at 20 DAS, (34.04 cm) at 40 DAS, (54.18 cm) at 60 DAS and (88.92 cm).</w:t>
      </w:r>
      <w:r w:rsidR="00C56D0E" w:rsidRPr="00A811B0">
        <w:rPr>
          <w:sz w:val="24"/>
          <w:szCs w:val="24"/>
        </w:rPr>
        <w:t xml:space="preserve"> Like other growth attributes, </w:t>
      </w:r>
      <w:r w:rsidR="00C56D0E" w:rsidRPr="00A811B0">
        <w:rPr>
          <w:bCs/>
          <w:color w:val="000000"/>
          <w:sz w:val="24"/>
          <w:szCs w:val="24"/>
          <w:lang w:bidi="en-US"/>
        </w:rPr>
        <w:t>Dry matter accumulation (</w:t>
      </w:r>
      <w:r w:rsidR="00911E0A">
        <w:rPr>
          <w:bCs/>
          <w:color w:val="000000"/>
          <w:sz w:val="24"/>
          <w:szCs w:val="24"/>
          <w:lang w:bidi="en-US"/>
        </w:rPr>
        <w:t>gram per meter row length</w:t>
      </w:r>
      <w:r w:rsidR="00C56D0E" w:rsidRPr="00A811B0">
        <w:rPr>
          <w:bCs/>
          <w:color w:val="000000"/>
          <w:sz w:val="24"/>
          <w:szCs w:val="24"/>
          <w:lang w:bidi="en-US"/>
        </w:rPr>
        <w:t xml:space="preserve">) is a </w:t>
      </w:r>
      <w:r w:rsidR="00C56D0E" w:rsidRPr="00A811B0">
        <w:rPr>
          <w:bCs/>
          <w:color w:val="000000"/>
          <w:sz w:val="24"/>
          <w:szCs w:val="24"/>
          <w:lang w:bidi="en-US"/>
        </w:rPr>
        <w:lastRenderedPageBreak/>
        <w:t>significant parameter which determines the final yield output. Significant differences were seen during for dry matter accumulation (g mrl</w:t>
      </w:r>
      <w:r w:rsidR="00C56D0E" w:rsidRPr="00A811B0">
        <w:rPr>
          <w:bCs/>
          <w:color w:val="000000"/>
          <w:sz w:val="24"/>
          <w:szCs w:val="24"/>
          <w:vertAlign w:val="superscript"/>
          <w:lang w:bidi="en-US"/>
        </w:rPr>
        <w:t>-1</w:t>
      </w:r>
      <w:r w:rsidR="00C56D0E" w:rsidRPr="00A811B0">
        <w:rPr>
          <w:bCs/>
          <w:color w:val="000000"/>
          <w:sz w:val="24"/>
          <w:szCs w:val="24"/>
          <w:lang w:bidi="en-US"/>
        </w:rPr>
        <w:t>) by different minor millets during 20, 40, 60 DAS and at maturity. The dry matter accumulation increased with advancement of growth stages of crop. The dry matter accumulation by barnyard millet was found higher at 20 DAS (1.87 g mrl</w:t>
      </w:r>
      <w:r w:rsidR="00C56D0E" w:rsidRPr="00A811B0">
        <w:rPr>
          <w:bCs/>
          <w:color w:val="000000"/>
          <w:sz w:val="24"/>
          <w:szCs w:val="24"/>
          <w:vertAlign w:val="superscript"/>
          <w:lang w:bidi="en-US"/>
        </w:rPr>
        <w:t>-1</w:t>
      </w:r>
      <w:r w:rsidR="00C56D0E" w:rsidRPr="00A811B0">
        <w:rPr>
          <w:bCs/>
          <w:color w:val="000000"/>
          <w:sz w:val="24"/>
          <w:szCs w:val="24"/>
          <w:lang w:bidi="en-US"/>
        </w:rPr>
        <w:t>), 40 DAS (35.79 g mrl</w:t>
      </w:r>
      <w:r w:rsidR="00C56D0E" w:rsidRPr="00A811B0">
        <w:rPr>
          <w:bCs/>
          <w:color w:val="000000"/>
          <w:sz w:val="24"/>
          <w:szCs w:val="24"/>
          <w:vertAlign w:val="superscript"/>
          <w:lang w:bidi="en-US"/>
        </w:rPr>
        <w:t>-1</w:t>
      </w:r>
      <w:r w:rsidR="00C56D0E" w:rsidRPr="00A811B0">
        <w:rPr>
          <w:bCs/>
          <w:color w:val="000000"/>
          <w:sz w:val="24"/>
          <w:szCs w:val="24"/>
          <w:lang w:bidi="en-US"/>
        </w:rPr>
        <w:t>), 60 DAS (136.10 g mrl</w:t>
      </w:r>
      <w:r w:rsidR="00C56D0E" w:rsidRPr="00A811B0">
        <w:rPr>
          <w:bCs/>
          <w:color w:val="000000"/>
          <w:sz w:val="24"/>
          <w:szCs w:val="24"/>
          <w:vertAlign w:val="superscript"/>
          <w:lang w:bidi="en-US"/>
        </w:rPr>
        <w:t>-1</w:t>
      </w:r>
      <w:r w:rsidR="00C56D0E" w:rsidRPr="00A811B0">
        <w:rPr>
          <w:bCs/>
          <w:color w:val="000000"/>
          <w:sz w:val="24"/>
          <w:szCs w:val="24"/>
          <w:lang w:bidi="en-US"/>
        </w:rPr>
        <w:t>) and at maturity (172 g mrl</w:t>
      </w:r>
      <w:r w:rsidR="00C56D0E" w:rsidRPr="00A811B0">
        <w:rPr>
          <w:bCs/>
          <w:color w:val="000000"/>
          <w:sz w:val="24"/>
          <w:szCs w:val="24"/>
          <w:vertAlign w:val="superscript"/>
          <w:lang w:bidi="en-US"/>
        </w:rPr>
        <w:t>-1</w:t>
      </w:r>
      <w:r w:rsidR="00C56D0E" w:rsidRPr="00A811B0">
        <w:rPr>
          <w:bCs/>
          <w:color w:val="000000"/>
          <w:sz w:val="24"/>
          <w:szCs w:val="24"/>
          <w:lang w:bidi="en-US"/>
        </w:rPr>
        <w:t xml:space="preserve">) as </w:t>
      </w:r>
      <w:r w:rsidR="000D586F" w:rsidRPr="00A811B0">
        <w:rPr>
          <w:bCs/>
          <w:color w:val="000000"/>
          <w:sz w:val="24"/>
          <w:szCs w:val="24"/>
          <w:lang w:bidi="en-US"/>
        </w:rPr>
        <w:t>compared to other minor millets. H</w:t>
      </w:r>
      <w:r w:rsidR="00C56D0E" w:rsidRPr="00A811B0">
        <w:rPr>
          <w:bCs/>
          <w:color w:val="000000"/>
          <w:sz w:val="24"/>
          <w:szCs w:val="24"/>
          <w:lang w:bidi="en-US"/>
        </w:rPr>
        <w:t>owever lowest dry matter accumulation with finger millet at 20 DAS (1.45 g mrl</w:t>
      </w:r>
      <w:r w:rsidR="00C56D0E" w:rsidRPr="00A811B0">
        <w:rPr>
          <w:bCs/>
          <w:color w:val="000000"/>
          <w:sz w:val="24"/>
          <w:szCs w:val="24"/>
          <w:vertAlign w:val="superscript"/>
          <w:lang w:bidi="en-US"/>
        </w:rPr>
        <w:t>-1</w:t>
      </w:r>
      <w:r w:rsidR="00C56D0E" w:rsidRPr="00A811B0">
        <w:rPr>
          <w:bCs/>
          <w:color w:val="000000"/>
          <w:sz w:val="24"/>
          <w:szCs w:val="24"/>
          <w:lang w:bidi="en-US"/>
        </w:rPr>
        <w:t>), 40 DAS (18.36 g mrl</w:t>
      </w:r>
      <w:r w:rsidR="00C56D0E" w:rsidRPr="00A811B0">
        <w:rPr>
          <w:bCs/>
          <w:color w:val="000000"/>
          <w:sz w:val="24"/>
          <w:szCs w:val="24"/>
          <w:vertAlign w:val="superscript"/>
          <w:lang w:bidi="en-US"/>
        </w:rPr>
        <w:t>-1</w:t>
      </w:r>
      <w:r w:rsidR="00C56D0E" w:rsidRPr="00A811B0">
        <w:rPr>
          <w:bCs/>
          <w:color w:val="000000"/>
          <w:sz w:val="24"/>
          <w:szCs w:val="24"/>
          <w:lang w:bidi="en-US"/>
        </w:rPr>
        <w:t>) and 60 DAS (79.70 g mrl</w:t>
      </w:r>
      <w:r w:rsidR="00C56D0E" w:rsidRPr="00A811B0">
        <w:rPr>
          <w:bCs/>
          <w:color w:val="000000"/>
          <w:sz w:val="24"/>
          <w:szCs w:val="24"/>
          <w:vertAlign w:val="superscript"/>
          <w:lang w:bidi="en-US"/>
        </w:rPr>
        <w:t>-1</w:t>
      </w:r>
      <w:r w:rsidR="00C56D0E" w:rsidRPr="00A811B0">
        <w:rPr>
          <w:bCs/>
          <w:color w:val="000000"/>
          <w:sz w:val="24"/>
          <w:szCs w:val="24"/>
          <w:lang w:bidi="en-US"/>
        </w:rPr>
        <w:t>) was recorded, whereas the least dry matter accumulation at maturity (113.27 g mrl</w:t>
      </w:r>
      <w:r w:rsidR="00C56D0E" w:rsidRPr="00A811B0">
        <w:rPr>
          <w:bCs/>
          <w:color w:val="000000"/>
          <w:sz w:val="24"/>
          <w:szCs w:val="24"/>
          <w:vertAlign w:val="superscript"/>
          <w:lang w:bidi="en-US"/>
        </w:rPr>
        <w:t>-1</w:t>
      </w:r>
      <w:r w:rsidR="00C56D0E" w:rsidRPr="00A811B0">
        <w:rPr>
          <w:bCs/>
          <w:color w:val="000000"/>
          <w:sz w:val="24"/>
          <w:szCs w:val="24"/>
          <w:lang w:bidi="en-US"/>
        </w:rPr>
        <w:t xml:space="preserve">) was recorded under </w:t>
      </w:r>
      <w:proofErr w:type="spellStart"/>
      <w:r w:rsidR="00C56D0E" w:rsidRPr="00A811B0">
        <w:rPr>
          <w:bCs/>
          <w:color w:val="000000"/>
          <w:sz w:val="24"/>
          <w:szCs w:val="24"/>
          <w:lang w:bidi="en-US"/>
        </w:rPr>
        <w:t>proso</w:t>
      </w:r>
      <w:proofErr w:type="spellEnd"/>
      <w:r w:rsidR="00C56D0E" w:rsidRPr="00A811B0">
        <w:rPr>
          <w:bCs/>
          <w:color w:val="000000"/>
          <w:sz w:val="24"/>
          <w:szCs w:val="24"/>
          <w:lang w:bidi="en-US"/>
        </w:rPr>
        <w:t xml:space="preserve"> millet.</w:t>
      </w:r>
      <w:r w:rsidR="000D586F" w:rsidRPr="00A811B0">
        <w:rPr>
          <w:bCs/>
          <w:color w:val="000000"/>
          <w:sz w:val="24"/>
          <w:szCs w:val="24"/>
          <w:lang w:bidi="en-US"/>
        </w:rPr>
        <w:t xml:space="preserve"> The significant effect was also revealed on number of tillers (</w:t>
      </w:r>
      <w:r w:rsidR="00911E0A">
        <w:rPr>
          <w:bCs/>
          <w:color w:val="000000"/>
          <w:sz w:val="24"/>
          <w:szCs w:val="24"/>
          <w:lang w:bidi="en-US"/>
        </w:rPr>
        <w:t>per meter row length</w:t>
      </w:r>
      <w:r w:rsidR="000D586F" w:rsidRPr="00A811B0">
        <w:rPr>
          <w:bCs/>
          <w:color w:val="000000"/>
          <w:sz w:val="24"/>
          <w:szCs w:val="24"/>
          <w:lang w:bidi="en-US"/>
        </w:rPr>
        <w:t>) among different minor millets during all growth stages. The highest number of tillers mrl</w:t>
      </w:r>
      <w:r w:rsidR="000D586F" w:rsidRPr="00A811B0">
        <w:rPr>
          <w:bCs/>
          <w:color w:val="000000"/>
          <w:sz w:val="24"/>
          <w:szCs w:val="24"/>
          <w:vertAlign w:val="superscript"/>
          <w:lang w:bidi="en-US"/>
        </w:rPr>
        <w:t>-1</w:t>
      </w:r>
      <w:r w:rsidR="000D586F" w:rsidRPr="00A811B0">
        <w:rPr>
          <w:bCs/>
          <w:color w:val="000000"/>
          <w:sz w:val="24"/>
          <w:szCs w:val="24"/>
          <w:lang w:bidi="en-US"/>
        </w:rPr>
        <w:t xml:space="preserve"> at 40 DAS was recorded in </w:t>
      </w:r>
      <w:proofErr w:type="spellStart"/>
      <w:r w:rsidR="000D586F" w:rsidRPr="00A811B0">
        <w:rPr>
          <w:bCs/>
          <w:color w:val="000000"/>
          <w:sz w:val="24"/>
          <w:szCs w:val="24"/>
          <w:lang w:bidi="en-US"/>
        </w:rPr>
        <w:t>proso</w:t>
      </w:r>
      <w:proofErr w:type="spellEnd"/>
      <w:r w:rsidR="000D586F" w:rsidRPr="00A811B0">
        <w:rPr>
          <w:bCs/>
          <w:color w:val="000000"/>
          <w:sz w:val="24"/>
          <w:szCs w:val="24"/>
          <w:lang w:bidi="en-US"/>
        </w:rPr>
        <w:t xml:space="preserve"> millet (44.54 mrl</w:t>
      </w:r>
      <w:r w:rsidR="000D586F" w:rsidRPr="00A811B0">
        <w:rPr>
          <w:bCs/>
          <w:color w:val="000000"/>
          <w:sz w:val="24"/>
          <w:szCs w:val="24"/>
          <w:vertAlign w:val="superscript"/>
          <w:lang w:bidi="en-US"/>
        </w:rPr>
        <w:t>-1</w:t>
      </w:r>
      <w:r w:rsidR="000D586F" w:rsidRPr="00A811B0">
        <w:rPr>
          <w:bCs/>
          <w:color w:val="000000"/>
          <w:sz w:val="24"/>
          <w:szCs w:val="24"/>
          <w:lang w:bidi="en-US"/>
        </w:rPr>
        <w:t>), succeeded by foxtail millet (39.00 mrl</w:t>
      </w:r>
      <w:r w:rsidR="000D586F" w:rsidRPr="00A811B0">
        <w:rPr>
          <w:bCs/>
          <w:color w:val="000000"/>
          <w:sz w:val="24"/>
          <w:szCs w:val="24"/>
          <w:vertAlign w:val="superscript"/>
          <w:lang w:bidi="en-US"/>
        </w:rPr>
        <w:t>-1</w:t>
      </w:r>
      <w:r w:rsidR="000D586F" w:rsidRPr="00A811B0">
        <w:rPr>
          <w:bCs/>
          <w:color w:val="000000"/>
          <w:sz w:val="24"/>
          <w:szCs w:val="24"/>
          <w:lang w:bidi="en-US"/>
        </w:rPr>
        <w:t>). However, the number of tillers were significantly higher at 60 and at maturity in foxtail millet (46.36 and 43.61mrl</w:t>
      </w:r>
      <w:r w:rsidR="000D586F" w:rsidRPr="00A811B0">
        <w:rPr>
          <w:bCs/>
          <w:color w:val="000000"/>
          <w:sz w:val="24"/>
          <w:szCs w:val="24"/>
          <w:vertAlign w:val="superscript"/>
          <w:lang w:bidi="en-US"/>
        </w:rPr>
        <w:t>-1</w:t>
      </w:r>
      <w:r w:rsidR="000D586F" w:rsidRPr="00A811B0">
        <w:rPr>
          <w:bCs/>
          <w:color w:val="000000"/>
          <w:sz w:val="24"/>
          <w:szCs w:val="24"/>
          <w:lang w:bidi="en-US"/>
        </w:rPr>
        <w:t xml:space="preserve">, respectively), which was statistically at par with </w:t>
      </w:r>
      <w:proofErr w:type="spellStart"/>
      <w:r w:rsidR="000D586F" w:rsidRPr="00A811B0">
        <w:rPr>
          <w:bCs/>
          <w:color w:val="000000"/>
          <w:sz w:val="24"/>
          <w:szCs w:val="24"/>
          <w:lang w:bidi="en-US"/>
        </w:rPr>
        <w:t>proso</w:t>
      </w:r>
      <w:proofErr w:type="spellEnd"/>
      <w:r w:rsidR="000D586F" w:rsidRPr="00A811B0">
        <w:rPr>
          <w:bCs/>
          <w:color w:val="000000"/>
          <w:sz w:val="24"/>
          <w:szCs w:val="24"/>
          <w:lang w:bidi="en-US"/>
        </w:rPr>
        <w:t xml:space="preserve"> millet (45.25 and 41.16 mrl</w:t>
      </w:r>
      <w:r w:rsidR="000D586F" w:rsidRPr="00A811B0">
        <w:rPr>
          <w:bCs/>
          <w:color w:val="000000"/>
          <w:sz w:val="24"/>
          <w:szCs w:val="24"/>
          <w:vertAlign w:val="superscript"/>
          <w:lang w:bidi="en-US"/>
        </w:rPr>
        <w:t>-1</w:t>
      </w:r>
      <w:r w:rsidR="000D586F" w:rsidRPr="00A811B0">
        <w:rPr>
          <w:bCs/>
          <w:color w:val="000000"/>
          <w:sz w:val="24"/>
          <w:szCs w:val="24"/>
          <w:lang w:bidi="en-US"/>
        </w:rPr>
        <w:t>, respectively). Contradictorily, the lowest no. of tillers at 40 DAS (23.99 mrl</w:t>
      </w:r>
      <w:r w:rsidR="000D586F" w:rsidRPr="00A811B0">
        <w:rPr>
          <w:bCs/>
          <w:color w:val="000000"/>
          <w:sz w:val="24"/>
          <w:szCs w:val="24"/>
          <w:vertAlign w:val="superscript"/>
          <w:lang w:bidi="en-US"/>
        </w:rPr>
        <w:t>-1</w:t>
      </w:r>
      <w:r w:rsidR="000D586F" w:rsidRPr="00A811B0">
        <w:rPr>
          <w:bCs/>
          <w:color w:val="000000"/>
          <w:sz w:val="24"/>
          <w:szCs w:val="24"/>
          <w:lang w:bidi="en-US"/>
        </w:rPr>
        <w:t>), 60 DAS (32.50 mrl</w:t>
      </w:r>
      <w:r w:rsidR="000D586F" w:rsidRPr="00A811B0">
        <w:rPr>
          <w:bCs/>
          <w:color w:val="000000"/>
          <w:sz w:val="24"/>
          <w:szCs w:val="24"/>
          <w:vertAlign w:val="superscript"/>
          <w:lang w:bidi="en-US"/>
        </w:rPr>
        <w:t>-1</w:t>
      </w:r>
      <w:r w:rsidR="000D586F" w:rsidRPr="00A811B0">
        <w:rPr>
          <w:bCs/>
          <w:color w:val="000000"/>
          <w:sz w:val="24"/>
          <w:szCs w:val="24"/>
          <w:lang w:bidi="en-US"/>
        </w:rPr>
        <w:t>) and at maturity (35.47 mrl</w:t>
      </w:r>
      <w:r w:rsidR="000D586F" w:rsidRPr="00A811B0">
        <w:rPr>
          <w:bCs/>
          <w:color w:val="000000"/>
          <w:sz w:val="24"/>
          <w:szCs w:val="24"/>
          <w:vertAlign w:val="superscript"/>
          <w:lang w:bidi="en-US"/>
        </w:rPr>
        <w:t>-1</w:t>
      </w:r>
      <w:r w:rsidR="000D586F" w:rsidRPr="00A811B0">
        <w:rPr>
          <w:bCs/>
          <w:color w:val="000000"/>
          <w:sz w:val="24"/>
          <w:szCs w:val="24"/>
          <w:lang w:bidi="en-US"/>
        </w:rPr>
        <w:t xml:space="preserve">) was recorded in finger </w:t>
      </w:r>
      <w:r w:rsidR="000D586F" w:rsidRPr="00106E36">
        <w:rPr>
          <w:bCs/>
          <w:color w:val="000000"/>
          <w:sz w:val="24"/>
          <w:szCs w:val="24"/>
          <w:lang w:bidi="en-US"/>
        </w:rPr>
        <w:t>millet.</w:t>
      </w:r>
      <w:r w:rsidR="007E3991" w:rsidRPr="00106E36">
        <w:rPr>
          <w:bCs/>
          <w:color w:val="000000"/>
          <w:sz w:val="24"/>
          <w:szCs w:val="24"/>
          <w:lang w:bidi="en-US"/>
        </w:rPr>
        <w:t xml:space="preserve"> </w:t>
      </w:r>
      <w:r w:rsidR="00106E36" w:rsidRPr="00106E36">
        <w:rPr>
          <w:sz w:val="24"/>
          <w:szCs w:val="24"/>
          <w:highlight w:val="yellow"/>
        </w:rPr>
        <w:t xml:space="preserve">Shorter stature may reflect genetic adaptation to cooler hill </w:t>
      </w:r>
      <w:proofErr w:type="spellStart"/>
      <w:r w:rsidR="00106E36" w:rsidRPr="00106E36">
        <w:rPr>
          <w:sz w:val="24"/>
          <w:szCs w:val="24"/>
          <w:highlight w:val="yellow"/>
        </w:rPr>
        <w:t>agro</w:t>
      </w:r>
      <w:proofErr w:type="spellEnd"/>
      <w:r w:rsidR="00106E36" w:rsidRPr="00106E36">
        <w:rPr>
          <w:sz w:val="24"/>
          <w:szCs w:val="24"/>
          <w:highlight w:val="yellow"/>
        </w:rPr>
        <w:t>-ecologies; finger millet originating from Ethiopian highlands shows reduced vegetative growth under &gt;35°C Day temperatures</w:t>
      </w:r>
      <w:r w:rsidR="00106E36">
        <w:rPr>
          <w:sz w:val="24"/>
          <w:szCs w:val="24"/>
        </w:rPr>
        <w:t xml:space="preserve">. </w:t>
      </w:r>
      <w:r w:rsidR="000D586F" w:rsidRPr="00106E36">
        <w:rPr>
          <w:bCs/>
          <w:color w:val="000000"/>
          <w:sz w:val="24"/>
          <w:szCs w:val="24"/>
          <w:lang w:bidi="en-US"/>
        </w:rPr>
        <w:t>T</w:t>
      </w:r>
      <w:r w:rsidR="000D586F" w:rsidRPr="00A811B0">
        <w:rPr>
          <w:bCs/>
          <w:color w:val="000000"/>
          <w:sz w:val="24"/>
          <w:szCs w:val="24"/>
          <w:lang w:bidi="en-US"/>
        </w:rPr>
        <w:t xml:space="preserve">he growth performance variation among minor millets is determined by genetic diversity, environmental adaptability and physiological efficiency. </w:t>
      </w:r>
      <w:r w:rsidR="00EA30ED" w:rsidRPr="00EA30ED">
        <w:rPr>
          <w:bCs/>
          <w:color w:val="000000"/>
          <w:sz w:val="24"/>
          <w:szCs w:val="24"/>
          <w:highlight w:val="yellow"/>
          <w:lang w:val="en-IN" w:bidi="en-US"/>
        </w:rPr>
        <w:t>No significant differences were observed in plant population, likely due to the consistent germination and successful establishment recorded across all species.</w:t>
      </w:r>
      <w:r w:rsidR="00EA30ED">
        <w:rPr>
          <w:bCs/>
          <w:color w:val="000000"/>
          <w:lang w:val="en-IN" w:bidi="en-US"/>
        </w:rPr>
        <w:t xml:space="preserve"> </w:t>
      </w:r>
      <w:r w:rsidR="000D586F" w:rsidRPr="00A811B0">
        <w:rPr>
          <w:bCs/>
          <w:color w:val="000000"/>
          <w:sz w:val="24"/>
          <w:szCs w:val="24"/>
          <w:lang w:bidi="en-US"/>
        </w:rPr>
        <w:t>Foxtail millet showed improved growth traits, particularly height and tiller development. This enhancement can be attributed to efficient nutrient uptake, hormonal balance, and improved photosynthetic efficiency (</w:t>
      </w:r>
      <w:proofErr w:type="spellStart"/>
      <w:r w:rsidR="000D586F" w:rsidRPr="00B4420C">
        <w:rPr>
          <w:bCs/>
          <w:color w:val="000000"/>
          <w:sz w:val="24"/>
          <w:szCs w:val="24"/>
          <w:lang w:bidi="en-US"/>
        </w:rPr>
        <w:t>Bhomte</w:t>
      </w:r>
      <w:proofErr w:type="spellEnd"/>
      <w:r w:rsidR="0051305A" w:rsidRPr="00B4420C">
        <w:rPr>
          <w:bCs/>
          <w:color w:val="000000"/>
          <w:sz w:val="24"/>
          <w:szCs w:val="24"/>
          <w:lang w:bidi="en-US"/>
        </w:rPr>
        <w:t xml:space="preserve"> </w:t>
      </w:r>
      <w:r w:rsidR="000D586F" w:rsidRPr="00B4420C">
        <w:rPr>
          <w:bCs/>
          <w:color w:val="000000"/>
          <w:sz w:val="24"/>
          <w:szCs w:val="24"/>
          <w:lang w:bidi="en-US"/>
        </w:rPr>
        <w:t>et al., 2016; Patil</w:t>
      </w:r>
      <w:r w:rsidR="007E3991" w:rsidRPr="00B4420C">
        <w:rPr>
          <w:bCs/>
          <w:color w:val="000000"/>
          <w:sz w:val="24"/>
          <w:szCs w:val="24"/>
          <w:lang w:bidi="en-US"/>
        </w:rPr>
        <w:t xml:space="preserve"> </w:t>
      </w:r>
      <w:r w:rsidR="000D586F" w:rsidRPr="00B4420C">
        <w:rPr>
          <w:bCs/>
          <w:color w:val="000000"/>
          <w:sz w:val="24"/>
          <w:szCs w:val="24"/>
          <w:lang w:bidi="en-US"/>
        </w:rPr>
        <w:t>et al., 2015). The</w:t>
      </w:r>
      <w:r w:rsidR="000D586F" w:rsidRPr="00A811B0">
        <w:rPr>
          <w:bCs/>
          <w:color w:val="000000"/>
          <w:sz w:val="24"/>
          <w:szCs w:val="24"/>
          <w:lang w:bidi="en-US"/>
        </w:rPr>
        <w:t xml:space="preserve"> enhanced dry matter accumulation in barnyard millet reflects a favorable source-sink relation and increased photosynthetic ability, as indicated by the results of </w:t>
      </w:r>
      <w:proofErr w:type="spellStart"/>
      <w:r w:rsidR="000D586F" w:rsidRPr="00A811B0">
        <w:rPr>
          <w:bCs/>
          <w:color w:val="000000"/>
          <w:sz w:val="24"/>
          <w:szCs w:val="24"/>
          <w:lang w:bidi="en-US"/>
        </w:rPr>
        <w:t>Soutade</w:t>
      </w:r>
      <w:proofErr w:type="spellEnd"/>
      <w:r w:rsidR="000D586F" w:rsidRPr="00A811B0">
        <w:rPr>
          <w:bCs/>
          <w:color w:val="000000"/>
          <w:sz w:val="24"/>
          <w:szCs w:val="24"/>
          <w:lang w:bidi="en-US"/>
        </w:rPr>
        <w:t xml:space="preserve"> and </w:t>
      </w:r>
      <w:proofErr w:type="spellStart"/>
      <w:r w:rsidR="000D586F" w:rsidRPr="00A811B0">
        <w:rPr>
          <w:bCs/>
          <w:color w:val="000000"/>
          <w:sz w:val="24"/>
          <w:szCs w:val="24"/>
          <w:lang w:bidi="en-US"/>
        </w:rPr>
        <w:t>Raundal</w:t>
      </w:r>
      <w:proofErr w:type="spellEnd"/>
      <w:r w:rsidR="000D586F" w:rsidRPr="00A811B0">
        <w:rPr>
          <w:bCs/>
          <w:color w:val="000000"/>
          <w:sz w:val="24"/>
          <w:szCs w:val="24"/>
          <w:lang w:bidi="en-US"/>
        </w:rPr>
        <w:t xml:space="preserve"> (2022). Proso millet, on the other hand, showed lower biomass, possibly due to the diversion of assimilates towards reproductive organs. The relatively lower growth of finger millet could be due to its lower environmental adaptability and higher vulnerability to stress factors. The findings emphasize the influence of genotype, management practices, and environmental factors such as soil fertility, water availability, and </w:t>
      </w:r>
      <w:r w:rsidR="000D586F" w:rsidRPr="00B4420C">
        <w:rPr>
          <w:bCs/>
          <w:color w:val="000000"/>
          <w:sz w:val="24"/>
          <w:szCs w:val="24"/>
          <w:lang w:bidi="en-US"/>
        </w:rPr>
        <w:t>climate</w:t>
      </w:r>
      <w:r w:rsidR="00C334CB" w:rsidRPr="00B4420C">
        <w:rPr>
          <w:bCs/>
          <w:color w:val="000000"/>
          <w:sz w:val="24"/>
          <w:szCs w:val="24"/>
          <w:lang w:bidi="en-US"/>
        </w:rPr>
        <w:t xml:space="preserve"> (Maai</w:t>
      </w:r>
      <w:r w:rsidR="007E3991" w:rsidRPr="00B4420C">
        <w:rPr>
          <w:bCs/>
          <w:color w:val="000000"/>
          <w:sz w:val="24"/>
          <w:szCs w:val="24"/>
          <w:lang w:bidi="en-US"/>
        </w:rPr>
        <w:t xml:space="preserve"> </w:t>
      </w:r>
      <w:r w:rsidR="00C334CB" w:rsidRPr="00B4420C">
        <w:rPr>
          <w:bCs/>
          <w:color w:val="000000"/>
          <w:sz w:val="24"/>
          <w:szCs w:val="24"/>
          <w:lang w:bidi="en-US"/>
        </w:rPr>
        <w:t>et al., 2025)</w:t>
      </w:r>
      <w:r w:rsidR="000D586F" w:rsidRPr="00B4420C">
        <w:rPr>
          <w:bCs/>
          <w:color w:val="000000"/>
          <w:sz w:val="24"/>
          <w:szCs w:val="24"/>
          <w:lang w:bidi="en-US"/>
        </w:rPr>
        <w:t>.</w:t>
      </w:r>
    </w:p>
    <w:p w14:paraId="46D2D9DF" w14:textId="77777777" w:rsidR="00411E25" w:rsidRPr="00411E25" w:rsidRDefault="00DB37B1" w:rsidP="00411E25">
      <w:pPr>
        <w:pStyle w:val="BodyText"/>
        <w:spacing w:before="120" w:after="120" w:line="360" w:lineRule="auto"/>
        <w:ind w:firstLine="719"/>
        <w:jc w:val="both"/>
        <w:rPr>
          <w:bCs/>
          <w:color w:val="000000"/>
          <w:sz w:val="24"/>
          <w:szCs w:val="24"/>
          <w:lang w:val="en-IN" w:bidi="en-US"/>
        </w:rPr>
      </w:pPr>
      <w:r w:rsidRPr="00A811B0">
        <w:rPr>
          <w:bCs/>
          <w:color w:val="000000"/>
          <w:sz w:val="24"/>
          <w:szCs w:val="24"/>
          <w:lang w:bidi="en-US"/>
        </w:rPr>
        <w:t xml:space="preserve">In case of different nitrogen and phosphorus levels, no significant effect was found on plant </w:t>
      </w:r>
      <w:r w:rsidRPr="00A811B0">
        <w:rPr>
          <w:bCs/>
          <w:color w:val="000000"/>
          <w:sz w:val="24"/>
          <w:szCs w:val="24"/>
          <w:lang w:bidi="en-US"/>
        </w:rPr>
        <w:lastRenderedPageBreak/>
        <w:t>population. However, si</w:t>
      </w:r>
      <w:r w:rsidR="00C334CB" w:rsidRPr="00A811B0">
        <w:rPr>
          <w:bCs/>
          <w:color w:val="000000"/>
          <w:sz w:val="24"/>
          <w:szCs w:val="24"/>
          <w:lang w:bidi="en-US"/>
        </w:rPr>
        <w:t>gnificant effect except at 20 DAS</w:t>
      </w:r>
      <w:r w:rsidRPr="00A811B0">
        <w:rPr>
          <w:bCs/>
          <w:color w:val="000000"/>
          <w:sz w:val="24"/>
          <w:szCs w:val="24"/>
          <w:lang w:bidi="en-US"/>
        </w:rPr>
        <w:t xml:space="preserve"> was found on plant height. The data indicated</w:t>
      </w:r>
      <w:r w:rsidR="00C334CB" w:rsidRPr="00A811B0">
        <w:rPr>
          <w:bCs/>
          <w:color w:val="000000"/>
          <w:sz w:val="24"/>
          <w:szCs w:val="24"/>
          <w:lang w:bidi="en-US"/>
        </w:rPr>
        <w:t xml:space="preserve"> that as the levels of nitrogen and phosphorus increase</w:t>
      </w:r>
      <w:r w:rsidRPr="00A811B0">
        <w:rPr>
          <w:bCs/>
          <w:color w:val="000000"/>
          <w:sz w:val="24"/>
          <w:szCs w:val="24"/>
          <w:lang w:bidi="en-US"/>
        </w:rPr>
        <w:t>d</w:t>
      </w:r>
      <w:r w:rsidR="00C334CB" w:rsidRPr="00A811B0">
        <w:rPr>
          <w:bCs/>
          <w:color w:val="000000"/>
          <w:sz w:val="24"/>
          <w:szCs w:val="24"/>
          <w:lang w:bidi="en-US"/>
        </w:rPr>
        <w:t>, plant height also increases. The maximum plant height was recorded in the treatment T</w:t>
      </w:r>
      <w:r w:rsidR="00C334CB" w:rsidRPr="00A811B0">
        <w:rPr>
          <w:bCs/>
          <w:color w:val="000000"/>
          <w:sz w:val="24"/>
          <w:szCs w:val="24"/>
          <w:vertAlign w:val="subscript"/>
          <w:lang w:bidi="en-US"/>
        </w:rPr>
        <w:t>4</w:t>
      </w:r>
      <w:r w:rsidR="00C334CB" w:rsidRPr="00A811B0">
        <w:rPr>
          <w:bCs/>
          <w:color w:val="000000"/>
          <w:sz w:val="24"/>
          <w:szCs w:val="24"/>
          <w:lang w:bidi="en-US"/>
        </w:rPr>
        <w:t xml:space="preserve"> (60:30 kg NP ha</w:t>
      </w:r>
      <w:r w:rsidR="00C334CB" w:rsidRPr="00A811B0">
        <w:rPr>
          <w:bCs/>
          <w:color w:val="000000"/>
          <w:sz w:val="24"/>
          <w:szCs w:val="24"/>
          <w:vertAlign w:val="superscript"/>
          <w:lang w:bidi="en-US"/>
        </w:rPr>
        <w:t>-1</w:t>
      </w:r>
      <w:r w:rsidR="00C334CB" w:rsidRPr="00A811B0">
        <w:rPr>
          <w:bCs/>
          <w:color w:val="000000"/>
          <w:sz w:val="24"/>
          <w:szCs w:val="24"/>
          <w:lang w:bidi="en-US"/>
        </w:rPr>
        <w:t xml:space="preserve">) </w:t>
      </w:r>
      <w:r w:rsidR="00467D4E" w:rsidRPr="00A811B0">
        <w:rPr>
          <w:bCs/>
          <w:color w:val="000000"/>
          <w:sz w:val="24"/>
          <w:szCs w:val="24"/>
          <w:lang w:bidi="en-US"/>
        </w:rPr>
        <w:t xml:space="preserve">with 21.43, 14.48 and 13.66 percent increase over control </w:t>
      </w:r>
      <w:r w:rsidR="00C334CB" w:rsidRPr="00A811B0">
        <w:rPr>
          <w:bCs/>
          <w:color w:val="000000"/>
          <w:sz w:val="24"/>
          <w:szCs w:val="24"/>
          <w:lang w:bidi="en-US"/>
        </w:rPr>
        <w:t xml:space="preserve">during 40 DAS (77.96 cm), 60 DAS (119.06 cm) and at maturity (130.92 cm) </w:t>
      </w:r>
      <w:r w:rsidR="00467D4E" w:rsidRPr="00A811B0">
        <w:rPr>
          <w:bCs/>
          <w:color w:val="000000"/>
          <w:sz w:val="24"/>
          <w:szCs w:val="24"/>
          <w:lang w:bidi="en-US"/>
        </w:rPr>
        <w:t>respectively, and</w:t>
      </w:r>
      <w:r w:rsidR="00C334CB" w:rsidRPr="00A811B0">
        <w:rPr>
          <w:bCs/>
          <w:color w:val="000000"/>
          <w:sz w:val="24"/>
          <w:szCs w:val="24"/>
          <w:lang w:bidi="en-US"/>
        </w:rPr>
        <w:t xml:space="preserve"> was statistically at par with T</w:t>
      </w:r>
      <w:r w:rsidR="00C334CB" w:rsidRPr="00A811B0">
        <w:rPr>
          <w:bCs/>
          <w:color w:val="000000"/>
          <w:sz w:val="24"/>
          <w:szCs w:val="24"/>
          <w:vertAlign w:val="subscript"/>
          <w:lang w:bidi="en-US"/>
        </w:rPr>
        <w:t>3</w:t>
      </w:r>
      <w:r w:rsidR="00C334CB" w:rsidRPr="00A811B0">
        <w:rPr>
          <w:bCs/>
          <w:color w:val="000000"/>
          <w:sz w:val="24"/>
          <w:szCs w:val="24"/>
          <w:lang w:bidi="en-US"/>
        </w:rPr>
        <w:t xml:space="preserve"> (40:20 kg NP ha</w:t>
      </w:r>
      <w:r w:rsidR="00C334CB" w:rsidRPr="00A811B0">
        <w:rPr>
          <w:bCs/>
          <w:color w:val="000000"/>
          <w:sz w:val="24"/>
          <w:szCs w:val="24"/>
          <w:vertAlign w:val="superscript"/>
          <w:lang w:bidi="en-US"/>
        </w:rPr>
        <w:t>-1</w:t>
      </w:r>
      <w:r w:rsidR="00C334CB" w:rsidRPr="00A811B0">
        <w:rPr>
          <w:bCs/>
          <w:color w:val="000000"/>
          <w:sz w:val="24"/>
          <w:szCs w:val="24"/>
          <w:lang w:bidi="en-US"/>
        </w:rPr>
        <w:t>). On the contradictory, the lowest plant height at different growth stages was observed in treatment T</w:t>
      </w:r>
      <w:r w:rsidR="00C334CB" w:rsidRPr="00A811B0">
        <w:rPr>
          <w:bCs/>
          <w:color w:val="000000"/>
          <w:sz w:val="24"/>
          <w:szCs w:val="24"/>
          <w:vertAlign w:val="subscript"/>
          <w:lang w:bidi="en-US"/>
        </w:rPr>
        <w:t>1</w:t>
      </w:r>
      <w:r w:rsidRPr="00A811B0">
        <w:rPr>
          <w:bCs/>
          <w:color w:val="000000"/>
          <w:sz w:val="24"/>
          <w:szCs w:val="24"/>
          <w:lang w:bidi="en-US"/>
        </w:rPr>
        <w:t>(control) with plant height of 64.2 cm at 40 DAS, 104 cm at 60 DAS and 115.19 cm at maturity.</w:t>
      </w:r>
      <w:r w:rsidR="007E3991">
        <w:rPr>
          <w:bCs/>
          <w:color w:val="000000"/>
          <w:sz w:val="24"/>
          <w:szCs w:val="24"/>
          <w:lang w:bidi="en-US"/>
        </w:rPr>
        <w:t xml:space="preserve"> </w:t>
      </w:r>
      <w:r w:rsidRPr="00A811B0">
        <w:rPr>
          <w:bCs/>
          <w:color w:val="000000"/>
          <w:sz w:val="24"/>
          <w:szCs w:val="24"/>
          <w:lang w:bidi="en-US"/>
        </w:rPr>
        <w:t>Similarly, higher dry matter accumulation was recorded with treatment T</w:t>
      </w:r>
      <w:r w:rsidRPr="00A811B0">
        <w:rPr>
          <w:bCs/>
          <w:color w:val="000000"/>
          <w:sz w:val="24"/>
          <w:szCs w:val="24"/>
          <w:vertAlign w:val="subscript"/>
          <w:lang w:bidi="en-US"/>
        </w:rPr>
        <w:t>4</w:t>
      </w:r>
      <w:r w:rsidRPr="00A811B0">
        <w:rPr>
          <w:bCs/>
          <w:color w:val="000000"/>
          <w:sz w:val="24"/>
          <w:szCs w:val="24"/>
          <w:lang w:bidi="en-US"/>
        </w:rPr>
        <w:t xml:space="preserve"> (60:30 kg NP ha</w:t>
      </w:r>
      <w:r w:rsidRPr="00A811B0">
        <w:rPr>
          <w:bCs/>
          <w:color w:val="000000"/>
          <w:sz w:val="24"/>
          <w:szCs w:val="24"/>
          <w:vertAlign w:val="superscript"/>
          <w:lang w:bidi="en-US"/>
        </w:rPr>
        <w:t>-1</w:t>
      </w:r>
      <w:r w:rsidRPr="00A811B0">
        <w:rPr>
          <w:bCs/>
          <w:color w:val="000000"/>
          <w:sz w:val="24"/>
          <w:szCs w:val="24"/>
          <w:lang w:bidi="en-US"/>
        </w:rPr>
        <w:t xml:space="preserve">) </w:t>
      </w:r>
      <w:r w:rsidR="00467D4E" w:rsidRPr="00A811B0">
        <w:rPr>
          <w:bCs/>
          <w:color w:val="000000"/>
          <w:sz w:val="24"/>
          <w:szCs w:val="24"/>
          <w:lang w:bidi="en-US"/>
        </w:rPr>
        <w:t xml:space="preserve">with 50.77, 52.10, 26.25 and 18.88 percent increase over control </w:t>
      </w:r>
      <w:r w:rsidRPr="00A811B0">
        <w:rPr>
          <w:bCs/>
          <w:color w:val="000000"/>
          <w:sz w:val="24"/>
          <w:szCs w:val="24"/>
          <w:lang w:bidi="en-US"/>
        </w:rPr>
        <w:t>during 20 DAS (1.96 g mrl</w:t>
      </w:r>
      <w:r w:rsidRPr="00A811B0">
        <w:rPr>
          <w:bCs/>
          <w:color w:val="000000"/>
          <w:sz w:val="24"/>
          <w:szCs w:val="24"/>
          <w:vertAlign w:val="superscript"/>
          <w:lang w:bidi="en-US"/>
        </w:rPr>
        <w:t>-1</w:t>
      </w:r>
      <w:r w:rsidRPr="00A811B0">
        <w:rPr>
          <w:bCs/>
          <w:color w:val="000000"/>
          <w:sz w:val="24"/>
          <w:szCs w:val="24"/>
          <w:lang w:bidi="en-US"/>
        </w:rPr>
        <w:t>), 40 DAS (34.10 g mrl</w:t>
      </w:r>
      <w:r w:rsidRPr="00A811B0">
        <w:rPr>
          <w:bCs/>
          <w:color w:val="000000"/>
          <w:sz w:val="24"/>
          <w:szCs w:val="24"/>
          <w:vertAlign w:val="superscript"/>
          <w:lang w:bidi="en-US"/>
        </w:rPr>
        <w:t>-1</w:t>
      </w:r>
      <w:r w:rsidRPr="00A811B0">
        <w:rPr>
          <w:bCs/>
          <w:color w:val="000000"/>
          <w:sz w:val="24"/>
          <w:szCs w:val="24"/>
          <w:lang w:bidi="en-US"/>
        </w:rPr>
        <w:t>), 60 DAS (116.86 g mrl</w:t>
      </w:r>
      <w:r w:rsidRPr="00A811B0">
        <w:rPr>
          <w:bCs/>
          <w:color w:val="000000"/>
          <w:sz w:val="24"/>
          <w:szCs w:val="24"/>
          <w:vertAlign w:val="superscript"/>
          <w:lang w:bidi="en-US"/>
        </w:rPr>
        <w:t>-1</w:t>
      </w:r>
      <w:r w:rsidRPr="00A811B0">
        <w:rPr>
          <w:bCs/>
          <w:color w:val="000000"/>
          <w:sz w:val="24"/>
          <w:szCs w:val="24"/>
          <w:lang w:bidi="en-US"/>
        </w:rPr>
        <w:t>) and at harvest (155.17 g mrl</w:t>
      </w:r>
      <w:r w:rsidRPr="00A811B0">
        <w:rPr>
          <w:bCs/>
          <w:color w:val="000000"/>
          <w:sz w:val="24"/>
          <w:szCs w:val="24"/>
          <w:vertAlign w:val="superscript"/>
          <w:lang w:bidi="en-US"/>
        </w:rPr>
        <w:t>-1</w:t>
      </w:r>
      <w:r w:rsidRPr="00A811B0">
        <w:rPr>
          <w:bCs/>
          <w:color w:val="000000"/>
          <w:sz w:val="24"/>
          <w:szCs w:val="24"/>
          <w:lang w:bidi="en-US"/>
        </w:rPr>
        <w:t>) which was found significantly at par with T</w:t>
      </w:r>
      <w:r w:rsidRPr="00A811B0">
        <w:rPr>
          <w:bCs/>
          <w:color w:val="000000"/>
          <w:sz w:val="24"/>
          <w:szCs w:val="24"/>
          <w:vertAlign w:val="subscript"/>
          <w:lang w:bidi="en-US"/>
        </w:rPr>
        <w:t>3</w:t>
      </w:r>
      <w:r w:rsidRPr="00A811B0">
        <w:rPr>
          <w:bCs/>
          <w:color w:val="000000"/>
          <w:sz w:val="24"/>
          <w:szCs w:val="24"/>
          <w:lang w:bidi="en-US"/>
        </w:rPr>
        <w:t xml:space="preserve"> (40:20 kg NP ha</w:t>
      </w:r>
      <w:r w:rsidRPr="00A811B0">
        <w:rPr>
          <w:bCs/>
          <w:color w:val="000000"/>
          <w:sz w:val="24"/>
          <w:szCs w:val="24"/>
          <w:vertAlign w:val="superscript"/>
          <w:lang w:bidi="en-US"/>
        </w:rPr>
        <w:t>-1</w:t>
      </w:r>
      <w:r w:rsidRPr="00A811B0">
        <w:rPr>
          <w:bCs/>
          <w:color w:val="000000"/>
          <w:sz w:val="24"/>
          <w:szCs w:val="24"/>
          <w:lang w:bidi="en-US"/>
        </w:rPr>
        <w:t>) at all the growth stages whereas lowest dry matter accumulation at different growth stages was observed in treatment T</w:t>
      </w:r>
      <w:r w:rsidRPr="00A811B0">
        <w:rPr>
          <w:bCs/>
          <w:color w:val="000000"/>
          <w:sz w:val="24"/>
          <w:szCs w:val="24"/>
          <w:vertAlign w:val="subscript"/>
          <w:lang w:bidi="en-US"/>
        </w:rPr>
        <w:t>1</w:t>
      </w:r>
      <w:r w:rsidRPr="00A811B0">
        <w:rPr>
          <w:bCs/>
          <w:color w:val="000000"/>
          <w:sz w:val="24"/>
          <w:szCs w:val="24"/>
          <w:lang w:bidi="en-US"/>
        </w:rPr>
        <w:t xml:space="preserve"> (control) with </w:t>
      </w:r>
      <w:r w:rsidR="00E8644A" w:rsidRPr="00A811B0">
        <w:rPr>
          <w:bCs/>
          <w:color w:val="000000"/>
          <w:sz w:val="24"/>
          <w:szCs w:val="24"/>
          <w:lang w:bidi="en-US"/>
        </w:rPr>
        <w:t>dry matter accumulation</w:t>
      </w:r>
      <w:r w:rsidRPr="00A811B0">
        <w:rPr>
          <w:bCs/>
          <w:color w:val="000000"/>
          <w:sz w:val="24"/>
          <w:szCs w:val="24"/>
          <w:lang w:bidi="en-US"/>
        </w:rPr>
        <w:t xml:space="preserve"> of </w:t>
      </w:r>
      <w:r w:rsidR="00E8644A" w:rsidRPr="00A811B0">
        <w:rPr>
          <w:bCs/>
          <w:color w:val="000000"/>
          <w:sz w:val="24"/>
          <w:szCs w:val="24"/>
          <w:lang w:bidi="en-US"/>
        </w:rPr>
        <w:t>1.30 g mrl</w:t>
      </w:r>
      <w:r w:rsidR="00E8644A" w:rsidRPr="00A811B0">
        <w:rPr>
          <w:bCs/>
          <w:color w:val="000000"/>
          <w:sz w:val="24"/>
          <w:szCs w:val="24"/>
          <w:vertAlign w:val="superscript"/>
          <w:lang w:bidi="en-US"/>
        </w:rPr>
        <w:t>-1</w:t>
      </w:r>
      <w:r w:rsidR="00E8644A" w:rsidRPr="00A811B0">
        <w:rPr>
          <w:bCs/>
          <w:color w:val="000000"/>
          <w:sz w:val="24"/>
          <w:szCs w:val="24"/>
          <w:lang w:bidi="en-US"/>
        </w:rPr>
        <w:t xml:space="preserve"> at 2</w:t>
      </w:r>
      <w:r w:rsidRPr="00A811B0">
        <w:rPr>
          <w:bCs/>
          <w:color w:val="000000"/>
          <w:sz w:val="24"/>
          <w:szCs w:val="24"/>
          <w:lang w:bidi="en-US"/>
        </w:rPr>
        <w:t xml:space="preserve">0 DAS, </w:t>
      </w:r>
      <w:r w:rsidR="00E8644A" w:rsidRPr="00A811B0">
        <w:rPr>
          <w:bCs/>
          <w:color w:val="000000"/>
          <w:sz w:val="24"/>
          <w:szCs w:val="24"/>
          <w:lang w:bidi="en-US"/>
        </w:rPr>
        <w:t>22.42 g mrl</w:t>
      </w:r>
      <w:r w:rsidR="00E8644A" w:rsidRPr="00A811B0">
        <w:rPr>
          <w:bCs/>
          <w:color w:val="000000"/>
          <w:sz w:val="24"/>
          <w:szCs w:val="24"/>
          <w:vertAlign w:val="superscript"/>
          <w:lang w:bidi="en-US"/>
        </w:rPr>
        <w:t>-1</w:t>
      </w:r>
      <w:r w:rsidR="00E8644A" w:rsidRPr="00A811B0">
        <w:rPr>
          <w:bCs/>
          <w:color w:val="000000"/>
          <w:sz w:val="24"/>
          <w:szCs w:val="24"/>
          <w:lang w:bidi="en-US"/>
        </w:rPr>
        <w:t xml:space="preserve"> at 4</w:t>
      </w:r>
      <w:r w:rsidRPr="00A811B0">
        <w:rPr>
          <w:bCs/>
          <w:color w:val="000000"/>
          <w:sz w:val="24"/>
          <w:szCs w:val="24"/>
          <w:lang w:bidi="en-US"/>
        </w:rPr>
        <w:t xml:space="preserve">0 DAS and </w:t>
      </w:r>
      <w:r w:rsidR="00E8644A" w:rsidRPr="00A811B0">
        <w:rPr>
          <w:bCs/>
          <w:color w:val="000000"/>
          <w:sz w:val="24"/>
          <w:szCs w:val="24"/>
          <w:lang w:bidi="en-US"/>
        </w:rPr>
        <w:t>92.56</w:t>
      </w:r>
      <w:r w:rsidRPr="00A811B0">
        <w:rPr>
          <w:bCs/>
          <w:color w:val="000000"/>
          <w:sz w:val="24"/>
          <w:szCs w:val="24"/>
          <w:lang w:bidi="en-US"/>
        </w:rPr>
        <w:t xml:space="preserve"> cm at </w:t>
      </w:r>
      <w:r w:rsidR="00E8644A" w:rsidRPr="00A811B0">
        <w:rPr>
          <w:bCs/>
          <w:color w:val="000000"/>
          <w:sz w:val="24"/>
          <w:szCs w:val="24"/>
          <w:lang w:bidi="en-US"/>
        </w:rPr>
        <w:t>60 DAS and 130.53 g mrl</w:t>
      </w:r>
      <w:r w:rsidR="00E8644A" w:rsidRPr="00A811B0">
        <w:rPr>
          <w:bCs/>
          <w:color w:val="000000"/>
          <w:sz w:val="24"/>
          <w:szCs w:val="24"/>
          <w:vertAlign w:val="superscript"/>
          <w:lang w:bidi="en-US"/>
        </w:rPr>
        <w:t>-1</w:t>
      </w:r>
      <w:r w:rsidR="00E8644A" w:rsidRPr="00A811B0">
        <w:rPr>
          <w:bCs/>
          <w:color w:val="000000"/>
          <w:sz w:val="24"/>
          <w:szCs w:val="24"/>
          <w:lang w:bidi="en-US"/>
        </w:rPr>
        <w:t xml:space="preserve"> at maturity.</w:t>
      </w:r>
      <w:r w:rsidR="007E3991">
        <w:rPr>
          <w:bCs/>
          <w:color w:val="000000"/>
          <w:sz w:val="24"/>
          <w:szCs w:val="24"/>
          <w:lang w:bidi="en-US"/>
        </w:rPr>
        <w:t xml:space="preserve"> </w:t>
      </w:r>
      <w:r w:rsidR="00467D4E" w:rsidRPr="00A811B0">
        <w:rPr>
          <w:bCs/>
          <w:color w:val="000000"/>
          <w:sz w:val="24"/>
          <w:szCs w:val="24"/>
          <w:lang w:bidi="en-US"/>
        </w:rPr>
        <w:t>In case of number of tillers (mrl</w:t>
      </w:r>
      <w:r w:rsidR="00467D4E" w:rsidRPr="00A811B0">
        <w:rPr>
          <w:bCs/>
          <w:color w:val="000000"/>
          <w:sz w:val="24"/>
          <w:szCs w:val="24"/>
          <w:vertAlign w:val="superscript"/>
          <w:lang w:bidi="en-US"/>
        </w:rPr>
        <w:t>-1</w:t>
      </w:r>
      <w:r w:rsidR="00467D4E" w:rsidRPr="00A811B0">
        <w:rPr>
          <w:bCs/>
          <w:color w:val="000000"/>
          <w:sz w:val="24"/>
          <w:szCs w:val="24"/>
          <w:lang w:bidi="en-US"/>
        </w:rPr>
        <w:t>), the treatment T</w:t>
      </w:r>
      <w:r w:rsidR="00467D4E" w:rsidRPr="00A811B0">
        <w:rPr>
          <w:bCs/>
          <w:color w:val="000000"/>
          <w:sz w:val="24"/>
          <w:szCs w:val="24"/>
          <w:vertAlign w:val="subscript"/>
          <w:lang w:bidi="en-US"/>
        </w:rPr>
        <w:t>4</w:t>
      </w:r>
      <w:r w:rsidR="00467D4E" w:rsidRPr="00A811B0">
        <w:rPr>
          <w:bCs/>
          <w:color w:val="000000"/>
          <w:sz w:val="24"/>
          <w:szCs w:val="24"/>
          <w:lang w:bidi="en-US"/>
        </w:rPr>
        <w:t xml:space="preserve"> (60:30 kg NP ha</w:t>
      </w:r>
      <w:r w:rsidR="00467D4E" w:rsidRPr="00A811B0">
        <w:rPr>
          <w:bCs/>
          <w:color w:val="000000"/>
          <w:sz w:val="24"/>
          <w:szCs w:val="24"/>
          <w:vertAlign w:val="superscript"/>
          <w:lang w:bidi="en-US"/>
        </w:rPr>
        <w:t>-1</w:t>
      </w:r>
      <w:r w:rsidR="00467D4E" w:rsidRPr="00A811B0">
        <w:rPr>
          <w:bCs/>
          <w:color w:val="000000"/>
          <w:sz w:val="24"/>
          <w:szCs w:val="24"/>
          <w:lang w:bidi="en-US"/>
        </w:rPr>
        <w:t>) resulted into maximum number of tillers with 59.10, 52.92 and 53.59 percent increase over control at 40 DAS (41.19 mrl</w:t>
      </w:r>
      <w:r w:rsidR="00467D4E" w:rsidRPr="00A811B0">
        <w:rPr>
          <w:bCs/>
          <w:color w:val="000000"/>
          <w:sz w:val="24"/>
          <w:szCs w:val="24"/>
          <w:vertAlign w:val="superscript"/>
          <w:lang w:bidi="en-US"/>
        </w:rPr>
        <w:t>-1</w:t>
      </w:r>
      <w:r w:rsidR="00467D4E" w:rsidRPr="00A811B0">
        <w:rPr>
          <w:bCs/>
          <w:color w:val="000000"/>
          <w:sz w:val="24"/>
          <w:szCs w:val="24"/>
          <w:lang w:bidi="en-US"/>
        </w:rPr>
        <w:t>), 60 DAS (47.33 mrl</w:t>
      </w:r>
      <w:r w:rsidR="00467D4E" w:rsidRPr="00A811B0">
        <w:rPr>
          <w:bCs/>
          <w:color w:val="000000"/>
          <w:sz w:val="24"/>
          <w:szCs w:val="24"/>
          <w:vertAlign w:val="superscript"/>
          <w:lang w:bidi="en-US"/>
        </w:rPr>
        <w:t>-1</w:t>
      </w:r>
      <w:r w:rsidR="00467D4E" w:rsidRPr="00A811B0">
        <w:rPr>
          <w:bCs/>
          <w:color w:val="000000"/>
          <w:sz w:val="24"/>
          <w:szCs w:val="24"/>
          <w:lang w:bidi="en-US"/>
        </w:rPr>
        <w:t>) and at maturity (45.31 mrl</w:t>
      </w:r>
      <w:r w:rsidR="00467D4E" w:rsidRPr="00A811B0">
        <w:rPr>
          <w:bCs/>
          <w:color w:val="000000"/>
          <w:sz w:val="24"/>
          <w:szCs w:val="24"/>
          <w:vertAlign w:val="superscript"/>
          <w:lang w:bidi="en-US"/>
        </w:rPr>
        <w:t>-1</w:t>
      </w:r>
      <w:r w:rsidR="00467D4E" w:rsidRPr="00A811B0">
        <w:rPr>
          <w:bCs/>
          <w:color w:val="000000"/>
          <w:sz w:val="24"/>
          <w:szCs w:val="24"/>
          <w:lang w:bidi="en-US"/>
        </w:rPr>
        <w:t>), which was statistically at par with T</w:t>
      </w:r>
      <w:r w:rsidR="00467D4E" w:rsidRPr="00A811B0">
        <w:rPr>
          <w:bCs/>
          <w:color w:val="000000"/>
          <w:sz w:val="24"/>
          <w:szCs w:val="24"/>
          <w:vertAlign w:val="subscript"/>
          <w:lang w:bidi="en-US"/>
        </w:rPr>
        <w:t>3</w:t>
      </w:r>
      <w:r w:rsidR="00467D4E" w:rsidRPr="00A811B0">
        <w:rPr>
          <w:bCs/>
          <w:color w:val="000000"/>
          <w:sz w:val="24"/>
          <w:szCs w:val="24"/>
          <w:lang w:bidi="en-US"/>
        </w:rPr>
        <w:t xml:space="preserve"> (40:20 kg NP ha</w:t>
      </w:r>
      <w:r w:rsidR="00467D4E" w:rsidRPr="00A811B0">
        <w:rPr>
          <w:bCs/>
          <w:color w:val="000000"/>
          <w:sz w:val="24"/>
          <w:szCs w:val="24"/>
          <w:vertAlign w:val="superscript"/>
          <w:lang w:bidi="en-US"/>
        </w:rPr>
        <w:t>-1</w:t>
      </w:r>
      <w:r w:rsidR="00467D4E" w:rsidRPr="00A811B0">
        <w:rPr>
          <w:bCs/>
          <w:color w:val="000000"/>
          <w:sz w:val="24"/>
          <w:szCs w:val="24"/>
          <w:lang w:bidi="en-US"/>
        </w:rPr>
        <w:t xml:space="preserve">) </w:t>
      </w:r>
      <w:r w:rsidR="00DA632F" w:rsidRPr="00A811B0">
        <w:rPr>
          <w:bCs/>
          <w:color w:val="000000"/>
          <w:sz w:val="24"/>
          <w:szCs w:val="24"/>
          <w:lang w:bidi="en-US"/>
        </w:rPr>
        <w:t>whereas</w:t>
      </w:r>
      <w:r w:rsidR="00467D4E" w:rsidRPr="00A811B0">
        <w:rPr>
          <w:bCs/>
          <w:color w:val="000000"/>
          <w:sz w:val="24"/>
          <w:szCs w:val="24"/>
          <w:lang w:bidi="en-US"/>
        </w:rPr>
        <w:t xml:space="preserve"> minimum number of tillers at 40 DAS (25.89 mrl</w:t>
      </w:r>
      <w:r w:rsidR="00467D4E" w:rsidRPr="00A811B0">
        <w:rPr>
          <w:bCs/>
          <w:color w:val="000000"/>
          <w:sz w:val="24"/>
          <w:szCs w:val="24"/>
          <w:vertAlign w:val="superscript"/>
          <w:lang w:bidi="en-US"/>
        </w:rPr>
        <w:t>-1</w:t>
      </w:r>
      <w:r w:rsidR="007E3991">
        <w:rPr>
          <w:bCs/>
          <w:color w:val="000000"/>
          <w:sz w:val="24"/>
          <w:szCs w:val="24"/>
          <w:lang w:bidi="en-US"/>
        </w:rPr>
        <w:t xml:space="preserve">), 60 DAS (30.95 </w:t>
      </w:r>
      <w:r w:rsidR="00467D4E" w:rsidRPr="00A811B0">
        <w:rPr>
          <w:bCs/>
          <w:color w:val="000000"/>
          <w:sz w:val="24"/>
          <w:szCs w:val="24"/>
          <w:lang w:bidi="en-US"/>
        </w:rPr>
        <w:t>mrl</w:t>
      </w:r>
      <w:r w:rsidR="00467D4E" w:rsidRPr="00A811B0">
        <w:rPr>
          <w:bCs/>
          <w:color w:val="000000"/>
          <w:sz w:val="24"/>
          <w:szCs w:val="24"/>
          <w:vertAlign w:val="superscript"/>
          <w:lang w:bidi="en-US"/>
        </w:rPr>
        <w:t>-1</w:t>
      </w:r>
      <w:r w:rsidR="00467D4E" w:rsidRPr="00A811B0">
        <w:rPr>
          <w:bCs/>
          <w:color w:val="000000"/>
          <w:sz w:val="24"/>
          <w:szCs w:val="24"/>
          <w:lang w:bidi="en-US"/>
        </w:rPr>
        <w:t>) and at maturity (29.50 mrl</w:t>
      </w:r>
      <w:r w:rsidR="00467D4E" w:rsidRPr="00A811B0">
        <w:rPr>
          <w:bCs/>
          <w:color w:val="000000"/>
          <w:sz w:val="24"/>
          <w:szCs w:val="24"/>
          <w:vertAlign w:val="superscript"/>
          <w:lang w:bidi="en-US"/>
        </w:rPr>
        <w:t>-1</w:t>
      </w:r>
      <w:r w:rsidR="00467D4E" w:rsidRPr="00A811B0">
        <w:rPr>
          <w:bCs/>
          <w:color w:val="000000"/>
          <w:sz w:val="24"/>
          <w:szCs w:val="24"/>
          <w:lang w:bidi="en-US"/>
        </w:rPr>
        <w:t>) was observed in treatment T</w:t>
      </w:r>
      <w:r w:rsidR="00467D4E" w:rsidRPr="00A811B0">
        <w:rPr>
          <w:bCs/>
          <w:color w:val="000000"/>
          <w:sz w:val="24"/>
          <w:szCs w:val="24"/>
          <w:vertAlign w:val="subscript"/>
          <w:lang w:bidi="en-US"/>
        </w:rPr>
        <w:t>1</w:t>
      </w:r>
      <w:r w:rsidR="00467D4E" w:rsidRPr="00A811B0">
        <w:rPr>
          <w:bCs/>
          <w:color w:val="000000"/>
          <w:sz w:val="24"/>
          <w:szCs w:val="24"/>
          <w:lang w:bidi="en-US"/>
        </w:rPr>
        <w:t xml:space="preserve"> (Control).</w:t>
      </w:r>
      <w:r w:rsidR="00DA632F" w:rsidRPr="00A811B0">
        <w:rPr>
          <w:bCs/>
          <w:color w:val="000000"/>
          <w:sz w:val="24"/>
          <w:szCs w:val="24"/>
          <w:lang w:bidi="en-US"/>
        </w:rPr>
        <w:t xml:space="preserve"> A positive increase in height, number of tillers, and dry weight accumulation at 40 DAS, 60 DAS, and at harvest by the 60:30 kg N:</w:t>
      </w:r>
      <w:r w:rsidR="007E3991">
        <w:rPr>
          <w:bCs/>
          <w:color w:val="000000"/>
          <w:sz w:val="24"/>
          <w:szCs w:val="24"/>
          <w:lang w:bidi="en-US"/>
        </w:rPr>
        <w:t xml:space="preserve"> </w:t>
      </w:r>
      <w:r w:rsidR="00DA632F" w:rsidRPr="00A811B0">
        <w:rPr>
          <w:bCs/>
          <w:color w:val="000000"/>
          <w:sz w:val="24"/>
          <w:szCs w:val="24"/>
          <w:lang w:bidi="en-US"/>
        </w:rPr>
        <w:t>P ha⁻¹ was highly associated with comparable responses to the application of 40:20 kg N:P ha⁻¹. Such response is attributable to increased availability of nu</w:t>
      </w:r>
      <w:r w:rsidR="007E3991">
        <w:rPr>
          <w:bCs/>
          <w:color w:val="000000"/>
          <w:sz w:val="24"/>
          <w:szCs w:val="24"/>
          <w:lang w:bidi="en-US"/>
        </w:rPr>
        <w:t xml:space="preserve">trients, particularly nitrogen, </w:t>
      </w:r>
      <w:r w:rsidR="00DA632F" w:rsidRPr="00A811B0">
        <w:rPr>
          <w:bCs/>
          <w:color w:val="000000"/>
          <w:sz w:val="24"/>
          <w:szCs w:val="24"/>
          <w:lang w:bidi="en-US"/>
        </w:rPr>
        <w:t xml:space="preserve">that promotes photosynthesis, synthesis of proteins, and cell elongation. These </w:t>
      </w:r>
      <w:r w:rsidR="00DA632F" w:rsidRPr="00B4420C">
        <w:rPr>
          <w:bCs/>
          <w:color w:val="000000"/>
          <w:sz w:val="24"/>
          <w:szCs w:val="24"/>
          <w:lang w:bidi="en-US"/>
        </w:rPr>
        <w:t>activities contribute to internode elongation and plant height (</w:t>
      </w:r>
      <w:proofErr w:type="spellStart"/>
      <w:r w:rsidR="00DA632F" w:rsidRPr="00B4420C">
        <w:rPr>
          <w:bCs/>
          <w:color w:val="000000"/>
          <w:sz w:val="24"/>
          <w:szCs w:val="24"/>
          <w:lang w:bidi="en-US"/>
        </w:rPr>
        <w:t>Munirathnam</w:t>
      </w:r>
      <w:proofErr w:type="spellEnd"/>
      <w:r w:rsidR="00DA632F" w:rsidRPr="00B4420C">
        <w:rPr>
          <w:bCs/>
          <w:color w:val="000000"/>
          <w:sz w:val="24"/>
          <w:szCs w:val="24"/>
          <w:lang w:bidi="en-US"/>
        </w:rPr>
        <w:t xml:space="preserve"> and Kumar, 2015; Shahin</w:t>
      </w:r>
      <w:r w:rsidR="0051305A" w:rsidRPr="00B4420C">
        <w:rPr>
          <w:bCs/>
          <w:color w:val="000000"/>
          <w:sz w:val="24"/>
          <w:szCs w:val="24"/>
          <w:lang w:bidi="en-US"/>
        </w:rPr>
        <w:t xml:space="preserve"> </w:t>
      </w:r>
      <w:r w:rsidR="00DA632F" w:rsidRPr="00B4420C">
        <w:rPr>
          <w:bCs/>
          <w:color w:val="000000"/>
          <w:sz w:val="24"/>
          <w:szCs w:val="24"/>
          <w:lang w:bidi="en-US"/>
        </w:rPr>
        <w:t>et al., 2013). Phosphorus helped in root development, thus enhancing nutrient uptake and growth of the plant (Khan et al., 2023; Divyashree</w:t>
      </w:r>
      <w:r w:rsidR="007E3991" w:rsidRPr="00B4420C">
        <w:rPr>
          <w:bCs/>
          <w:color w:val="000000"/>
          <w:sz w:val="24"/>
          <w:szCs w:val="24"/>
          <w:lang w:bidi="en-US"/>
        </w:rPr>
        <w:t xml:space="preserve"> </w:t>
      </w:r>
      <w:r w:rsidR="00DA632F" w:rsidRPr="00B4420C">
        <w:rPr>
          <w:bCs/>
          <w:color w:val="000000"/>
          <w:sz w:val="24"/>
          <w:szCs w:val="24"/>
          <w:lang w:bidi="en-US"/>
        </w:rPr>
        <w:t>et al., 2018).</w:t>
      </w:r>
      <w:r w:rsidR="00DA632F" w:rsidRPr="00A811B0">
        <w:rPr>
          <w:bCs/>
          <w:color w:val="000000"/>
          <w:sz w:val="24"/>
          <w:szCs w:val="24"/>
          <w:lang w:bidi="en-US"/>
        </w:rPr>
        <w:t xml:space="preserve"> Vegetative growth enhancement, which was nitrogen-induced hormonal activity, was associated with elevated tillering (</w:t>
      </w:r>
      <w:r w:rsidR="00DA632F" w:rsidRPr="00B4420C">
        <w:rPr>
          <w:bCs/>
          <w:color w:val="000000"/>
          <w:sz w:val="24"/>
          <w:szCs w:val="24"/>
          <w:lang w:bidi="en-US"/>
        </w:rPr>
        <w:t>Mahajan et al., 2017). The</w:t>
      </w:r>
      <w:r w:rsidR="00DA632F" w:rsidRPr="00A811B0">
        <w:rPr>
          <w:bCs/>
          <w:color w:val="000000"/>
          <w:sz w:val="24"/>
          <w:szCs w:val="24"/>
          <w:lang w:bidi="en-US"/>
        </w:rPr>
        <w:t xml:space="preserve"> increased dry matter accumulation that was recorded at a nitrogen to phosphorus ratio of 60:30 kg ha⁻¹ may be linked with higher root activity, stomatal conductance, and carbon assimilation, as noted by </w:t>
      </w:r>
      <w:proofErr w:type="spellStart"/>
      <w:r w:rsidR="00DA632F" w:rsidRPr="00B4420C">
        <w:rPr>
          <w:bCs/>
          <w:color w:val="000000"/>
          <w:sz w:val="24"/>
          <w:szCs w:val="24"/>
          <w:lang w:bidi="en-US"/>
        </w:rPr>
        <w:t>Charate</w:t>
      </w:r>
      <w:proofErr w:type="spellEnd"/>
      <w:r w:rsidR="00F67D17" w:rsidRPr="00B4420C">
        <w:rPr>
          <w:bCs/>
          <w:color w:val="000000"/>
          <w:sz w:val="24"/>
          <w:szCs w:val="24"/>
          <w:lang w:bidi="en-US"/>
        </w:rPr>
        <w:t xml:space="preserve"> </w:t>
      </w:r>
      <w:r w:rsidR="00DA632F" w:rsidRPr="00B4420C">
        <w:rPr>
          <w:bCs/>
          <w:color w:val="000000"/>
          <w:sz w:val="24"/>
          <w:szCs w:val="24"/>
          <w:lang w:bidi="en-US"/>
        </w:rPr>
        <w:t>et al. (2018</w:t>
      </w:r>
      <w:r w:rsidR="00DA632F" w:rsidRPr="00411E25">
        <w:rPr>
          <w:bCs/>
          <w:color w:val="000000"/>
          <w:sz w:val="24"/>
          <w:szCs w:val="24"/>
          <w:lang w:bidi="en-US"/>
        </w:rPr>
        <w:t xml:space="preserve">). </w:t>
      </w:r>
      <w:r w:rsidR="00411E25" w:rsidRPr="00411E25">
        <w:rPr>
          <w:bCs/>
          <w:color w:val="000000"/>
          <w:sz w:val="24"/>
          <w:szCs w:val="24"/>
          <w:highlight w:val="yellow"/>
          <w:lang w:val="en-IN" w:bidi="en-US"/>
        </w:rPr>
        <w:t xml:space="preserve">Excessive application of nutrients may lead to imbalances and increased losses through leaching and volatilization. Proper irrigation and </w:t>
      </w:r>
      <w:proofErr w:type="spellStart"/>
      <w:r w:rsidR="00411E25" w:rsidRPr="00411E25">
        <w:rPr>
          <w:bCs/>
          <w:color w:val="000000"/>
          <w:sz w:val="24"/>
          <w:szCs w:val="24"/>
          <w:highlight w:val="yellow"/>
          <w:lang w:val="en-IN" w:bidi="en-US"/>
        </w:rPr>
        <w:t>favorable</w:t>
      </w:r>
      <w:proofErr w:type="spellEnd"/>
      <w:r w:rsidR="00411E25" w:rsidRPr="00411E25">
        <w:rPr>
          <w:bCs/>
          <w:color w:val="000000"/>
          <w:sz w:val="24"/>
          <w:szCs w:val="24"/>
          <w:highlight w:val="yellow"/>
          <w:lang w:val="en-IN" w:bidi="en-US"/>
        </w:rPr>
        <w:t xml:space="preserve"> environmental conditions, such as optimal temperature and sufficient </w:t>
      </w:r>
      <w:r w:rsidR="00411E25" w:rsidRPr="00411E25">
        <w:rPr>
          <w:bCs/>
          <w:color w:val="000000"/>
          <w:sz w:val="24"/>
          <w:szCs w:val="24"/>
          <w:highlight w:val="yellow"/>
          <w:lang w:val="en-IN" w:bidi="en-US"/>
        </w:rPr>
        <w:lastRenderedPageBreak/>
        <w:t>sunlight, facilitated efficient nutrient uptake and collectively supported plant growth.</w:t>
      </w:r>
    </w:p>
    <w:p w14:paraId="7C4796D7" w14:textId="21FD0912" w:rsidR="00685742" w:rsidRPr="00A811B0" w:rsidRDefault="00E752C6" w:rsidP="006613CA">
      <w:pPr>
        <w:pStyle w:val="BodyText"/>
        <w:spacing w:before="120" w:after="120" w:line="360" w:lineRule="auto"/>
        <w:jc w:val="both"/>
        <w:rPr>
          <w:bCs/>
          <w:color w:val="000000"/>
          <w:sz w:val="24"/>
          <w:szCs w:val="24"/>
          <w:lang w:bidi="en-US"/>
        </w:rPr>
      </w:pPr>
      <w:r w:rsidRPr="00A811B0">
        <w:rPr>
          <w:b/>
          <w:bCs/>
          <w:color w:val="000000" w:themeColor="text1"/>
          <w:sz w:val="24"/>
          <w:szCs w:val="24"/>
        </w:rPr>
        <w:t xml:space="preserve">Effect of </w:t>
      </w:r>
      <w:r w:rsidR="00911E0A">
        <w:rPr>
          <w:b/>
          <w:bCs/>
          <w:color w:val="000000" w:themeColor="text1"/>
          <w:sz w:val="24"/>
          <w:szCs w:val="24"/>
        </w:rPr>
        <w:t>different</w:t>
      </w:r>
      <w:r w:rsidRPr="00A811B0">
        <w:rPr>
          <w:b/>
          <w:bCs/>
          <w:color w:val="000000" w:themeColor="text1"/>
          <w:sz w:val="24"/>
          <w:szCs w:val="24"/>
        </w:rPr>
        <w:t xml:space="preserve"> fertility levels on </w:t>
      </w:r>
      <w:r w:rsidR="00911E0A">
        <w:rPr>
          <w:b/>
          <w:bCs/>
          <w:color w:val="000000" w:themeColor="text1"/>
          <w:sz w:val="24"/>
          <w:szCs w:val="24"/>
        </w:rPr>
        <w:t>phenological attributes</w:t>
      </w:r>
    </w:p>
    <w:p w14:paraId="6172A645" w14:textId="4A6CD4D1" w:rsidR="000D586F" w:rsidRPr="00B939D3" w:rsidRDefault="00D24DC9" w:rsidP="00A811B0">
      <w:pPr>
        <w:spacing w:before="120" w:after="120"/>
        <w:ind w:firstLine="720"/>
        <w:rPr>
          <w:rFonts w:ascii="Times New Roman" w:hAnsi="Times New Roman" w:cs="Times New Roman"/>
          <w:bCs/>
          <w:color w:val="000000"/>
          <w:sz w:val="24"/>
          <w:szCs w:val="24"/>
          <w:lang w:bidi="en-US"/>
        </w:rPr>
      </w:pPr>
      <w:r w:rsidRPr="00A811B0">
        <w:rPr>
          <w:rFonts w:ascii="Times New Roman" w:hAnsi="Times New Roman" w:cs="Times New Roman"/>
          <w:bCs/>
          <w:color w:val="000000"/>
          <w:sz w:val="24"/>
          <w:szCs w:val="24"/>
          <w:lang w:bidi="en-US"/>
        </w:rPr>
        <w:t xml:space="preserve">The data pertaining to days taken for different phenological stages </w:t>
      </w:r>
      <w:r w:rsidRPr="00A811B0">
        <w:rPr>
          <w:rFonts w:ascii="Times New Roman" w:hAnsi="Times New Roman" w:cs="Times New Roman"/>
          <w:bCs/>
          <w:i/>
          <w:color w:val="000000"/>
          <w:sz w:val="24"/>
          <w:szCs w:val="24"/>
          <w:lang w:bidi="en-US"/>
        </w:rPr>
        <w:t xml:space="preserve">i.e., </w:t>
      </w:r>
      <w:r w:rsidRPr="00A811B0">
        <w:rPr>
          <w:rFonts w:ascii="Times New Roman" w:hAnsi="Times New Roman" w:cs="Times New Roman"/>
          <w:bCs/>
          <w:color w:val="000000"/>
          <w:sz w:val="24"/>
          <w:szCs w:val="24"/>
          <w:lang w:bidi="en-US"/>
        </w:rPr>
        <w:t>emergence, 50 % heading and maturity under different treatments are presented in Table 3.</w:t>
      </w:r>
      <w:r w:rsidR="0051305A">
        <w:rPr>
          <w:rFonts w:ascii="Times New Roman" w:hAnsi="Times New Roman" w:cs="Times New Roman"/>
          <w:bCs/>
          <w:color w:val="000000"/>
          <w:sz w:val="24"/>
          <w:szCs w:val="24"/>
          <w:lang w:bidi="en-US"/>
        </w:rPr>
        <w:t xml:space="preserve"> </w:t>
      </w:r>
      <w:r w:rsidRPr="00A811B0">
        <w:rPr>
          <w:rFonts w:ascii="Times New Roman" w:hAnsi="Times New Roman" w:cs="Times New Roman"/>
          <w:bCs/>
          <w:color w:val="000000"/>
          <w:sz w:val="24"/>
          <w:szCs w:val="24"/>
          <w:lang w:bidi="en-US"/>
        </w:rPr>
        <w:t xml:space="preserve">Days taken to crop emergence was significantly affected by minor millets crops. Maximum days were taken to crop emergence by finger millet (6.92 days) which was found statistically at par with barnyard millet. However, lowest days taken to crop emergence was in </w:t>
      </w:r>
      <w:proofErr w:type="spellStart"/>
      <w:r w:rsidRPr="00A811B0">
        <w:rPr>
          <w:rFonts w:ascii="Times New Roman" w:hAnsi="Times New Roman" w:cs="Times New Roman"/>
          <w:bCs/>
          <w:color w:val="000000"/>
          <w:sz w:val="24"/>
          <w:szCs w:val="24"/>
          <w:lang w:bidi="en-US"/>
        </w:rPr>
        <w:t>proso</w:t>
      </w:r>
      <w:proofErr w:type="spellEnd"/>
      <w:r w:rsidRPr="00A811B0">
        <w:rPr>
          <w:rFonts w:ascii="Times New Roman" w:hAnsi="Times New Roman" w:cs="Times New Roman"/>
          <w:bCs/>
          <w:color w:val="000000"/>
          <w:sz w:val="24"/>
          <w:szCs w:val="24"/>
          <w:lang w:bidi="en-US"/>
        </w:rPr>
        <w:t xml:space="preserve"> millet (3.17 days).</w:t>
      </w:r>
      <w:r w:rsidR="00A94F31">
        <w:rPr>
          <w:rFonts w:ascii="Times New Roman" w:hAnsi="Times New Roman" w:cs="Times New Roman"/>
          <w:bCs/>
          <w:color w:val="000000"/>
          <w:sz w:val="24"/>
          <w:szCs w:val="24"/>
          <w:lang w:bidi="en-US"/>
        </w:rPr>
        <w:t xml:space="preserve"> </w:t>
      </w:r>
      <w:r w:rsidRPr="00A811B0">
        <w:rPr>
          <w:rFonts w:ascii="Times New Roman" w:hAnsi="Times New Roman" w:cs="Times New Roman"/>
          <w:bCs/>
          <w:color w:val="000000"/>
          <w:sz w:val="24"/>
          <w:szCs w:val="24"/>
          <w:lang w:bidi="en-US"/>
        </w:rPr>
        <w:t xml:space="preserve">Days taken to 50 % heading was also significantly affected by minor millets. Maximum days were taken to 50 % heading by finger millet (86.92 days), followed by foxtail millet (51.50 days). However, lowest days taken to 50 % heading was in </w:t>
      </w:r>
      <w:proofErr w:type="spellStart"/>
      <w:r w:rsidRPr="00A811B0">
        <w:rPr>
          <w:rFonts w:ascii="Times New Roman" w:hAnsi="Times New Roman" w:cs="Times New Roman"/>
          <w:bCs/>
          <w:color w:val="000000"/>
          <w:sz w:val="24"/>
          <w:szCs w:val="24"/>
          <w:lang w:bidi="en-US"/>
        </w:rPr>
        <w:t>proso</w:t>
      </w:r>
      <w:proofErr w:type="spellEnd"/>
      <w:r w:rsidRPr="00A811B0">
        <w:rPr>
          <w:rFonts w:ascii="Times New Roman" w:hAnsi="Times New Roman" w:cs="Times New Roman"/>
          <w:bCs/>
          <w:color w:val="000000"/>
          <w:sz w:val="24"/>
          <w:szCs w:val="24"/>
          <w:lang w:bidi="en-US"/>
        </w:rPr>
        <w:t xml:space="preserve"> millet (41.75 days).</w:t>
      </w:r>
      <w:r w:rsidRPr="00A811B0">
        <w:rPr>
          <w:rFonts w:ascii="Times New Roman" w:hAnsi="Times New Roman" w:cs="Times New Roman"/>
          <w:sz w:val="24"/>
          <w:szCs w:val="24"/>
        </w:rPr>
        <w:t xml:space="preserve"> Significant differences in</w:t>
      </w:r>
      <w:r w:rsidRPr="00A811B0">
        <w:rPr>
          <w:rFonts w:ascii="Times New Roman" w:hAnsi="Times New Roman" w:cs="Times New Roman"/>
          <w:bCs/>
          <w:color w:val="000000"/>
          <w:sz w:val="24"/>
          <w:szCs w:val="24"/>
          <w:lang w:bidi="en-US"/>
        </w:rPr>
        <w:t xml:space="preserve"> time taken to reach maturity was found among different minor millets. The longest period to attain maturity was recorded in finger millet (126.00 days). In contrast, the shortest time for maturity was observed in </w:t>
      </w:r>
      <w:proofErr w:type="spellStart"/>
      <w:r w:rsidRPr="00A811B0">
        <w:rPr>
          <w:rFonts w:ascii="Times New Roman" w:hAnsi="Times New Roman" w:cs="Times New Roman"/>
          <w:bCs/>
          <w:color w:val="000000"/>
          <w:sz w:val="24"/>
          <w:szCs w:val="24"/>
          <w:lang w:bidi="en-US"/>
        </w:rPr>
        <w:t>proso</w:t>
      </w:r>
      <w:proofErr w:type="spellEnd"/>
      <w:r w:rsidRPr="00A811B0">
        <w:rPr>
          <w:rFonts w:ascii="Times New Roman" w:hAnsi="Times New Roman" w:cs="Times New Roman"/>
          <w:bCs/>
          <w:color w:val="000000"/>
          <w:sz w:val="24"/>
          <w:szCs w:val="24"/>
          <w:lang w:bidi="en-US"/>
        </w:rPr>
        <w:t xml:space="preserve"> millet (69.17 days). Among various minor millets examined, finger millet took the longest to crop emergence (6.92 days), 50% heading (87 days), and maturity (120 days), with barnyard and foxtail millets having at par effects. Proso millet took the least amount of time to 50% heading (42 days) and maturity (69 days). The majority of these variations are genetically regulated, but partly by environmental variations such as soil fertility, photoperiod, and temperature, and also influenced by management </w:t>
      </w:r>
      <w:r w:rsidRPr="00B939D3">
        <w:rPr>
          <w:rFonts w:ascii="Times New Roman" w:hAnsi="Times New Roman" w:cs="Times New Roman"/>
          <w:bCs/>
          <w:color w:val="000000"/>
          <w:sz w:val="24"/>
          <w:szCs w:val="24"/>
          <w:lang w:bidi="en-US"/>
        </w:rPr>
        <w:t>practice such as watering and nutrient levels. These findings are consistent with those of Triveni et al. (2018)</w:t>
      </w:r>
      <w:r w:rsidR="0051305A" w:rsidRPr="00B939D3">
        <w:rPr>
          <w:rFonts w:ascii="Times New Roman" w:hAnsi="Times New Roman" w:cs="Times New Roman"/>
          <w:bCs/>
          <w:color w:val="000000"/>
          <w:sz w:val="24"/>
          <w:szCs w:val="24"/>
          <w:lang w:bidi="en-US"/>
        </w:rPr>
        <w:t xml:space="preserve"> and Dhaka et al</w:t>
      </w:r>
      <w:r w:rsidR="00F67D17" w:rsidRPr="00B939D3">
        <w:rPr>
          <w:rFonts w:ascii="Times New Roman" w:hAnsi="Times New Roman" w:cs="Times New Roman"/>
          <w:bCs/>
          <w:color w:val="000000"/>
          <w:sz w:val="24"/>
          <w:szCs w:val="24"/>
          <w:lang w:bidi="en-US"/>
        </w:rPr>
        <w:t>.</w:t>
      </w:r>
      <w:r w:rsidR="0051305A" w:rsidRPr="00B939D3">
        <w:rPr>
          <w:rFonts w:ascii="Times New Roman" w:hAnsi="Times New Roman" w:cs="Times New Roman"/>
          <w:bCs/>
          <w:color w:val="000000"/>
          <w:sz w:val="24"/>
          <w:szCs w:val="24"/>
          <w:lang w:bidi="en-US"/>
        </w:rPr>
        <w:t xml:space="preserve"> (202</w:t>
      </w:r>
      <w:r w:rsidR="008877A5" w:rsidRPr="00B939D3">
        <w:rPr>
          <w:rFonts w:ascii="Times New Roman" w:hAnsi="Times New Roman" w:cs="Times New Roman"/>
          <w:bCs/>
          <w:color w:val="000000"/>
          <w:sz w:val="24"/>
          <w:szCs w:val="24"/>
          <w:lang w:bidi="en-US"/>
        </w:rPr>
        <w:t>5a</w:t>
      </w:r>
      <w:r w:rsidR="0051305A" w:rsidRPr="00B939D3">
        <w:rPr>
          <w:rFonts w:ascii="Times New Roman" w:hAnsi="Times New Roman" w:cs="Times New Roman"/>
          <w:bCs/>
          <w:color w:val="000000"/>
          <w:sz w:val="24"/>
          <w:szCs w:val="24"/>
          <w:lang w:bidi="en-US"/>
        </w:rPr>
        <w:t>)</w:t>
      </w:r>
      <w:r w:rsidRPr="00B939D3">
        <w:rPr>
          <w:rFonts w:ascii="Times New Roman" w:hAnsi="Times New Roman" w:cs="Times New Roman"/>
          <w:bCs/>
          <w:color w:val="000000"/>
          <w:sz w:val="24"/>
          <w:szCs w:val="24"/>
          <w:lang w:bidi="en-US"/>
        </w:rPr>
        <w:t>.</w:t>
      </w:r>
    </w:p>
    <w:p w14:paraId="0661A220" w14:textId="6FDEA6A5" w:rsidR="000D586F" w:rsidRPr="00A811B0" w:rsidRDefault="00D24DC9" w:rsidP="00A811B0">
      <w:pPr>
        <w:spacing w:before="120" w:after="120"/>
        <w:ind w:firstLine="720"/>
        <w:rPr>
          <w:rFonts w:ascii="Times New Roman" w:hAnsi="Times New Roman" w:cs="Times New Roman"/>
          <w:bCs/>
          <w:color w:val="000000"/>
          <w:sz w:val="24"/>
          <w:szCs w:val="24"/>
          <w:lang w:bidi="en-US"/>
        </w:rPr>
      </w:pPr>
      <w:r w:rsidRPr="00A811B0">
        <w:rPr>
          <w:rFonts w:ascii="Times New Roman" w:hAnsi="Times New Roman" w:cs="Times New Roman"/>
          <w:bCs/>
          <w:color w:val="000000"/>
          <w:sz w:val="24"/>
          <w:szCs w:val="24"/>
          <w:lang w:bidi="en-US"/>
        </w:rPr>
        <w:t xml:space="preserve">In case of effect of different nitrogen and phosphorus levels, no significant effect was found on days taken to crop emergence. However, </w:t>
      </w:r>
      <w:r w:rsidR="0004451C" w:rsidRPr="00A811B0">
        <w:rPr>
          <w:rFonts w:ascii="Times New Roman" w:hAnsi="Times New Roman" w:cs="Times New Roman"/>
          <w:bCs/>
          <w:color w:val="000000"/>
          <w:sz w:val="24"/>
          <w:szCs w:val="24"/>
          <w:lang w:bidi="en-US"/>
        </w:rPr>
        <w:t>its</w:t>
      </w:r>
      <w:r w:rsidRPr="00A811B0">
        <w:rPr>
          <w:rFonts w:ascii="Times New Roman" w:hAnsi="Times New Roman" w:cs="Times New Roman"/>
          <w:bCs/>
          <w:color w:val="000000"/>
          <w:sz w:val="24"/>
          <w:szCs w:val="24"/>
          <w:lang w:bidi="en-US"/>
        </w:rPr>
        <w:t xml:space="preserve"> effect was found </w:t>
      </w:r>
      <w:r w:rsidR="0004451C" w:rsidRPr="00A811B0">
        <w:rPr>
          <w:rFonts w:ascii="Times New Roman" w:hAnsi="Times New Roman" w:cs="Times New Roman"/>
          <w:bCs/>
          <w:color w:val="000000"/>
          <w:sz w:val="24"/>
          <w:szCs w:val="24"/>
          <w:lang w:bidi="en-US"/>
        </w:rPr>
        <w:t xml:space="preserve">to be significant </w:t>
      </w:r>
      <w:r w:rsidRPr="00A811B0">
        <w:rPr>
          <w:rFonts w:ascii="Times New Roman" w:hAnsi="Times New Roman" w:cs="Times New Roman"/>
          <w:bCs/>
          <w:color w:val="000000"/>
          <w:sz w:val="24"/>
          <w:szCs w:val="24"/>
          <w:lang w:bidi="en-US"/>
        </w:rPr>
        <w:t xml:space="preserve">on </w:t>
      </w:r>
      <w:r w:rsidR="0004451C" w:rsidRPr="00A811B0">
        <w:rPr>
          <w:rFonts w:ascii="Times New Roman" w:hAnsi="Times New Roman" w:cs="Times New Roman"/>
          <w:bCs/>
          <w:color w:val="000000"/>
          <w:sz w:val="24"/>
          <w:szCs w:val="24"/>
          <w:lang w:bidi="en-US"/>
        </w:rPr>
        <w:t>days to 50 % heading and days to maturity</w:t>
      </w:r>
      <w:r w:rsidRPr="00A811B0">
        <w:rPr>
          <w:rFonts w:ascii="Times New Roman" w:hAnsi="Times New Roman" w:cs="Times New Roman"/>
          <w:bCs/>
          <w:color w:val="000000"/>
          <w:sz w:val="24"/>
          <w:szCs w:val="24"/>
          <w:lang w:bidi="en-US"/>
        </w:rPr>
        <w:t>.</w:t>
      </w:r>
      <w:r w:rsidR="0004451C" w:rsidRPr="00A811B0">
        <w:rPr>
          <w:rFonts w:ascii="Times New Roman" w:hAnsi="Times New Roman" w:cs="Times New Roman"/>
          <w:bCs/>
          <w:color w:val="000000"/>
          <w:sz w:val="24"/>
          <w:szCs w:val="24"/>
          <w:lang w:bidi="en-US"/>
        </w:rPr>
        <w:t xml:space="preserve"> Maximum days to 50 % heading (60.25 days) was undertaken by treatment T</w:t>
      </w:r>
      <w:r w:rsidR="0004451C" w:rsidRPr="00A811B0">
        <w:rPr>
          <w:rFonts w:ascii="Times New Roman" w:hAnsi="Times New Roman" w:cs="Times New Roman"/>
          <w:bCs/>
          <w:color w:val="000000"/>
          <w:sz w:val="24"/>
          <w:szCs w:val="24"/>
          <w:vertAlign w:val="subscript"/>
          <w:lang w:bidi="en-US"/>
        </w:rPr>
        <w:t>4</w:t>
      </w:r>
      <w:r w:rsidR="0004451C" w:rsidRPr="00A811B0">
        <w:rPr>
          <w:rFonts w:ascii="Times New Roman" w:hAnsi="Times New Roman" w:cs="Times New Roman"/>
          <w:bCs/>
          <w:color w:val="000000"/>
          <w:sz w:val="24"/>
          <w:szCs w:val="24"/>
          <w:lang w:bidi="en-US"/>
        </w:rPr>
        <w:t xml:space="preserve"> (60:30 kg NP ha</w:t>
      </w:r>
      <w:r w:rsidR="0004451C" w:rsidRPr="00A811B0">
        <w:rPr>
          <w:rFonts w:ascii="Times New Roman" w:hAnsi="Times New Roman" w:cs="Times New Roman"/>
          <w:bCs/>
          <w:color w:val="000000"/>
          <w:sz w:val="24"/>
          <w:szCs w:val="24"/>
          <w:vertAlign w:val="superscript"/>
          <w:lang w:bidi="en-US"/>
        </w:rPr>
        <w:t>-1</w:t>
      </w:r>
      <w:r w:rsidR="0004451C" w:rsidRPr="00A811B0">
        <w:rPr>
          <w:rFonts w:ascii="Times New Roman" w:hAnsi="Times New Roman" w:cs="Times New Roman"/>
          <w:bCs/>
          <w:color w:val="000000"/>
          <w:sz w:val="24"/>
          <w:szCs w:val="24"/>
          <w:lang w:bidi="en-US"/>
        </w:rPr>
        <w:t>), which was found 6.49 percent higher over control treatment. It was also found to be statistically at par with T</w:t>
      </w:r>
      <w:r w:rsidR="0004451C" w:rsidRPr="00A811B0">
        <w:rPr>
          <w:rFonts w:ascii="Times New Roman" w:hAnsi="Times New Roman" w:cs="Times New Roman"/>
          <w:bCs/>
          <w:color w:val="000000"/>
          <w:sz w:val="24"/>
          <w:szCs w:val="24"/>
          <w:vertAlign w:val="subscript"/>
          <w:lang w:bidi="en-US"/>
        </w:rPr>
        <w:t>3</w:t>
      </w:r>
      <w:r w:rsidR="0004451C" w:rsidRPr="00A811B0">
        <w:rPr>
          <w:rFonts w:ascii="Times New Roman" w:hAnsi="Times New Roman" w:cs="Times New Roman"/>
          <w:bCs/>
          <w:color w:val="000000"/>
          <w:sz w:val="24"/>
          <w:szCs w:val="24"/>
          <w:lang w:bidi="en-US"/>
        </w:rPr>
        <w:t xml:space="preserve"> (40:20 kg NP ha</w:t>
      </w:r>
      <w:r w:rsidR="0004451C" w:rsidRPr="00A811B0">
        <w:rPr>
          <w:rFonts w:ascii="Times New Roman" w:hAnsi="Times New Roman" w:cs="Times New Roman"/>
          <w:bCs/>
          <w:color w:val="000000"/>
          <w:sz w:val="24"/>
          <w:szCs w:val="24"/>
          <w:vertAlign w:val="superscript"/>
          <w:lang w:bidi="en-US"/>
        </w:rPr>
        <w:t>-1</w:t>
      </w:r>
      <w:r w:rsidR="0004451C" w:rsidRPr="00A811B0">
        <w:rPr>
          <w:rFonts w:ascii="Times New Roman" w:hAnsi="Times New Roman" w:cs="Times New Roman"/>
          <w:bCs/>
          <w:color w:val="000000"/>
          <w:sz w:val="24"/>
          <w:szCs w:val="24"/>
          <w:lang w:bidi="en-US"/>
        </w:rPr>
        <w:t>). The least days taken to 50 % heading (56.58 days) by treatment T</w:t>
      </w:r>
      <w:r w:rsidR="0004451C" w:rsidRPr="00A811B0">
        <w:rPr>
          <w:rFonts w:ascii="Times New Roman" w:hAnsi="Times New Roman" w:cs="Times New Roman"/>
          <w:bCs/>
          <w:color w:val="000000"/>
          <w:sz w:val="24"/>
          <w:szCs w:val="24"/>
          <w:vertAlign w:val="subscript"/>
          <w:lang w:bidi="en-US"/>
        </w:rPr>
        <w:t>1</w:t>
      </w:r>
      <w:r w:rsidR="0004451C" w:rsidRPr="00A811B0">
        <w:rPr>
          <w:rFonts w:ascii="Times New Roman" w:hAnsi="Times New Roman" w:cs="Times New Roman"/>
          <w:bCs/>
          <w:color w:val="000000"/>
          <w:sz w:val="24"/>
          <w:szCs w:val="24"/>
          <w:lang w:bidi="en-US"/>
        </w:rPr>
        <w:t xml:space="preserve"> (Control). Similarly, it was revealed that the days to maturity were also significantly affected by the levels of nitrogen and phosphorus fertilizers. The treatment with 60:30 kg NP ha</w:t>
      </w:r>
      <w:r w:rsidR="0004451C" w:rsidRPr="00A811B0">
        <w:rPr>
          <w:rFonts w:ascii="Times New Roman" w:hAnsi="Times New Roman" w:cs="Times New Roman"/>
          <w:bCs/>
          <w:color w:val="000000"/>
          <w:sz w:val="24"/>
          <w:szCs w:val="24"/>
          <w:vertAlign w:val="superscript"/>
          <w:lang w:bidi="en-US"/>
        </w:rPr>
        <w:t>-1</w:t>
      </w:r>
      <w:r w:rsidR="0004451C" w:rsidRPr="00A811B0">
        <w:rPr>
          <w:rFonts w:ascii="Times New Roman" w:hAnsi="Times New Roman" w:cs="Times New Roman"/>
          <w:bCs/>
          <w:color w:val="000000"/>
          <w:sz w:val="24"/>
          <w:szCs w:val="24"/>
          <w:lang w:bidi="en-US"/>
        </w:rPr>
        <w:t xml:space="preserve"> (T</w:t>
      </w:r>
      <w:r w:rsidR="0004451C" w:rsidRPr="00A811B0">
        <w:rPr>
          <w:rFonts w:ascii="Times New Roman" w:hAnsi="Times New Roman" w:cs="Times New Roman"/>
          <w:bCs/>
          <w:color w:val="000000"/>
          <w:sz w:val="24"/>
          <w:szCs w:val="24"/>
          <w:vertAlign w:val="subscript"/>
          <w:lang w:bidi="en-US"/>
        </w:rPr>
        <w:t>4</w:t>
      </w:r>
      <w:r w:rsidR="0004451C" w:rsidRPr="00A811B0">
        <w:rPr>
          <w:rFonts w:ascii="Times New Roman" w:hAnsi="Times New Roman" w:cs="Times New Roman"/>
          <w:bCs/>
          <w:color w:val="000000"/>
          <w:sz w:val="24"/>
          <w:szCs w:val="24"/>
          <w:lang w:bidi="en-US"/>
        </w:rPr>
        <w:t>) took the longest time to maturity (94.50 days) whereas treatment T</w:t>
      </w:r>
      <w:r w:rsidR="0004451C" w:rsidRPr="00A811B0">
        <w:rPr>
          <w:rFonts w:ascii="Times New Roman" w:hAnsi="Times New Roman" w:cs="Times New Roman"/>
          <w:bCs/>
          <w:color w:val="000000"/>
          <w:sz w:val="24"/>
          <w:szCs w:val="24"/>
          <w:vertAlign w:val="subscript"/>
          <w:lang w:bidi="en-US"/>
        </w:rPr>
        <w:t>1</w:t>
      </w:r>
      <w:r w:rsidR="0004451C" w:rsidRPr="00A811B0">
        <w:rPr>
          <w:rFonts w:ascii="Times New Roman" w:hAnsi="Times New Roman" w:cs="Times New Roman"/>
          <w:bCs/>
          <w:color w:val="000000"/>
          <w:sz w:val="24"/>
          <w:szCs w:val="24"/>
          <w:lang w:bidi="en-US"/>
        </w:rPr>
        <w:t xml:space="preserve"> (control) resulted in the shortest time to maturity (86.08 days).</w:t>
      </w:r>
    </w:p>
    <w:p w14:paraId="6A955F2B" w14:textId="4CE1140F" w:rsidR="000D586F" w:rsidRPr="00B939D3" w:rsidRDefault="0004451C" w:rsidP="00A94F31">
      <w:pPr>
        <w:spacing w:before="120" w:after="120"/>
        <w:ind w:firstLine="720"/>
        <w:rPr>
          <w:rFonts w:ascii="Times New Roman" w:hAnsi="Times New Roman" w:cs="Times New Roman"/>
          <w:bCs/>
          <w:color w:val="000000"/>
          <w:lang w:val="en-IN" w:bidi="en-US"/>
        </w:rPr>
      </w:pPr>
      <w:r w:rsidRPr="00A811B0">
        <w:rPr>
          <w:rFonts w:ascii="Times New Roman" w:hAnsi="Times New Roman" w:cs="Times New Roman"/>
          <w:bCs/>
          <w:color w:val="000000"/>
          <w:sz w:val="24"/>
          <w:szCs w:val="24"/>
          <w:lang w:bidi="en-US"/>
        </w:rPr>
        <w:t xml:space="preserve">The levels of nitrogen and phosphorus did not significantly affect the number of days to crop emergence. However, an increase in NP application resulted in a notable extension of the </w:t>
      </w:r>
      <w:r w:rsidRPr="00A811B0">
        <w:rPr>
          <w:rFonts w:ascii="Times New Roman" w:hAnsi="Times New Roman" w:cs="Times New Roman"/>
          <w:bCs/>
          <w:color w:val="000000"/>
          <w:sz w:val="24"/>
          <w:szCs w:val="24"/>
          <w:lang w:bidi="en-US"/>
        </w:rPr>
        <w:lastRenderedPageBreak/>
        <w:t>days to reach 50% heading and maturity. The longest durations were recorded with 60:30 kg NP ha⁻¹, which were statistically comparable to 40:20 kg NP ha</w:t>
      </w:r>
      <w:r w:rsidRPr="00A94F31">
        <w:rPr>
          <w:rFonts w:ascii="Times New Roman" w:hAnsi="Times New Roman" w:cs="Times New Roman"/>
          <w:bCs/>
          <w:color w:val="000000"/>
          <w:sz w:val="24"/>
          <w:szCs w:val="24"/>
          <w:lang w:bidi="en-US"/>
        </w:rPr>
        <w:t>⁻¹.</w:t>
      </w:r>
      <w:r w:rsidR="00C25841">
        <w:rPr>
          <w:rFonts w:ascii="Times New Roman" w:hAnsi="Times New Roman" w:cs="Times New Roman"/>
          <w:bCs/>
          <w:color w:val="000000"/>
          <w:sz w:val="24"/>
          <w:szCs w:val="24"/>
          <w:lang w:bidi="en-US"/>
        </w:rPr>
        <w:t xml:space="preserve"> </w:t>
      </w:r>
      <w:r w:rsidR="00A94F31" w:rsidRPr="00A94F31">
        <w:rPr>
          <w:rFonts w:ascii="Times New Roman" w:hAnsi="Times New Roman" w:cs="Times New Roman"/>
          <w:bCs/>
          <w:color w:val="000000"/>
          <w:sz w:val="24"/>
          <w:szCs w:val="24"/>
          <w:highlight w:val="yellow"/>
          <w:lang w:val="en-IN" w:bidi="en-US"/>
        </w:rPr>
        <w:t>The delay can be attributed to enhanced vegetative growth stimulated by greater nutrient availability, which in turn postpones the onset of reproductive development.</w:t>
      </w:r>
      <w:r w:rsidR="000443A0">
        <w:rPr>
          <w:rFonts w:ascii="Times New Roman" w:hAnsi="Times New Roman" w:cs="Times New Roman"/>
          <w:bCs/>
          <w:color w:val="000000"/>
          <w:sz w:val="24"/>
          <w:szCs w:val="24"/>
          <w:lang w:val="en-IN" w:bidi="en-US"/>
        </w:rPr>
        <w:t xml:space="preserve"> </w:t>
      </w:r>
      <w:r w:rsidRPr="00A94F31">
        <w:rPr>
          <w:rFonts w:ascii="Times New Roman" w:hAnsi="Times New Roman" w:cs="Times New Roman"/>
          <w:bCs/>
          <w:color w:val="000000"/>
          <w:sz w:val="24"/>
          <w:szCs w:val="24"/>
          <w:lang w:bidi="en-US"/>
        </w:rPr>
        <w:t xml:space="preserve">Nutrient-deficient conditions, similar to those observed in the control group, accelerated phenological stages as a result of restricted </w:t>
      </w:r>
      <w:r w:rsidRPr="00A811B0">
        <w:rPr>
          <w:rFonts w:ascii="Times New Roman" w:hAnsi="Times New Roman" w:cs="Times New Roman"/>
          <w:bCs/>
          <w:color w:val="000000"/>
          <w:sz w:val="24"/>
          <w:szCs w:val="24"/>
          <w:lang w:bidi="en-US"/>
        </w:rPr>
        <w:t xml:space="preserve">vegetative development. The results are consistent with </w:t>
      </w:r>
      <w:r w:rsidRPr="00B939D3">
        <w:rPr>
          <w:rFonts w:ascii="Times New Roman" w:hAnsi="Times New Roman" w:cs="Times New Roman"/>
          <w:bCs/>
          <w:color w:val="000000"/>
          <w:sz w:val="24"/>
          <w:szCs w:val="24"/>
          <w:lang w:bidi="en-US"/>
        </w:rPr>
        <w:t>the findings reported by Yadav and Yadav (2013), Triveni</w:t>
      </w:r>
      <w:r w:rsidR="00F67D17" w:rsidRPr="00B939D3">
        <w:rPr>
          <w:rFonts w:ascii="Times New Roman" w:hAnsi="Times New Roman" w:cs="Times New Roman"/>
          <w:bCs/>
          <w:color w:val="000000"/>
          <w:sz w:val="24"/>
          <w:szCs w:val="24"/>
          <w:lang w:bidi="en-US"/>
        </w:rPr>
        <w:t xml:space="preserve"> </w:t>
      </w:r>
      <w:r w:rsidRPr="00B939D3">
        <w:rPr>
          <w:rFonts w:ascii="Times New Roman" w:hAnsi="Times New Roman" w:cs="Times New Roman"/>
          <w:bCs/>
          <w:color w:val="000000"/>
          <w:sz w:val="24"/>
          <w:szCs w:val="24"/>
          <w:lang w:bidi="en-US"/>
        </w:rPr>
        <w:t>et al. (2018)</w:t>
      </w:r>
      <w:r w:rsidR="00B939D3">
        <w:rPr>
          <w:rFonts w:ascii="Times New Roman" w:hAnsi="Times New Roman" w:cs="Times New Roman"/>
          <w:bCs/>
          <w:color w:val="000000"/>
          <w:sz w:val="24"/>
          <w:szCs w:val="24"/>
          <w:lang w:bidi="en-US"/>
        </w:rPr>
        <w:t xml:space="preserve"> </w:t>
      </w:r>
      <w:r w:rsidRPr="00B939D3">
        <w:rPr>
          <w:rFonts w:ascii="Times New Roman" w:hAnsi="Times New Roman" w:cs="Times New Roman"/>
          <w:bCs/>
          <w:color w:val="000000"/>
          <w:sz w:val="24"/>
          <w:szCs w:val="24"/>
          <w:lang w:bidi="en-US"/>
        </w:rPr>
        <w:t>and Gautam</w:t>
      </w:r>
      <w:r w:rsidR="00F67D17" w:rsidRPr="00B939D3">
        <w:rPr>
          <w:rFonts w:ascii="Times New Roman" w:hAnsi="Times New Roman" w:cs="Times New Roman"/>
          <w:bCs/>
          <w:color w:val="000000"/>
          <w:sz w:val="24"/>
          <w:szCs w:val="24"/>
          <w:lang w:bidi="en-US"/>
        </w:rPr>
        <w:t xml:space="preserve"> </w:t>
      </w:r>
      <w:r w:rsidRPr="00B939D3">
        <w:rPr>
          <w:rFonts w:ascii="Times New Roman" w:hAnsi="Times New Roman" w:cs="Times New Roman"/>
          <w:bCs/>
          <w:color w:val="000000"/>
          <w:sz w:val="24"/>
          <w:szCs w:val="24"/>
          <w:lang w:bidi="en-US"/>
        </w:rPr>
        <w:t>et al. (2020).</w:t>
      </w:r>
    </w:p>
    <w:p w14:paraId="7F70E1A3" w14:textId="062DBB25" w:rsidR="0004451C" w:rsidRPr="00A811B0" w:rsidRDefault="0004451C" w:rsidP="00A811B0">
      <w:pPr>
        <w:spacing w:before="120" w:after="120"/>
        <w:jc w:val="center"/>
        <w:rPr>
          <w:rFonts w:ascii="Times New Roman" w:eastAsiaTheme="minorHAnsi" w:hAnsi="Times New Roman" w:cs="Times New Roman"/>
          <w:sz w:val="24"/>
          <w:szCs w:val="24"/>
          <w:lang w:val="en-IN"/>
        </w:rPr>
      </w:pPr>
      <w:r w:rsidRPr="00A811B0">
        <w:rPr>
          <w:rFonts w:ascii="Times New Roman" w:hAnsi="Times New Roman" w:cs="Times New Roman"/>
          <w:b/>
          <w:bCs/>
          <w:color w:val="000000"/>
          <w:sz w:val="24"/>
          <w:szCs w:val="24"/>
        </w:rPr>
        <w:t>CONCLUSION</w:t>
      </w:r>
      <w:r w:rsidR="00C323D3">
        <w:rPr>
          <w:rFonts w:ascii="Times New Roman" w:hAnsi="Times New Roman" w:cs="Times New Roman"/>
          <w:b/>
          <w:bCs/>
          <w:color w:val="000000"/>
          <w:sz w:val="24"/>
          <w:szCs w:val="24"/>
        </w:rPr>
        <w:t>S</w:t>
      </w:r>
    </w:p>
    <w:p w14:paraId="288D356F" w14:textId="0DF98FD2" w:rsidR="00C853AF" w:rsidRPr="00A811B0" w:rsidRDefault="0051305A" w:rsidP="00A811B0">
      <w:pPr>
        <w:spacing w:before="120" w:after="120"/>
        <w:ind w:firstLine="720"/>
        <w:rPr>
          <w:rFonts w:ascii="Times New Roman" w:hAnsi="Times New Roman" w:cs="Times New Roman"/>
          <w:bCs/>
          <w:color w:val="000000"/>
          <w:sz w:val="24"/>
          <w:szCs w:val="24"/>
          <w:lang w:bidi="en-US"/>
        </w:rPr>
      </w:pPr>
      <w:r>
        <w:rPr>
          <w:rFonts w:ascii="Times New Roman" w:hAnsi="Times New Roman" w:cs="Times New Roman"/>
          <w:bCs/>
          <w:color w:val="000000"/>
          <w:sz w:val="24"/>
          <w:szCs w:val="24"/>
          <w:lang w:bidi="en-US"/>
        </w:rPr>
        <w:t>This research depicted</w:t>
      </w:r>
      <w:r w:rsidR="00C853AF" w:rsidRPr="00A811B0">
        <w:rPr>
          <w:rFonts w:ascii="Times New Roman" w:hAnsi="Times New Roman" w:cs="Times New Roman"/>
          <w:bCs/>
          <w:color w:val="000000"/>
          <w:sz w:val="24"/>
          <w:szCs w:val="24"/>
          <w:lang w:bidi="en-US"/>
        </w:rPr>
        <w:t xml:space="preserve"> significant impacts of </w:t>
      </w:r>
      <w:r>
        <w:rPr>
          <w:rFonts w:ascii="Times New Roman" w:hAnsi="Times New Roman" w:cs="Times New Roman"/>
          <w:bCs/>
          <w:color w:val="000000"/>
          <w:sz w:val="24"/>
          <w:szCs w:val="24"/>
          <w:lang w:bidi="en-US"/>
        </w:rPr>
        <w:t>millet</w:t>
      </w:r>
      <w:r w:rsidR="00B01BFB">
        <w:rPr>
          <w:rFonts w:ascii="Times New Roman" w:hAnsi="Times New Roman" w:cs="Times New Roman"/>
          <w:bCs/>
          <w:color w:val="000000"/>
          <w:sz w:val="24"/>
          <w:szCs w:val="24"/>
          <w:lang w:bidi="en-US"/>
        </w:rPr>
        <w:t xml:space="preserve"> selection </w:t>
      </w:r>
      <w:r w:rsidR="00C853AF" w:rsidRPr="00A811B0">
        <w:rPr>
          <w:rFonts w:ascii="Times New Roman" w:hAnsi="Times New Roman" w:cs="Times New Roman"/>
          <w:bCs/>
          <w:color w:val="000000"/>
          <w:sz w:val="24"/>
          <w:szCs w:val="24"/>
          <w:lang w:bidi="en-US"/>
        </w:rPr>
        <w:t xml:space="preserve">and nutritional treatments on the growth </w:t>
      </w:r>
      <w:r w:rsidR="00B01BFB">
        <w:rPr>
          <w:rFonts w:ascii="Times New Roman" w:hAnsi="Times New Roman" w:cs="Times New Roman"/>
          <w:bCs/>
          <w:color w:val="000000"/>
          <w:sz w:val="24"/>
          <w:szCs w:val="24"/>
          <w:lang w:bidi="en-US"/>
        </w:rPr>
        <w:t>and</w:t>
      </w:r>
      <w:r w:rsidR="00C853AF" w:rsidRPr="00A811B0">
        <w:rPr>
          <w:rFonts w:ascii="Times New Roman" w:hAnsi="Times New Roman" w:cs="Times New Roman"/>
          <w:bCs/>
          <w:color w:val="000000"/>
          <w:sz w:val="24"/>
          <w:szCs w:val="24"/>
          <w:lang w:bidi="en-US"/>
        </w:rPr>
        <w:t xml:space="preserve"> phenology of minor millets. </w:t>
      </w:r>
      <w:r w:rsidR="00B01BFB">
        <w:rPr>
          <w:rFonts w:ascii="Times New Roman" w:hAnsi="Times New Roman" w:cs="Times New Roman"/>
          <w:bCs/>
          <w:color w:val="000000"/>
          <w:sz w:val="24"/>
          <w:szCs w:val="24"/>
          <w:lang w:bidi="en-US"/>
        </w:rPr>
        <w:t>Among millets</w:t>
      </w:r>
      <w:r w:rsidR="00C853AF" w:rsidRPr="00A811B0">
        <w:rPr>
          <w:rFonts w:ascii="Times New Roman" w:hAnsi="Times New Roman" w:cs="Times New Roman"/>
          <w:bCs/>
          <w:color w:val="000000"/>
          <w:sz w:val="24"/>
          <w:szCs w:val="24"/>
          <w:lang w:bidi="en-US"/>
        </w:rPr>
        <w:t>, foxtail millet (SIA 3156) showed improved performance in terms of plant height, dry matter accumulation, and tillering. On the other hand, barnyard millet (V</w:t>
      </w:r>
      <w:r w:rsidR="00317FBA">
        <w:rPr>
          <w:rFonts w:ascii="Times New Roman" w:hAnsi="Times New Roman" w:cs="Times New Roman"/>
          <w:bCs/>
          <w:color w:val="000000"/>
          <w:sz w:val="24"/>
          <w:szCs w:val="24"/>
          <w:lang w:bidi="en-US"/>
        </w:rPr>
        <w:t>L</w:t>
      </w:r>
      <w:r w:rsidR="00C853AF" w:rsidRPr="00A811B0">
        <w:rPr>
          <w:rFonts w:ascii="Times New Roman" w:hAnsi="Times New Roman" w:cs="Times New Roman"/>
          <w:bCs/>
          <w:color w:val="000000"/>
          <w:sz w:val="24"/>
          <w:szCs w:val="24"/>
          <w:lang w:bidi="en-US"/>
        </w:rPr>
        <w:t xml:space="preserve"> 207) had maximum dry matter accumulation at maturity. By comparison, finger millet (GPU 67) had sub</w:t>
      </w:r>
      <w:r w:rsidR="00F67D17">
        <w:rPr>
          <w:rFonts w:ascii="Times New Roman" w:hAnsi="Times New Roman" w:cs="Times New Roman"/>
          <w:bCs/>
          <w:color w:val="000000"/>
          <w:sz w:val="24"/>
          <w:szCs w:val="24"/>
          <w:lang w:bidi="en-US"/>
        </w:rPr>
        <w:t xml:space="preserve"> </w:t>
      </w:r>
      <w:r w:rsidR="00C853AF" w:rsidRPr="00A811B0">
        <w:rPr>
          <w:rFonts w:ascii="Times New Roman" w:hAnsi="Times New Roman" w:cs="Times New Roman"/>
          <w:bCs/>
          <w:color w:val="000000"/>
          <w:sz w:val="24"/>
          <w:szCs w:val="24"/>
          <w:lang w:bidi="en-US"/>
        </w:rPr>
        <w:t xml:space="preserve">optimal vegetative growth, delayed phenological development, and lower tillering, indicating its relatively lower adaptability to the given </w:t>
      </w:r>
      <w:proofErr w:type="spellStart"/>
      <w:r w:rsidR="00C853AF" w:rsidRPr="00A811B0">
        <w:rPr>
          <w:rFonts w:ascii="Times New Roman" w:hAnsi="Times New Roman" w:cs="Times New Roman"/>
          <w:bCs/>
          <w:color w:val="000000"/>
          <w:sz w:val="24"/>
          <w:szCs w:val="24"/>
          <w:lang w:bidi="en-US"/>
        </w:rPr>
        <w:t>agro</w:t>
      </w:r>
      <w:proofErr w:type="spellEnd"/>
      <w:r w:rsidR="00C853AF" w:rsidRPr="00A811B0">
        <w:rPr>
          <w:rFonts w:ascii="Times New Roman" w:hAnsi="Times New Roman" w:cs="Times New Roman"/>
          <w:bCs/>
          <w:color w:val="000000"/>
          <w:sz w:val="24"/>
          <w:szCs w:val="24"/>
          <w:lang w:bidi="en-US"/>
        </w:rPr>
        <w:t>-climatic and nutritional conditions.</w:t>
      </w:r>
      <w:r w:rsidR="00B01BFB">
        <w:rPr>
          <w:rFonts w:ascii="Times New Roman" w:hAnsi="Times New Roman" w:cs="Times New Roman"/>
          <w:bCs/>
          <w:color w:val="000000"/>
          <w:sz w:val="24"/>
          <w:szCs w:val="24"/>
          <w:lang w:bidi="en-US"/>
        </w:rPr>
        <w:t xml:space="preserve"> </w:t>
      </w:r>
      <w:r w:rsidR="00C853AF" w:rsidRPr="00A811B0">
        <w:rPr>
          <w:rFonts w:ascii="Times New Roman" w:hAnsi="Times New Roman" w:cs="Times New Roman"/>
          <w:bCs/>
          <w:color w:val="000000"/>
          <w:sz w:val="24"/>
          <w:szCs w:val="24"/>
          <w:lang w:bidi="en-US"/>
        </w:rPr>
        <w:t>The use of fertility treatments also impacted both phenological and morphological parameters immensely. The use of 60:30 kg N:P ha⁻¹ (T₄) caused significant increases in plant height, dry matter producti</w:t>
      </w:r>
      <w:r w:rsidR="00B01BFB">
        <w:rPr>
          <w:rFonts w:ascii="Times New Roman" w:hAnsi="Times New Roman" w:cs="Times New Roman"/>
          <w:bCs/>
          <w:color w:val="000000"/>
          <w:sz w:val="24"/>
          <w:szCs w:val="24"/>
          <w:lang w:bidi="en-US"/>
        </w:rPr>
        <w:t xml:space="preserve">on, and the number of tillers highlighting </w:t>
      </w:r>
      <w:r w:rsidR="00C853AF" w:rsidRPr="00A811B0">
        <w:rPr>
          <w:rFonts w:ascii="Times New Roman" w:hAnsi="Times New Roman" w:cs="Times New Roman"/>
          <w:bCs/>
          <w:color w:val="000000"/>
          <w:sz w:val="24"/>
          <w:szCs w:val="24"/>
          <w:lang w:bidi="en-US"/>
        </w:rPr>
        <w:t xml:space="preserve">the crucial role of nitrogen and phosphorus in maximizing vegetative development </w:t>
      </w:r>
      <w:r w:rsidR="00B01BFB">
        <w:rPr>
          <w:rFonts w:ascii="Times New Roman" w:hAnsi="Times New Roman" w:cs="Times New Roman"/>
          <w:bCs/>
          <w:color w:val="000000"/>
          <w:sz w:val="24"/>
          <w:szCs w:val="24"/>
          <w:lang w:bidi="en-US"/>
        </w:rPr>
        <w:t>of millets</w:t>
      </w:r>
      <w:r w:rsidR="00C853AF" w:rsidRPr="00A811B0">
        <w:rPr>
          <w:rFonts w:ascii="Times New Roman" w:hAnsi="Times New Roman" w:cs="Times New Roman"/>
          <w:bCs/>
          <w:color w:val="000000"/>
          <w:sz w:val="24"/>
          <w:szCs w:val="24"/>
          <w:lang w:bidi="en-US"/>
        </w:rPr>
        <w:t>. Phenological observation revealed that higher NP levels delayed the time to 50% heading and maturity, which is due to increased vegetative growth caused by enhanced nutrient supply.</w:t>
      </w:r>
    </w:p>
    <w:p w14:paraId="505CAA6D" w14:textId="26B5D5B8" w:rsidR="004203CD" w:rsidRDefault="004203CD" w:rsidP="00A811B0">
      <w:pPr>
        <w:spacing w:before="120" w:after="120"/>
        <w:ind w:firstLine="720"/>
        <w:rPr>
          <w:rFonts w:ascii="Times New Roman" w:hAnsi="Times New Roman" w:cs="Times New Roman"/>
          <w:bCs/>
          <w:color w:val="000000"/>
          <w:sz w:val="24"/>
          <w:szCs w:val="24"/>
          <w:lang w:bidi="en-US"/>
        </w:rPr>
      </w:pPr>
      <w:r w:rsidRPr="004203CD">
        <w:rPr>
          <w:rFonts w:ascii="Times New Roman" w:hAnsi="Times New Roman" w:cs="Times New Roman"/>
          <w:bCs/>
          <w:color w:val="000000"/>
          <w:sz w:val="24"/>
          <w:szCs w:val="24"/>
          <w:highlight w:val="yellow"/>
          <w:lang w:bidi="en-US"/>
        </w:rPr>
        <w:t>The present study concludes that the application of 60:30 kg N:P ha⁻¹ significantly improved growth and biomass yield of minor millets, enhancing overall productivity. The results highlight their resilience and nutrient</w:t>
      </w:r>
      <w:r w:rsidR="005D3867">
        <w:rPr>
          <w:rFonts w:ascii="Times New Roman" w:hAnsi="Times New Roman" w:cs="Times New Roman"/>
          <w:bCs/>
          <w:color w:val="000000"/>
          <w:sz w:val="24"/>
          <w:szCs w:val="24"/>
          <w:highlight w:val="yellow"/>
          <w:lang w:bidi="en-US"/>
        </w:rPr>
        <w:t xml:space="preserve"> </w:t>
      </w:r>
      <w:r w:rsidRPr="004203CD">
        <w:rPr>
          <w:rFonts w:ascii="Times New Roman" w:hAnsi="Times New Roman" w:cs="Times New Roman"/>
          <w:bCs/>
          <w:color w:val="000000"/>
          <w:sz w:val="24"/>
          <w:szCs w:val="24"/>
          <w:highlight w:val="yellow"/>
          <w:lang w:bidi="en-US"/>
        </w:rPr>
        <w:t>use efficiency, emphasizing the importance of balanced fertilization for sustainable production under resource</w:t>
      </w:r>
      <w:r w:rsidR="00D15FB3">
        <w:rPr>
          <w:rFonts w:ascii="Times New Roman" w:hAnsi="Times New Roman" w:cs="Times New Roman"/>
          <w:bCs/>
          <w:color w:val="000000"/>
          <w:sz w:val="24"/>
          <w:szCs w:val="24"/>
          <w:highlight w:val="yellow"/>
          <w:lang w:bidi="en-US"/>
        </w:rPr>
        <w:t xml:space="preserve"> l</w:t>
      </w:r>
      <w:r w:rsidRPr="004203CD">
        <w:rPr>
          <w:rFonts w:ascii="Times New Roman" w:hAnsi="Times New Roman" w:cs="Times New Roman"/>
          <w:bCs/>
          <w:color w:val="000000"/>
          <w:sz w:val="24"/>
          <w:szCs w:val="24"/>
          <w:highlight w:val="yellow"/>
          <w:lang w:bidi="en-US"/>
        </w:rPr>
        <w:t>imited conditions.</w:t>
      </w:r>
    </w:p>
    <w:p w14:paraId="58E0393E" w14:textId="77777777" w:rsidR="006613CA" w:rsidRDefault="006613CA" w:rsidP="000313A4">
      <w:pPr>
        <w:spacing w:after="200" w:line="276" w:lineRule="auto"/>
        <w:jc w:val="left"/>
        <w:rPr>
          <w:rFonts w:ascii="Times New Roman" w:eastAsiaTheme="minorHAnsi" w:hAnsi="Times New Roman" w:cs="Times New Roman"/>
          <w:b/>
          <w:bCs/>
          <w:color w:val="000000" w:themeColor="text1"/>
          <w:sz w:val="23"/>
          <w:szCs w:val="23"/>
          <w:lang w:val="en-IN"/>
        </w:rPr>
      </w:pPr>
    </w:p>
    <w:p w14:paraId="2527839D" w14:textId="77777777" w:rsidR="00AD1E7D" w:rsidRDefault="00AD1E7D" w:rsidP="000313A4">
      <w:pPr>
        <w:spacing w:after="200" w:line="276" w:lineRule="auto"/>
        <w:jc w:val="left"/>
        <w:rPr>
          <w:rFonts w:ascii="Arial" w:eastAsia="Times New Roman" w:hAnsi="Arial" w:cs="Arial"/>
          <w:b/>
          <w:bCs/>
          <w:lang w:val="en-GB" w:eastAsia="en-GB"/>
        </w:rPr>
      </w:pPr>
    </w:p>
    <w:p w14:paraId="2E95D616" w14:textId="274BE1F0" w:rsidR="000313A4" w:rsidRPr="007849F2" w:rsidRDefault="000313A4" w:rsidP="000313A4">
      <w:pPr>
        <w:spacing w:after="200" w:line="276" w:lineRule="auto"/>
        <w:jc w:val="left"/>
        <w:rPr>
          <w:rFonts w:ascii="Times New Roman" w:eastAsia="Times New Roman" w:hAnsi="Times New Roman" w:cs="Times New Roman"/>
          <w:b/>
          <w:bCs/>
          <w:lang w:val="en-GB" w:eastAsia="en-GB"/>
        </w:rPr>
      </w:pPr>
      <w:r w:rsidRPr="007849F2">
        <w:rPr>
          <w:rFonts w:ascii="Times New Roman" w:eastAsia="Times New Roman" w:hAnsi="Times New Roman" w:cs="Times New Roman"/>
          <w:b/>
          <w:bCs/>
          <w:lang w:val="en-GB" w:eastAsia="en-GB"/>
        </w:rPr>
        <w:t>COMPETING INTERESTS DISCLAIMER:</w:t>
      </w:r>
    </w:p>
    <w:p w14:paraId="4542E6FA" w14:textId="77777777" w:rsidR="000313A4" w:rsidRPr="007849F2" w:rsidRDefault="000313A4" w:rsidP="000313A4">
      <w:pPr>
        <w:spacing w:after="200" w:line="276" w:lineRule="auto"/>
        <w:jc w:val="left"/>
        <w:rPr>
          <w:rFonts w:ascii="Times New Roman" w:eastAsia="Times New Roman" w:hAnsi="Times New Roman" w:cs="Times New Roman"/>
          <w:lang w:val="en-GB" w:eastAsia="en-GB"/>
        </w:rPr>
      </w:pPr>
      <w:r w:rsidRPr="007849F2">
        <w:rPr>
          <w:rFonts w:ascii="Times New Roman" w:eastAsia="Times New Roman" w:hAnsi="Times New Roman" w:cs="Times New Roman"/>
          <w:lang w:val="en-GB" w:eastAsia="en-GB"/>
        </w:rPr>
        <w:t>Authors have declared that they have no known competing financial interests OR non-financial interests OR personal relationships that could have appeared to influence the work reported in this paper.</w:t>
      </w:r>
    </w:p>
    <w:p w14:paraId="7F4D7ED6" w14:textId="77777777" w:rsidR="00466A78" w:rsidRPr="007849F2" w:rsidRDefault="00466A78" w:rsidP="00466A78">
      <w:pPr>
        <w:keepNext/>
        <w:keepLines/>
        <w:spacing w:before="120" w:after="120"/>
        <w:outlineLvl w:val="1"/>
        <w:rPr>
          <w:rFonts w:ascii="Times New Roman" w:eastAsia="Times New Roman" w:hAnsi="Times New Roman" w:cs="Times New Roman"/>
          <w:bCs/>
          <w:highlight w:val="yellow"/>
          <w:lang w:val="en-GB" w:eastAsia="en-IN"/>
        </w:rPr>
      </w:pPr>
      <w:bookmarkStart w:id="1" w:name="_Hlk218867759"/>
      <w:r w:rsidRPr="007849F2">
        <w:rPr>
          <w:rFonts w:ascii="Times New Roman" w:eastAsia="Times New Roman" w:hAnsi="Times New Roman" w:cs="Times New Roman"/>
          <w:bCs/>
          <w:highlight w:val="yellow"/>
          <w:lang w:val="en-GB" w:eastAsia="en-IN"/>
        </w:rPr>
        <w:lastRenderedPageBreak/>
        <w:t>Disclaimer (Artificial intelligence)</w:t>
      </w:r>
    </w:p>
    <w:p w14:paraId="5B07CC7B" w14:textId="77777777" w:rsidR="00466A78" w:rsidRPr="007849F2" w:rsidRDefault="00466A78" w:rsidP="00466A78">
      <w:pPr>
        <w:keepNext/>
        <w:keepLines/>
        <w:spacing w:before="120" w:after="120"/>
        <w:outlineLvl w:val="1"/>
        <w:rPr>
          <w:rFonts w:ascii="Times New Roman" w:eastAsia="Times New Roman" w:hAnsi="Times New Roman" w:cs="Times New Roman"/>
          <w:bCs/>
          <w:lang w:val="en-GB" w:eastAsia="en-IN"/>
        </w:rPr>
      </w:pPr>
      <w:r w:rsidRPr="007849F2">
        <w:rPr>
          <w:rFonts w:ascii="Times New Roman" w:eastAsia="Times New Roman" w:hAnsi="Times New Roman" w:cs="Times New Roman"/>
          <w:bCs/>
          <w:highlight w:val="yellow"/>
          <w:lang w:val="en-GB" w:eastAsia="en-IN"/>
        </w:rPr>
        <w:t>Author(s) hereby declare that NO generative AI technologies such as Large Language Models (ChatGPT, COPILOT, etc.) and text-to-image generators have been used during the writing or editing of this manuscript.</w:t>
      </w:r>
      <w:r w:rsidRPr="007849F2">
        <w:rPr>
          <w:rFonts w:ascii="Times New Roman" w:eastAsia="Times New Roman" w:hAnsi="Times New Roman" w:cs="Times New Roman"/>
          <w:bCs/>
          <w:lang w:val="en-GB" w:eastAsia="en-IN"/>
        </w:rPr>
        <w:t xml:space="preserve"> </w:t>
      </w:r>
    </w:p>
    <w:bookmarkEnd w:id="1"/>
    <w:p w14:paraId="32E9C7EB" w14:textId="77777777" w:rsidR="00C853AF" w:rsidRDefault="00C853AF" w:rsidP="00A811B0">
      <w:pPr>
        <w:spacing w:before="120" w:after="120"/>
        <w:jc w:val="center"/>
        <w:rPr>
          <w:rFonts w:ascii="Times New Roman" w:eastAsiaTheme="minorHAnsi" w:hAnsi="Times New Roman" w:cs="Times New Roman"/>
          <w:b/>
          <w:bCs/>
          <w:color w:val="000000" w:themeColor="text1"/>
          <w:sz w:val="23"/>
          <w:szCs w:val="23"/>
          <w:lang w:val="en-IN"/>
        </w:rPr>
      </w:pPr>
      <w:r w:rsidRPr="00074048">
        <w:rPr>
          <w:rFonts w:ascii="Times New Roman" w:eastAsiaTheme="minorHAnsi" w:hAnsi="Times New Roman" w:cs="Times New Roman"/>
          <w:b/>
          <w:bCs/>
          <w:color w:val="000000" w:themeColor="text1"/>
          <w:sz w:val="23"/>
          <w:szCs w:val="23"/>
          <w:lang w:val="en-IN"/>
        </w:rPr>
        <w:t>REFERENCES</w:t>
      </w:r>
    </w:p>
    <w:p w14:paraId="4DA7631A" w14:textId="3ABAB4A6" w:rsidR="00A811B0" w:rsidRPr="00947E9A" w:rsidRDefault="00A811B0" w:rsidP="00947E9A">
      <w:pPr>
        <w:pStyle w:val="ListParagraph"/>
        <w:numPr>
          <w:ilvl w:val="0"/>
          <w:numId w:val="2"/>
        </w:numPr>
        <w:spacing w:before="120" w:after="120"/>
        <w:rPr>
          <w:rFonts w:ascii="Times New Roman" w:hAnsi="Times New Roman" w:cs="Times New Roman"/>
          <w:sz w:val="24"/>
          <w:szCs w:val="24"/>
        </w:rPr>
      </w:pPr>
      <w:r w:rsidRPr="00947E9A">
        <w:rPr>
          <w:rFonts w:ascii="Times New Roman" w:hAnsi="Times New Roman" w:cs="Times New Roman"/>
          <w:sz w:val="24"/>
          <w:szCs w:val="24"/>
        </w:rPr>
        <w:t xml:space="preserve">Ali, S., Riaz, K.A., Mairaj, G.M., Arif, M. </w:t>
      </w:r>
      <w:r w:rsidR="00492F9D" w:rsidRPr="00947E9A">
        <w:rPr>
          <w:rFonts w:ascii="Times New Roman" w:hAnsi="Times New Roman" w:cs="Times New Roman"/>
          <w:sz w:val="24"/>
          <w:szCs w:val="24"/>
        </w:rPr>
        <w:t>&amp;</w:t>
      </w:r>
      <w:r w:rsidRPr="00947E9A">
        <w:rPr>
          <w:rFonts w:ascii="Times New Roman" w:hAnsi="Times New Roman" w:cs="Times New Roman"/>
          <w:sz w:val="24"/>
          <w:szCs w:val="24"/>
        </w:rPr>
        <w:t xml:space="preserve"> Fida, S. (2008). Assessment of different crop nutrient management treatments for yield improvement. </w:t>
      </w:r>
      <w:r w:rsidRPr="00947E9A">
        <w:rPr>
          <w:rFonts w:ascii="Times New Roman" w:hAnsi="Times New Roman" w:cs="Times New Roman"/>
          <w:i/>
          <w:sz w:val="24"/>
          <w:szCs w:val="24"/>
        </w:rPr>
        <w:t>Australian Journal of Crop Science</w:t>
      </w:r>
      <w:r w:rsidRPr="00947E9A">
        <w:rPr>
          <w:rFonts w:ascii="Times New Roman" w:hAnsi="Times New Roman" w:cs="Times New Roman"/>
          <w:sz w:val="24"/>
          <w:szCs w:val="24"/>
        </w:rPr>
        <w:t xml:space="preserve">, </w:t>
      </w:r>
      <w:r w:rsidRPr="00947E9A">
        <w:rPr>
          <w:rFonts w:ascii="Times New Roman" w:hAnsi="Times New Roman" w:cs="Times New Roman"/>
          <w:bCs/>
          <w:sz w:val="24"/>
          <w:szCs w:val="24"/>
        </w:rPr>
        <w:t>2</w:t>
      </w:r>
      <w:r w:rsidRPr="00947E9A">
        <w:rPr>
          <w:rFonts w:ascii="Times New Roman" w:hAnsi="Times New Roman" w:cs="Times New Roman"/>
          <w:sz w:val="24"/>
          <w:szCs w:val="24"/>
        </w:rPr>
        <w:t>(3)</w:t>
      </w:r>
      <w:r w:rsidR="00492F9D" w:rsidRPr="00947E9A">
        <w:rPr>
          <w:rFonts w:ascii="Times New Roman" w:hAnsi="Times New Roman" w:cs="Times New Roman"/>
          <w:sz w:val="24"/>
          <w:szCs w:val="24"/>
        </w:rPr>
        <w:t>,</w:t>
      </w:r>
      <w:r w:rsidRPr="00947E9A">
        <w:rPr>
          <w:rFonts w:ascii="Times New Roman" w:hAnsi="Times New Roman" w:cs="Times New Roman"/>
          <w:sz w:val="24"/>
          <w:szCs w:val="24"/>
        </w:rPr>
        <w:t xml:space="preserve"> 150-157.</w:t>
      </w:r>
    </w:p>
    <w:p w14:paraId="2991C965" w14:textId="77777777" w:rsidR="00A811B0" w:rsidRPr="00947E9A" w:rsidRDefault="00A811B0" w:rsidP="00947E9A">
      <w:pPr>
        <w:pStyle w:val="ListParagraph"/>
        <w:numPr>
          <w:ilvl w:val="0"/>
          <w:numId w:val="2"/>
        </w:numPr>
        <w:spacing w:before="120" w:after="120"/>
        <w:rPr>
          <w:rFonts w:ascii="Times New Roman" w:hAnsi="Times New Roman" w:cs="Times New Roman"/>
          <w:sz w:val="24"/>
          <w:szCs w:val="24"/>
        </w:rPr>
      </w:pPr>
      <w:r w:rsidRPr="00947E9A">
        <w:rPr>
          <w:rFonts w:ascii="Times New Roman" w:hAnsi="Times New Roman" w:cs="Times New Roman"/>
          <w:sz w:val="24"/>
          <w:szCs w:val="24"/>
        </w:rPr>
        <w:t>APEDA, (2024). State wise millet production. Agricultural and processed food products export development authority. Available online: https://apeda.gov.in/milletportal/Production.html.</w:t>
      </w:r>
    </w:p>
    <w:p w14:paraId="58E7DF36" w14:textId="46538258" w:rsidR="00A811B0" w:rsidRPr="00947E9A" w:rsidRDefault="00A811B0" w:rsidP="00947E9A">
      <w:pPr>
        <w:pStyle w:val="ListParagraph"/>
        <w:numPr>
          <w:ilvl w:val="0"/>
          <w:numId w:val="2"/>
        </w:numPr>
        <w:spacing w:before="120" w:after="120"/>
        <w:rPr>
          <w:rFonts w:ascii="Times New Roman" w:hAnsi="Times New Roman" w:cs="Times New Roman"/>
          <w:sz w:val="24"/>
          <w:szCs w:val="24"/>
        </w:rPr>
      </w:pPr>
      <w:proofErr w:type="spellStart"/>
      <w:r w:rsidRPr="00947E9A">
        <w:rPr>
          <w:rFonts w:ascii="Times New Roman" w:hAnsi="Times New Roman" w:cs="Times New Roman"/>
          <w:sz w:val="24"/>
          <w:szCs w:val="24"/>
        </w:rPr>
        <w:t>Bhomte</w:t>
      </w:r>
      <w:proofErr w:type="spellEnd"/>
      <w:r w:rsidRPr="00947E9A">
        <w:rPr>
          <w:rFonts w:ascii="Times New Roman" w:hAnsi="Times New Roman" w:cs="Times New Roman"/>
          <w:sz w:val="24"/>
          <w:szCs w:val="24"/>
        </w:rPr>
        <w:t xml:space="preserve">, M.V., </w:t>
      </w:r>
      <w:proofErr w:type="spellStart"/>
      <w:r w:rsidRPr="00947E9A">
        <w:rPr>
          <w:rFonts w:ascii="Times New Roman" w:hAnsi="Times New Roman" w:cs="Times New Roman"/>
          <w:sz w:val="24"/>
          <w:szCs w:val="24"/>
        </w:rPr>
        <w:t>Apotikar</w:t>
      </w:r>
      <w:proofErr w:type="spellEnd"/>
      <w:r w:rsidRPr="00947E9A">
        <w:rPr>
          <w:rFonts w:ascii="Times New Roman" w:hAnsi="Times New Roman" w:cs="Times New Roman"/>
          <w:sz w:val="24"/>
          <w:szCs w:val="24"/>
        </w:rPr>
        <w:t xml:space="preserve">, V.A. </w:t>
      </w:r>
      <w:r w:rsidR="00492F9D" w:rsidRPr="00947E9A">
        <w:rPr>
          <w:rFonts w:ascii="Times New Roman" w:hAnsi="Times New Roman" w:cs="Times New Roman"/>
          <w:sz w:val="24"/>
          <w:szCs w:val="24"/>
        </w:rPr>
        <w:t>&amp;</w:t>
      </w:r>
      <w:r w:rsidRPr="00947E9A">
        <w:rPr>
          <w:rFonts w:ascii="Times New Roman" w:hAnsi="Times New Roman" w:cs="Times New Roman"/>
          <w:sz w:val="24"/>
          <w:szCs w:val="24"/>
        </w:rPr>
        <w:t xml:space="preserve"> </w:t>
      </w:r>
      <w:proofErr w:type="spellStart"/>
      <w:r w:rsidRPr="00947E9A">
        <w:rPr>
          <w:rFonts w:ascii="Times New Roman" w:hAnsi="Times New Roman" w:cs="Times New Roman"/>
          <w:sz w:val="24"/>
          <w:szCs w:val="24"/>
        </w:rPr>
        <w:t>Pacbpole</w:t>
      </w:r>
      <w:proofErr w:type="spellEnd"/>
      <w:r w:rsidRPr="00947E9A">
        <w:rPr>
          <w:rFonts w:ascii="Times New Roman" w:hAnsi="Times New Roman" w:cs="Times New Roman"/>
          <w:sz w:val="24"/>
          <w:szCs w:val="24"/>
        </w:rPr>
        <w:t xml:space="preserve">, D.S. (2016). Effect of different fertilizer levels on growth and yield of little millet genotypes. </w:t>
      </w:r>
      <w:r w:rsidRPr="00947E9A">
        <w:rPr>
          <w:rFonts w:ascii="Times New Roman" w:hAnsi="Times New Roman" w:cs="Times New Roman"/>
          <w:i/>
          <w:sz w:val="24"/>
          <w:szCs w:val="24"/>
        </w:rPr>
        <w:t xml:space="preserve">Contemporary Research </w:t>
      </w:r>
      <w:proofErr w:type="gramStart"/>
      <w:r w:rsidRPr="00947E9A">
        <w:rPr>
          <w:rFonts w:ascii="Times New Roman" w:hAnsi="Times New Roman" w:cs="Times New Roman"/>
          <w:i/>
          <w:sz w:val="24"/>
          <w:szCs w:val="24"/>
        </w:rPr>
        <w:t>In</w:t>
      </w:r>
      <w:proofErr w:type="gramEnd"/>
      <w:r w:rsidRPr="00947E9A">
        <w:rPr>
          <w:rFonts w:ascii="Times New Roman" w:hAnsi="Times New Roman" w:cs="Times New Roman"/>
          <w:i/>
          <w:sz w:val="24"/>
          <w:szCs w:val="24"/>
        </w:rPr>
        <w:t xml:space="preserve"> India</w:t>
      </w:r>
      <w:r w:rsidRPr="00947E9A">
        <w:rPr>
          <w:rFonts w:ascii="Times New Roman" w:hAnsi="Times New Roman" w:cs="Times New Roman"/>
          <w:sz w:val="24"/>
          <w:szCs w:val="24"/>
        </w:rPr>
        <w:t xml:space="preserve">, </w:t>
      </w:r>
      <w:r w:rsidRPr="00947E9A">
        <w:rPr>
          <w:rFonts w:ascii="Times New Roman" w:hAnsi="Times New Roman" w:cs="Times New Roman"/>
          <w:bCs/>
          <w:sz w:val="24"/>
          <w:szCs w:val="24"/>
        </w:rPr>
        <w:t>6</w:t>
      </w:r>
      <w:r w:rsidRPr="00947E9A">
        <w:rPr>
          <w:rFonts w:ascii="Times New Roman" w:hAnsi="Times New Roman" w:cs="Times New Roman"/>
          <w:sz w:val="24"/>
          <w:szCs w:val="24"/>
        </w:rPr>
        <w:t>(3)</w:t>
      </w:r>
      <w:r w:rsidR="00492F9D" w:rsidRPr="00947E9A">
        <w:rPr>
          <w:rFonts w:ascii="Times New Roman" w:hAnsi="Times New Roman" w:cs="Times New Roman"/>
          <w:sz w:val="24"/>
          <w:szCs w:val="24"/>
        </w:rPr>
        <w:t xml:space="preserve">, </w:t>
      </w:r>
      <w:r w:rsidRPr="00947E9A">
        <w:rPr>
          <w:rFonts w:ascii="Times New Roman" w:hAnsi="Times New Roman" w:cs="Times New Roman"/>
          <w:sz w:val="24"/>
          <w:szCs w:val="24"/>
        </w:rPr>
        <w:t>2331-2137.</w:t>
      </w:r>
    </w:p>
    <w:p w14:paraId="526B0B4F" w14:textId="77777777" w:rsidR="00A811B0" w:rsidRPr="00947E9A" w:rsidRDefault="00A811B0" w:rsidP="00947E9A">
      <w:pPr>
        <w:pStyle w:val="ListParagraph"/>
        <w:numPr>
          <w:ilvl w:val="0"/>
          <w:numId w:val="2"/>
        </w:numPr>
        <w:spacing w:before="120" w:after="120"/>
        <w:rPr>
          <w:rFonts w:ascii="Times New Roman" w:hAnsi="Times New Roman" w:cs="Times New Roman"/>
          <w:sz w:val="24"/>
          <w:szCs w:val="24"/>
        </w:rPr>
      </w:pPr>
      <w:r w:rsidRPr="00947E9A">
        <w:rPr>
          <w:rFonts w:ascii="Times New Roman" w:hAnsi="Times New Roman" w:cs="Times New Roman"/>
          <w:sz w:val="24"/>
          <w:szCs w:val="24"/>
        </w:rPr>
        <w:t xml:space="preserve">CGIAR Annual progress report (2005). CGIAR Research program on dryland cereals. Performance monitoring report for calendar year. Available online: </w:t>
      </w:r>
      <w:hyperlink r:id="rId7">
        <w:r w:rsidRPr="00947E9A">
          <w:rPr>
            <w:rStyle w:val="Hyperlink"/>
            <w:rFonts w:ascii="Times New Roman" w:hAnsi="Times New Roman" w:cs="Times New Roman"/>
            <w:sz w:val="24"/>
            <w:szCs w:val="24"/>
          </w:rPr>
          <w:t>http://www.cgiar.org/resources/crp-</w:t>
        </w:r>
      </w:hyperlink>
      <w:r w:rsidRPr="00947E9A">
        <w:rPr>
          <w:rFonts w:ascii="Times New Roman" w:hAnsi="Times New Roman" w:cs="Times New Roman"/>
          <w:sz w:val="24"/>
          <w:szCs w:val="24"/>
        </w:rPr>
        <w:t xml:space="preserve"> documents/.</w:t>
      </w:r>
    </w:p>
    <w:p w14:paraId="6F9DB6BB" w14:textId="58946B3E" w:rsidR="00A811B0" w:rsidRPr="00947E9A" w:rsidRDefault="00A811B0" w:rsidP="00947E9A">
      <w:pPr>
        <w:pStyle w:val="ListParagraph"/>
        <w:numPr>
          <w:ilvl w:val="0"/>
          <w:numId w:val="2"/>
        </w:numPr>
        <w:spacing w:before="120" w:after="120"/>
        <w:rPr>
          <w:rFonts w:ascii="Times New Roman" w:hAnsi="Times New Roman" w:cs="Times New Roman"/>
          <w:sz w:val="24"/>
          <w:szCs w:val="24"/>
        </w:rPr>
      </w:pPr>
      <w:proofErr w:type="spellStart"/>
      <w:r w:rsidRPr="00947E9A">
        <w:rPr>
          <w:rFonts w:ascii="Times New Roman" w:hAnsi="Times New Roman" w:cs="Times New Roman"/>
          <w:sz w:val="24"/>
          <w:szCs w:val="24"/>
        </w:rPr>
        <w:t>Charate</w:t>
      </w:r>
      <w:proofErr w:type="spellEnd"/>
      <w:r w:rsidRPr="00947E9A">
        <w:rPr>
          <w:rFonts w:ascii="Times New Roman" w:hAnsi="Times New Roman" w:cs="Times New Roman"/>
          <w:sz w:val="24"/>
          <w:szCs w:val="24"/>
        </w:rPr>
        <w:t xml:space="preserve">, S., </w:t>
      </w:r>
      <w:proofErr w:type="spellStart"/>
      <w:r w:rsidRPr="00947E9A">
        <w:rPr>
          <w:rFonts w:ascii="Times New Roman" w:hAnsi="Times New Roman" w:cs="Times New Roman"/>
          <w:sz w:val="24"/>
          <w:szCs w:val="24"/>
        </w:rPr>
        <w:t>Thimmegowda</w:t>
      </w:r>
      <w:proofErr w:type="spellEnd"/>
      <w:r w:rsidRPr="00947E9A">
        <w:rPr>
          <w:rFonts w:ascii="Times New Roman" w:hAnsi="Times New Roman" w:cs="Times New Roman"/>
          <w:sz w:val="24"/>
          <w:szCs w:val="24"/>
        </w:rPr>
        <w:t xml:space="preserve">, M.N., Rao, G.E., </w:t>
      </w:r>
      <w:proofErr w:type="spellStart"/>
      <w:r w:rsidRPr="00947E9A">
        <w:rPr>
          <w:rFonts w:ascii="Times New Roman" w:hAnsi="Times New Roman" w:cs="Times New Roman"/>
          <w:sz w:val="24"/>
          <w:szCs w:val="24"/>
        </w:rPr>
        <w:t>Ramachandrappa</w:t>
      </w:r>
      <w:proofErr w:type="spellEnd"/>
      <w:r w:rsidRPr="00947E9A">
        <w:rPr>
          <w:rFonts w:ascii="Times New Roman" w:hAnsi="Times New Roman" w:cs="Times New Roman"/>
          <w:sz w:val="24"/>
          <w:szCs w:val="24"/>
        </w:rPr>
        <w:t xml:space="preserve">, B. </w:t>
      </w:r>
      <w:r w:rsidR="000B7029" w:rsidRPr="00947E9A">
        <w:rPr>
          <w:rFonts w:ascii="Times New Roman" w:hAnsi="Times New Roman" w:cs="Times New Roman"/>
          <w:sz w:val="24"/>
          <w:szCs w:val="24"/>
        </w:rPr>
        <w:t>&amp;</w:t>
      </w:r>
      <w:r w:rsidRPr="00947E9A">
        <w:rPr>
          <w:rFonts w:ascii="Times New Roman" w:hAnsi="Times New Roman" w:cs="Times New Roman"/>
          <w:sz w:val="24"/>
          <w:szCs w:val="24"/>
        </w:rPr>
        <w:t xml:space="preserve"> Satish, A. (2018). Effect of nitrogen and potassium levels on growth and yield of little millet (</w:t>
      </w:r>
      <w:r w:rsidRPr="00947E9A">
        <w:rPr>
          <w:rFonts w:ascii="Times New Roman" w:hAnsi="Times New Roman" w:cs="Times New Roman"/>
          <w:i/>
          <w:sz w:val="24"/>
          <w:szCs w:val="24"/>
        </w:rPr>
        <w:t>Panicum</w:t>
      </w:r>
      <w:r w:rsidR="000B7029" w:rsidRPr="00947E9A">
        <w:rPr>
          <w:rFonts w:ascii="Times New Roman" w:hAnsi="Times New Roman" w:cs="Times New Roman"/>
          <w:i/>
          <w:sz w:val="24"/>
          <w:szCs w:val="24"/>
        </w:rPr>
        <w:t xml:space="preserve"> </w:t>
      </w:r>
      <w:proofErr w:type="spellStart"/>
      <w:r w:rsidRPr="00947E9A">
        <w:rPr>
          <w:rFonts w:ascii="Times New Roman" w:hAnsi="Times New Roman" w:cs="Times New Roman"/>
          <w:i/>
          <w:sz w:val="24"/>
          <w:szCs w:val="24"/>
        </w:rPr>
        <w:t>sumatrense</w:t>
      </w:r>
      <w:proofErr w:type="spellEnd"/>
      <w:r w:rsidR="000B7029" w:rsidRPr="00947E9A">
        <w:rPr>
          <w:rFonts w:ascii="Times New Roman" w:hAnsi="Times New Roman" w:cs="Times New Roman"/>
          <w:i/>
          <w:sz w:val="24"/>
          <w:szCs w:val="24"/>
        </w:rPr>
        <w:t xml:space="preserve"> </w:t>
      </w:r>
      <w:r w:rsidRPr="00947E9A">
        <w:rPr>
          <w:rFonts w:ascii="Times New Roman" w:hAnsi="Times New Roman" w:cs="Times New Roman"/>
          <w:sz w:val="24"/>
          <w:szCs w:val="24"/>
        </w:rPr>
        <w:t xml:space="preserve">L.) under dryland </w:t>
      </w:r>
      <w:proofErr w:type="spellStart"/>
      <w:r w:rsidRPr="00947E9A">
        <w:rPr>
          <w:rFonts w:ascii="Times New Roman" w:hAnsi="Times New Roman" w:cs="Times New Roman"/>
          <w:sz w:val="24"/>
          <w:szCs w:val="24"/>
        </w:rPr>
        <w:t>alfisols</w:t>
      </w:r>
      <w:proofErr w:type="spellEnd"/>
      <w:r w:rsidRPr="00947E9A">
        <w:rPr>
          <w:rFonts w:ascii="Times New Roman" w:hAnsi="Times New Roman" w:cs="Times New Roman"/>
          <w:sz w:val="24"/>
          <w:szCs w:val="24"/>
        </w:rPr>
        <w:t xml:space="preserve"> of Southern Karnataka. </w:t>
      </w:r>
      <w:r w:rsidRPr="00947E9A">
        <w:rPr>
          <w:rFonts w:ascii="Times New Roman" w:hAnsi="Times New Roman" w:cs="Times New Roman"/>
          <w:i/>
          <w:sz w:val="24"/>
          <w:szCs w:val="24"/>
        </w:rPr>
        <w:t>International Journal of Pure and Applied Bioscience</w:t>
      </w:r>
      <w:r w:rsidRPr="00947E9A">
        <w:rPr>
          <w:rFonts w:ascii="Times New Roman" w:hAnsi="Times New Roman" w:cs="Times New Roman"/>
          <w:sz w:val="24"/>
          <w:szCs w:val="24"/>
        </w:rPr>
        <w:t xml:space="preserve">, </w:t>
      </w:r>
      <w:r w:rsidRPr="00947E9A">
        <w:rPr>
          <w:rFonts w:ascii="Times New Roman" w:hAnsi="Times New Roman" w:cs="Times New Roman"/>
          <w:bCs/>
          <w:sz w:val="24"/>
          <w:szCs w:val="24"/>
        </w:rPr>
        <w:t>6</w:t>
      </w:r>
      <w:r w:rsidRPr="00947E9A">
        <w:rPr>
          <w:rFonts w:ascii="Times New Roman" w:hAnsi="Times New Roman" w:cs="Times New Roman"/>
          <w:sz w:val="24"/>
          <w:szCs w:val="24"/>
        </w:rPr>
        <w:t>(6)</w:t>
      </w:r>
      <w:r w:rsidR="000B7029" w:rsidRPr="00947E9A">
        <w:rPr>
          <w:rFonts w:ascii="Times New Roman" w:hAnsi="Times New Roman" w:cs="Times New Roman"/>
          <w:sz w:val="24"/>
          <w:szCs w:val="24"/>
        </w:rPr>
        <w:t xml:space="preserve">, </w:t>
      </w:r>
      <w:r w:rsidRPr="00947E9A">
        <w:rPr>
          <w:rFonts w:ascii="Times New Roman" w:hAnsi="Times New Roman" w:cs="Times New Roman"/>
          <w:sz w:val="24"/>
          <w:szCs w:val="24"/>
        </w:rPr>
        <w:t>918-923.</w:t>
      </w:r>
    </w:p>
    <w:p w14:paraId="10780665" w14:textId="77F5B753" w:rsidR="00A811B0" w:rsidRPr="00947E9A" w:rsidRDefault="00A811B0" w:rsidP="00947E9A">
      <w:pPr>
        <w:pStyle w:val="ListParagraph"/>
        <w:numPr>
          <w:ilvl w:val="0"/>
          <w:numId w:val="2"/>
        </w:numPr>
        <w:spacing w:before="120" w:after="120"/>
        <w:rPr>
          <w:rFonts w:ascii="Times New Roman" w:hAnsi="Times New Roman" w:cs="Times New Roman"/>
          <w:sz w:val="24"/>
          <w:szCs w:val="24"/>
        </w:rPr>
      </w:pPr>
      <w:r w:rsidRPr="00947E9A">
        <w:rPr>
          <w:rFonts w:ascii="Times New Roman" w:hAnsi="Times New Roman" w:cs="Times New Roman"/>
          <w:sz w:val="24"/>
          <w:szCs w:val="24"/>
        </w:rPr>
        <w:t xml:space="preserve">Das, S., </w:t>
      </w:r>
      <w:proofErr w:type="spellStart"/>
      <w:r w:rsidRPr="00947E9A">
        <w:rPr>
          <w:rFonts w:ascii="Times New Roman" w:hAnsi="Times New Roman" w:cs="Times New Roman"/>
          <w:sz w:val="24"/>
          <w:szCs w:val="24"/>
        </w:rPr>
        <w:t>Khound</w:t>
      </w:r>
      <w:proofErr w:type="spellEnd"/>
      <w:r w:rsidRPr="00947E9A">
        <w:rPr>
          <w:rFonts w:ascii="Times New Roman" w:hAnsi="Times New Roman" w:cs="Times New Roman"/>
          <w:sz w:val="24"/>
          <w:szCs w:val="24"/>
        </w:rPr>
        <w:t xml:space="preserve">, R., Santra, M. </w:t>
      </w:r>
      <w:r w:rsidR="000B7029" w:rsidRPr="00947E9A">
        <w:rPr>
          <w:rFonts w:ascii="Times New Roman" w:hAnsi="Times New Roman" w:cs="Times New Roman"/>
          <w:sz w:val="24"/>
          <w:szCs w:val="24"/>
        </w:rPr>
        <w:t>&amp;</w:t>
      </w:r>
      <w:r w:rsidRPr="00947E9A">
        <w:rPr>
          <w:rFonts w:ascii="Times New Roman" w:hAnsi="Times New Roman" w:cs="Times New Roman"/>
          <w:sz w:val="24"/>
          <w:szCs w:val="24"/>
        </w:rPr>
        <w:t xml:space="preserve"> Santra, D. K. (2019). Beyond bird feed: Proso millet for human health and environment. </w:t>
      </w:r>
      <w:r w:rsidRPr="00947E9A">
        <w:rPr>
          <w:rFonts w:ascii="Times New Roman" w:hAnsi="Times New Roman" w:cs="Times New Roman"/>
          <w:i/>
          <w:sz w:val="24"/>
          <w:szCs w:val="24"/>
        </w:rPr>
        <w:t>Agriculture</w:t>
      </w:r>
      <w:r w:rsidRPr="00947E9A">
        <w:rPr>
          <w:rFonts w:ascii="Times New Roman" w:hAnsi="Times New Roman" w:cs="Times New Roman"/>
          <w:sz w:val="24"/>
          <w:szCs w:val="24"/>
        </w:rPr>
        <w:t>, 9(3)</w:t>
      </w:r>
      <w:r w:rsidR="000B7029" w:rsidRPr="00947E9A">
        <w:rPr>
          <w:rFonts w:ascii="Times New Roman" w:hAnsi="Times New Roman" w:cs="Times New Roman"/>
          <w:sz w:val="24"/>
          <w:szCs w:val="24"/>
        </w:rPr>
        <w:t>,</w:t>
      </w:r>
      <w:r w:rsidRPr="00947E9A">
        <w:rPr>
          <w:rFonts w:ascii="Times New Roman" w:hAnsi="Times New Roman" w:cs="Times New Roman"/>
          <w:sz w:val="24"/>
          <w:szCs w:val="24"/>
        </w:rPr>
        <w:t xml:space="preserve"> 64.</w:t>
      </w:r>
    </w:p>
    <w:p w14:paraId="6799F7E0" w14:textId="4FBC2BE2" w:rsidR="00A811B0" w:rsidRPr="00947E9A" w:rsidRDefault="00A811B0" w:rsidP="00947E9A">
      <w:pPr>
        <w:pStyle w:val="ListParagraph"/>
        <w:numPr>
          <w:ilvl w:val="0"/>
          <w:numId w:val="2"/>
        </w:numPr>
        <w:spacing w:before="120" w:after="120"/>
        <w:rPr>
          <w:rFonts w:ascii="Times New Roman" w:hAnsi="Times New Roman" w:cs="Times New Roman"/>
          <w:sz w:val="24"/>
          <w:szCs w:val="24"/>
        </w:rPr>
      </w:pPr>
      <w:r w:rsidRPr="00947E9A">
        <w:rPr>
          <w:rFonts w:ascii="Times New Roman" w:hAnsi="Times New Roman" w:cs="Times New Roman"/>
          <w:sz w:val="24"/>
          <w:szCs w:val="24"/>
        </w:rPr>
        <w:t xml:space="preserve">Devi, P. B., Vijayabharathi, R., Sathyabama, S., Malleshi, N. G. </w:t>
      </w:r>
      <w:r w:rsidR="000B7029" w:rsidRPr="00947E9A">
        <w:rPr>
          <w:rFonts w:ascii="Times New Roman" w:hAnsi="Times New Roman" w:cs="Times New Roman"/>
          <w:sz w:val="24"/>
          <w:szCs w:val="24"/>
        </w:rPr>
        <w:t>&amp;</w:t>
      </w:r>
      <w:r w:rsidRPr="00947E9A">
        <w:rPr>
          <w:rFonts w:ascii="Times New Roman" w:hAnsi="Times New Roman" w:cs="Times New Roman"/>
          <w:sz w:val="24"/>
          <w:szCs w:val="24"/>
        </w:rPr>
        <w:t xml:space="preserve"> </w:t>
      </w:r>
      <w:proofErr w:type="spellStart"/>
      <w:r w:rsidRPr="00947E9A">
        <w:rPr>
          <w:rFonts w:ascii="Times New Roman" w:hAnsi="Times New Roman" w:cs="Times New Roman"/>
          <w:sz w:val="24"/>
          <w:szCs w:val="24"/>
        </w:rPr>
        <w:t>Priyadarisini</w:t>
      </w:r>
      <w:proofErr w:type="spellEnd"/>
      <w:r w:rsidRPr="00947E9A">
        <w:rPr>
          <w:rFonts w:ascii="Times New Roman" w:hAnsi="Times New Roman" w:cs="Times New Roman"/>
          <w:sz w:val="24"/>
          <w:szCs w:val="24"/>
        </w:rPr>
        <w:t>, V. B. (2014). Health benefits of finger millet (</w:t>
      </w:r>
      <w:r w:rsidRPr="00947E9A">
        <w:rPr>
          <w:rFonts w:ascii="Times New Roman" w:hAnsi="Times New Roman" w:cs="Times New Roman"/>
          <w:i/>
          <w:sz w:val="24"/>
          <w:szCs w:val="24"/>
        </w:rPr>
        <w:t>Eleusine</w:t>
      </w:r>
      <w:r w:rsidR="00AA2683" w:rsidRPr="00947E9A">
        <w:rPr>
          <w:rFonts w:ascii="Times New Roman" w:hAnsi="Times New Roman" w:cs="Times New Roman"/>
          <w:i/>
          <w:sz w:val="24"/>
          <w:szCs w:val="24"/>
        </w:rPr>
        <w:t xml:space="preserve"> </w:t>
      </w:r>
      <w:r w:rsidRPr="00947E9A">
        <w:rPr>
          <w:rFonts w:ascii="Times New Roman" w:hAnsi="Times New Roman" w:cs="Times New Roman"/>
          <w:i/>
          <w:sz w:val="24"/>
          <w:szCs w:val="24"/>
        </w:rPr>
        <w:t>coracana</w:t>
      </w:r>
      <w:r w:rsidR="00AA2683" w:rsidRPr="00947E9A">
        <w:rPr>
          <w:rFonts w:ascii="Times New Roman" w:hAnsi="Times New Roman" w:cs="Times New Roman"/>
          <w:i/>
          <w:sz w:val="24"/>
          <w:szCs w:val="24"/>
        </w:rPr>
        <w:t xml:space="preserve"> </w:t>
      </w:r>
      <w:r w:rsidRPr="00947E9A">
        <w:rPr>
          <w:rFonts w:ascii="Times New Roman" w:hAnsi="Times New Roman" w:cs="Times New Roman"/>
          <w:sz w:val="24"/>
          <w:szCs w:val="24"/>
        </w:rPr>
        <w:t xml:space="preserve">L.) polyphenols and dietary fiber: a review. </w:t>
      </w:r>
      <w:r w:rsidRPr="00947E9A">
        <w:rPr>
          <w:rFonts w:ascii="Times New Roman" w:hAnsi="Times New Roman" w:cs="Times New Roman"/>
          <w:i/>
          <w:sz w:val="24"/>
          <w:szCs w:val="24"/>
        </w:rPr>
        <w:t>Journal of food science and technology</w:t>
      </w:r>
      <w:r w:rsidRPr="00947E9A">
        <w:rPr>
          <w:rFonts w:ascii="Times New Roman" w:hAnsi="Times New Roman" w:cs="Times New Roman"/>
          <w:sz w:val="24"/>
          <w:szCs w:val="24"/>
        </w:rPr>
        <w:t>, 51</w:t>
      </w:r>
      <w:r w:rsidR="000B7029" w:rsidRPr="00947E9A">
        <w:rPr>
          <w:rFonts w:ascii="Times New Roman" w:hAnsi="Times New Roman" w:cs="Times New Roman"/>
          <w:sz w:val="24"/>
          <w:szCs w:val="24"/>
        </w:rPr>
        <w:t xml:space="preserve">, </w:t>
      </w:r>
      <w:r w:rsidRPr="00947E9A">
        <w:rPr>
          <w:rFonts w:ascii="Times New Roman" w:hAnsi="Times New Roman" w:cs="Times New Roman"/>
          <w:sz w:val="24"/>
          <w:szCs w:val="24"/>
        </w:rPr>
        <w:t>1021-1040.</w:t>
      </w:r>
    </w:p>
    <w:p w14:paraId="5077E047" w14:textId="77777777" w:rsidR="00916B1D" w:rsidRPr="00947E9A" w:rsidRDefault="00916B1D" w:rsidP="00947E9A">
      <w:pPr>
        <w:pStyle w:val="ListParagraph"/>
        <w:numPr>
          <w:ilvl w:val="0"/>
          <w:numId w:val="2"/>
        </w:numPr>
        <w:spacing w:before="120" w:after="120"/>
        <w:rPr>
          <w:rFonts w:ascii="Times New Roman" w:hAnsi="Times New Roman" w:cs="Times New Roman"/>
          <w:sz w:val="24"/>
          <w:szCs w:val="24"/>
        </w:rPr>
      </w:pPr>
      <w:r w:rsidRPr="00947E9A">
        <w:rPr>
          <w:rFonts w:ascii="Times New Roman" w:hAnsi="Times New Roman" w:cs="Times New Roman"/>
          <w:sz w:val="24"/>
          <w:szCs w:val="24"/>
          <w:highlight w:val="yellow"/>
        </w:rPr>
        <w:t xml:space="preserve">Dhaka, A.K., Jat, R.D., Singh, B., Bishnoi, D.K. &amp; Gora, M.K. (2024). Evaluation of barnyard millet intercropping systems in semi-arid zone of Hisar. </w:t>
      </w:r>
      <w:r w:rsidRPr="00947E9A">
        <w:rPr>
          <w:rFonts w:ascii="Times New Roman" w:hAnsi="Times New Roman" w:cs="Times New Roman"/>
          <w:i/>
          <w:iCs/>
          <w:sz w:val="24"/>
          <w:szCs w:val="24"/>
          <w:highlight w:val="yellow"/>
        </w:rPr>
        <w:t>Indian Journal of Agronomy</w:t>
      </w:r>
      <w:r w:rsidRPr="00947E9A">
        <w:rPr>
          <w:rFonts w:ascii="Times New Roman" w:hAnsi="Times New Roman" w:cs="Times New Roman"/>
          <w:sz w:val="24"/>
          <w:szCs w:val="24"/>
          <w:highlight w:val="yellow"/>
        </w:rPr>
        <w:t>, 69 (3), 311-319.</w:t>
      </w:r>
    </w:p>
    <w:p w14:paraId="18C74C81" w14:textId="7F252A5B" w:rsidR="00992DFF" w:rsidRPr="00947E9A" w:rsidRDefault="00992DFF" w:rsidP="00947E9A">
      <w:pPr>
        <w:pStyle w:val="ListParagraph"/>
        <w:numPr>
          <w:ilvl w:val="0"/>
          <w:numId w:val="2"/>
        </w:numPr>
        <w:spacing w:before="240"/>
        <w:rPr>
          <w:rFonts w:ascii="Times New Roman" w:hAnsi="Times New Roman" w:cs="Times New Roman"/>
          <w:sz w:val="24"/>
          <w:szCs w:val="24"/>
        </w:rPr>
      </w:pPr>
      <w:r w:rsidRPr="00947E9A">
        <w:rPr>
          <w:rFonts w:ascii="Times New Roman" w:hAnsi="Times New Roman" w:cs="Times New Roman"/>
          <w:sz w:val="24"/>
          <w:szCs w:val="24"/>
        </w:rPr>
        <w:lastRenderedPageBreak/>
        <w:t xml:space="preserve">Dhaka, A.K., Singh, B., Jat, R.D., Kamal </w:t>
      </w:r>
      <w:r w:rsidR="000B7029" w:rsidRPr="00947E9A">
        <w:rPr>
          <w:rFonts w:ascii="Times New Roman" w:hAnsi="Times New Roman" w:cs="Times New Roman"/>
          <w:sz w:val="24"/>
          <w:szCs w:val="24"/>
        </w:rPr>
        <w:t xml:space="preserve">&amp; </w:t>
      </w:r>
      <w:r w:rsidRPr="00947E9A">
        <w:rPr>
          <w:rFonts w:ascii="Times New Roman" w:hAnsi="Times New Roman" w:cs="Times New Roman"/>
          <w:sz w:val="24"/>
          <w:szCs w:val="24"/>
        </w:rPr>
        <w:t xml:space="preserve">Bishnoi, D.K. (2025). Energy budget, economics and yield performance of </w:t>
      </w:r>
      <w:proofErr w:type="gramStart"/>
      <w:r w:rsidRPr="00947E9A">
        <w:rPr>
          <w:rFonts w:ascii="Times New Roman" w:hAnsi="Times New Roman" w:cs="Times New Roman"/>
          <w:sz w:val="24"/>
          <w:szCs w:val="24"/>
        </w:rPr>
        <w:t>millet based</w:t>
      </w:r>
      <w:proofErr w:type="gramEnd"/>
      <w:r w:rsidRPr="00947E9A">
        <w:rPr>
          <w:rFonts w:ascii="Times New Roman" w:hAnsi="Times New Roman" w:cs="Times New Roman"/>
          <w:sz w:val="24"/>
          <w:szCs w:val="24"/>
        </w:rPr>
        <w:t xml:space="preserve"> crop rotations with Indian mustard in Hisar district of Haryana (India). </w:t>
      </w:r>
      <w:r w:rsidRPr="00947E9A">
        <w:rPr>
          <w:rFonts w:ascii="Times New Roman" w:hAnsi="Times New Roman" w:cs="Times New Roman"/>
          <w:i/>
          <w:sz w:val="24"/>
          <w:szCs w:val="24"/>
        </w:rPr>
        <w:t>Journal of Oilseed Brassica</w:t>
      </w:r>
      <w:r w:rsidRPr="00947E9A">
        <w:rPr>
          <w:rFonts w:ascii="Times New Roman" w:hAnsi="Times New Roman" w:cs="Times New Roman"/>
          <w:sz w:val="24"/>
          <w:szCs w:val="24"/>
        </w:rPr>
        <w:t>. 16(1)</w:t>
      </w:r>
      <w:r w:rsidR="008F6E0E" w:rsidRPr="00947E9A">
        <w:rPr>
          <w:rFonts w:ascii="Times New Roman" w:hAnsi="Times New Roman" w:cs="Times New Roman"/>
          <w:sz w:val="24"/>
          <w:szCs w:val="24"/>
        </w:rPr>
        <w:t xml:space="preserve">, </w:t>
      </w:r>
      <w:r w:rsidRPr="00947E9A">
        <w:rPr>
          <w:rFonts w:ascii="Times New Roman" w:hAnsi="Times New Roman" w:cs="Times New Roman"/>
          <w:sz w:val="24"/>
          <w:szCs w:val="24"/>
        </w:rPr>
        <w:t xml:space="preserve">100-109. </w:t>
      </w:r>
    </w:p>
    <w:p w14:paraId="30CEBB91" w14:textId="20E099F4" w:rsidR="00992DFF" w:rsidRPr="00947E9A" w:rsidRDefault="00992DFF" w:rsidP="00947E9A">
      <w:pPr>
        <w:pStyle w:val="ListParagraph"/>
        <w:numPr>
          <w:ilvl w:val="0"/>
          <w:numId w:val="2"/>
        </w:numPr>
        <w:spacing w:before="240"/>
        <w:rPr>
          <w:rFonts w:ascii="Times New Roman" w:hAnsi="Times New Roman" w:cs="Times New Roman"/>
          <w:sz w:val="24"/>
          <w:szCs w:val="24"/>
        </w:rPr>
      </w:pPr>
      <w:r w:rsidRPr="00947E9A">
        <w:rPr>
          <w:rFonts w:ascii="Times New Roman" w:hAnsi="Times New Roman" w:cs="Times New Roman"/>
          <w:sz w:val="24"/>
          <w:szCs w:val="24"/>
        </w:rPr>
        <w:t xml:space="preserve">Dhaka, A.K., Singh, B., Kamal, Jat, R.D. Bishnoi, D.K. </w:t>
      </w:r>
      <w:r w:rsidR="000B7029" w:rsidRPr="00947E9A">
        <w:rPr>
          <w:rFonts w:ascii="Times New Roman" w:hAnsi="Times New Roman" w:cs="Times New Roman"/>
          <w:sz w:val="24"/>
          <w:szCs w:val="24"/>
        </w:rPr>
        <w:t>&amp;</w:t>
      </w:r>
      <w:r w:rsidRPr="00947E9A">
        <w:rPr>
          <w:rFonts w:ascii="Times New Roman" w:hAnsi="Times New Roman" w:cs="Times New Roman"/>
          <w:sz w:val="24"/>
          <w:szCs w:val="24"/>
        </w:rPr>
        <w:t xml:space="preserve"> Kumar, A. (202</w:t>
      </w:r>
      <w:r w:rsidR="008877A5" w:rsidRPr="00947E9A">
        <w:rPr>
          <w:rFonts w:ascii="Times New Roman" w:hAnsi="Times New Roman" w:cs="Times New Roman"/>
          <w:sz w:val="24"/>
          <w:szCs w:val="24"/>
        </w:rPr>
        <w:t>5a</w:t>
      </w:r>
      <w:r w:rsidRPr="00947E9A">
        <w:rPr>
          <w:rFonts w:ascii="Times New Roman" w:hAnsi="Times New Roman" w:cs="Times New Roman"/>
          <w:sz w:val="24"/>
          <w:szCs w:val="24"/>
        </w:rPr>
        <w:t xml:space="preserve">). Relative Economic Profitability of Millet based Crop Rotations with Chickpea in Hisar District of Haryana. </w:t>
      </w:r>
      <w:r w:rsidRPr="00947E9A">
        <w:rPr>
          <w:rFonts w:ascii="Times New Roman" w:hAnsi="Times New Roman" w:cs="Times New Roman"/>
          <w:i/>
          <w:sz w:val="24"/>
          <w:szCs w:val="24"/>
        </w:rPr>
        <w:t>Legume Research</w:t>
      </w:r>
      <w:r w:rsidR="008F6E0E" w:rsidRPr="00947E9A">
        <w:rPr>
          <w:rFonts w:ascii="Times New Roman" w:hAnsi="Times New Roman" w:cs="Times New Roman"/>
          <w:sz w:val="24"/>
          <w:szCs w:val="24"/>
        </w:rPr>
        <w:t>,</w:t>
      </w:r>
      <w:r w:rsidRPr="00947E9A">
        <w:rPr>
          <w:rFonts w:ascii="Times New Roman" w:hAnsi="Times New Roman" w:cs="Times New Roman"/>
          <w:sz w:val="24"/>
          <w:szCs w:val="24"/>
        </w:rPr>
        <w:t xml:space="preserve"> </w:t>
      </w:r>
      <w:r w:rsidR="008877A5" w:rsidRPr="00947E9A">
        <w:rPr>
          <w:rFonts w:ascii="Times New Roman" w:hAnsi="Times New Roman" w:cs="Times New Roman"/>
          <w:color w:val="000000" w:themeColor="text1"/>
          <w:sz w:val="24"/>
          <w:szCs w:val="24"/>
        </w:rPr>
        <w:t>48(9)</w:t>
      </w:r>
      <w:r w:rsidR="008F6E0E" w:rsidRPr="00947E9A">
        <w:rPr>
          <w:rFonts w:ascii="Times New Roman" w:hAnsi="Times New Roman" w:cs="Times New Roman"/>
          <w:color w:val="000000" w:themeColor="text1"/>
          <w:sz w:val="24"/>
          <w:szCs w:val="24"/>
        </w:rPr>
        <w:t xml:space="preserve">, </w:t>
      </w:r>
      <w:r w:rsidR="008877A5" w:rsidRPr="00947E9A">
        <w:rPr>
          <w:rFonts w:ascii="Times New Roman" w:hAnsi="Times New Roman" w:cs="Times New Roman"/>
          <w:color w:val="000000" w:themeColor="text1"/>
          <w:sz w:val="24"/>
          <w:szCs w:val="24"/>
        </w:rPr>
        <w:t xml:space="preserve">1585-1593. </w:t>
      </w:r>
      <w:proofErr w:type="spellStart"/>
      <w:r w:rsidRPr="00947E9A">
        <w:rPr>
          <w:rFonts w:ascii="Times New Roman" w:hAnsi="Times New Roman" w:cs="Times New Roman"/>
          <w:sz w:val="24"/>
          <w:szCs w:val="24"/>
        </w:rPr>
        <w:t>doi</w:t>
      </w:r>
      <w:proofErr w:type="spellEnd"/>
      <w:r w:rsidRPr="00947E9A">
        <w:rPr>
          <w:rFonts w:ascii="Times New Roman" w:hAnsi="Times New Roman" w:cs="Times New Roman"/>
          <w:sz w:val="24"/>
          <w:szCs w:val="24"/>
        </w:rPr>
        <w:t>: 10.18805/LR-5358.</w:t>
      </w:r>
    </w:p>
    <w:p w14:paraId="56121E18" w14:textId="1639501B" w:rsidR="008877A5" w:rsidRPr="00947E9A" w:rsidRDefault="008877A5" w:rsidP="00947E9A">
      <w:pPr>
        <w:pStyle w:val="ListParagraph"/>
        <w:numPr>
          <w:ilvl w:val="0"/>
          <w:numId w:val="2"/>
        </w:numPr>
        <w:spacing w:before="120" w:after="120"/>
        <w:rPr>
          <w:rFonts w:ascii="Times New Roman" w:hAnsi="Times New Roman" w:cs="Times New Roman"/>
          <w:sz w:val="24"/>
          <w:szCs w:val="24"/>
        </w:rPr>
      </w:pPr>
      <w:r w:rsidRPr="00947E9A">
        <w:rPr>
          <w:rFonts w:ascii="Times New Roman" w:hAnsi="Times New Roman" w:cs="Times New Roman"/>
          <w:sz w:val="24"/>
          <w:szCs w:val="24"/>
        </w:rPr>
        <w:t xml:space="preserve">Dhaka, B.K., Anisha., Dinesh., Raj, R., Dhaka, P. </w:t>
      </w:r>
      <w:r w:rsidR="000B7029" w:rsidRPr="00947E9A">
        <w:rPr>
          <w:rFonts w:ascii="Times New Roman" w:hAnsi="Times New Roman" w:cs="Times New Roman"/>
          <w:sz w:val="24"/>
          <w:szCs w:val="24"/>
        </w:rPr>
        <w:t>&amp;</w:t>
      </w:r>
      <w:r w:rsidRPr="00947E9A">
        <w:rPr>
          <w:rFonts w:ascii="Times New Roman" w:hAnsi="Times New Roman" w:cs="Times New Roman"/>
          <w:sz w:val="24"/>
          <w:szCs w:val="24"/>
        </w:rPr>
        <w:t xml:space="preserve"> Kamal. (2023). Integrated weed management in minor millets: A Review. </w:t>
      </w:r>
      <w:r w:rsidRPr="00947E9A">
        <w:rPr>
          <w:rFonts w:ascii="Times New Roman" w:hAnsi="Times New Roman" w:cs="Times New Roman"/>
          <w:i/>
          <w:iCs/>
          <w:sz w:val="24"/>
          <w:szCs w:val="24"/>
        </w:rPr>
        <w:t>International Journal of Plant and Soil Science</w:t>
      </w:r>
      <w:r w:rsidR="008F6E0E" w:rsidRPr="00947E9A">
        <w:rPr>
          <w:rFonts w:ascii="Times New Roman" w:hAnsi="Times New Roman" w:cs="Times New Roman"/>
          <w:sz w:val="24"/>
          <w:szCs w:val="24"/>
        </w:rPr>
        <w:t>,</w:t>
      </w:r>
      <w:r w:rsidRPr="00947E9A">
        <w:rPr>
          <w:rFonts w:ascii="Times New Roman" w:hAnsi="Times New Roman" w:cs="Times New Roman"/>
          <w:sz w:val="24"/>
          <w:szCs w:val="24"/>
        </w:rPr>
        <w:t xml:space="preserve"> 35(23)</w:t>
      </w:r>
      <w:r w:rsidR="008F6E0E" w:rsidRPr="00947E9A">
        <w:rPr>
          <w:rFonts w:ascii="Times New Roman" w:hAnsi="Times New Roman" w:cs="Times New Roman"/>
          <w:sz w:val="24"/>
          <w:szCs w:val="24"/>
        </w:rPr>
        <w:t xml:space="preserve">, </w:t>
      </w:r>
      <w:r w:rsidRPr="00947E9A">
        <w:rPr>
          <w:rFonts w:ascii="Times New Roman" w:hAnsi="Times New Roman" w:cs="Times New Roman"/>
          <w:sz w:val="24"/>
          <w:szCs w:val="24"/>
        </w:rPr>
        <w:t xml:space="preserve">676-690. </w:t>
      </w:r>
      <w:proofErr w:type="spellStart"/>
      <w:r w:rsidRPr="00947E9A">
        <w:rPr>
          <w:rFonts w:ascii="Times New Roman" w:hAnsi="Times New Roman" w:cs="Times New Roman"/>
          <w:sz w:val="24"/>
          <w:szCs w:val="24"/>
        </w:rPr>
        <w:t>doi</w:t>
      </w:r>
      <w:proofErr w:type="spellEnd"/>
      <w:r w:rsidRPr="00947E9A">
        <w:rPr>
          <w:rFonts w:ascii="Times New Roman" w:hAnsi="Times New Roman" w:cs="Times New Roman"/>
          <w:sz w:val="24"/>
          <w:szCs w:val="24"/>
        </w:rPr>
        <w:t>: 10.9734/IJPSS/2023/v35i234288.</w:t>
      </w:r>
    </w:p>
    <w:p w14:paraId="101952A4" w14:textId="2D4E7EFC" w:rsidR="008877A5" w:rsidRPr="00947E9A" w:rsidRDefault="008877A5" w:rsidP="00947E9A">
      <w:pPr>
        <w:pStyle w:val="ListParagraph"/>
        <w:numPr>
          <w:ilvl w:val="0"/>
          <w:numId w:val="2"/>
        </w:numPr>
        <w:spacing w:before="120" w:after="120"/>
        <w:rPr>
          <w:rFonts w:ascii="Times New Roman" w:hAnsi="Times New Roman" w:cs="Times New Roman"/>
          <w:sz w:val="24"/>
          <w:szCs w:val="24"/>
        </w:rPr>
      </w:pPr>
      <w:r w:rsidRPr="00947E9A">
        <w:rPr>
          <w:rFonts w:ascii="Times New Roman" w:hAnsi="Times New Roman" w:cs="Times New Roman"/>
          <w:sz w:val="24"/>
          <w:szCs w:val="24"/>
        </w:rPr>
        <w:t xml:space="preserve">Dhaka, B.K., Dhaka, P., Singh, B., Kamal, Anisha </w:t>
      </w:r>
      <w:r w:rsidR="000B7029" w:rsidRPr="00947E9A">
        <w:rPr>
          <w:rFonts w:ascii="Times New Roman" w:hAnsi="Times New Roman" w:cs="Times New Roman"/>
          <w:sz w:val="24"/>
          <w:szCs w:val="24"/>
        </w:rPr>
        <w:t>&amp;</w:t>
      </w:r>
      <w:r w:rsidRPr="00947E9A">
        <w:rPr>
          <w:rFonts w:ascii="Times New Roman" w:hAnsi="Times New Roman" w:cs="Times New Roman"/>
          <w:sz w:val="24"/>
          <w:szCs w:val="24"/>
        </w:rPr>
        <w:t xml:space="preserve"> Dhaka, A.K. (2023a). Intercropping options for sustainable minor millet production: A review. </w:t>
      </w:r>
      <w:r w:rsidRPr="00947E9A">
        <w:rPr>
          <w:rFonts w:ascii="Times New Roman" w:hAnsi="Times New Roman" w:cs="Times New Roman"/>
          <w:i/>
          <w:iCs/>
          <w:sz w:val="24"/>
          <w:szCs w:val="24"/>
        </w:rPr>
        <w:t>International Journal of Environment and Climate Change</w:t>
      </w:r>
      <w:r w:rsidR="008F6E0E" w:rsidRPr="00947E9A">
        <w:rPr>
          <w:rFonts w:ascii="Times New Roman" w:hAnsi="Times New Roman" w:cs="Times New Roman"/>
          <w:sz w:val="24"/>
          <w:szCs w:val="24"/>
        </w:rPr>
        <w:t xml:space="preserve">, </w:t>
      </w:r>
      <w:r w:rsidRPr="00947E9A">
        <w:rPr>
          <w:rFonts w:ascii="Times New Roman" w:hAnsi="Times New Roman" w:cs="Times New Roman"/>
          <w:sz w:val="24"/>
          <w:szCs w:val="24"/>
        </w:rPr>
        <w:t>13(12)</w:t>
      </w:r>
      <w:r w:rsidR="008F6E0E" w:rsidRPr="00947E9A">
        <w:rPr>
          <w:rFonts w:ascii="Times New Roman" w:hAnsi="Times New Roman" w:cs="Times New Roman"/>
          <w:sz w:val="24"/>
          <w:szCs w:val="24"/>
        </w:rPr>
        <w:t xml:space="preserve">, </w:t>
      </w:r>
      <w:r w:rsidRPr="00947E9A">
        <w:rPr>
          <w:rFonts w:ascii="Times New Roman" w:hAnsi="Times New Roman" w:cs="Times New Roman"/>
          <w:sz w:val="24"/>
          <w:szCs w:val="24"/>
        </w:rPr>
        <w:t xml:space="preserve">89-100. </w:t>
      </w:r>
      <w:proofErr w:type="spellStart"/>
      <w:r w:rsidRPr="00947E9A">
        <w:rPr>
          <w:rFonts w:ascii="Times New Roman" w:hAnsi="Times New Roman" w:cs="Times New Roman"/>
          <w:sz w:val="24"/>
          <w:szCs w:val="24"/>
        </w:rPr>
        <w:t>doi</w:t>
      </w:r>
      <w:proofErr w:type="spellEnd"/>
      <w:r w:rsidRPr="00947E9A">
        <w:rPr>
          <w:rFonts w:ascii="Times New Roman" w:hAnsi="Times New Roman" w:cs="Times New Roman"/>
          <w:sz w:val="24"/>
          <w:szCs w:val="24"/>
        </w:rPr>
        <w:t>: 10.9734/IJECC/2023/v13i123664.</w:t>
      </w:r>
    </w:p>
    <w:p w14:paraId="10950A4B" w14:textId="3A92B785" w:rsidR="00A811B0" w:rsidRPr="00947E9A" w:rsidRDefault="00A811B0" w:rsidP="00947E9A">
      <w:pPr>
        <w:pStyle w:val="ListParagraph"/>
        <w:numPr>
          <w:ilvl w:val="0"/>
          <w:numId w:val="2"/>
        </w:numPr>
        <w:spacing w:before="120" w:after="120"/>
        <w:rPr>
          <w:rFonts w:ascii="Times New Roman" w:hAnsi="Times New Roman" w:cs="Times New Roman"/>
          <w:bCs/>
          <w:sz w:val="24"/>
          <w:szCs w:val="24"/>
        </w:rPr>
      </w:pPr>
      <w:r w:rsidRPr="00947E9A">
        <w:rPr>
          <w:rFonts w:ascii="Times New Roman" w:hAnsi="Times New Roman" w:cs="Times New Roman"/>
          <w:sz w:val="24"/>
          <w:szCs w:val="24"/>
        </w:rPr>
        <w:t xml:space="preserve">Divyashree, U., Kumar, D.M., Sridhara, S. </w:t>
      </w:r>
      <w:r w:rsidR="000B7029" w:rsidRPr="00947E9A">
        <w:rPr>
          <w:rFonts w:ascii="Times New Roman" w:hAnsi="Times New Roman" w:cs="Times New Roman"/>
          <w:sz w:val="24"/>
          <w:szCs w:val="24"/>
        </w:rPr>
        <w:t>&amp;</w:t>
      </w:r>
      <w:r w:rsidRPr="00947E9A">
        <w:rPr>
          <w:rFonts w:ascii="Times New Roman" w:hAnsi="Times New Roman" w:cs="Times New Roman"/>
          <w:sz w:val="24"/>
          <w:szCs w:val="24"/>
        </w:rPr>
        <w:t xml:space="preserve"> </w:t>
      </w:r>
      <w:proofErr w:type="spellStart"/>
      <w:r w:rsidRPr="00947E9A">
        <w:rPr>
          <w:rFonts w:ascii="Times New Roman" w:hAnsi="Times New Roman" w:cs="Times New Roman"/>
          <w:sz w:val="24"/>
          <w:szCs w:val="24"/>
        </w:rPr>
        <w:t>BasavarajNaik</w:t>
      </w:r>
      <w:proofErr w:type="spellEnd"/>
      <w:r w:rsidRPr="00947E9A">
        <w:rPr>
          <w:rFonts w:ascii="Times New Roman" w:hAnsi="Times New Roman" w:cs="Times New Roman"/>
          <w:sz w:val="24"/>
          <w:szCs w:val="24"/>
        </w:rPr>
        <w:t>, T. (2018). Effect of different levels of fertilizers on growth and yield of little millet (</w:t>
      </w:r>
      <w:r w:rsidRPr="00947E9A">
        <w:rPr>
          <w:rFonts w:ascii="Times New Roman" w:hAnsi="Times New Roman" w:cs="Times New Roman"/>
          <w:i/>
          <w:sz w:val="24"/>
          <w:szCs w:val="24"/>
        </w:rPr>
        <w:t>Panicum</w:t>
      </w:r>
      <w:r w:rsidR="008F6E0E" w:rsidRPr="00947E9A">
        <w:rPr>
          <w:rFonts w:ascii="Times New Roman" w:hAnsi="Times New Roman" w:cs="Times New Roman"/>
          <w:i/>
          <w:sz w:val="24"/>
          <w:szCs w:val="24"/>
        </w:rPr>
        <w:t xml:space="preserve"> </w:t>
      </w:r>
      <w:proofErr w:type="spellStart"/>
      <w:r w:rsidRPr="00947E9A">
        <w:rPr>
          <w:rFonts w:ascii="Times New Roman" w:hAnsi="Times New Roman" w:cs="Times New Roman"/>
          <w:i/>
          <w:sz w:val="24"/>
          <w:szCs w:val="24"/>
        </w:rPr>
        <w:t>sumatrense</w:t>
      </w:r>
      <w:proofErr w:type="spellEnd"/>
      <w:r w:rsidR="008F6E0E" w:rsidRPr="00947E9A">
        <w:rPr>
          <w:rFonts w:ascii="Times New Roman" w:hAnsi="Times New Roman" w:cs="Times New Roman"/>
          <w:i/>
          <w:sz w:val="24"/>
          <w:szCs w:val="24"/>
        </w:rPr>
        <w:t xml:space="preserve"> </w:t>
      </w:r>
      <w:r w:rsidRPr="00947E9A">
        <w:rPr>
          <w:rFonts w:ascii="Times New Roman" w:hAnsi="Times New Roman" w:cs="Times New Roman"/>
          <w:sz w:val="24"/>
          <w:szCs w:val="24"/>
        </w:rPr>
        <w:t xml:space="preserve">L.). </w:t>
      </w:r>
      <w:r w:rsidRPr="00947E9A">
        <w:rPr>
          <w:rFonts w:ascii="Times New Roman" w:hAnsi="Times New Roman" w:cs="Times New Roman"/>
          <w:i/>
          <w:sz w:val="24"/>
          <w:szCs w:val="24"/>
        </w:rPr>
        <w:t>International Journal of Farm Sciences</w:t>
      </w:r>
      <w:r w:rsidRPr="00947E9A">
        <w:rPr>
          <w:rFonts w:ascii="Times New Roman" w:hAnsi="Times New Roman" w:cs="Times New Roman"/>
          <w:sz w:val="24"/>
          <w:szCs w:val="24"/>
        </w:rPr>
        <w:t xml:space="preserve">, </w:t>
      </w:r>
      <w:r w:rsidRPr="00947E9A">
        <w:rPr>
          <w:rFonts w:ascii="Times New Roman" w:hAnsi="Times New Roman" w:cs="Times New Roman"/>
          <w:bCs/>
          <w:sz w:val="24"/>
          <w:szCs w:val="24"/>
        </w:rPr>
        <w:t>8(2)</w:t>
      </w:r>
      <w:r w:rsidR="008F6E0E" w:rsidRPr="00947E9A">
        <w:rPr>
          <w:rFonts w:ascii="Times New Roman" w:hAnsi="Times New Roman" w:cs="Times New Roman"/>
          <w:bCs/>
          <w:sz w:val="24"/>
          <w:szCs w:val="24"/>
        </w:rPr>
        <w:t>,</w:t>
      </w:r>
      <w:r w:rsidRPr="00947E9A">
        <w:rPr>
          <w:rFonts w:ascii="Times New Roman" w:hAnsi="Times New Roman" w:cs="Times New Roman"/>
          <w:bCs/>
          <w:sz w:val="24"/>
          <w:szCs w:val="24"/>
        </w:rPr>
        <w:t xml:space="preserve"> 104-108.</w:t>
      </w:r>
    </w:p>
    <w:p w14:paraId="40B88828" w14:textId="07BABE0E" w:rsidR="00A811B0" w:rsidRPr="00947E9A" w:rsidRDefault="00A811B0" w:rsidP="00947E9A">
      <w:pPr>
        <w:pStyle w:val="ListParagraph"/>
        <w:numPr>
          <w:ilvl w:val="0"/>
          <w:numId w:val="2"/>
        </w:numPr>
        <w:spacing w:before="120" w:after="120"/>
        <w:rPr>
          <w:rFonts w:ascii="Times New Roman" w:hAnsi="Times New Roman" w:cs="Times New Roman"/>
          <w:bCs/>
          <w:sz w:val="24"/>
          <w:szCs w:val="24"/>
        </w:rPr>
      </w:pPr>
      <w:r w:rsidRPr="00947E9A">
        <w:rPr>
          <w:rFonts w:ascii="Times New Roman" w:hAnsi="Times New Roman" w:cs="Times New Roman"/>
          <w:bCs/>
          <w:sz w:val="24"/>
          <w:szCs w:val="24"/>
        </w:rPr>
        <w:t xml:space="preserve">Gautam, A., Singh, D. K., Kumar, V., Ramand, S. </w:t>
      </w:r>
      <w:r w:rsidR="000B7029" w:rsidRPr="00947E9A">
        <w:rPr>
          <w:rFonts w:ascii="Times New Roman" w:hAnsi="Times New Roman" w:cs="Times New Roman"/>
          <w:bCs/>
          <w:sz w:val="24"/>
          <w:szCs w:val="24"/>
        </w:rPr>
        <w:t>&amp;</w:t>
      </w:r>
      <w:r w:rsidRPr="00947E9A">
        <w:rPr>
          <w:rFonts w:ascii="Times New Roman" w:hAnsi="Times New Roman" w:cs="Times New Roman"/>
          <w:bCs/>
          <w:sz w:val="24"/>
          <w:szCs w:val="24"/>
        </w:rPr>
        <w:t xml:space="preserve"> Babu, A. (2020). Effect of nitrogen and phosphorus levels on growth, yield and nutrient uptake of pearl millet (</w:t>
      </w:r>
      <w:r w:rsidRPr="00947E9A">
        <w:rPr>
          <w:rFonts w:ascii="Times New Roman" w:hAnsi="Times New Roman" w:cs="Times New Roman"/>
          <w:bCs/>
          <w:i/>
          <w:sz w:val="24"/>
          <w:szCs w:val="24"/>
        </w:rPr>
        <w:t>Pennisetum</w:t>
      </w:r>
      <w:r w:rsidR="008F6E0E" w:rsidRPr="00947E9A">
        <w:rPr>
          <w:rFonts w:ascii="Times New Roman" w:hAnsi="Times New Roman" w:cs="Times New Roman"/>
          <w:bCs/>
          <w:i/>
          <w:sz w:val="24"/>
          <w:szCs w:val="24"/>
        </w:rPr>
        <w:t xml:space="preserve"> </w:t>
      </w:r>
      <w:r w:rsidRPr="00947E9A">
        <w:rPr>
          <w:rFonts w:ascii="Times New Roman" w:hAnsi="Times New Roman" w:cs="Times New Roman"/>
          <w:bCs/>
          <w:i/>
          <w:sz w:val="24"/>
          <w:szCs w:val="24"/>
        </w:rPr>
        <w:t>glaucum</w:t>
      </w:r>
      <w:r w:rsidRPr="00947E9A">
        <w:rPr>
          <w:rFonts w:ascii="Times New Roman" w:hAnsi="Times New Roman" w:cs="Times New Roman"/>
          <w:bCs/>
          <w:sz w:val="24"/>
          <w:szCs w:val="24"/>
        </w:rPr>
        <w:t xml:space="preserve">. L). </w:t>
      </w:r>
      <w:r w:rsidRPr="00947E9A">
        <w:rPr>
          <w:rFonts w:ascii="Times New Roman" w:hAnsi="Times New Roman" w:cs="Times New Roman"/>
          <w:bCs/>
          <w:i/>
          <w:sz w:val="24"/>
          <w:szCs w:val="24"/>
        </w:rPr>
        <w:t>International Archive of Applied Sciences and Technology</w:t>
      </w:r>
      <w:r w:rsidRPr="00947E9A">
        <w:rPr>
          <w:rFonts w:ascii="Times New Roman" w:hAnsi="Times New Roman" w:cs="Times New Roman"/>
          <w:bCs/>
          <w:sz w:val="24"/>
          <w:szCs w:val="24"/>
        </w:rPr>
        <w:t>, 11(1)</w:t>
      </w:r>
      <w:r w:rsidR="008F6E0E" w:rsidRPr="00947E9A">
        <w:rPr>
          <w:rFonts w:ascii="Times New Roman" w:hAnsi="Times New Roman" w:cs="Times New Roman"/>
          <w:bCs/>
          <w:sz w:val="24"/>
          <w:szCs w:val="24"/>
        </w:rPr>
        <w:t xml:space="preserve">, </w:t>
      </w:r>
      <w:r w:rsidRPr="00947E9A">
        <w:rPr>
          <w:rFonts w:ascii="Times New Roman" w:hAnsi="Times New Roman" w:cs="Times New Roman"/>
          <w:bCs/>
          <w:sz w:val="24"/>
          <w:szCs w:val="24"/>
        </w:rPr>
        <w:t>101-105.</w:t>
      </w:r>
    </w:p>
    <w:p w14:paraId="024C471E" w14:textId="2D18B64A" w:rsidR="00A811B0" w:rsidRPr="00947E9A" w:rsidRDefault="00A811B0" w:rsidP="00947E9A">
      <w:pPr>
        <w:pStyle w:val="ListParagraph"/>
        <w:numPr>
          <w:ilvl w:val="0"/>
          <w:numId w:val="2"/>
        </w:numPr>
        <w:spacing w:before="120" w:after="120"/>
        <w:rPr>
          <w:rFonts w:ascii="Times New Roman" w:hAnsi="Times New Roman" w:cs="Times New Roman"/>
          <w:sz w:val="24"/>
          <w:szCs w:val="24"/>
        </w:rPr>
      </w:pPr>
      <w:r w:rsidRPr="00947E9A">
        <w:rPr>
          <w:rFonts w:ascii="Times New Roman" w:hAnsi="Times New Roman" w:cs="Times New Roman"/>
          <w:sz w:val="24"/>
          <w:szCs w:val="24"/>
        </w:rPr>
        <w:t xml:space="preserve">Gomez, K.A. </w:t>
      </w:r>
      <w:r w:rsidR="000B7029" w:rsidRPr="00947E9A">
        <w:rPr>
          <w:rFonts w:ascii="Times New Roman" w:hAnsi="Times New Roman" w:cs="Times New Roman"/>
          <w:sz w:val="24"/>
          <w:szCs w:val="24"/>
        </w:rPr>
        <w:t>&amp;</w:t>
      </w:r>
      <w:r w:rsidRPr="00947E9A">
        <w:rPr>
          <w:rFonts w:ascii="Times New Roman" w:hAnsi="Times New Roman" w:cs="Times New Roman"/>
          <w:sz w:val="24"/>
          <w:szCs w:val="24"/>
        </w:rPr>
        <w:t xml:space="preserve"> Gomez, A.A. (1984) Statistical procedures for agricultural research, IRRI: A Wiley Pub., New York, pp: 199-201.</w:t>
      </w:r>
    </w:p>
    <w:p w14:paraId="5A929827" w14:textId="77777777" w:rsidR="008F61AA" w:rsidRPr="00947E9A" w:rsidRDefault="008F61AA" w:rsidP="00947E9A">
      <w:pPr>
        <w:pStyle w:val="ListParagraph"/>
        <w:numPr>
          <w:ilvl w:val="0"/>
          <w:numId w:val="2"/>
        </w:numPr>
        <w:spacing w:before="120" w:after="120"/>
        <w:rPr>
          <w:rFonts w:ascii="Times New Roman" w:hAnsi="Times New Roman" w:cs="Times New Roman"/>
          <w:color w:val="000000"/>
          <w:sz w:val="24"/>
          <w:szCs w:val="24"/>
          <w:highlight w:val="yellow"/>
        </w:rPr>
      </w:pPr>
      <w:r w:rsidRPr="00947E9A">
        <w:rPr>
          <w:rFonts w:ascii="Times New Roman" w:hAnsi="Times New Roman" w:cs="Times New Roman"/>
          <w:color w:val="000000"/>
          <w:sz w:val="24"/>
          <w:szCs w:val="24"/>
          <w:highlight w:val="yellow"/>
        </w:rPr>
        <w:t>Jackson, M.L. (1973). Soil Chemical Analysis. Prentice Hall of India Pvt. Ltd., New Delhi. pp. 214-221.</w:t>
      </w:r>
    </w:p>
    <w:p w14:paraId="21E13D73" w14:textId="5D28D1C0" w:rsidR="00E6005C" w:rsidRPr="00947E9A" w:rsidRDefault="00E6005C" w:rsidP="00947E9A">
      <w:pPr>
        <w:pStyle w:val="ListParagraph"/>
        <w:numPr>
          <w:ilvl w:val="0"/>
          <w:numId w:val="2"/>
        </w:numPr>
        <w:spacing w:before="120" w:after="120"/>
        <w:rPr>
          <w:rFonts w:ascii="Times New Roman" w:hAnsi="Times New Roman" w:cs="Times New Roman"/>
          <w:sz w:val="24"/>
          <w:szCs w:val="24"/>
          <w:lang w:val="en-IN"/>
        </w:rPr>
      </w:pPr>
      <w:r w:rsidRPr="00947E9A">
        <w:rPr>
          <w:rFonts w:ascii="Times New Roman" w:hAnsi="Times New Roman" w:cs="Times New Roman"/>
          <w:sz w:val="24"/>
          <w:szCs w:val="24"/>
          <w:lang w:val="en-IN"/>
        </w:rPr>
        <w:t xml:space="preserve">Kamal, Dhaka, A.K., Singh, B., Kamboj, E., Preeti </w:t>
      </w:r>
      <w:r w:rsidR="000B7029" w:rsidRPr="00947E9A">
        <w:rPr>
          <w:rFonts w:ascii="Times New Roman" w:hAnsi="Times New Roman" w:cs="Times New Roman"/>
          <w:sz w:val="24"/>
          <w:szCs w:val="24"/>
        </w:rPr>
        <w:t>&amp;</w:t>
      </w:r>
      <w:r w:rsidRPr="00947E9A">
        <w:rPr>
          <w:rFonts w:ascii="Times New Roman" w:hAnsi="Times New Roman" w:cs="Times New Roman"/>
          <w:sz w:val="24"/>
          <w:szCs w:val="24"/>
          <w:lang w:val="en-IN"/>
        </w:rPr>
        <w:t xml:space="preserve"> Sharma, A. (2024). Effect of phosphorus and sulphur levels on biomass partitioning in groundnut. </w:t>
      </w:r>
      <w:r w:rsidRPr="00947E9A">
        <w:rPr>
          <w:rFonts w:ascii="Times New Roman" w:hAnsi="Times New Roman" w:cs="Times New Roman"/>
          <w:i/>
          <w:iCs/>
          <w:sz w:val="24"/>
          <w:szCs w:val="24"/>
          <w:lang w:val="en-IN"/>
        </w:rPr>
        <w:t>Research on Crops</w:t>
      </w:r>
      <w:r w:rsidR="00735C79" w:rsidRPr="00947E9A">
        <w:rPr>
          <w:rFonts w:ascii="Times New Roman" w:hAnsi="Times New Roman" w:cs="Times New Roman"/>
          <w:sz w:val="24"/>
          <w:szCs w:val="24"/>
          <w:lang w:val="en-IN"/>
        </w:rPr>
        <w:t>,</w:t>
      </w:r>
      <w:r w:rsidRPr="00947E9A">
        <w:rPr>
          <w:rFonts w:ascii="Times New Roman" w:hAnsi="Times New Roman" w:cs="Times New Roman"/>
          <w:sz w:val="24"/>
          <w:szCs w:val="24"/>
          <w:lang w:val="en-IN"/>
        </w:rPr>
        <w:t> 25(1)</w:t>
      </w:r>
      <w:r w:rsidR="00735C79" w:rsidRPr="00947E9A">
        <w:rPr>
          <w:rFonts w:ascii="Times New Roman" w:hAnsi="Times New Roman" w:cs="Times New Roman"/>
          <w:sz w:val="24"/>
          <w:szCs w:val="24"/>
          <w:lang w:val="en-IN"/>
        </w:rPr>
        <w:t xml:space="preserve">, </w:t>
      </w:r>
      <w:r w:rsidRPr="00947E9A">
        <w:rPr>
          <w:rFonts w:ascii="Times New Roman" w:hAnsi="Times New Roman" w:cs="Times New Roman"/>
          <w:sz w:val="24"/>
          <w:szCs w:val="24"/>
          <w:lang w:val="en-IN"/>
        </w:rPr>
        <w:t>57-64.</w:t>
      </w:r>
    </w:p>
    <w:p w14:paraId="05AD0105" w14:textId="77777777" w:rsidR="00916B1D" w:rsidRPr="00947E9A" w:rsidRDefault="00916B1D" w:rsidP="00947E9A">
      <w:pPr>
        <w:pStyle w:val="ListParagraph"/>
        <w:numPr>
          <w:ilvl w:val="0"/>
          <w:numId w:val="2"/>
        </w:numPr>
        <w:spacing w:before="120" w:after="120"/>
        <w:rPr>
          <w:rFonts w:ascii="Times New Roman" w:hAnsi="Times New Roman" w:cs="Times New Roman"/>
          <w:sz w:val="24"/>
          <w:szCs w:val="24"/>
          <w:lang w:val="en-IN"/>
        </w:rPr>
      </w:pPr>
      <w:r w:rsidRPr="00947E9A">
        <w:rPr>
          <w:rFonts w:ascii="Times New Roman" w:hAnsi="Times New Roman" w:cs="Times New Roman"/>
          <w:sz w:val="24"/>
          <w:szCs w:val="24"/>
          <w:highlight w:val="yellow"/>
          <w:lang w:val="en-IN"/>
        </w:rPr>
        <w:t xml:space="preserve">Kamal, Kamboj, E., Sharma, A., Ravi, Dhaka, B.K. </w:t>
      </w:r>
      <w:r w:rsidRPr="00947E9A">
        <w:rPr>
          <w:rFonts w:ascii="Times New Roman" w:hAnsi="Times New Roman" w:cs="Times New Roman"/>
          <w:sz w:val="24"/>
          <w:szCs w:val="24"/>
          <w:highlight w:val="yellow"/>
        </w:rPr>
        <w:t>&amp;</w:t>
      </w:r>
      <w:r w:rsidRPr="00947E9A">
        <w:rPr>
          <w:rFonts w:ascii="Times New Roman" w:hAnsi="Times New Roman" w:cs="Times New Roman"/>
          <w:sz w:val="24"/>
          <w:szCs w:val="24"/>
          <w:highlight w:val="yellow"/>
          <w:lang w:val="en-IN"/>
        </w:rPr>
        <w:t xml:space="preserve"> Preeti. (2023). Effect of phosphorus application on groundnut (</w:t>
      </w:r>
      <w:r w:rsidRPr="00947E9A">
        <w:rPr>
          <w:rFonts w:ascii="Times New Roman" w:hAnsi="Times New Roman" w:cs="Times New Roman"/>
          <w:i/>
          <w:iCs/>
          <w:sz w:val="24"/>
          <w:szCs w:val="24"/>
          <w:highlight w:val="yellow"/>
          <w:lang w:val="en-IN"/>
        </w:rPr>
        <w:t>Arachis hypogaea</w:t>
      </w:r>
      <w:r w:rsidRPr="00947E9A">
        <w:rPr>
          <w:rFonts w:ascii="Times New Roman" w:hAnsi="Times New Roman" w:cs="Times New Roman"/>
          <w:sz w:val="24"/>
          <w:szCs w:val="24"/>
          <w:highlight w:val="yellow"/>
          <w:lang w:val="en-IN"/>
        </w:rPr>
        <w:t> L.): A review. </w:t>
      </w:r>
      <w:r w:rsidRPr="00947E9A">
        <w:rPr>
          <w:rFonts w:ascii="Times New Roman" w:hAnsi="Times New Roman" w:cs="Times New Roman"/>
          <w:i/>
          <w:iCs/>
          <w:sz w:val="24"/>
          <w:szCs w:val="24"/>
          <w:highlight w:val="yellow"/>
          <w:lang w:val="en-IN"/>
        </w:rPr>
        <w:t>International Journal of Plant and Soil Science</w:t>
      </w:r>
      <w:r w:rsidRPr="00947E9A">
        <w:rPr>
          <w:rFonts w:ascii="Times New Roman" w:hAnsi="Times New Roman" w:cs="Times New Roman"/>
          <w:sz w:val="24"/>
          <w:szCs w:val="24"/>
          <w:highlight w:val="yellow"/>
          <w:lang w:val="en-IN"/>
        </w:rPr>
        <w:t>, 35(18), 1536-1544.</w:t>
      </w:r>
      <w:r w:rsidRPr="00947E9A">
        <w:rPr>
          <w:rFonts w:ascii="Times New Roman" w:hAnsi="Times New Roman" w:cs="Times New Roman"/>
          <w:sz w:val="24"/>
          <w:szCs w:val="24"/>
          <w:lang w:val="en-IN"/>
        </w:rPr>
        <w:t xml:space="preserve">  </w:t>
      </w:r>
    </w:p>
    <w:p w14:paraId="4351028B" w14:textId="0DDF6B54" w:rsidR="00A811B0" w:rsidRPr="00947E9A" w:rsidRDefault="00A811B0" w:rsidP="00947E9A">
      <w:pPr>
        <w:pStyle w:val="ListParagraph"/>
        <w:numPr>
          <w:ilvl w:val="0"/>
          <w:numId w:val="2"/>
        </w:numPr>
        <w:spacing w:before="120" w:after="120"/>
        <w:rPr>
          <w:rFonts w:ascii="Times New Roman" w:hAnsi="Times New Roman" w:cs="Times New Roman"/>
          <w:bCs/>
          <w:sz w:val="24"/>
          <w:szCs w:val="24"/>
        </w:rPr>
      </w:pPr>
      <w:r w:rsidRPr="00947E9A">
        <w:rPr>
          <w:rFonts w:ascii="Times New Roman" w:hAnsi="Times New Roman" w:cs="Times New Roman"/>
          <w:sz w:val="24"/>
          <w:szCs w:val="24"/>
        </w:rPr>
        <w:t xml:space="preserve">Khan, F., Siddique, A.B., Shabala, S., Zhou, M. </w:t>
      </w:r>
      <w:r w:rsidR="000B7029" w:rsidRPr="00947E9A">
        <w:rPr>
          <w:rFonts w:ascii="Times New Roman" w:hAnsi="Times New Roman" w:cs="Times New Roman"/>
          <w:sz w:val="24"/>
          <w:szCs w:val="24"/>
        </w:rPr>
        <w:t>&amp;</w:t>
      </w:r>
      <w:r w:rsidRPr="00947E9A">
        <w:rPr>
          <w:rFonts w:ascii="Times New Roman" w:hAnsi="Times New Roman" w:cs="Times New Roman"/>
          <w:sz w:val="24"/>
          <w:szCs w:val="24"/>
        </w:rPr>
        <w:t xml:space="preserve"> Zhao, C. (2023). Phosphorus plays key roles in regulating plant’s physiological responses to abiotic stresses. </w:t>
      </w:r>
      <w:r w:rsidRPr="00947E9A">
        <w:rPr>
          <w:rFonts w:ascii="Times New Roman" w:hAnsi="Times New Roman" w:cs="Times New Roman"/>
          <w:i/>
          <w:sz w:val="24"/>
          <w:szCs w:val="24"/>
        </w:rPr>
        <w:t>Plants,</w:t>
      </w:r>
      <w:r w:rsidR="00735C79" w:rsidRPr="00947E9A">
        <w:rPr>
          <w:rFonts w:ascii="Times New Roman" w:hAnsi="Times New Roman" w:cs="Times New Roman"/>
          <w:i/>
          <w:sz w:val="24"/>
          <w:szCs w:val="24"/>
        </w:rPr>
        <w:t xml:space="preserve"> </w:t>
      </w:r>
      <w:r w:rsidRPr="00947E9A">
        <w:rPr>
          <w:rFonts w:ascii="Times New Roman" w:hAnsi="Times New Roman" w:cs="Times New Roman"/>
          <w:bCs/>
          <w:sz w:val="24"/>
          <w:szCs w:val="24"/>
        </w:rPr>
        <w:t>12(15)</w:t>
      </w:r>
      <w:r w:rsidR="00735C79" w:rsidRPr="00947E9A">
        <w:rPr>
          <w:rFonts w:ascii="Times New Roman" w:hAnsi="Times New Roman" w:cs="Times New Roman"/>
          <w:bCs/>
          <w:sz w:val="24"/>
          <w:szCs w:val="24"/>
        </w:rPr>
        <w:t xml:space="preserve">, </w:t>
      </w:r>
      <w:r w:rsidRPr="00947E9A">
        <w:rPr>
          <w:rFonts w:ascii="Times New Roman" w:hAnsi="Times New Roman" w:cs="Times New Roman"/>
          <w:bCs/>
          <w:sz w:val="24"/>
          <w:szCs w:val="24"/>
        </w:rPr>
        <w:t>2861.</w:t>
      </w:r>
    </w:p>
    <w:p w14:paraId="15DB74A1" w14:textId="49E8DAA5" w:rsidR="00A811B0" w:rsidRPr="00947E9A" w:rsidRDefault="00A811B0" w:rsidP="00947E9A">
      <w:pPr>
        <w:pStyle w:val="ListParagraph"/>
        <w:numPr>
          <w:ilvl w:val="0"/>
          <w:numId w:val="2"/>
        </w:numPr>
        <w:spacing w:before="120" w:after="120"/>
        <w:rPr>
          <w:rFonts w:ascii="Times New Roman" w:hAnsi="Times New Roman" w:cs="Times New Roman"/>
          <w:bCs/>
          <w:sz w:val="24"/>
          <w:szCs w:val="24"/>
        </w:rPr>
      </w:pPr>
      <w:r w:rsidRPr="00947E9A">
        <w:rPr>
          <w:rFonts w:ascii="Times New Roman" w:hAnsi="Times New Roman" w:cs="Times New Roman"/>
          <w:bCs/>
          <w:color w:val="000000"/>
          <w:sz w:val="23"/>
          <w:szCs w:val="23"/>
          <w:lang w:bidi="en-US"/>
        </w:rPr>
        <w:lastRenderedPageBreak/>
        <w:t xml:space="preserve">Maai, E., Kojima, M., Takebayashi, Y. </w:t>
      </w:r>
      <w:r w:rsidR="000B7029" w:rsidRPr="00947E9A">
        <w:rPr>
          <w:rFonts w:ascii="Times New Roman" w:hAnsi="Times New Roman" w:cs="Times New Roman"/>
          <w:bCs/>
          <w:sz w:val="24"/>
          <w:szCs w:val="24"/>
        </w:rPr>
        <w:t>&amp;</w:t>
      </w:r>
      <w:r w:rsidRPr="00947E9A">
        <w:rPr>
          <w:rFonts w:ascii="Times New Roman" w:hAnsi="Times New Roman" w:cs="Times New Roman"/>
          <w:bCs/>
          <w:color w:val="000000"/>
          <w:sz w:val="23"/>
          <w:szCs w:val="23"/>
          <w:lang w:bidi="en-US"/>
        </w:rPr>
        <w:t xml:space="preserve"> Sakakibara, H. (2025). Chloroplast arrangement in finger millet under low-temperature conditions. </w:t>
      </w:r>
      <w:proofErr w:type="spellStart"/>
      <w:r w:rsidRPr="00947E9A">
        <w:rPr>
          <w:rFonts w:ascii="Times New Roman" w:hAnsi="Times New Roman" w:cs="Times New Roman"/>
          <w:bCs/>
          <w:i/>
          <w:color w:val="000000"/>
          <w:sz w:val="23"/>
          <w:szCs w:val="23"/>
          <w:lang w:bidi="en-US"/>
        </w:rPr>
        <w:t>Biochimica</w:t>
      </w:r>
      <w:proofErr w:type="spellEnd"/>
      <w:r w:rsidRPr="00947E9A">
        <w:rPr>
          <w:rFonts w:ascii="Times New Roman" w:hAnsi="Times New Roman" w:cs="Times New Roman"/>
          <w:bCs/>
          <w:i/>
          <w:color w:val="000000"/>
          <w:sz w:val="23"/>
          <w:szCs w:val="23"/>
          <w:lang w:bidi="en-US"/>
        </w:rPr>
        <w:t xml:space="preserve"> et </w:t>
      </w:r>
      <w:proofErr w:type="spellStart"/>
      <w:r w:rsidRPr="00947E9A">
        <w:rPr>
          <w:rFonts w:ascii="Times New Roman" w:hAnsi="Times New Roman" w:cs="Times New Roman"/>
          <w:bCs/>
          <w:i/>
          <w:color w:val="000000"/>
          <w:sz w:val="23"/>
          <w:szCs w:val="23"/>
          <w:lang w:bidi="en-US"/>
        </w:rPr>
        <w:t>BiophysicaActa</w:t>
      </w:r>
      <w:proofErr w:type="spellEnd"/>
      <w:r w:rsidRPr="00947E9A">
        <w:rPr>
          <w:rFonts w:ascii="Times New Roman" w:hAnsi="Times New Roman" w:cs="Times New Roman"/>
          <w:bCs/>
          <w:i/>
          <w:color w:val="000000"/>
          <w:sz w:val="23"/>
          <w:szCs w:val="23"/>
          <w:lang w:bidi="en-US"/>
        </w:rPr>
        <w:t xml:space="preserve"> (BBA) - General Subjects, </w:t>
      </w:r>
      <w:r w:rsidRPr="00947E9A">
        <w:rPr>
          <w:rFonts w:ascii="Times New Roman" w:hAnsi="Times New Roman" w:cs="Times New Roman"/>
          <w:bCs/>
          <w:color w:val="000000"/>
          <w:sz w:val="23"/>
          <w:szCs w:val="23"/>
          <w:lang w:bidi="en-US"/>
        </w:rPr>
        <w:t>1869(3)</w:t>
      </w:r>
      <w:r w:rsidR="00735C79" w:rsidRPr="00947E9A">
        <w:rPr>
          <w:rFonts w:ascii="Times New Roman" w:hAnsi="Times New Roman" w:cs="Times New Roman"/>
          <w:bCs/>
          <w:color w:val="000000"/>
          <w:sz w:val="23"/>
          <w:szCs w:val="23"/>
          <w:lang w:bidi="en-US"/>
        </w:rPr>
        <w:t xml:space="preserve">, </w:t>
      </w:r>
      <w:r w:rsidRPr="00947E9A">
        <w:rPr>
          <w:rFonts w:ascii="Times New Roman" w:hAnsi="Times New Roman" w:cs="Times New Roman"/>
          <w:bCs/>
          <w:color w:val="000000"/>
          <w:sz w:val="23"/>
          <w:szCs w:val="23"/>
          <w:lang w:bidi="en-US"/>
        </w:rPr>
        <w:t>130757.</w:t>
      </w:r>
    </w:p>
    <w:p w14:paraId="1F15FEB6" w14:textId="0C167221" w:rsidR="00A811B0" w:rsidRPr="00947E9A" w:rsidRDefault="00A811B0" w:rsidP="00947E9A">
      <w:pPr>
        <w:pStyle w:val="ListParagraph"/>
        <w:numPr>
          <w:ilvl w:val="0"/>
          <w:numId w:val="2"/>
        </w:numPr>
        <w:spacing w:before="120" w:after="120"/>
        <w:rPr>
          <w:rFonts w:ascii="Times New Roman" w:hAnsi="Times New Roman" w:cs="Times New Roman"/>
          <w:sz w:val="24"/>
          <w:szCs w:val="24"/>
        </w:rPr>
      </w:pPr>
      <w:r w:rsidRPr="00947E9A">
        <w:rPr>
          <w:rFonts w:ascii="Times New Roman" w:hAnsi="Times New Roman" w:cs="Times New Roman"/>
          <w:sz w:val="24"/>
          <w:szCs w:val="24"/>
        </w:rPr>
        <w:t xml:space="preserve">Macauley, H. </w:t>
      </w:r>
      <w:r w:rsidR="000B7029" w:rsidRPr="00947E9A">
        <w:rPr>
          <w:rFonts w:ascii="Times New Roman" w:hAnsi="Times New Roman" w:cs="Times New Roman"/>
          <w:sz w:val="24"/>
          <w:szCs w:val="24"/>
        </w:rPr>
        <w:t>&amp;</w:t>
      </w:r>
      <w:r w:rsidRPr="00947E9A">
        <w:rPr>
          <w:rFonts w:ascii="Times New Roman" w:hAnsi="Times New Roman" w:cs="Times New Roman"/>
          <w:sz w:val="24"/>
          <w:szCs w:val="24"/>
        </w:rPr>
        <w:t xml:space="preserve"> </w:t>
      </w:r>
      <w:proofErr w:type="spellStart"/>
      <w:r w:rsidRPr="00947E9A">
        <w:rPr>
          <w:rFonts w:ascii="Times New Roman" w:hAnsi="Times New Roman" w:cs="Times New Roman"/>
          <w:sz w:val="24"/>
          <w:szCs w:val="24"/>
        </w:rPr>
        <w:t>Ramadjita</w:t>
      </w:r>
      <w:proofErr w:type="spellEnd"/>
      <w:r w:rsidRPr="00947E9A">
        <w:rPr>
          <w:rFonts w:ascii="Times New Roman" w:hAnsi="Times New Roman" w:cs="Times New Roman"/>
          <w:sz w:val="24"/>
          <w:szCs w:val="24"/>
        </w:rPr>
        <w:t>, T. (2015). Cereal crops: Rice, maize, millet, sorghum, wheat</w:t>
      </w:r>
      <w:r w:rsidRPr="00947E9A">
        <w:rPr>
          <w:rFonts w:ascii="Times New Roman" w:hAnsi="Times New Roman" w:cs="Times New Roman"/>
          <w:i/>
          <w:sz w:val="24"/>
          <w:szCs w:val="24"/>
        </w:rPr>
        <w:t xml:space="preserve">. In Background Paper </w:t>
      </w:r>
      <w:proofErr w:type="gramStart"/>
      <w:r w:rsidRPr="00947E9A">
        <w:rPr>
          <w:rFonts w:ascii="Times New Roman" w:hAnsi="Times New Roman" w:cs="Times New Roman"/>
          <w:i/>
          <w:sz w:val="24"/>
          <w:szCs w:val="24"/>
        </w:rPr>
        <w:t>To</w:t>
      </w:r>
      <w:proofErr w:type="gramEnd"/>
      <w:r w:rsidRPr="00947E9A">
        <w:rPr>
          <w:rFonts w:ascii="Times New Roman" w:hAnsi="Times New Roman" w:cs="Times New Roman"/>
          <w:i/>
          <w:sz w:val="24"/>
          <w:szCs w:val="24"/>
        </w:rPr>
        <w:t xml:space="preserve"> The Conference Feeding Africa</w:t>
      </w:r>
      <w:r w:rsidRPr="00947E9A">
        <w:rPr>
          <w:rFonts w:ascii="Times New Roman" w:hAnsi="Times New Roman" w:cs="Times New Roman"/>
          <w:sz w:val="24"/>
          <w:szCs w:val="24"/>
        </w:rPr>
        <w:t xml:space="preserve">, </w:t>
      </w:r>
      <w:r w:rsidRPr="00947E9A">
        <w:rPr>
          <w:rFonts w:ascii="Times New Roman" w:hAnsi="Times New Roman" w:cs="Times New Roman"/>
          <w:bCs/>
          <w:sz w:val="24"/>
          <w:szCs w:val="24"/>
        </w:rPr>
        <w:t>36</w:t>
      </w:r>
      <w:r w:rsidR="00735C79" w:rsidRPr="00947E9A">
        <w:rPr>
          <w:rFonts w:ascii="Times New Roman" w:hAnsi="Times New Roman" w:cs="Times New Roman"/>
          <w:sz w:val="24"/>
          <w:szCs w:val="24"/>
        </w:rPr>
        <w:t xml:space="preserve">, </w:t>
      </w:r>
      <w:r w:rsidRPr="00947E9A">
        <w:rPr>
          <w:rFonts w:ascii="Times New Roman" w:hAnsi="Times New Roman" w:cs="Times New Roman"/>
          <w:sz w:val="24"/>
          <w:szCs w:val="24"/>
        </w:rPr>
        <w:t>1</w:t>
      </w:r>
      <w:r w:rsidR="00735C79" w:rsidRPr="00947E9A">
        <w:rPr>
          <w:rFonts w:ascii="Times New Roman" w:hAnsi="Times New Roman" w:cs="Times New Roman"/>
          <w:sz w:val="24"/>
          <w:szCs w:val="24"/>
        </w:rPr>
        <w:t>-</w:t>
      </w:r>
      <w:r w:rsidRPr="00947E9A">
        <w:rPr>
          <w:rFonts w:ascii="Times New Roman" w:hAnsi="Times New Roman" w:cs="Times New Roman"/>
          <w:sz w:val="24"/>
          <w:szCs w:val="24"/>
        </w:rPr>
        <w:t>31.</w:t>
      </w:r>
    </w:p>
    <w:p w14:paraId="29D944C4" w14:textId="2CFDD34E" w:rsidR="00A811B0" w:rsidRPr="00947E9A" w:rsidRDefault="00A811B0" w:rsidP="00947E9A">
      <w:pPr>
        <w:pStyle w:val="ListParagraph"/>
        <w:numPr>
          <w:ilvl w:val="0"/>
          <w:numId w:val="2"/>
        </w:numPr>
        <w:spacing w:before="120" w:after="120"/>
        <w:rPr>
          <w:rFonts w:ascii="Times New Roman" w:hAnsi="Times New Roman" w:cs="Times New Roman"/>
          <w:sz w:val="24"/>
          <w:szCs w:val="24"/>
        </w:rPr>
      </w:pPr>
      <w:r w:rsidRPr="00947E9A">
        <w:rPr>
          <w:rFonts w:ascii="Times New Roman" w:hAnsi="Times New Roman" w:cs="Times New Roman"/>
          <w:sz w:val="24"/>
          <w:szCs w:val="24"/>
        </w:rPr>
        <w:t xml:space="preserve">Mahajan, G., </w:t>
      </w:r>
      <w:proofErr w:type="spellStart"/>
      <w:r w:rsidRPr="00947E9A">
        <w:rPr>
          <w:rFonts w:ascii="Times New Roman" w:hAnsi="Times New Roman" w:cs="Times New Roman"/>
          <w:sz w:val="24"/>
          <w:szCs w:val="24"/>
        </w:rPr>
        <w:t>Tekam</w:t>
      </w:r>
      <w:proofErr w:type="spellEnd"/>
      <w:r w:rsidRPr="00947E9A">
        <w:rPr>
          <w:rFonts w:ascii="Times New Roman" w:hAnsi="Times New Roman" w:cs="Times New Roman"/>
          <w:sz w:val="24"/>
          <w:szCs w:val="24"/>
        </w:rPr>
        <w:t xml:space="preserve">, P. </w:t>
      </w:r>
      <w:r w:rsidR="000B7029" w:rsidRPr="00947E9A">
        <w:rPr>
          <w:rFonts w:ascii="Times New Roman" w:hAnsi="Times New Roman" w:cs="Times New Roman"/>
          <w:sz w:val="24"/>
          <w:szCs w:val="24"/>
        </w:rPr>
        <w:t>&amp;</w:t>
      </w:r>
      <w:r w:rsidRPr="00947E9A">
        <w:rPr>
          <w:rFonts w:ascii="Times New Roman" w:hAnsi="Times New Roman" w:cs="Times New Roman"/>
          <w:sz w:val="24"/>
          <w:szCs w:val="24"/>
        </w:rPr>
        <w:t xml:space="preserve"> Singh, D. (2017). Response of </w:t>
      </w:r>
      <w:proofErr w:type="spellStart"/>
      <w:r w:rsidRPr="00947E9A">
        <w:rPr>
          <w:rFonts w:ascii="Times New Roman" w:hAnsi="Times New Roman" w:cs="Times New Roman"/>
          <w:sz w:val="24"/>
          <w:szCs w:val="24"/>
        </w:rPr>
        <w:t>kodo</w:t>
      </w:r>
      <w:proofErr w:type="spellEnd"/>
      <w:r w:rsidRPr="00947E9A">
        <w:rPr>
          <w:rFonts w:ascii="Times New Roman" w:hAnsi="Times New Roman" w:cs="Times New Roman"/>
          <w:sz w:val="24"/>
          <w:szCs w:val="24"/>
        </w:rPr>
        <w:t xml:space="preserve"> millet varieties to different fertility levels under rainfed conditions of Kymore plateau. </w:t>
      </w:r>
      <w:r w:rsidRPr="00947E9A">
        <w:rPr>
          <w:rFonts w:ascii="Times New Roman" w:hAnsi="Times New Roman" w:cs="Times New Roman"/>
          <w:i/>
          <w:sz w:val="24"/>
          <w:szCs w:val="24"/>
        </w:rPr>
        <w:t>Environment and Ecology</w:t>
      </w:r>
      <w:r w:rsidRPr="00947E9A">
        <w:rPr>
          <w:rFonts w:ascii="Times New Roman" w:hAnsi="Times New Roman" w:cs="Times New Roman"/>
          <w:sz w:val="24"/>
          <w:szCs w:val="24"/>
        </w:rPr>
        <w:t xml:space="preserve">, </w:t>
      </w:r>
      <w:r w:rsidRPr="00947E9A">
        <w:rPr>
          <w:rFonts w:ascii="Times New Roman" w:hAnsi="Times New Roman" w:cs="Times New Roman"/>
          <w:bCs/>
          <w:sz w:val="24"/>
          <w:szCs w:val="24"/>
        </w:rPr>
        <w:t>35</w:t>
      </w:r>
      <w:r w:rsidRPr="00947E9A">
        <w:rPr>
          <w:rFonts w:ascii="Times New Roman" w:hAnsi="Times New Roman" w:cs="Times New Roman"/>
          <w:sz w:val="24"/>
          <w:szCs w:val="24"/>
        </w:rPr>
        <w:t>(2B)</w:t>
      </w:r>
      <w:r w:rsidR="00363CEC" w:rsidRPr="00947E9A">
        <w:rPr>
          <w:rFonts w:ascii="Times New Roman" w:hAnsi="Times New Roman" w:cs="Times New Roman"/>
          <w:sz w:val="24"/>
          <w:szCs w:val="24"/>
        </w:rPr>
        <w:t xml:space="preserve">, </w:t>
      </w:r>
      <w:r w:rsidRPr="00947E9A">
        <w:rPr>
          <w:rFonts w:ascii="Times New Roman" w:hAnsi="Times New Roman" w:cs="Times New Roman"/>
          <w:sz w:val="24"/>
          <w:szCs w:val="24"/>
        </w:rPr>
        <w:t>1018-1021.</w:t>
      </w:r>
    </w:p>
    <w:p w14:paraId="0F2FD2F8" w14:textId="4426CACE" w:rsidR="00A811B0" w:rsidRPr="00947E9A" w:rsidRDefault="00A811B0" w:rsidP="00947E9A">
      <w:pPr>
        <w:pStyle w:val="ListParagraph"/>
        <w:numPr>
          <w:ilvl w:val="0"/>
          <w:numId w:val="2"/>
        </w:numPr>
        <w:spacing w:before="120" w:after="120"/>
        <w:rPr>
          <w:rFonts w:ascii="Times New Roman" w:hAnsi="Times New Roman" w:cs="Times New Roman"/>
          <w:sz w:val="24"/>
          <w:szCs w:val="24"/>
        </w:rPr>
      </w:pPr>
      <w:proofErr w:type="spellStart"/>
      <w:r w:rsidRPr="00947E9A">
        <w:rPr>
          <w:rFonts w:ascii="Times New Roman" w:hAnsi="Times New Roman" w:cs="Times New Roman"/>
          <w:sz w:val="24"/>
          <w:szCs w:val="24"/>
        </w:rPr>
        <w:t>Munirathnam</w:t>
      </w:r>
      <w:proofErr w:type="spellEnd"/>
      <w:r w:rsidRPr="00947E9A">
        <w:rPr>
          <w:rFonts w:ascii="Times New Roman" w:hAnsi="Times New Roman" w:cs="Times New Roman"/>
          <w:sz w:val="24"/>
          <w:szCs w:val="24"/>
        </w:rPr>
        <w:t xml:space="preserve">, P. </w:t>
      </w:r>
      <w:r w:rsidR="000B7029" w:rsidRPr="00947E9A">
        <w:rPr>
          <w:rFonts w:ascii="Times New Roman" w:hAnsi="Times New Roman" w:cs="Times New Roman"/>
          <w:sz w:val="24"/>
          <w:szCs w:val="24"/>
        </w:rPr>
        <w:t>&amp;</w:t>
      </w:r>
      <w:r w:rsidRPr="00947E9A">
        <w:rPr>
          <w:rFonts w:ascii="Times New Roman" w:hAnsi="Times New Roman" w:cs="Times New Roman"/>
          <w:sz w:val="24"/>
          <w:szCs w:val="24"/>
        </w:rPr>
        <w:t xml:space="preserve"> Kumar, K. A. (2015). Response of white ragi varieties to nitrogen under rainfed situation in </w:t>
      </w:r>
      <w:proofErr w:type="spellStart"/>
      <w:r w:rsidRPr="00947E9A">
        <w:rPr>
          <w:rFonts w:ascii="Times New Roman" w:hAnsi="Times New Roman" w:cs="Times New Roman"/>
          <w:sz w:val="24"/>
          <w:szCs w:val="24"/>
        </w:rPr>
        <w:t>vertisols</w:t>
      </w:r>
      <w:proofErr w:type="spellEnd"/>
      <w:r w:rsidRPr="00947E9A">
        <w:rPr>
          <w:rFonts w:ascii="Times New Roman" w:hAnsi="Times New Roman" w:cs="Times New Roman"/>
          <w:sz w:val="24"/>
          <w:szCs w:val="24"/>
        </w:rPr>
        <w:t xml:space="preserve"> of Andhra Pradesh</w:t>
      </w:r>
      <w:r w:rsidRPr="00947E9A">
        <w:rPr>
          <w:rFonts w:ascii="Times New Roman" w:hAnsi="Times New Roman" w:cs="Times New Roman"/>
          <w:i/>
          <w:sz w:val="24"/>
          <w:szCs w:val="24"/>
        </w:rPr>
        <w:t>. Annals of Plant and Soil Research</w:t>
      </w:r>
      <w:r w:rsidRPr="00947E9A">
        <w:rPr>
          <w:rFonts w:ascii="Times New Roman" w:hAnsi="Times New Roman" w:cs="Times New Roman"/>
          <w:sz w:val="24"/>
          <w:szCs w:val="24"/>
        </w:rPr>
        <w:t xml:space="preserve">, </w:t>
      </w:r>
      <w:r w:rsidRPr="00947E9A">
        <w:rPr>
          <w:rFonts w:ascii="Times New Roman" w:hAnsi="Times New Roman" w:cs="Times New Roman"/>
          <w:bCs/>
          <w:sz w:val="24"/>
          <w:szCs w:val="24"/>
        </w:rPr>
        <w:t>17</w:t>
      </w:r>
      <w:r w:rsidRPr="00947E9A">
        <w:rPr>
          <w:rFonts w:ascii="Times New Roman" w:hAnsi="Times New Roman" w:cs="Times New Roman"/>
          <w:sz w:val="24"/>
          <w:szCs w:val="24"/>
        </w:rPr>
        <w:t>(2)</w:t>
      </w:r>
      <w:r w:rsidR="00363CEC" w:rsidRPr="00947E9A">
        <w:rPr>
          <w:rFonts w:ascii="Times New Roman" w:hAnsi="Times New Roman" w:cs="Times New Roman"/>
          <w:sz w:val="24"/>
          <w:szCs w:val="24"/>
        </w:rPr>
        <w:t xml:space="preserve">, </w:t>
      </w:r>
      <w:r w:rsidRPr="00947E9A">
        <w:rPr>
          <w:rFonts w:ascii="Times New Roman" w:hAnsi="Times New Roman" w:cs="Times New Roman"/>
          <w:sz w:val="24"/>
          <w:szCs w:val="24"/>
        </w:rPr>
        <w:t>142-145.</w:t>
      </w:r>
    </w:p>
    <w:p w14:paraId="7BB50CBB" w14:textId="77777777" w:rsidR="00ED0D6F" w:rsidRPr="00947E9A" w:rsidRDefault="00ED0D6F" w:rsidP="00947E9A">
      <w:pPr>
        <w:pStyle w:val="ListParagraph"/>
        <w:numPr>
          <w:ilvl w:val="0"/>
          <w:numId w:val="2"/>
        </w:numPr>
        <w:spacing w:before="120" w:after="120"/>
        <w:rPr>
          <w:rFonts w:ascii="Times New Roman" w:hAnsi="Times New Roman" w:cs="Times New Roman"/>
          <w:color w:val="000000"/>
          <w:sz w:val="24"/>
          <w:szCs w:val="24"/>
          <w:highlight w:val="yellow"/>
        </w:rPr>
      </w:pPr>
      <w:r w:rsidRPr="00947E9A">
        <w:rPr>
          <w:rFonts w:ascii="Times New Roman" w:hAnsi="Times New Roman" w:cs="Times New Roman"/>
          <w:color w:val="000000"/>
          <w:sz w:val="24"/>
          <w:szCs w:val="24"/>
          <w:highlight w:val="yellow"/>
        </w:rPr>
        <w:t xml:space="preserve">Olsen, S.R., Cole, C.V., Watanabe, F.S. </w:t>
      </w:r>
      <w:r w:rsidRPr="00947E9A">
        <w:rPr>
          <w:rFonts w:ascii="Times New Roman" w:hAnsi="Times New Roman" w:cs="Times New Roman"/>
          <w:sz w:val="24"/>
          <w:szCs w:val="24"/>
          <w:highlight w:val="yellow"/>
        </w:rPr>
        <w:t>&amp;</w:t>
      </w:r>
      <w:r w:rsidRPr="00947E9A">
        <w:rPr>
          <w:rFonts w:ascii="Times New Roman" w:hAnsi="Times New Roman" w:cs="Times New Roman"/>
          <w:color w:val="000000"/>
          <w:sz w:val="24"/>
          <w:szCs w:val="24"/>
          <w:highlight w:val="yellow"/>
        </w:rPr>
        <w:t xml:space="preserve"> Dean, L.A. (1954). Estimation of available phosphorus in soils by extraction with sodium bicarbonate. USDA Circulation. p. 939.</w:t>
      </w:r>
    </w:p>
    <w:p w14:paraId="38BD3DAD" w14:textId="6D212F12" w:rsidR="00A811B0" w:rsidRPr="00947E9A" w:rsidRDefault="00A811B0" w:rsidP="00947E9A">
      <w:pPr>
        <w:pStyle w:val="ListParagraph"/>
        <w:numPr>
          <w:ilvl w:val="0"/>
          <w:numId w:val="2"/>
        </w:numPr>
        <w:spacing w:before="120" w:after="120"/>
        <w:rPr>
          <w:rFonts w:ascii="Times New Roman" w:hAnsi="Times New Roman" w:cs="Times New Roman"/>
          <w:sz w:val="24"/>
          <w:szCs w:val="24"/>
        </w:rPr>
      </w:pPr>
      <w:r w:rsidRPr="00947E9A">
        <w:rPr>
          <w:rFonts w:ascii="Times New Roman" w:hAnsi="Times New Roman" w:cs="Times New Roman"/>
          <w:sz w:val="24"/>
          <w:szCs w:val="24"/>
        </w:rPr>
        <w:t xml:space="preserve">Pathak, G. C., Gupta, B. </w:t>
      </w:r>
      <w:r w:rsidR="000B7029" w:rsidRPr="00947E9A">
        <w:rPr>
          <w:rFonts w:ascii="Times New Roman" w:hAnsi="Times New Roman" w:cs="Times New Roman"/>
          <w:sz w:val="24"/>
          <w:szCs w:val="24"/>
        </w:rPr>
        <w:t>&amp;</w:t>
      </w:r>
      <w:r w:rsidRPr="00947E9A">
        <w:rPr>
          <w:rFonts w:ascii="Times New Roman" w:hAnsi="Times New Roman" w:cs="Times New Roman"/>
          <w:sz w:val="24"/>
          <w:szCs w:val="24"/>
        </w:rPr>
        <w:t xml:space="preserve"> Pandey, N. (2012). Improving reproductive efficiency of chickpea by foliar application of zinc. </w:t>
      </w:r>
      <w:r w:rsidR="000A43AA" w:rsidRPr="00947E9A">
        <w:rPr>
          <w:rFonts w:ascii="Times New Roman" w:hAnsi="Times New Roman" w:cs="Times New Roman"/>
          <w:i/>
          <w:iCs/>
          <w:sz w:val="24"/>
          <w:szCs w:val="24"/>
          <w:highlight w:val="yellow"/>
        </w:rPr>
        <w:t xml:space="preserve">Brazilian </w:t>
      </w:r>
      <w:r w:rsidRPr="00947E9A">
        <w:rPr>
          <w:rFonts w:ascii="Times New Roman" w:hAnsi="Times New Roman" w:cs="Times New Roman"/>
          <w:i/>
          <w:sz w:val="24"/>
          <w:szCs w:val="24"/>
          <w:highlight w:val="yellow"/>
        </w:rPr>
        <w:t>Journal of Plant Physiology</w:t>
      </w:r>
      <w:r w:rsidRPr="00947E9A">
        <w:rPr>
          <w:rFonts w:ascii="Times New Roman" w:hAnsi="Times New Roman" w:cs="Times New Roman"/>
          <w:sz w:val="24"/>
          <w:szCs w:val="24"/>
        </w:rPr>
        <w:t xml:space="preserve">, </w:t>
      </w:r>
      <w:r w:rsidRPr="00947E9A">
        <w:rPr>
          <w:rFonts w:ascii="Times New Roman" w:hAnsi="Times New Roman" w:cs="Times New Roman"/>
          <w:bCs/>
          <w:sz w:val="24"/>
          <w:szCs w:val="24"/>
        </w:rPr>
        <w:t>24</w:t>
      </w:r>
      <w:r w:rsidRPr="00947E9A">
        <w:rPr>
          <w:rFonts w:ascii="Times New Roman" w:hAnsi="Times New Roman" w:cs="Times New Roman"/>
          <w:sz w:val="24"/>
          <w:szCs w:val="24"/>
        </w:rPr>
        <w:t>(3)</w:t>
      </w:r>
      <w:r w:rsidR="00363CEC" w:rsidRPr="00947E9A">
        <w:rPr>
          <w:rFonts w:ascii="Times New Roman" w:hAnsi="Times New Roman" w:cs="Times New Roman"/>
          <w:sz w:val="24"/>
          <w:szCs w:val="24"/>
        </w:rPr>
        <w:t xml:space="preserve">, </w:t>
      </w:r>
      <w:r w:rsidRPr="00947E9A">
        <w:rPr>
          <w:rFonts w:ascii="Times New Roman" w:hAnsi="Times New Roman" w:cs="Times New Roman"/>
          <w:sz w:val="24"/>
          <w:szCs w:val="24"/>
        </w:rPr>
        <w:t>173-180.</w:t>
      </w:r>
    </w:p>
    <w:p w14:paraId="4EF3D78F" w14:textId="3E20B98D" w:rsidR="00A811B0" w:rsidRPr="00947E9A" w:rsidRDefault="00A811B0" w:rsidP="00947E9A">
      <w:pPr>
        <w:pStyle w:val="ListParagraph"/>
        <w:numPr>
          <w:ilvl w:val="0"/>
          <w:numId w:val="2"/>
        </w:numPr>
        <w:spacing w:before="120" w:after="120"/>
        <w:rPr>
          <w:rFonts w:ascii="Times New Roman" w:hAnsi="Times New Roman" w:cs="Times New Roman"/>
          <w:sz w:val="24"/>
          <w:szCs w:val="24"/>
        </w:rPr>
      </w:pPr>
      <w:r w:rsidRPr="00947E9A">
        <w:rPr>
          <w:rFonts w:ascii="Times New Roman" w:hAnsi="Times New Roman" w:cs="Times New Roman"/>
          <w:sz w:val="24"/>
          <w:szCs w:val="24"/>
        </w:rPr>
        <w:t xml:space="preserve">Patil, S.V., Bhosale, A. S. </w:t>
      </w:r>
      <w:r w:rsidR="000B7029" w:rsidRPr="00947E9A">
        <w:rPr>
          <w:rFonts w:ascii="Times New Roman" w:hAnsi="Times New Roman" w:cs="Times New Roman"/>
          <w:sz w:val="24"/>
          <w:szCs w:val="24"/>
        </w:rPr>
        <w:t>&amp;</w:t>
      </w:r>
      <w:r w:rsidRPr="00947E9A">
        <w:rPr>
          <w:rFonts w:ascii="Times New Roman" w:hAnsi="Times New Roman" w:cs="Times New Roman"/>
          <w:sz w:val="24"/>
          <w:szCs w:val="24"/>
        </w:rPr>
        <w:t xml:space="preserve"> </w:t>
      </w:r>
      <w:proofErr w:type="spellStart"/>
      <w:r w:rsidRPr="00947E9A">
        <w:rPr>
          <w:rFonts w:ascii="Times New Roman" w:hAnsi="Times New Roman" w:cs="Times New Roman"/>
          <w:sz w:val="24"/>
          <w:szCs w:val="24"/>
        </w:rPr>
        <w:t>Khambal</w:t>
      </w:r>
      <w:proofErr w:type="spellEnd"/>
      <w:r w:rsidRPr="00947E9A">
        <w:rPr>
          <w:rFonts w:ascii="Times New Roman" w:hAnsi="Times New Roman" w:cs="Times New Roman"/>
          <w:sz w:val="24"/>
          <w:szCs w:val="24"/>
        </w:rPr>
        <w:t xml:space="preserve">, P. D. (2015). Effect of various levels of fertilizers on growth and yield of finger millet. </w:t>
      </w:r>
      <w:r w:rsidRPr="00947E9A">
        <w:rPr>
          <w:rFonts w:ascii="Times New Roman" w:hAnsi="Times New Roman" w:cs="Times New Roman"/>
          <w:i/>
          <w:sz w:val="24"/>
          <w:szCs w:val="24"/>
        </w:rPr>
        <w:t>Journal of agriculture and veterinary science</w:t>
      </w:r>
      <w:r w:rsidRPr="00947E9A">
        <w:rPr>
          <w:rFonts w:ascii="Times New Roman" w:hAnsi="Times New Roman" w:cs="Times New Roman"/>
          <w:sz w:val="24"/>
          <w:szCs w:val="24"/>
        </w:rPr>
        <w:t xml:space="preserve">, </w:t>
      </w:r>
      <w:r w:rsidRPr="00947E9A">
        <w:rPr>
          <w:rFonts w:ascii="Times New Roman" w:hAnsi="Times New Roman" w:cs="Times New Roman"/>
          <w:bCs/>
          <w:sz w:val="24"/>
          <w:szCs w:val="24"/>
        </w:rPr>
        <w:t>8</w:t>
      </w:r>
      <w:r w:rsidRPr="00947E9A">
        <w:rPr>
          <w:rFonts w:ascii="Times New Roman" w:hAnsi="Times New Roman" w:cs="Times New Roman"/>
          <w:sz w:val="24"/>
          <w:szCs w:val="24"/>
        </w:rPr>
        <w:t>(6)</w:t>
      </w:r>
      <w:r w:rsidR="00363CEC" w:rsidRPr="00947E9A">
        <w:rPr>
          <w:rFonts w:ascii="Times New Roman" w:hAnsi="Times New Roman" w:cs="Times New Roman"/>
          <w:sz w:val="24"/>
          <w:szCs w:val="24"/>
        </w:rPr>
        <w:t xml:space="preserve">, </w:t>
      </w:r>
      <w:r w:rsidRPr="00947E9A">
        <w:rPr>
          <w:rFonts w:ascii="Times New Roman" w:hAnsi="Times New Roman" w:cs="Times New Roman"/>
          <w:sz w:val="24"/>
          <w:szCs w:val="24"/>
        </w:rPr>
        <w:t>49-52.</w:t>
      </w:r>
    </w:p>
    <w:p w14:paraId="11C79934" w14:textId="77777777" w:rsidR="008F61AA" w:rsidRPr="00947E9A" w:rsidRDefault="008F61AA" w:rsidP="00947E9A">
      <w:pPr>
        <w:pStyle w:val="ListParagraph"/>
        <w:numPr>
          <w:ilvl w:val="0"/>
          <w:numId w:val="2"/>
        </w:numPr>
        <w:spacing w:before="120" w:after="120"/>
        <w:rPr>
          <w:rFonts w:ascii="Times New Roman" w:hAnsi="Times New Roman" w:cs="Times New Roman"/>
          <w:color w:val="000000"/>
          <w:sz w:val="24"/>
          <w:szCs w:val="24"/>
          <w:highlight w:val="yellow"/>
        </w:rPr>
      </w:pPr>
      <w:r w:rsidRPr="00947E9A">
        <w:rPr>
          <w:rFonts w:ascii="Times New Roman" w:hAnsi="Times New Roman" w:cs="Times New Roman"/>
          <w:color w:val="000000"/>
          <w:sz w:val="24"/>
          <w:szCs w:val="24"/>
          <w:highlight w:val="yellow"/>
        </w:rPr>
        <w:t>Piper, C.S. (1966). Soil and Plant Analysis; Hans Publishers, Bombay.</w:t>
      </w:r>
    </w:p>
    <w:p w14:paraId="46FD1CAD" w14:textId="77777777" w:rsidR="00734CF0" w:rsidRPr="00947E9A" w:rsidRDefault="00734CF0" w:rsidP="00947E9A">
      <w:pPr>
        <w:pStyle w:val="ListParagraph"/>
        <w:numPr>
          <w:ilvl w:val="0"/>
          <w:numId w:val="2"/>
        </w:numPr>
        <w:spacing w:before="120" w:after="120"/>
        <w:rPr>
          <w:rFonts w:ascii="Times New Roman" w:hAnsi="Times New Roman" w:cs="Times New Roman"/>
          <w:color w:val="000000"/>
          <w:sz w:val="24"/>
          <w:szCs w:val="24"/>
        </w:rPr>
      </w:pPr>
      <w:r w:rsidRPr="00947E9A">
        <w:rPr>
          <w:rFonts w:ascii="Times New Roman" w:hAnsi="Times New Roman" w:cs="Times New Roman"/>
          <w:color w:val="000000"/>
          <w:sz w:val="24"/>
          <w:szCs w:val="24"/>
          <w:highlight w:val="yellow"/>
        </w:rPr>
        <w:t>Richards, L.A. (1954). Diagnosis and Improvement of Saline and Alkali Soils; USDA Handbook no. 60. United State Salinity Laboratory.</w:t>
      </w:r>
    </w:p>
    <w:p w14:paraId="7BA16E40" w14:textId="1CBD5478" w:rsidR="00A811B0" w:rsidRPr="00947E9A" w:rsidRDefault="00A811B0" w:rsidP="00947E9A">
      <w:pPr>
        <w:pStyle w:val="ListParagraph"/>
        <w:numPr>
          <w:ilvl w:val="0"/>
          <w:numId w:val="2"/>
        </w:numPr>
        <w:spacing w:before="120" w:after="120"/>
        <w:rPr>
          <w:rFonts w:ascii="Times New Roman" w:hAnsi="Times New Roman" w:cs="Times New Roman"/>
          <w:sz w:val="24"/>
          <w:szCs w:val="24"/>
        </w:rPr>
      </w:pPr>
      <w:r w:rsidRPr="00947E9A">
        <w:rPr>
          <w:rFonts w:ascii="Times New Roman" w:hAnsi="Times New Roman" w:cs="Times New Roman"/>
          <w:sz w:val="24"/>
          <w:szCs w:val="24"/>
        </w:rPr>
        <w:t xml:space="preserve">Shahin, M.G., </w:t>
      </w:r>
      <w:proofErr w:type="spellStart"/>
      <w:r w:rsidRPr="00947E9A">
        <w:rPr>
          <w:rFonts w:ascii="Times New Roman" w:hAnsi="Times New Roman" w:cs="Times New Roman"/>
          <w:sz w:val="24"/>
          <w:szCs w:val="24"/>
        </w:rPr>
        <w:t>Abdrabou</w:t>
      </w:r>
      <w:proofErr w:type="spellEnd"/>
      <w:r w:rsidRPr="00947E9A">
        <w:rPr>
          <w:rFonts w:ascii="Times New Roman" w:hAnsi="Times New Roman" w:cs="Times New Roman"/>
          <w:sz w:val="24"/>
          <w:szCs w:val="24"/>
        </w:rPr>
        <w:t xml:space="preserve">, R.T., </w:t>
      </w:r>
      <w:proofErr w:type="spellStart"/>
      <w:r w:rsidRPr="00947E9A">
        <w:rPr>
          <w:rFonts w:ascii="Times New Roman" w:hAnsi="Times New Roman" w:cs="Times New Roman"/>
          <w:sz w:val="24"/>
          <w:szCs w:val="24"/>
        </w:rPr>
        <w:t>Abdelmoemn</w:t>
      </w:r>
      <w:proofErr w:type="spellEnd"/>
      <w:r w:rsidRPr="00947E9A">
        <w:rPr>
          <w:rFonts w:ascii="Times New Roman" w:hAnsi="Times New Roman" w:cs="Times New Roman"/>
          <w:sz w:val="24"/>
          <w:szCs w:val="24"/>
        </w:rPr>
        <w:t xml:space="preserve">, W.R. </w:t>
      </w:r>
      <w:r w:rsidR="000B7029" w:rsidRPr="00947E9A">
        <w:rPr>
          <w:rFonts w:ascii="Times New Roman" w:hAnsi="Times New Roman" w:cs="Times New Roman"/>
          <w:sz w:val="24"/>
          <w:szCs w:val="24"/>
        </w:rPr>
        <w:t>&amp;</w:t>
      </w:r>
      <w:r w:rsidRPr="00947E9A">
        <w:rPr>
          <w:rFonts w:ascii="Times New Roman" w:hAnsi="Times New Roman" w:cs="Times New Roman"/>
          <w:sz w:val="24"/>
          <w:szCs w:val="24"/>
        </w:rPr>
        <w:t xml:space="preserve"> Hamada, M.M. (2013). Response of growth and forage yield of pearl millet (</w:t>
      </w:r>
      <w:proofErr w:type="spellStart"/>
      <w:r w:rsidRPr="00947E9A">
        <w:rPr>
          <w:rFonts w:ascii="Times New Roman" w:hAnsi="Times New Roman" w:cs="Times New Roman"/>
          <w:i/>
          <w:sz w:val="24"/>
          <w:szCs w:val="24"/>
        </w:rPr>
        <w:t>Pennisetum</w:t>
      </w:r>
      <w:proofErr w:type="spellEnd"/>
      <w:r w:rsidR="00E6005C" w:rsidRPr="00947E9A">
        <w:rPr>
          <w:rFonts w:ascii="Times New Roman" w:hAnsi="Times New Roman" w:cs="Times New Roman"/>
          <w:i/>
          <w:sz w:val="24"/>
          <w:szCs w:val="24"/>
        </w:rPr>
        <w:t xml:space="preserve"> </w:t>
      </w:r>
      <w:proofErr w:type="spellStart"/>
      <w:r w:rsidRPr="00947E9A">
        <w:rPr>
          <w:rFonts w:ascii="Times New Roman" w:hAnsi="Times New Roman" w:cs="Times New Roman"/>
          <w:i/>
          <w:sz w:val="24"/>
          <w:szCs w:val="24"/>
        </w:rPr>
        <w:t>galucum</w:t>
      </w:r>
      <w:proofErr w:type="spellEnd"/>
      <w:r w:rsidRPr="00947E9A">
        <w:rPr>
          <w:rFonts w:ascii="Times New Roman" w:hAnsi="Times New Roman" w:cs="Times New Roman"/>
          <w:sz w:val="24"/>
          <w:szCs w:val="24"/>
        </w:rPr>
        <w:t xml:space="preserve">) to nitrogen fertilization rates and cutting height. </w:t>
      </w:r>
      <w:r w:rsidRPr="00947E9A">
        <w:rPr>
          <w:rFonts w:ascii="Times New Roman" w:hAnsi="Times New Roman" w:cs="Times New Roman"/>
          <w:i/>
          <w:sz w:val="24"/>
          <w:szCs w:val="24"/>
        </w:rPr>
        <w:t xml:space="preserve">Annals of Agricultural Sciences, </w:t>
      </w:r>
      <w:r w:rsidRPr="00947E9A">
        <w:rPr>
          <w:rFonts w:ascii="Times New Roman" w:hAnsi="Times New Roman" w:cs="Times New Roman"/>
          <w:bCs/>
          <w:sz w:val="24"/>
          <w:szCs w:val="24"/>
        </w:rPr>
        <w:t>58</w:t>
      </w:r>
      <w:r w:rsidRPr="00947E9A">
        <w:rPr>
          <w:rFonts w:ascii="Times New Roman" w:hAnsi="Times New Roman" w:cs="Times New Roman"/>
          <w:sz w:val="24"/>
          <w:szCs w:val="24"/>
        </w:rPr>
        <w:t>(2)</w:t>
      </w:r>
      <w:r w:rsidR="00363CEC" w:rsidRPr="00947E9A">
        <w:rPr>
          <w:rFonts w:ascii="Times New Roman" w:hAnsi="Times New Roman" w:cs="Times New Roman"/>
          <w:sz w:val="24"/>
          <w:szCs w:val="24"/>
        </w:rPr>
        <w:t xml:space="preserve">, </w:t>
      </w:r>
      <w:r w:rsidRPr="00947E9A">
        <w:rPr>
          <w:rFonts w:ascii="Times New Roman" w:hAnsi="Times New Roman" w:cs="Times New Roman"/>
          <w:sz w:val="24"/>
          <w:szCs w:val="24"/>
        </w:rPr>
        <w:t>153-162.</w:t>
      </w:r>
    </w:p>
    <w:p w14:paraId="3CE32A9B" w14:textId="77777777" w:rsidR="00916B1D" w:rsidRPr="00947E9A" w:rsidRDefault="00916B1D" w:rsidP="00947E9A">
      <w:pPr>
        <w:pStyle w:val="ListParagraph"/>
        <w:numPr>
          <w:ilvl w:val="0"/>
          <w:numId w:val="2"/>
        </w:numPr>
        <w:spacing w:before="120" w:after="120"/>
        <w:rPr>
          <w:rFonts w:ascii="Times New Roman" w:hAnsi="Times New Roman" w:cs="Times New Roman"/>
          <w:sz w:val="24"/>
          <w:szCs w:val="24"/>
          <w:lang w:val="en-IN"/>
        </w:rPr>
      </w:pPr>
      <w:r w:rsidRPr="00947E9A">
        <w:rPr>
          <w:rFonts w:ascii="Times New Roman" w:hAnsi="Times New Roman" w:cs="Times New Roman"/>
          <w:sz w:val="24"/>
          <w:szCs w:val="24"/>
          <w:highlight w:val="yellow"/>
          <w:lang w:val="en-IN"/>
        </w:rPr>
        <w:t xml:space="preserve">Sharma, A., Dhaka, A.K., Singh, B., Kamal, Jasht, S. </w:t>
      </w:r>
      <w:r w:rsidRPr="00947E9A">
        <w:rPr>
          <w:rFonts w:ascii="Times New Roman" w:hAnsi="Times New Roman" w:cs="Times New Roman"/>
          <w:sz w:val="24"/>
          <w:szCs w:val="24"/>
          <w:highlight w:val="yellow"/>
        </w:rPr>
        <w:t>&amp;</w:t>
      </w:r>
      <w:r w:rsidRPr="00947E9A">
        <w:rPr>
          <w:rFonts w:ascii="Times New Roman" w:hAnsi="Times New Roman" w:cs="Times New Roman"/>
          <w:sz w:val="24"/>
          <w:szCs w:val="24"/>
          <w:highlight w:val="yellow"/>
          <w:lang w:val="en-IN"/>
        </w:rPr>
        <w:t xml:space="preserve"> </w:t>
      </w:r>
      <w:proofErr w:type="spellStart"/>
      <w:r w:rsidRPr="00947E9A">
        <w:rPr>
          <w:rFonts w:ascii="Times New Roman" w:hAnsi="Times New Roman" w:cs="Times New Roman"/>
          <w:sz w:val="24"/>
          <w:szCs w:val="24"/>
          <w:highlight w:val="yellow"/>
          <w:lang w:val="en-IN"/>
        </w:rPr>
        <w:t>Godara</w:t>
      </w:r>
      <w:proofErr w:type="spellEnd"/>
      <w:r w:rsidRPr="00947E9A">
        <w:rPr>
          <w:rFonts w:ascii="Times New Roman" w:hAnsi="Times New Roman" w:cs="Times New Roman"/>
          <w:sz w:val="24"/>
          <w:szCs w:val="24"/>
          <w:highlight w:val="yellow"/>
          <w:lang w:val="en-IN"/>
        </w:rPr>
        <w:t xml:space="preserve">, M. (2023). Yield and Economics of </w:t>
      </w:r>
      <w:proofErr w:type="gramStart"/>
      <w:r w:rsidRPr="00947E9A">
        <w:rPr>
          <w:rFonts w:ascii="Times New Roman" w:hAnsi="Times New Roman" w:cs="Times New Roman"/>
          <w:sz w:val="24"/>
          <w:szCs w:val="24"/>
          <w:highlight w:val="yellow"/>
          <w:lang w:val="en-IN"/>
        </w:rPr>
        <w:t>Dual Purpose</w:t>
      </w:r>
      <w:proofErr w:type="gramEnd"/>
      <w:r w:rsidRPr="00947E9A">
        <w:rPr>
          <w:rFonts w:ascii="Times New Roman" w:hAnsi="Times New Roman" w:cs="Times New Roman"/>
          <w:sz w:val="24"/>
          <w:szCs w:val="24"/>
          <w:highlight w:val="yellow"/>
          <w:lang w:val="en-IN"/>
        </w:rPr>
        <w:t xml:space="preserve"> Barley As Influenced by Various Nitrogen Dose and Seed Rate. </w:t>
      </w:r>
      <w:r w:rsidRPr="00947E9A">
        <w:rPr>
          <w:rFonts w:ascii="Times New Roman" w:hAnsi="Times New Roman" w:cs="Times New Roman"/>
          <w:i/>
          <w:iCs/>
          <w:sz w:val="24"/>
          <w:szCs w:val="24"/>
          <w:highlight w:val="yellow"/>
          <w:lang w:val="en-IN"/>
        </w:rPr>
        <w:t>International Journal of Environment and Climate Change,</w:t>
      </w:r>
      <w:r w:rsidRPr="00947E9A">
        <w:rPr>
          <w:rFonts w:ascii="Times New Roman" w:hAnsi="Times New Roman" w:cs="Times New Roman"/>
          <w:sz w:val="24"/>
          <w:szCs w:val="24"/>
          <w:highlight w:val="yellow"/>
          <w:lang w:val="en-IN"/>
        </w:rPr>
        <w:t> 13(8), 2046-54. https://doi.org/10.9734/ijecc/2023/v13i82162.</w:t>
      </w:r>
    </w:p>
    <w:p w14:paraId="7B0F7D44" w14:textId="2B668B02" w:rsidR="00A811B0" w:rsidRPr="00947E9A" w:rsidRDefault="00A811B0" w:rsidP="00947E9A">
      <w:pPr>
        <w:pStyle w:val="ListParagraph"/>
        <w:numPr>
          <w:ilvl w:val="0"/>
          <w:numId w:val="2"/>
        </w:numPr>
        <w:spacing w:before="120" w:after="120"/>
        <w:rPr>
          <w:rFonts w:ascii="Times New Roman" w:hAnsi="Times New Roman" w:cs="Times New Roman"/>
          <w:sz w:val="24"/>
          <w:szCs w:val="24"/>
        </w:rPr>
      </w:pPr>
      <w:proofErr w:type="spellStart"/>
      <w:r w:rsidRPr="00947E9A">
        <w:rPr>
          <w:rFonts w:ascii="Times New Roman" w:hAnsi="Times New Roman" w:cs="Times New Roman"/>
          <w:sz w:val="24"/>
          <w:szCs w:val="24"/>
        </w:rPr>
        <w:lastRenderedPageBreak/>
        <w:t>Soutade</w:t>
      </w:r>
      <w:proofErr w:type="spellEnd"/>
      <w:r w:rsidRPr="00947E9A">
        <w:rPr>
          <w:rFonts w:ascii="Times New Roman" w:hAnsi="Times New Roman" w:cs="Times New Roman"/>
          <w:sz w:val="24"/>
          <w:szCs w:val="24"/>
        </w:rPr>
        <w:t xml:space="preserve">, V. J. </w:t>
      </w:r>
      <w:r w:rsidR="000B7029" w:rsidRPr="00947E9A">
        <w:rPr>
          <w:rFonts w:ascii="Times New Roman" w:hAnsi="Times New Roman" w:cs="Times New Roman"/>
          <w:sz w:val="24"/>
          <w:szCs w:val="24"/>
        </w:rPr>
        <w:t>&amp;</w:t>
      </w:r>
      <w:r w:rsidRPr="00947E9A">
        <w:rPr>
          <w:rFonts w:ascii="Times New Roman" w:hAnsi="Times New Roman" w:cs="Times New Roman"/>
          <w:sz w:val="24"/>
          <w:szCs w:val="24"/>
        </w:rPr>
        <w:t xml:space="preserve"> Raundal, P. U. (2022). Response of little millet varieties to different levels of fertilizers under rainfed condition. </w:t>
      </w:r>
      <w:r w:rsidRPr="00947E9A">
        <w:rPr>
          <w:rFonts w:ascii="Times New Roman" w:hAnsi="Times New Roman" w:cs="Times New Roman"/>
          <w:i/>
          <w:sz w:val="24"/>
          <w:szCs w:val="24"/>
        </w:rPr>
        <w:t>Journal of Agriculture Research and Technology</w:t>
      </w:r>
      <w:r w:rsidRPr="00947E9A">
        <w:rPr>
          <w:rFonts w:ascii="Times New Roman" w:hAnsi="Times New Roman" w:cs="Times New Roman"/>
          <w:sz w:val="24"/>
          <w:szCs w:val="24"/>
        </w:rPr>
        <w:t>, 47</w:t>
      </w:r>
      <w:r w:rsidR="00363CEC" w:rsidRPr="00947E9A">
        <w:rPr>
          <w:rFonts w:ascii="Times New Roman" w:hAnsi="Times New Roman" w:cs="Times New Roman"/>
          <w:sz w:val="24"/>
          <w:szCs w:val="24"/>
        </w:rPr>
        <w:t xml:space="preserve">, </w:t>
      </w:r>
      <w:r w:rsidRPr="00947E9A">
        <w:rPr>
          <w:rFonts w:ascii="Times New Roman" w:hAnsi="Times New Roman" w:cs="Times New Roman"/>
          <w:sz w:val="24"/>
          <w:szCs w:val="24"/>
        </w:rPr>
        <w:t>131-135.</w:t>
      </w:r>
    </w:p>
    <w:p w14:paraId="4D8BF127" w14:textId="77777777" w:rsidR="0075752B" w:rsidRPr="00947E9A" w:rsidRDefault="0075752B" w:rsidP="00947E9A">
      <w:pPr>
        <w:pStyle w:val="ListParagraph"/>
        <w:numPr>
          <w:ilvl w:val="0"/>
          <w:numId w:val="2"/>
        </w:numPr>
        <w:spacing w:before="120" w:after="120"/>
        <w:rPr>
          <w:rFonts w:ascii="Times New Roman" w:hAnsi="Times New Roman" w:cs="Times New Roman"/>
          <w:color w:val="000000"/>
          <w:sz w:val="24"/>
          <w:szCs w:val="24"/>
          <w:highlight w:val="yellow"/>
        </w:rPr>
      </w:pPr>
      <w:r w:rsidRPr="00947E9A">
        <w:rPr>
          <w:rFonts w:ascii="Times New Roman" w:hAnsi="Times New Roman" w:cs="Times New Roman"/>
          <w:color w:val="000000"/>
          <w:sz w:val="24"/>
          <w:szCs w:val="24"/>
          <w:highlight w:val="yellow"/>
        </w:rPr>
        <w:t xml:space="preserve">Subbiah, B.V. </w:t>
      </w:r>
      <w:r w:rsidRPr="00947E9A">
        <w:rPr>
          <w:rFonts w:ascii="Times New Roman" w:hAnsi="Times New Roman" w:cs="Times New Roman"/>
          <w:sz w:val="24"/>
          <w:szCs w:val="24"/>
          <w:highlight w:val="yellow"/>
        </w:rPr>
        <w:t>&amp;</w:t>
      </w:r>
      <w:r w:rsidRPr="00947E9A">
        <w:rPr>
          <w:rFonts w:ascii="Times New Roman" w:hAnsi="Times New Roman" w:cs="Times New Roman"/>
          <w:color w:val="000000"/>
          <w:sz w:val="24"/>
          <w:szCs w:val="24"/>
          <w:highlight w:val="yellow"/>
        </w:rPr>
        <w:t xml:space="preserve"> Asija, A.K. (1956). A rapid procedure for the estimation of available nitrogen in soil. </w:t>
      </w:r>
      <w:r w:rsidRPr="00947E9A">
        <w:rPr>
          <w:rFonts w:ascii="Times New Roman" w:hAnsi="Times New Roman" w:cs="Times New Roman"/>
          <w:i/>
          <w:iCs/>
          <w:color w:val="000000"/>
          <w:sz w:val="24"/>
          <w:szCs w:val="24"/>
          <w:highlight w:val="yellow"/>
        </w:rPr>
        <w:t>Current Science</w:t>
      </w:r>
      <w:r w:rsidRPr="00947E9A">
        <w:rPr>
          <w:rFonts w:ascii="Times New Roman" w:hAnsi="Times New Roman" w:cs="Times New Roman"/>
          <w:color w:val="000000"/>
          <w:sz w:val="24"/>
          <w:szCs w:val="24"/>
          <w:highlight w:val="yellow"/>
        </w:rPr>
        <w:t>, 24, 259-260.</w:t>
      </w:r>
    </w:p>
    <w:p w14:paraId="1C4588D3" w14:textId="79F002A8" w:rsidR="00A811B0" w:rsidRPr="00947E9A" w:rsidRDefault="00A811B0" w:rsidP="00947E9A">
      <w:pPr>
        <w:pStyle w:val="ListParagraph"/>
        <w:numPr>
          <w:ilvl w:val="0"/>
          <w:numId w:val="2"/>
        </w:numPr>
        <w:spacing w:before="120" w:after="120"/>
        <w:rPr>
          <w:rFonts w:ascii="Times New Roman" w:hAnsi="Times New Roman" w:cs="Times New Roman"/>
          <w:sz w:val="24"/>
          <w:szCs w:val="24"/>
        </w:rPr>
      </w:pPr>
      <w:r w:rsidRPr="00947E9A">
        <w:rPr>
          <w:rFonts w:ascii="Times New Roman" w:hAnsi="Times New Roman" w:cs="Times New Roman"/>
          <w:sz w:val="24"/>
          <w:szCs w:val="24"/>
        </w:rPr>
        <w:t xml:space="preserve">Triveni, U., Rani, Y.S., Patro, T.S.S.K., Anuradha, N. </w:t>
      </w:r>
      <w:r w:rsidR="000B7029" w:rsidRPr="00947E9A">
        <w:rPr>
          <w:rFonts w:ascii="Times New Roman" w:hAnsi="Times New Roman" w:cs="Times New Roman"/>
          <w:sz w:val="24"/>
          <w:szCs w:val="24"/>
        </w:rPr>
        <w:t>&amp;</w:t>
      </w:r>
      <w:r w:rsidRPr="00947E9A">
        <w:rPr>
          <w:rFonts w:ascii="Times New Roman" w:hAnsi="Times New Roman" w:cs="Times New Roman"/>
          <w:sz w:val="24"/>
          <w:szCs w:val="24"/>
        </w:rPr>
        <w:t xml:space="preserve"> Divya, M. (2018). Fertilizer responsiveness of short duration improved finger millet genotypes to different levels of NPK fertilizers. </w:t>
      </w:r>
      <w:r w:rsidRPr="00947E9A">
        <w:rPr>
          <w:rFonts w:ascii="Times New Roman" w:hAnsi="Times New Roman" w:cs="Times New Roman"/>
          <w:i/>
          <w:sz w:val="24"/>
          <w:szCs w:val="24"/>
        </w:rPr>
        <w:t>Indian Journal of Agricultural Research</w:t>
      </w:r>
      <w:r w:rsidRPr="00947E9A">
        <w:rPr>
          <w:rFonts w:ascii="Times New Roman" w:hAnsi="Times New Roman" w:cs="Times New Roman"/>
          <w:sz w:val="24"/>
          <w:szCs w:val="24"/>
        </w:rPr>
        <w:t xml:space="preserve">, </w:t>
      </w:r>
      <w:r w:rsidRPr="00947E9A">
        <w:rPr>
          <w:rFonts w:ascii="Times New Roman" w:hAnsi="Times New Roman" w:cs="Times New Roman"/>
          <w:bCs/>
          <w:sz w:val="24"/>
          <w:szCs w:val="24"/>
        </w:rPr>
        <w:t>52</w:t>
      </w:r>
      <w:r w:rsidRPr="00947E9A">
        <w:rPr>
          <w:rFonts w:ascii="Times New Roman" w:hAnsi="Times New Roman" w:cs="Times New Roman"/>
          <w:sz w:val="24"/>
          <w:szCs w:val="24"/>
        </w:rPr>
        <w:t>(1)</w:t>
      </w:r>
      <w:r w:rsidR="00363CEC" w:rsidRPr="00947E9A">
        <w:rPr>
          <w:rFonts w:ascii="Times New Roman" w:hAnsi="Times New Roman" w:cs="Times New Roman"/>
          <w:sz w:val="24"/>
          <w:szCs w:val="24"/>
        </w:rPr>
        <w:t xml:space="preserve">, </w:t>
      </w:r>
      <w:r w:rsidRPr="00947E9A">
        <w:rPr>
          <w:rFonts w:ascii="Times New Roman" w:hAnsi="Times New Roman" w:cs="Times New Roman"/>
          <w:sz w:val="24"/>
          <w:szCs w:val="24"/>
        </w:rPr>
        <w:t>97-100.</w:t>
      </w:r>
    </w:p>
    <w:p w14:paraId="3C4B3FFB" w14:textId="6BECEB78" w:rsidR="009370AB" w:rsidRPr="00947E9A" w:rsidRDefault="00A811B0" w:rsidP="00947E9A">
      <w:pPr>
        <w:pStyle w:val="ListParagraph"/>
        <w:numPr>
          <w:ilvl w:val="0"/>
          <w:numId w:val="2"/>
        </w:numPr>
        <w:spacing w:before="120" w:after="120"/>
        <w:rPr>
          <w:rFonts w:ascii="Times New Roman" w:hAnsi="Times New Roman" w:cs="Times New Roman"/>
          <w:sz w:val="24"/>
          <w:szCs w:val="24"/>
        </w:rPr>
      </w:pPr>
      <w:r w:rsidRPr="00947E9A">
        <w:rPr>
          <w:rFonts w:ascii="Times New Roman" w:hAnsi="Times New Roman" w:cs="Times New Roman"/>
          <w:sz w:val="24"/>
          <w:szCs w:val="24"/>
        </w:rPr>
        <w:t xml:space="preserve">Yadav, R. </w:t>
      </w:r>
      <w:r w:rsidR="000B7029" w:rsidRPr="00947E9A">
        <w:rPr>
          <w:rFonts w:ascii="Times New Roman" w:hAnsi="Times New Roman" w:cs="Times New Roman"/>
          <w:sz w:val="24"/>
          <w:szCs w:val="24"/>
        </w:rPr>
        <w:t>&amp;</w:t>
      </w:r>
      <w:r w:rsidRPr="00947E9A">
        <w:rPr>
          <w:rFonts w:ascii="Times New Roman" w:hAnsi="Times New Roman" w:cs="Times New Roman"/>
          <w:sz w:val="24"/>
          <w:szCs w:val="24"/>
        </w:rPr>
        <w:t xml:space="preserve"> Yadav, V. K. (2013). Comparative performance of Indian and Japanese barnyard millet cultivars under varied fertility conditions for dual use in Indian Central Himalaya. </w:t>
      </w:r>
      <w:r w:rsidRPr="00947E9A">
        <w:rPr>
          <w:rFonts w:ascii="Times New Roman" w:hAnsi="Times New Roman" w:cs="Times New Roman"/>
          <w:i/>
          <w:sz w:val="24"/>
          <w:szCs w:val="24"/>
        </w:rPr>
        <w:t>Range Management and Agroforestry</w:t>
      </w:r>
      <w:r w:rsidRPr="00947E9A">
        <w:rPr>
          <w:rFonts w:ascii="Times New Roman" w:hAnsi="Times New Roman" w:cs="Times New Roman"/>
          <w:sz w:val="24"/>
          <w:szCs w:val="24"/>
        </w:rPr>
        <w:t xml:space="preserve">, </w:t>
      </w:r>
      <w:r w:rsidRPr="00947E9A">
        <w:rPr>
          <w:rFonts w:ascii="Times New Roman" w:hAnsi="Times New Roman" w:cs="Times New Roman"/>
          <w:bCs/>
          <w:sz w:val="24"/>
          <w:szCs w:val="24"/>
        </w:rPr>
        <w:t>34</w:t>
      </w:r>
      <w:r w:rsidRPr="00947E9A">
        <w:rPr>
          <w:rFonts w:ascii="Times New Roman" w:hAnsi="Times New Roman" w:cs="Times New Roman"/>
          <w:sz w:val="24"/>
          <w:szCs w:val="24"/>
        </w:rPr>
        <w:t>(2)</w:t>
      </w:r>
      <w:r w:rsidR="00C15219" w:rsidRPr="00947E9A">
        <w:rPr>
          <w:rFonts w:ascii="Times New Roman" w:hAnsi="Times New Roman" w:cs="Times New Roman"/>
          <w:sz w:val="24"/>
          <w:szCs w:val="24"/>
        </w:rPr>
        <w:t xml:space="preserve">, </w:t>
      </w:r>
      <w:r w:rsidRPr="00947E9A">
        <w:rPr>
          <w:rFonts w:ascii="Times New Roman" w:hAnsi="Times New Roman" w:cs="Times New Roman"/>
          <w:sz w:val="24"/>
          <w:szCs w:val="24"/>
        </w:rPr>
        <w:t>175-178.</w:t>
      </w:r>
    </w:p>
    <w:p w14:paraId="5F0930D5" w14:textId="77777777" w:rsidR="0016292F" w:rsidRDefault="0016292F" w:rsidP="00A811B0">
      <w:pPr>
        <w:spacing w:before="120" w:after="120"/>
        <w:ind w:left="720" w:hanging="720"/>
        <w:rPr>
          <w:rFonts w:ascii="Times New Roman" w:hAnsi="Times New Roman" w:cs="Times New Roman"/>
          <w:sz w:val="24"/>
          <w:szCs w:val="24"/>
        </w:rPr>
      </w:pPr>
    </w:p>
    <w:p w14:paraId="5AC6C2C4" w14:textId="77777777" w:rsidR="0016292F" w:rsidRDefault="0016292F" w:rsidP="00A811B0">
      <w:pPr>
        <w:spacing w:before="120" w:after="120"/>
        <w:ind w:left="720" w:hanging="720"/>
        <w:rPr>
          <w:rFonts w:ascii="Times New Roman" w:hAnsi="Times New Roman" w:cs="Times New Roman"/>
          <w:sz w:val="24"/>
          <w:szCs w:val="24"/>
        </w:rPr>
      </w:pPr>
    </w:p>
    <w:p w14:paraId="329EC884" w14:textId="0A4EB0CD" w:rsidR="00500A01" w:rsidRDefault="00500A01" w:rsidP="0016292F">
      <w:pPr>
        <w:spacing w:before="120" w:after="120"/>
        <w:ind w:left="720" w:hanging="720"/>
        <w:rPr>
          <w:rFonts w:ascii="Times New Roman" w:hAnsi="Times New Roman" w:cs="Times New Roman"/>
          <w:sz w:val="24"/>
          <w:szCs w:val="24"/>
        </w:rPr>
        <w:sectPr w:rsidR="00500A0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107F3CD5" w14:textId="1BDB31AC" w:rsidR="00A811B0" w:rsidRDefault="009370AB" w:rsidP="00A811B0">
      <w:pPr>
        <w:spacing w:before="120" w:after="120"/>
        <w:ind w:left="720" w:hanging="720"/>
        <w:rPr>
          <w:rFonts w:ascii="Times New Roman" w:hAnsi="Times New Roman" w:cs="Times New Roman"/>
          <w:sz w:val="24"/>
          <w:szCs w:val="24"/>
        </w:rPr>
      </w:pPr>
      <w:r w:rsidRPr="009370AB">
        <w:rPr>
          <w:rFonts w:ascii="Times New Roman" w:hAnsi="Times New Roman" w:cs="Times New Roman"/>
          <w:b/>
          <w:sz w:val="24"/>
          <w:szCs w:val="24"/>
        </w:rPr>
        <w:lastRenderedPageBreak/>
        <w:t>Table 1:</w:t>
      </w:r>
      <w:r w:rsidR="00E6005C">
        <w:rPr>
          <w:rFonts w:ascii="Times New Roman" w:hAnsi="Times New Roman" w:cs="Times New Roman"/>
          <w:b/>
          <w:sz w:val="24"/>
          <w:szCs w:val="24"/>
        </w:rPr>
        <w:t xml:space="preserve"> </w:t>
      </w:r>
      <w:r w:rsidRPr="009225A7">
        <w:rPr>
          <w:rFonts w:ascii="Times New Roman" w:hAnsi="Times New Roman" w:cs="Times New Roman"/>
          <w:b/>
          <w:bCs/>
          <w:color w:val="000000" w:themeColor="text1"/>
          <w:sz w:val="24"/>
          <w:szCs w:val="24"/>
          <w:highlight w:val="yellow"/>
        </w:rPr>
        <w:t>Effect of fertility levels on plant population and plant height of minor millets</w:t>
      </w:r>
    </w:p>
    <w:tbl>
      <w:tblPr>
        <w:tblW w:w="9283" w:type="dxa"/>
        <w:tblInd w:w="-5" w:type="dxa"/>
        <w:tblLook w:val="04A0" w:firstRow="1" w:lastRow="0" w:firstColumn="1" w:lastColumn="0" w:noHBand="0" w:noVBand="1"/>
      </w:tblPr>
      <w:tblGrid>
        <w:gridCol w:w="2768"/>
        <w:gridCol w:w="2754"/>
        <w:gridCol w:w="896"/>
        <w:gridCol w:w="896"/>
        <w:gridCol w:w="913"/>
        <w:gridCol w:w="1056"/>
      </w:tblGrid>
      <w:tr w:rsidR="009370AB" w:rsidRPr="009370AB" w14:paraId="7B1EAF97" w14:textId="77777777" w:rsidTr="009370AB">
        <w:trPr>
          <w:trHeight w:val="739"/>
        </w:trPr>
        <w:tc>
          <w:tcPr>
            <w:tcW w:w="2768" w:type="dxa"/>
            <w:vMerge w:val="restart"/>
            <w:tcBorders>
              <w:top w:val="single" w:sz="4" w:space="0" w:color="auto"/>
              <w:left w:val="single" w:sz="4" w:space="0" w:color="auto"/>
              <w:bottom w:val="single" w:sz="4" w:space="0" w:color="auto"/>
              <w:right w:val="single" w:sz="4" w:space="0" w:color="auto"/>
            </w:tcBorders>
            <w:vAlign w:val="center"/>
            <w:hideMark/>
          </w:tcPr>
          <w:p w14:paraId="7C4D78CA"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2"/>
              </w:rPr>
              <w:t>Treatment</w:t>
            </w:r>
          </w:p>
        </w:tc>
        <w:tc>
          <w:tcPr>
            <w:tcW w:w="2754" w:type="dxa"/>
            <w:vMerge w:val="restart"/>
            <w:tcBorders>
              <w:top w:val="single" w:sz="4" w:space="0" w:color="auto"/>
              <w:left w:val="single" w:sz="4" w:space="0" w:color="auto"/>
              <w:bottom w:val="single" w:sz="4" w:space="0" w:color="auto"/>
              <w:right w:val="single" w:sz="4" w:space="0" w:color="auto"/>
            </w:tcBorders>
            <w:vAlign w:val="center"/>
            <w:hideMark/>
          </w:tcPr>
          <w:p w14:paraId="431FCD2D"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Plant population at 15 DAS (mrl</w:t>
            </w:r>
            <w:r w:rsidRPr="009370AB">
              <w:rPr>
                <w:rFonts w:ascii="Times New Roman" w:eastAsia="Times New Roman" w:hAnsi="Times New Roman" w:cs="Times New Roman"/>
                <w:b/>
                <w:bCs/>
                <w:color w:val="000000"/>
                <w:vertAlign w:val="superscript"/>
              </w:rPr>
              <w:t>-1</w:t>
            </w:r>
            <w:r w:rsidRPr="009370AB">
              <w:rPr>
                <w:rFonts w:ascii="Times New Roman" w:eastAsia="Times New Roman" w:hAnsi="Times New Roman" w:cs="Times New Roman"/>
                <w:b/>
                <w:bCs/>
                <w:color w:val="000000"/>
              </w:rPr>
              <w:t>)</w:t>
            </w:r>
          </w:p>
        </w:tc>
        <w:tc>
          <w:tcPr>
            <w:tcW w:w="0" w:type="auto"/>
            <w:gridSpan w:val="4"/>
            <w:tcBorders>
              <w:top w:val="single" w:sz="4" w:space="0" w:color="auto"/>
              <w:left w:val="nil"/>
              <w:bottom w:val="single" w:sz="4" w:space="0" w:color="auto"/>
              <w:right w:val="single" w:sz="4" w:space="0" w:color="auto"/>
            </w:tcBorders>
            <w:vAlign w:val="center"/>
            <w:hideMark/>
          </w:tcPr>
          <w:p w14:paraId="360F117D"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Plant height (cm)</w:t>
            </w:r>
          </w:p>
        </w:tc>
      </w:tr>
      <w:tr w:rsidR="009370AB" w:rsidRPr="009370AB" w14:paraId="178EEDB6" w14:textId="77777777" w:rsidTr="009370AB">
        <w:trPr>
          <w:trHeight w:val="253"/>
        </w:trPr>
        <w:tc>
          <w:tcPr>
            <w:tcW w:w="2768" w:type="dxa"/>
            <w:vMerge/>
            <w:tcBorders>
              <w:top w:val="single" w:sz="4" w:space="0" w:color="auto"/>
              <w:left w:val="single" w:sz="4" w:space="0" w:color="auto"/>
              <w:bottom w:val="single" w:sz="4" w:space="0" w:color="auto"/>
              <w:right w:val="single" w:sz="4" w:space="0" w:color="auto"/>
            </w:tcBorders>
            <w:vAlign w:val="center"/>
            <w:hideMark/>
          </w:tcPr>
          <w:p w14:paraId="6343231F" w14:textId="77777777" w:rsidR="009370AB" w:rsidRPr="009370AB" w:rsidRDefault="009370AB" w:rsidP="009370AB">
            <w:pPr>
              <w:spacing w:line="240" w:lineRule="auto"/>
              <w:jc w:val="left"/>
              <w:rPr>
                <w:rFonts w:ascii="Times New Roman" w:eastAsia="Times New Roman" w:hAnsi="Times New Roman" w:cs="Times New Roman"/>
                <w:b/>
                <w:bCs/>
                <w:color w:val="000000"/>
              </w:rPr>
            </w:pPr>
          </w:p>
        </w:tc>
        <w:tc>
          <w:tcPr>
            <w:tcW w:w="2754" w:type="dxa"/>
            <w:vMerge/>
            <w:tcBorders>
              <w:top w:val="single" w:sz="4" w:space="0" w:color="auto"/>
              <w:left w:val="single" w:sz="4" w:space="0" w:color="auto"/>
              <w:bottom w:val="single" w:sz="4" w:space="0" w:color="auto"/>
              <w:right w:val="single" w:sz="4" w:space="0" w:color="auto"/>
            </w:tcBorders>
            <w:vAlign w:val="center"/>
            <w:hideMark/>
          </w:tcPr>
          <w:p w14:paraId="21A7526D" w14:textId="77777777" w:rsidR="009370AB" w:rsidRPr="009370AB" w:rsidRDefault="009370AB" w:rsidP="009370AB">
            <w:pPr>
              <w:spacing w:line="240" w:lineRule="auto"/>
              <w:jc w:val="left"/>
              <w:rPr>
                <w:rFonts w:ascii="Times New Roman" w:eastAsia="Times New Roman" w:hAnsi="Times New Roman" w:cs="Times New Roman"/>
                <w:b/>
                <w:bCs/>
                <w:color w:val="000000"/>
              </w:rPr>
            </w:pPr>
          </w:p>
        </w:tc>
        <w:tc>
          <w:tcPr>
            <w:tcW w:w="0" w:type="auto"/>
            <w:tcBorders>
              <w:top w:val="nil"/>
              <w:left w:val="nil"/>
              <w:bottom w:val="single" w:sz="4" w:space="0" w:color="auto"/>
              <w:right w:val="single" w:sz="4" w:space="0" w:color="auto"/>
            </w:tcBorders>
            <w:vAlign w:val="center"/>
            <w:hideMark/>
          </w:tcPr>
          <w:p w14:paraId="2B11E43C"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20 DAS</w:t>
            </w:r>
          </w:p>
        </w:tc>
        <w:tc>
          <w:tcPr>
            <w:tcW w:w="0" w:type="auto"/>
            <w:tcBorders>
              <w:top w:val="nil"/>
              <w:left w:val="nil"/>
              <w:bottom w:val="single" w:sz="4" w:space="0" w:color="auto"/>
              <w:right w:val="single" w:sz="4" w:space="0" w:color="auto"/>
            </w:tcBorders>
            <w:vAlign w:val="center"/>
            <w:hideMark/>
          </w:tcPr>
          <w:p w14:paraId="686D93F5"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40 DAS</w:t>
            </w:r>
          </w:p>
        </w:tc>
        <w:tc>
          <w:tcPr>
            <w:tcW w:w="0" w:type="auto"/>
            <w:tcBorders>
              <w:top w:val="nil"/>
              <w:left w:val="nil"/>
              <w:bottom w:val="single" w:sz="4" w:space="0" w:color="auto"/>
              <w:right w:val="single" w:sz="4" w:space="0" w:color="auto"/>
            </w:tcBorders>
            <w:vAlign w:val="center"/>
            <w:hideMark/>
          </w:tcPr>
          <w:p w14:paraId="4ED206C1"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60 DAS</w:t>
            </w:r>
          </w:p>
        </w:tc>
        <w:tc>
          <w:tcPr>
            <w:tcW w:w="0" w:type="auto"/>
            <w:tcBorders>
              <w:top w:val="nil"/>
              <w:left w:val="nil"/>
              <w:bottom w:val="single" w:sz="4" w:space="0" w:color="auto"/>
              <w:right w:val="single" w:sz="4" w:space="0" w:color="auto"/>
            </w:tcBorders>
            <w:vAlign w:val="center"/>
            <w:hideMark/>
          </w:tcPr>
          <w:p w14:paraId="6A59F167"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2"/>
              </w:rPr>
              <w:t>Maturity</w:t>
            </w:r>
          </w:p>
        </w:tc>
      </w:tr>
      <w:tr w:rsidR="009370AB" w:rsidRPr="009370AB" w14:paraId="427EF879" w14:textId="77777777" w:rsidTr="009370AB">
        <w:trPr>
          <w:trHeight w:val="253"/>
        </w:trPr>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61422B2B" w14:textId="77777777"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Minor millets</w:t>
            </w:r>
          </w:p>
        </w:tc>
      </w:tr>
      <w:tr w:rsidR="009370AB" w:rsidRPr="009370AB" w14:paraId="4AB6D75C" w14:textId="77777777" w:rsidTr="009370AB">
        <w:trPr>
          <w:trHeight w:val="253"/>
        </w:trPr>
        <w:tc>
          <w:tcPr>
            <w:tcW w:w="2768" w:type="dxa"/>
            <w:tcBorders>
              <w:top w:val="nil"/>
              <w:left w:val="single" w:sz="4" w:space="0" w:color="auto"/>
              <w:bottom w:val="single" w:sz="4" w:space="0" w:color="auto"/>
              <w:right w:val="single" w:sz="4" w:space="0" w:color="auto"/>
            </w:tcBorders>
            <w:vAlign w:val="center"/>
            <w:hideMark/>
          </w:tcPr>
          <w:p w14:paraId="1C0F0A5C"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Foxtail millet (SIA 3156)</w:t>
            </w:r>
          </w:p>
        </w:tc>
        <w:tc>
          <w:tcPr>
            <w:tcW w:w="2754" w:type="dxa"/>
            <w:tcBorders>
              <w:top w:val="nil"/>
              <w:left w:val="nil"/>
              <w:bottom w:val="single" w:sz="4" w:space="0" w:color="auto"/>
              <w:right w:val="single" w:sz="4" w:space="0" w:color="auto"/>
            </w:tcBorders>
            <w:vAlign w:val="center"/>
            <w:hideMark/>
          </w:tcPr>
          <w:p w14:paraId="080D1B14"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8.83</w:t>
            </w:r>
          </w:p>
        </w:tc>
        <w:tc>
          <w:tcPr>
            <w:tcW w:w="0" w:type="auto"/>
            <w:tcBorders>
              <w:top w:val="nil"/>
              <w:left w:val="nil"/>
              <w:bottom w:val="single" w:sz="4" w:space="0" w:color="auto"/>
              <w:right w:val="single" w:sz="4" w:space="0" w:color="auto"/>
            </w:tcBorders>
            <w:vAlign w:val="center"/>
            <w:hideMark/>
          </w:tcPr>
          <w:p w14:paraId="79D495D2" w14:textId="25F09BFF"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26.7</w:t>
            </w:r>
            <w:r w:rsidR="002F0FF7">
              <w:rPr>
                <w:rFonts w:ascii="Times New Roman" w:eastAsia="Times New Roman" w:hAnsi="Times New Roman" w:cs="Times New Roman"/>
                <w:color w:val="000000"/>
                <w:spacing w:val="-2"/>
              </w:rPr>
              <w:t>0</w:t>
            </w:r>
          </w:p>
        </w:tc>
        <w:tc>
          <w:tcPr>
            <w:tcW w:w="0" w:type="auto"/>
            <w:tcBorders>
              <w:top w:val="nil"/>
              <w:left w:val="nil"/>
              <w:bottom w:val="single" w:sz="4" w:space="0" w:color="auto"/>
              <w:right w:val="single" w:sz="4" w:space="0" w:color="auto"/>
            </w:tcBorders>
            <w:vAlign w:val="center"/>
            <w:hideMark/>
          </w:tcPr>
          <w:p w14:paraId="6B848509"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94.21</w:t>
            </w:r>
          </w:p>
        </w:tc>
        <w:tc>
          <w:tcPr>
            <w:tcW w:w="0" w:type="auto"/>
            <w:tcBorders>
              <w:top w:val="nil"/>
              <w:left w:val="nil"/>
              <w:bottom w:val="single" w:sz="4" w:space="0" w:color="auto"/>
              <w:right w:val="single" w:sz="4" w:space="0" w:color="auto"/>
            </w:tcBorders>
            <w:vAlign w:val="center"/>
            <w:hideMark/>
          </w:tcPr>
          <w:p w14:paraId="55F08BE6"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143.78</w:t>
            </w:r>
          </w:p>
        </w:tc>
        <w:tc>
          <w:tcPr>
            <w:tcW w:w="0" w:type="auto"/>
            <w:tcBorders>
              <w:top w:val="nil"/>
              <w:left w:val="nil"/>
              <w:bottom w:val="single" w:sz="4" w:space="0" w:color="auto"/>
              <w:right w:val="single" w:sz="4" w:space="0" w:color="auto"/>
            </w:tcBorders>
            <w:vAlign w:val="center"/>
            <w:hideMark/>
          </w:tcPr>
          <w:p w14:paraId="0833EA79"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146.23</w:t>
            </w:r>
          </w:p>
        </w:tc>
      </w:tr>
      <w:tr w:rsidR="009370AB" w:rsidRPr="009370AB" w14:paraId="1E27BDCB" w14:textId="77777777" w:rsidTr="009370AB">
        <w:trPr>
          <w:trHeight w:val="253"/>
        </w:trPr>
        <w:tc>
          <w:tcPr>
            <w:tcW w:w="2768" w:type="dxa"/>
            <w:tcBorders>
              <w:top w:val="nil"/>
              <w:left w:val="single" w:sz="4" w:space="0" w:color="auto"/>
              <w:bottom w:val="single" w:sz="4" w:space="0" w:color="auto"/>
              <w:right w:val="single" w:sz="4" w:space="0" w:color="auto"/>
            </w:tcBorders>
            <w:vAlign w:val="center"/>
            <w:hideMark/>
          </w:tcPr>
          <w:p w14:paraId="6370AF20" w14:textId="70E29975"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Barnyard millet (</w:t>
            </w:r>
            <w:r w:rsidRPr="00751176">
              <w:rPr>
                <w:rFonts w:ascii="Times New Roman" w:eastAsia="Times New Roman" w:hAnsi="Times New Roman" w:cs="Times New Roman"/>
                <w:color w:val="000000"/>
                <w:highlight w:val="yellow"/>
              </w:rPr>
              <w:t>V</w:t>
            </w:r>
            <w:r w:rsidR="00317FBA" w:rsidRPr="00751176">
              <w:rPr>
                <w:rFonts w:ascii="Times New Roman" w:eastAsia="Times New Roman" w:hAnsi="Times New Roman" w:cs="Times New Roman"/>
                <w:color w:val="000000"/>
                <w:highlight w:val="yellow"/>
              </w:rPr>
              <w:t>L</w:t>
            </w:r>
            <w:r w:rsidRPr="00751176">
              <w:rPr>
                <w:rFonts w:ascii="Times New Roman" w:eastAsia="Times New Roman" w:hAnsi="Times New Roman" w:cs="Times New Roman"/>
                <w:color w:val="000000"/>
                <w:highlight w:val="yellow"/>
              </w:rPr>
              <w:t xml:space="preserve"> 207</w:t>
            </w:r>
            <w:r w:rsidRPr="009370AB">
              <w:rPr>
                <w:rFonts w:ascii="Times New Roman" w:eastAsia="Times New Roman" w:hAnsi="Times New Roman" w:cs="Times New Roman"/>
                <w:color w:val="000000"/>
              </w:rPr>
              <w:t>)</w:t>
            </w:r>
          </w:p>
        </w:tc>
        <w:tc>
          <w:tcPr>
            <w:tcW w:w="2754" w:type="dxa"/>
            <w:tcBorders>
              <w:top w:val="nil"/>
              <w:left w:val="nil"/>
              <w:bottom w:val="single" w:sz="4" w:space="0" w:color="auto"/>
              <w:right w:val="single" w:sz="4" w:space="0" w:color="auto"/>
            </w:tcBorders>
            <w:vAlign w:val="center"/>
            <w:hideMark/>
          </w:tcPr>
          <w:p w14:paraId="74FB3C22"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8.58</w:t>
            </w:r>
          </w:p>
        </w:tc>
        <w:tc>
          <w:tcPr>
            <w:tcW w:w="0" w:type="auto"/>
            <w:tcBorders>
              <w:top w:val="nil"/>
              <w:left w:val="nil"/>
              <w:bottom w:val="single" w:sz="4" w:space="0" w:color="auto"/>
              <w:right w:val="single" w:sz="4" w:space="0" w:color="auto"/>
            </w:tcBorders>
            <w:vAlign w:val="center"/>
            <w:hideMark/>
          </w:tcPr>
          <w:p w14:paraId="653ED890"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23.91</w:t>
            </w:r>
          </w:p>
        </w:tc>
        <w:tc>
          <w:tcPr>
            <w:tcW w:w="0" w:type="auto"/>
            <w:tcBorders>
              <w:top w:val="nil"/>
              <w:left w:val="nil"/>
              <w:bottom w:val="single" w:sz="4" w:space="0" w:color="auto"/>
              <w:right w:val="single" w:sz="4" w:space="0" w:color="auto"/>
            </w:tcBorders>
            <w:vAlign w:val="center"/>
            <w:hideMark/>
          </w:tcPr>
          <w:p w14:paraId="37070207"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62.41</w:t>
            </w:r>
          </w:p>
        </w:tc>
        <w:tc>
          <w:tcPr>
            <w:tcW w:w="0" w:type="auto"/>
            <w:tcBorders>
              <w:top w:val="nil"/>
              <w:left w:val="nil"/>
              <w:bottom w:val="single" w:sz="4" w:space="0" w:color="auto"/>
              <w:right w:val="single" w:sz="4" w:space="0" w:color="auto"/>
            </w:tcBorders>
            <w:vAlign w:val="center"/>
            <w:hideMark/>
          </w:tcPr>
          <w:p w14:paraId="22E587BC"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122.97</w:t>
            </w:r>
          </w:p>
        </w:tc>
        <w:tc>
          <w:tcPr>
            <w:tcW w:w="0" w:type="auto"/>
            <w:tcBorders>
              <w:top w:val="nil"/>
              <w:left w:val="nil"/>
              <w:bottom w:val="single" w:sz="4" w:space="0" w:color="auto"/>
              <w:right w:val="single" w:sz="4" w:space="0" w:color="auto"/>
            </w:tcBorders>
            <w:vAlign w:val="center"/>
            <w:hideMark/>
          </w:tcPr>
          <w:p w14:paraId="5A94EBD2"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128.01</w:t>
            </w:r>
          </w:p>
        </w:tc>
      </w:tr>
      <w:tr w:rsidR="009370AB" w:rsidRPr="009370AB" w14:paraId="06F5BADC" w14:textId="77777777" w:rsidTr="009370AB">
        <w:trPr>
          <w:trHeight w:val="253"/>
        </w:trPr>
        <w:tc>
          <w:tcPr>
            <w:tcW w:w="2768" w:type="dxa"/>
            <w:tcBorders>
              <w:top w:val="nil"/>
              <w:left w:val="single" w:sz="4" w:space="0" w:color="auto"/>
              <w:bottom w:val="single" w:sz="4" w:space="0" w:color="auto"/>
              <w:right w:val="single" w:sz="4" w:space="0" w:color="auto"/>
            </w:tcBorders>
            <w:vAlign w:val="center"/>
            <w:hideMark/>
          </w:tcPr>
          <w:p w14:paraId="75A8DACD"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Proso millet (TNAU 202)</w:t>
            </w:r>
          </w:p>
        </w:tc>
        <w:tc>
          <w:tcPr>
            <w:tcW w:w="2754" w:type="dxa"/>
            <w:tcBorders>
              <w:top w:val="nil"/>
              <w:left w:val="nil"/>
              <w:bottom w:val="single" w:sz="4" w:space="0" w:color="auto"/>
              <w:right w:val="single" w:sz="4" w:space="0" w:color="auto"/>
            </w:tcBorders>
            <w:vAlign w:val="center"/>
            <w:hideMark/>
          </w:tcPr>
          <w:p w14:paraId="69DEE44E" w14:textId="74A986A6"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9</w:t>
            </w:r>
            <w:r w:rsidR="00C477EF">
              <w:rPr>
                <w:rFonts w:ascii="Times New Roman" w:eastAsia="Times New Roman" w:hAnsi="Times New Roman" w:cs="Times New Roman"/>
                <w:color w:val="000000"/>
                <w:spacing w:val="-4"/>
              </w:rPr>
              <w:t>.00</w:t>
            </w:r>
          </w:p>
        </w:tc>
        <w:tc>
          <w:tcPr>
            <w:tcW w:w="0" w:type="auto"/>
            <w:tcBorders>
              <w:top w:val="nil"/>
              <w:left w:val="nil"/>
              <w:bottom w:val="single" w:sz="4" w:space="0" w:color="auto"/>
              <w:right w:val="single" w:sz="4" w:space="0" w:color="auto"/>
            </w:tcBorders>
            <w:vAlign w:val="center"/>
            <w:hideMark/>
          </w:tcPr>
          <w:p w14:paraId="26E96BAA"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31.86</w:t>
            </w:r>
          </w:p>
        </w:tc>
        <w:tc>
          <w:tcPr>
            <w:tcW w:w="0" w:type="auto"/>
            <w:tcBorders>
              <w:top w:val="nil"/>
              <w:left w:val="nil"/>
              <w:bottom w:val="single" w:sz="4" w:space="0" w:color="auto"/>
              <w:right w:val="single" w:sz="4" w:space="0" w:color="auto"/>
            </w:tcBorders>
            <w:vAlign w:val="center"/>
            <w:hideMark/>
          </w:tcPr>
          <w:p w14:paraId="63D41EBD"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100.4</w:t>
            </w:r>
          </w:p>
        </w:tc>
        <w:tc>
          <w:tcPr>
            <w:tcW w:w="0" w:type="auto"/>
            <w:tcBorders>
              <w:top w:val="nil"/>
              <w:left w:val="nil"/>
              <w:bottom w:val="single" w:sz="4" w:space="0" w:color="auto"/>
              <w:right w:val="single" w:sz="4" w:space="0" w:color="auto"/>
            </w:tcBorders>
            <w:vAlign w:val="center"/>
            <w:hideMark/>
          </w:tcPr>
          <w:p w14:paraId="5BAC2B86"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132.31</w:t>
            </w:r>
          </w:p>
        </w:tc>
        <w:tc>
          <w:tcPr>
            <w:tcW w:w="0" w:type="auto"/>
            <w:tcBorders>
              <w:top w:val="nil"/>
              <w:left w:val="nil"/>
              <w:bottom w:val="single" w:sz="4" w:space="0" w:color="auto"/>
              <w:right w:val="single" w:sz="4" w:space="0" w:color="auto"/>
            </w:tcBorders>
            <w:vAlign w:val="center"/>
            <w:hideMark/>
          </w:tcPr>
          <w:p w14:paraId="770E9EF9"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136.42</w:t>
            </w:r>
          </w:p>
        </w:tc>
      </w:tr>
      <w:tr w:rsidR="009370AB" w:rsidRPr="009370AB" w14:paraId="0B78E41F" w14:textId="77777777" w:rsidTr="009370AB">
        <w:trPr>
          <w:trHeight w:val="253"/>
        </w:trPr>
        <w:tc>
          <w:tcPr>
            <w:tcW w:w="2768" w:type="dxa"/>
            <w:tcBorders>
              <w:top w:val="nil"/>
              <w:left w:val="single" w:sz="4" w:space="0" w:color="auto"/>
              <w:bottom w:val="single" w:sz="4" w:space="0" w:color="auto"/>
              <w:right w:val="single" w:sz="4" w:space="0" w:color="auto"/>
            </w:tcBorders>
            <w:vAlign w:val="center"/>
            <w:hideMark/>
          </w:tcPr>
          <w:p w14:paraId="1C0E3BE7"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Finger millet (GPU 67)</w:t>
            </w:r>
          </w:p>
        </w:tc>
        <w:tc>
          <w:tcPr>
            <w:tcW w:w="2754" w:type="dxa"/>
            <w:tcBorders>
              <w:top w:val="nil"/>
              <w:left w:val="nil"/>
              <w:bottom w:val="single" w:sz="4" w:space="0" w:color="auto"/>
              <w:right w:val="single" w:sz="4" w:space="0" w:color="auto"/>
            </w:tcBorders>
            <w:vAlign w:val="center"/>
            <w:hideMark/>
          </w:tcPr>
          <w:p w14:paraId="691CC650"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8.42</w:t>
            </w:r>
          </w:p>
        </w:tc>
        <w:tc>
          <w:tcPr>
            <w:tcW w:w="0" w:type="auto"/>
            <w:tcBorders>
              <w:top w:val="nil"/>
              <w:left w:val="nil"/>
              <w:bottom w:val="single" w:sz="4" w:space="0" w:color="auto"/>
              <w:right w:val="single" w:sz="4" w:space="0" w:color="auto"/>
            </w:tcBorders>
            <w:vAlign w:val="center"/>
            <w:hideMark/>
          </w:tcPr>
          <w:p w14:paraId="0FF0CA26" w14:textId="449A17BA"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15.5</w:t>
            </w:r>
            <w:r w:rsidR="00B178B8">
              <w:rPr>
                <w:rFonts w:ascii="Times New Roman" w:eastAsia="Times New Roman" w:hAnsi="Times New Roman" w:cs="Times New Roman"/>
                <w:color w:val="000000"/>
                <w:spacing w:val="-2"/>
              </w:rPr>
              <w:t>0</w:t>
            </w:r>
          </w:p>
        </w:tc>
        <w:tc>
          <w:tcPr>
            <w:tcW w:w="0" w:type="auto"/>
            <w:tcBorders>
              <w:top w:val="nil"/>
              <w:left w:val="nil"/>
              <w:bottom w:val="single" w:sz="4" w:space="0" w:color="auto"/>
              <w:right w:val="single" w:sz="4" w:space="0" w:color="auto"/>
            </w:tcBorders>
            <w:vAlign w:val="center"/>
            <w:hideMark/>
          </w:tcPr>
          <w:p w14:paraId="2387DA8A"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34.04</w:t>
            </w:r>
          </w:p>
        </w:tc>
        <w:tc>
          <w:tcPr>
            <w:tcW w:w="0" w:type="auto"/>
            <w:tcBorders>
              <w:top w:val="nil"/>
              <w:left w:val="nil"/>
              <w:bottom w:val="single" w:sz="4" w:space="0" w:color="auto"/>
              <w:right w:val="single" w:sz="4" w:space="0" w:color="auto"/>
            </w:tcBorders>
            <w:vAlign w:val="center"/>
            <w:hideMark/>
          </w:tcPr>
          <w:p w14:paraId="2DD7A598"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54.18</w:t>
            </w:r>
          </w:p>
        </w:tc>
        <w:tc>
          <w:tcPr>
            <w:tcW w:w="0" w:type="auto"/>
            <w:tcBorders>
              <w:top w:val="nil"/>
              <w:left w:val="nil"/>
              <w:bottom w:val="single" w:sz="4" w:space="0" w:color="auto"/>
              <w:right w:val="single" w:sz="4" w:space="0" w:color="auto"/>
            </w:tcBorders>
            <w:vAlign w:val="center"/>
            <w:hideMark/>
          </w:tcPr>
          <w:p w14:paraId="44F87A4E"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88.92</w:t>
            </w:r>
          </w:p>
        </w:tc>
      </w:tr>
      <w:tr w:rsidR="009370AB" w:rsidRPr="009370AB" w14:paraId="651023D6" w14:textId="77777777" w:rsidTr="009370AB">
        <w:trPr>
          <w:trHeight w:val="253"/>
        </w:trPr>
        <w:tc>
          <w:tcPr>
            <w:tcW w:w="2768" w:type="dxa"/>
            <w:tcBorders>
              <w:top w:val="nil"/>
              <w:left w:val="single" w:sz="4" w:space="0" w:color="auto"/>
              <w:bottom w:val="single" w:sz="4" w:space="0" w:color="auto"/>
              <w:right w:val="single" w:sz="4" w:space="0" w:color="auto"/>
            </w:tcBorders>
            <w:vAlign w:val="center"/>
            <w:hideMark/>
          </w:tcPr>
          <w:p w14:paraId="37D42E50"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SE(m) ±</w:t>
            </w:r>
          </w:p>
        </w:tc>
        <w:tc>
          <w:tcPr>
            <w:tcW w:w="2754" w:type="dxa"/>
            <w:tcBorders>
              <w:top w:val="nil"/>
              <w:left w:val="nil"/>
              <w:bottom w:val="single" w:sz="4" w:space="0" w:color="auto"/>
              <w:right w:val="single" w:sz="4" w:space="0" w:color="auto"/>
            </w:tcBorders>
            <w:vAlign w:val="center"/>
            <w:hideMark/>
          </w:tcPr>
          <w:p w14:paraId="62017D9D"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0.27</w:t>
            </w:r>
          </w:p>
        </w:tc>
        <w:tc>
          <w:tcPr>
            <w:tcW w:w="0" w:type="auto"/>
            <w:tcBorders>
              <w:top w:val="nil"/>
              <w:left w:val="nil"/>
              <w:bottom w:val="single" w:sz="4" w:space="0" w:color="auto"/>
              <w:right w:val="single" w:sz="4" w:space="0" w:color="auto"/>
            </w:tcBorders>
            <w:vAlign w:val="center"/>
            <w:hideMark/>
          </w:tcPr>
          <w:p w14:paraId="6E3CE5F8" w14:textId="668D26C4"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0.5</w:t>
            </w:r>
            <w:r w:rsidR="00B178B8">
              <w:rPr>
                <w:rFonts w:ascii="Times New Roman" w:eastAsia="Times New Roman" w:hAnsi="Times New Roman" w:cs="Times New Roman"/>
                <w:color w:val="000000"/>
                <w:spacing w:val="-4"/>
              </w:rPr>
              <w:t>0</w:t>
            </w:r>
          </w:p>
        </w:tc>
        <w:tc>
          <w:tcPr>
            <w:tcW w:w="0" w:type="auto"/>
            <w:tcBorders>
              <w:top w:val="nil"/>
              <w:left w:val="nil"/>
              <w:bottom w:val="single" w:sz="4" w:space="0" w:color="auto"/>
              <w:right w:val="single" w:sz="4" w:space="0" w:color="auto"/>
            </w:tcBorders>
            <w:vAlign w:val="center"/>
            <w:hideMark/>
          </w:tcPr>
          <w:p w14:paraId="314F578D" w14:textId="50151222"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1.2</w:t>
            </w:r>
            <w:r w:rsidR="00B178B8">
              <w:rPr>
                <w:rFonts w:ascii="Times New Roman" w:eastAsia="Times New Roman" w:hAnsi="Times New Roman" w:cs="Times New Roman"/>
                <w:color w:val="000000"/>
                <w:spacing w:val="-4"/>
              </w:rPr>
              <w:t>0</w:t>
            </w:r>
          </w:p>
        </w:tc>
        <w:tc>
          <w:tcPr>
            <w:tcW w:w="0" w:type="auto"/>
            <w:tcBorders>
              <w:top w:val="nil"/>
              <w:left w:val="nil"/>
              <w:bottom w:val="single" w:sz="4" w:space="0" w:color="auto"/>
              <w:right w:val="single" w:sz="4" w:space="0" w:color="auto"/>
            </w:tcBorders>
            <w:vAlign w:val="center"/>
            <w:hideMark/>
          </w:tcPr>
          <w:p w14:paraId="4BDE8AD2"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1.94</w:t>
            </w:r>
          </w:p>
        </w:tc>
        <w:tc>
          <w:tcPr>
            <w:tcW w:w="0" w:type="auto"/>
            <w:tcBorders>
              <w:top w:val="nil"/>
              <w:left w:val="nil"/>
              <w:bottom w:val="single" w:sz="4" w:space="0" w:color="auto"/>
              <w:right w:val="single" w:sz="4" w:space="0" w:color="auto"/>
            </w:tcBorders>
            <w:vAlign w:val="center"/>
            <w:hideMark/>
          </w:tcPr>
          <w:p w14:paraId="338088E2"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2.79</w:t>
            </w:r>
          </w:p>
        </w:tc>
      </w:tr>
      <w:tr w:rsidR="009370AB" w:rsidRPr="009370AB" w14:paraId="6ECD4B2D" w14:textId="77777777" w:rsidTr="009370AB">
        <w:trPr>
          <w:trHeight w:val="264"/>
        </w:trPr>
        <w:tc>
          <w:tcPr>
            <w:tcW w:w="2768" w:type="dxa"/>
            <w:tcBorders>
              <w:top w:val="nil"/>
              <w:left w:val="single" w:sz="4" w:space="0" w:color="auto"/>
              <w:bottom w:val="single" w:sz="4" w:space="0" w:color="auto"/>
              <w:right w:val="single" w:sz="4" w:space="0" w:color="auto"/>
            </w:tcBorders>
            <w:vAlign w:val="center"/>
            <w:hideMark/>
          </w:tcPr>
          <w:p w14:paraId="373BAB80" w14:textId="77777777"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CD at 5 %</w:t>
            </w:r>
          </w:p>
        </w:tc>
        <w:tc>
          <w:tcPr>
            <w:tcW w:w="2754" w:type="dxa"/>
            <w:tcBorders>
              <w:top w:val="nil"/>
              <w:left w:val="nil"/>
              <w:bottom w:val="single" w:sz="4" w:space="0" w:color="auto"/>
              <w:right w:val="single" w:sz="4" w:space="0" w:color="auto"/>
            </w:tcBorders>
            <w:vAlign w:val="center"/>
            <w:hideMark/>
          </w:tcPr>
          <w:p w14:paraId="072F106A"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5"/>
              </w:rPr>
              <w:t>NS</w:t>
            </w:r>
          </w:p>
        </w:tc>
        <w:tc>
          <w:tcPr>
            <w:tcW w:w="0" w:type="auto"/>
            <w:tcBorders>
              <w:top w:val="nil"/>
              <w:left w:val="nil"/>
              <w:bottom w:val="single" w:sz="4" w:space="0" w:color="auto"/>
              <w:right w:val="single" w:sz="4" w:space="0" w:color="auto"/>
            </w:tcBorders>
            <w:vAlign w:val="center"/>
            <w:hideMark/>
          </w:tcPr>
          <w:p w14:paraId="33956DDA"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1.78</w:t>
            </w:r>
          </w:p>
        </w:tc>
        <w:tc>
          <w:tcPr>
            <w:tcW w:w="0" w:type="auto"/>
            <w:tcBorders>
              <w:top w:val="nil"/>
              <w:left w:val="nil"/>
              <w:bottom w:val="single" w:sz="4" w:space="0" w:color="auto"/>
              <w:right w:val="single" w:sz="4" w:space="0" w:color="auto"/>
            </w:tcBorders>
            <w:vAlign w:val="center"/>
            <w:hideMark/>
          </w:tcPr>
          <w:p w14:paraId="06A418A5"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4.23</w:t>
            </w:r>
          </w:p>
        </w:tc>
        <w:tc>
          <w:tcPr>
            <w:tcW w:w="0" w:type="auto"/>
            <w:tcBorders>
              <w:top w:val="nil"/>
              <w:left w:val="nil"/>
              <w:bottom w:val="single" w:sz="4" w:space="0" w:color="auto"/>
              <w:right w:val="single" w:sz="4" w:space="0" w:color="auto"/>
            </w:tcBorders>
            <w:vAlign w:val="center"/>
            <w:hideMark/>
          </w:tcPr>
          <w:p w14:paraId="60521A40"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6.83</w:t>
            </w:r>
          </w:p>
        </w:tc>
        <w:tc>
          <w:tcPr>
            <w:tcW w:w="0" w:type="auto"/>
            <w:tcBorders>
              <w:top w:val="nil"/>
              <w:left w:val="nil"/>
              <w:bottom w:val="single" w:sz="4" w:space="0" w:color="auto"/>
              <w:right w:val="single" w:sz="4" w:space="0" w:color="auto"/>
            </w:tcBorders>
            <w:vAlign w:val="center"/>
            <w:hideMark/>
          </w:tcPr>
          <w:p w14:paraId="48C5FED0"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9.85</w:t>
            </w:r>
          </w:p>
        </w:tc>
      </w:tr>
      <w:tr w:rsidR="009370AB" w:rsidRPr="009370AB" w14:paraId="5FB58E25" w14:textId="77777777" w:rsidTr="009370AB">
        <w:trPr>
          <w:trHeight w:val="306"/>
        </w:trPr>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54C9E07A" w14:textId="77777777"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Fertility levels (kg ha</w:t>
            </w:r>
            <w:r w:rsidRPr="009370AB">
              <w:rPr>
                <w:rFonts w:ascii="Times New Roman" w:eastAsia="Times New Roman" w:hAnsi="Times New Roman" w:cs="Times New Roman"/>
                <w:b/>
                <w:bCs/>
                <w:color w:val="000000"/>
                <w:vertAlign w:val="superscript"/>
              </w:rPr>
              <w:t>-1</w:t>
            </w:r>
            <w:r w:rsidRPr="009370AB">
              <w:rPr>
                <w:rFonts w:ascii="Times New Roman" w:eastAsia="Times New Roman" w:hAnsi="Times New Roman" w:cs="Times New Roman"/>
                <w:b/>
                <w:bCs/>
                <w:color w:val="000000"/>
              </w:rPr>
              <w:t>)</w:t>
            </w:r>
          </w:p>
        </w:tc>
      </w:tr>
      <w:tr w:rsidR="009370AB" w:rsidRPr="009370AB" w14:paraId="464A9577" w14:textId="77777777" w:rsidTr="009370AB">
        <w:trPr>
          <w:trHeight w:val="253"/>
        </w:trPr>
        <w:tc>
          <w:tcPr>
            <w:tcW w:w="2768" w:type="dxa"/>
            <w:tcBorders>
              <w:top w:val="nil"/>
              <w:left w:val="single" w:sz="4" w:space="0" w:color="auto"/>
              <w:bottom w:val="single" w:sz="4" w:space="0" w:color="auto"/>
              <w:right w:val="single" w:sz="4" w:space="0" w:color="auto"/>
            </w:tcBorders>
            <w:vAlign w:val="center"/>
            <w:hideMark/>
          </w:tcPr>
          <w:p w14:paraId="531B1BE0"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position w:val="2"/>
              </w:rPr>
              <w:t>T</w:t>
            </w:r>
            <w:r w:rsidRPr="009370AB">
              <w:rPr>
                <w:rFonts w:ascii="Times New Roman" w:eastAsia="Times New Roman" w:hAnsi="Times New Roman" w:cs="Times New Roman"/>
                <w:color w:val="000000"/>
                <w:position w:val="2"/>
                <w:sz w:val="14"/>
                <w:szCs w:val="14"/>
              </w:rPr>
              <w:t>1</w:t>
            </w:r>
            <w:r w:rsidRPr="009370AB">
              <w:rPr>
                <w:rFonts w:ascii="Times New Roman" w:eastAsia="Times New Roman" w:hAnsi="Times New Roman" w:cs="Times New Roman"/>
                <w:color w:val="000000"/>
                <w:position w:val="2"/>
              </w:rPr>
              <w:t>- Control</w:t>
            </w:r>
          </w:p>
        </w:tc>
        <w:tc>
          <w:tcPr>
            <w:tcW w:w="2754" w:type="dxa"/>
            <w:tcBorders>
              <w:top w:val="nil"/>
              <w:left w:val="nil"/>
              <w:bottom w:val="single" w:sz="4" w:space="0" w:color="auto"/>
              <w:right w:val="single" w:sz="4" w:space="0" w:color="auto"/>
            </w:tcBorders>
            <w:vAlign w:val="center"/>
            <w:hideMark/>
          </w:tcPr>
          <w:p w14:paraId="52093292"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8.12</w:t>
            </w:r>
          </w:p>
        </w:tc>
        <w:tc>
          <w:tcPr>
            <w:tcW w:w="0" w:type="auto"/>
            <w:tcBorders>
              <w:top w:val="nil"/>
              <w:left w:val="nil"/>
              <w:bottom w:val="single" w:sz="4" w:space="0" w:color="auto"/>
              <w:right w:val="single" w:sz="4" w:space="0" w:color="auto"/>
            </w:tcBorders>
            <w:vAlign w:val="center"/>
            <w:hideMark/>
          </w:tcPr>
          <w:p w14:paraId="45E5EED8"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23.39</w:t>
            </w:r>
          </w:p>
        </w:tc>
        <w:tc>
          <w:tcPr>
            <w:tcW w:w="0" w:type="auto"/>
            <w:tcBorders>
              <w:top w:val="nil"/>
              <w:left w:val="nil"/>
              <w:bottom w:val="single" w:sz="4" w:space="0" w:color="auto"/>
              <w:right w:val="single" w:sz="4" w:space="0" w:color="auto"/>
            </w:tcBorders>
            <w:vAlign w:val="center"/>
            <w:hideMark/>
          </w:tcPr>
          <w:p w14:paraId="2108AC36" w14:textId="53656F8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64.2</w:t>
            </w:r>
            <w:r w:rsidR="00B178B8">
              <w:rPr>
                <w:rFonts w:ascii="Times New Roman" w:eastAsia="Times New Roman" w:hAnsi="Times New Roman" w:cs="Times New Roman"/>
                <w:color w:val="000000"/>
                <w:spacing w:val="-2"/>
              </w:rPr>
              <w:t>0</w:t>
            </w:r>
          </w:p>
        </w:tc>
        <w:tc>
          <w:tcPr>
            <w:tcW w:w="0" w:type="auto"/>
            <w:tcBorders>
              <w:top w:val="nil"/>
              <w:left w:val="nil"/>
              <w:bottom w:val="single" w:sz="4" w:space="0" w:color="auto"/>
              <w:right w:val="single" w:sz="4" w:space="0" w:color="auto"/>
            </w:tcBorders>
            <w:vAlign w:val="center"/>
            <w:hideMark/>
          </w:tcPr>
          <w:p w14:paraId="64C361FE" w14:textId="53E97EFF"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104</w:t>
            </w:r>
            <w:r w:rsidR="002F0FF7">
              <w:rPr>
                <w:rFonts w:ascii="Times New Roman" w:eastAsia="Times New Roman" w:hAnsi="Times New Roman" w:cs="Times New Roman"/>
                <w:color w:val="000000"/>
                <w:spacing w:val="-2"/>
              </w:rPr>
              <w:t>.00</w:t>
            </w:r>
          </w:p>
        </w:tc>
        <w:tc>
          <w:tcPr>
            <w:tcW w:w="0" w:type="auto"/>
            <w:tcBorders>
              <w:top w:val="nil"/>
              <w:left w:val="nil"/>
              <w:bottom w:val="single" w:sz="4" w:space="0" w:color="auto"/>
              <w:right w:val="single" w:sz="4" w:space="0" w:color="auto"/>
            </w:tcBorders>
            <w:vAlign w:val="center"/>
            <w:hideMark/>
          </w:tcPr>
          <w:p w14:paraId="369326F7"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115.19</w:t>
            </w:r>
          </w:p>
        </w:tc>
      </w:tr>
      <w:tr w:rsidR="009370AB" w:rsidRPr="009370AB" w14:paraId="5A4982BB" w14:textId="77777777" w:rsidTr="009370AB">
        <w:trPr>
          <w:trHeight w:val="253"/>
        </w:trPr>
        <w:tc>
          <w:tcPr>
            <w:tcW w:w="2768" w:type="dxa"/>
            <w:tcBorders>
              <w:top w:val="nil"/>
              <w:left w:val="single" w:sz="4" w:space="0" w:color="auto"/>
              <w:bottom w:val="single" w:sz="4" w:space="0" w:color="auto"/>
              <w:right w:val="single" w:sz="4" w:space="0" w:color="auto"/>
            </w:tcBorders>
            <w:vAlign w:val="center"/>
            <w:hideMark/>
          </w:tcPr>
          <w:p w14:paraId="3654D7DD"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position w:val="2"/>
              </w:rPr>
              <w:t>T</w:t>
            </w:r>
            <w:r w:rsidRPr="009370AB">
              <w:rPr>
                <w:rFonts w:ascii="Times New Roman" w:eastAsia="Times New Roman" w:hAnsi="Times New Roman" w:cs="Times New Roman"/>
                <w:color w:val="000000"/>
                <w:position w:val="2"/>
                <w:sz w:val="14"/>
                <w:szCs w:val="14"/>
              </w:rPr>
              <w:t>2</w:t>
            </w:r>
            <w:r w:rsidRPr="009370AB">
              <w:rPr>
                <w:rFonts w:ascii="Times New Roman" w:eastAsia="Times New Roman" w:hAnsi="Times New Roman" w:cs="Times New Roman"/>
                <w:color w:val="000000"/>
                <w:position w:val="2"/>
              </w:rPr>
              <w:t>- N</w:t>
            </w:r>
            <w:r w:rsidRPr="009370AB">
              <w:rPr>
                <w:rFonts w:ascii="Times New Roman" w:eastAsia="Times New Roman" w:hAnsi="Times New Roman" w:cs="Times New Roman"/>
                <w:color w:val="000000"/>
                <w:position w:val="2"/>
                <w:sz w:val="14"/>
                <w:szCs w:val="14"/>
              </w:rPr>
              <w:t>20</w:t>
            </w:r>
            <w:r w:rsidRPr="009370AB">
              <w:rPr>
                <w:rFonts w:ascii="Times New Roman" w:eastAsia="Times New Roman" w:hAnsi="Times New Roman" w:cs="Times New Roman"/>
                <w:color w:val="000000"/>
                <w:position w:val="2"/>
              </w:rPr>
              <w:t>P</w:t>
            </w:r>
            <w:r w:rsidRPr="009370AB">
              <w:rPr>
                <w:rFonts w:ascii="Times New Roman" w:eastAsia="Times New Roman" w:hAnsi="Times New Roman" w:cs="Times New Roman"/>
                <w:color w:val="000000"/>
                <w:position w:val="2"/>
                <w:sz w:val="14"/>
                <w:szCs w:val="14"/>
              </w:rPr>
              <w:t>10</w:t>
            </w:r>
          </w:p>
        </w:tc>
        <w:tc>
          <w:tcPr>
            <w:tcW w:w="2754" w:type="dxa"/>
            <w:tcBorders>
              <w:top w:val="nil"/>
              <w:left w:val="nil"/>
              <w:bottom w:val="single" w:sz="4" w:space="0" w:color="auto"/>
              <w:right w:val="single" w:sz="4" w:space="0" w:color="auto"/>
            </w:tcBorders>
            <w:vAlign w:val="center"/>
            <w:hideMark/>
          </w:tcPr>
          <w:p w14:paraId="6FEA06C2"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8.58</w:t>
            </w:r>
          </w:p>
        </w:tc>
        <w:tc>
          <w:tcPr>
            <w:tcW w:w="0" w:type="auto"/>
            <w:tcBorders>
              <w:top w:val="nil"/>
              <w:left w:val="nil"/>
              <w:bottom w:val="single" w:sz="4" w:space="0" w:color="auto"/>
              <w:right w:val="single" w:sz="4" w:space="0" w:color="auto"/>
            </w:tcBorders>
            <w:vAlign w:val="center"/>
            <w:hideMark/>
          </w:tcPr>
          <w:p w14:paraId="001239A4"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24.02</w:t>
            </w:r>
          </w:p>
        </w:tc>
        <w:tc>
          <w:tcPr>
            <w:tcW w:w="0" w:type="auto"/>
            <w:tcBorders>
              <w:top w:val="nil"/>
              <w:left w:val="nil"/>
              <w:bottom w:val="single" w:sz="4" w:space="0" w:color="auto"/>
              <w:right w:val="single" w:sz="4" w:space="0" w:color="auto"/>
            </w:tcBorders>
            <w:vAlign w:val="center"/>
            <w:hideMark/>
          </w:tcPr>
          <w:p w14:paraId="5639F11D" w14:textId="75746B53"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72.7</w:t>
            </w:r>
            <w:r w:rsidR="00B178B8">
              <w:rPr>
                <w:rFonts w:ascii="Times New Roman" w:eastAsia="Times New Roman" w:hAnsi="Times New Roman" w:cs="Times New Roman"/>
                <w:color w:val="000000"/>
                <w:spacing w:val="-2"/>
              </w:rPr>
              <w:t>0</w:t>
            </w:r>
          </w:p>
        </w:tc>
        <w:tc>
          <w:tcPr>
            <w:tcW w:w="0" w:type="auto"/>
            <w:tcBorders>
              <w:top w:val="nil"/>
              <w:left w:val="nil"/>
              <w:bottom w:val="single" w:sz="4" w:space="0" w:color="auto"/>
              <w:right w:val="single" w:sz="4" w:space="0" w:color="auto"/>
            </w:tcBorders>
            <w:vAlign w:val="center"/>
            <w:hideMark/>
          </w:tcPr>
          <w:p w14:paraId="07E3C9A5"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112.92</w:t>
            </w:r>
          </w:p>
        </w:tc>
        <w:tc>
          <w:tcPr>
            <w:tcW w:w="0" w:type="auto"/>
            <w:tcBorders>
              <w:top w:val="nil"/>
              <w:left w:val="nil"/>
              <w:bottom w:val="single" w:sz="4" w:space="0" w:color="auto"/>
              <w:right w:val="single" w:sz="4" w:space="0" w:color="auto"/>
            </w:tcBorders>
            <w:vAlign w:val="center"/>
            <w:hideMark/>
          </w:tcPr>
          <w:p w14:paraId="48BB7377"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124.81</w:t>
            </w:r>
          </w:p>
        </w:tc>
      </w:tr>
      <w:tr w:rsidR="009370AB" w:rsidRPr="009370AB" w14:paraId="65BF92E3" w14:textId="77777777" w:rsidTr="009370AB">
        <w:trPr>
          <w:trHeight w:val="253"/>
        </w:trPr>
        <w:tc>
          <w:tcPr>
            <w:tcW w:w="2768" w:type="dxa"/>
            <w:tcBorders>
              <w:top w:val="nil"/>
              <w:left w:val="single" w:sz="4" w:space="0" w:color="auto"/>
              <w:bottom w:val="single" w:sz="4" w:space="0" w:color="auto"/>
              <w:right w:val="single" w:sz="4" w:space="0" w:color="auto"/>
            </w:tcBorders>
            <w:vAlign w:val="center"/>
            <w:hideMark/>
          </w:tcPr>
          <w:p w14:paraId="51292C5B"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position w:val="2"/>
              </w:rPr>
              <w:t>T</w:t>
            </w:r>
            <w:r w:rsidRPr="009370AB">
              <w:rPr>
                <w:rFonts w:ascii="Times New Roman" w:eastAsia="Times New Roman" w:hAnsi="Times New Roman" w:cs="Times New Roman"/>
                <w:color w:val="000000"/>
                <w:position w:val="2"/>
                <w:sz w:val="14"/>
                <w:szCs w:val="14"/>
              </w:rPr>
              <w:t>3</w:t>
            </w:r>
            <w:r w:rsidRPr="009370AB">
              <w:rPr>
                <w:rFonts w:ascii="Times New Roman" w:eastAsia="Times New Roman" w:hAnsi="Times New Roman" w:cs="Times New Roman"/>
                <w:color w:val="000000"/>
                <w:position w:val="2"/>
              </w:rPr>
              <w:t>- N</w:t>
            </w:r>
            <w:r w:rsidRPr="009370AB">
              <w:rPr>
                <w:rFonts w:ascii="Times New Roman" w:eastAsia="Times New Roman" w:hAnsi="Times New Roman" w:cs="Times New Roman"/>
                <w:color w:val="000000"/>
                <w:position w:val="2"/>
                <w:sz w:val="14"/>
                <w:szCs w:val="14"/>
              </w:rPr>
              <w:t>40</w:t>
            </w:r>
            <w:r w:rsidRPr="009370AB">
              <w:rPr>
                <w:rFonts w:ascii="Times New Roman" w:eastAsia="Times New Roman" w:hAnsi="Times New Roman" w:cs="Times New Roman"/>
                <w:color w:val="000000"/>
                <w:position w:val="2"/>
              </w:rPr>
              <w:t>P</w:t>
            </w:r>
            <w:r w:rsidRPr="009370AB">
              <w:rPr>
                <w:rFonts w:ascii="Times New Roman" w:eastAsia="Times New Roman" w:hAnsi="Times New Roman" w:cs="Times New Roman"/>
                <w:color w:val="000000"/>
                <w:position w:val="2"/>
                <w:sz w:val="14"/>
                <w:szCs w:val="14"/>
              </w:rPr>
              <w:t>20</w:t>
            </w:r>
          </w:p>
        </w:tc>
        <w:tc>
          <w:tcPr>
            <w:tcW w:w="2754" w:type="dxa"/>
            <w:tcBorders>
              <w:top w:val="nil"/>
              <w:left w:val="nil"/>
              <w:bottom w:val="single" w:sz="4" w:space="0" w:color="auto"/>
              <w:right w:val="single" w:sz="4" w:space="0" w:color="auto"/>
            </w:tcBorders>
            <w:vAlign w:val="center"/>
            <w:hideMark/>
          </w:tcPr>
          <w:p w14:paraId="33977288"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8.92</w:t>
            </w:r>
          </w:p>
        </w:tc>
        <w:tc>
          <w:tcPr>
            <w:tcW w:w="0" w:type="auto"/>
            <w:tcBorders>
              <w:top w:val="nil"/>
              <w:left w:val="nil"/>
              <w:bottom w:val="single" w:sz="4" w:space="0" w:color="auto"/>
              <w:right w:val="single" w:sz="4" w:space="0" w:color="auto"/>
            </w:tcBorders>
            <w:vAlign w:val="center"/>
            <w:hideMark/>
          </w:tcPr>
          <w:p w14:paraId="54118C38"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25.08</w:t>
            </w:r>
          </w:p>
        </w:tc>
        <w:tc>
          <w:tcPr>
            <w:tcW w:w="0" w:type="auto"/>
            <w:tcBorders>
              <w:top w:val="nil"/>
              <w:left w:val="nil"/>
              <w:bottom w:val="single" w:sz="4" w:space="0" w:color="auto"/>
              <w:right w:val="single" w:sz="4" w:space="0" w:color="auto"/>
            </w:tcBorders>
            <w:vAlign w:val="center"/>
            <w:hideMark/>
          </w:tcPr>
          <w:p w14:paraId="403D1EC1"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76.19</w:t>
            </w:r>
          </w:p>
        </w:tc>
        <w:tc>
          <w:tcPr>
            <w:tcW w:w="0" w:type="auto"/>
            <w:tcBorders>
              <w:top w:val="nil"/>
              <w:left w:val="nil"/>
              <w:bottom w:val="single" w:sz="4" w:space="0" w:color="auto"/>
              <w:right w:val="single" w:sz="4" w:space="0" w:color="auto"/>
            </w:tcBorders>
            <w:vAlign w:val="center"/>
            <w:hideMark/>
          </w:tcPr>
          <w:p w14:paraId="03D1A6DC"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117.25</w:t>
            </w:r>
          </w:p>
        </w:tc>
        <w:tc>
          <w:tcPr>
            <w:tcW w:w="0" w:type="auto"/>
            <w:tcBorders>
              <w:top w:val="nil"/>
              <w:left w:val="nil"/>
              <w:bottom w:val="single" w:sz="4" w:space="0" w:color="auto"/>
              <w:right w:val="single" w:sz="4" w:space="0" w:color="auto"/>
            </w:tcBorders>
            <w:vAlign w:val="center"/>
            <w:hideMark/>
          </w:tcPr>
          <w:p w14:paraId="1CFB0A1C"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128.67</w:t>
            </w:r>
          </w:p>
        </w:tc>
      </w:tr>
      <w:tr w:rsidR="009370AB" w:rsidRPr="009370AB" w14:paraId="11607066" w14:textId="77777777" w:rsidTr="009370AB">
        <w:trPr>
          <w:trHeight w:val="253"/>
        </w:trPr>
        <w:tc>
          <w:tcPr>
            <w:tcW w:w="2768" w:type="dxa"/>
            <w:tcBorders>
              <w:top w:val="nil"/>
              <w:left w:val="single" w:sz="4" w:space="0" w:color="auto"/>
              <w:bottom w:val="single" w:sz="4" w:space="0" w:color="auto"/>
              <w:right w:val="single" w:sz="4" w:space="0" w:color="auto"/>
            </w:tcBorders>
            <w:vAlign w:val="center"/>
            <w:hideMark/>
          </w:tcPr>
          <w:p w14:paraId="0172E995"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position w:val="2"/>
              </w:rPr>
              <w:t>T</w:t>
            </w:r>
            <w:r w:rsidRPr="009370AB">
              <w:rPr>
                <w:rFonts w:ascii="Times New Roman" w:eastAsia="Times New Roman" w:hAnsi="Times New Roman" w:cs="Times New Roman"/>
                <w:color w:val="000000"/>
                <w:position w:val="2"/>
                <w:sz w:val="14"/>
                <w:szCs w:val="14"/>
              </w:rPr>
              <w:t>4</w:t>
            </w:r>
            <w:r w:rsidRPr="009370AB">
              <w:rPr>
                <w:rFonts w:ascii="Times New Roman" w:eastAsia="Times New Roman" w:hAnsi="Times New Roman" w:cs="Times New Roman"/>
                <w:color w:val="000000"/>
                <w:position w:val="2"/>
              </w:rPr>
              <w:t>- N</w:t>
            </w:r>
            <w:r w:rsidRPr="009370AB">
              <w:rPr>
                <w:rFonts w:ascii="Times New Roman" w:eastAsia="Times New Roman" w:hAnsi="Times New Roman" w:cs="Times New Roman"/>
                <w:color w:val="000000"/>
                <w:position w:val="2"/>
                <w:sz w:val="14"/>
                <w:szCs w:val="14"/>
              </w:rPr>
              <w:t>60</w:t>
            </w:r>
            <w:r w:rsidRPr="009370AB">
              <w:rPr>
                <w:rFonts w:ascii="Times New Roman" w:eastAsia="Times New Roman" w:hAnsi="Times New Roman" w:cs="Times New Roman"/>
                <w:color w:val="000000"/>
                <w:position w:val="2"/>
              </w:rPr>
              <w:t>P</w:t>
            </w:r>
            <w:r w:rsidRPr="009370AB">
              <w:rPr>
                <w:rFonts w:ascii="Times New Roman" w:eastAsia="Times New Roman" w:hAnsi="Times New Roman" w:cs="Times New Roman"/>
                <w:color w:val="000000"/>
                <w:position w:val="2"/>
                <w:sz w:val="14"/>
                <w:szCs w:val="14"/>
              </w:rPr>
              <w:t>30</w:t>
            </w:r>
          </w:p>
        </w:tc>
        <w:tc>
          <w:tcPr>
            <w:tcW w:w="2754" w:type="dxa"/>
            <w:tcBorders>
              <w:top w:val="nil"/>
              <w:left w:val="nil"/>
              <w:bottom w:val="single" w:sz="4" w:space="0" w:color="auto"/>
              <w:right w:val="single" w:sz="4" w:space="0" w:color="auto"/>
            </w:tcBorders>
            <w:vAlign w:val="center"/>
            <w:hideMark/>
          </w:tcPr>
          <w:p w14:paraId="3077A7CF"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8.17</w:t>
            </w:r>
          </w:p>
        </w:tc>
        <w:tc>
          <w:tcPr>
            <w:tcW w:w="0" w:type="auto"/>
            <w:tcBorders>
              <w:top w:val="nil"/>
              <w:left w:val="nil"/>
              <w:bottom w:val="single" w:sz="4" w:space="0" w:color="auto"/>
              <w:right w:val="single" w:sz="4" w:space="0" w:color="auto"/>
            </w:tcBorders>
            <w:vAlign w:val="center"/>
            <w:hideMark/>
          </w:tcPr>
          <w:p w14:paraId="796D9041"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25.47</w:t>
            </w:r>
          </w:p>
        </w:tc>
        <w:tc>
          <w:tcPr>
            <w:tcW w:w="0" w:type="auto"/>
            <w:tcBorders>
              <w:top w:val="nil"/>
              <w:left w:val="nil"/>
              <w:bottom w:val="single" w:sz="4" w:space="0" w:color="auto"/>
              <w:right w:val="single" w:sz="4" w:space="0" w:color="auto"/>
            </w:tcBorders>
            <w:vAlign w:val="center"/>
            <w:hideMark/>
          </w:tcPr>
          <w:p w14:paraId="7B441412"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77.96</w:t>
            </w:r>
          </w:p>
        </w:tc>
        <w:tc>
          <w:tcPr>
            <w:tcW w:w="0" w:type="auto"/>
            <w:tcBorders>
              <w:top w:val="nil"/>
              <w:left w:val="nil"/>
              <w:bottom w:val="single" w:sz="4" w:space="0" w:color="auto"/>
              <w:right w:val="single" w:sz="4" w:space="0" w:color="auto"/>
            </w:tcBorders>
            <w:vAlign w:val="center"/>
            <w:hideMark/>
          </w:tcPr>
          <w:p w14:paraId="7DC2E1E8"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119.06</w:t>
            </w:r>
          </w:p>
        </w:tc>
        <w:tc>
          <w:tcPr>
            <w:tcW w:w="0" w:type="auto"/>
            <w:tcBorders>
              <w:top w:val="nil"/>
              <w:left w:val="nil"/>
              <w:bottom w:val="single" w:sz="4" w:space="0" w:color="auto"/>
              <w:right w:val="single" w:sz="4" w:space="0" w:color="auto"/>
            </w:tcBorders>
            <w:vAlign w:val="center"/>
            <w:hideMark/>
          </w:tcPr>
          <w:p w14:paraId="38618CB9"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130.92</w:t>
            </w:r>
          </w:p>
        </w:tc>
      </w:tr>
      <w:tr w:rsidR="009370AB" w:rsidRPr="009370AB" w14:paraId="42382602" w14:textId="77777777" w:rsidTr="009370AB">
        <w:trPr>
          <w:trHeight w:val="253"/>
        </w:trPr>
        <w:tc>
          <w:tcPr>
            <w:tcW w:w="2768" w:type="dxa"/>
            <w:tcBorders>
              <w:top w:val="nil"/>
              <w:left w:val="single" w:sz="4" w:space="0" w:color="auto"/>
              <w:bottom w:val="single" w:sz="4" w:space="0" w:color="auto"/>
              <w:right w:val="single" w:sz="4" w:space="0" w:color="auto"/>
            </w:tcBorders>
            <w:vAlign w:val="center"/>
            <w:hideMark/>
          </w:tcPr>
          <w:p w14:paraId="3BC4AEB4"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SE(m) ±</w:t>
            </w:r>
          </w:p>
        </w:tc>
        <w:tc>
          <w:tcPr>
            <w:tcW w:w="2754" w:type="dxa"/>
            <w:tcBorders>
              <w:top w:val="nil"/>
              <w:left w:val="nil"/>
              <w:bottom w:val="single" w:sz="4" w:space="0" w:color="auto"/>
              <w:right w:val="single" w:sz="4" w:space="0" w:color="auto"/>
            </w:tcBorders>
            <w:vAlign w:val="center"/>
            <w:hideMark/>
          </w:tcPr>
          <w:p w14:paraId="036F0B55"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0.29</w:t>
            </w:r>
          </w:p>
        </w:tc>
        <w:tc>
          <w:tcPr>
            <w:tcW w:w="0" w:type="auto"/>
            <w:tcBorders>
              <w:top w:val="nil"/>
              <w:left w:val="nil"/>
              <w:bottom w:val="single" w:sz="4" w:space="0" w:color="auto"/>
              <w:right w:val="single" w:sz="4" w:space="0" w:color="auto"/>
            </w:tcBorders>
            <w:vAlign w:val="center"/>
            <w:hideMark/>
          </w:tcPr>
          <w:p w14:paraId="56126A7C"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0.62</w:t>
            </w:r>
          </w:p>
        </w:tc>
        <w:tc>
          <w:tcPr>
            <w:tcW w:w="0" w:type="auto"/>
            <w:tcBorders>
              <w:top w:val="nil"/>
              <w:left w:val="nil"/>
              <w:bottom w:val="single" w:sz="4" w:space="0" w:color="auto"/>
              <w:right w:val="single" w:sz="4" w:space="0" w:color="auto"/>
            </w:tcBorders>
            <w:vAlign w:val="center"/>
            <w:hideMark/>
          </w:tcPr>
          <w:p w14:paraId="1B8BF024"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0.94</w:t>
            </w:r>
          </w:p>
        </w:tc>
        <w:tc>
          <w:tcPr>
            <w:tcW w:w="0" w:type="auto"/>
            <w:tcBorders>
              <w:top w:val="nil"/>
              <w:left w:val="nil"/>
              <w:bottom w:val="single" w:sz="4" w:space="0" w:color="auto"/>
              <w:right w:val="single" w:sz="4" w:space="0" w:color="auto"/>
            </w:tcBorders>
            <w:vAlign w:val="center"/>
            <w:hideMark/>
          </w:tcPr>
          <w:p w14:paraId="6288476E"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0.78</w:t>
            </w:r>
          </w:p>
        </w:tc>
        <w:tc>
          <w:tcPr>
            <w:tcW w:w="0" w:type="auto"/>
            <w:tcBorders>
              <w:top w:val="nil"/>
              <w:left w:val="nil"/>
              <w:bottom w:val="single" w:sz="4" w:space="0" w:color="auto"/>
              <w:right w:val="single" w:sz="4" w:space="0" w:color="auto"/>
            </w:tcBorders>
            <w:vAlign w:val="center"/>
            <w:hideMark/>
          </w:tcPr>
          <w:p w14:paraId="21292333"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1.11</w:t>
            </w:r>
          </w:p>
        </w:tc>
      </w:tr>
      <w:tr w:rsidR="009370AB" w:rsidRPr="009370AB" w14:paraId="427716E1" w14:textId="77777777" w:rsidTr="009370AB">
        <w:trPr>
          <w:trHeight w:val="253"/>
        </w:trPr>
        <w:tc>
          <w:tcPr>
            <w:tcW w:w="2768" w:type="dxa"/>
            <w:tcBorders>
              <w:top w:val="nil"/>
              <w:left w:val="single" w:sz="4" w:space="0" w:color="auto"/>
              <w:bottom w:val="single" w:sz="4" w:space="0" w:color="auto"/>
              <w:right w:val="single" w:sz="4" w:space="0" w:color="auto"/>
            </w:tcBorders>
            <w:vAlign w:val="center"/>
            <w:hideMark/>
          </w:tcPr>
          <w:p w14:paraId="7F16E354" w14:textId="77777777"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CD at 5%</w:t>
            </w:r>
          </w:p>
        </w:tc>
        <w:tc>
          <w:tcPr>
            <w:tcW w:w="2754" w:type="dxa"/>
            <w:tcBorders>
              <w:top w:val="nil"/>
              <w:left w:val="nil"/>
              <w:bottom w:val="single" w:sz="4" w:space="0" w:color="auto"/>
              <w:right w:val="single" w:sz="4" w:space="0" w:color="auto"/>
            </w:tcBorders>
            <w:vAlign w:val="center"/>
            <w:hideMark/>
          </w:tcPr>
          <w:p w14:paraId="2C1C0E18"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5"/>
              </w:rPr>
              <w:t>NS</w:t>
            </w:r>
          </w:p>
        </w:tc>
        <w:tc>
          <w:tcPr>
            <w:tcW w:w="0" w:type="auto"/>
            <w:tcBorders>
              <w:top w:val="nil"/>
              <w:left w:val="nil"/>
              <w:bottom w:val="single" w:sz="4" w:space="0" w:color="auto"/>
              <w:right w:val="single" w:sz="4" w:space="0" w:color="auto"/>
            </w:tcBorders>
            <w:vAlign w:val="center"/>
            <w:hideMark/>
          </w:tcPr>
          <w:p w14:paraId="4B557CDE"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5"/>
              </w:rPr>
              <w:t>NS</w:t>
            </w:r>
          </w:p>
        </w:tc>
        <w:tc>
          <w:tcPr>
            <w:tcW w:w="0" w:type="auto"/>
            <w:tcBorders>
              <w:top w:val="nil"/>
              <w:left w:val="nil"/>
              <w:bottom w:val="single" w:sz="4" w:space="0" w:color="auto"/>
              <w:right w:val="single" w:sz="4" w:space="0" w:color="auto"/>
            </w:tcBorders>
            <w:vAlign w:val="center"/>
            <w:hideMark/>
          </w:tcPr>
          <w:p w14:paraId="29A43BCC"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2.77</w:t>
            </w:r>
          </w:p>
        </w:tc>
        <w:tc>
          <w:tcPr>
            <w:tcW w:w="0" w:type="auto"/>
            <w:tcBorders>
              <w:top w:val="nil"/>
              <w:left w:val="nil"/>
              <w:bottom w:val="single" w:sz="4" w:space="0" w:color="auto"/>
              <w:right w:val="single" w:sz="4" w:space="0" w:color="auto"/>
            </w:tcBorders>
            <w:vAlign w:val="center"/>
            <w:hideMark/>
          </w:tcPr>
          <w:p w14:paraId="1C96D136"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2.28</w:t>
            </w:r>
          </w:p>
        </w:tc>
        <w:tc>
          <w:tcPr>
            <w:tcW w:w="0" w:type="auto"/>
            <w:tcBorders>
              <w:top w:val="nil"/>
              <w:left w:val="nil"/>
              <w:bottom w:val="single" w:sz="4" w:space="0" w:color="auto"/>
              <w:right w:val="single" w:sz="4" w:space="0" w:color="auto"/>
            </w:tcBorders>
            <w:vAlign w:val="center"/>
            <w:hideMark/>
          </w:tcPr>
          <w:p w14:paraId="60E4BEC3"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3.26</w:t>
            </w:r>
          </w:p>
        </w:tc>
      </w:tr>
    </w:tbl>
    <w:p w14:paraId="4BDA96E2" w14:textId="4B684CC0" w:rsidR="00107C0F" w:rsidRDefault="002A3AE7" w:rsidP="002C1AF5">
      <w:pPr>
        <w:spacing w:before="120" w:after="120"/>
        <w:ind w:left="720" w:hanging="720"/>
        <w:jc w:val="center"/>
        <w:rPr>
          <w:rFonts w:ascii="Times New Roman" w:hAnsi="Times New Roman" w:cs="Times New Roman"/>
          <w:b/>
          <w:sz w:val="24"/>
          <w:szCs w:val="24"/>
        </w:rPr>
      </w:pPr>
      <w:r w:rsidRPr="00F7736E">
        <w:rPr>
          <w:rFonts w:ascii="Times New Roman" w:hAnsi="Times New Roman" w:cs="Times New Roman"/>
          <w:color w:val="000000"/>
          <w:sz w:val="24"/>
          <w:szCs w:val="24"/>
          <w:highlight w:val="yellow"/>
        </w:rPr>
        <w:t xml:space="preserve">DAS: </w:t>
      </w:r>
      <w:r w:rsidR="00FD276D" w:rsidRPr="00F7736E">
        <w:rPr>
          <w:rFonts w:ascii="Times New Roman" w:hAnsi="Times New Roman" w:cs="Times New Roman"/>
          <w:color w:val="000000"/>
          <w:sz w:val="24"/>
          <w:szCs w:val="24"/>
          <w:highlight w:val="yellow"/>
        </w:rPr>
        <w:t>D</w:t>
      </w:r>
      <w:r w:rsidRPr="00F7736E">
        <w:rPr>
          <w:rFonts w:ascii="Times New Roman" w:hAnsi="Times New Roman" w:cs="Times New Roman"/>
          <w:color w:val="000000"/>
          <w:sz w:val="24"/>
          <w:szCs w:val="24"/>
          <w:highlight w:val="yellow"/>
        </w:rPr>
        <w:t>ays after sowing</w:t>
      </w:r>
      <w:r w:rsidR="002C1AF5" w:rsidRPr="00F7736E">
        <w:rPr>
          <w:rFonts w:ascii="Times New Roman" w:hAnsi="Times New Roman" w:cs="Times New Roman"/>
          <w:color w:val="000000"/>
          <w:sz w:val="24"/>
          <w:szCs w:val="24"/>
          <w:highlight w:val="yellow"/>
        </w:rPr>
        <w:t xml:space="preserve">; </w:t>
      </w:r>
      <w:proofErr w:type="spellStart"/>
      <w:r w:rsidR="002C1AF5" w:rsidRPr="00F7736E">
        <w:rPr>
          <w:rFonts w:ascii="Times New Roman" w:hAnsi="Times New Roman" w:cs="Times New Roman"/>
          <w:color w:val="000000"/>
          <w:sz w:val="24"/>
          <w:szCs w:val="24"/>
          <w:highlight w:val="yellow"/>
        </w:rPr>
        <w:t>mrl</w:t>
      </w:r>
      <w:proofErr w:type="spellEnd"/>
      <w:r w:rsidR="002C1AF5" w:rsidRPr="00F7736E">
        <w:rPr>
          <w:rFonts w:ascii="Times New Roman" w:hAnsi="Times New Roman" w:cs="Times New Roman"/>
          <w:color w:val="000000"/>
          <w:sz w:val="24"/>
          <w:szCs w:val="24"/>
          <w:highlight w:val="yellow"/>
        </w:rPr>
        <w:t xml:space="preserve">: </w:t>
      </w:r>
      <w:r w:rsidR="00FD276D" w:rsidRPr="00F7736E">
        <w:rPr>
          <w:rFonts w:ascii="Times New Roman" w:hAnsi="Times New Roman" w:cs="Times New Roman"/>
          <w:color w:val="000000"/>
          <w:sz w:val="24"/>
          <w:szCs w:val="24"/>
          <w:highlight w:val="yellow"/>
        </w:rPr>
        <w:t>M</w:t>
      </w:r>
      <w:r w:rsidR="002C1AF5" w:rsidRPr="00F7736E">
        <w:rPr>
          <w:rFonts w:ascii="Times New Roman" w:hAnsi="Times New Roman" w:cs="Times New Roman"/>
          <w:color w:val="000000"/>
          <w:sz w:val="24"/>
          <w:szCs w:val="24"/>
          <w:highlight w:val="yellow"/>
        </w:rPr>
        <w:t>eter row length</w:t>
      </w:r>
    </w:p>
    <w:p w14:paraId="6DB59FFC" w14:textId="2848874E" w:rsidR="009370AB" w:rsidRDefault="009370AB" w:rsidP="009370AB">
      <w:pPr>
        <w:spacing w:before="120" w:after="120"/>
        <w:ind w:left="720" w:hanging="720"/>
        <w:rPr>
          <w:rFonts w:ascii="Times New Roman" w:hAnsi="Times New Roman" w:cs="Times New Roman"/>
          <w:sz w:val="24"/>
          <w:szCs w:val="24"/>
        </w:rPr>
      </w:pPr>
      <w:r w:rsidRPr="009225A7">
        <w:rPr>
          <w:rFonts w:ascii="Times New Roman" w:hAnsi="Times New Roman" w:cs="Times New Roman"/>
          <w:b/>
          <w:sz w:val="24"/>
          <w:szCs w:val="24"/>
          <w:highlight w:val="yellow"/>
        </w:rPr>
        <w:t>Table 2:</w:t>
      </w:r>
      <w:r w:rsidR="006411F5" w:rsidRPr="009225A7">
        <w:rPr>
          <w:rFonts w:ascii="Times New Roman" w:hAnsi="Times New Roman" w:cs="Times New Roman"/>
          <w:b/>
          <w:sz w:val="24"/>
          <w:szCs w:val="24"/>
          <w:highlight w:val="yellow"/>
        </w:rPr>
        <w:t xml:space="preserve"> </w:t>
      </w:r>
      <w:r w:rsidRPr="009225A7">
        <w:rPr>
          <w:rFonts w:ascii="Times New Roman" w:hAnsi="Times New Roman" w:cs="Times New Roman"/>
          <w:b/>
          <w:bCs/>
          <w:color w:val="000000" w:themeColor="text1"/>
          <w:sz w:val="24"/>
          <w:szCs w:val="24"/>
          <w:highlight w:val="yellow"/>
        </w:rPr>
        <w:t>Effect of fertility levels on dry matter accumulation and no. of tillers of minor millets</w:t>
      </w:r>
    </w:p>
    <w:tbl>
      <w:tblPr>
        <w:tblW w:w="9310" w:type="dxa"/>
        <w:tblInd w:w="-5" w:type="dxa"/>
        <w:tblLook w:val="04A0" w:firstRow="1" w:lastRow="0" w:firstColumn="1" w:lastColumn="0" w:noHBand="0" w:noVBand="1"/>
      </w:tblPr>
      <w:tblGrid>
        <w:gridCol w:w="2797"/>
        <w:gridCol w:w="659"/>
        <w:gridCol w:w="933"/>
        <w:gridCol w:w="933"/>
        <w:gridCol w:w="1174"/>
        <w:gridCol w:w="822"/>
        <w:gridCol w:w="934"/>
        <w:gridCol w:w="1058"/>
      </w:tblGrid>
      <w:tr w:rsidR="009370AB" w:rsidRPr="009370AB" w14:paraId="74B49A18" w14:textId="77777777" w:rsidTr="009370AB">
        <w:trPr>
          <w:trHeight w:val="807"/>
        </w:trPr>
        <w:tc>
          <w:tcPr>
            <w:tcW w:w="2797" w:type="dxa"/>
            <w:tcBorders>
              <w:top w:val="single" w:sz="4" w:space="0" w:color="auto"/>
              <w:left w:val="single" w:sz="4" w:space="0" w:color="auto"/>
              <w:bottom w:val="single" w:sz="4" w:space="0" w:color="auto"/>
              <w:right w:val="single" w:sz="4" w:space="0" w:color="auto"/>
            </w:tcBorders>
            <w:vAlign w:val="center"/>
            <w:hideMark/>
          </w:tcPr>
          <w:p w14:paraId="6BC7761D" w14:textId="77777777"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2"/>
              </w:rPr>
              <w:t>Treatment</w:t>
            </w:r>
          </w:p>
        </w:tc>
        <w:tc>
          <w:tcPr>
            <w:tcW w:w="3699" w:type="dxa"/>
            <w:gridSpan w:val="4"/>
            <w:tcBorders>
              <w:top w:val="single" w:sz="4" w:space="0" w:color="auto"/>
              <w:left w:val="nil"/>
              <w:bottom w:val="single" w:sz="4" w:space="0" w:color="auto"/>
              <w:right w:val="single" w:sz="4" w:space="0" w:color="auto"/>
            </w:tcBorders>
            <w:vAlign w:val="center"/>
            <w:hideMark/>
          </w:tcPr>
          <w:p w14:paraId="5E0B2235"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Dry matter accumulation (g mrl</w:t>
            </w:r>
            <w:r w:rsidRPr="009370AB">
              <w:rPr>
                <w:rFonts w:ascii="Times New Roman" w:eastAsia="Times New Roman" w:hAnsi="Times New Roman" w:cs="Times New Roman"/>
                <w:b/>
                <w:bCs/>
                <w:color w:val="000000"/>
                <w:vertAlign w:val="superscript"/>
              </w:rPr>
              <w:t>-1</w:t>
            </w:r>
            <w:r w:rsidRPr="009370AB">
              <w:rPr>
                <w:rFonts w:ascii="Times New Roman" w:eastAsia="Times New Roman" w:hAnsi="Times New Roman" w:cs="Times New Roman"/>
                <w:b/>
                <w:bCs/>
                <w:color w:val="000000"/>
              </w:rPr>
              <w:t>)</w:t>
            </w:r>
          </w:p>
        </w:tc>
        <w:tc>
          <w:tcPr>
            <w:tcW w:w="2814" w:type="dxa"/>
            <w:gridSpan w:val="3"/>
            <w:tcBorders>
              <w:top w:val="single" w:sz="4" w:space="0" w:color="auto"/>
              <w:left w:val="nil"/>
              <w:bottom w:val="single" w:sz="4" w:space="0" w:color="auto"/>
              <w:right w:val="single" w:sz="4" w:space="0" w:color="auto"/>
            </w:tcBorders>
            <w:vAlign w:val="center"/>
            <w:hideMark/>
          </w:tcPr>
          <w:p w14:paraId="6C2C25D7"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No. of tillers (mrl</w:t>
            </w:r>
            <w:r w:rsidRPr="009370AB">
              <w:rPr>
                <w:rFonts w:ascii="Times New Roman" w:eastAsia="Times New Roman" w:hAnsi="Times New Roman" w:cs="Times New Roman"/>
                <w:b/>
                <w:bCs/>
                <w:color w:val="000000"/>
                <w:vertAlign w:val="superscript"/>
              </w:rPr>
              <w:t>-1</w:t>
            </w:r>
            <w:r w:rsidRPr="009370AB">
              <w:rPr>
                <w:rFonts w:ascii="Times New Roman" w:eastAsia="Times New Roman" w:hAnsi="Times New Roman" w:cs="Times New Roman"/>
                <w:b/>
                <w:bCs/>
                <w:color w:val="000000"/>
              </w:rPr>
              <w:t>)</w:t>
            </w:r>
          </w:p>
        </w:tc>
      </w:tr>
      <w:tr w:rsidR="009370AB" w:rsidRPr="009370AB" w14:paraId="234570AB" w14:textId="77777777" w:rsidTr="009370AB">
        <w:trPr>
          <w:trHeight w:val="276"/>
        </w:trPr>
        <w:tc>
          <w:tcPr>
            <w:tcW w:w="2797" w:type="dxa"/>
            <w:tcBorders>
              <w:top w:val="nil"/>
              <w:left w:val="single" w:sz="4" w:space="0" w:color="auto"/>
              <w:bottom w:val="single" w:sz="4" w:space="0" w:color="auto"/>
              <w:right w:val="single" w:sz="4" w:space="0" w:color="auto"/>
            </w:tcBorders>
            <w:vAlign w:val="center"/>
            <w:hideMark/>
          </w:tcPr>
          <w:p w14:paraId="4F8887A0" w14:textId="77777777"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 </w:t>
            </w:r>
          </w:p>
        </w:tc>
        <w:tc>
          <w:tcPr>
            <w:tcW w:w="658" w:type="dxa"/>
            <w:tcBorders>
              <w:top w:val="nil"/>
              <w:left w:val="nil"/>
              <w:bottom w:val="single" w:sz="4" w:space="0" w:color="auto"/>
              <w:right w:val="single" w:sz="4" w:space="0" w:color="auto"/>
            </w:tcBorders>
            <w:vAlign w:val="center"/>
            <w:hideMark/>
          </w:tcPr>
          <w:p w14:paraId="43C7D72C"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20 DAS</w:t>
            </w:r>
          </w:p>
        </w:tc>
        <w:tc>
          <w:tcPr>
            <w:tcW w:w="0" w:type="auto"/>
            <w:tcBorders>
              <w:top w:val="nil"/>
              <w:left w:val="nil"/>
              <w:bottom w:val="single" w:sz="4" w:space="0" w:color="auto"/>
              <w:right w:val="single" w:sz="4" w:space="0" w:color="auto"/>
            </w:tcBorders>
            <w:vAlign w:val="center"/>
            <w:hideMark/>
          </w:tcPr>
          <w:p w14:paraId="649688DA"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40 DAS</w:t>
            </w:r>
          </w:p>
        </w:tc>
        <w:tc>
          <w:tcPr>
            <w:tcW w:w="0" w:type="auto"/>
            <w:tcBorders>
              <w:top w:val="nil"/>
              <w:left w:val="nil"/>
              <w:bottom w:val="single" w:sz="4" w:space="0" w:color="auto"/>
              <w:right w:val="single" w:sz="4" w:space="0" w:color="auto"/>
            </w:tcBorders>
            <w:vAlign w:val="center"/>
            <w:hideMark/>
          </w:tcPr>
          <w:p w14:paraId="7E0CF32D"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60 DAS</w:t>
            </w:r>
          </w:p>
        </w:tc>
        <w:tc>
          <w:tcPr>
            <w:tcW w:w="1172" w:type="dxa"/>
            <w:tcBorders>
              <w:top w:val="nil"/>
              <w:left w:val="nil"/>
              <w:bottom w:val="single" w:sz="4" w:space="0" w:color="auto"/>
              <w:right w:val="single" w:sz="4" w:space="0" w:color="auto"/>
            </w:tcBorders>
            <w:vAlign w:val="center"/>
            <w:hideMark/>
          </w:tcPr>
          <w:p w14:paraId="51D9F956"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2"/>
              </w:rPr>
              <w:t>Maturity</w:t>
            </w:r>
          </w:p>
        </w:tc>
        <w:tc>
          <w:tcPr>
            <w:tcW w:w="821" w:type="dxa"/>
            <w:tcBorders>
              <w:top w:val="nil"/>
              <w:left w:val="nil"/>
              <w:bottom w:val="single" w:sz="4" w:space="0" w:color="auto"/>
              <w:right w:val="single" w:sz="4" w:space="0" w:color="auto"/>
            </w:tcBorders>
            <w:vAlign w:val="center"/>
            <w:hideMark/>
          </w:tcPr>
          <w:p w14:paraId="323F38FA"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40 DAS</w:t>
            </w:r>
          </w:p>
        </w:tc>
        <w:tc>
          <w:tcPr>
            <w:tcW w:w="0" w:type="auto"/>
            <w:tcBorders>
              <w:top w:val="nil"/>
              <w:left w:val="nil"/>
              <w:bottom w:val="single" w:sz="4" w:space="0" w:color="auto"/>
              <w:right w:val="single" w:sz="4" w:space="0" w:color="auto"/>
            </w:tcBorders>
            <w:vAlign w:val="center"/>
            <w:hideMark/>
          </w:tcPr>
          <w:p w14:paraId="3E799567"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60 DAS</w:t>
            </w:r>
          </w:p>
        </w:tc>
        <w:tc>
          <w:tcPr>
            <w:tcW w:w="0" w:type="auto"/>
            <w:tcBorders>
              <w:top w:val="nil"/>
              <w:left w:val="nil"/>
              <w:bottom w:val="single" w:sz="4" w:space="0" w:color="auto"/>
              <w:right w:val="single" w:sz="4" w:space="0" w:color="auto"/>
            </w:tcBorders>
            <w:vAlign w:val="center"/>
            <w:hideMark/>
          </w:tcPr>
          <w:p w14:paraId="59656E4D"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2"/>
              </w:rPr>
              <w:t>Maturity</w:t>
            </w:r>
          </w:p>
        </w:tc>
      </w:tr>
      <w:tr w:rsidR="009370AB" w:rsidRPr="009370AB" w14:paraId="2EAAC9D7" w14:textId="77777777" w:rsidTr="009370AB">
        <w:trPr>
          <w:trHeight w:val="276"/>
        </w:trPr>
        <w:tc>
          <w:tcPr>
            <w:tcW w:w="0" w:type="auto"/>
            <w:gridSpan w:val="8"/>
            <w:tcBorders>
              <w:top w:val="single" w:sz="4" w:space="0" w:color="auto"/>
              <w:left w:val="single" w:sz="4" w:space="0" w:color="auto"/>
              <w:bottom w:val="single" w:sz="4" w:space="0" w:color="auto"/>
              <w:right w:val="single" w:sz="4" w:space="0" w:color="auto"/>
            </w:tcBorders>
            <w:vAlign w:val="center"/>
            <w:hideMark/>
          </w:tcPr>
          <w:p w14:paraId="3A000ACA" w14:textId="77777777"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Minor millets</w:t>
            </w:r>
          </w:p>
        </w:tc>
      </w:tr>
      <w:tr w:rsidR="009370AB" w:rsidRPr="009370AB" w14:paraId="5F28602E" w14:textId="77777777" w:rsidTr="009370AB">
        <w:trPr>
          <w:trHeight w:val="276"/>
        </w:trPr>
        <w:tc>
          <w:tcPr>
            <w:tcW w:w="2797" w:type="dxa"/>
            <w:tcBorders>
              <w:top w:val="nil"/>
              <w:left w:val="single" w:sz="4" w:space="0" w:color="auto"/>
              <w:bottom w:val="single" w:sz="4" w:space="0" w:color="auto"/>
              <w:right w:val="single" w:sz="4" w:space="0" w:color="auto"/>
            </w:tcBorders>
            <w:vAlign w:val="center"/>
            <w:hideMark/>
          </w:tcPr>
          <w:p w14:paraId="690E0A81"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Foxtail millet (SIA 3156)</w:t>
            </w:r>
          </w:p>
        </w:tc>
        <w:tc>
          <w:tcPr>
            <w:tcW w:w="658" w:type="dxa"/>
            <w:tcBorders>
              <w:top w:val="nil"/>
              <w:left w:val="nil"/>
              <w:bottom w:val="single" w:sz="4" w:space="0" w:color="auto"/>
              <w:right w:val="single" w:sz="4" w:space="0" w:color="auto"/>
            </w:tcBorders>
            <w:vAlign w:val="center"/>
            <w:hideMark/>
          </w:tcPr>
          <w:p w14:paraId="5AB5E90D"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1.83</w:t>
            </w:r>
          </w:p>
        </w:tc>
        <w:tc>
          <w:tcPr>
            <w:tcW w:w="0" w:type="auto"/>
            <w:tcBorders>
              <w:top w:val="nil"/>
              <w:left w:val="nil"/>
              <w:bottom w:val="single" w:sz="4" w:space="0" w:color="auto"/>
              <w:right w:val="single" w:sz="4" w:space="0" w:color="auto"/>
            </w:tcBorders>
            <w:vAlign w:val="center"/>
            <w:hideMark/>
          </w:tcPr>
          <w:p w14:paraId="0FBA9109"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32.16</w:t>
            </w:r>
          </w:p>
        </w:tc>
        <w:tc>
          <w:tcPr>
            <w:tcW w:w="0" w:type="auto"/>
            <w:tcBorders>
              <w:top w:val="nil"/>
              <w:left w:val="nil"/>
              <w:bottom w:val="single" w:sz="4" w:space="0" w:color="auto"/>
              <w:right w:val="single" w:sz="4" w:space="0" w:color="auto"/>
            </w:tcBorders>
            <w:vAlign w:val="center"/>
            <w:hideMark/>
          </w:tcPr>
          <w:p w14:paraId="035ABCAC"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125.83</w:t>
            </w:r>
          </w:p>
        </w:tc>
        <w:tc>
          <w:tcPr>
            <w:tcW w:w="1172" w:type="dxa"/>
            <w:tcBorders>
              <w:top w:val="nil"/>
              <w:left w:val="nil"/>
              <w:bottom w:val="single" w:sz="4" w:space="0" w:color="auto"/>
              <w:right w:val="single" w:sz="4" w:space="0" w:color="auto"/>
            </w:tcBorders>
            <w:vAlign w:val="center"/>
            <w:hideMark/>
          </w:tcPr>
          <w:p w14:paraId="4B04C104"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161.91</w:t>
            </w:r>
          </w:p>
        </w:tc>
        <w:tc>
          <w:tcPr>
            <w:tcW w:w="821" w:type="dxa"/>
            <w:tcBorders>
              <w:top w:val="nil"/>
              <w:left w:val="nil"/>
              <w:bottom w:val="single" w:sz="4" w:space="0" w:color="auto"/>
              <w:right w:val="single" w:sz="4" w:space="0" w:color="auto"/>
            </w:tcBorders>
            <w:vAlign w:val="center"/>
            <w:hideMark/>
          </w:tcPr>
          <w:p w14:paraId="106D8894" w14:textId="156AB116"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39</w:t>
            </w:r>
            <w:r w:rsidR="002F0FF7">
              <w:rPr>
                <w:rFonts w:ascii="Times New Roman" w:eastAsia="Times New Roman" w:hAnsi="Times New Roman" w:cs="Times New Roman"/>
                <w:color w:val="000000"/>
                <w:spacing w:val="-2"/>
              </w:rPr>
              <w:t>.00</w:t>
            </w:r>
          </w:p>
        </w:tc>
        <w:tc>
          <w:tcPr>
            <w:tcW w:w="0" w:type="auto"/>
            <w:tcBorders>
              <w:top w:val="nil"/>
              <w:left w:val="nil"/>
              <w:bottom w:val="single" w:sz="4" w:space="0" w:color="auto"/>
              <w:right w:val="single" w:sz="4" w:space="0" w:color="auto"/>
            </w:tcBorders>
            <w:vAlign w:val="center"/>
            <w:hideMark/>
          </w:tcPr>
          <w:p w14:paraId="551D4C3D"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46.36</w:t>
            </w:r>
          </w:p>
        </w:tc>
        <w:tc>
          <w:tcPr>
            <w:tcW w:w="0" w:type="auto"/>
            <w:tcBorders>
              <w:top w:val="nil"/>
              <w:left w:val="nil"/>
              <w:bottom w:val="single" w:sz="4" w:space="0" w:color="auto"/>
              <w:right w:val="single" w:sz="4" w:space="0" w:color="auto"/>
            </w:tcBorders>
            <w:vAlign w:val="center"/>
            <w:hideMark/>
          </w:tcPr>
          <w:p w14:paraId="60029C05"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43.61</w:t>
            </w:r>
          </w:p>
        </w:tc>
      </w:tr>
      <w:tr w:rsidR="009370AB" w:rsidRPr="009370AB" w14:paraId="4435173A" w14:textId="77777777" w:rsidTr="009370AB">
        <w:trPr>
          <w:trHeight w:val="276"/>
        </w:trPr>
        <w:tc>
          <w:tcPr>
            <w:tcW w:w="2797" w:type="dxa"/>
            <w:tcBorders>
              <w:top w:val="nil"/>
              <w:left w:val="single" w:sz="4" w:space="0" w:color="auto"/>
              <w:bottom w:val="single" w:sz="4" w:space="0" w:color="auto"/>
              <w:right w:val="single" w:sz="4" w:space="0" w:color="auto"/>
            </w:tcBorders>
            <w:vAlign w:val="center"/>
            <w:hideMark/>
          </w:tcPr>
          <w:p w14:paraId="2AFEA1EC" w14:textId="1217B173"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Barnyard millet (</w:t>
            </w:r>
            <w:r w:rsidRPr="00751176">
              <w:rPr>
                <w:rFonts w:ascii="Times New Roman" w:eastAsia="Times New Roman" w:hAnsi="Times New Roman" w:cs="Times New Roman"/>
                <w:color w:val="000000"/>
                <w:highlight w:val="yellow"/>
              </w:rPr>
              <w:t>V</w:t>
            </w:r>
            <w:r w:rsidR="00317FBA" w:rsidRPr="00751176">
              <w:rPr>
                <w:rFonts w:ascii="Times New Roman" w:eastAsia="Times New Roman" w:hAnsi="Times New Roman" w:cs="Times New Roman"/>
                <w:color w:val="000000"/>
                <w:highlight w:val="yellow"/>
              </w:rPr>
              <w:t>L</w:t>
            </w:r>
            <w:r w:rsidRPr="00751176">
              <w:rPr>
                <w:rFonts w:ascii="Times New Roman" w:eastAsia="Times New Roman" w:hAnsi="Times New Roman" w:cs="Times New Roman"/>
                <w:color w:val="000000"/>
                <w:highlight w:val="yellow"/>
              </w:rPr>
              <w:t xml:space="preserve"> 207</w:t>
            </w:r>
            <w:r w:rsidRPr="009370AB">
              <w:rPr>
                <w:rFonts w:ascii="Times New Roman" w:eastAsia="Times New Roman" w:hAnsi="Times New Roman" w:cs="Times New Roman"/>
                <w:color w:val="000000"/>
              </w:rPr>
              <w:t>)</w:t>
            </w:r>
          </w:p>
        </w:tc>
        <w:tc>
          <w:tcPr>
            <w:tcW w:w="658" w:type="dxa"/>
            <w:tcBorders>
              <w:top w:val="nil"/>
              <w:left w:val="nil"/>
              <w:bottom w:val="single" w:sz="4" w:space="0" w:color="auto"/>
              <w:right w:val="single" w:sz="4" w:space="0" w:color="auto"/>
            </w:tcBorders>
            <w:vAlign w:val="center"/>
            <w:hideMark/>
          </w:tcPr>
          <w:p w14:paraId="0596B314"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1.87</w:t>
            </w:r>
          </w:p>
        </w:tc>
        <w:tc>
          <w:tcPr>
            <w:tcW w:w="0" w:type="auto"/>
            <w:tcBorders>
              <w:top w:val="nil"/>
              <w:left w:val="nil"/>
              <w:bottom w:val="single" w:sz="4" w:space="0" w:color="auto"/>
              <w:right w:val="single" w:sz="4" w:space="0" w:color="auto"/>
            </w:tcBorders>
            <w:vAlign w:val="center"/>
            <w:hideMark/>
          </w:tcPr>
          <w:p w14:paraId="0160BFAA"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35.79</w:t>
            </w:r>
          </w:p>
        </w:tc>
        <w:tc>
          <w:tcPr>
            <w:tcW w:w="0" w:type="auto"/>
            <w:tcBorders>
              <w:top w:val="nil"/>
              <w:left w:val="nil"/>
              <w:bottom w:val="single" w:sz="4" w:space="0" w:color="auto"/>
              <w:right w:val="single" w:sz="4" w:space="0" w:color="auto"/>
            </w:tcBorders>
            <w:vAlign w:val="center"/>
            <w:hideMark/>
          </w:tcPr>
          <w:p w14:paraId="77A5957A" w14:textId="3FB9CDD2"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136.1</w:t>
            </w:r>
            <w:r w:rsidR="002F0FF7">
              <w:rPr>
                <w:rFonts w:ascii="Times New Roman" w:eastAsia="Times New Roman" w:hAnsi="Times New Roman" w:cs="Times New Roman"/>
                <w:color w:val="000000"/>
                <w:spacing w:val="-2"/>
              </w:rPr>
              <w:t>0</w:t>
            </w:r>
          </w:p>
        </w:tc>
        <w:tc>
          <w:tcPr>
            <w:tcW w:w="1172" w:type="dxa"/>
            <w:tcBorders>
              <w:top w:val="nil"/>
              <w:left w:val="nil"/>
              <w:bottom w:val="single" w:sz="4" w:space="0" w:color="auto"/>
              <w:right w:val="single" w:sz="4" w:space="0" w:color="auto"/>
            </w:tcBorders>
            <w:vAlign w:val="center"/>
            <w:hideMark/>
          </w:tcPr>
          <w:p w14:paraId="2664566B" w14:textId="594186B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172</w:t>
            </w:r>
            <w:r w:rsidR="002F0FF7">
              <w:rPr>
                <w:rFonts w:ascii="Times New Roman" w:eastAsia="Times New Roman" w:hAnsi="Times New Roman" w:cs="Times New Roman"/>
                <w:color w:val="000000"/>
                <w:spacing w:val="-2"/>
              </w:rPr>
              <w:t>.00</w:t>
            </w:r>
          </w:p>
        </w:tc>
        <w:tc>
          <w:tcPr>
            <w:tcW w:w="821" w:type="dxa"/>
            <w:tcBorders>
              <w:top w:val="nil"/>
              <w:left w:val="nil"/>
              <w:bottom w:val="single" w:sz="4" w:space="0" w:color="auto"/>
              <w:right w:val="single" w:sz="4" w:space="0" w:color="auto"/>
            </w:tcBorders>
            <w:vAlign w:val="center"/>
            <w:hideMark/>
          </w:tcPr>
          <w:p w14:paraId="725417DE"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33.35</w:t>
            </w:r>
          </w:p>
        </w:tc>
        <w:tc>
          <w:tcPr>
            <w:tcW w:w="0" w:type="auto"/>
            <w:tcBorders>
              <w:top w:val="nil"/>
              <w:left w:val="nil"/>
              <w:bottom w:val="single" w:sz="4" w:space="0" w:color="auto"/>
              <w:right w:val="single" w:sz="4" w:space="0" w:color="auto"/>
            </w:tcBorders>
            <w:vAlign w:val="center"/>
            <w:hideMark/>
          </w:tcPr>
          <w:p w14:paraId="1F24870D"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39.84</w:t>
            </w:r>
          </w:p>
        </w:tc>
        <w:tc>
          <w:tcPr>
            <w:tcW w:w="0" w:type="auto"/>
            <w:tcBorders>
              <w:top w:val="nil"/>
              <w:left w:val="nil"/>
              <w:bottom w:val="single" w:sz="4" w:space="0" w:color="auto"/>
              <w:right w:val="single" w:sz="4" w:space="0" w:color="auto"/>
            </w:tcBorders>
            <w:vAlign w:val="center"/>
            <w:hideMark/>
          </w:tcPr>
          <w:p w14:paraId="575DCAAC"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37.81</w:t>
            </w:r>
          </w:p>
        </w:tc>
      </w:tr>
      <w:tr w:rsidR="009370AB" w:rsidRPr="009370AB" w14:paraId="468D1A83" w14:textId="77777777" w:rsidTr="009370AB">
        <w:trPr>
          <w:trHeight w:val="276"/>
        </w:trPr>
        <w:tc>
          <w:tcPr>
            <w:tcW w:w="2797" w:type="dxa"/>
            <w:tcBorders>
              <w:top w:val="nil"/>
              <w:left w:val="single" w:sz="4" w:space="0" w:color="auto"/>
              <w:bottom w:val="single" w:sz="4" w:space="0" w:color="auto"/>
              <w:right w:val="single" w:sz="4" w:space="0" w:color="auto"/>
            </w:tcBorders>
            <w:vAlign w:val="center"/>
            <w:hideMark/>
          </w:tcPr>
          <w:p w14:paraId="43C8F7BE"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Proso millet (TNAU 202)</w:t>
            </w:r>
          </w:p>
        </w:tc>
        <w:tc>
          <w:tcPr>
            <w:tcW w:w="658" w:type="dxa"/>
            <w:tcBorders>
              <w:top w:val="nil"/>
              <w:left w:val="nil"/>
              <w:bottom w:val="single" w:sz="4" w:space="0" w:color="auto"/>
              <w:right w:val="single" w:sz="4" w:space="0" w:color="auto"/>
            </w:tcBorders>
            <w:vAlign w:val="center"/>
            <w:hideMark/>
          </w:tcPr>
          <w:p w14:paraId="0FD50E8A"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1.67</w:t>
            </w:r>
          </w:p>
        </w:tc>
        <w:tc>
          <w:tcPr>
            <w:tcW w:w="0" w:type="auto"/>
            <w:tcBorders>
              <w:top w:val="nil"/>
              <w:left w:val="nil"/>
              <w:bottom w:val="single" w:sz="4" w:space="0" w:color="auto"/>
              <w:right w:val="single" w:sz="4" w:space="0" w:color="auto"/>
            </w:tcBorders>
            <w:vAlign w:val="center"/>
            <w:hideMark/>
          </w:tcPr>
          <w:p w14:paraId="7B9B87CA"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30.06</w:t>
            </w:r>
          </w:p>
        </w:tc>
        <w:tc>
          <w:tcPr>
            <w:tcW w:w="0" w:type="auto"/>
            <w:tcBorders>
              <w:top w:val="nil"/>
              <w:left w:val="nil"/>
              <w:bottom w:val="single" w:sz="4" w:space="0" w:color="auto"/>
              <w:right w:val="single" w:sz="4" w:space="0" w:color="auto"/>
            </w:tcBorders>
            <w:vAlign w:val="center"/>
            <w:hideMark/>
          </w:tcPr>
          <w:p w14:paraId="18B55169"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88.72</w:t>
            </w:r>
          </w:p>
        </w:tc>
        <w:tc>
          <w:tcPr>
            <w:tcW w:w="1172" w:type="dxa"/>
            <w:tcBorders>
              <w:top w:val="nil"/>
              <w:left w:val="nil"/>
              <w:bottom w:val="single" w:sz="4" w:space="0" w:color="auto"/>
              <w:right w:val="single" w:sz="4" w:space="0" w:color="auto"/>
            </w:tcBorders>
            <w:vAlign w:val="center"/>
            <w:hideMark/>
          </w:tcPr>
          <w:p w14:paraId="7F00FAE3"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113.27</w:t>
            </w:r>
          </w:p>
        </w:tc>
        <w:tc>
          <w:tcPr>
            <w:tcW w:w="821" w:type="dxa"/>
            <w:tcBorders>
              <w:top w:val="nil"/>
              <w:left w:val="nil"/>
              <w:bottom w:val="single" w:sz="4" w:space="0" w:color="auto"/>
              <w:right w:val="single" w:sz="4" w:space="0" w:color="auto"/>
            </w:tcBorders>
            <w:vAlign w:val="center"/>
            <w:hideMark/>
          </w:tcPr>
          <w:p w14:paraId="63A5DD2F"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44.54</w:t>
            </w:r>
          </w:p>
        </w:tc>
        <w:tc>
          <w:tcPr>
            <w:tcW w:w="0" w:type="auto"/>
            <w:tcBorders>
              <w:top w:val="nil"/>
              <w:left w:val="nil"/>
              <w:bottom w:val="single" w:sz="4" w:space="0" w:color="auto"/>
              <w:right w:val="single" w:sz="4" w:space="0" w:color="auto"/>
            </w:tcBorders>
            <w:vAlign w:val="center"/>
            <w:hideMark/>
          </w:tcPr>
          <w:p w14:paraId="6D2344B0"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45.25</w:t>
            </w:r>
          </w:p>
        </w:tc>
        <w:tc>
          <w:tcPr>
            <w:tcW w:w="0" w:type="auto"/>
            <w:tcBorders>
              <w:top w:val="nil"/>
              <w:left w:val="nil"/>
              <w:bottom w:val="single" w:sz="4" w:space="0" w:color="auto"/>
              <w:right w:val="single" w:sz="4" w:space="0" w:color="auto"/>
            </w:tcBorders>
            <w:vAlign w:val="center"/>
            <w:hideMark/>
          </w:tcPr>
          <w:p w14:paraId="7D0F145C"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41.16</w:t>
            </w:r>
          </w:p>
        </w:tc>
      </w:tr>
      <w:tr w:rsidR="009370AB" w:rsidRPr="009370AB" w14:paraId="024B9393" w14:textId="77777777" w:rsidTr="009370AB">
        <w:trPr>
          <w:trHeight w:val="276"/>
        </w:trPr>
        <w:tc>
          <w:tcPr>
            <w:tcW w:w="2797" w:type="dxa"/>
            <w:tcBorders>
              <w:top w:val="nil"/>
              <w:left w:val="single" w:sz="4" w:space="0" w:color="auto"/>
              <w:bottom w:val="single" w:sz="4" w:space="0" w:color="auto"/>
              <w:right w:val="single" w:sz="4" w:space="0" w:color="auto"/>
            </w:tcBorders>
            <w:vAlign w:val="center"/>
            <w:hideMark/>
          </w:tcPr>
          <w:p w14:paraId="2E3EEEA1"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Finger millet (GPU 67)</w:t>
            </w:r>
          </w:p>
        </w:tc>
        <w:tc>
          <w:tcPr>
            <w:tcW w:w="658" w:type="dxa"/>
            <w:tcBorders>
              <w:top w:val="nil"/>
              <w:left w:val="nil"/>
              <w:bottom w:val="single" w:sz="4" w:space="0" w:color="auto"/>
              <w:right w:val="single" w:sz="4" w:space="0" w:color="auto"/>
            </w:tcBorders>
            <w:vAlign w:val="center"/>
            <w:hideMark/>
          </w:tcPr>
          <w:p w14:paraId="3F556490"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1.45</w:t>
            </w:r>
          </w:p>
        </w:tc>
        <w:tc>
          <w:tcPr>
            <w:tcW w:w="0" w:type="auto"/>
            <w:tcBorders>
              <w:top w:val="nil"/>
              <w:left w:val="nil"/>
              <w:bottom w:val="single" w:sz="4" w:space="0" w:color="auto"/>
              <w:right w:val="single" w:sz="4" w:space="0" w:color="auto"/>
            </w:tcBorders>
            <w:vAlign w:val="center"/>
            <w:hideMark/>
          </w:tcPr>
          <w:p w14:paraId="49FFCC7E"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18.36</w:t>
            </w:r>
          </w:p>
        </w:tc>
        <w:tc>
          <w:tcPr>
            <w:tcW w:w="0" w:type="auto"/>
            <w:tcBorders>
              <w:top w:val="nil"/>
              <w:left w:val="nil"/>
              <w:bottom w:val="single" w:sz="4" w:space="0" w:color="auto"/>
              <w:right w:val="single" w:sz="4" w:space="0" w:color="auto"/>
            </w:tcBorders>
            <w:vAlign w:val="center"/>
            <w:hideMark/>
          </w:tcPr>
          <w:p w14:paraId="7554D1FD"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79.7</w:t>
            </w:r>
          </w:p>
        </w:tc>
        <w:tc>
          <w:tcPr>
            <w:tcW w:w="1172" w:type="dxa"/>
            <w:tcBorders>
              <w:top w:val="nil"/>
              <w:left w:val="nil"/>
              <w:bottom w:val="single" w:sz="4" w:space="0" w:color="auto"/>
              <w:right w:val="single" w:sz="4" w:space="0" w:color="auto"/>
            </w:tcBorders>
            <w:vAlign w:val="center"/>
            <w:hideMark/>
          </w:tcPr>
          <w:p w14:paraId="5208DD68"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135.49</w:t>
            </w:r>
          </w:p>
        </w:tc>
        <w:tc>
          <w:tcPr>
            <w:tcW w:w="821" w:type="dxa"/>
            <w:tcBorders>
              <w:top w:val="nil"/>
              <w:left w:val="nil"/>
              <w:bottom w:val="single" w:sz="4" w:space="0" w:color="auto"/>
              <w:right w:val="single" w:sz="4" w:space="0" w:color="auto"/>
            </w:tcBorders>
            <w:vAlign w:val="center"/>
            <w:hideMark/>
          </w:tcPr>
          <w:p w14:paraId="3922BA6B"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23.99</w:t>
            </w:r>
          </w:p>
        </w:tc>
        <w:tc>
          <w:tcPr>
            <w:tcW w:w="0" w:type="auto"/>
            <w:tcBorders>
              <w:top w:val="nil"/>
              <w:left w:val="nil"/>
              <w:bottom w:val="single" w:sz="4" w:space="0" w:color="auto"/>
              <w:right w:val="single" w:sz="4" w:space="0" w:color="auto"/>
            </w:tcBorders>
            <w:vAlign w:val="center"/>
            <w:hideMark/>
          </w:tcPr>
          <w:p w14:paraId="04567A55" w14:textId="7301175C"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32.5</w:t>
            </w:r>
            <w:r w:rsidR="002F0FF7">
              <w:rPr>
                <w:rFonts w:ascii="Times New Roman" w:eastAsia="Times New Roman" w:hAnsi="Times New Roman" w:cs="Times New Roman"/>
                <w:color w:val="000000"/>
                <w:spacing w:val="-2"/>
              </w:rPr>
              <w:t>0</w:t>
            </w:r>
          </w:p>
        </w:tc>
        <w:tc>
          <w:tcPr>
            <w:tcW w:w="0" w:type="auto"/>
            <w:tcBorders>
              <w:top w:val="nil"/>
              <w:left w:val="nil"/>
              <w:bottom w:val="single" w:sz="4" w:space="0" w:color="auto"/>
              <w:right w:val="single" w:sz="4" w:space="0" w:color="auto"/>
            </w:tcBorders>
            <w:vAlign w:val="center"/>
            <w:hideMark/>
          </w:tcPr>
          <w:p w14:paraId="049FD218"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35.47</w:t>
            </w:r>
          </w:p>
        </w:tc>
      </w:tr>
      <w:tr w:rsidR="009370AB" w:rsidRPr="009370AB" w14:paraId="1CAFD5DF" w14:textId="77777777" w:rsidTr="009370AB">
        <w:trPr>
          <w:trHeight w:val="276"/>
        </w:trPr>
        <w:tc>
          <w:tcPr>
            <w:tcW w:w="2797" w:type="dxa"/>
            <w:tcBorders>
              <w:top w:val="nil"/>
              <w:left w:val="single" w:sz="4" w:space="0" w:color="auto"/>
              <w:bottom w:val="single" w:sz="4" w:space="0" w:color="auto"/>
              <w:right w:val="single" w:sz="4" w:space="0" w:color="auto"/>
            </w:tcBorders>
            <w:vAlign w:val="center"/>
            <w:hideMark/>
          </w:tcPr>
          <w:p w14:paraId="2869325D"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SE(m) ±</w:t>
            </w:r>
          </w:p>
        </w:tc>
        <w:tc>
          <w:tcPr>
            <w:tcW w:w="658" w:type="dxa"/>
            <w:tcBorders>
              <w:top w:val="nil"/>
              <w:left w:val="nil"/>
              <w:bottom w:val="single" w:sz="4" w:space="0" w:color="auto"/>
              <w:right w:val="single" w:sz="4" w:space="0" w:color="auto"/>
            </w:tcBorders>
            <w:vAlign w:val="center"/>
            <w:hideMark/>
          </w:tcPr>
          <w:p w14:paraId="66BDE9F5"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0.07</w:t>
            </w:r>
          </w:p>
        </w:tc>
        <w:tc>
          <w:tcPr>
            <w:tcW w:w="0" w:type="auto"/>
            <w:tcBorders>
              <w:top w:val="nil"/>
              <w:left w:val="nil"/>
              <w:bottom w:val="single" w:sz="4" w:space="0" w:color="auto"/>
              <w:right w:val="single" w:sz="4" w:space="0" w:color="auto"/>
            </w:tcBorders>
            <w:vAlign w:val="center"/>
            <w:hideMark/>
          </w:tcPr>
          <w:p w14:paraId="1EC55A7C"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1.27</w:t>
            </w:r>
          </w:p>
        </w:tc>
        <w:tc>
          <w:tcPr>
            <w:tcW w:w="0" w:type="auto"/>
            <w:tcBorders>
              <w:top w:val="nil"/>
              <w:left w:val="nil"/>
              <w:bottom w:val="single" w:sz="4" w:space="0" w:color="auto"/>
              <w:right w:val="single" w:sz="4" w:space="0" w:color="auto"/>
            </w:tcBorders>
            <w:vAlign w:val="center"/>
            <w:hideMark/>
          </w:tcPr>
          <w:p w14:paraId="142D11E7"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2.16</w:t>
            </w:r>
          </w:p>
        </w:tc>
        <w:tc>
          <w:tcPr>
            <w:tcW w:w="1172" w:type="dxa"/>
            <w:tcBorders>
              <w:top w:val="nil"/>
              <w:left w:val="nil"/>
              <w:bottom w:val="single" w:sz="4" w:space="0" w:color="auto"/>
              <w:right w:val="single" w:sz="4" w:space="0" w:color="auto"/>
            </w:tcBorders>
            <w:vAlign w:val="center"/>
            <w:hideMark/>
          </w:tcPr>
          <w:p w14:paraId="20149001"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2.28</w:t>
            </w:r>
          </w:p>
        </w:tc>
        <w:tc>
          <w:tcPr>
            <w:tcW w:w="821" w:type="dxa"/>
            <w:tcBorders>
              <w:top w:val="nil"/>
              <w:left w:val="nil"/>
              <w:bottom w:val="single" w:sz="4" w:space="0" w:color="auto"/>
              <w:right w:val="single" w:sz="4" w:space="0" w:color="auto"/>
            </w:tcBorders>
            <w:vAlign w:val="center"/>
            <w:hideMark/>
          </w:tcPr>
          <w:p w14:paraId="4FE53BF9"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1.45</w:t>
            </w:r>
          </w:p>
        </w:tc>
        <w:tc>
          <w:tcPr>
            <w:tcW w:w="0" w:type="auto"/>
            <w:tcBorders>
              <w:top w:val="nil"/>
              <w:left w:val="nil"/>
              <w:bottom w:val="single" w:sz="4" w:space="0" w:color="auto"/>
              <w:right w:val="single" w:sz="4" w:space="0" w:color="auto"/>
            </w:tcBorders>
            <w:vAlign w:val="center"/>
            <w:hideMark/>
          </w:tcPr>
          <w:p w14:paraId="283A8F7B"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1.85</w:t>
            </w:r>
          </w:p>
        </w:tc>
        <w:tc>
          <w:tcPr>
            <w:tcW w:w="0" w:type="auto"/>
            <w:tcBorders>
              <w:top w:val="nil"/>
              <w:left w:val="nil"/>
              <w:bottom w:val="single" w:sz="4" w:space="0" w:color="auto"/>
              <w:right w:val="single" w:sz="4" w:space="0" w:color="auto"/>
            </w:tcBorders>
            <w:vAlign w:val="center"/>
            <w:hideMark/>
          </w:tcPr>
          <w:p w14:paraId="699F3B38"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1.48</w:t>
            </w:r>
          </w:p>
        </w:tc>
      </w:tr>
      <w:tr w:rsidR="009370AB" w:rsidRPr="009370AB" w14:paraId="5C81D2F9" w14:textId="77777777" w:rsidTr="009370AB">
        <w:trPr>
          <w:trHeight w:val="288"/>
        </w:trPr>
        <w:tc>
          <w:tcPr>
            <w:tcW w:w="2797" w:type="dxa"/>
            <w:tcBorders>
              <w:top w:val="nil"/>
              <w:left w:val="single" w:sz="4" w:space="0" w:color="auto"/>
              <w:bottom w:val="single" w:sz="4" w:space="0" w:color="auto"/>
              <w:right w:val="single" w:sz="4" w:space="0" w:color="auto"/>
            </w:tcBorders>
            <w:vAlign w:val="center"/>
            <w:hideMark/>
          </w:tcPr>
          <w:p w14:paraId="20AC8F86" w14:textId="77777777"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CD at 5 %</w:t>
            </w:r>
          </w:p>
        </w:tc>
        <w:tc>
          <w:tcPr>
            <w:tcW w:w="658" w:type="dxa"/>
            <w:tcBorders>
              <w:top w:val="nil"/>
              <w:left w:val="nil"/>
              <w:bottom w:val="single" w:sz="4" w:space="0" w:color="auto"/>
              <w:right w:val="single" w:sz="4" w:space="0" w:color="auto"/>
            </w:tcBorders>
            <w:vAlign w:val="center"/>
            <w:hideMark/>
          </w:tcPr>
          <w:p w14:paraId="170AD469"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0.25</w:t>
            </w:r>
          </w:p>
        </w:tc>
        <w:tc>
          <w:tcPr>
            <w:tcW w:w="0" w:type="auto"/>
            <w:tcBorders>
              <w:top w:val="nil"/>
              <w:left w:val="nil"/>
              <w:bottom w:val="single" w:sz="4" w:space="0" w:color="auto"/>
              <w:right w:val="single" w:sz="4" w:space="0" w:color="auto"/>
            </w:tcBorders>
            <w:vAlign w:val="center"/>
            <w:hideMark/>
          </w:tcPr>
          <w:p w14:paraId="158373A0"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4.11</w:t>
            </w:r>
          </w:p>
        </w:tc>
        <w:tc>
          <w:tcPr>
            <w:tcW w:w="0" w:type="auto"/>
            <w:tcBorders>
              <w:top w:val="nil"/>
              <w:left w:val="nil"/>
              <w:bottom w:val="single" w:sz="4" w:space="0" w:color="auto"/>
              <w:right w:val="single" w:sz="4" w:space="0" w:color="auto"/>
            </w:tcBorders>
            <w:vAlign w:val="center"/>
            <w:hideMark/>
          </w:tcPr>
          <w:p w14:paraId="6EF76C6E"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7.61</w:t>
            </w:r>
          </w:p>
        </w:tc>
        <w:tc>
          <w:tcPr>
            <w:tcW w:w="1172" w:type="dxa"/>
            <w:tcBorders>
              <w:top w:val="nil"/>
              <w:left w:val="nil"/>
              <w:bottom w:val="single" w:sz="4" w:space="0" w:color="auto"/>
              <w:right w:val="single" w:sz="4" w:space="0" w:color="auto"/>
            </w:tcBorders>
            <w:vAlign w:val="center"/>
            <w:hideMark/>
          </w:tcPr>
          <w:p w14:paraId="2507B7B7"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8.04</w:t>
            </w:r>
          </w:p>
        </w:tc>
        <w:tc>
          <w:tcPr>
            <w:tcW w:w="821" w:type="dxa"/>
            <w:tcBorders>
              <w:top w:val="nil"/>
              <w:left w:val="nil"/>
              <w:bottom w:val="single" w:sz="4" w:space="0" w:color="auto"/>
              <w:right w:val="single" w:sz="4" w:space="0" w:color="auto"/>
            </w:tcBorders>
            <w:vAlign w:val="center"/>
            <w:hideMark/>
          </w:tcPr>
          <w:p w14:paraId="341FB5C8"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5.12</w:t>
            </w:r>
          </w:p>
        </w:tc>
        <w:tc>
          <w:tcPr>
            <w:tcW w:w="0" w:type="auto"/>
            <w:tcBorders>
              <w:top w:val="nil"/>
              <w:left w:val="nil"/>
              <w:bottom w:val="single" w:sz="4" w:space="0" w:color="auto"/>
              <w:right w:val="single" w:sz="4" w:space="0" w:color="auto"/>
            </w:tcBorders>
            <w:vAlign w:val="center"/>
            <w:hideMark/>
          </w:tcPr>
          <w:p w14:paraId="3F8D8C61"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6.51</w:t>
            </w:r>
          </w:p>
        </w:tc>
        <w:tc>
          <w:tcPr>
            <w:tcW w:w="0" w:type="auto"/>
            <w:tcBorders>
              <w:top w:val="nil"/>
              <w:left w:val="nil"/>
              <w:bottom w:val="single" w:sz="4" w:space="0" w:color="auto"/>
              <w:right w:val="single" w:sz="4" w:space="0" w:color="auto"/>
            </w:tcBorders>
            <w:vAlign w:val="center"/>
            <w:hideMark/>
          </w:tcPr>
          <w:p w14:paraId="344F2D18"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5.24</w:t>
            </w:r>
          </w:p>
        </w:tc>
      </w:tr>
      <w:tr w:rsidR="009370AB" w:rsidRPr="009370AB" w14:paraId="1AF1E654" w14:textId="77777777" w:rsidTr="009370AB">
        <w:trPr>
          <w:trHeight w:val="334"/>
        </w:trPr>
        <w:tc>
          <w:tcPr>
            <w:tcW w:w="0" w:type="auto"/>
            <w:gridSpan w:val="8"/>
            <w:tcBorders>
              <w:top w:val="single" w:sz="4" w:space="0" w:color="auto"/>
              <w:left w:val="single" w:sz="4" w:space="0" w:color="auto"/>
              <w:bottom w:val="single" w:sz="4" w:space="0" w:color="auto"/>
              <w:right w:val="single" w:sz="4" w:space="0" w:color="auto"/>
            </w:tcBorders>
            <w:vAlign w:val="center"/>
            <w:hideMark/>
          </w:tcPr>
          <w:p w14:paraId="7B8791D1" w14:textId="77777777"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Fertility levels (kg ha</w:t>
            </w:r>
            <w:r w:rsidRPr="009370AB">
              <w:rPr>
                <w:rFonts w:ascii="Times New Roman" w:eastAsia="Times New Roman" w:hAnsi="Times New Roman" w:cs="Times New Roman"/>
                <w:b/>
                <w:bCs/>
                <w:color w:val="000000"/>
                <w:vertAlign w:val="superscript"/>
              </w:rPr>
              <w:t>-1</w:t>
            </w:r>
            <w:r w:rsidRPr="009370AB">
              <w:rPr>
                <w:rFonts w:ascii="Times New Roman" w:eastAsia="Times New Roman" w:hAnsi="Times New Roman" w:cs="Times New Roman"/>
                <w:b/>
                <w:bCs/>
                <w:color w:val="000000"/>
              </w:rPr>
              <w:t>)</w:t>
            </w:r>
          </w:p>
        </w:tc>
      </w:tr>
      <w:tr w:rsidR="009370AB" w:rsidRPr="009370AB" w14:paraId="54096EA1" w14:textId="77777777" w:rsidTr="009370AB">
        <w:trPr>
          <w:trHeight w:val="276"/>
        </w:trPr>
        <w:tc>
          <w:tcPr>
            <w:tcW w:w="2797" w:type="dxa"/>
            <w:tcBorders>
              <w:top w:val="nil"/>
              <w:left w:val="single" w:sz="4" w:space="0" w:color="auto"/>
              <w:bottom w:val="single" w:sz="4" w:space="0" w:color="auto"/>
              <w:right w:val="single" w:sz="4" w:space="0" w:color="auto"/>
            </w:tcBorders>
            <w:vAlign w:val="center"/>
            <w:hideMark/>
          </w:tcPr>
          <w:p w14:paraId="4D1DF177"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position w:val="2"/>
              </w:rPr>
              <w:t>T</w:t>
            </w:r>
            <w:r w:rsidRPr="009370AB">
              <w:rPr>
                <w:rFonts w:ascii="Times New Roman" w:eastAsia="Times New Roman" w:hAnsi="Times New Roman" w:cs="Times New Roman"/>
                <w:color w:val="000000"/>
                <w:position w:val="2"/>
                <w:sz w:val="14"/>
                <w:szCs w:val="14"/>
              </w:rPr>
              <w:t>1</w:t>
            </w:r>
            <w:r w:rsidRPr="009370AB">
              <w:rPr>
                <w:rFonts w:ascii="Times New Roman" w:eastAsia="Times New Roman" w:hAnsi="Times New Roman" w:cs="Times New Roman"/>
                <w:color w:val="000000"/>
                <w:position w:val="2"/>
              </w:rPr>
              <w:t>- Control</w:t>
            </w:r>
          </w:p>
        </w:tc>
        <w:tc>
          <w:tcPr>
            <w:tcW w:w="658" w:type="dxa"/>
            <w:tcBorders>
              <w:top w:val="nil"/>
              <w:left w:val="nil"/>
              <w:bottom w:val="single" w:sz="4" w:space="0" w:color="auto"/>
              <w:right w:val="single" w:sz="4" w:space="0" w:color="auto"/>
            </w:tcBorders>
            <w:vAlign w:val="center"/>
            <w:hideMark/>
          </w:tcPr>
          <w:p w14:paraId="10C550FA"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1.3</w:t>
            </w:r>
          </w:p>
        </w:tc>
        <w:tc>
          <w:tcPr>
            <w:tcW w:w="0" w:type="auto"/>
            <w:tcBorders>
              <w:top w:val="nil"/>
              <w:left w:val="nil"/>
              <w:bottom w:val="single" w:sz="4" w:space="0" w:color="auto"/>
              <w:right w:val="single" w:sz="4" w:space="0" w:color="auto"/>
            </w:tcBorders>
            <w:vAlign w:val="center"/>
            <w:hideMark/>
          </w:tcPr>
          <w:p w14:paraId="7CC04C20"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22.42</w:t>
            </w:r>
          </w:p>
        </w:tc>
        <w:tc>
          <w:tcPr>
            <w:tcW w:w="0" w:type="auto"/>
            <w:tcBorders>
              <w:top w:val="nil"/>
              <w:left w:val="nil"/>
              <w:bottom w:val="single" w:sz="4" w:space="0" w:color="auto"/>
              <w:right w:val="single" w:sz="4" w:space="0" w:color="auto"/>
            </w:tcBorders>
            <w:vAlign w:val="center"/>
            <w:hideMark/>
          </w:tcPr>
          <w:p w14:paraId="78356880"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92.56</w:t>
            </w:r>
          </w:p>
        </w:tc>
        <w:tc>
          <w:tcPr>
            <w:tcW w:w="1172" w:type="dxa"/>
            <w:tcBorders>
              <w:top w:val="nil"/>
              <w:left w:val="nil"/>
              <w:bottom w:val="single" w:sz="4" w:space="0" w:color="auto"/>
              <w:right w:val="single" w:sz="4" w:space="0" w:color="auto"/>
            </w:tcBorders>
            <w:vAlign w:val="center"/>
            <w:hideMark/>
          </w:tcPr>
          <w:p w14:paraId="33F6E086"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130.53</w:t>
            </w:r>
          </w:p>
        </w:tc>
        <w:tc>
          <w:tcPr>
            <w:tcW w:w="821" w:type="dxa"/>
            <w:tcBorders>
              <w:top w:val="nil"/>
              <w:left w:val="nil"/>
              <w:bottom w:val="single" w:sz="4" w:space="0" w:color="auto"/>
              <w:right w:val="single" w:sz="4" w:space="0" w:color="auto"/>
            </w:tcBorders>
            <w:vAlign w:val="center"/>
            <w:hideMark/>
          </w:tcPr>
          <w:p w14:paraId="21104F6C"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25.89</w:t>
            </w:r>
          </w:p>
        </w:tc>
        <w:tc>
          <w:tcPr>
            <w:tcW w:w="0" w:type="auto"/>
            <w:tcBorders>
              <w:top w:val="nil"/>
              <w:left w:val="nil"/>
              <w:bottom w:val="single" w:sz="4" w:space="0" w:color="auto"/>
              <w:right w:val="single" w:sz="4" w:space="0" w:color="auto"/>
            </w:tcBorders>
            <w:vAlign w:val="center"/>
            <w:hideMark/>
          </w:tcPr>
          <w:p w14:paraId="09C39471"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30.95</w:t>
            </w:r>
          </w:p>
        </w:tc>
        <w:tc>
          <w:tcPr>
            <w:tcW w:w="0" w:type="auto"/>
            <w:tcBorders>
              <w:top w:val="nil"/>
              <w:left w:val="nil"/>
              <w:bottom w:val="single" w:sz="4" w:space="0" w:color="auto"/>
              <w:right w:val="single" w:sz="4" w:space="0" w:color="auto"/>
            </w:tcBorders>
            <w:vAlign w:val="center"/>
            <w:hideMark/>
          </w:tcPr>
          <w:p w14:paraId="2F225AFD" w14:textId="0BEA1904"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29.5</w:t>
            </w:r>
            <w:r w:rsidR="002F0FF7">
              <w:rPr>
                <w:rFonts w:ascii="Times New Roman" w:eastAsia="Times New Roman" w:hAnsi="Times New Roman" w:cs="Times New Roman"/>
                <w:color w:val="000000"/>
                <w:spacing w:val="-2"/>
              </w:rPr>
              <w:t>0</w:t>
            </w:r>
          </w:p>
        </w:tc>
      </w:tr>
      <w:tr w:rsidR="009370AB" w:rsidRPr="009370AB" w14:paraId="6DC1F4FB" w14:textId="77777777" w:rsidTr="009370AB">
        <w:trPr>
          <w:trHeight w:val="276"/>
        </w:trPr>
        <w:tc>
          <w:tcPr>
            <w:tcW w:w="2797" w:type="dxa"/>
            <w:tcBorders>
              <w:top w:val="nil"/>
              <w:left w:val="single" w:sz="4" w:space="0" w:color="auto"/>
              <w:bottom w:val="single" w:sz="4" w:space="0" w:color="auto"/>
              <w:right w:val="single" w:sz="4" w:space="0" w:color="auto"/>
            </w:tcBorders>
            <w:vAlign w:val="center"/>
            <w:hideMark/>
          </w:tcPr>
          <w:p w14:paraId="08E604B6"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position w:val="2"/>
              </w:rPr>
              <w:t>T</w:t>
            </w:r>
            <w:r w:rsidRPr="009370AB">
              <w:rPr>
                <w:rFonts w:ascii="Times New Roman" w:eastAsia="Times New Roman" w:hAnsi="Times New Roman" w:cs="Times New Roman"/>
                <w:color w:val="000000"/>
                <w:position w:val="2"/>
                <w:sz w:val="14"/>
                <w:szCs w:val="14"/>
              </w:rPr>
              <w:t>2</w:t>
            </w:r>
            <w:r w:rsidRPr="009370AB">
              <w:rPr>
                <w:rFonts w:ascii="Times New Roman" w:eastAsia="Times New Roman" w:hAnsi="Times New Roman" w:cs="Times New Roman"/>
                <w:color w:val="000000"/>
                <w:position w:val="2"/>
              </w:rPr>
              <w:t>- N</w:t>
            </w:r>
            <w:r w:rsidRPr="009370AB">
              <w:rPr>
                <w:rFonts w:ascii="Times New Roman" w:eastAsia="Times New Roman" w:hAnsi="Times New Roman" w:cs="Times New Roman"/>
                <w:color w:val="000000"/>
                <w:position w:val="2"/>
                <w:sz w:val="14"/>
                <w:szCs w:val="14"/>
              </w:rPr>
              <w:t>20</w:t>
            </w:r>
            <w:r w:rsidRPr="009370AB">
              <w:rPr>
                <w:rFonts w:ascii="Times New Roman" w:eastAsia="Times New Roman" w:hAnsi="Times New Roman" w:cs="Times New Roman"/>
                <w:color w:val="000000"/>
                <w:position w:val="2"/>
              </w:rPr>
              <w:t>P</w:t>
            </w:r>
            <w:r w:rsidRPr="009370AB">
              <w:rPr>
                <w:rFonts w:ascii="Times New Roman" w:eastAsia="Times New Roman" w:hAnsi="Times New Roman" w:cs="Times New Roman"/>
                <w:color w:val="000000"/>
                <w:position w:val="2"/>
                <w:sz w:val="14"/>
                <w:szCs w:val="14"/>
              </w:rPr>
              <w:t>10</w:t>
            </w:r>
          </w:p>
        </w:tc>
        <w:tc>
          <w:tcPr>
            <w:tcW w:w="658" w:type="dxa"/>
            <w:tcBorders>
              <w:top w:val="nil"/>
              <w:left w:val="nil"/>
              <w:bottom w:val="single" w:sz="4" w:space="0" w:color="auto"/>
              <w:right w:val="single" w:sz="4" w:space="0" w:color="auto"/>
            </w:tcBorders>
            <w:vAlign w:val="center"/>
            <w:hideMark/>
          </w:tcPr>
          <w:p w14:paraId="7B4F7502"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1.68</w:t>
            </w:r>
          </w:p>
        </w:tc>
        <w:tc>
          <w:tcPr>
            <w:tcW w:w="0" w:type="auto"/>
            <w:tcBorders>
              <w:top w:val="nil"/>
              <w:left w:val="nil"/>
              <w:bottom w:val="single" w:sz="4" w:space="0" w:color="auto"/>
              <w:right w:val="single" w:sz="4" w:space="0" w:color="auto"/>
            </w:tcBorders>
            <w:vAlign w:val="center"/>
            <w:hideMark/>
          </w:tcPr>
          <w:p w14:paraId="3248C517"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28.15</w:t>
            </w:r>
          </w:p>
        </w:tc>
        <w:tc>
          <w:tcPr>
            <w:tcW w:w="0" w:type="auto"/>
            <w:tcBorders>
              <w:top w:val="nil"/>
              <w:left w:val="nil"/>
              <w:bottom w:val="single" w:sz="4" w:space="0" w:color="auto"/>
              <w:right w:val="single" w:sz="4" w:space="0" w:color="auto"/>
            </w:tcBorders>
            <w:vAlign w:val="center"/>
            <w:hideMark/>
          </w:tcPr>
          <w:p w14:paraId="2CBDC478" w14:textId="29602B15"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106</w:t>
            </w:r>
            <w:r w:rsidR="002F0FF7">
              <w:rPr>
                <w:rFonts w:ascii="Times New Roman" w:eastAsia="Times New Roman" w:hAnsi="Times New Roman" w:cs="Times New Roman"/>
                <w:color w:val="000000"/>
                <w:spacing w:val="-2"/>
              </w:rPr>
              <w:t>.00</w:t>
            </w:r>
          </w:p>
        </w:tc>
        <w:tc>
          <w:tcPr>
            <w:tcW w:w="1172" w:type="dxa"/>
            <w:tcBorders>
              <w:top w:val="nil"/>
              <w:left w:val="nil"/>
              <w:bottom w:val="single" w:sz="4" w:space="0" w:color="auto"/>
              <w:right w:val="single" w:sz="4" w:space="0" w:color="auto"/>
            </w:tcBorders>
            <w:vAlign w:val="center"/>
            <w:hideMark/>
          </w:tcPr>
          <w:p w14:paraId="07270384" w14:textId="41DA130A"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144.1</w:t>
            </w:r>
            <w:r w:rsidR="002F0FF7">
              <w:rPr>
                <w:rFonts w:ascii="Times New Roman" w:eastAsia="Times New Roman" w:hAnsi="Times New Roman" w:cs="Times New Roman"/>
                <w:color w:val="000000"/>
                <w:spacing w:val="-2"/>
              </w:rPr>
              <w:t>0</w:t>
            </w:r>
          </w:p>
        </w:tc>
        <w:tc>
          <w:tcPr>
            <w:tcW w:w="821" w:type="dxa"/>
            <w:tcBorders>
              <w:top w:val="nil"/>
              <w:left w:val="nil"/>
              <w:bottom w:val="single" w:sz="4" w:space="0" w:color="auto"/>
              <w:right w:val="single" w:sz="4" w:space="0" w:color="auto"/>
            </w:tcBorders>
            <w:vAlign w:val="center"/>
            <w:hideMark/>
          </w:tcPr>
          <w:p w14:paraId="7EBEA336" w14:textId="3918444D"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34.6</w:t>
            </w:r>
            <w:r w:rsidR="002F0FF7">
              <w:rPr>
                <w:rFonts w:ascii="Times New Roman" w:eastAsia="Times New Roman" w:hAnsi="Times New Roman" w:cs="Times New Roman"/>
                <w:color w:val="000000"/>
                <w:spacing w:val="-2"/>
              </w:rPr>
              <w:t>0</w:t>
            </w:r>
          </w:p>
        </w:tc>
        <w:tc>
          <w:tcPr>
            <w:tcW w:w="0" w:type="auto"/>
            <w:tcBorders>
              <w:top w:val="nil"/>
              <w:left w:val="nil"/>
              <w:bottom w:val="single" w:sz="4" w:space="0" w:color="auto"/>
              <w:right w:val="single" w:sz="4" w:space="0" w:color="auto"/>
            </w:tcBorders>
            <w:vAlign w:val="center"/>
            <w:hideMark/>
          </w:tcPr>
          <w:p w14:paraId="72883AA9"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40.16</w:t>
            </w:r>
          </w:p>
        </w:tc>
        <w:tc>
          <w:tcPr>
            <w:tcW w:w="0" w:type="auto"/>
            <w:tcBorders>
              <w:top w:val="nil"/>
              <w:left w:val="nil"/>
              <w:bottom w:val="single" w:sz="4" w:space="0" w:color="auto"/>
              <w:right w:val="single" w:sz="4" w:space="0" w:color="auto"/>
            </w:tcBorders>
            <w:vAlign w:val="center"/>
            <w:hideMark/>
          </w:tcPr>
          <w:p w14:paraId="6F3F62E6"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39.36</w:t>
            </w:r>
          </w:p>
        </w:tc>
      </w:tr>
      <w:tr w:rsidR="009370AB" w:rsidRPr="009370AB" w14:paraId="60FC0C90" w14:textId="77777777" w:rsidTr="009370AB">
        <w:trPr>
          <w:trHeight w:val="276"/>
        </w:trPr>
        <w:tc>
          <w:tcPr>
            <w:tcW w:w="2797" w:type="dxa"/>
            <w:tcBorders>
              <w:top w:val="nil"/>
              <w:left w:val="single" w:sz="4" w:space="0" w:color="auto"/>
              <w:bottom w:val="single" w:sz="4" w:space="0" w:color="auto"/>
              <w:right w:val="single" w:sz="4" w:space="0" w:color="auto"/>
            </w:tcBorders>
            <w:vAlign w:val="center"/>
            <w:hideMark/>
          </w:tcPr>
          <w:p w14:paraId="44E042E2"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position w:val="2"/>
              </w:rPr>
              <w:t>T</w:t>
            </w:r>
            <w:r w:rsidRPr="009370AB">
              <w:rPr>
                <w:rFonts w:ascii="Times New Roman" w:eastAsia="Times New Roman" w:hAnsi="Times New Roman" w:cs="Times New Roman"/>
                <w:color w:val="000000"/>
                <w:position w:val="2"/>
                <w:sz w:val="14"/>
                <w:szCs w:val="14"/>
              </w:rPr>
              <w:t>3</w:t>
            </w:r>
            <w:r w:rsidRPr="009370AB">
              <w:rPr>
                <w:rFonts w:ascii="Times New Roman" w:eastAsia="Times New Roman" w:hAnsi="Times New Roman" w:cs="Times New Roman"/>
                <w:color w:val="000000"/>
                <w:position w:val="2"/>
              </w:rPr>
              <w:t>- N</w:t>
            </w:r>
            <w:r w:rsidRPr="009370AB">
              <w:rPr>
                <w:rFonts w:ascii="Times New Roman" w:eastAsia="Times New Roman" w:hAnsi="Times New Roman" w:cs="Times New Roman"/>
                <w:color w:val="000000"/>
                <w:position w:val="2"/>
                <w:sz w:val="14"/>
                <w:szCs w:val="14"/>
              </w:rPr>
              <w:t>40</w:t>
            </w:r>
            <w:r w:rsidRPr="009370AB">
              <w:rPr>
                <w:rFonts w:ascii="Times New Roman" w:eastAsia="Times New Roman" w:hAnsi="Times New Roman" w:cs="Times New Roman"/>
                <w:color w:val="000000"/>
                <w:position w:val="2"/>
              </w:rPr>
              <w:t>P</w:t>
            </w:r>
            <w:r w:rsidRPr="009370AB">
              <w:rPr>
                <w:rFonts w:ascii="Times New Roman" w:eastAsia="Times New Roman" w:hAnsi="Times New Roman" w:cs="Times New Roman"/>
                <w:color w:val="000000"/>
                <w:position w:val="2"/>
                <w:sz w:val="14"/>
                <w:szCs w:val="14"/>
              </w:rPr>
              <w:t>20</w:t>
            </w:r>
          </w:p>
        </w:tc>
        <w:tc>
          <w:tcPr>
            <w:tcW w:w="658" w:type="dxa"/>
            <w:tcBorders>
              <w:top w:val="nil"/>
              <w:left w:val="nil"/>
              <w:bottom w:val="single" w:sz="4" w:space="0" w:color="auto"/>
              <w:right w:val="single" w:sz="4" w:space="0" w:color="auto"/>
            </w:tcBorders>
            <w:vAlign w:val="center"/>
            <w:hideMark/>
          </w:tcPr>
          <w:p w14:paraId="6A72C21F"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1.88</w:t>
            </w:r>
          </w:p>
        </w:tc>
        <w:tc>
          <w:tcPr>
            <w:tcW w:w="0" w:type="auto"/>
            <w:tcBorders>
              <w:top w:val="nil"/>
              <w:left w:val="nil"/>
              <w:bottom w:val="single" w:sz="4" w:space="0" w:color="auto"/>
              <w:right w:val="single" w:sz="4" w:space="0" w:color="auto"/>
            </w:tcBorders>
            <w:vAlign w:val="center"/>
            <w:hideMark/>
          </w:tcPr>
          <w:p w14:paraId="4F8E204A"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32.37</w:t>
            </w:r>
          </w:p>
        </w:tc>
        <w:tc>
          <w:tcPr>
            <w:tcW w:w="0" w:type="auto"/>
            <w:tcBorders>
              <w:top w:val="nil"/>
              <w:left w:val="nil"/>
              <w:bottom w:val="single" w:sz="4" w:space="0" w:color="auto"/>
              <w:right w:val="single" w:sz="4" w:space="0" w:color="auto"/>
            </w:tcBorders>
            <w:vAlign w:val="center"/>
            <w:hideMark/>
          </w:tcPr>
          <w:p w14:paraId="1A79887B"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114.95</w:t>
            </w:r>
          </w:p>
        </w:tc>
        <w:tc>
          <w:tcPr>
            <w:tcW w:w="1172" w:type="dxa"/>
            <w:tcBorders>
              <w:top w:val="nil"/>
              <w:left w:val="nil"/>
              <w:bottom w:val="single" w:sz="4" w:space="0" w:color="auto"/>
              <w:right w:val="single" w:sz="4" w:space="0" w:color="auto"/>
            </w:tcBorders>
            <w:vAlign w:val="center"/>
            <w:hideMark/>
          </w:tcPr>
          <w:p w14:paraId="4375A91B" w14:textId="66194A6F"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152.9</w:t>
            </w:r>
            <w:r w:rsidR="002F0FF7">
              <w:rPr>
                <w:rFonts w:ascii="Times New Roman" w:eastAsia="Times New Roman" w:hAnsi="Times New Roman" w:cs="Times New Roman"/>
                <w:color w:val="000000"/>
                <w:spacing w:val="-2"/>
              </w:rPr>
              <w:t>0</w:t>
            </w:r>
          </w:p>
        </w:tc>
        <w:tc>
          <w:tcPr>
            <w:tcW w:w="821" w:type="dxa"/>
            <w:tcBorders>
              <w:top w:val="nil"/>
              <w:left w:val="nil"/>
              <w:bottom w:val="single" w:sz="4" w:space="0" w:color="auto"/>
              <w:right w:val="single" w:sz="4" w:space="0" w:color="auto"/>
            </w:tcBorders>
            <w:vAlign w:val="center"/>
            <w:hideMark/>
          </w:tcPr>
          <w:p w14:paraId="13E54328"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39.22</w:t>
            </w:r>
          </w:p>
        </w:tc>
        <w:tc>
          <w:tcPr>
            <w:tcW w:w="0" w:type="auto"/>
            <w:tcBorders>
              <w:top w:val="nil"/>
              <w:left w:val="nil"/>
              <w:bottom w:val="single" w:sz="4" w:space="0" w:color="auto"/>
              <w:right w:val="single" w:sz="4" w:space="0" w:color="auto"/>
            </w:tcBorders>
            <w:vAlign w:val="center"/>
            <w:hideMark/>
          </w:tcPr>
          <w:p w14:paraId="5D4E20E8"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45.51</w:t>
            </w:r>
          </w:p>
        </w:tc>
        <w:tc>
          <w:tcPr>
            <w:tcW w:w="0" w:type="auto"/>
            <w:tcBorders>
              <w:top w:val="nil"/>
              <w:left w:val="nil"/>
              <w:bottom w:val="single" w:sz="4" w:space="0" w:color="auto"/>
              <w:right w:val="single" w:sz="4" w:space="0" w:color="auto"/>
            </w:tcBorders>
            <w:vAlign w:val="center"/>
            <w:hideMark/>
          </w:tcPr>
          <w:p w14:paraId="19515A25"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43.88</w:t>
            </w:r>
          </w:p>
        </w:tc>
      </w:tr>
      <w:tr w:rsidR="009370AB" w:rsidRPr="009370AB" w14:paraId="09E60EA2" w14:textId="77777777" w:rsidTr="009370AB">
        <w:trPr>
          <w:trHeight w:val="276"/>
        </w:trPr>
        <w:tc>
          <w:tcPr>
            <w:tcW w:w="2797" w:type="dxa"/>
            <w:tcBorders>
              <w:top w:val="nil"/>
              <w:left w:val="single" w:sz="4" w:space="0" w:color="auto"/>
              <w:bottom w:val="single" w:sz="4" w:space="0" w:color="auto"/>
              <w:right w:val="single" w:sz="4" w:space="0" w:color="auto"/>
            </w:tcBorders>
            <w:vAlign w:val="center"/>
            <w:hideMark/>
          </w:tcPr>
          <w:p w14:paraId="407AE952"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position w:val="2"/>
              </w:rPr>
              <w:t>T</w:t>
            </w:r>
            <w:r w:rsidRPr="009370AB">
              <w:rPr>
                <w:rFonts w:ascii="Times New Roman" w:eastAsia="Times New Roman" w:hAnsi="Times New Roman" w:cs="Times New Roman"/>
                <w:color w:val="000000"/>
                <w:position w:val="2"/>
                <w:sz w:val="14"/>
                <w:szCs w:val="14"/>
              </w:rPr>
              <w:t>4</w:t>
            </w:r>
            <w:r w:rsidRPr="009370AB">
              <w:rPr>
                <w:rFonts w:ascii="Times New Roman" w:eastAsia="Times New Roman" w:hAnsi="Times New Roman" w:cs="Times New Roman"/>
                <w:color w:val="000000"/>
                <w:position w:val="2"/>
              </w:rPr>
              <w:t>- N</w:t>
            </w:r>
            <w:r w:rsidRPr="009370AB">
              <w:rPr>
                <w:rFonts w:ascii="Times New Roman" w:eastAsia="Times New Roman" w:hAnsi="Times New Roman" w:cs="Times New Roman"/>
                <w:color w:val="000000"/>
                <w:position w:val="2"/>
                <w:sz w:val="14"/>
                <w:szCs w:val="14"/>
              </w:rPr>
              <w:t>60</w:t>
            </w:r>
            <w:r w:rsidRPr="009370AB">
              <w:rPr>
                <w:rFonts w:ascii="Times New Roman" w:eastAsia="Times New Roman" w:hAnsi="Times New Roman" w:cs="Times New Roman"/>
                <w:color w:val="000000"/>
                <w:position w:val="2"/>
              </w:rPr>
              <w:t>P</w:t>
            </w:r>
            <w:r w:rsidRPr="009370AB">
              <w:rPr>
                <w:rFonts w:ascii="Times New Roman" w:eastAsia="Times New Roman" w:hAnsi="Times New Roman" w:cs="Times New Roman"/>
                <w:color w:val="000000"/>
                <w:position w:val="2"/>
                <w:sz w:val="14"/>
                <w:szCs w:val="14"/>
              </w:rPr>
              <w:t>30</w:t>
            </w:r>
          </w:p>
        </w:tc>
        <w:tc>
          <w:tcPr>
            <w:tcW w:w="658" w:type="dxa"/>
            <w:tcBorders>
              <w:top w:val="nil"/>
              <w:left w:val="nil"/>
              <w:bottom w:val="single" w:sz="4" w:space="0" w:color="auto"/>
              <w:right w:val="single" w:sz="4" w:space="0" w:color="auto"/>
            </w:tcBorders>
            <w:vAlign w:val="center"/>
            <w:hideMark/>
          </w:tcPr>
          <w:p w14:paraId="4655D60A"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1.96</w:t>
            </w:r>
          </w:p>
        </w:tc>
        <w:tc>
          <w:tcPr>
            <w:tcW w:w="0" w:type="auto"/>
            <w:tcBorders>
              <w:top w:val="nil"/>
              <w:left w:val="nil"/>
              <w:bottom w:val="single" w:sz="4" w:space="0" w:color="auto"/>
              <w:right w:val="single" w:sz="4" w:space="0" w:color="auto"/>
            </w:tcBorders>
            <w:vAlign w:val="center"/>
            <w:hideMark/>
          </w:tcPr>
          <w:p w14:paraId="66012302" w14:textId="5619D6E4"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34.1</w:t>
            </w:r>
            <w:r w:rsidR="002F0FF7">
              <w:rPr>
                <w:rFonts w:ascii="Times New Roman" w:eastAsia="Times New Roman" w:hAnsi="Times New Roman" w:cs="Times New Roman"/>
                <w:color w:val="000000"/>
                <w:spacing w:val="-2"/>
              </w:rPr>
              <w:t>0</w:t>
            </w:r>
          </w:p>
        </w:tc>
        <w:tc>
          <w:tcPr>
            <w:tcW w:w="0" w:type="auto"/>
            <w:tcBorders>
              <w:top w:val="nil"/>
              <w:left w:val="nil"/>
              <w:bottom w:val="single" w:sz="4" w:space="0" w:color="auto"/>
              <w:right w:val="single" w:sz="4" w:space="0" w:color="auto"/>
            </w:tcBorders>
            <w:vAlign w:val="center"/>
            <w:hideMark/>
          </w:tcPr>
          <w:p w14:paraId="54A8FAB6"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116.86</w:t>
            </w:r>
          </w:p>
        </w:tc>
        <w:tc>
          <w:tcPr>
            <w:tcW w:w="1172" w:type="dxa"/>
            <w:tcBorders>
              <w:top w:val="nil"/>
              <w:left w:val="nil"/>
              <w:bottom w:val="single" w:sz="4" w:space="0" w:color="auto"/>
              <w:right w:val="single" w:sz="4" w:space="0" w:color="auto"/>
            </w:tcBorders>
            <w:vAlign w:val="center"/>
            <w:hideMark/>
          </w:tcPr>
          <w:p w14:paraId="71A7030A"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155.17</w:t>
            </w:r>
          </w:p>
        </w:tc>
        <w:tc>
          <w:tcPr>
            <w:tcW w:w="821" w:type="dxa"/>
            <w:tcBorders>
              <w:top w:val="nil"/>
              <w:left w:val="nil"/>
              <w:bottom w:val="single" w:sz="4" w:space="0" w:color="auto"/>
              <w:right w:val="single" w:sz="4" w:space="0" w:color="auto"/>
            </w:tcBorders>
            <w:vAlign w:val="center"/>
            <w:hideMark/>
          </w:tcPr>
          <w:p w14:paraId="2F2C7831"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41.19</w:t>
            </w:r>
          </w:p>
        </w:tc>
        <w:tc>
          <w:tcPr>
            <w:tcW w:w="0" w:type="auto"/>
            <w:tcBorders>
              <w:top w:val="nil"/>
              <w:left w:val="nil"/>
              <w:bottom w:val="single" w:sz="4" w:space="0" w:color="auto"/>
              <w:right w:val="single" w:sz="4" w:space="0" w:color="auto"/>
            </w:tcBorders>
            <w:vAlign w:val="center"/>
            <w:hideMark/>
          </w:tcPr>
          <w:p w14:paraId="580BB675"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47.33</w:t>
            </w:r>
          </w:p>
        </w:tc>
        <w:tc>
          <w:tcPr>
            <w:tcW w:w="0" w:type="auto"/>
            <w:tcBorders>
              <w:top w:val="nil"/>
              <w:left w:val="nil"/>
              <w:bottom w:val="single" w:sz="4" w:space="0" w:color="auto"/>
              <w:right w:val="single" w:sz="4" w:space="0" w:color="auto"/>
            </w:tcBorders>
            <w:vAlign w:val="center"/>
            <w:hideMark/>
          </w:tcPr>
          <w:p w14:paraId="54638B5B"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45.31</w:t>
            </w:r>
          </w:p>
        </w:tc>
      </w:tr>
      <w:tr w:rsidR="009370AB" w:rsidRPr="009370AB" w14:paraId="0B0292D6" w14:textId="77777777" w:rsidTr="009370AB">
        <w:trPr>
          <w:trHeight w:val="276"/>
        </w:trPr>
        <w:tc>
          <w:tcPr>
            <w:tcW w:w="2797" w:type="dxa"/>
            <w:tcBorders>
              <w:top w:val="nil"/>
              <w:left w:val="single" w:sz="4" w:space="0" w:color="auto"/>
              <w:bottom w:val="single" w:sz="4" w:space="0" w:color="auto"/>
              <w:right w:val="single" w:sz="4" w:space="0" w:color="auto"/>
            </w:tcBorders>
            <w:vAlign w:val="center"/>
            <w:hideMark/>
          </w:tcPr>
          <w:p w14:paraId="59CC17E5"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SE(m) ±</w:t>
            </w:r>
          </w:p>
        </w:tc>
        <w:tc>
          <w:tcPr>
            <w:tcW w:w="658" w:type="dxa"/>
            <w:tcBorders>
              <w:top w:val="nil"/>
              <w:left w:val="nil"/>
              <w:bottom w:val="single" w:sz="4" w:space="0" w:color="auto"/>
              <w:right w:val="single" w:sz="4" w:space="0" w:color="auto"/>
            </w:tcBorders>
            <w:vAlign w:val="center"/>
            <w:hideMark/>
          </w:tcPr>
          <w:p w14:paraId="05BD8B21"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0.06</w:t>
            </w:r>
          </w:p>
        </w:tc>
        <w:tc>
          <w:tcPr>
            <w:tcW w:w="0" w:type="auto"/>
            <w:tcBorders>
              <w:top w:val="nil"/>
              <w:left w:val="nil"/>
              <w:bottom w:val="single" w:sz="4" w:space="0" w:color="auto"/>
              <w:right w:val="single" w:sz="4" w:space="0" w:color="auto"/>
            </w:tcBorders>
            <w:vAlign w:val="center"/>
            <w:hideMark/>
          </w:tcPr>
          <w:p w14:paraId="538F29C8"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1.16</w:t>
            </w:r>
          </w:p>
        </w:tc>
        <w:tc>
          <w:tcPr>
            <w:tcW w:w="0" w:type="auto"/>
            <w:tcBorders>
              <w:top w:val="nil"/>
              <w:left w:val="nil"/>
              <w:bottom w:val="single" w:sz="4" w:space="0" w:color="auto"/>
              <w:right w:val="single" w:sz="4" w:space="0" w:color="auto"/>
            </w:tcBorders>
            <w:vAlign w:val="center"/>
            <w:hideMark/>
          </w:tcPr>
          <w:p w14:paraId="3642D1B9"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2.03</w:t>
            </w:r>
          </w:p>
        </w:tc>
        <w:tc>
          <w:tcPr>
            <w:tcW w:w="1172" w:type="dxa"/>
            <w:tcBorders>
              <w:top w:val="nil"/>
              <w:left w:val="nil"/>
              <w:bottom w:val="single" w:sz="4" w:space="0" w:color="auto"/>
              <w:right w:val="single" w:sz="4" w:space="0" w:color="auto"/>
            </w:tcBorders>
            <w:vAlign w:val="center"/>
            <w:hideMark/>
          </w:tcPr>
          <w:p w14:paraId="3C74678C"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1.96</w:t>
            </w:r>
          </w:p>
        </w:tc>
        <w:tc>
          <w:tcPr>
            <w:tcW w:w="821" w:type="dxa"/>
            <w:tcBorders>
              <w:top w:val="nil"/>
              <w:left w:val="nil"/>
              <w:bottom w:val="single" w:sz="4" w:space="0" w:color="auto"/>
              <w:right w:val="single" w:sz="4" w:space="0" w:color="auto"/>
            </w:tcBorders>
            <w:vAlign w:val="center"/>
            <w:hideMark/>
          </w:tcPr>
          <w:p w14:paraId="58B52852"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1.09</w:t>
            </w:r>
          </w:p>
        </w:tc>
        <w:tc>
          <w:tcPr>
            <w:tcW w:w="0" w:type="auto"/>
            <w:tcBorders>
              <w:top w:val="nil"/>
              <w:left w:val="nil"/>
              <w:bottom w:val="single" w:sz="4" w:space="0" w:color="auto"/>
              <w:right w:val="single" w:sz="4" w:space="0" w:color="auto"/>
            </w:tcBorders>
            <w:vAlign w:val="center"/>
            <w:hideMark/>
          </w:tcPr>
          <w:p w14:paraId="38D8B00D"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0.95</w:t>
            </w:r>
          </w:p>
        </w:tc>
        <w:tc>
          <w:tcPr>
            <w:tcW w:w="0" w:type="auto"/>
            <w:tcBorders>
              <w:top w:val="nil"/>
              <w:left w:val="nil"/>
              <w:bottom w:val="single" w:sz="4" w:space="0" w:color="auto"/>
              <w:right w:val="single" w:sz="4" w:space="0" w:color="auto"/>
            </w:tcBorders>
            <w:vAlign w:val="center"/>
            <w:hideMark/>
          </w:tcPr>
          <w:p w14:paraId="6BE6A987"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1.28</w:t>
            </w:r>
          </w:p>
        </w:tc>
      </w:tr>
      <w:tr w:rsidR="009370AB" w:rsidRPr="009370AB" w14:paraId="19FA82A7" w14:textId="77777777" w:rsidTr="009370AB">
        <w:trPr>
          <w:trHeight w:val="276"/>
        </w:trPr>
        <w:tc>
          <w:tcPr>
            <w:tcW w:w="2797" w:type="dxa"/>
            <w:tcBorders>
              <w:top w:val="nil"/>
              <w:left w:val="single" w:sz="4" w:space="0" w:color="auto"/>
              <w:bottom w:val="single" w:sz="4" w:space="0" w:color="auto"/>
              <w:right w:val="single" w:sz="4" w:space="0" w:color="auto"/>
            </w:tcBorders>
            <w:vAlign w:val="center"/>
            <w:hideMark/>
          </w:tcPr>
          <w:p w14:paraId="7CC7D9B4" w14:textId="77777777"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CD at 5%</w:t>
            </w:r>
          </w:p>
        </w:tc>
        <w:tc>
          <w:tcPr>
            <w:tcW w:w="658" w:type="dxa"/>
            <w:tcBorders>
              <w:top w:val="nil"/>
              <w:left w:val="nil"/>
              <w:bottom w:val="single" w:sz="4" w:space="0" w:color="auto"/>
              <w:right w:val="single" w:sz="4" w:space="0" w:color="auto"/>
            </w:tcBorders>
            <w:vAlign w:val="center"/>
            <w:hideMark/>
          </w:tcPr>
          <w:p w14:paraId="19F7D6EA"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0.18</w:t>
            </w:r>
          </w:p>
        </w:tc>
        <w:tc>
          <w:tcPr>
            <w:tcW w:w="0" w:type="auto"/>
            <w:tcBorders>
              <w:top w:val="nil"/>
              <w:left w:val="nil"/>
              <w:bottom w:val="single" w:sz="4" w:space="0" w:color="auto"/>
              <w:right w:val="single" w:sz="4" w:space="0" w:color="auto"/>
            </w:tcBorders>
            <w:vAlign w:val="center"/>
            <w:hideMark/>
          </w:tcPr>
          <w:p w14:paraId="53FC80AF"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3.72</w:t>
            </w:r>
          </w:p>
        </w:tc>
        <w:tc>
          <w:tcPr>
            <w:tcW w:w="0" w:type="auto"/>
            <w:tcBorders>
              <w:top w:val="nil"/>
              <w:left w:val="nil"/>
              <w:bottom w:val="single" w:sz="4" w:space="0" w:color="auto"/>
              <w:right w:val="single" w:sz="4" w:space="0" w:color="auto"/>
            </w:tcBorders>
            <w:vAlign w:val="center"/>
            <w:hideMark/>
          </w:tcPr>
          <w:p w14:paraId="18E1A3D3"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6.56</w:t>
            </w:r>
          </w:p>
        </w:tc>
        <w:tc>
          <w:tcPr>
            <w:tcW w:w="1172" w:type="dxa"/>
            <w:tcBorders>
              <w:top w:val="nil"/>
              <w:left w:val="nil"/>
              <w:bottom w:val="single" w:sz="4" w:space="0" w:color="auto"/>
              <w:right w:val="single" w:sz="4" w:space="0" w:color="auto"/>
            </w:tcBorders>
            <w:vAlign w:val="center"/>
            <w:hideMark/>
          </w:tcPr>
          <w:p w14:paraId="23569EDC"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5.76</w:t>
            </w:r>
          </w:p>
        </w:tc>
        <w:tc>
          <w:tcPr>
            <w:tcW w:w="821" w:type="dxa"/>
            <w:tcBorders>
              <w:top w:val="nil"/>
              <w:left w:val="nil"/>
              <w:bottom w:val="single" w:sz="4" w:space="0" w:color="auto"/>
              <w:right w:val="single" w:sz="4" w:space="0" w:color="auto"/>
            </w:tcBorders>
            <w:vAlign w:val="center"/>
            <w:hideMark/>
          </w:tcPr>
          <w:p w14:paraId="4D192328"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3.22</w:t>
            </w:r>
          </w:p>
        </w:tc>
        <w:tc>
          <w:tcPr>
            <w:tcW w:w="0" w:type="auto"/>
            <w:tcBorders>
              <w:top w:val="nil"/>
              <w:left w:val="nil"/>
              <w:bottom w:val="single" w:sz="4" w:space="0" w:color="auto"/>
              <w:right w:val="single" w:sz="4" w:space="0" w:color="auto"/>
            </w:tcBorders>
            <w:vAlign w:val="center"/>
            <w:hideMark/>
          </w:tcPr>
          <w:p w14:paraId="58668913"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2.77</w:t>
            </w:r>
          </w:p>
        </w:tc>
        <w:tc>
          <w:tcPr>
            <w:tcW w:w="0" w:type="auto"/>
            <w:tcBorders>
              <w:top w:val="nil"/>
              <w:left w:val="nil"/>
              <w:bottom w:val="single" w:sz="4" w:space="0" w:color="auto"/>
              <w:right w:val="single" w:sz="4" w:space="0" w:color="auto"/>
            </w:tcBorders>
            <w:vAlign w:val="center"/>
            <w:hideMark/>
          </w:tcPr>
          <w:p w14:paraId="70A58C0B"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3.74</w:t>
            </w:r>
          </w:p>
        </w:tc>
      </w:tr>
    </w:tbl>
    <w:p w14:paraId="72A41B95" w14:textId="77777777" w:rsidR="00F7736E" w:rsidRDefault="00F7736E" w:rsidP="00F7736E">
      <w:pPr>
        <w:spacing w:before="120" w:after="120"/>
        <w:ind w:left="720" w:hanging="720"/>
        <w:jc w:val="cente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F7736E">
        <w:rPr>
          <w:rFonts w:ascii="Times New Roman" w:hAnsi="Times New Roman" w:cs="Times New Roman"/>
          <w:color w:val="000000"/>
          <w:sz w:val="24"/>
          <w:szCs w:val="24"/>
          <w:highlight w:val="yellow"/>
        </w:rPr>
        <w:t xml:space="preserve">DAS: Days after sowing; </w:t>
      </w:r>
      <w:proofErr w:type="spellStart"/>
      <w:r w:rsidRPr="00F7736E">
        <w:rPr>
          <w:rFonts w:ascii="Times New Roman" w:hAnsi="Times New Roman" w:cs="Times New Roman"/>
          <w:color w:val="000000"/>
          <w:sz w:val="24"/>
          <w:szCs w:val="24"/>
          <w:highlight w:val="yellow"/>
        </w:rPr>
        <w:t>mrl</w:t>
      </w:r>
      <w:proofErr w:type="spellEnd"/>
      <w:r w:rsidRPr="00F7736E">
        <w:rPr>
          <w:rFonts w:ascii="Times New Roman" w:hAnsi="Times New Roman" w:cs="Times New Roman"/>
          <w:color w:val="000000"/>
          <w:sz w:val="24"/>
          <w:szCs w:val="24"/>
          <w:highlight w:val="yellow"/>
        </w:rPr>
        <w:t>: Meter row length</w:t>
      </w:r>
    </w:p>
    <w:p w14:paraId="3A72EF80" w14:textId="1B68EDCF" w:rsidR="00F7736E" w:rsidRPr="00F7736E" w:rsidRDefault="00F7736E" w:rsidP="00F7736E">
      <w:pPr>
        <w:tabs>
          <w:tab w:val="left" w:pos="1510"/>
        </w:tabs>
        <w:rPr>
          <w:rFonts w:ascii="Times New Roman" w:hAnsi="Times New Roman" w:cs="Times New Roman"/>
          <w:sz w:val="24"/>
          <w:szCs w:val="24"/>
        </w:rPr>
        <w:sectPr w:rsidR="00F7736E" w:rsidRPr="00F7736E">
          <w:pgSz w:w="12240" w:h="15840"/>
          <w:pgMar w:top="1440" w:right="1440" w:bottom="1440" w:left="1440" w:header="720" w:footer="720" w:gutter="0"/>
          <w:cols w:space="720"/>
          <w:docGrid w:linePitch="360"/>
        </w:sectPr>
      </w:pPr>
    </w:p>
    <w:p w14:paraId="665AC921" w14:textId="017B94E1" w:rsidR="009370AB" w:rsidRDefault="009370AB" w:rsidP="009370AB">
      <w:pPr>
        <w:spacing w:before="120" w:after="120"/>
        <w:ind w:left="720" w:hanging="720"/>
        <w:rPr>
          <w:rFonts w:ascii="Times New Roman" w:hAnsi="Times New Roman" w:cs="Times New Roman"/>
          <w:sz w:val="24"/>
          <w:szCs w:val="24"/>
        </w:rPr>
      </w:pPr>
      <w:r w:rsidRPr="009225A7">
        <w:rPr>
          <w:rFonts w:ascii="Times New Roman" w:hAnsi="Times New Roman" w:cs="Times New Roman"/>
          <w:b/>
          <w:sz w:val="24"/>
          <w:szCs w:val="24"/>
          <w:highlight w:val="yellow"/>
        </w:rPr>
        <w:lastRenderedPageBreak/>
        <w:t>Table 3:</w:t>
      </w:r>
      <w:r w:rsidR="006411F5" w:rsidRPr="009225A7">
        <w:rPr>
          <w:rFonts w:ascii="Times New Roman" w:hAnsi="Times New Roman" w:cs="Times New Roman"/>
          <w:b/>
          <w:sz w:val="24"/>
          <w:szCs w:val="24"/>
          <w:highlight w:val="yellow"/>
        </w:rPr>
        <w:t xml:space="preserve"> </w:t>
      </w:r>
      <w:r w:rsidRPr="009225A7">
        <w:rPr>
          <w:rFonts w:ascii="Times New Roman" w:hAnsi="Times New Roman" w:cs="Times New Roman"/>
          <w:b/>
          <w:bCs/>
          <w:color w:val="000000" w:themeColor="text1"/>
          <w:sz w:val="24"/>
          <w:szCs w:val="24"/>
          <w:highlight w:val="yellow"/>
        </w:rPr>
        <w:t>Effect of fertility levels on phenological attributes of minor millets</w:t>
      </w:r>
    </w:p>
    <w:tbl>
      <w:tblPr>
        <w:tblW w:w="0" w:type="auto"/>
        <w:tblInd w:w="-10" w:type="dxa"/>
        <w:tblLook w:val="04A0" w:firstRow="1" w:lastRow="0" w:firstColumn="1" w:lastColumn="0" w:noHBand="0" w:noVBand="1"/>
      </w:tblPr>
      <w:tblGrid>
        <w:gridCol w:w="2484"/>
        <w:gridCol w:w="2458"/>
        <w:gridCol w:w="2270"/>
        <w:gridCol w:w="1805"/>
      </w:tblGrid>
      <w:tr w:rsidR="009370AB" w:rsidRPr="009370AB" w14:paraId="0C945B08" w14:textId="77777777" w:rsidTr="009370AB">
        <w:trPr>
          <w:trHeight w:val="300"/>
        </w:trPr>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43E2E9B4"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2"/>
              </w:rPr>
              <w:t>Treatment</w:t>
            </w:r>
          </w:p>
        </w:tc>
        <w:tc>
          <w:tcPr>
            <w:tcW w:w="0" w:type="auto"/>
            <w:gridSpan w:val="3"/>
            <w:tcBorders>
              <w:top w:val="single" w:sz="8" w:space="0" w:color="000000"/>
              <w:left w:val="nil"/>
              <w:bottom w:val="single" w:sz="8" w:space="0" w:color="000000"/>
              <w:right w:val="single" w:sz="8" w:space="0" w:color="000000"/>
            </w:tcBorders>
            <w:vAlign w:val="center"/>
            <w:hideMark/>
          </w:tcPr>
          <w:p w14:paraId="732C7BC0"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Phenological stages</w:t>
            </w:r>
          </w:p>
        </w:tc>
      </w:tr>
      <w:tr w:rsidR="009370AB" w:rsidRPr="009370AB" w14:paraId="26F1D4A3" w14:textId="77777777" w:rsidTr="009370AB">
        <w:trPr>
          <w:trHeight w:val="3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274F323" w14:textId="77777777" w:rsidR="009370AB" w:rsidRPr="009370AB" w:rsidRDefault="009370AB" w:rsidP="009370AB">
            <w:pPr>
              <w:spacing w:line="240" w:lineRule="auto"/>
              <w:jc w:val="left"/>
              <w:rPr>
                <w:rFonts w:ascii="Times New Roman" w:eastAsia="Times New Roman" w:hAnsi="Times New Roman" w:cs="Times New Roman"/>
                <w:b/>
                <w:bCs/>
                <w:color w:val="000000"/>
              </w:rPr>
            </w:pPr>
          </w:p>
        </w:tc>
        <w:tc>
          <w:tcPr>
            <w:tcW w:w="0" w:type="auto"/>
            <w:tcBorders>
              <w:top w:val="nil"/>
              <w:left w:val="nil"/>
              <w:bottom w:val="single" w:sz="8" w:space="0" w:color="000000"/>
              <w:right w:val="single" w:sz="8" w:space="0" w:color="000000"/>
            </w:tcBorders>
            <w:vAlign w:val="center"/>
            <w:hideMark/>
          </w:tcPr>
          <w:p w14:paraId="4BA04627"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Days to crop emergence</w:t>
            </w:r>
          </w:p>
        </w:tc>
        <w:tc>
          <w:tcPr>
            <w:tcW w:w="0" w:type="auto"/>
            <w:tcBorders>
              <w:top w:val="nil"/>
              <w:left w:val="nil"/>
              <w:bottom w:val="single" w:sz="8" w:space="0" w:color="000000"/>
              <w:right w:val="single" w:sz="8" w:space="0" w:color="000000"/>
            </w:tcBorders>
            <w:vAlign w:val="center"/>
            <w:hideMark/>
          </w:tcPr>
          <w:p w14:paraId="5EB02819"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Days to 50 % heading</w:t>
            </w:r>
          </w:p>
        </w:tc>
        <w:tc>
          <w:tcPr>
            <w:tcW w:w="0" w:type="auto"/>
            <w:tcBorders>
              <w:top w:val="nil"/>
              <w:left w:val="nil"/>
              <w:bottom w:val="single" w:sz="8" w:space="0" w:color="000000"/>
              <w:right w:val="single" w:sz="8" w:space="0" w:color="000000"/>
            </w:tcBorders>
            <w:vAlign w:val="center"/>
            <w:hideMark/>
          </w:tcPr>
          <w:p w14:paraId="26FF306F"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Days to maturity</w:t>
            </w:r>
          </w:p>
        </w:tc>
      </w:tr>
      <w:tr w:rsidR="009370AB" w:rsidRPr="009370AB" w14:paraId="481A1A2F" w14:textId="77777777" w:rsidTr="009370AB">
        <w:trPr>
          <w:trHeight w:val="300"/>
        </w:trPr>
        <w:tc>
          <w:tcPr>
            <w:tcW w:w="0" w:type="auto"/>
            <w:gridSpan w:val="4"/>
            <w:tcBorders>
              <w:top w:val="single" w:sz="8" w:space="0" w:color="000000"/>
              <w:left w:val="single" w:sz="8" w:space="0" w:color="000000"/>
              <w:bottom w:val="single" w:sz="8" w:space="0" w:color="000000"/>
              <w:right w:val="single" w:sz="8" w:space="0" w:color="000000"/>
            </w:tcBorders>
            <w:vAlign w:val="center"/>
            <w:hideMark/>
          </w:tcPr>
          <w:p w14:paraId="2677418A" w14:textId="77777777"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Minor millets</w:t>
            </w:r>
          </w:p>
        </w:tc>
      </w:tr>
      <w:tr w:rsidR="009370AB" w:rsidRPr="009370AB" w14:paraId="716F6912" w14:textId="77777777" w:rsidTr="009370AB">
        <w:trPr>
          <w:trHeight w:val="300"/>
        </w:trPr>
        <w:tc>
          <w:tcPr>
            <w:tcW w:w="0" w:type="auto"/>
            <w:tcBorders>
              <w:top w:val="nil"/>
              <w:left w:val="single" w:sz="8" w:space="0" w:color="000000"/>
              <w:bottom w:val="single" w:sz="8" w:space="0" w:color="000000"/>
              <w:right w:val="single" w:sz="8" w:space="0" w:color="000000"/>
            </w:tcBorders>
            <w:vAlign w:val="center"/>
            <w:hideMark/>
          </w:tcPr>
          <w:p w14:paraId="2C6B48C1"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Foxtail millet (SIA 3156)</w:t>
            </w:r>
          </w:p>
        </w:tc>
        <w:tc>
          <w:tcPr>
            <w:tcW w:w="0" w:type="auto"/>
            <w:tcBorders>
              <w:top w:val="nil"/>
              <w:left w:val="nil"/>
              <w:bottom w:val="single" w:sz="8" w:space="0" w:color="000000"/>
              <w:right w:val="single" w:sz="8" w:space="0" w:color="000000"/>
            </w:tcBorders>
            <w:vAlign w:val="center"/>
            <w:hideMark/>
          </w:tcPr>
          <w:p w14:paraId="2AD2D920"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4.83</w:t>
            </w:r>
          </w:p>
        </w:tc>
        <w:tc>
          <w:tcPr>
            <w:tcW w:w="0" w:type="auto"/>
            <w:tcBorders>
              <w:top w:val="nil"/>
              <w:left w:val="nil"/>
              <w:bottom w:val="single" w:sz="8" w:space="0" w:color="000000"/>
              <w:right w:val="single" w:sz="8" w:space="0" w:color="000000"/>
            </w:tcBorders>
            <w:vAlign w:val="center"/>
            <w:hideMark/>
          </w:tcPr>
          <w:p w14:paraId="75E05F43" w14:textId="03B1800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51.5</w:t>
            </w:r>
            <w:r w:rsidR="004B69D4">
              <w:rPr>
                <w:rFonts w:ascii="Times New Roman" w:eastAsia="Times New Roman" w:hAnsi="Times New Roman" w:cs="Times New Roman"/>
                <w:color w:val="000000"/>
                <w:spacing w:val="-2"/>
              </w:rPr>
              <w:t>0</w:t>
            </w:r>
          </w:p>
        </w:tc>
        <w:tc>
          <w:tcPr>
            <w:tcW w:w="0" w:type="auto"/>
            <w:tcBorders>
              <w:top w:val="nil"/>
              <w:left w:val="nil"/>
              <w:bottom w:val="single" w:sz="8" w:space="0" w:color="000000"/>
              <w:right w:val="single" w:sz="8" w:space="0" w:color="000000"/>
            </w:tcBorders>
            <w:vAlign w:val="center"/>
            <w:hideMark/>
          </w:tcPr>
          <w:p w14:paraId="3BB387D9"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84.83</w:t>
            </w:r>
          </w:p>
        </w:tc>
      </w:tr>
      <w:tr w:rsidR="009370AB" w:rsidRPr="009370AB" w14:paraId="7569A264" w14:textId="77777777" w:rsidTr="009370AB">
        <w:trPr>
          <w:trHeight w:val="300"/>
        </w:trPr>
        <w:tc>
          <w:tcPr>
            <w:tcW w:w="0" w:type="auto"/>
            <w:tcBorders>
              <w:top w:val="nil"/>
              <w:left w:val="single" w:sz="8" w:space="0" w:color="000000"/>
              <w:bottom w:val="single" w:sz="8" w:space="0" w:color="000000"/>
              <w:right w:val="single" w:sz="8" w:space="0" w:color="000000"/>
            </w:tcBorders>
            <w:vAlign w:val="center"/>
            <w:hideMark/>
          </w:tcPr>
          <w:p w14:paraId="5A1EBE31" w14:textId="2B749039"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Barnyard millet (</w:t>
            </w:r>
            <w:r w:rsidRPr="00751176">
              <w:rPr>
                <w:rFonts w:ascii="Times New Roman" w:eastAsia="Times New Roman" w:hAnsi="Times New Roman" w:cs="Times New Roman"/>
                <w:color w:val="000000"/>
                <w:highlight w:val="yellow"/>
              </w:rPr>
              <w:t>V</w:t>
            </w:r>
            <w:r w:rsidR="00317FBA" w:rsidRPr="00751176">
              <w:rPr>
                <w:rFonts w:ascii="Times New Roman" w:eastAsia="Times New Roman" w:hAnsi="Times New Roman" w:cs="Times New Roman"/>
                <w:color w:val="000000"/>
                <w:highlight w:val="yellow"/>
              </w:rPr>
              <w:t>L</w:t>
            </w:r>
            <w:r w:rsidRPr="00751176">
              <w:rPr>
                <w:rFonts w:ascii="Times New Roman" w:eastAsia="Times New Roman" w:hAnsi="Times New Roman" w:cs="Times New Roman"/>
                <w:color w:val="000000"/>
                <w:highlight w:val="yellow"/>
              </w:rPr>
              <w:t xml:space="preserve"> 207</w:t>
            </w:r>
            <w:r w:rsidRPr="009370AB">
              <w:rPr>
                <w:rFonts w:ascii="Times New Roman" w:eastAsia="Times New Roman" w:hAnsi="Times New Roman" w:cs="Times New Roman"/>
                <w:color w:val="000000"/>
              </w:rPr>
              <w:t>)</w:t>
            </w:r>
          </w:p>
        </w:tc>
        <w:tc>
          <w:tcPr>
            <w:tcW w:w="0" w:type="auto"/>
            <w:tcBorders>
              <w:top w:val="nil"/>
              <w:left w:val="nil"/>
              <w:bottom w:val="single" w:sz="8" w:space="0" w:color="000000"/>
              <w:right w:val="single" w:sz="8" w:space="0" w:color="000000"/>
            </w:tcBorders>
            <w:vAlign w:val="center"/>
            <w:hideMark/>
          </w:tcPr>
          <w:p w14:paraId="687331F1"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5.17</w:t>
            </w:r>
            <w:bookmarkStart w:id="2" w:name="_GoBack"/>
            <w:bookmarkEnd w:id="2"/>
          </w:p>
        </w:tc>
        <w:tc>
          <w:tcPr>
            <w:tcW w:w="0" w:type="auto"/>
            <w:tcBorders>
              <w:top w:val="nil"/>
              <w:left w:val="nil"/>
              <w:bottom w:val="single" w:sz="8" w:space="0" w:color="000000"/>
              <w:right w:val="single" w:sz="8" w:space="0" w:color="000000"/>
            </w:tcBorders>
            <w:vAlign w:val="center"/>
            <w:hideMark/>
          </w:tcPr>
          <w:p w14:paraId="264FEA15"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54.92</w:t>
            </w:r>
          </w:p>
        </w:tc>
        <w:tc>
          <w:tcPr>
            <w:tcW w:w="0" w:type="auto"/>
            <w:tcBorders>
              <w:top w:val="nil"/>
              <w:left w:val="nil"/>
              <w:bottom w:val="single" w:sz="8" w:space="0" w:color="000000"/>
              <w:right w:val="single" w:sz="8" w:space="0" w:color="000000"/>
            </w:tcBorders>
            <w:vAlign w:val="center"/>
            <w:hideMark/>
          </w:tcPr>
          <w:p w14:paraId="62D3E0F2"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86.26</w:t>
            </w:r>
          </w:p>
        </w:tc>
      </w:tr>
      <w:tr w:rsidR="009370AB" w:rsidRPr="009370AB" w14:paraId="3F75A406" w14:textId="77777777" w:rsidTr="009370AB">
        <w:trPr>
          <w:trHeight w:val="300"/>
        </w:trPr>
        <w:tc>
          <w:tcPr>
            <w:tcW w:w="0" w:type="auto"/>
            <w:tcBorders>
              <w:top w:val="nil"/>
              <w:left w:val="single" w:sz="8" w:space="0" w:color="000000"/>
              <w:bottom w:val="single" w:sz="8" w:space="0" w:color="000000"/>
              <w:right w:val="single" w:sz="8" w:space="0" w:color="000000"/>
            </w:tcBorders>
            <w:vAlign w:val="center"/>
            <w:hideMark/>
          </w:tcPr>
          <w:p w14:paraId="7087C78B"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Proso millet (TNAU 202)</w:t>
            </w:r>
          </w:p>
        </w:tc>
        <w:tc>
          <w:tcPr>
            <w:tcW w:w="0" w:type="auto"/>
            <w:tcBorders>
              <w:top w:val="nil"/>
              <w:left w:val="nil"/>
              <w:bottom w:val="single" w:sz="8" w:space="0" w:color="000000"/>
              <w:right w:val="single" w:sz="8" w:space="0" w:color="000000"/>
            </w:tcBorders>
            <w:vAlign w:val="center"/>
            <w:hideMark/>
          </w:tcPr>
          <w:p w14:paraId="23FF0B05"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3.17</w:t>
            </w:r>
          </w:p>
        </w:tc>
        <w:tc>
          <w:tcPr>
            <w:tcW w:w="0" w:type="auto"/>
            <w:tcBorders>
              <w:top w:val="nil"/>
              <w:left w:val="nil"/>
              <w:bottom w:val="single" w:sz="8" w:space="0" w:color="000000"/>
              <w:right w:val="single" w:sz="8" w:space="0" w:color="000000"/>
            </w:tcBorders>
            <w:vAlign w:val="center"/>
            <w:hideMark/>
          </w:tcPr>
          <w:p w14:paraId="0A568B79"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41.75</w:t>
            </w:r>
          </w:p>
        </w:tc>
        <w:tc>
          <w:tcPr>
            <w:tcW w:w="0" w:type="auto"/>
            <w:tcBorders>
              <w:top w:val="nil"/>
              <w:left w:val="nil"/>
              <w:bottom w:val="single" w:sz="8" w:space="0" w:color="000000"/>
              <w:right w:val="single" w:sz="8" w:space="0" w:color="000000"/>
            </w:tcBorders>
            <w:vAlign w:val="center"/>
            <w:hideMark/>
          </w:tcPr>
          <w:p w14:paraId="35314D77"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69.17</w:t>
            </w:r>
          </w:p>
        </w:tc>
      </w:tr>
      <w:tr w:rsidR="009370AB" w:rsidRPr="009370AB" w14:paraId="0D5FBFBA" w14:textId="77777777" w:rsidTr="009370AB">
        <w:trPr>
          <w:trHeight w:val="300"/>
        </w:trPr>
        <w:tc>
          <w:tcPr>
            <w:tcW w:w="0" w:type="auto"/>
            <w:tcBorders>
              <w:top w:val="nil"/>
              <w:left w:val="single" w:sz="8" w:space="0" w:color="000000"/>
              <w:bottom w:val="single" w:sz="8" w:space="0" w:color="000000"/>
              <w:right w:val="single" w:sz="8" w:space="0" w:color="000000"/>
            </w:tcBorders>
            <w:vAlign w:val="center"/>
            <w:hideMark/>
          </w:tcPr>
          <w:p w14:paraId="1F225332"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Finger millet (GPU 67)</w:t>
            </w:r>
          </w:p>
        </w:tc>
        <w:tc>
          <w:tcPr>
            <w:tcW w:w="0" w:type="auto"/>
            <w:tcBorders>
              <w:top w:val="nil"/>
              <w:left w:val="nil"/>
              <w:bottom w:val="single" w:sz="8" w:space="0" w:color="000000"/>
              <w:right w:val="single" w:sz="8" w:space="0" w:color="000000"/>
            </w:tcBorders>
            <w:vAlign w:val="center"/>
            <w:hideMark/>
          </w:tcPr>
          <w:p w14:paraId="02DE76EA"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6.92</w:t>
            </w:r>
          </w:p>
        </w:tc>
        <w:tc>
          <w:tcPr>
            <w:tcW w:w="0" w:type="auto"/>
            <w:tcBorders>
              <w:top w:val="nil"/>
              <w:left w:val="nil"/>
              <w:bottom w:val="single" w:sz="8" w:space="0" w:color="000000"/>
              <w:right w:val="single" w:sz="8" w:space="0" w:color="000000"/>
            </w:tcBorders>
            <w:vAlign w:val="center"/>
            <w:hideMark/>
          </w:tcPr>
          <w:p w14:paraId="2B84A901"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86.92</w:t>
            </w:r>
          </w:p>
        </w:tc>
        <w:tc>
          <w:tcPr>
            <w:tcW w:w="0" w:type="auto"/>
            <w:tcBorders>
              <w:top w:val="nil"/>
              <w:left w:val="nil"/>
              <w:bottom w:val="single" w:sz="8" w:space="0" w:color="000000"/>
              <w:right w:val="single" w:sz="8" w:space="0" w:color="000000"/>
            </w:tcBorders>
            <w:vAlign w:val="center"/>
            <w:hideMark/>
          </w:tcPr>
          <w:p w14:paraId="1B545579" w14:textId="06D65EE6"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126</w:t>
            </w:r>
            <w:r w:rsidR="004B69D4">
              <w:rPr>
                <w:rFonts w:ascii="Times New Roman" w:eastAsia="Times New Roman" w:hAnsi="Times New Roman" w:cs="Times New Roman"/>
                <w:color w:val="000000"/>
                <w:spacing w:val="-2"/>
              </w:rPr>
              <w:t>.00</w:t>
            </w:r>
          </w:p>
        </w:tc>
      </w:tr>
      <w:tr w:rsidR="009370AB" w:rsidRPr="009370AB" w14:paraId="48EBC62A" w14:textId="77777777" w:rsidTr="009370AB">
        <w:trPr>
          <w:trHeight w:val="300"/>
        </w:trPr>
        <w:tc>
          <w:tcPr>
            <w:tcW w:w="0" w:type="auto"/>
            <w:tcBorders>
              <w:top w:val="nil"/>
              <w:left w:val="single" w:sz="8" w:space="0" w:color="000000"/>
              <w:bottom w:val="single" w:sz="8" w:space="0" w:color="000000"/>
              <w:right w:val="single" w:sz="8" w:space="0" w:color="000000"/>
            </w:tcBorders>
            <w:vAlign w:val="center"/>
            <w:hideMark/>
          </w:tcPr>
          <w:p w14:paraId="2D4B01F6"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SE(m) ±</w:t>
            </w:r>
          </w:p>
        </w:tc>
        <w:tc>
          <w:tcPr>
            <w:tcW w:w="0" w:type="auto"/>
            <w:tcBorders>
              <w:top w:val="nil"/>
              <w:left w:val="nil"/>
              <w:bottom w:val="single" w:sz="8" w:space="0" w:color="000000"/>
              <w:right w:val="single" w:sz="8" w:space="0" w:color="000000"/>
            </w:tcBorders>
            <w:vAlign w:val="center"/>
            <w:hideMark/>
          </w:tcPr>
          <w:p w14:paraId="31970778"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0.22</w:t>
            </w:r>
          </w:p>
        </w:tc>
        <w:tc>
          <w:tcPr>
            <w:tcW w:w="0" w:type="auto"/>
            <w:tcBorders>
              <w:top w:val="nil"/>
              <w:left w:val="nil"/>
              <w:bottom w:val="single" w:sz="8" w:space="0" w:color="000000"/>
              <w:right w:val="single" w:sz="8" w:space="0" w:color="000000"/>
            </w:tcBorders>
            <w:vAlign w:val="center"/>
            <w:hideMark/>
          </w:tcPr>
          <w:p w14:paraId="0A065CEA"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0.42</w:t>
            </w:r>
          </w:p>
        </w:tc>
        <w:tc>
          <w:tcPr>
            <w:tcW w:w="0" w:type="auto"/>
            <w:tcBorders>
              <w:top w:val="nil"/>
              <w:left w:val="nil"/>
              <w:bottom w:val="single" w:sz="8" w:space="0" w:color="000000"/>
              <w:right w:val="single" w:sz="8" w:space="0" w:color="000000"/>
            </w:tcBorders>
            <w:vAlign w:val="center"/>
            <w:hideMark/>
          </w:tcPr>
          <w:p w14:paraId="31273A13"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0.77</w:t>
            </w:r>
          </w:p>
        </w:tc>
      </w:tr>
      <w:tr w:rsidR="009370AB" w:rsidRPr="009370AB" w14:paraId="5AD79820" w14:textId="77777777" w:rsidTr="009370AB">
        <w:trPr>
          <w:trHeight w:val="300"/>
        </w:trPr>
        <w:tc>
          <w:tcPr>
            <w:tcW w:w="0" w:type="auto"/>
            <w:tcBorders>
              <w:top w:val="nil"/>
              <w:left w:val="single" w:sz="8" w:space="0" w:color="000000"/>
              <w:bottom w:val="single" w:sz="8" w:space="0" w:color="000000"/>
              <w:right w:val="single" w:sz="8" w:space="0" w:color="000000"/>
            </w:tcBorders>
            <w:vAlign w:val="center"/>
            <w:hideMark/>
          </w:tcPr>
          <w:p w14:paraId="181E1C3E" w14:textId="77777777"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CD at 5%</w:t>
            </w:r>
          </w:p>
        </w:tc>
        <w:tc>
          <w:tcPr>
            <w:tcW w:w="0" w:type="auto"/>
            <w:tcBorders>
              <w:top w:val="nil"/>
              <w:left w:val="nil"/>
              <w:bottom w:val="single" w:sz="8" w:space="0" w:color="000000"/>
              <w:right w:val="single" w:sz="8" w:space="0" w:color="000000"/>
            </w:tcBorders>
            <w:vAlign w:val="center"/>
            <w:hideMark/>
          </w:tcPr>
          <w:p w14:paraId="562E27FA"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0.79</w:t>
            </w:r>
          </w:p>
        </w:tc>
        <w:tc>
          <w:tcPr>
            <w:tcW w:w="0" w:type="auto"/>
            <w:tcBorders>
              <w:top w:val="nil"/>
              <w:left w:val="nil"/>
              <w:bottom w:val="single" w:sz="8" w:space="0" w:color="000000"/>
              <w:right w:val="single" w:sz="8" w:space="0" w:color="000000"/>
            </w:tcBorders>
            <w:vAlign w:val="center"/>
            <w:hideMark/>
          </w:tcPr>
          <w:p w14:paraId="43C0772A"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1.48</w:t>
            </w:r>
          </w:p>
        </w:tc>
        <w:tc>
          <w:tcPr>
            <w:tcW w:w="0" w:type="auto"/>
            <w:tcBorders>
              <w:top w:val="nil"/>
              <w:left w:val="nil"/>
              <w:bottom w:val="single" w:sz="8" w:space="0" w:color="000000"/>
              <w:right w:val="single" w:sz="8" w:space="0" w:color="000000"/>
            </w:tcBorders>
            <w:vAlign w:val="center"/>
            <w:hideMark/>
          </w:tcPr>
          <w:p w14:paraId="49A85BD3"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2.72</w:t>
            </w:r>
          </w:p>
        </w:tc>
      </w:tr>
      <w:tr w:rsidR="009370AB" w:rsidRPr="009370AB" w14:paraId="7627C887" w14:textId="77777777" w:rsidTr="009370AB">
        <w:trPr>
          <w:trHeight w:val="336"/>
        </w:trPr>
        <w:tc>
          <w:tcPr>
            <w:tcW w:w="0" w:type="auto"/>
            <w:gridSpan w:val="4"/>
            <w:tcBorders>
              <w:top w:val="single" w:sz="8" w:space="0" w:color="000000"/>
              <w:left w:val="single" w:sz="8" w:space="0" w:color="000000"/>
              <w:bottom w:val="single" w:sz="8" w:space="0" w:color="000000"/>
              <w:right w:val="single" w:sz="8" w:space="0" w:color="000000"/>
            </w:tcBorders>
            <w:vAlign w:val="center"/>
            <w:hideMark/>
          </w:tcPr>
          <w:p w14:paraId="1BF3E1BD" w14:textId="77777777"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Fertility levels (kg ha</w:t>
            </w:r>
            <w:r w:rsidRPr="009370AB">
              <w:rPr>
                <w:rFonts w:ascii="Times New Roman" w:eastAsia="Times New Roman" w:hAnsi="Times New Roman" w:cs="Times New Roman"/>
                <w:b/>
                <w:bCs/>
                <w:color w:val="000000"/>
                <w:vertAlign w:val="superscript"/>
              </w:rPr>
              <w:t>-1</w:t>
            </w:r>
            <w:r w:rsidRPr="009370AB">
              <w:rPr>
                <w:rFonts w:ascii="Times New Roman" w:eastAsia="Times New Roman" w:hAnsi="Times New Roman" w:cs="Times New Roman"/>
                <w:b/>
                <w:bCs/>
                <w:color w:val="000000"/>
              </w:rPr>
              <w:t>)</w:t>
            </w:r>
          </w:p>
        </w:tc>
      </w:tr>
      <w:tr w:rsidR="009370AB" w:rsidRPr="009370AB" w14:paraId="49E52BF7" w14:textId="77777777" w:rsidTr="009370AB">
        <w:trPr>
          <w:trHeight w:val="300"/>
        </w:trPr>
        <w:tc>
          <w:tcPr>
            <w:tcW w:w="0" w:type="auto"/>
            <w:tcBorders>
              <w:top w:val="nil"/>
              <w:left w:val="single" w:sz="8" w:space="0" w:color="000000"/>
              <w:bottom w:val="single" w:sz="8" w:space="0" w:color="000000"/>
              <w:right w:val="single" w:sz="8" w:space="0" w:color="000000"/>
            </w:tcBorders>
            <w:vAlign w:val="center"/>
            <w:hideMark/>
          </w:tcPr>
          <w:p w14:paraId="6F44DE13"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position w:val="2"/>
              </w:rPr>
              <w:t>T</w:t>
            </w:r>
            <w:r w:rsidRPr="009370AB">
              <w:rPr>
                <w:rFonts w:ascii="Times New Roman" w:eastAsia="Times New Roman" w:hAnsi="Times New Roman" w:cs="Times New Roman"/>
                <w:color w:val="000000"/>
                <w:position w:val="2"/>
                <w:sz w:val="14"/>
                <w:szCs w:val="14"/>
              </w:rPr>
              <w:t xml:space="preserve">1 </w:t>
            </w:r>
            <w:r w:rsidRPr="009370AB">
              <w:rPr>
                <w:rFonts w:ascii="Times New Roman" w:eastAsia="Times New Roman" w:hAnsi="Times New Roman" w:cs="Times New Roman"/>
                <w:color w:val="000000"/>
                <w:position w:val="2"/>
              </w:rPr>
              <w:t>- Control</w:t>
            </w:r>
          </w:p>
        </w:tc>
        <w:tc>
          <w:tcPr>
            <w:tcW w:w="0" w:type="auto"/>
            <w:tcBorders>
              <w:top w:val="nil"/>
              <w:left w:val="nil"/>
              <w:bottom w:val="single" w:sz="8" w:space="0" w:color="000000"/>
              <w:right w:val="single" w:sz="8" w:space="0" w:color="000000"/>
            </w:tcBorders>
            <w:vAlign w:val="center"/>
            <w:hideMark/>
          </w:tcPr>
          <w:p w14:paraId="400862A2" w14:textId="2E90CA66"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4.5</w:t>
            </w:r>
            <w:r w:rsidR="004B69D4">
              <w:rPr>
                <w:rFonts w:ascii="Times New Roman" w:eastAsia="Times New Roman" w:hAnsi="Times New Roman" w:cs="Times New Roman"/>
                <w:color w:val="000000"/>
                <w:spacing w:val="-4"/>
              </w:rPr>
              <w:t>0</w:t>
            </w:r>
          </w:p>
        </w:tc>
        <w:tc>
          <w:tcPr>
            <w:tcW w:w="0" w:type="auto"/>
            <w:tcBorders>
              <w:top w:val="nil"/>
              <w:left w:val="nil"/>
              <w:bottom w:val="single" w:sz="8" w:space="0" w:color="000000"/>
              <w:right w:val="single" w:sz="8" w:space="0" w:color="000000"/>
            </w:tcBorders>
            <w:vAlign w:val="center"/>
            <w:hideMark/>
          </w:tcPr>
          <w:p w14:paraId="1CBCB1B4"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56.58</w:t>
            </w:r>
          </w:p>
        </w:tc>
        <w:tc>
          <w:tcPr>
            <w:tcW w:w="0" w:type="auto"/>
            <w:tcBorders>
              <w:top w:val="nil"/>
              <w:left w:val="nil"/>
              <w:bottom w:val="single" w:sz="8" w:space="0" w:color="000000"/>
              <w:right w:val="single" w:sz="8" w:space="0" w:color="000000"/>
            </w:tcBorders>
            <w:vAlign w:val="center"/>
            <w:hideMark/>
          </w:tcPr>
          <w:p w14:paraId="0DF9F97F"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86.08</w:t>
            </w:r>
          </w:p>
        </w:tc>
      </w:tr>
      <w:tr w:rsidR="009370AB" w:rsidRPr="009370AB" w14:paraId="63757831" w14:textId="77777777" w:rsidTr="009370AB">
        <w:trPr>
          <w:trHeight w:val="300"/>
        </w:trPr>
        <w:tc>
          <w:tcPr>
            <w:tcW w:w="0" w:type="auto"/>
            <w:tcBorders>
              <w:top w:val="nil"/>
              <w:left w:val="single" w:sz="8" w:space="0" w:color="000000"/>
              <w:bottom w:val="single" w:sz="8" w:space="0" w:color="000000"/>
              <w:right w:val="single" w:sz="8" w:space="0" w:color="000000"/>
            </w:tcBorders>
            <w:vAlign w:val="center"/>
            <w:hideMark/>
          </w:tcPr>
          <w:p w14:paraId="77D490B9"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position w:val="2"/>
              </w:rPr>
              <w:t>T</w:t>
            </w:r>
            <w:r w:rsidRPr="009370AB">
              <w:rPr>
                <w:rFonts w:ascii="Times New Roman" w:eastAsia="Times New Roman" w:hAnsi="Times New Roman" w:cs="Times New Roman"/>
                <w:color w:val="000000"/>
                <w:position w:val="2"/>
                <w:sz w:val="14"/>
                <w:szCs w:val="14"/>
              </w:rPr>
              <w:t xml:space="preserve">2 </w:t>
            </w:r>
            <w:r w:rsidRPr="009370AB">
              <w:rPr>
                <w:rFonts w:ascii="Times New Roman" w:eastAsia="Times New Roman" w:hAnsi="Times New Roman" w:cs="Times New Roman"/>
                <w:color w:val="000000"/>
                <w:position w:val="2"/>
              </w:rPr>
              <w:t>- N</w:t>
            </w:r>
            <w:r w:rsidRPr="009370AB">
              <w:rPr>
                <w:rFonts w:ascii="Times New Roman" w:eastAsia="Times New Roman" w:hAnsi="Times New Roman" w:cs="Times New Roman"/>
                <w:color w:val="000000"/>
                <w:position w:val="2"/>
                <w:sz w:val="14"/>
                <w:szCs w:val="14"/>
              </w:rPr>
              <w:t>20</w:t>
            </w:r>
            <w:r w:rsidRPr="009370AB">
              <w:rPr>
                <w:rFonts w:ascii="Times New Roman" w:eastAsia="Times New Roman" w:hAnsi="Times New Roman" w:cs="Times New Roman"/>
                <w:color w:val="000000"/>
                <w:position w:val="2"/>
              </w:rPr>
              <w:t>P</w:t>
            </w:r>
            <w:r w:rsidRPr="009370AB">
              <w:rPr>
                <w:rFonts w:ascii="Times New Roman" w:eastAsia="Times New Roman" w:hAnsi="Times New Roman" w:cs="Times New Roman"/>
                <w:color w:val="000000"/>
                <w:position w:val="2"/>
                <w:sz w:val="14"/>
                <w:szCs w:val="14"/>
              </w:rPr>
              <w:t>10</w:t>
            </w:r>
          </w:p>
        </w:tc>
        <w:tc>
          <w:tcPr>
            <w:tcW w:w="0" w:type="auto"/>
            <w:tcBorders>
              <w:top w:val="nil"/>
              <w:left w:val="nil"/>
              <w:bottom w:val="single" w:sz="8" w:space="0" w:color="000000"/>
              <w:right w:val="single" w:sz="8" w:space="0" w:color="000000"/>
            </w:tcBorders>
            <w:vAlign w:val="center"/>
            <w:hideMark/>
          </w:tcPr>
          <w:p w14:paraId="30C0FBEC"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4.83</w:t>
            </w:r>
          </w:p>
        </w:tc>
        <w:tc>
          <w:tcPr>
            <w:tcW w:w="0" w:type="auto"/>
            <w:tcBorders>
              <w:top w:val="nil"/>
              <w:left w:val="nil"/>
              <w:bottom w:val="single" w:sz="8" w:space="0" w:color="000000"/>
              <w:right w:val="single" w:sz="8" w:space="0" w:color="000000"/>
            </w:tcBorders>
            <w:vAlign w:val="center"/>
            <w:hideMark/>
          </w:tcPr>
          <w:p w14:paraId="768D6A2B"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58.42</w:t>
            </w:r>
          </w:p>
        </w:tc>
        <w:tc>
          <w:tcPr>
            <w:tcW w:w="0" w:type="auto"/>
            <w:tcBorders>
              <w:top w:val="nil"/>
              <w:left w:val="nil"/>
              <w:bottom w:val="single" w:sz="8" w:space="0" w:color="000000"/>
              <w:right w:val="single" w:sz="8" w:space="0" w:color="000000"/>
            </w:tcBorders>
            <w:vAlign w:val="center"/>
            <w:hideMark/>
          </w:tcPr>
          <w:p w14:paraId="2A2EE0DE"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90.08</w:t>
            </w:r>
          </w:p>
        </w:tc>
      </w:tr>
      <w:tr w:rsidR="009370AB" w:rsidRPr="009370AB" w14:paraId="2E6DE696" w14:textId="77777777" w:rsidTr="009370AB">
        <w:trPr>
          <w:trHeight w:val="300"/>
        </w:trPr>
        <w:tc>
          <w:tcPr>
            <w:tcW w:w="0" w:type="auto"/>
            <w:tcBorders>
              <w:top w:val="nil"/>
              <w:left w:val="single" w:sz="8" w:space="0" w:color="000000"/>
              <w:bottom w:val="single" w:sz="8" w:space="0" w:color="000000"/>
              <w:right w:val="single" w:sz="8" w:space="0" w:color="000000"/>
            </w:tcBorders>
            <w:vAlign w:val="center"/>
            <w:hideMark/>
          </w:tcPr>
          <w:p w14:paraId="2C90DDF2"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position w:val="2"/>
              </w:rPr>
              <w:t>T</w:t>
            </w:r>
            <w:r w:rsidRPr="009370AB">
              <w:rPr>
                <w:rFonts w:ascii="Times New Roman" w:eastAsia="Times New Roman" w:hAnsi="Times New Roman" w:cs="Times New Roman"/>
                <w:color w:val="000000"/>
                <w:position w:val="2"/>
                <w:sz w:val="14"/>
                <w:szCs w:val="14"/>
              </w:rPr>
              <w:t xml:space="preserve">3 </w:t>
            </w:r>
            <w:r w:rsidRPr="009370AB">
              <w:rPr>
                <w:rFonts w:ascii="Times New Roman" w:eastAsia="Times New Roman" w:hAnsi="Times New Roman" w:cs="Times New Roman"/>
                <w:color w:val="000000"/>
                <w:position w:val="2"/>
              </w:rPr>
              <w:t>- N</w:t>
            </w:r>
            <w:r w:rsidRPr="009370AB">
              <w:rPr>
                <w:rFonts w:ascii="Times New Roman" w:eastAsia="Times New Roman" w:hAnsi="Times New Roman" w:cs="Times New Roman"/>
                <w:color w:val="000000"/>
                <w:position w:val="2"/>
                <w:sz w:val="14"/>
                <w:szCs w:val="14"/>
              </w:rPr>
              <w:t>40</w:t>
            </w:r>
            <w:r w:rsidRPr="009370AB">
              <w:rPr>
                <w:rFonts w:ascii="Times New Roman" w:eastAsia="Times New Roman" w:hAnsi="Times New Roman" w:cs="Times New Roman"/>
                <w:color w:val="000000"/>
                <w:position w:val="2"/>
              </w:rPr>
              <w:t>P</w:t>
            </w:r>
            <w:r w:rsidRPr="009370AB">
              <w:rPr>
                <w:rFonts w:ascii="Times New Roman" w:eastAsia="Times New Roman" w:hAnsi="Times New Roman" w:cs="Times New Roman"/>
                <w:color w:val="000000"/>
                <w:position w:val="2"/>
                <w:sz w:val="14"/>
                <w:szCs w:val="14"/>
              </w:rPr>
              <w:t>20</w:t>
            </w:r>
          </w:p>
        </w:tc>
        <w:tc>
          <w:tcPr>
            <w:tcW w:w="0" w:type="auto"/>
            <w:tcBorders>
              <w:top w:val="nil"/>
              <w:left w:val="nil"/>
              <w:bottom w:val="single" w:sz="8" w:space="0" w:color="000000"/>
              <w:right w:val="single" w:sz="8" w:space="0" w:color="000000"/>
            </w:tcBorders>
            <w:vAlign w:val="center"/>
            <w:hideMark/>
          </w:tcPr>
          <w:p w14:paraId="4C9F6734"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5.16</w:t>
            </w:r>
          </w:p>
        </w:tc>
        <w:tc>
          <w:tcPr>
            <w:tcW w:w="0" w:type="auto"/>
            <w:tcBorders>
              <w:top w:val="nil"/>
              <w:left w:val="nil"/>
              <w:bottom w:val="single" w:sz="8" w:space="0" w:color="000000"/>
              <w:right w:val="single" w:sz="8" w:space="0" w:color="000000"/>
            </w:tcBorders>
            <w:vAlign w:val="center"/>
            <w:hideMark/>
          </w:tcPr>
          <w:p w14:paraId="1A470B03"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59.83</w:t>
            </w:r>
          </w:p>
        </w:tc>
        <w:tc>
          <w:tcPr>
            <w:tcW w:w="0" w:type="auto"/>
            <w:tcBorders>
              <w:top w:val="nil"/>
              <w:left w:val="nil"/>
              <w:bottom w:val="single" w:sz="8" w:space="0" w:color="000000"/>
              <w:right w:val="single" w:sz="8" w:space="0" w:color="000000"/>
            </w:tcBorders>
            <w:vAlign w:val="center"/>
            <w:hideMark/>
          </w:tcPr>
          <w:p w14:paraId="327E32C1"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93.66</w:t>
            </w:r>
          </w:p>
        </w:tc>
      </w:tr>
      <w:tr w:rsidR="009370AB" w:rsidRPr="009370AB" w14:paraId="47439E97" w14:textId="77777777" w:rsidTr="009370AB">
        <w:trPr>
          <w:trHeight w:val="300"/>
        </w:trPr>
        <w:tc>
          <w:tcPr>
            <w:tcW w:w="0" w:type="auto"/>
            <w:tcBorders>
              <w:top w:val="nil"/>
              <w:left w:val="single" w:sz="8" w:space="0" w:color="000000"/>
              <w:bottom w:val="single" w:sz="8" w:space="0" w:color="000000"/>
              <w:right w:val="single" w:sz="8" w:space="0" w:color="000000"/>
            </w:tcBorders>
            <w:vAlign w:val="center"/>
            <w:hideMark/>
          </w:tcPr>
          <w:p w14:paraId="4933E57A"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position w:val="2"/>
              </w:rPr>
              <w:t>T</w:t>
            </w:r>
            <w:r w:rsidRPr="009370AB">
              <w:rPr>
                <w:rFonts w:ascii="Times New Roman" w:eastAsia="Times New Roman" w:hAnsi="Times New Roman" w:cs="Times New Roman"/>
                <w:color w:val="000000"/>
                <w:position w:val="2"/>
                <w:sz w:val="14"/>
                <w:szCs w:val="14"/>
              </w:rPr>
              <w:t xml:space="preserve">4 </w:t>
            </w:r>
            <w:r w:rsidRPr="009370AB">
              <w:rPr>
                <w:rFonts w:ascii="Times New Roman" w:eastAsia="Times New Roman" w:hAnsi="Times New Roman" w:cs="Times New Roman"/>
                <w:color w:val="000000"/>
                <w:position w:val="2"/>
              </w:rPr>
              <w:t>- N</w:t>
            </w:r>
            <w:r w:rsidRPr="009370AB">
              <w:rPr>
                <w:rFonts w:ascii="Times New Roman" w:eastAsia="Times New Roman" w:hAnsi="Times New Roman" w:cs="Times New Roman"/>
                <w:color w:val="000000"/>
                <w:position w:val="2"/>
                <w:sz w:val="14"/>
                <w:szCs w:val="14"/>
              </w:rPr>
              <w:t>60</w:t>
            </w:r>
            <w:r w:rsidRPr="009370AB">
              <w:rPr>
                <w:rFonts w:ascii="Times New Roman" w:eastAsia="Times New Roman" w:hAnsi="Times New Roman" w:cs="Times New Roman"/>
                <w:color w:val="000000"/>
                <w:position w:val="2"/>
              </w:rPr>
              <w:t>P</w:t>
            </w:r>
            <w:r w:rsidRPr="009370AB">
              <w:rPr>
                <w:rFonts w:ascii="Times New Roman" w:eastAsia="Times New Roman" w:hAnsi="Times New Roman" w:cs="Times New Roman"/>
                <w:color w:val="000000"/>
                <w:position w:val="2"/>
                <w:sz w:val="14"/>
                <w:szCs w:val="14"/>
              </w:rPr>
              <w:t>30</w:t>
            </w:r>
          </w:p>
        </w:tc>
        <w:tc>
          <w:tcPr>
            <w:tcW w:w="0" w:type="auto"/>
            <w:tcBorders>
              <w:top w:val="nil"/>
              <w:left w:val="nil"/>
              <w:bottom w:val="single" w:sz="8" w:space="0" w:color="000000"/>
              <w:right w:val="single" w:sz="8" w:space="0" w:color="000000"/>
            </w:tcBorders>
            <w:vAlign w:val="center"/>
            <w:hideMark/>
          </w:tcPr>
          <w:p w14:paraId="66F7631E"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5.58</w:t>
            </w:r>
          </w:p>
        </w:tc>
        <w:tc>
          <w:tcPr>
            <w:tcW w:w="0" w:type="auto"/>
            <w:tcBorders>
              <w:top w:val="nil"/>
              <w:left w:val="nil"/>
              <w:bottom w:val="single" w:sz="8" w:space="0" w:color="000000"/>
              <w:right w:val="single" w:sz="8" w:space="0" w:color="000000"/>
            </w:tcBorders>
            <w:vAlign w:val="center"/>
            <w:hideMark/>
          </w:tcPr>
          <w:p w14:paraId="3BA26205"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60.25</w:t>
            </w:r>
          </w:p>
        </w:tc>
        <w:tc>
          <w:tcPr>
            <w:tcW w:w="0" w:type="auto"/>
            <w:tcBorders>
              <w:top w:val="nil"/>
              <w:left w:val="nil"/>
              <w:bottom w:val="single" w:sz="8" w:space="0" w:color="000000"/>
              <w:right w:val="single" w:sz="8" w:space="0" w:color="000000"/>
            </w:tcBorders>
            <w:vAlign w:val="center"/>
            <w:hideMark/>
          </w:tcPr>
          <w:p w14:paraId="5F9737C6" w14:textId="75621909"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94.5</w:t>
            </w:r>
            <w:r w:rsidR="008C4BB7">
              <w:rPr>
                <w:rFonts w:ascii="Times New Roman" w:eastAsia="Times New Roman" w:hAnsi="Times New Roman" w:cs="Times New Roman"/>
                <w:color w:val="000000"/>
                <w:spacing w:val="-2"/>
              </w:rPr>
              <w:t>0</w:t>
            </w:r>
          </w:p>
        </w:tc>
      </w:tr>
      <w:tr w:rsidR="009370AB" w:rsidRPr="009370AB" w14:paraId="03529BF8" w14:textId="77777777" w:rsidTr="009370AB">
        <w:trPr>
          <w:trHeight w:val="300"/>
        </w:trPr>
        <w:tc>
          <w:tcPr>
            <w:tcW w:w="0" w:type="auto"/>
            <w:tcBorders>
              <w:top w:val="nil"/>
              <w:left w:val="single" w:sz="8" w:space="0" w:color="000000"/>
              <w:bottom w:val="single" w:sz="8" w:space="0" w:color="000000"/>
              <w:right w:val="single" w:sz="8" w:space="0" w:color="000000"/>
            </w:tcBorders>
            <w:vAlign w:val="center"/>
            <w:hideMark/>
          </w:tcPr>
          <w:p w14:paraId="0827E3C5"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SE(m)</w:t>
            </w:r>
            <w:r w:rsidRPr="009370AB">
              <w:rPr>
                <w:rFonts w:ascii="Times New Roman" w:eastAsia="Times New Roman" w:hAnsi="Times New Roman" w:cs="Times New Roman"/>
                <w:color w:val="000000"/>
                <w:spacing w:val="-2"/>
                <w:u w:val="single"/>
              </w:rPr>
              <w:t>+</w:t>
            </w:r>
          </w:p>
        </w:tc>
        <w:tc>
          <w:tcPr>
            <w:tcW w:w="0" w:type="auto"/>
            <w:tcBorders>
              <w:top w:val="nil"/>
              <w:left w:val="nil"/>
              <w:bottom w:val="single" w:sz="8" w:space="0" w:color="000000"/>
              <w:right w:val="single" w:sz="8" w:space="0" w:color="000000"/>
            </w:tcBorders>
            <w:vAlign w:val="center"/>
            <w:hideMark/>
          </w:tcPr>
          <w:p w14:paraId="7D59B908"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0.26</w:t>
            </w:r>
          </w:p>
        </w:tc>
        <w:tc>
          <w:tcPr>
            <w:tcW w:w="0" w:type="auto"/>
            <w:tcBorders>
              <w:top w:val="nil"/>
              <w:left w:val="nil"/>
              <w:bottom w:val="single" w:sz="8" w:space="0" w:color="000000"/>
              <w:right w:val="single" w:sz="8" w:space="0" w:color="000000"/>
            </w:tcBorders>
            <w:vAlign w:val="center"/>
            <w:hideMark/>
          </w:tcPr>
          <w:p w14:paraId="761C5825"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0.31</w:t>
            </w:r>
          </w:p>
        </w:tc>
        <w:tc>
          <w:tcPr>
            <w:tcW w:w="0" w:type="auto"/>
            <w:tcBorders>
              <w:top w:val="nil"/>
              <w:left w:val="nil"/>
              <w:bottom w:val="single" w:sz="8" w:space="0" w:color="000000"/>
              <w:right w:val="single" w:sz="8" w:space="0" w:color="000000"/>
            </w:tcBorders>
            <w:vAlign w:val="center"/>
            <w:hideMark/>
          </w:tcPr>
          <w:p w14:paraId="386E878A"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0.69</w:t>
            </w:r>
          </w:p>
        </w:tc>
      </w:tr>
      <w:tr w:rsidR="009370AB" w:rsidRPr="009370AB" w14:paraId="615B3ABB" w14:textId="77777777" w:rsidTr="009370AB">
        <w:trPr>
          <w:trHeight w:val="300"/>
        </w:trPr>
        <w:tc>
          <w:tcPr>
            <w:tcW w:w="0" w:type="auto"/>
            <w:tcBorders>
              <w:top w:val="nil"/>
              <w:left w:val="single" w:sz="8" w:space="0" w:color="000000"/>
              <w:bottom w:val="single" w:sz="8" w:space="0" w:color="000000"/>
              <w:right w:val="single" w:sz="8" w:space="0" w:color="000000"/>
            </w:tcBorders>
            <w:vAlign w:val="center"/>
            <w:hideMark/>
          </w:tcPr>
          <w:p w14:paraId="13361C9D" w14:textId="77777777"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CD at 5 %</w:t>
            </w:r>
          </w:p>
        </w:tc>
        <w:tc>
          <w:tcPr>
            <w:tcW w:w="0" w:type="auto"/>
            <w:tcBorders>
              <w:top w:val="nil"/>
              <w:left w:val="nil"/>
              <w:bottom w:val="single" w:sz="8" w:space="0" w:color="000000"/>
              <w:right w:val="single" w:sz="8" w:space="0" w:color="000000"/>
            </w:tcBorders>
            <w:vAlign w:val="center"/>
            <w:hideMark/>
          </w:tcPr>
          <w:p w14:paraId="1DF46A43"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5"/>
              </w:rPr>
              <w:t>NS</w:t>
            </w:r>
          </w:p>
        </w:tc>
        <w:tc>
          <w:tcPr>
            <w:tcW w:w="0" w:type="auto"/>
            <w:tcBorders>
              <w:top w:val="nil"/>
              <w:left w:val="nil"/>
              <w:bottom w:val="single" w:sz="8" w:space="0" w:color="000000"/>
              <w:right w:val="single" w:sz="8" w:space="0" w:color="000000"/>
            </w:tcBorders>
            <w:vAlign w:val="center"/>
            <w:hideMark/>
          </w:tcPr>
          <w:p w14:paraId="449D51CC"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0.92</w:t>
            </w:r>
          </w:p>
        </w:tc>
        <w:tc>
          <w:tcPr>
            <w:tcW w:w="0" w:type="auto"/>
            <w:tcBorders>
              <w:top w:val="nil"/>
              <w:left w:val="nil"/>
              <w:bottom w:val="single" w:sz="8" w:space="0" w:color="000000"/>
              <w:right w:val="single" w:sz="8" w:space="0" w:color="000000"/>
            </w:tcBorders>
            <w:vAlign w:val="center"/>
            <w:hideMark/>
          </w:tcPr>
          <w:p w14:paraId="6257E78F"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2.32</w:t>
            </w:r>
          </w:p>
        </w:tc>
      </w:tr>
    </w:tbl>
    <w:p w14:paraId="03E8F35A" w14:textId="77777777" w:rsidR="009370AB" w:rsidRPr="002B5693" w:rsidRDefault="009370AB" w:rsidP="00A811B0">
      <w:pPr>
        <w:spacing w:before="120" w:after="120"/>
        <w:ind w:left="720" w:hanging="720"/>
        <w:rPr>
          <w:rFonts w:ascii="Times New Roman" w:hAnsi="Times New Roman" w:cs="Times New Roman"/>
          <w:sz w:val="24"/>
          <w:szCs w:val="24"/>
        </w:rPr>
      </w:pPr>
    </w:p>
    <w:sectPr w:rsidR="009370AB" w:rsidRPr="002B5693" w:rsidSect="00DF61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A0F30" w14:textId="77777777" w:rsidR="00580836" w:rsidRDefault="00580836" w:rsidP="00237B0A">
      <w:pPr>
        <w:spacing w:line="240" w:lineRule="auto"/>
      </w:pPr>
      <w:r>
        <w:separator/>
      </w:r>
    </w:p>
  </w:endnote>
  <w:endnote w:type="continuationSeparator" w:id="0">
    <w:p w14:paraId="76343FCE" w14:textId="77777777" w:rsidR="00580836" w:rsidRDefault="00580836" w:rsidP="00237B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0CC96" w14:textId="77777777" w:rsidR="00237B0A" w:rsidRDefault="00237B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2F3D6" w14:textId="77777777" w:rsidR="00237B0A" w:rsidRDefault="00237B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5B252" w14:textId="77777777" w:rsidR="00237B0A" w:rsidRDefault="00237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2FC5B" w14:textId="77777777" w:rsidR="00580836" w:rsidRDefault="00580836" w:rsidP="00237B0A">
      <w:pPr>
        <w:spacing w:line="240" w:lineRule="auto"/>
      </w:pPr>
      <w:r>
        <w:separator/>
      </w:r>
    </w:p>
  </w:footnote>
  <w:footnote w:type="continuationSeparator" w:id="0">
    <w:p w14:paraId="2D3ECCB4" w14:textId="77777777" w:rsidR="00580836" w:rsidRDefault="00580836" w:rsidP="00237B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B657D" w14:textId="68A99E8C" w:rsidR="00237B0A" w:rsidRDefault="00580836">
    <w:pPr>
      <w:pStyle w:val="Header"/>
    </w:pPr>
    <w:r>
      <w:rPr>
        <w:noProof/>
      </w:rPr>
      <w:pict w14:anchorId="669B23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49.4pt;height:110.4pt;rotation:315;z-index:-251655168;mso-position-horizontal:center;mso-position-horizontal-relative:margin;mso-position-vertical:center;mso-position-vertical-relative:margin" o:allowincell="f" fillcolor="silver" stroked="f">
          <v:fill opacity=".5"/>
          <v:textpath style="font-family:&quot;Calibri Ligh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0E154" w14:textId="2CEC1591" w:rsidR="00237B0A" w:rsidRDefault="00580836">
    <w:pPr>
      <w:pStyle w:val="Header"/>
    </w:pPr>
    <w:r>
      <w:rPr>
        <w:noProof/>
      </w:rPr>
      <w:pict w14:anchorId="411DBD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49.4pt;height:110.4pt;rotation:315;z-index:-251653120;mso-position-horizontal:center;mso-position-horizontal-relative:margin;mso-position-vertical:center;mso-position-vertical-relative:margin" o:allowincell="f" fillcolor="silver" stroked="f">
          <v:fill opacity=".5"/>
          <v:textpath style="font-family:&quot;Calibri Ligh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8C1B8" w14:textId="1F105920" w:rsidR="00237B0A" w:rsidRDefault="00580836">
    <w:pPr>
      <w:pStyle w:val="Header"/>
    </w:pPr>
    <w:r>
      <w:rPr>
        <w:noProof/>
      </w:rPr>
      <w:pict w14:anchorId="7762A9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49.4pt;height:110.4pt;rotation:315;z-index:-251657216;mso-position-horizontal:center;mso-position-horizontal-relative:margin;mso-position-vertical:center;mso-position-vertical-relative:margin" o:allowincell="f" fillcolor="silver" stroked="f">
          <v:fill opacity=".5"/>
          <v:textpath style="font-family:&quot;Calibri Ligh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675E7"/>
    <w:multiLevelType w:val="hybridMultilevel"/>
    <w:tmpl w:val="06AEC2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715EB7"/>
    <w:multiLevelType w:val="multilevel"/>
    <w:tmpl w:val="A9E68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271"/>
    <w:rsid w:val="00017E1B"/>
    <w:rsid w:val="000213A6"/>
    <w:rsid w:val="000313A4"/>
    <w:rsid w:val="000443A0"/>
    <w:rsid w:val="0004451C"/>
    <w:rsid w:val="000550C1"/>
    <w:rsid w:val="0007645F"/>
    <w:rsid w:val="000A43AA"/>
    <w:rsid w:val="000B1921"/>
    <w:rsid w:val="000B7029"/>
    <w:rsid w:val="000D57BB"/>
    <w:rsid w:val="000D586F"/>
    <w:rsid w:val="00106E36"/>
    <w:rsid w:val="00107C0F"/>
    <w:rsid w:val="0012188E"/>
    <w:rsid w:val="00145EAC"/>
    <w:rsid w:val="0016292F"/>
    <w:rsid w:val="00174D58"/>
    <w:rsid w:val="001E42D1"/>
    <w:rsid w:val="0020277D"/>
    <w:rsid w:val="002167FC"/>
    <w:rsid w:val="00230AE9"/>
    <w:rsid w:val="00237B0A"/>
    <w:rsid w:val="00263A9F"/>
    <w:rsid w:val="0029379D"/>
    <w:rsid w:val="002A3AE7"/>
    <w:rsid w:val="002A7D15"/>
    <w:rsid w:val="002B47E4"/>
    <w:rsid w:val="002B4F9C"/>
    <w:rsid w:val="002C1AF5"/>
    <w:rsid w:val="002F0FF7"/>
    <w:rsid w:val="002F6438"/>
    <w:rsid w:val="00317FBA"/>
    <w:rsid w:val="00320750"/>
    <w:rsid w:val="00337CD5"/>
    <w:rsid w:val="00350A71"/>
    <w:rsid w:val="00351E4C"/>
    <w:rsid w:val="00353478"/>
    <w:rsid w:val="00363CEC"/>
    <w:rsid w:val="00381F16"/>
    <w:rsid w:val="003A1F63"/>
    <w:rsid w:val="003B11AC"/>
    <w:rsid w:val="003C4C3A"/>
    <w:rsid w:val="003E4ED6"/>
    <w:rsid w:val="00400F87"/>
    <w:rsid w:val="00411E25"/>
    <w:rsid w:val="004203CD"/>
    <w:rsid w:val="00442EA4"/>
    <w:rsid w:val="00466A78"/>
    <w:rsid w:val="00467D4E"/>
    <w:rsid w:val="00480C1B"/>
    <w:rsid w:val="00492F9D"/>
    <w:rsid w:val="004B69D4"/>
    <w:rsid w:val="004D1524"/>
    <w:rsid w:val="004D5287"/>
    <w:rsid w:val="00500A01"/>
    <w:rsid w:val="0051305A"/>
    <w:rsid w:val="00517E24"/>
    <w:rsid w:val="0052681E"/>
    <w:rsid w:val="005427F6"/>
    <w:rsid w:val="00544A87"/>
    <w:rsid w:val="0056219B"/>
    <w:rsid w:val="005629FB"/>
    <w:rsid w:val="005639E9"/>
    <w:rsid w:val="005656B7"/>
    <w:rsid w:val="00580836"/>
    <w:rsid w:val="00585DDC"/>
    <w:rsid w:val="005D3867"/>
    <w:rsid w:val="005F7FAF"/>
    <w:rsid w:val="006110C8"/>
    <w:rsid w:val="006411F5"/>
    <w:rsid w:val="00655E04"/>
    <w:rsid w:val="006613CA"/>
    <w:rsid w:val="00677178"/>
    <w:rsid w:val="00685742"/>
    <w:rsid w:val="00691DED"/>
    <w:rsid w:val="006A7CF4"/>
    <w:rsid w:val="006B421C"/>
    <w:rsid w:val="006C0476"/>
    <w:rsid w:val="006C4906"/>
    <w:rsid w:val="006D7130"/>
    <w:rsid w:val="006E1D1D"/>
    <w:rsid w:val="00702837"/>
    <w:rsid w:val="00706F13"/>
    <w:rsid w:val="00727DF6"/>
    <w:rsid w:val="00734CF0"/>
    <w:rsid w:val="00735C79"/>
    <w:rsid w:val="007418C8"/>
    <w:rsid w:val="00751176"/>
    <w:rsid w:val="0075752B"/>
    <w:rsid w:val="00764666"/>
    <w:rsid w:val="007849F2"/>
    <w:rsid w:val="007A15C6"/>
    <w:rsid w:val="007A5EDD"/>
    <w:rsid w:val="007C25F5"/>
    <w:rsid w:val="007D570D"/>
    <w:rsid w:val="007D6271"/>
    <w:rsid w:val="007E3991"/>
    <w:rsid w:val="0082354F"/>
    <w:rsid w:val="0082749C"/>
    <w:rsid w:val="00833D43"/>
    <w:rsid w:val="008458D5"/>
    <w:rsid w:val="00866E37"/>
    <w:rsid w:val="00874327"/>
    <w:rsid w:val="00882211"/>
    <w:rsid w:val="008877A5"/>
    <w:rsid w:val="008A12D3"/>
    <w:rsid w:val="008B1B8F"/>
    <w:rsid w:val="008B650B"/>
    <w:rsid w:val="008C4BB7"/>
    <w:rsid w:val="008E66FB"/>
    <w:rsid w:val="008F254A"/>
    <w:rsid w:val="008F61AA"/>
    <w:rsid w:val="008F6E0E"/>
    <w:rsid w:val="00911E0A"/>
    <w:rsid w:val="009160DC"/>
    <w:rsid w:val="00916B1D"/>
    <w:rsid w:val="0091736C"/>
    <w:rsid w:val="009225A7"/>
    <w:rsid w:val="00926139"/>
    <w:rsid w:val="00926F75"/>
    <w:rsid w:val="009363BB"/>
    <w:rsid w:val="009370AB"/>
    <w:rsid w:val="00937AF8"/>
    <w:rsid w:val="00947E9A"/>
    <w:rsid w:val="00957879"/>
    <w:rsid w:val="00992DFF"/>
    <w:rsid w:val="009A5D3B"/>
    <w:rsid w:val="009D1CFF"/>
    <w:rsid w:val="009D697E"/>
    <w:rsid w:val="00A0073D"/>
    <w:rsid w:val="00A046D9"/>
    <w:rsid w:val="00A27FA2"/>
    <w:rsid w:val="00A671B9"/>
    <w:rsid w:val="00A71516"/>
    <w:rsid w:val="00A7434B"/>
    <w:rsid w:val="00A811B0"/>
    <w:rsid w:val="00A86A5E"/>
    <w:rsid w:val="00A90108"/>
    <w:rsid w:val="00A94F31"/>
    <w:rsid w:val="00AA2683"/>
    <w:rsid w:val="00AA4CC3"/>
    <w:rsid w:val="00AA563D"/>
    <w:rsid w:val="00AC3CE6"/>
    <w:rsid w:val="00AD1E7D"/>
    <w:rsid w:val="00B01BFB"/>
    <w:rsid w:val="00B13760"/>
    <w:rsid w:val="00B178B8"/>
    <w:rsid w:val="00B3442A"/>
    <w:rsid w:val="00B4420C"/>
    <w:rsid w:val="00B6239A"/>
    <w:rsid w:val="00B87E88"/>
    <w:rsid w:val="00B939D3"/>
    <w:rsid w:val="00BA6444"/>
    <w:rsid w:val="00C06BBC"/>
    <w:rsid w:val="00C11A1D"/>
    <w:rsid w:val="00C15219"/>
    <w:rsid w:val="00C25841"/>
    <w:rsid w:val="00C275B2"/>
    <w:rsid w:val="00C323D3"/>
    <w:rsid w:val="00C334CB"/>
    <w:rsid w:val="00C37A51"/>
    <w:rsid w:val="00C37A68"/>
    <w:rsid w:val="00C477EF"/>
    <w:rsid w:val="00C56D0E"/>
    <w:rsid w:val="00C607E5"/>
    <w:rsid w:val="00C62E35"/>
    <w:rsid w:val="00C853AF"/>
    <w:rsid w:val="00CC181C"/>
    <w:rsid w:val="00CD464D"/>
    <w:rsid w:val="00D15FB3"/>
    <w:rsid w:val="00D24DC9"/>
    <w:rsid w:val="00D37787"/>
    <w:rsid w:val="00D3792A"/>
    <w:rsid w:val="00D47A71"/>
    <w:rsid w:val="00D86CD2"/>
    <w:rsid w:val="00DA632F"/>
    <w:rsid w:val="00DB37B1"/>
    <w:rsid w:val="00DC22C3"/>
    <w:rsid w:val="00DF619B"/>
    <w:rsid w:val="00E055CF"/>
    <w:rsid w:val="00E07F19"/>
    <w:rsid w:val="00E6005C"/>
    <w:rsid w:val="00E752C6"/>
    <w:rsid w:val="00E8644A"/>
    <w:rsid w:val="00EA30ED"/>
    <w:rsid w:val="00EA6000"/>
    <w:rsid w:val="00EC4C7A"/>
    <w:rsid w:val="00ED0D6F"/>
    <w:rsid w:val="00EE2E50"/>
    <w:rsid w:val="00EF1AD0"/>
    <w:rsid w:val="00F02344"/>
    <w:rsid w:val="00F3087C"/>
    <w:rsid w:val="00F41282"/>
    <w:rsid w:val="00F55496"/>
    <w:rsid w:val="00F55895"/>
    <w:rsid w:val="00F57225"/>
    <w:rsid w:val="00F67D17"/>
    <w:rsid w:val="00F7736E"/>
    <w:rsid w:val="00F86C37"/>
    <w:rsid w:val="00F90FC5"/>
    <w:rsid w:val="00F91A9F"/>
    <w:rsid w:val="00F97150"/>
    <w:rsid w:val="00F974FB"/>
    <w:rsid w:val="00FC19CA"/>
    <w:rsid w:val="00FD27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BA0618"/>
  <w15:docId w15:val="{B479CB1D-E088-45F6-9AB3-ABB1A0966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736E"/>
    <w:pPr>
      <w:spacing w:after="0" w:line="360" w:lineRule="auto"/>
      <w:jc w:val="both"/>
    </w:pPr>
    <w:rPr>
      <w:rFonts w:ascii="Calibri Light" w:eastAsia="Wingdings 2" w:hAnsi="Calibri Light"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6271"/>
    <w:pPr>
      <w:autoSpaceDE w:val="0"/>
      <w:autoSpaceDN w:val="0"/>
      <w:adjustRightInd w:val="0"/>
      <w:spacing w:after="0" w:line="240" w:lineRule="auto"/>
    </w:pPr>
    <w:rPr>
      <w:rFonts w:ascii="Calibri Light" w:eastAsia="Wingdings 2" w:hAnsi="Calibri Light" w:cs="Calibri Light"/>
      <w:color w:val="000000"/>
      <w:sz w:val="24"/>
      <w:szCs w:val="24"/>
    </w:rPr>
  </w:style>
  <w:style w:type="character" w:styleId="Emphasis">
    <w:name w:val="Emphasis"/>
    <w:uiPriority w:val="20"/>
    <w:qFormat/>
    <w:rsid w:val="007D6271"/>
    <w:rPr>
      <w:i/>
      <w:iCs/>
    </w:rPr>
  </w:style>
  <w:style w:type="paragraph" w:styleId="NormalWeb">
    <w:name w:val="Normal (Web)"/>
    <w:basedOn w:val="Normal"/>
    <w:uiPriority w:val="99"/>
    <w:unhideWhenUsed/>
    <w:rsid w:val="00F90FC5"/>
    <w:pPr>
      <w:spacing w:before="100" w:beforeAutospacing="1" w:after="100" w:afterAutospacing="1" w:line="240" w:lineRule="auto"/>
      <w:jc w:val="left"/>
    </w:pPr>
    <w:rPr>
      <w:rFonts w:eastAsia="Calibri Light"/>
      <w:sz w:val="24"/>
      <w:szCs w:val="24"/>
    </w:rPr>
  </w:style>
  <w:style w:type="paragraph" w:styleId="BodyText">
    <w:name w:val="Body Text"/>
    <w:basedOn w:val="Normal"/>
    <w:link w:val="BodyTextChar"/>
    <w:uiPriority w:val="1"/>
    <w:qFormat/>
    <w:rsid w:val="002F6438"/>
    <w:pPr>
      <w:widowControl w:val="0"/>
      <w:autoSpaceDE w:val="0"/>
      <w:autoSpaceDN w:val="0"/>
      <w:spacing w:line="240" w:lineRule="auto"/>
      <w:jc w:val="left"/>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2F6438"/>
    <w:rPr>
      <w:rFonts w:ascii="Times New Roman" w:eastAsia="Times New Roman" w:hAnsi="Times New Roman" w:cs="Times New Roman"/>
    </w:rPr>
  </w:style>
  <w:style w:type="character" w:styleId="Hyperlink">
    <w:name w:val="Hyperlink"/>
    <w:basedOn w:val="DefaultParagraphFont"/>
    <w:uiPriority w:val="99"/>
    <w:unhideWhenUsed/>
    <w:rsid w:val="00A811B0"/>
    <w:rPr>
      <w:color w:val="0563C1" w:themeColor="hyperlink"/>
      <w:u w:val="single"/>
    </w:rPr>
  </w:style>
  <w:style w:type="character" w:styleId="UnresolvedMention">
    <w:name w:val="Unresolved Mention"/>
    <w:basedOn w:val="DefaultParagraphFont"/>
    <w:uiPriority w:val="99"/>
    <w:semiHidden/>
    <w:unhideWhenUsed/>
    <w:rsid w:val="00AC3CE6"/>
    <w:rPr>
      <w:color w:val="605E5C"/>
      <w:shd w:val="clear" w:color="auto" w:fill="E1DFDD"/>
    </w:rPr>
  </w:style>
  <w:style w:type="paragraph" w:styleId="ListParagraph">
    <w:name w:val="List Paragraph"/>
    <w:basedOn w:val="Normal"/>
    <w:uiPriority w:val="34"/>
    <w:qFormat/>
    <w:rsid w:val="000313A4"/>
    <w:pPr>
      <w:ind w:left="720"/>
      <w:contextualSpacing/>
    </w:pPr>
  </w:style>
  <w:style w:type="paragraph" w:styleId="Header">
    <w:name w:val="header"/>
    <w:basedOn w:val="Normal"/>
    <w:link w:val="HeaderChar"/>
    <w:uiPriority w:val="99"/>
    <w:unhideWhenUsed/>
    <w:rsid w:val="00237B0A"/>
    <w:pPr>
      <w:tabs>
        <w:tab w:val="center" w:pos="4680"/>
        <w:tab w:val="right" w:pos="9360"/>
      </w:tabs>
      <w:spacing w:line="240" w:lineRule="auto"/>
    </w:pPr>
  </w:style>
  <w:style w:type="character" w:customStyle="1" w:styleId="HeaderChar">
    <w:name w:val="Header Char"/>
    <w:basedOn w:val="DefaultParagraphFont"/>
    <w:link w:val="Header"/>
    <w:uiPriority w:val="99"/>
    <w:rsid w:val="00237B0A"/>
    <w:rPr>
      <w:rFonts w:ascii="Calibri Light" w:eastAsia="Wingdings 2" w:hAnsi="Calibri Light" w:cs="Calibri Light"/>
    </w:rPr>
  </w:style>
  <w:style w:type="paragraph" w:styleId="Footer">
    <w:name w:val="footer"/>
    <w:basedOn w:val="Normal"/>
    <w:link w:val="FooterChar"/>
    <w:uiPriority w:val="99"/>
    <w:unhideWhenUsed/>
    <w:rsid w:val="00237B0A"/>
    <w:pPr>
      <w:tabs>
        <w:tab w:val="center" w:pos="4680"/>
        <w:tab w:val="right" w:pos="9360"/>
      </w:tabs>
      <w:spacing w:line="240" w:lineRule="auto"/>
    </w:pPr>
  </w:style>
  <w:style w:type="character" w:customStyle="1" w:styleId="FooterChar">
    <w:name w:val="Footer Char"/>
    <w:basedOn w:val="DefaultParagraphFont"/>
    <w:link w:val="Footer"/>
    <w:uiPriority w:val="99"/>
    <w:rsid w:val="00237B0A"/>
    <w:rPr>
      <w:rFonts w:ascii="Calibri Light" w:eastAsia="Wingdings 2" w:hAnsi="Calibri Light" w:cs="Calibri Light"/>
    </w:rPr>
  </w:style>
  <w:style w:type="paragraph" w:styleId="CommentText">
    <w:name w:val="annotation text"/>
    <w:basedOn w:val="Normal"/>
    <w:link w:val="CommentTextChar"/>
    <w:uiPriority w:val="99"/>
    <w:semiHidden/>
    <w:unhideWhenUsed/>
    <w:rsid w:val="00B3442A"/>
    <w:pPr>
      <w:spacing w:line="240" w:lineRule="auto"/>
    </w:pPr>
    <w:rPr>
      <w:sz w:val="20"/>
      <w:szCs w:val="20"/>
    </w:rPr>
  </w:style>
  <w:style w:type="character" w:customStyle="1" w:styleId="CommentTextChar">
    <w:name w:val="Comment Text Char"/>
    <w:basedOn w:val="DefaultParagraphFont"/>
    <w:link w:val="CommentText"/>
    <w:uiPriority w:val="99"/>
    <w:semiHidden/>
    <w:rsid w:val="00B3442A"/>
    <w:rPr>
      <w:rFonts w:ascii="Calibri Light" w:eastAsia="Wingdings 2" w:hAnsi="Calibri Light" w:cs="Calibri Light"/>
      <w:sz w:val="20"/>
      <w:szCs w:val="20"/>
    </w:rPr>
  </w:style>
  <w:style w:type="character" w:styleId="FollowedHyperlink">
    <w:name w:val="FollowedHyperlink"/>
    <w:basedOn w:val="DefaultParagraphFont"/>
    <w:uiPriority w:val="99"/>
    <w:semiHidden/>
    <w:unhideWhenUsed/>
    <w:rsid w:val="00F971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53880">
      <w:bodyDiv w:val="1"/>
      <w:marLeft w:val="0"/>
      <w:marRight w:val="0"/>
      <w:marTop w:val="0"/>
      <w:marBottom w:val="0"/>
      <w:divBdr>
        <w:top w:val="none" w:sz="0" w:space="0" w:color="auto"/>
        <w:left w:val="none" w:sz="0" w:space="0" w:color="auto"/>
        <w:bottom w:val="none" w:sz="0" w:space="0" w:color="auto"/>
        <w:right w:val="none" w:sz="0" w:space="0" w:color="auto"/>
      </w:divBdr>
    </w:div>
    <w:div w:id="572400039">
      <w:bodyDiv w:val="1"/>
      <w:marLeft w:val="0"/>
      <w:marRight w:val="0"/>
      <w:marTop w:val="0"/>
      <w:marBottom w:val="0"/>
      <w:divBdr>
        <w:top w:val="none" w:sz="0" w:space="0" w:color="auto"/>
        <w:left w:val="none" w:sz="0" w:space="0" w:color="auto"/>
        <w:bottom w:val="none" w:sz="0" w:space="0" w:color="auto"/>
        <w:right w:val="none" w:sz="0" w:space="0" w:color="auto"/>
      </w:divBdr>
    </w:div>
    <w:div w:id="596406443">
      <w:bodyDiv w:val="1"/>
      <w:marLeft w:val="0"/>
      <w:marRight w:val="0"/>
      <w:marTop w:val="0"/>
      <w:marBottom w:val="0"/>
      <w:divBdr>
        <w:top w:val="none" w:sz="0" w:space="0" w:color="auto"/>
        <w:left w:val="none" w:sz="0" w:space="0" w:color="auto"/>
        <w:bottom w:val="none" w:sz="0" w:space="0" w:color="auto"/>
        <w:right w:val="none" w:sz="0" w:space="0" w:color="auto"/>
      </w:divBdr>
    </w:div>
    <w:div w:id="737945221">
      <w:bodyDiv w:val="1"/>
      <w:marLeft w:val="0"/>
      <w:marRight w:val="0"/>
      <w:marTop w:val="0"/>
      <w:marBottom w:val="0"/>
      <w:divBdr>
        <w:top w:val="none" w:sz="0" w:space="0" w:color="auto"/>
        <w:left w:val="none" w:sz="0" w:space="0" w:color="auto"/>
        <w:bottom w:val="none" w:sz="0" w:space="0" w:color="auto"/>
        <w:right w:val="none" w:sz="0" w:space="0" w:color="auto"/>
      </w:divBdr>
    </w:div>
    <w:div w:id="809395305">
      <w:bodyDiv w:val="1"/>
      <w:marLeft w:val="0"/>
      <w:marRight w:val="0"/>
      <w:marTop w:val="0"/>
      <w:marBottom w:val="0"/>
      <w:divBdr>
        <w:top w:val="none" w:sz="0" w:space="0" w:color="auto"/>
        <w:left w:val="none" w:sz="0" w:space="0" w:color="auto"/>
        <w:bottom w:val="none" w:sz="0" w:space="0" w:color="auto"/>
        <w:right w:val="none" w:sz="0" w:space="0" w:color="auto"/>
      </w:divBdr>
    </w:div>
    <w:div w:id="881868878">
      <w:bodyDiv w:val="1"/>
      <w:marLeft w:val="0"/>
      <w:marRight w:val="0"/>
      <w:marTop w:val="0"/>
      <w:marBottom w:val="0"/>
      <w:divBdr>
        <w:top w:val="none" w:sz="0" w:space="0" w:color="auto"/>
        <w:left w:val="none" w:sz="0" w:space="0" w:color="auto"/>
        <w:bottom w:val="none" w:sz="0" w:space="0" w:color="auto"/>
        <w:right w:val="none" w:sz="0" w:space="0" w:color="auto"/>
      </w:divBdr>
    </w:div>
    <w:div w:id="1031959738">
      <w:bodyDiv w:val="1"/>
      <w:marLeft w:val="0"/>
      <w:marRight w:val="0"/>
      <w:marTop w:val="0"/>
      <w:marBottom w:val="0"/>
      <w:divBdr>
        <w:top w:val="none" w:sz="0" w:space="0" w:color="auto"/>
        <w:left w:val="none" w:sz="0" w:space="0" w:color="auto"/>
        <w:bottom w:val="none" w:sz="0" w:space="0" w:color="auto"/>
        <w:right w:val="none" w:sz="0" w:space="0" w:color="auto"/>
      </w:divBdr>
    </w:div>
    <w:div w:id="1107197630">
      <w:bodyDiv w:val="1"/>
      <w:marLeft w:val="0"/>
      <w:marRight w:val="0"/>
      <w:marTop w:val="0"/>
      <w:marBottom w:val="0"/>
      <w:divBdr>
        <w:top w:val="none" w:sz="0" w:space="0" w:color="auto"/>
        <w:left w:val="none" w:sz="0" w:space="0" w:color="auto"/>
        <w:bottom w:val="none" w:sz="0" w:space="0" w:color="auto"/>
        <w:right w:val="none" w:sz="0" w:space="0" w:color="auto"/>
      </w:divBdr>
    </w:div>
    <w:div w:id="166612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giar.org/resources/cr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14</Pages>
  <Words>4573</Words>
  <Characters>26071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1186</cp:lastModifiedBy>
  <cp:revision>177</cp:revision>
  <cp:lastPrinted>2025-05-03T09:02:00Z</cp:lastPrinted>
  <dcterms:created xsi:type="dcterms:W3CDTF">2025-09-08T17:16:00Z</dcterms:created>
  <dcterms:modified xsi:type="dcterms:W3CDTF">2026-02-17T08:01:00Z</dcterms:modified>
</cp:coreProperties>
</file>