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D4E" w:rsidRDefault="00AF6E81" w:rsidP="00A5567D">
      <w:pPr>
        <w:spacing w:line="276" w:lineRule="auto"/>
        <w:jc w:val="center"/>
        <w:rPr>
          <w:rFonts w:eastAsia="Calibri"/>
          <w:b/>
          <w:bCs/>
        </w:rPr>
      </w:pPr>
      <w:r w:rsidRPr="00AF6E81">
        <w:rPr>
          <w:rFonts w:eastAsia="Calibri"/>
          <w:b/>
          <w:bCs/>
        </w:rPr>
        <w:t xml:space="preserve">Effect of different weed management practices on quality parameters in soybean - </w:t>
      </w:r>
      <w:proofErr w:type="spellStart"/>
      <w:r w:rsidRPr="00AF6E81">
        <w:rPr>
          <w:rFonts w:eastAsia="Calibri"/>
          <w:b/>
          <w:bCs/>
        </w:rPr>
        <w:t>pigeonpea</w:t>
      </w:r>
      <w:proofErr w:type="spellEnd"/>
      <w:r w:rsidRPr="00AF6E81">
        <w:rPr>
          <w:rFonts w:eastAsia="Calibri"/>
          <w:b/>
          <w:bCs/>
        </w:rPr>
        <w:t xml:space="preserve"> intercropping system</w:t>
      </w:r>
    </w:p>
    <w:p w:rsidR="00AF6E81" w:rsidRPr="00831DCB" w:rsidRDefault="00AF6E81" w:rsidP="00A5567D">
      <w:pPr>
        <w:spacing w:line="276" w:lineRule="auto"/>
        <w:jc w:val="center"/>
        <w:rPr>
          <w:b/>
          <w:bCs/>
        </w:rPr>
      </w:pPr>
    </w:p>
    <w:p w:rsidR="00017E8B" w:rsidRDefault="00017E8B" w:rsidP="00FF1D4E">
      <w:pPr>
        <w:spacing w:before="100" w:beforeAutospacing="1" w:after="100" w:afterAutospacing="1" w:line="276" w:lineRule="auto"/>
        <w:jc w:val="both"/>
        <w:outlineLvl w:val="1"/>
        <w:rPr>
          <w:rFonts w:eastAsia="Times New Roman"/>
          <w:b/>
          <w:bCs/>
          <w:lang w:eastAsia="en-US" w:bidi="gu-IN"/>
        </w:rPr>
      </w:pPr>
    </w:p>
    <w:p w:rsidR="00FF1D4E" w:rsidRPr="00764600" w:rsidRDefault="00FF1D4E" w:rsidP="00FF1D4E">
      <w:pPr>
        <w:spacing w:before="100" w:beforeAutospacing="1" w:after="100" w:afterAutospacing="1" w:line="276" w:lineRule="auto"/>
        <w:jc w:val="both"/>
        <w:outlineLvl w:val="1"/>
        <w:rPr>
          <w:rFonts w:eastAsia="Times New Roman"/>
          <w:b/>
          <w:bCs/>
          <w:lang w:eastAsia="en-US" w:bidi="gu-IN"/>
        </w:rPr>
      </w:pPr>
      <w:r w:rsidRPr="007D39B3">
        <w:rPr>
          <w:rFonts w:eastAsia="Times New Roman"/>
          <w:b/>
          <w:bCs/>
          <w:lang w:eastAsia="en-US" w:bidi="gu-IN"/>
        </w:rPr>
        <w:t>Abstract</w:t>
      </w:r>
    </w:p>
    <w:p w:rsidR="00FF1D4E" w:rsidRPr="00764600" w:rsidRDefault="00624DCE" w:rsidP="00FF1D4E">
      <w:pPr>
        <w:spacing w:after="100" w:afterAutospacing="1" w:line="276" w:lineRule="auto"/>
        <w:jc w:val="both"/>
        <w:rPr>
          <w:rFonts w:eastAsia="Times New Roman"/>
          <w:lang w:eastAsia="en-US" w:bidi="gu-IN"/>
        </w:rPr>
      </w:pPr>
      <w:r w:rsidRPr="00624DCE">
        <w:rPr>
          <w:rFonts w:eastAsia="Times New Roman"/>
          <w:lang w:eastAsia="en-US" w:bidi="gu-IN"/>
        </w:rPr>
        <w:t>Pigeon pea (</w:t>
      </w:r>
      <w:proofErr w:type="spellStart"/>
      <w:r w:rsidRPr="00624DCE">
        <w:rPr>
          <w:rFonts w:eastAsia="Times New Roman"/>
          <w:lang w:eastAsia="en-US" w:bidi="gu-IN"/>
        </w:rPr>
        <w:t>Cajanus</w:t>
      </w:r>
      <w:proofErr w:type="spellEnd"/>
      <w:r w:rsidRPr="00624DCE">
        <w:rPr>
          <w:rFonts w:eastAsia="Times New Roman"/>
          <w:lang w:eastAsia="en-US" w:bidi="gu-IN"/>
        </w:rPr>
        <w:t xml:space="preserve"> </w:t>
      </w:r>
      <w:proofErr w:type="spellStart"/>
      <w:r w:rsidRPr="00624DCE">
        <w:rPr>
          <w:rFonts w:eastAsia="Times New Roman"/>
          <w:lang w:eastAsia="en-US" w:bidi="gu-IN"/>
        </w:rPr>
        <w:t>cajan</w:t>
      </w:r>
      <w:proofErr w:type="spellEnd"/>
      <w:r w:rsidRPr="00624DCE">
        <w:rPr>
          <w:rFonts w:eastAsia="Times New Roman"/>
          <w:lang w:eastAsia="en-US" w:bidi="gu-IN"/>
        </w:rPr>
        <w:t xml:space="preserve"> L.) is a vital legume recognized for its widespread cultivation and its essential contribution to the global economy</w:t>
      </w:r>
      <w:r>
        <w:rPr>
          <w:rFonts w:eastAsia="Times New Roman"/>
          <w:lang w:eastAsia="en-US" w:bidi="gu-IN"/>
        </w:rPr>
        <w:t xml:space="preserve">. The </w:t>
      </w:r>
      <w:r w:rsidR="00FF1D4E" w:rsidRPr="00764600">
        <w:rPr>
          <w:rFonts w:eastAsia="Times New Roman"/>
          <w:lang w:eastAsia="en-US" w:bidi="gu-IN"/>
        </w:rPr>
        <w:t xml:space="preserve">experiment </w:t>
      </w:r>
      <w:r>
        <w:rPr>
          <w:rFonts w:eastAsia="Times New Roman"/>
          <w:lang w:eastAsia="en-US" w:bidi="gu-IN"/>
        </w:rPr>
        <w:t xml:space="preserve">aims </w:t>
      </w:r>
      <w:r w:rsidR="00FF1D4E" w:rsidRPr="00764600">
        <w:rPr>
          <w:rFonts w:eastAsia="Times New Roman"/>
          <w:lang w:eastAsia="en-US" w:bidi="gu-IN"/>
        </w:rPr>
        <w:t>to study the effect of different weed management practices on quality parameters in a soybean–</w:t>
      </w:r>
      <w:proofErr w:type="spellStart"/>
      <w:r w:rsidR="00FF1D4E" w:rsidRPr="00764600">
        <w:rPr>
          <w:rFonts w:eastAsia="Times New Roman"/>
          <w:lang w:eastAsia="en-US" w:bidi="gu-IN"/>
        </w:rPr>
        <w:t>pigeonpea</w:t>
      </w:r>
      <w:proofErr w:type="spellEnd"/>
      <w:r w:rsidR="00FF1D4E" w:rsidRPr="00764600">
        <w:rPr>
          <w:rFonts w:eastAsia="Times New Roman"/>
          <w:lang w:eastAsia="en-US" w:bidi="gu-IN"/>
        </w:rPr>
        <w:t xml:space="preserve"> intercropping system</w:t>
      </w:r>
      <w:r>
        <w:rPr>
          <w:rFonts w:eastAsia="Times New Roman"/>
          <w:lang w:eastAsia="en-US" w:bidi="gu-IN"/>
        </w:rPr>
        <w:t xml:space="preserve">. The study was conducted </w:t>
      </w:r>
      <w:r w:rsidR="00FF1D4E" w:rsidRPr="00764600">
        <w:rPr>
          <w:rFonts w:eastAsia="Times New Roman"/>
          <w:lang w:eastAsia="en-US" w:bidi="gu-IN"/>
        </w:rPr>
        <w:t xml:space="preserve">at the Agricultural Research Station, Anand Agricultural University, </w:t>
      </w:r>
      <w:proofErr w:type="spellStart"/>
      <w:r w:rsidR="00FF1D4E" w:rsidRPr="00764600">
        <w:rPr>
          <w:rFonts w:eastAsia="Times New Roman"/>
          <w:lang w:eastAsia="en-US" w:bidi="gu-IN"/>
        </w:rPr>
        <w:t>Derol</w:t>
      </w:r>
      <w:proofErr w:type="spellEnd"/>
      <w:r w:rsidR="00FF1D4E" w:rsidRPr="00764600">
        <w:rPr>
          <w:rFonts w:eastAsia="Times New Roman"/>
          <w:lang w:eastAsia="en-US" w:bidi="gu-IN"/>
        </w:rPr>
        <w:t xml:space="preserve">, District </w:t>
      </w:r>
      <w:proofErr w:type="spellStart"/>
      <w:r w:rsidR="00FF1D4E" w:rsidRPr="00764600">
        <w:rPr>
          <w:rFonts w:eastAsia="Times New Roman"/>
          <w:lang w:eastAsia="en-US" w:bidi="gu-IN"/>
        </w:rPr>
        <w:t>Panchmahal</w:t>
      </w:r>
      <w:proofErr w:type="spellEnd"/>
      <w:r w:rsidR="00FF1D4E" w:rsidRPr="00764600">
        <w:rPr>
          <w:rFonts w:eastAsia="Times New Roman"/>
          <w:lang w:eastAsia="en-US" w:bidi="gu-IN"/>
        </w:rPr>
        <w:t xml:space="preserve">, Gujarat during the </w:t>
      </w:r>
      <w:r w:rsidR="00FF1D4E" w:rsidRPr="007D39B3">
        <w:rPr>
          <w:rFonts w:eastAsia="Times New Roman"/>
          <w:i/>
          <w:iCs/>
          <w:lang w:eastAsia="en-US" w:bidi="gu-IN"/>
        </w:rPr>
        <w:t>kharif</w:t>
      </w:r>
      <w:r w:rsidR="00FF1D4E" w:rsidRPr="00764600">
        <w:rPr>
          <w:rFonts w:eastAsia="Times New Roman"/>
          <w:lang w:eastAsia="en-US" w:bidi="gu-IN"/>
        </w:rPr>
        <w:t xml:space="preserve"> seasons of 2017–18 and 2018–19. Ten weed management treatments were evaluated in a randomized block design with four </w:t>
      </w:r>
      <w:proofErr w:type="spellStart"/>
      <w:proofErr w:type="gramStart"/>
      <w:r w:rsidR="00FF1D4E" w:rsidRPr="00764600">
        <w:rPr>
          <w:rFonts w:eastAsia="Times New Roman"/>
          <w:lang w:eastAsia="en-US" w:bidi="gu-IN"/>
        </w:rPr>
        <w:t>replications.The</w:t>
      </w:r>
      <w:proofErr w:type="spellEnd"/>
      <w:proofErr w:type="gramEnd"/>
      <w:r w:rsidR="00FF1D4E" w:rsidRPr="00764600">
        <w:rPr>
          <w:rFonts w:eastAsia="Times New Roman"/>
          <w:lang w:eastAsia="en-US" w:bidi="gu-IN"/>
        </w:rPr>
        <w:t xml:space="preserve"> results of pooled analysis revealed that effective weed control was achieved through </w:t>
      </w:r>
      <w:proofErr w:type="spellStart"/>
      <w:r w:rsidR="00FF1D4E" w:rsidRPr="00764600">
        <w:rPr>
          <w:rFonts w:eastAsia="Times New Roman"/>
          <w:lang w:eastAsia="en-US" w:bidi="gu-IN"/>
        </w:rPr>
        <w:t>interculturing</w:t>
      </w:r>
      <w:proofErr w:type="spellEnd"/>
      <w:r w:rsidR="00FF1D4E" w:rsidRPr="00764600">
        <w:rPr>
          <w:rFonts w:eastAsia="Times New Roman"/>
          <w:lang w:eastAsia="en-US" w:bidi="gu-IN"/>
        </w:rPr>
        <w:t xml:space="preserve"> + hand weeding at 20 and 40 DAS, followed by post-emergence application of </w:t>
      </w:r>
      <w:proofErr w:type="spellStart"/>
      <w:r w:rsidR="00FF1D4E" w:rsidRPr="00764600">
        <w:rPr>
          <w:rFonts w:eastAsia="Times New Roman"/>
          <w:lang w:eastAsia="en-US" w:bidi="gu-IN"/>
        </w:rPr>
        <w:t>imazamox</w:t>
      </w:r>
      <w:proofErr w:type="spellEnd"/>
      <w:r w:rsidR="00FF1D4E" w:rsidRPr="00764600">
        <w:rPr>
          <w:rFonts w:eastAsia="Times New Roman"/>
          <w:lang w:eastAsia="en-US" w:bidi="gu-IN"/>
        </w:rPr>
        <w:t xml:space="preserve"> 35% + imazethapyr 35% (pre-mix) at 70 g ha⁻¹ PoE </w:t>
      </w:r>
      <w:r w:rsidR="00AF424B" w:rsidRPr="00764600">
        <w:rPr>
          <w:rFonts w:eastAsia="Times New Roman"/>
          <w:lang w:eastAsia="en-US" w:bidi="gu-IN"/>
        </w:rPr>
        <w:t xml:space="preserve">followed </w:t>
      </w:r>
      <w:proofErr w:type="spellStart"/>
      <w:r w:rsidR="00AF424B" w:rsidRPr="00764600">
        <w:rPr>
          <w:rFonts w:eastAsia="Times New Roman"/>
          <w:lang w:eastAsia="en-US" w:bidi="gu-IN"/>
        </w:rPr>
        <w:t>by</w:t>
      </w:r>
      <w:r w:rsidR="00FF1D4E" w:rsidRPr="00764600">
        <w:rPr>
          <w:rFonts w:eastAsia="Times New Roman"/>
          <w:lang w:eastAsia="en-US" w:bidi="gu-IN"/>
        </w:rPr>
        <w:t>interculturing</w:t>
      </w:r>
      <w:proofErr w:type="spellEnd"/>
      <w:r w:rsidR="00FF1D4E" w:rsidRPr="00764600">
        <w:rPr>
          <w:rFonts w:eastAsia="Times New Roman"/>
          <w:lang w:eastAsia="en-US" w:bidi="gu-IN"/>
        </w:rPr>
        <w:t xml:space="preserve"> + hand weeding at 30 DAS. This treatment recorded higher protein and oil content</w:t>
      </w:r>
      <w:r w:rsidR="004917DA">
        <w:rPr>
          <w:rFonts w:eastAsia="Times New Roman"/>
          <w:lang w:eastAsia="en-US" w:bidi="gu-IN"/>
        </w:rPr>
        <w:t xml:space="preserve"> and yield</w:t>
      </w:r>
      <w:r w:rsidR="00FF1D4E" w:rsidRPr="00764600">
        <w:rPr>
          <w:rFonts w:eastAsia="Times New Roman"/>
          <w:lang w:eastAsia="en-US" w:bidi="gu-IN"/>
        </w:rPr>
        <w:t xml:space="preserve"> in soybean and higher protein content </w:t>
      </w:r>
      <w:r w:rsidR="004917DA">
        <w:rPr>
          <w:rFonts w:eastAsia="Times New Roman"/>
          <w:lang w:eastAsia="en-US" w:bidi="gu-IN"/>
        </w:rPr>
        <w:t xml:space="preserve">and yield </w:t>
      </w:r>
      <w:r w:rsidR="00FF1D4E" w:rsidRPr="00764600">
        <w:rPr>
          <w:rFonts w:eastAsia="Times New Roman"/>
          <w:lang w:eastAsia="en-US" w:bidi="gu-IN"/>
        </w:rPr>
        <w:t xml:space="preserve">in </w:t>
      </w:r>
      <w:proofErr w:type="spellStart"/>
      <w:r w:rsidR="00FF1D4E" w:rsidRPr="00764600">
        <w:rPr>
          <w:rFonts w:eastAsia="Times New Roman"/>
          <w:lang w:eastAsia="en-US" w:bidi="gu-IN"/>
        </w:rPr>
        <w:t>p</w:t>
      </w:r>
      <w:r w:rsidR="004917DA">
        <w:rPr>
          <w:rFonts w:eastAsia="Times New Roman"/>
          <w:lang w:eastAsia="en-US" w:bidi="gu-IN"/>
        </w:rPr>
        <w:t>igeonpea</w:t>
      </w:r>
      <w:proofErr w:type="spellEnd"/>
      <w:r w:rsidR="004917DA">
        <w:rPr>
          <w:rFonts w:eastAsia="Times New Roman"/>
          <w:lang w:eastAsia="en-US" w:bidi="gu-IN"/>
        </w:rPr>
        <w:t>. The lowest protein,</w:t>
      </w:r>
      <w:r w:rsidR="00FF1D4E" w:rsidRPr="00764600">
        <w:rPr>
          <w:rFonts w:eastAsia="Times New Roman"/>
          <w:lang w:eastAsia="en-US" w:bidi="gu-IN"/>
        </w:rPr>
        <w:t xml:space="preserve"> oil content </w:t>
      </w:r>
      <w:r w:rsidR="004917DA">
        <w:rPr>
          <w:rFonts w:eastAsia="Times New Roman"/>
          <w:lang w:eastAsia="en-US" w:bidi="gu-IN"/>
        </w:rPr>
        <w:t xml:space="preserve">and yield </w:t>
      </w:r>
      <w:proofErr w:type="gramStart"/>
      <w:r w:rsidR="00FF1D4E" w:rsidRPr="00764600">
        <w:rPr>
          <w:rFonts w:eastAsia="Times New Roman"/>
          <w:lang w:eastAsia="en-US" w:bidi="gu-IN"/>
        </w:rPr>
        <w:t>was</w:t>
      </w:r>
      <w:proofErr w:type="gramEnd"/>
      <w:r w:rsidR="00FF1D4E" w:rsidRPr="00764600">
        <w:rPr>
          <w:rFonts w:eastAsia="Times New Roman"/>
          <w:lang w:eastAsia="en-US" w:bidi="gu-IN"/>
        </w:rPr>
        <w:t xml:space="preserve"> observed under the weedy check treatment.</w:t>
      </w:r>
    </w:p>
    <w:p w:rsidR="00FF1D4E" w:rsidRPr="00764600" w:rsidRDefault="00FF1D4E" w:rsidP="00FF1D4E">
      <w:pPr>
        <w:spacing w:after="100" w:afterAutospacing="1" w:line="276" w:lineRule="auto"/>
        <w:jc w:val="both"/>
        <w:rPr>
          <w:rFonts w:eastAsia="Times New Roman"/>
          <w:lang w:eastAsia="en-US" w:bidi="gu-IN"/>
        </w:rPr>
      </w:pPr>
      <w:r w:rsidRPr="007D39B3">
        <w:rPr>
          <w:rFonts w:eastAsia="Times New Roman"/>
          <w:b/>
          <w:bCs/>
          <w:lang w:eastAsia="en-US" w:bidi="gu-IN"/>
        </w:rPr>
        <w:t>Keywords:</w:t>
      </w:r>
      <w:r w:rsidRPr="00764600">
        <w:rPr>
          <w:rFonts w:eastAsia="Times New Roman"/>
          <w:lang w:eastAsia="en-US" w:bidi="gu-IN"/>
        </w:rPr>
        <w:t xml:space="preserve"> Soybean, </w:t>
      </w:r>
      <w:proofErr w:type="spellStart"/>
      <w:r w:rsidRPr="00764600">
        <w:rPr>
          <w:rFonts w:eastAsia="Times New Roman"/>
          <w:lang w:eastAsia="en-US" w:bidi="gu-IN"/>
        </w:rPr>
        <w:t>pigeonpea</w:t>
      </w:r>
      <w:proofErr w:type="spellEnd"/>
      <w:r w:rsidRPr="00764600">
        <w:rPr>
          <w:rFonts w:eastAsia="Times New Roman"/>
          <w:lang w:eastAsia="en-US" w:bidi="gu-IN"/>
        </w:rPr>
        <w:t>, w</w:t>
      </w:r>
      <w:r w:rsidRPr="007D39B3">
        <w:rPr>
          <w:rFonts w:eastAsia="Times New Roman"/>
          <w:lang w:eastAsia="en-US" w:bidi="gu-IN"/>
        </w:rPr>
        <w:t>eed management, protein content</w:t>
      </w:r>
      <w:r w:rsidR="004B3663">
        <w:rPr>
          <w:rFonts w:eastAsia="Times New Roman"/>
          <w:lang w:eastAsia="en-US" w:bidi="gu-IN"/>
        </w:rPr>
        <w:t xml:space="preserve">, </w:t>
      </w:r>
      <w:r w:rsidRPr="00764600">
        <w:rPr>
          <w:rFonts w:eastAsia="Times New Roman"/>
          <w:lang w:eastAsia="en-US" w:bidi="gu-IN"/>
        </w:rPr>
        <w:t>oil content</w:t>
      </w:r>
    </w:p>
    <w:p w:rsidR="00FF1D4E" w:rsidRPr="00764600" w:rsidRDefault="00FF1D4E" w:rsidP="00FF1D4E">
      <w:pPr>
        <w:spacing w:line="276" w:lineRule="auto"/>
        <w:jc w:val="both"/>
        <w:outlineLvl w:val="1"/>
        <w:rPr>
          <w:rFonts w:eastAsia="Times New Roman"/>
          <w:b/>
          <w:bCs/>
          <w:lang w:eastAsia="en-US" w:bidi="gu-IN"/>
        </w:rPr>
      </w:pPr>
      <w:r w:rsidRPr="007D39B3">
        <w:rPr>
          <w:rFonts w:eastAsia="Times New Roman"/>
          <w:b/>
          <w:bCs/>
          <w:lang w:eastAsia="en-US" w:bidi="gu-IN"/>
        </w:rPr>
        <w:t>Introduction</w:t>
      </w:r>
    </w:p>
    <w:p w:rsidR="00715A16" w:rsidRPr="001D59D4" w:rsidRDefault="0095635C" w:rsidP="00715A16">
      <w:pPr>
        <w:spacing w:after="100" w:afterAutospacing="1" w:line="276" w:lineRule="auto"/>
        <w:ind w:firstLine="720"/>
        <w:jc w:val="both"/>
      </w:pPr>
      <w:r>
        <w:rPr>
          <w:rFonts w:eastAsia="Times New Roman"/>
          <w:lang w:eastAsia="en-US" w:bidi="gu-IN"/>
        </w:rPr>
        <w:t>“</w:t>
      </w:r>
      <w:r w:rsidR="00715A16" w:rsidRPr="00764600">
        <w:rPr>
          <w:rFonts w:eastAsia="Times New Roman"/>
          <w:lang w:eastAsia="en-US" w:bidi="gu-IN"/>
        </w:rPr>
        <w:t xml:space="preserve">Soybean is considered a </w:t>
      </w:r>
      <w:r w:rsidR="00FA68FB">
        <w:rPr>
          <w:rFonts w:eastAsia="Times New Roman"/>
          <w:lang w:eastAsia="en-US" w:bidi="gu-IN"/>
        </w:rPr>
        <w:t>‘</w:t>
      </w:r>
      <w:r w:rsidR="00715A16" w:rsidRPr="00764600">
        <w:rPr>
          <w:rFonts w:eastAsia="Times New Roman"/>
          <w:lang w:eastAsia="en-US" w:bidi="gu-IN"/>
        </w:rPr>
        <w:t>miracle crop</w:t>
      </w:r>
      <w:r w:rsidR="00FA68FB">
        <w:rPr>
          <w:rFonts w:eastAsia="Times New Roman"/>
          <w:lang w:eastAsia="en-US" w:bidi="gu-IN"/>
        </w:rPr>
        <w:t>’</w:t>
      </w:r>
      <w:r w:rsidR="00715A16" w:rsidRPr="00764600">
        <w:rPr>
          <w:rFonts w:eastAsia="Times New Roman"/>
          <w:lang w:eastAsia="en-US" w:bidi="gu-IN"/>
        </w:rPr>
        <w:t xml:space="preserve"> or </w:t>
      </w:r>
      <w:r w:rsidR="00FA68FB">
        <w:rPr>
          <w:rFonts w:eastAsia="Times New Roman"/>
          <w:lang w:eastAsia="en-US" w:bidi="gu-IN"/>
        </w:rPr>
        <w:t>‘</w:t>
      </w:r>
      <w:r w:rsidR="00715A16" w:rsidRPr="00764600">
        <w:rPr>
          <w:rFonts w:eastAsia="Times New Roman"/>
          <w:lang w:eastAsia="en-US" w:bidi="gu-IN"/>
        </w:rPr>
        <w:t>wonder legume</w:t>
      </w:r>
      <w:r w:rsidR="00FA68FB">
        <w:rPr>
          <w:rFonts w:eastAsia="Times New Roman"/>
          <w:lang w:eastAsia="en-US" w:bidi="gu-IN"/>
        </w:rPr>
        <w:t>’</w:t>
      </w:r>
      <w:r w:rsidR="00715A16" w:rsidRPr="00764600">
        <w:rPr>
          <w:rFonts w:eastAsia="Times New Roman"/>
          <w:lang w:eastAsia="en-US" w:bidi="gu-IN"/>
        </w:rPr>
        <w:t xml:space="preserve"> due to its outstanding nutritive value, containing about 43% biological protein and 20% oil. It is also rich in vitamins, minerals, iron, salts</w:t>
      </w:r>
      <w:r w:rsidR="00715A16">
        <w:rPr>
          <w:rFonts w:eastAsia="Times New Roman"/>
          <w:lang w:eastAsia="en-US" w:bidi="gu-IN"/>
        </w:rPr>
        <w:t xml:space="preserve"> and</w:t>
      </w:r>
      <w:r w:rsidR="00715A16" w:rsidRPr="00764600">
        <w:rPr>
          <w:rFonts w:eastAsia="Times New Roman"/>
          <w:lang w:eastAsia="en-US" w:bidi="gu-IN"/>
        </w:rPr>
        <w:t xml:space="preserve"> essential amino acids</w:t>
      </w:r>
      <w:r>
        <w:rPr>
          <w:rFonts w:eastAsia="Times New Roman"/>
          <w:lang w:eastAsia="en-US" w:bidi="gu-IN"/>
        </w:rPr>
        <w:t>”</w:t>
      </w:r>
      <w:r w:rsidR="00715A16" w:rsidRPr="00764600">
        <w:rPr>
          <w:rFonts w:eastAsia="Times New Roman"/>
          <w:lang w:eastAsia="en-US" w:bidi="gu-IN"/>
        </w:rPr>
        <w:t xml:space="preserve"> (Sangeetha </w:t>
      </w:r>
      <w:r w:rsidR="00715A16" w:rsidRPr="007D39B3">
        <w:rPr>
          <w:rFonts w:eastAsia="Times New Roman"/>
          <w:i/>
          <w:iCs/>
          <w:lang w:eastAsia="en-US" w:bidi="gu-IN"/>
        </w:rPr>
        <w:t>et al.</w:t>
      </w:r>
      <w:r w:rsidR="00715A16" w:rsidRPr="00764600">
        <w:rPr>
          <w:rFonts w:eastAsia="Times New Roman"/>
          <w:lang w:eastAsia="en-US" w:bidi="gu-IN"/>
        </w:rPr>
        <w:t xml:space="preserve">, 2013). </w:t>
      </w:r>
      <w:r w:rsidR="009E200F">
        <w:rPr>
          <w:rFonts w:eastAsia="Times New Roman"/>
          <w:lang w:eastAsia="en-US" w:bidi="gu-IN"/>
        </w:rPr>
        <w:t>“</w:t>
      </w:r>
      <w:r w:rsidR="00715A16">
        <w:t>Pigeon pea (</w:t>
      </w:r>
      <w:proofErr w:type="spellStart"/>
      <w:r w:rsidR="00715A16">
        <w:rPr>
          <w:i/>
          <w:iCs/>
        </w:rPr>
        <w:t>Cajanus</w:t>
      </w:r>
      <w:proofErr w:type="spellEnd"/>
      <w:r w:rsidR="00715A16">
        <w:rPr>
          <w:i/>
          <w:iCs/>
        </w:rPr>
        <w:t xml:space="preserve"> </w:t>
      </w:r>
      <w:proofErr w:type="spellStart"/>
      <w:r w:rsidR="00715A16">
        <w:rPr>
          <w:i/>
          <w:iCs/>
        </w:rPr>
        <w:t>cajan</w:t>
      </w:r>
      <w:proofErr w:type="spellEnd"/>
      <w:r w:rsidR="00715A16">
        <w:rPr>
          <w:i/>
          <w:iCs/>
        </w:rPr>
        <w:t xml:space="preserve"> L.</w:t>
      </w:r>
      <w:r w:rsidR="00715A16">
        <w:t xml:space="preserve">) is a vital legume recognized for its </w:t>
      </w:r>
      <w:r w:rsidR="00715A16" w:rsidRPr="00C96FCB">
        <w:t xml:space="preserve">widespread cultivation </w:t>
      </w:r>
      <w:r w:rsidR="00715A16">
        <w:t>and its essential contribution to the global economy</w:t>
      </w:r>
      <w:r w:rsidR="009E200F">
        <w:t>”</w:t>
      </w:r>
      <w:r w:rsidR="00715A16">
        <w:t xml:space="preserve"> (Sarkar </w:t>
      </w:r>
      <w:r w:rsidR="00715A16" w:rsidRPr="008B1E14">
        <w:rPr>
          <w:i/>
          <w:iCs/>
        </w:rPr>
        <w:t>et al</w:t>
      </w:r>
      <w:r w:rsidR="00715A16">
        <w:t>., 2020). Commonly referred to as '</w:t>
      </w:r>
      <w:proofErr w:type="spellStart"/>
      <w:r w:rsidR="00715A16">
        <w:t>arhar</w:t>
      </w:r>
      <w:proofErr w:type="spellEnd"/>
      <w:r w:rsidR="00715A16">
        <w:t xml:space="preserve">' or 'tur,' the crop's widespread cultivation across diverse tropical and subtropical environments </w:t>
      </w:r>
      <w:r w:rsidR="00715A16" w:rsidRPr="007820A4">
        <w:t>highlights</w:t>
      </w:r>
      <w:r w:rsidR="00715A16">
        <w:t xml:space="preserve"> its inherent ecological </w:t>
      </w:r>
      <w:r w:rsidR="00715A16" w:rsidRPr="007820A4">
        <w:t>flexibility</w:t>
      </w:r>
      <w:r w:rsidR="00715A16">
        <w:rPr>
          <w:b/>
          <w:bCs/>
        </w:rPr>
        <w:t xml:space="preserve"> (</w:t>
      </w:r>
      <w:r w:rsidR="00715A16">
        <w:t xml:space="preserve">Jadav </w:t>
      </w:r>
      <w:r w:rsidR="00715A16" w:rsidRPr="008B1E14">
        <w:rPr>
          <w:i/>
          <w:iCs/>
        </w:rPr>
        <w:t>et al</w:t>
      </w:r>
      <w:r w:rsidR="00715A16">
        <w:t xml:space="preserve">., 2020). This </w:t>
      </w:r>
      <w:r w:rsidR="00715A16" w:rsidRPr="007820A4">
        <w:t>adaptability</w:t>
      </w:r>
      <w:r w:rsidR="00715A16">
        <w:t xml:space="preserve"> translates into food security for millions in developing regions, as it provides a reliable and energy-dense source of plant-based protein (</w:t>
      </w:r>
      <w:proofErr w:type="gramStart"/>
      <w:r w:rsidR="00715A16">
        <w:t xml:space="preserve">Temba  </w:t>
      </w:r>
      <w:r w:rsidR="00715A16" w:rsidRPr="00EA4CEF">
        <w:rPr>
          <w:i/>
          <w:iCs/>
        </w:rPr>
        <w:t>et al.</w:t>
      </w:r>
      <w:proofErr w:type="gramEnd"/>
      <w:r w:rsidR="00715A16">
        <w:t xml:space="preserve">, 2016). </w:t>
      </w:r>
      <w:r>
        <w:t>“</w:t>
      </w:r>
      <w:r w:rsidR="00715A16">
        <w:t xml:space="preserve">It </w:t>
      </w:r>
      <w:r w:rsidR="00715A16" w:rsidRPr="00764600">
        <w:rPr>
          <w:rFonts w:eastAsia="Times New Roman"/>
          <w:lang w:eastAsia="en-US" w:bidi="gu-IN"/>
        </w:rPr>
        <w:t>is the fifth most important legume crop in the world and serves as a major source of protein for vegetarians.</w:t>
      </w:r>
      <w:r w:rsidR="00715A16">
        <w:rPr>
          <w:rFonts w:eastAsia="Times New Roman"/>
          <w:lang w:eastAsia="en-US" w:bidi="gu-IN"/>
        </w:rPr>
        <w:t xml:space="preserve"> </w:t>
      </w:r>
      <w:r w:rsidR="00715A16" w:rsidRPr="00764600">
        <w:rPr>
          <w:rFonts w:eastAsia="Times New Roman"/>
          <w:lang w:eastAsia="en-US" w:bidi="gu-IN"/>
        </w:rPr>
        <w:t>Pigeon</w:t>
      </w:r>
      <w:r w:rsidR="00715A16">
        <w:rPr>
          <w:rFonts w:eastAsia="Times New Roman"/>
          <w:lang w:eastAsia="en-US" w:bidi="gu-IN"/>
        </w:rPr>
        <w:t xml:space="preserve"> </w:t>
      </w:r>
      <w:r w:rsidR="00715A16" w:rsidRPr="00764600">
        <w:rPr>
          <w:rFonts w:eastAsia="Times New Roman"/>
          <w:lang w:eastAsia="en-US" w:bidi="gu-IN"/>
        </w:rPr>
        <w:t xml:space="preserve">pea is cultivated either as a sole crop or as an intercrop with crops such as </w:t>
      </w:r>
      <w:proofErr w:type="spellStart"/>
      <w:r w:rsidR="00715A16" w:rsidRPr="00764600">
        <w:rPr>
          <w:rFonts w:eastAsia="Times New Roman"/>
          <w:lang w:eastAsia="en-US" w:bidi="gu-IN"/>
        </w:rPr>
        <w:t>urdbean</w:t>
      </w:r>
      <w:proofErr w:type="spellEnd"/>
      <w:r w:rsidR="00715A16" w:rsidRPr="00764600">
        <w:rPr>
          <w:rFonts w:eastAsia="Times New Roman"/>
          <w:lang w:eastAsia="en-US" w:bidi="gu-IN"/>
        </w:rPr>
        <w:t xml:space="preserve">, </w:t>
      </w:r>
      <w:proofErr w:type="spellStart"/>
      <w:r w:rsidR="00715A16" w:rsidRPr="00764600">
        <w:rPr>
          <w:rFonts w:eastAsia="Times New Roman"/>
          <w:lang w:eastAsia="en-US" w:bidi="gu-IN"/>
        </w:rPr>
        <w:t>mungbean</w:t>
      </w:r>
      <w:proofErr w:type="spellEnd"/>
      <w:r w:rsidR="00715A16" w:rsidRPr="00764600">
        <w:rPr>
          <w:rFonts w:eastAsia="Times New Roman"/>
          <w:lang w:eastAsia="en-US" w:bidi="gu-IN"/>
        </w:rPr>
        <w:t>, castor, sorghum, soybean, cotton, maize</w:t>
      </w:r>
      <w:r w:rsidR="00715A16">
        <w:rPr>
          <w:rFonts w:eastAsia="Times New Roman"/>
          <w:lang w:eastAsia="en-US" w:bidi="gu-IN"/>
        </w:rPr>
        <w:t xml:space="preserve"> and</w:t>
      </w:r>
      <w:r w:rsidR="00715A16" w:rsidRPr="00764600">
        <w:rPr>
          <w:rFonts w:eastAsia="Times New Roman"/>
          <w:lang w:eastAsia="en-US" w:bidi="gu-IN"/>
        </w:rPr>
        <w:t xml:space="preserve"> groundnut in several states of India including Maharashtra, Karnataka, Andhra Pradesh, Gujarat, Jharkhand, Rajasthan, Odisha, Punjab</w:t>
      </w:r>
      <w:r w:rsidR="00715A16">
        <w:rPr>
          <w:rFonts w:eastAsia="Times New Roman"/>
          <w:lang w:eastAsia="en-US" w:bidi="gu-IN"/>
        </w:rPr>
        <w:t xml:space="preserve"> and</w:t>
      </w:r>
      <w:r w:rsidR="00715A16" w:rsidRPr="00764600">
        <w:rPr>
          <w:rFonts w:eastAsia="Times New Roman"/>
          <w:lang w:eastAsia="en-US" w:bidi="gu-IN"/>
        </w:rPr>
        <w:t xml:space="preserve"> Haryana.</w:t>
      </w:r>
      <w:r w:rsidR="00715A16">
        <w:rPr>
          <w:rFonts w:eastAsia="Times New Roman"/>
          <w:lang w:eastAsia="en-US" w:bidi="gu-IN"/>
        </w:rPr>
        <w:t xml:space="preserve"> </w:t>
      </w:r>
      <w:r w:rsidR="00715A16" w:rsidRPr="00764600">
        <w:rPr>
          <w:rFonts w:eastAsia="Times New Roman"/>
          <w:lang w:eastAsia="en-US" w:bidi="gu-IN"/>
        </w:rPr>
        <w:t>During the rainy season, weeds emerge in two to three flushes and grow rapidly, competing with crops for light, nutrients, moisture</w:t>
      </w:r>
      <w:r w:rsidR="00715A16">
        <w:rPr>
          <w:rFonts w:eastAsia="Times New Roman"/>
          <w:lang w:eastAsia="en-US" w:bidi="gu-IN"/>
        </w:rPr>
        <w:t xml:space="preserve"> and</w:t>
      </w:r>
      <w:r w:rsidR="00715A16" w:rsidRPr="00764600">
        <w:rPr>
          <w:rFonts w:eastAsia="Times New Roman"/>
          <w:lang w:eastAsia="en-US" w:bidi="gu-IN"/>
        </w:rPr>
        <w:t xml:space="preserve"> space, resulting in substantial yield losses. </w:t>
      </w:r>
      <w:r w:rsidR="00715A16" w:rsidRPr="00C96FCB">
        <w:rPr>
          <w:color w:val="000000" w:themeColor="text1"/>
        </w:rPr>
        <w:t>Intercropping enhances crop canopy and thus suppresses weeds</w:t>
      </w:r>
      <w:r w:rsidR="00B22FD7">
        <w:rPr>
          <w:color w:val="000000" w:themeColor="text1"/>
        </w:rPr>
        <w:t>” (</w:t>
      </w:r>
      <w:proofErr w:type="spellStart"/>
      <w:r w:rsidR="00B22FD7" w:rsidRPr="00B22FD7">
        <w:rPr>
          <w:color w:val="000000" w:themeColor="text1"/>
        </w:rPr>
        <w:t>Hajari</w:t>
      </w:r>
      <w:proofErr w:type="spellEnd"/>
      <w:r w:rsidR="00B22FD7" w:rsidRPr="00B22FD7">
        <w:rPr>
          <w:color w:val="000000" w:themeColor="text1"/>
        </w:rPr>
        <w:t xml:space="preserve"> </w:t>
      </w:r>
      <w:proofErr w:type="gramStart"/>
      <w:r w:rsidR="00B22FD7" w:rsidRPr="00B22FD7">
        <w:rPr>
          <w:color w:val="000000" w:themeColor="text1"/>
        </w:rPr>
        <w:t>and  PATEL</w:t>
      </w:r>
      <w:proofErr w:type="gramEnd"/>
      <w:r w:rsidR="00B22FD7" w:rsidRPr="00B22FD7">
        <w:rPr>
          <w:color w:val="000000" w:themeColor="text1"/>
        </w:rPr>
        <w:t>, 2020</w:t>
      </w:r>
      <w:r w:rsidR="00B22FD7">
        <w:rPr>
          <w:color w:val="000000" w:themeColor="text1"/>
        </w:rPr>
        <w:t>)</w:t>
      </w:r>
      <w:r w:rsidR="00715A16" w:rsidRPr="00C96FCB">
        <w:rPr>
          <w:color w:val="000000" w:themeColor="text1"/>
        </w:rPr>
        <w:t xml:space="preserve">. </w:t>
      </w:r>
      <w:r w:rsidR="00B22FD7">
        <w:rPr>
          <w:color w:val="000000" w:themeColor="text1"/>
        </w:rPr>
        <w:t>“</w:t>
      </w:r>
      <w:r w:rsidR="00715A16" w:rsidRPr="00C96FCB">
        <w:rPr>
          <w:color w:val="000000" w:themeColor="text1"/>
        </w:rPr>
        <w:t xml:space="preserve">Short duration legumes, viz. </w:t>
      </w:r>
      <w:proofErr w:type="spellStart"/>
      <w:r w:rsidR="00715A16" w:rsidRPr="00C96FCB">
        <w:rPr>
          <w:color w:val="000000" w:themeColor="text1"/>
        </w:rPr>
        <w:t>urdbean</w:t>
      </w:r>
      <w:proofErr w:type="spellEnd"/>
      <w:r w:rsidR="00715A16" w:rsidRPr="00C96FCB">
        <w:rPr>
          <w:color w:val="000000" w:themeColor="text1"/>
        </w:rPr>
        <w:t xml:space="preserve">, </w:t>
      </w:r>
      <w:proofErr w:type="spellStart"/>
      <w:r w:rsidR="00715A16" w:rsidRPr="00C96FCB">
        <w:rPr>
          <w:color w:val="000000" w:themeColor="text1"/>
        </w:rPr>
        <w:t>mungbean</w:t>
      </w:r>
      <w:proofErr w:type="spellEnd"/>
      <w:r w:rsidR="00715A16" w:rsidRPr="00C96FCB">
        <w:rPr>
          <w:color w:val="000000" w:themeColor="text1"/>
        </w:rPr>
        <w:t xml:space="preserve">, soybean and cowpea when grown with </w:t>
      </w:r>
      <w:proofErr w:type="spellStart"/>
      <w:r w:rsidR="00715A16" w:rsidRPr="00C96FCB">
        <w:rPr>
          <w:color w:val="000000" w:themeColor="text1"/>
        </w:rPr>
        <w:t>pigeonpea</w:t>
      </w:r>
      <w:proofErr w:type="spellEnd"/>
      <w:r w:rsidR="00715A16" w:rsidRPr="00C96FCB">
        <w:rPr>
          <w:color w:val="000000" w:themeColor="text1"/>
        </w:rPr>
        <w:t xml:space="preserve"> under intercropping system suppressed weed flora considerably.</w:t>
      </w:r>
      <w:r w:rsidR="00715A16" w:rsidRPr="00C96FCB">
        <w:rPr>
          <w:rFonts w:eastAsia="Times New Roman"/>
          <w:color w:val="000000" w:themeColor="text1"/>
          <w:lang w:eastAsia="en-US" w:bidi="gu-IN"/>
        </w:rPr>
        <w:t xml:space="preserve"> </w:t>
      </w:r>
      <w:r w:rsidR="00715A16" w:rsidRPr="00764600">
        <w:rPr>
          <w:rFonts w:eastAsia="Times New Roman"/>
          <w:lang w:eastAsia="en-US" w:bidi="gu-IN"/>
        </w:rPr>
        <w:t xml:space="preserve">Weeds can cause up to 80% reduction in </w:t>
      </w:r>
      <w:proofErr w:type="spellStart"/>
      <w:r w:rsidR="00715A16" w:rsidRPr="00764600">
        <w:rPr>
          <w:rFonts w:eastAsia="Times New Roman"/>
          <w:lang w:eastAsia="en-US" w:bidi="gu-IN"/>
        </w:rPr>
        <w:t>pigeonpea</w:t>
      </w:r>
      <w:proofErr w:type="spellEnd"/>
      <w:r w:rsidR="00715A16" w:rsidRPr="00764600">
        <w:rPr>
          <w:rFonts w:eastAsia="Times New Roman"/>
          <w:lang w:eastAsia="en-US" w:bidi="gu-IN"/>
        </w:rPr>
        <w:t xml:space="preserve"> grain yield when allowed to grow until harvest; however, yield losses were reduced to 38% under </w:t>
      </w:r>
      <w:proofErr w:type="spellStart"/>
      <w:r w:rsidR="00715A16" w:rsidRPr="00764600">
        <w:rPr>
          <w:rFonts w:eastAsia="Times New Roman"/>
          <w:lang w:eastAsia="en-US" w:bidi="gu-IN"/>
        </w:rPr>
        <w:lastRenderedPageBreak/>
        <w:t>pigeonpea</w:t>
      </w:r>
      <w:proofErr w:type="spellEnd"/>
      <w:r w:rsidR="00715A16" w:rsidRPr="00764600">
        <w:rPr>
          <w:rFonts w:eastAsia="Times New Roman"/>
          <w:lang w:eastAsia="en-US" w:bidi="gu-IN"/>
        </w:rPr>
        <w:t xml:space="preserve"> + soybean intercropping system</w:t>
      </w:r>
      <w:r>
        <w:rPr>
          <w:rFonts w:eastAsia="Times New Roman"/>
          <w:lang w:eastAsia="en-US" w:bidi="gu-IN"/>
        </w:rPr>
        <w:t>”</w:t>
      </w:r>
      <w:r w:rsidR="00715A16" w:rsidRPr="00764600">
        <w:rPr>
          <w:rFonts w:eastAsia="Times New Roman"/>
          <w:lang w:eastAsia="en-US" w:bidi="gu-IN"/>
        </w:rPr>
        <w:t xml:space="preserve"> (</w:t>
      </w:r>
      <w:proofErr w:type="spellStart"/>
      <w:r w:rsidR="00715A16" w:rsidRPr="00764600">
        <w:rPr>
          <w:rFonts w:eastAsia="Times New Roman"/>
          <w:lang w:eastAsia="en-US" w:bidi="gu-IN"/>
        </w:rPr>
        <w:t>Talnikar</w:t>
      </w:r>
      <w:proofErr w:type="spellEnd"/>
      <w:r w:rsidR="00715A16" w:rsidRPr="00764600">
        <w:rPr>
          <w:rFonts w:eastAsia="Times New Roman"/>
          <w:lang w:eastAsia="en-US" w:bidi="gu-IN"/>
        </w:rPr>
        <w:t xml:space="preserve"> </w:t>
      </w:r>
      <w:r w:rsidR="00715A16" w:rsidRPr="007D39B3">
        <w:rPr>
          <w:rFonts w:eastAsia="Times New Roman"/>
          <w:i/>
          <w:iCs/>
          <w:lang w:eastAsia="en-US" w:bidi="gu-IN"/>
        </w:rPr>
        <w:t>et al.</w:t>
      </w:r>
      <w:r w:rsidR="00715A16" w:rsidRPr="00764600">
        <w:rPr>
          <w:rFonts w:eastAsia="Times New Roman"/>
          <w:lang w:eastAsia="en-US" w:bidi="gu-IN"/>
        </w:rPr>
        <w:t>, 2008).</w:t>
      </w:r>
      <w:r w:rsidR="00715A16">
        <w:rPr>
          <w:rFonts w:eastAsia="Times New Roman"/>
          <w:lang w:eastAsia="en-US" w:bidi="gu-IN"/>
        </w:rPr>
        <w:t xml:space="preserve"> </w:t>
      </w:r>
      <w:r w:rsidR="001A6BB3">
        <w:rPr>
          <w:rFonts w:eastAsia="Times New Roman"/>
          <w:lang w:eastAsia="en-US" w:bidi="gu-IN"/>
        </w:rPr>
        <w:t xml:space="preserve"> The objective of the </w:t>
      </w:r>
      <w:proofErr w:type="gramStart"/>
      <w:r w:rsidR="001A6BB3">
        <w:rPr>
          <w:rFonts w:eastAsia="Times New Roman"/>
          <w:lang w:eastAsia="en-US" w:bidi="gu-IN"/>
        </w:rPr>
        <w:t xml:space="preserve">present </w:t>
      </w:r>
      <w:r w:rsidR="001A6BB3" w:rsidRPr="001A6BB3">
        <w:rPr>
          <w:rFonts w:eastAsia="Times New Roman"/>
          <w:lang w:eastAsia="en-US" w:bidi="gu-IN"/>
        </w:rPr>
        <w:t xml:space="preserve"> experiment</w:t>
      </w:r>
      <w:proofErr w:type="gramEnd"/>
      <w:r w:rsidR="001A6BB3" w:rsidRPr="001A6BB3">
        <w:rPr>
          <w:rFonts w:eastAsia="Times New Roman"/>
          <w:lang w:eastAsia="en-US" w:bidi="gu-IN"/>
        </w:rPr>
        <w:t xml:space="preserve"> </w:t>
      </w:r>
      <w:r w:rsidR="001A6BB3">
        <w:rPr>
          <w:rFonts w:eastAsia="Times New Roman"/>
          <w:lang w:eastAsia="en-US" w:bidi="gu-IN"/>
        </w:rPr>
        <w:t xml:space="preserve">to find out </w:t>
      </w:r>
      <w:r w:rsidR="001A6BB3" w:rsidRPr="001A6BB3">
        <w:rPr>
          <w:rFonts w:eastAsia="Times New Roman"/>
          <w:lang w:eastAsia="en-US" w:bidi="gu-IN"/>
        </w:rPr>
        <w:t>the effect of different weed management practices on quality parameters in a soybean–</w:t>
      </w:r>
      <w:proofErr w:type="spellStart"/>
      <w:r w:rsidR="001A6BB3" w:rsidRPr="001A6BB3">
        <w:rPr>
          <w:rFonts w:eastAsia="Times New Roman"/>
          <w:lang w:eastAsia="en-US" w:bidi="gu-IN"/>
        </w:rPr>
        <w:t>pigeonpea</w:t>
      </w:r>
      <w:proofErr w:type="spellEnd"/>
      <w:r w:rsidR="001A6BB3" w:rsidRPr="001A6BB3">
        <w:rPr>
          <w:rFonts w:eastAsia="Times New Roman"/>
          <w:lang w:eastAsia="en-US" w:bidi="gu-IN"/>
        </w:rPr>
        <w:t xml:space="preserve"> intercropping system.</w:t>
      </w:r>
    </w:p>
    <w:p w:rsidR="00FF1D4E" w:rsidRPr="00764600" w:rsidRDefault="00FF1D4E" w:rsidP="00FF1D4E">
      <w:pPr>
        <w:spacing w:line="276" w:lineRule="auto"/>
        <w:jc w:val="both"/>
        <w:outlineLvl w:val="1"/>
        <w:rPr>
          <w:rFonts w:eastAsia="Times New Roman"/>
          <w:b/>
          <w:bCs/>
          <w:lang w:eastAsia="en-US" w:bidi="gu-IN"/>
        </w:rPr>
      </w:pPr>
      <w:r w:rsidRPr="007D39B3">
        <w:rPr>
          <w:rFonts w:eastAsia="Times New Roman"/>
          <w:b/>
          <w:bCs/>
          <w:lang w:eastAsia="en-US" w:bidi="gu-IN"/>
        </w:rPr>
        <w:t>Materials and Methods</w:t>
      </w:r>
    </w:p>
    <w:p w:rsidR="004D4B76" w:rsidRPr="00764600" w:rsidRDefault="00B674FA" w:rsidP="0029233F">
      <w:pPr>
        <w:tabs>
          <w:tab w:val="left" w:pos="0"/>
        </w:tabs>
        <w:spacing w:line="276" w:lineRule="auto"/>
        <w:jc w:val="both"/>
        <w:rPr>
          <w:rFonts w:eastAsia="Times New Roman"/>
          <w:lang w:eastAsia="en-US" w:bidi="gu-IN"/>
        </w:rPr>
      </w:pPr>
      <w:r w:rsidRPr="00B674FA">
        <w:rPr>
          <w:rFonts w:eastAsia="Times New Roman"/>
          <w:lang w:eastAsia="en-US" w:bidi="gu-IN"/>
        </w:rPr>
        <w:t xml:space="preserve">The field experiment was carried out at the Agricultural Research Station, Anand Agricultural University, </w:t>
      </w:r>
      <w:proofErr w:type="spellStart"/>
      <w:r w:rsidRPr="00B674FA">
        <w:rPr>
          <w:rFonts w:eastAsia="Times New Roman"/>
          <w:lang w:eastAsia="en-US" w:bidi="gu-IN"/>
        </w:rPr>
        <w:t>Derol</w:t>
      </w:r>
      <w:proofErr w:type="spellEnd"/>
      <w:r w:rsidRPr="00B674FA">
        <w:rPr>
          <w:rFonts w:eastAsia="Times New Roman"/>
          <w:lang w:eastAsia="en-US" w:bidi="gu-IN"/>
        </w:rPr>
        <w:t xml:space="preserve">, District </w:t>
      </w:r>
      <w:proofErr w:type="spellStart"/>
      <w:r w:rsidRPr="00B674FA">
        <w:rPr>
          <w:rFonts w:eastAsia="Times New Roman"/>
          <w:lang w:eastAsia="en-US" w:bidi="gu-IN"/>
        </w:rPr>
        <w:t>Panchmahal</w:t>
      </w:r>
      <w:proofErr w:type="spellEnd"/>
      <w:r w:rsidRPr="00B674FA">
        <w:rPr>
          <w:rFonts w:eastAsia="Times New Roman"/>
          <w:lang w:eastAsia="en-US" w:bidi="gu-IN"/>
        </w:rPr>
        <w:t xml:space="preserve">, Gujarat, during the 2017-18 and 2018-19 </w:t>
      </w:r>
      <w:r w:rsidRPr="00B674FA">
        <w:rPr>
          <w:rFonts w:eastAsia="Times New Roman"/>
          <w:i/>
          <w:lang w:eastAsia="en-US" w:bidi="gu-IN"/>
        </w:rPr>
        <w:t>kharif</w:t>
      </w:r>
      <w:r w:rsidRPr="00B674FA">
        <w:rPr>
          <w:rFonts w:eastAsia="Times New Roman"/>
          <w:lang w:eastAsia="en-US" w:bidi="gu-IN"/>
        </w:rPr>
        <w:t xml:space="preserve"> seasons to investigate weed management strategies in a soybean-</w:t>
      </w:r>
      <w:proofErr w:type="spellStart"/>
      <w:r w:rsidRPr="00B674FA">
        <w:rPr>
          <w:rFonts w:eastAsia="Times New Roman"/>
          <w:lang w:eastAsia="en-US" w:bidi="gu-IN"/>
        </w:rPr>
        <w:t>pigeonpea</w:t>
      </w:r>
      <w:proofErr w:type="spellEnd"/>
      <w:r w:rsidRPr="00B674FA">
        <w:rPr>
          <w:rFonts w:eastAsia="Times New Roman"/>
          <w:lang w:eastAsia="en-US" w:bidi="gu-IN"/>
        </w:rPr>
        <w:t xml:space="preserve"> intercropping system. </w:t>
      </w:r>
      <w:r>
        <w:rPr>
          <w:rFonts w:eastAsia="Times New Roman"/>
          <w:lang w:eastAsia="en-US" w:bidi="gu-IN"/>
        </w:rPr>
        <w:t xml:space="preserve"> </w:t>
      </w:r>
      <w:r w:rsidR="0057459F" w:rsidRPr="001A4FF2">
        <w:rPr>
          <w:rFonts w:eastAsiaTheme="minorEastAsia"/>
          <w:lang w:eastAsia="en-US" w:bidi="gu-IN"/>
        </w:rPr>
        <w:t>The weekly mean minimum temperature ranged between 10.3</w:t>
      </w:r>
      <w:r w:rsidR="0057459F" w:rsidRPr="001A4FF2">
        <w:rPr>
          <w:rFonts w:eastAsiaTheme="minorEastAsia"/>
          <w:vertAlign w:val="superscript"/>
          <w:lang w:eastAsia="en-US" w:bidi="gu-IN"/>
        </w:rPr>
        <w:t>0</w:t>
      </w:r>
      <w:r w:rsidR="0057459F" w:rsidRPr="001A4FF2">
        <w:rPr>
          <w:rFonts w:eastAsiaTheme="minorEastAsia"/>
          <w:lang w:eastAsia="en-US" w:bidi="gu-IN"/>
        </w:rPr>
        <w:t>C to 25.8</w:t>
      </w:r>
      <w:r w:rsidR="0057459F" w:rsidRPr="001A4FF2">
        <w:rPr>
          <w:rFonts w:eastAsiaTheme="minorEastAsia"/>
          <w:vertAlign w:val="superscript"/>
          <w:lang w:eastAsia="en-US" w:bidi="gu-IN"/>
        </w:rPr>
        <w:t>0</w:t>
      </w:r>
      <w:r w:rsidR="0057459F" w:rsidRPr="001A4FF2">
        <w:rPr>
          <w:rFonts w:eastAsiaTheme="minorEastAsia"/>
          <w:lang w:eastAsia="en-US" w:bidi="gu-IN"/>
        </w:rPr>
        <w:t>C and 5.6</w:t>
      </w:r>
      <w:r w:rsidR="0057459F" w:rsidRPr="001A4FF2">
        <w:rPr>
          <w:rFonts w:eastAsiaTheme="minorEastAsia"/>
          <w:vertAlign w:val="superscript"/>
          <w:lang w:eastAsia="en-US" w:bidi="gu-IN"/>
        </w:rPr>
        <w:t>0</w:t>
      </w:r>
      <w:r w:rsidR="0057459F" w:rsidRPr="001A4FF2">
        <w:rPr>
          <w:rFonts w:eastAsiaTheme="minorEastAsia"/>
          <w:lang w:eastAsia="en-US" w:bidi="gu-IN"/>
        </w:rPr>
        <w:t>C to 26.0</w:t>
      </w:r>
      <w:r w:rsidR="0057459F" w:rsidRPr="001A4FF2">
        <w:rPr>
          <w:rFonts w:eastAsiaTheme="minorEastAsia"/>
          <w:vertAlign w:val="superscript"/>
          <w:lang w:eastAsia="en-US" w:bidi="gu-IN"/>
        </w:rPr>
        <w:t>0</w:t>
      </w:r>
      <w:r w:rsidR="0057459F" w:rsidRPr="001A4FF2">
        <w:rPr>
          <w:rFonts w:eastAsiaTheme="minorEastAsia"/>
          <w:lang w:eastAsia="en-US" w:bidi="gu-IN"/>
        </w:rPr>
        <w:t>C and mean maximum temperature ranged between 26.5</w:t>
      </w:r>
      <w:r w:rsidR="0057459F" w:rsidRPr="001A4FF2">
        <w:rPr>
          <w:rFonts w:eastAsiaTheme="minorEastAsia"/>
          <w:vertAlign w:val="superscript"/>
          <w:lang w:eastAsia="en-US" w:bidi="gu-IN"/>
        </w:rPr>
        <w:t>0</w:t>
      </w:r>
      <w:r w:rsidR="0057459F" w:rsidRPr="001A4FF2">
        <w:rPr>
          <w:rFonts w:eastAsiaTheme="minorEastAsia"/>
          <w:lang w:eastAsia="en-US" w:bidi="gu-IN"/>
        </w:rPr>
        <w:t>C to 37.2</w:t>
      </w:r>
      <w:r w:rsidR="0057459F" w:rsidRPr="001A4FF2">
        <w:rPr>
          <w:rFonts w:eastAsiaTheme="minorEastAsia"/>
          <w:vertAlign w:val="superscript"/>
          <w:lang w:eastAsia="en-US" w:bidi="gu-IN"/>
        </w:rPr>
        <w:t>0</w:t>
      </w:r>
      <w:r w:rsidR="0057459F" w:rsidRPr="001A4FF2">
        <w:rPr>
          <w:rFonts w:eastAsiaTheme="minorEastAsia"/>
          <w:lang w:eastAsia="en-US" w:bidi="gu-IN"/>
        </w:rPr>
        <w:t>C and 12.9</w:t>
      </w:r>
      <w:r w:rsidR="0057459F" w:rsidRPr="001A4FF2">
        <w:rPr>
          <w:rFonts w:eastAsiaTheme="minorEastAsia"/>
          <w:vertAlign w:val="superscript"/>
          <w:lang w:eastAsia="en-US" w:bidi="gu-IN"/>
        </w:rPr>
        <w:t>0</w:t>
      </w:r>
      <w:r w:rsidR="0057459F" w:rsidRPr="001A4FF2">
        <w:rPr>
          <w:rFonts w:eastAsiaTheme="minorEastAsia"/>
          <w:lang w:eastAsia="en-US" w:bidi="gu-IN"/>
        </w:rPr>
        <w:t>C to 36.6</w:t>
      </w:r>
      <w:r w:rsidR="0057459F" w:rsidRPr="001A4FF2">
        <w:rPr>
          <w:rFonts w:eastAsiaTheme="minorEastAsia"/>
          <w:vertAlign w:val="superscript"/>
          <w:lang w:eastAsia="en-US" w:bidi="gu-IN"/>
        </w:rPr>
        <w:t>0</w:t>
      </w:r>
      <w:r w:rsidR="0057459F" w:rsidRPr="001A4FF2">
        <w:rPr>
          <w:rFonts w:eastAsiaTheme="minorEastAsia"/>
          <w:lang w:eastAsia="en-US" w:bidi="gu-IN"/>
        </w:rPr>
        <w:t>C during the years 2017-18 (July to March) and 2018-19 (July to March), respectively.</w:t>
      </w:r>
      <w:r w:rsidR="0057459F" w:rsidRPr="001A4FF2">
        <w:rPr>
          <w:rFonts w:eastAsiaTheme="minorEastAsia"/>
          <w:color w:val="FF0000"/>
          <w:lang w:eastAsia="en-US" w:bidi="gu-IN"/>
        </w:rPr>
        <w:t xml:space="preserve"> </w:t>
      </w:r>
      <w:r w:rsidR="0057459F" w:rsidRPr="001A4FF2">
        <w:rPr>
          <w:rFonts w:eastAsiaTheme="minorEastAsia"/>
          <w:lang w:eastAsia="en-US" w:bidi="gu-IN"/>
        </w:rPr>
        <w:t>Average relative humidity ranged from 73.8 per cent at the time of harvesting in the month of January</w:t>
      </w:r>
      <w:r w:rsidR="0057459F">
        <w:rPr>
          <w:rFonts w:eastAsiaTheme="minorEastAsia"/>
          <w:lang w:eastAsia="en-US" w:bidi="gu-IN"/>
        </w:rPr>
        <w:t>-2018</w:t>
      </w:r>
      <w:r w:rsidR="0057459F" w:rsidRPr="001A4FF2">
        <w:rPr>
          <w:rFonts w:eastAsiaTheme="minorEastAsia"/>
          <w:lang w:eastAsia="en-US" w:bidi="gu-IN"/>
        </w:rPr>
        <w:t xml:space="preserve"> to 96.5 per cent at sowing time in the month of the July</w:t>
      </w:r>
      <w:r w:rsidR="0057459F">
        <w:rPr>
          <w:rFonts w:eastAsiaTheme="minorEastAsia"/>
          <w:lang w:eastAsia="en-US" w:bidi="gu-IN"/>
        </w:rPr>
        <w:t>-2017</w:t>
      </w:r>
      <w:r w:rsidR="0057459F" w:rsidRPr="001A4FF2">
        <w:rPr>
          <w:rFonts w:eastAsiaTheme="minorEastAsia"/>
          <w:lang w:eastAsia="en-US" w:bidi="gu-IN"/>
        </w:rPr>
        <w:t>; whereas, for the year 2018-19, relative humidity ranged from 67.4 per cent and 93.9 per cent, in the month January</w:t>
      </w:r>
      <w:r w:rsidR="0057459F">
        <w:rPr>
          <w:rFonts w:eastAsiaTheme="minorEastAsia"/>
          <w:lang w:eastAsia="en-US" w:bidi="gu-IN"/>
        </w:rPr>
        <w:t>-2019</w:t>
      </w:r>
      <w:r w:rsidR="0057459F" w:rsidRPr="001A4FF2">
        <w:rPr>
          <w:rFonts w:eastAsiaTheme="minorEastAsia"/>
          <w:lang w:eastAsia="en-US" w:bidi="gu-IN"/>
        </w:rPr>
        <w:t xml:space="preserve"> and July</w:t>
      </w:r>
      <w:r w:rsidR="0057459F">
        <w:rPr>
          <w:rFonts w:eastAsiaTheme="minorEastAsia"/>
          <w:lang w:eastAsia="en-US" w:bidi="gu-IN"/>
        </w:rPr>
        <w:t>-2018</w:t>
      </w:r>
      <w:r w:rsidR="0057459F" w:rsidRPr="001A4FF2">
        <w:rPr>
          <w:rFonts w:eastAsiaTheme="minorEastAsia"/>
          <w:lang w:eastAsia="en-US" w:bidi="gu-IN"/>
        </w:rPr>
        <w:t>, respectively. As for as bright sunshine hours day</w:t>
      </w:r>
      <w:r w:rsidR="0057459F" w:rsidRPr="001A4FF2">
        <w:rPr>
          <w:rFonts w:eastAsiaTheme="minorEastAsia"/>
          <w:vertAlign w:val="superscript"/>
          <w:lang w:eastAsia="en-US" w:bidi="gu-IN"/>
        </w:rPr>
        <w:t>-1</w:t>
      </w:r>
      <w:r w:rsidR="0057459F" w:rsidRPr="001A4FF2">
        <w:rPr>
          <w:rFonts w:eastAsiaTheme="minorEastAsia"/>
          <w:lang w:eastAsia="en-US" w:bidi="gu-IN"/>
        </w:rPr>
        <w:t xml:space="preserve"> are concerned, it ranged from 0.1 to 9.0 hours day</w:t>
      </w:r>
      <w:r w:rsidR="0057459F" w:rsidRPr="001A4FF2">
        <w:rPr>
          <w:rFonts w:eastAsiaTheme="minorEastAsia"/>
          <w:vertAlign w:val="superscript"/>
          <w:lang w:eastAsia="en-US" w:bidi="gu-IN"/>
        </w:rPr>
        <w:t>-1</w:t>
      </w:r>
      <w:r w:rsidR="0057459F" w:rsidRPr="001A4FF2">
        <w:rPr>
          <w:rFonts w:eastAsiaTheme="minorEastAsia"/>
          <w:lang w:eastAsia="en-US" w:bidi="gu-IN"/>
        </w:rPr>
        <w:t xml:space="preserve"> and 0.1 to 9.2 hours day</w:t>
      </w:r>
      <w:r w:rsidR="0057459F" w:rsidRPr="001A4FF2">
        <w:rPr>
          <w:rFonts w:eastAsiaTheme="minorEastAsia"/>
          <w:vertAlign w:val="superscript"/>
          <w:lang w:eastAsia="en-US" w:bidi="gu-IN"/>
        </w:rPr>
        <w:t>-1</w:t>
      </w:r>
      <w:r w:rsidR="0057459F" w:rsidRPr="001A4FF2">
        <w:rPr>
          <w:rFonts w:eastAsiaTheme="minorEastAsia"/>
          <w:lang w:eastAsia="en-US" w:bidi="gu-IN"/>
        </w:rPr>
        <w:t xml:space="preserve"> for the years 2017-18 and 2018-19, respectively. Total rainfall of 599.2 mm and 625.4 mm was recorded in 39.0 and 21.0 rainy days for the year 2017-18 and 2018-19, respectively.</w:t>
      </w:r>
      <w:r w:rsidR="0057459F">
        <w:rPr>
          <w:rFonts w:eastAsiaTheme="minorEastAsia"/>
          <w:lang w:eastAsia="en-US" w:bidi="gu-IN"/>
        </w:rPr>
        <w:t xml:space="preserve"> </w:t>
      </w:r>
      <w:r w:rsidR="00113A86" w:rsidRPr="00113A86">
        <w:rPr>
          <w:rFonts w:eastAsia="Times New Roman"/>
          <w:lang w:eastAsia="en-US" w:bidi="gu-IN"/>
        </w:rPr>
        <w:t xml:space="preserve">Ten weed control treatments were used in the experiment, which was set up in a </w:t>
      </w:r>
      <w:proofErr w:type="spellStart"/>
      <w:r w:rsidR="00113A86" w:rsidRPr="00113A86">
        <w:rPr>
          <w:rFonts w:eastAsia="Times New Roman"/>
          <w:lang w:eastAsia="en-US" w:bidi="gu-IN"/>
        </w:rPr>
        <w:t>randomised</w:t>
      </w:r>
      <w:proofErr w:type="spellEnd"/>
      <w:r w:rsidR="00113A86" w:rsidRPr="00113A86">
        <w:rPr>
          <w:rFonts w:eastAsia="Times New Roman"/>
          <w:lang w:eastAsia="en-US" w:bidi="gu-IN"/>
        </w:rPr>
        <w:t xml:space="preserve"> block design with four replications. </w:t>
      </w:r>
      <w:r w:rsidR="0057459F">
        <w:rPr>
          <w:rFonts w:eastAsia="Times New Roman"/>
          <w:lang w:eastAsia="en-US" w:bidi="gu-IN"/>
        </w:rPr>
        <w:t xml:space="preserve">The treatments included: </w:t>
      </w:r>
      <w:r w:rsidR="0057459F" w:rsidRPr="00764600">
        <w:rPr>
          <w:rFonts w:eastAsia="Times New Roman"/>
          <w:lang w:eastAsia="en-US" w:bidi="gu-IN"/>
        </w:rPr>
        <w:t xml:space="preserve">Pendimethalin 1000 g ha⁻¹ PE </w:t>
      </w:r>
      <w:r w:rsidR="0057459F" w:rsidRPr="000749C3">
        <w:rPr>
          <w:rFonts w:eastAsia="Times New Roman"/>
          <w:i/>
          <w:lang w:eastAsia="en-US" w:bidi="gu-IN"/>
        </w:rPr>
        <w:t>fb</w:t>
      </w:r>
      <w:r w:rsidR="0057459F" w:rsidRPr="00764600">
        <w:rPr>
          <w:rFonts w:eastAsia="Times New Roman"/>
          <w:lang w:eastAsia="en-US" w:bidi="gu-IN"/>
        </w:rPr>
        <w:t xml:space="preserve"> </w:t>
      </w:r>
      <w:proofErr w:type="spellStart"/>
      <w:r w:rsidR="0057459F" w:rsidRPr="00764600">
        <w:rPr>
          <w:rFonts w:eastAsia="Times New Roman"/>
          <w:lang w:eastAsia="en-US" w:bidi="gu-IN"/>
        </w:rPr>
        <w:t>interculturing</w:t>
      </w:r>
      <w:proofErr w:type="spellEnd"/>
      <w:r w:rsidR="0057459F" w:rsidRPr="00764600">
        <w:rPr>
          <w:rFonts w:eastAsia="Times New Roman"/>
          <w:lang w:eastAsia="en-US" w:bidi="gu-IN"/>
        </w:rPr>
        <w:t xml:space="preserve"> + hand weeding at 30 DAS</w:t>
      </w:r>
      <w:r w:rsidR="0057459F">
        <w:rPr>
          <w:rFonts w:eastAsia="Times New Roman"/>
          <w:lang w:eastAsia="en-US" w:bidi="gu-IN"/>
        </w:rPr>
        <w:t xml:space="preserve">, </w:t>
      </w:r>
      <w:r w:rsidR="0057459F" w:rsidRPr="00764600">
        <w:rPr>
          <w:rFonts w:eastAsia="Times New Roman"/>
          <w:lang w:eastAsia="en-US" w:bidi="gu-IN"/>
        </w:rPr>
        <w:t xml:space="preserve">Clomazone 1000 g ha⁻¹ PE </w:t>
      </w:r>
      <w:r w:rsidR="0057459F" w:rsidRPr="000749C3">
        <w:rPr>
          <w:rFonts w:eastAsia="Times New Roman"/>
          <w:i/>
          <w:lang w:eastAsia="en-US" w:bidi="gu-IN"/>
        </w:rPr>
        <w:t>fb</w:t>
      </w:r>
      <w:r w:rsidR="0057459F" w:rsidRPr="00764600">
        <w:rPr>
          <w:rFonts w:eastAsia="Times New Roman"/>
          <w:lang w:eastAsia="en-US" w:bidi="gu-IN"/>
        </w:rPr>
        <w:t xml:space="preserve"> </w:t>
      </w:r>
      <w:proofErr w:type="spellStart"/>
      <w:r w:rsidR="0057459F" w:rsidRPr="00764600">
        <w:rPr>
          <w:rFonts w:eastAsia="Times New Roman"/>
          <w:lang w:eastAsia="en-US" w:bidi="gu-IN"/>
        </w:rPr>
        <w:t>interculturing</w:t>
      </w:r>
      <w:proofErr w:type="spellEnd"/>
      <w:r w:rsidR="0057459F" w:rsidRPr="00764600">
        <w:rPr>
          <w:rFonts w:eastAsia="Times New Roman"/>
          <w:lang w:eastAsia="en-US" w:bidi="gu-IN"/>
        </w:rPr>
        <w:t xml:space="preserve"> + hand weeding at 30 DAS</w:t>
      </w:r>
      <w:r w:rsidR="0057459F">
        <w:rPr>
          <w:rFonts w:eastAsia="Times New Roman"/>
          <w:lang w:eastAsia="en-US" w:bidi="gu-IN"/>
        </w:rPr>
        <w:t xml:space="preserve">, </w:t>
      </w:r>
      <w:r w:rsidR="0057459F" w:rsidRPr="00764600">
        <w:rPr>
          <w:rFonts w:eastAsia="Times New Roman"/>
          <w:lang w:eastAsia="en-US" w:bidi="gu-IN"/>
        </w:rPr>
        <w:t xml:space="preserve">Imazethapyr 75 g ha⁻¹ PoE </w:t>
      </w:r>
      <w:r w:rsidR="0057459F" w:rsidRPr="000749C3">
        <w:rPr>
          <w:rFonts w:eastAsia="Times New Roman"/>
          <w:i/>
          <w:lang w:eastAsia="en-US" w:bidi="gu-IN"/>
        </w:rPr>
        <w:t>fb</w:t>
      </w:r>
      <w:r w:rsidR="0057459F" w:rsidRPr="00764600">
        <w:rPr>
          <w:rFonts w:eastAsia="Times New Roman"/>
          <w:lang w:eastAsia="en-US" w:bidi="gu-IN"/>
        </w:rPr>
        <w:t xml:space="preserve"> </w:t>
      </w:r>
      <w:proofErr w:type="spellStart"/>
      <w:r w:rsidR="0057459F" w:rsidRPr="00764600">
        <w:rPr>
          <w:rFonts w:eastAsia="Times New Roman"/>
          <w:lang w:eastAsia="en-US" w:bidi="gu-IN"/>
        </w:rPr>
        <w:t>interculturing</w:t>
      </w:r>
      <w:proofErr w:type="spellEnd"/>
      <w:r w:rsidR="0057459F" w:rsidRPr="00764600">
        <w:rPr>
          <w:rFonts w:eastAsia="Times New Roman"/>
          <w:lang w:eastAsia="en-US" w:bidi="gu-IN"/>
        </w:rPr>
        <w:t xml:space="preserve"> + hand weeding at 30 DAS</w:t>
      </w:r>
      <w:r w:rsidR="0057459F">
        <w:rPr>
          <w:rFonts w:eastAsia="Times New Roman"/>
          <w:lang w:eastAsia="en-US" w:bidi="gu-IN"/>
        </w:rPr>
        <w:t xml:space="preserve">, </w:t>
      </w:r>
      <w:proofErr w:type="spellStart"/>
      <w:r w:rsidR="0057459F" w:rsidRPr="00764600">
        <w:rPr>
          <w:rFonts w:eastAsia="Times New Roman"/>
          <w:lang w:eastAsia="en-US" w:bidi="gu-IN"/>
        </w:rPr>
        <w:t>Propaquizafop</w:t>
      </w:r>
      <w:proofErr w:type="spellEnd"/>
      <w:r w:rsidR="0057459F" w:rsidRPr="00764600">
        <w:rPr>
          <w:rFonts w:eastAsia="Times New Roman"/>
          <w:lang w:eastAsia="en-US" w:bidi="gu-IN"/>
        </w:rPr>
        <w:t xml:space="preserve"> 75 g ha⁻¹ PoE </w:t>
      </w:r>
      <w:r w:rsidR="0057459F" w:rsidRPr="000749C3">
        <w:rPr>
          <w:rFonts w:eastAsia="Times New Roman"/>
          <w:i/>
          <w:lang w:eastAsia="en-US" w:bidi="gu-IN"/>
        </w:rPr>
        <w:t>fb</w:t>
      </w:r>
      <w:r w:rsidR="0057459F" w:rsidRPr="00764600">
        <w:rPr>
          <w:rFonts w:eastAsia="Times New Roman"/>
          <w:lang w:eastAsia="en-US" w:bidi="gu-IN"/>
        </w:rPr>
        <w:t xml:space="preserve"> </w:t>
      </w:r>
      <w:proofErr w:type="spellStart"/>
      <w:r w:rsidR="0057459F" w:rsidRPr="00764600">
        <w:rPr>
          <w:rFonts w:eastAsia="Times New Roman"/>
          <w:lang w:eastAsia="en-US" w:bidi="gu-IN"/>
        </w:rPr>
        <w:t>interculturing</w:t>
      </w:r>
      <w:proofErr w:type="spellEnd"/>
      <w:r w:rsidR="0057459F" w:rsidRPr="00764600">
        <w:rPr>
          <w:rFonts w:eastAsia="Times New Roman"/>
          <w:lang w:eastAsia="en-US" w:bidi="gu-IN"/>
        </w:rPr>
        <w:t xml:space="preserve"> + hand weeding at 30 DAS</w:t>
      </w:r>
      <w:r w:rsidR="0057459F">
        <w:rPr>
          <w:rFonts w:eastAsia="Times New Roman"/>
          <w:lang w:eastAsia="en-US" w:bidi="gu-IN"/>
        </w:rPr>
        <w:t xml:space="preserve">, </w:t>
      </w:r>
      <w:proofErr w:type="spellStart"/>
      <w:r w:rsidR="0057459F" w:rsidRPr="00764600">
        <w:rPr>
          <w:rFonts w:eastAsia="Times New Roman"/>
          <w:lang w:eastAsia="en-US" w:bidi="gu-IN"/>
        </w:rPr>
        <w:t>Quizalofop</w:t>
      </w:r>
      <w:proofErr w:type="spellEnd"/>
      <w:r w:rsidR="0057459F" w:rsidRPr="00764600">
        <w:rPr>
          <w:rFonts w:eastAsia="Times New Roman"/>
          <w:lang w:eastAsia="en-US" w:bidi="gu-IN"/>
        </w:rPr>
        <w:t xml:space="preserve">-ethyl 50 g ha⁻¹ PoE </w:t>
      </w:r>
      <w:r w:rsidR="0057459F" w:rsidRPr="000749C3">
        <w:rPr>
          <w:rFonts w:eastAsia="Times New Roman"/>
          <w:i/>
          <w:lang w:eastAsia="en-US" w:bidi="gu-IN"/>
        </w:rPr>
        <w:t>fb</w:t>
      </w:r>
      <w:r w:rsidR="0057459F" w:rsidRPr="00764600">
        <w:rPr>
          <w:rFonts w:eastAsia="Times New Roman"/>
          <w:lang w:eastAsia="en-US" w:bidi="gu-IN"/>
        </w:rPr>
        <w:t xml:space="preserve"> </w:t>
      </w:r>
      <w:proofErr w:type="spellStart"/>
      <w:r w:rsidR="0057459F" w:rsidRPr="00764600">
        <w:rPr>
          <w:rFonts w:eastAsia="Times New Roman"/>
          <w:lang w:eastAsia="en-US" w:bidi="gu-IN"/>
        </w:rPr>
        <w:t>interculturing</w:t>
      </w:r>
      <w:proofErr w:type="spellEnd"/>
      <w:r w:rsidR="0057459F" w:rsidRPr="00764600">
        <w:rPr>
          <w:rFonts w:eastAsia="Times New Roman"/>
          <w:lang w:eastAsia="en-US" w:bidi="gu-IN"/>
        </w:rPr>
        <w:t xml:space="preserve"> + hand weeding at 30 DAS</w:t>
      </w:r>
      <w:r w:rsidR="0057459F">
        <w:rPr>
          <w:rFonts w:eastAsia="Times New Roman"/>
          <w:lang w:eastAsia="en-US" w:bidi="gu-IN"/>
        </w:rPr>
        <w:t xml:space="preserve">, </w:t>
      </w:r>
      <w:r w:rsidR="0057459F" w:rsidRPr="00764600">
        <w:rPr>
          <w:rFonts w:eastAsia="Times New Roman"/>
          <w:lang w:eastAsia="en-US" w:bidi="gu-IN"/>
        </w:rPr>
        <w:t xml:space="preserve">Fenoxaprop-p-ethyl 100 g ha⁻¹ PoE </w:t>
      </w:r>
      <w:r w:rsidR="0057459F" w:rsidRPr="000749C3">
        <w:rPr>
          <w:rFonts w:eastAsia="Times New Roman"/>
          <w:i/>
          <w:lang w:eastAsia="en-US" w:bidi="gu-IN"/>
        </w:rPr>
        <w:t>fb</w:t>
      </w:r>
      <w:r w:rsidR="0057459F" w:rsidRPr="00764600">
        <w:rPr>
          <w:rFonts w:eastAsia="Times New Roman"/>
          <w:lang w:eastAsia="en-US" w:bidi="gu-IN"/>
        </w:rPr>
        <w:t xml:space="preserve"> </w:t>
      </w:r>
      <w:proofErr w:type="spellStart"/>
      <w:r w:rsidR="0057459F" w:rsidRPr="00764600">
        <w:rPr>
          <w:rFonts w:eastAsia="Times New Roman"/>
          <w:lang w:eastAsia="en-US" w:bidi="gu-IN"/>
        </w:rPr>
        <w:t>interculturing</w:t>
      </w:r>
      <w:proofErr w:type="spellEnd"/>
      <w:r w:rsidR="0057459F" w:rsidRPr="00764600">
        <w:rPr>
          <w:rFonts w:eastAsia="Times New Roman"/>
          <w:lang w:eastAsia="en-US" w:bidi="gu-IN"/>
        </w:rPr>
        <w:t xml:space="preserve"> + hand weeding at 30 DAS</w:t>
      </w:r>
      <w:r w:rsidR="0057459F">
        <w:rPr>
          <w:rFonts w:eastAsia="Times New Roman"/>
          <w:lang w:eastAsia="en-US" w:bidi="gu-IN"/>
        </w:rPr>
        <w:t xml:space="preserve">, </w:t>
      </w:r>
      <w:proofErr w:type="spellStart"/>
      <w:r w:rsidR="0057459F" w:rsidRPr="00764600">
        <w:rPr>
          <w:rFonts w:eastAsia="Times New Roman"/>
          <w:lang w:eastAsia="en-US" w:bidi="gu-IN"/>
        </w:rPr>
        <w:t>Imazamox</w:t>
      </w:r>
      <w:proofErr w:type="spellEnd"/>
      <w:r w:rsidR="0057459F" w:rsidRPr="00764600">
        <w:rPr>
          <w:rFonts w:eastAsia="Times New Roman"/>
          <w:lang w:eastAsia="en-US" w:bidi="gu-IN"/>
        </w:rPr>
        <w:t xml:space="preserve"> 35% + imazethapyr 35% (pre-mix) 70 g ha⁻¹ PoE </w:t>
      </w:r>
      <w:r w:rsidR="0057459F" w:rsidRPr="000749C3">
        <w:rPr>
          <w:rFonts w:eastAsia="Times New Roman"/>
          <w:i/>
          <w:lang w:eastAsia="en-US" w:bidi="gu-IN"/>
        </w:rPr>
        <w:t>fb</w:t>
      </w:r>
      <w:r w:rsidR="0057459F" w:rsidRPr="00764600">
        <w:rPr>
          <w:rFonts w:eastAsia="Times New Roman"/>
          <w:lang w:eastAsia="en-US" w:bidi="gu-IN"/>
        </w:rPr>
        <w:t xml:space="preserve"> </w:t>
      </w:r>
      <w:proofErr w:type="spellStart"/>
      <w:r w:rsidR="0057459F" w:rsidRPr="00764600">
        <w:rPr>
          <w:rFonts w:eastAsia="Times New Roman"/>
          <w:lang w:eastAsia="en-US" w:bidi="gu-IN"/>
        </w:rPr>
        <w:t>interculturing</w:t>
      </w:r>
      <w:proofErr w:type="spellEnd"/>
      <w:r w:rsidR="0057459F" w:rsidRPr="00764600">
        <w:rPr>
          <w:rFonts w:eastAsia="Times New Roman"/>
          <w:lang w:eastAsia="en-US" w:bidi="gu-IN"/>
        </w:rPr>
        <w:t xml:space="preserve"> + hand weeding at 30 DAS</w:t>
      </w:r>
      <w:r w:rsidR="0057459F">
        <w:rPr>
          <w:rFonts w:eastAsia="Times New Roman"/>
          <w:lang w:eastAsia="en-US" w:bidi="gu-IN"/>
        </w:rPr>
        <w:t xml:space="preserve">, </w:t>
      </w:r>
      <w:r w:rsidR="0057459F" w:rsidRPr="00764600">
        <w:rPr>
          <w:rFonts w:eastAsia="Times New Roman"/>
          <w:lang w:eastAsia="en-US" w:bidi="gu-IN"/>
        </w:rPr>
        <w:t xml:space="preserve">Sodium </w:t>
      </w:r>
      <w:proofErr w:type="spellStart"/>
      <w:r w:rsidR="0057459F" w:rsidRPr="00764600">
        <w:rPr>
          <w:rFonts w:eastAsia="Times New Roman"/>
          <w:lang w:eastAsia="en-US" w:bidi="gu-IN"/>
        </w:rPr>
        <w:t>acefluorfen</w:t>
      </w:r>
      <w:proofErr w:type="spellEnd"/>
      <w:r w:rsidR="0057459F" w:rsidRPr="00764600">
        <w:rPr>
          <w:rFonts w:eastAsia="Times New Roman"/>
          <w:lang w:eastAsia="en-US" w:bidi="gu-IN"/>
        </w:rPr>
        <w:t xml:space="preserve"> 16.5% + </w:t>
      </w:r>
      <w:proofErr w:type="spellStart"/>
      <w:r w:rsidR="0057459F" w:rsidRPr="00764600">
        <w:rPr>
          <w:rFonts w:eastAsia="Times New Roman"/>
          <w:lang w:eastAsia="en-US" w:bidi="gu-IN"/>
        </w:rPr>
        <w:t>clodinafop</w:t>
      </w:r>
      <w:proofErr w:type="spellEnd"/>
      <w:r w:rsidR="0057459F" w:rsidRPr="00764600">
        <w:rPr>
          <w:rFonts w:eastAsia="Times New Roman"/>
          <w:lang w:eastAsia="en-US" w:bidi="gu-IN"/>
        </w:rPr>
        <w:t xml:space="preserve">-propargyl 8% EC (pre-mix) applied PoE </w:t>
      </w:r>
      <w:r w:rsidR="0057459F" w:rsidRPr="000749C3">
        <w:rPr>
          <w:rFonts w:eastAsia="Times New Roman"/>
          <w:i/>
          <w:lang w:eastAsia="en-US" w:bidi="gu-IN"/>
        </w:rPr>
        <w:t>fb</w:t>
      </w:r>
      <w:r w:rsidR="0057459F" w:rsidRPr="00764600">
        <w:rPr>
          <w:rFonts w:eastAsia="Times New Roman"/>
          <w:lang w:eastAsia="en-US" w:bidi="gu-IN"/>
        </w:rPr>
        <w:t xml:space="preserve"> </w:t>
      </w:r>
      <w:proofErr w:type="spellStart"/>
      <w:r w:rsidR="0057459F" w:rsidRPr="00764600">
        <w:rPr>
          <w:rFonts w:eastAsia="Times New Roman"/>
          <w:lang w:eastAsia="en-US" w:bidi="gu-IN"/>
        </w:rPr>
        <w:t>interculturing</w:t>
      </w:r>
      <w:proofErr w:type="spellEnd"/>
      <w:r w:rsidR="0057459F" w:rsidRPr="00764600">
        <w:rPr>
          <w:rFonts w:eastAsia="Times New Roman"/>
          <w:lang w:eastAsia="en-US" w:bidi="gu-IN"/>
        </w:rPr>
        <w:t xml:space="preserve"> + hand weeding at 30 DAS</w:t>
      </w:r>
      <w:r w:rsidR="0057459F">
        <w:rPr>
          <w:rFonts w:eastAsia="Times New Roman"/>
          <w:lang w:eastAsia="en-US" w:bidi="gu-IN"/>
        </w:rPr>
        <w:t xml:space="preserve">, </w:t>
      </w:r>
      <w:proofErr w:type="spellStart"/>
      <w:r w:rsidR="0057459F" w:rsidRPr="00764600">
        <w:rPr>
          <w:rFonts w:eastAsia="Times New Roman"/>
          <w:lang w:eastAsia="en-US" w:bidi="gu-IN"/>
        </w:rPr>
        <w:t>Interculturing</w:t>
      </w:r>
      <w:proofErr w:type="spellEnd"/>
      <w:r w:rsidR="0057459F" w:rsidRPr="00764600">
        <w:rPr>
          <w:rFonts w:eastAsia="Times New Roman"/>
          <w:lang w:eastAsia="en-US" w:bidi="gu-IN"/>
        </w:rPr>
        <w:t xml:space="preserve"> + hand weeding at 20 and 40 DAS</w:t>
      </w:r>
      <w:r w:rsidR="0057459F">
        <w:rPr>
          <w:rFonts w:eastAsia="Times New Roman"/>
          <w:lang w:eastAsia="en-US" w:bidi="gu-IN"/>
        </w:rPr>
        <w:t xml:space="preserve"> and </w:t>
      </w:r>
      <w:r w:rsidR="0057459F" w:rsidRPr="00764600">
        <w:rPr>
          <w:rFonts w:eastAsia="Times New Roman"/>
          <w:lang w:eastAsia="en-US" w:bidi="gu-IN"/>
        </w:rPr>
        <w:t>Weedy check</w:t>
      </w:r>
      <w:r w:rsidR="0057459F">
        <w:rPr>
          <w:rFonts w:eastAsia="Times New Roman"/>
          <w:lang w:eastAsia="en-US" w:bidi="gu-IN"/>
        </w:rPr>
        <w:t xml:space="preserve">. </w:t>
      </w:r>
      <w:r w:rsidR="0057459F" w:rsidRPr="00764600">
        <w:rPr>
          <w:rFonts w:eastAsia="Times New Roman"/>
          <w:lang w:eastAsia="en-US" w:bidi="gu-IN"/>
        </w:rPr>
        <w:t xml:space="preserve">The plot size was 3.6 m × 6.0 m. </w:t>
      </w:r>
      <w:r w:rsidR="007775A2" w:rsidRPr="007775A2">
        <w:rPr>
          <w:rFonts w:eastAsia="Times New Roman"/>
          <w:lang w:eastAsia="en-US" w:bidi="gu-IN"/>
        </w:rPr>
        <w:t xml:space="preserve">The experimental soil had a sandy loam texture, a medium amount of accessible phosphorus, a high amount of available potassium, and low levels of organic carbon and available nitrogen. The remaining herbicides were sprayed as post-emergence using a flat-fan nozzle with a 500 L ha⁻¹ spray volume, while pendimethalin and clomazone were used as pre-emergence </w:t>
      </w:r>
      <w:proofErr w:type="spellStart"/>
      <w:r w:rsidR="007775A2" w:rsidRPr="007775A2">
        <w:rPr>
          <w:rFonts w:eastAsia="Times New Roman"/>
          <w:lang w:eastAsia="en-US" w:bidi="gu-IN"/>
        </w:rPr>
        <w:t>herbicides.</w:t>
      </w:r>
      <w:r w:rsidR="007775A2">
        <w:rPr>
          <w:rFonts w:eastAsia="Times New Roman"/>
          <w:lang w:eastAsia="en-US" w:bidi="gu-IN"/>
        </w:rPr>
        <w:t xml:space="preserve"> </w:t>
      </w:r>
      <w:proofErr w:type="spellEnd"/>
      <w:r w:rsidR="0029233F" w:rsidRPr="0029233F">
        <w:rPr>
          <w:rFonts w:eastAsia="Times New Roman"/>
          <w:lang w:eastAsia="en-US" w:bidi="gu-IN"/>
        </w:rPr>
        <w:t xml:space="preserve">Test crops included </w:t>
      </w:r>
      <w:proofErr w:type="spellStart"/>
      <w:r w:rsidR="0029233F" w:rsidRPr="0029233F">
        <w:rPr>
          <w:rFonts w:eastAsia="Times New Roman"/>
          <w:lang w:eastAsia="en-US" w:bidi="gu-IN"/>
        </w:rPr>
        <w:t>pigeonpea</w:t>
      </w:r>
      <w:proofErr w:type="spellEnd"/>
      <w:r w:rsidR="0029233F" w:rsidRPr="0029233F">
        <w:rPr>
          <w:rFonts w:eastAsia="Times New Roman"/>
          <w:lang w:eastAsia="en-US" w:bidi="gu-IN"/>
        </w:rPr>
        <w:t xml:space="preserve"> variety AGT-2 and soybean variety NRC-37. Both trial years were conducted with identical adherence to all specified agronomic procedures. The Micro-</w:t>
      </w:r>
      <w:proofErr w:type="spellStart"/>
      <w:r w:rsidR="0029233F" w:rsidRPr="0029233F">
        <w:rPr>
          <w:rFonts w:eastAsia="Times New Roman"/>
          <w:lang w:eastAsia="en-US" w:bidi="gu-IN"/>
        </w:rPr>
        <w:t>Kjeldahl</w:t>
      </w:r>
      <w:proofErr w:type="spellEnd"/>
      <w:r w:rsidR="0029233F" w:rsidRPr="0029233F">
        <w:rPr>
          <w:rFonts w:eastAsia="Times New Roman"/>
          <w:lang w:eastAsia="en-US" w:bidi="gu-IN"/>
        </w:rPr>
        <w:t xml:space="preserve"> method (Jackson, 1973) was used to assess the nitrogen content (%) of soybean and </w:t>
      </w:r>
      <w:proofErr w:type="spellStart"/>
      <w:r w:rsidR="0029233F" w:rsidRPr="0029233F">
        <w:rPr>
          <w:rFonts w:eastAsia="Times New Roman"/>
          <w:lang w:eastAsia="en-US" w:bidi="gu-IN"/>
        </w:rPr>
        <w:t>pigeonpea</w:t>
      </w:r>
      <w:proofErr w:type="spellEnd"/>
      <w:r w:rsidR="0029233F" w:rsidRPr="0029233F">
        <w:rPr>
          <w:rFonts w:eastAsia="Times New Roman"/>
          <w:lang w:eastAsia="en-US" w:bidi="gu-IN"/>
        </w:rPr>
        <w:t xml:space="preserve"> seeds, and the nitrogen content was multiplied by a factor of 6.25 to determine the crude protein content (%). The Nuclear Magnetic Resonance (NMR) method was used to measure the oil content of soybean seeds (Tiwari et al., 1974). Two years' worth of data were pooled, and treatment comparisons were done at the 5% significant level.</w:t>
      </w:r>
      <w:r w:rsidR="0029233F">
        <w:rPr>
          <w:rFonts w:eastAsia="Times New Roman"/>
          <w:lang w:eastAsia="en-US" w:bidi="gu-IN"/>
        </w:rPr>
        <w:t xml:space="preserve"> </w:t>
      </w:r>
    </w:p>
    <w:p w:rsidR="00E334B6" w:rsidRPr="00764600" w:rsidRDefault="00E334B6" w:rsidP="00304A4D">
      <w:pPr>
        <w:spacing w:line="276" w:lineRule="auto"/>
        <w:jc w:val="both"/>
        <w:outlineLvl w:val="1"/>
        <w:rPr>
          <w:rFonts w:eastAsia="Times New Roman"/>
          <w:b/>
          <w:bCs/>
          <w:lang w:bidi="gu-IN"/>
        </w:rPr>
      </w:pPr>
      <w:r w:rsidRPr="00A9288A">
        <w:rPr>
          <w:rFonts w:eastAsia="Times New Roman"/>
          <w:b/>
          <w:bCs/>
          <w:lang w:bidi="gu-IN"/>
        </w:rPr>
        <w:t>Results and Discussion</w:t>
      </w:r>
    </w:p>
    <w:p w:rsidR="00E334B6" w:rsidRPr="00764600" w:rsidRDefault="00E334B6" w:rsidP="00304A4D">
      <w:pPr>
        <w:spacing w:line="276" w:lineRule="auto"/>
        <w:jc w:val="both"/>
        <w:rPr>
          <w:rFonts w:eastAsia="Times New Roman"/>
          <w:lang w:bidi="gu-IN"/>
        </w:rPr>
      </w:pPr>
      <w:r w:rsidRPr="00764600">
        <w:rPr>
          <w:rFonts w:eastAsia="Times New Roman"/>
          <w:lang w:bidi="gu-IN"/>
        </w:rPr>
        <w:t>The results of the two-year experimental findings on the effect of different weed management practices on quality parameters in a soybean</w:t>
      </w:r>
      <w:r w:rsidR="00304A4D">
        <w:rPr>
          <w:rFonts w:eastAsia="Times New Roman"/>
          <w:lang w:bidi="gu-IN"/>
        </w:rPr>
        <w:t>-</w:t>
      </w:r>
      <w:proofErr w:type="spellStart"/>
      <w:r w:rsidRPr="00764600">
        <w:rPr>
          <w:rFonts w:eastAsia="Times New Roman"/>
          <w:lang w:bidi="gu-IN"/>
        </w:rPr>
        <w:t>pigeonpea</w:t>
      </w:r>
      <w:proofErr w:type="spellEnd"/>
      <w:r w:rsidRPr="00764600">
        <w:rPr>
          <w:rFonts w:eastAsia="Times New Roman"/>
          <w:lang w:bidi="gu-IN"/>
        </w:rPr>
        <w:t xml:space="preserve"> intercropping system are discussed under the following headings.</w:t>
      </w:r>
    </w:p>
    <w:p w:rsidR="00E334B6" w:rsidRPr="00764600" w:rsidRDefault="00E334B6" w:rsidP="00304A4D">
      <w:pPr>
        <w:spacing w:line="276" w:lineRule="auto"/>
        <w:jc w:val="both"/>
        <w:outlineLvl w:val="2"/>
        <w:rPr>
          <w:rFonts w:eastAsia="Times New Roman"/>
          <w:b/>
          <w:bCs/>
          <w:lang w:bidi="gu-IN"/>
        </w:rPr>
      </w:pPr>
      <w:r w:rsidRPr="00A9288A">
        <w:rPr>
          <w:rFonts w:eastAsia="Times New Roman"/>
          <w:b/>
          <w:bCs/>
          <w:lang w:bidi="gu-IN"/>
        </w:rPr>
        <w:t>Effect of treatments on quality parameters</w:t>
      </w:r>
    </w:p>
    <w:p w:rsidR="00304A4D" w:rsidRPr="00D9199E" w:rsidRDefault="00304A4D" w:rsidP="00304A4D">
      <w:pPr>
        <w:spacing w:line="276" w:lineRule="auto"/>
        <w:jc w:val="both"/>
        <w:rPr>
          <w:bCs/>
        </w:rPr>
      </w:pPr>
      <w:r>
        <w:rPr>
          <w:b/>
          <w:bCs/>
        </w:rPr>
        <w:lastRenderedPageBreak/>
        <w:t>Protein content of soybean seed</w:t>
      </w:r>
    </w:p>
    <w:p w:rsidR="0057459F" w:rsidRPr="007E301E" w:rsidRDefault="0057459F" w:rsidP="00382BC8">
      <w:pPr>
        <w:spacing w:line="276" w:lineRule="auto"/>
        <w:ind w:firstLine="720"/>
        <w:jc w:val="both"/>
        <w:rPr>
          <w:rFonts w:eastAsia="Times New Roman"/>
          <w:lang w:eastAsia="en-US" w:bidi="gu-IN"/>
        </w:rPr>
      </w:pPr>
      <w:r w:rsidRPr="007E301E">
        <w:rPr>
          <w:rFonts w:eastAsia="Times New Roman"/>
          <w:lang w:eastAsia="en-US" w:bidi="gu-IN"/>
        </w:rPr>
        <w:t>Protein content of soybean seed as influenced by weed management practices during the years 2017–18, 2018–19</w:t>
      </w:r>
      <w:r>
        <w:rPr>
          <w:rFonts w:eastAsia="Times New Roman"/>
          <w:lang w:eastAsia="en-US" w:bidi="gu-IN"/>
        </w:rPr>
        <w:t xml:space="preserve"> and</w:t>
      </w:r>
      <w:r w:rsidRPr="007E301E">
        <w:rPr>
          <w:rFonts w:eastAsia="Times New Roman"/>
          <w:lang w:eastAsia="en-US" w:bidi="gu-IN"/>
        </w:rPr>
        <w:t xml:space="preserve"> on a pooled basis is presented in Table 1. Results revealed that different weed management treatments did not exert a significant influence on protein content of soybean at harvest during both the years as well as in pooled analysis.</w:t>
      </w:r>
    </w:p>
    <w:p w:rsidR="0057459F" w:rsidRPr="007E301E" w:rsidRDefault="0057459F" w:rsidP="00382BC8">
      <w:pPr>
        <w:spacing w:line="276" w:lineRule="auto"/>
        <w:ind w:firstLine="720"/>
        <w:jc w:val="both"/>
        <w:rPr>
          <w:rFonts w:eastAsia="Times New Roman"/>
          <w:lang w:eastAsia="en-US" w:bidi="gu-IN"/>
        </w:rPr>
      </w:pPr>
      <w:r w:rsidRPr="007E301E">
        <w:rPr>
          <w:rFonts w:eastAsia="Times New Roman"/>
          <w:lang w:eastAsia="en-US" w:bidi="gu-IN"/>
        </w:rPr>
        <w:t>The highest protein content of 40.1, 39.8</w:t>
      </w:r>
      <w:r>
        <w:rPr>
          <w:rFonts w:eastAsia="Times New Roman"/>
          <w:lang w:eastAsia="en-US" w:bidi="gu-IN"/>
        </w:rPr>
        <w:t xml:space="preserve"> and</w:t>
      </w:r>
      <w:r w:rsidRPr="007E301E">
        <w:rPr>
          <w:rFonts w:eastAsia="Times New Roman"/>
          <w:lang w:eastAsia="en-US" w:bidi="gu-IN"/>
        </w:rPr>
        <w:t xml:space="preserve"> 39.9 per cent was recorded under treatment T</w:t>
      </w:r>
      <w:r w:rsidRPr="007E301E">
        <w:rPr>
          <w:rFonts w:eastAsia="Times New Roman"/>
          <w:vertAlign w:val="subscript"/>
          <w:lang w:eastAsia="en-US" w:bidi="gu-IN"/>
        </w:rPr>
        <w:t>9</w:t>
      </w:r>
      <w:r w:rsidRPr="007E301E">
        <w:rPr>
          <w:rFonts w:eastAsia="Times New Roman"/>
          <w:lang w:eastAsia="en-US" w:bidi="gu-IN"/>
        </w:rPr>
        <w:t xml:space="preserve"> (</w:t>
      </w:r>
      <w:proofErr w:type="spellStart"/>
      <w:r w:rsidRPr="007E301E">
        <w:rPr>
          <w:rFonts w:eastAsia="Times New Roman"/>
          <w:lang w:eastAsia="en-US" w:bidi="gu-IN"/>
        </w:rPr>
        <w:t>interculturing</w:t>
      </w:r>
      <w:proofErr w:type="spellEnd"/>
      <w:r w:rsidRPr="007E301E">
        <w:rPr>
          <w:rFonts w:eastAsia="Times New Roman"/>
          <w:lang w:eastAsia="en-US" w:bidi="gu-IN"/>
        </w:rPr>
        <w:t xml:space="preserve"> + hand weeding at 20 and 40 DAS) during 2017–18, 2018–19</w:t>
      </w:r>
      <w:r>
        <w:rPr>
          <w:rFonts w:eastAsia="Times New Roman"/>
          <w:lang w:eastAsia="en-US" w:bidi="gu-IN"/>
        </w:rPr>
        <w:t xml:space="preserve"> and</w:t>
      </w:r>
      <w:r w:rsidRPr="007E301E">
        <w:rPr>
          <w:rFonts w:eastAsia="Times New Roman"/>
          <w:lang w:eastAsia="en-US" w:bidi="gu-IN"/>
        </w:rPr>
        <w:t xml:space="preserve"> in pooled results, respectively. This treatment was statistically at par with T</w:t>
      </w:r>
      <w:r w:rsidRPr="007E301E">
        <w:rPr>
          <w:rFonts w:eastAsia="Times New Roman"/>
          <w:vertAlign w:val="subscript"/>
          <w:lang w:eastAsia="en-US" w:bidi="gu-IN"/>
        </w:rPr>
        <w:t>1</w:t>
      </w:r>
      <w:r w:rsidRPr="007E301E">
        <w:rPr>
          <w:rFonts w:eastAsia="Times New Roman"/>
          <w:lang w:eastAsia="en-US" w:bidi="gu-IN"/>
        </w:rPr>
        <w:t xml:space="preserve"> (pendimethalin 1000 g ha⁻¹ PE </w:t>
      </w:r>
      <w:r w:rsidRPr="000749C3">
        <w:rPr>
          <w:rFonts w:eastAsia="Times New Roman"/>
          <w:i/>
          <w:lang w:eastAsia="en-US" w:bidi="gu-IN"/>
        </w:rPr>
        <w:t>fb</w:t>
      </w:r>
      <w:r w:rsidRPr="007E301E">
        <w:rPr>
          <w:rFonts w:eastAsia="Times New Roman"/>
          <w:lang w:eastAsia="en-US" w:bidi="gu-IN"/>
        </w:rPr>
        <w:t xml:space="preserve"> </w:t>
      </w:r>
      <w:proofErr w:type="spellStart"/>
      <w:r w:rsidRPr="007E301E">
        <w:rPr>
          <w:rFonts w:eastAsia="Times New Roman"/>
          <w:lang w:eastAsia="en-US" w:bidi="gu-IN"/>
        </w:rPr>
        <w:t>interculturing</w:t>
      </w:r>
      <w:proofErr w:type="spellEnd"/>
      <w:r w:rsidRPr="007E301E">
        <w:rPr>
          <w:rFonts w:eastAsia="Times New Roman"/>
          <w:lang w:eastAsia="en-US" w:bidi="gu-IN"/>
        </w:rPr>
        <w:t xml:space="preserve"> + hand weeding at 30 DAS), T</w:t>
      </w:r>
      <w:r w:rsidRPr="007E301E">
        <w:rPr>
          <w:rFonts w:eastAsia="Times New Roman"/>
          <w:vertAlign w:val="subscript"/>
          <w:lang w:eastAsia="en-US" w:bidi="gu-IN"/>
        </w:rPr>
        <w:t>7</w:t>
      </w:r>
      <w:r w:rsidRPr="007E301E">
        <w:rPr>
          <w:rFonts w:eastAsia="Times New Roman"/>
          <w:lang w:eastAsia="en-US" w:bidi="gu-IN"/>
        </w:rPr>
        <w:t xml:space="preserve"> (</w:t>
      </w:r>
      <w:proofErr w:type="spellStart"/>
      <w:r w:rsidRPr="007E301E">
        <w:rPr>
          <w:rFonts w:eastAsia="Times New Roman"/>
          <w:lang w:eastAsia="en-US" w:bidi="gu-IN"/>
        </w:rPr>
        <w:t>imazamox</w:t>
      </w:r>
      <w:proofErr w:type="spellEnd"/>
      <w:r w:rsidRPr="007E301E">
        <w:rPr>
          <w:rFonts w:eastAsia="Times New Roman"/>
          <w:lang w:eastAsia="en-US" w:bidi="gu-IN"/>
        </w:rPr>
        <w:t xml:space="preserve"> 35% + imazethapyr 35% (pre-mix) 70 g ha⁻¹ PoE </w:t>
      </w:r>
      <w:r w:rsidRPr="000749C3">
        <w:rPr>
          <w:rFonts w:eastAsia="Times New Roman"/>
          <w:i/>
          <w:lang w:eastAsia="en-US" w:bidi="gu-IN"/>
        </w:rPr>
        <w:t>fb</w:t>
      </w:r>
      <w:r w:rsidRPr="007E301E">
        <w:rPr>
          <w:rFonts w:eastAsia="Times New Roman"/>
          <w:lang w:eastAsia="en-US" w:bidi="gu-IN"/>
        </w:rPr>
        <w:t xml:space="preserve"> </w:t>
      </w:r>
      <w:proofErr w:type="spellStart"/>
      <w:r w:rsidRPr="007E301E">
        <w:rPr>
          <w:rFonts w:eastAsia="Times New Roman"/>
          <w:lang w:eastAsia="en-US" w:bidi="gu-IN"/>
        </w:rPr>
        <w:t>interculturing</w:t>
      </w:r>
      <w:proofErr w:type="spellEnd"/>
      <w:r w:rsidRPr="007E301E">
        <w:rPr>
          <w:rFonts w:eastAsia="Times New Roman"/>
          <w:lang w:eastAsia="en-US" w:bidi="gu-IN"/>
        </w:rPr>
        <w:t xml:space="preserve"> + hand weeding at 30 DAS), T</w:t>
      </w:r>
      <w:r w:rsidRPr="007E301E">
        <w:rPr>
          <w:rFonts w:eastAsia="Times New Roman"/>
          <w:vertAlign w:val="subscript"/>
          <w:lang w:eastAsia="en-US" w:bidi="gu-IN"/>
        </w:rPr>
        <w:t>3</w:t>
      </w:r>
      <w:r w:rsidRPr="007E301E">
        <w:rPr>
          <w:rFonts w:eastAsia="Times New Roman"/>
          <w:lang w:eastAsia="en-US" w:bidi="gu-IN"/>
        </w:rPr>
        <w:t xml:space="preserve"> (imazethapyr 75 g ha⁻¹ PoE </w:t>
      </w:r>
      <w:r w:rsidRPr="000749C3">
        <w:rPr>
          <w:rFonts w:eastAsia="Times New Roman"/>
          <w:i/>
          <w:lang w:eastAsia="en-US" w:bidi="gu-IN"/>
        </w:rPr>
        <w:t>fb</w:t>
      </w:r>
      <w:r w:rsidRPr="007E301E">
        <w:rPr>
          <w:rFonts w:eastAsia="Times New Roman"/>
          <w:lang w:eastAsia="en-US" w:bidi="gu-IN"/>
        </w:rPr>
        <w:t xml:space="preserve"> </w:t>
      </w:r>
      <w:proofErr w:type="spellStart"/>
      <w:r w:rsidRPr="007E301E">
        <w:rPr>
          <w:rFonts w:eastAsia="Times New Roman"/>
          <w:lang w:eastAsia="en-US" w:bidi="gu-IN"/>
        </w:rPr>
        <w:t>interculturing</w:t>
      </w:r>
      <w:proofErr w:type="spellEnd"/>
      <w:r w:rsidRPr="007E301E">
        <w:rPr>
          <w:rFonts w:eastAsia="Times New Roman"/>
          <w:lang w:eastAsia="en-US" w:bidi="gu-IN"/>
        </w:rPr>
        <w:t xml:space="preserve"> + hand weeding at 30 DAS)</w:t>
      </w:r>
      <w:r>
        <w:rPr>
          <w:rFonts w:eastAsia="Times New Roman"/>
          <w:lang w:eastAsia="en-US" w:bidi="gu-IN"/>
        </w:rPr>
        <w:t xml:space="preserve"> and</w:t>
      </w:r>
      <w:r w:rsidRPr="007E301E">
        <w:rPr>
          <w:rFonts w:eastAsia="Times New Roman"/>
          <w:lang w:eastAsia="en-US" w:bidi="gu-IN"/>
        </w:rPr>
        <w:t xml:space="preserve"> T</w:t>
      </w:r>
      <w:r w:rsidRPr="007E301E">
        <w:rPr>
          <w:rFonts w:eastAsia="Times New Roman"/>
          <w:vertAlign w:val="subscript"/>
          <w:lang w:eastAsia="en-US" w:bidi="gu-IN"/>
        </w:rPr>
        <w:t>4</w:t>
      </w:r>
      <w:r w:rsidRPr="007E301E">
        <w:rPr>
          <w:rFonts w:eastAsia="Times New Roman"/>
          <w:lang w:eastAsia="en-US" w:bidi="gu-IN"/>
        </w:rPr>
        <w:t xml:space="preserve"> (</w:t>
      </w:r>
      <w:proofErr w:type="spellStart"/>
      <w:r w:rsidRPr="007E301E">
        <w:rPr>
          <w:rFonts w:eastAsia="Times New Roman"/>
          <w:lang w:eastAsia="en-US" w:bidi="gu-IN"/>
        </w:rPr>
        <w:t>propaquizafop</w:t>
      </w:r>
      <w:proofErr w:type="spellEnd"/>
      <w:r w:rsidRPr="007E301E">
        <w:rPr>
          <w:rFonts w:eastAsia="Times New Roman"/>
          <w:lang w:eastAsia="en-US" w:bidi="gu-IN"/>
        </w:rPr>
        <w:t xml:space="preserve"> 75 g ha⁻¹ PoE </w:t>
      </w:r>
      <w:r w:rsidRPr="000749C3">
        <w:rPr>
          <w:rFonts w:eastAsia="Times New Roman"/>
          <w:i/>
          <w:lang w:eastAsia="en-US" w:bidi="gu-IN"/>
        </w:rPr>
        <w:t>fb</w:t>
      </w:r>
      <w:r w:rsidRPr="007E301E">
        <w:rPr>
          <w:rFonts w:eastAsia="Times New Roman"/>
          <w:lang w:eastAsia="en-US" w:bidi="gu-IN"/>
        </w:rPr>
        <w:t xml:space="preserve"> </w:t>
      </w:r>
      <w:proofErr w:type="spellStart"/>
      <w:r w:rsidRPr="007E301E">
        <w:rPr>
          <w:rFonts w:eastAsia="Times New Roman"/>
          <w:lang w:eastAsia="en-US" w:bidi="gu-IN"/>
        </w:rPr>
        <w:t>interculturing</w:t>
      </w:r>
      <w:proofErr w:type="spellEnd"/>
      <w:r w:rsidRPr="007E301E">
        <w:rPr>
          <w:rFonts w:eastAsia="Times New Roman"/>
          <w:lang w:eastAsia="en-US" w:bidi="gu-IN"/>
        </w:rPr>
        <w:t xml:space="preserve"> + hand weeding at 30 DAS) in pooled analysis.</w:t>
      </w:r>
    </w:p>
    <w:p w:rsidR="00C579B4" w:rsidRPr="004D4B76" w:rsidRDefault="0057459F" w:rsidP="004D4B76">
      <w:pPr>
        <w:spacing w:line="276" w:lineRule="auto"/>
        <w:ind w:firstLine="720"/>
        <w:jc w:val="both"/>
        <w:rPr>
          <w:rFonts w:eastAsia="Times New Roman"/>
          <w:lang w:eastAsia="en-US" w:bidi="gu-IN"/>
        </w:rPr>
      </w:pPr>
      <w:r w:rsidRPr="007E301E">
        <w:rPr>
          <w:rFonts w:eastAsia="Times New Roman"/>
          <w:lang w:eastAsia="en-US" w:bidi="gu-IN"/>
        </w:rPr>
        <w:t>The lowest protein content of 36.2, 37.2</w:t>
      </w:r>
      <w:r>
        <w:rPr>
          <w:rFonts w:eastAsia="Times New Roman"/>
          <w:lang w:eastAsia="en-US" w:bidi="gu-IN"/>
        </w:rPr>
        <w:t xml:space="preserve"> and</w:t>
      </w:r>
      <w:r w:rsidRPr="007E301E">
        <w:rPr>
          <w:rFonts w:eastAsia="Times New Roman"/>
          <w:lang w:eastAsia="en-US" w:bidi="gu-IN"/>
        </w:rPr>
        <w:t xml:space="preserve"> 36.7 per cent was recorded under treatment T</w:t>
      </w:r>
      <w:r w:rsidRPr="007E301E">
        <w:rPr>
          <w:rFonts w:eastAsia="Times New Roman"/>
          <w:vertAlign w:val="subscript"/>
          <w:lang w:eastAsia="en-US" w:bidi="gu-IN"/>
        </w:rPr>
        <w:t>10</w:t>
      </w:r>
      <w:r w:rsidRPr="007E301E">
        <w:rPr>
          <w:rFonts w:eastAsia="Times New Roman"/>
          <w:lang w:eastAsia="en-US" w:bidi="gu-IN"/>
        </w:rPr>
        <w:t xml:space="preserve"> (weedy check) during 2017–18, 2018–19</w:t>
      </w:r>
      <w:r>
        <w:rPr>
          <w:rFonts w:eastAsia="Times New Roman"/>
          <w:lang w:eastAsia="en-US" w:bidi="gu-IN"/>
        </w:rPr>
        <w:t xml:space="preserve"> and</w:t>
      </w:r>
      <w:r w:rsidRPr="007E301E">
        <w:rPr>
          <w:rFonts w:eastAsia="Times New Roman"/>
          <w:lang w:eastAsia="en-US" w:bidi="gu-IN"/>
        </w:rPr>
        <w:t xml:space="preserve"> in pooled analysis, respectively. Similar findings were reported by </w:t>
      </w:r>
      <w:proofErr w:type="spellStart"/>
      <w:r w:rsidRPr="000048B9">
        <w:rPr>
          <w:rFonts w:eastAsiaTheme="minorHAnsi"/>
          <w:color w:val="000000" w:themeColor="text1"/>
        </w:rPr>
        <w:t>Pannerselvam</w:t>
      </w:r>
      <w:proofErr w:type="spellEnd"/>
      <w:r w:rsidRPr="000048B9">
        <w:rPr>
          <w:rFonts w:eastAsiaTheme="minorHAnsi"/>
          <w:color w:val="000000" w:themeColor="text1"/>
        </w:rPr>
        <w:t xml:space="preserve"> </w:t>
      </w:r>
      <w:r w:rsidRPr="005715B7">
        <w:rPr>
          <w:rFonts w:eastAsia="Times New Roman"/>
          <w:i/>
          <w:iCs/>
          <w:lang w:eastAsia="en-US" w:bidi="gu-IN"/>
        </w:rPr>
        <w:t>et al.</w:t>
      </w:r>
      <w:r w:rsidRPr="007E301E">
        <w:rPr>
          <w:rFonts w:eastAsia="Times New Roman"/>
          <w:lang w:eastAsia="en-US" w:bidi="gu-IN"/>
        </w:rPr>
        <w:t xml:space="preserve"> (1998), Pandey </w:t>
      </w:r>
      <w:r w:rsidRPr="005715B7">
        <w:rPr>
          <w:rFonts w:eastAsia="Times New Roman"/>
          <w:i/>
          <w:iCs/>
          <w:lang w:eastAsia="en-US" w:bidi="gu-IN"/>
        </w:rPr>
        <w:t>et al.</w:t>
      </w:r>
      <w:r w:rsidRPr="007E301E">
        <w:rPr>
          <w:rFonts w:eastAsia="Times New Roman"/>
          <w:lang w:eastAsia="en-US" w:bidi="gu-IN"/>
        </w:rPr>
        <w:t xml:space="preserve"> (2003), Govind Prasad </w:t>
      </w:r>
      <w:r w:rsidRPr="005715B7">
        <w:rPr>
          <w:rFonts w:eastAsia="Times New Roman"/>
          <w:i/>
          <w:iCs/>
          <w:lang w:eastAsia="en-US" w:bidi="gu-IN"/>
        </w:rPr>
        <w:t>et al.</w:t>
      </w:r>
      <w:r w:rsidRPr="007E301E">
        <w:rPr>
          <w:rFonts w:eastAsia="Times New Roman"/>
          <w:lang w:eastAsia="en-US" w:bidi="gu-IN"/>
        </w:rPr>
        <w:t xml:space="preserve"> (2008)</w:t>
      </w:r>
      <w:r>
        <w:rPr>
          <w:rFonts w:eastAsia="Times New Roman"/>
          <w:lang w:eastAsia="en-US" w:bidi="gu-IN"/>
        </w:rPr>
        <w:t xml:space="preserve"> and</w:t>
      </w:r>
      <w:r w:rsidRPr="007E301E">
        <w:rPr>
          <w:rFonts w:eastAsia="Times New Roman"/>
          <w:lang w:eastAsia="en-US" w:bidi="gu-IN"/>
        </w:rPr>
        <w:t xml:space="preserve"> Mahajan </w:t>
      </w:r>
      <w:r w:rsidRPr="005715B7">
        <w:rPr>
          <w:rFonts w:eastAsia="Times New Roman"/>
          <w:i/>
          <w:iCs/>
          <w:lang w:eastAsia="en-US" w:bidi="gu-IN"/>
        </w:rPr>
        <w:t>et al.</w:t>
      </w:r>
      <w:r w:rsidRPr="007E301E">
        <w:rPr>
          <w:rFonts w:eastAsia="Times New Roman"/>
          <w:lang w:eastAsia="en-US" w:bidi="gu-IN"/>
        </w:rPr>
        <w:t xml:space="preserve"> (2015).</w:t>
      </w:r>
      <w:r>
        <w:rPr>
          <w:rFonts w:eastAsia="Times New Roman"/>
          <w:lang w:eastAsia="en-US" w:bidi="gu-IN"/>
        </w:rPr>
        <w:t xml:space="preserve"> </w:t>
      </w:r>
      <w:r>
        <w:t xml:space="preserve">Similar results have been also found by </w:t>
      </w:r>
      <w:proofErr w:type="spellStart"/>
      <w:r>
        <w:t>Rupareliya</w:t>
      </w:r>
      <w:proofErr w:type="spellEnd"/>
      <w:r>
        <w:t xml:space="preserve"> </w:t>
      </w:r>
      <w:r w:rsidRPr="007D7CD0">
        <w:rPr>
          <w:i/>
          <w:iCs/>
        </w:rPr>
        <w:t>et al</w:t>
      </w:r>
      <w:r>
        <w:t xml:space="preserve">., (2020) and Bharat </w:t>
      </w:r>
      <w:r w:rsidRPr="0037157A">
        <w:rPr>
          <w:i/>
          <w:iCs/>
        </w:rPr>
        <w:t>et al</w:t>
      </w:r>
      <w:r>
        <w:t>., (2019) for significant effect of herbicide on protein content of soybean.</w:t>
      </w:r>
    </w:p>
    <w:p w:rsidR="00304A4D" w:rsidRPr="00D9199E" w:rsidRDefault="00304A4D" w:rsidP="00382BC8">
      <w:pPr>
        <w:spacing w:line="276" w:lineRule="auto"/>
        <w:jc w:val="both"/>
        <w:rPr>
          <w:bCs/>
        </w:rPr>
      </w:pPr>
      <w:r>
        <w:rPr>
          <w:b/>
          <w:bCs/>
        </w:rPr>
        <w:t>Oil content of soybean seed</w:t>
      </w:r>
    </w:p>
    <w:p w:rsidR="0057459F" w:rsidRPr="007E301E" w:rsidRDefault="00304A4D" w:rsidP="00382BC8">
      <w:pPr>
        <w:spacing w:line="276" w:lineRule="auto"/>
        <w:ind w:firstLine="720"/>
        <w:jc w:val="both"/>
        <w:rPr>
          <w:rFonts w:eastAsia="Times New Roman"/>
          <w:lang w:eastAsia="en-US" w:bidi="gu-IN"/>
        </w:rPr>
      </w:pPr>
      <w:r>
        <w:rPr>
          <w:bCs/>
        </w:rPr>
        <w:t xml:space="preserve">        </w:t>
      </w:r>
      <w:r w:rsidR="0057459F" w:rsidRPr="007E301E">
        <w:rPr>
          <w:rFonts w:eastAsia="Times New Roman"/>
          <w:lang w:eastAsia="en-US" w:bidi="gu-IN"/>
        </w:rPr>
        <w:t>Oil content of soybean seed as influenced by weed management practices during 2017–18, 2018–19</w:t>
      </w:r>
      <w:r w:rsidR="0057459F">
        <w:rPr>
          <w:rFonts w:eastAsia="Times New Roman"/>
          <w:lang w:eastAsia="en-US" w:bidi="gu-IN"/>
        </w:rPr>
        <w:t xml:space="preserve"> and</w:t>
      </w:r>
      <w:r w:rsidR="0057459F" w:rsidRPr="007E301E">
        <w:rPr>
          <w:rFonts w:eastAsia="Times New Roman"/>
          <w:lang w:eastAsia="en-US" w:bidi="gu-IN"/>
        </w:rPr>
        <w:t xml:space="preserve"> in pooled analysis is presented in Table 1. Results revealed that different weed management treatments did not show a significant effect on oil content of soybean during both the years and in pooled results.</w:t>
      </w:r>
    </w:p>
    <w:p w:rsidR="0057459F" w:rsidRPr="007E301E" w:rsidRDefault="0057459F" w:rsidP="00382BC8">
      <w:pPr>
        <w:spacing w:line="276" w:lineRule="auto"/>
        <w:ind w:firstLine="720"/>
        <w:jc w:val="both"/>
        <w:rPr>
          <w:rFonts w:eastAsia="Times New Roman"/>
          <w:lang w:eastAsia="en-US" w:bidi="gu-IN"/>
        </w:rPr>
      </w:pPr>
      <w:r w:rsidRPr="007E301E">
        <w:rPr>
          <w:rFonts w:eastAsia="Times New Roman"/>
          <w:lang w:eastAsia="en-US" w:bidi="gu-IN"/>
        </w:rPr>
        <w:t>The highest oil content of 20.3, 20.2</w:t>
      </w:r>
      <w:r>
        <w:rPr>
          <w:rFonts w:eastAsia="Times New Roman"/>
          <w:lang w:eastAsia="en-US" w:bidi="gu-IN"/>
        </w:rPr>
        <w:t xml:space="preserve"> and</w:t>
      </w:r>
      <w:r w:rsidRPr="007E301E">
        <w:rPr>
          <w:rFonts w:eastAsia="Times New Roman"/>
          <w:lang w:eastAsia="en-US" w:bidi="gu-IN"/>
        </w:rPr>
        <w:t xml:space="preserve"> 20.2 per cent was recorded under treatment T</w:t>
      </w:r>
      <w:r w:rsidRPr="007E301E">
        <w:rPr>
          <w:rFonts w:eastAsia="Times New Roman"/>
          <w:vertAlign w:val="subscript"/>
          <w:lang w:eastAsia="en-US" w:bidi="gu-IN"/>
        </w:rPr>
        <w:t>9</w:t>
      </w:r>
      <w:r w:rsidRPr="007E301E">
        <w:rPr>
          <w:rFonts w:eastAsia="Times New Roman"/>
          <w:lang w:eastAsia="en-US" w:bidi="gu-IN"/>
        </w:rPr>
        <w:t xml:space="preserve"> (</w:t>
      </w:r>
      <w:proofErr w:type="spellStart"/>
      <w:r w:rsidRPr="007E301E">
        <w:rPr>
          <w:rFonts w:eastAsia="Times New Roman"/>
          <w:lang w:eastAsia="en-US" w:bidi="gu-IN"/>
        </w:rPr>
        <w:t>interculturing</w:t>
      </w:r>
      <w:proofErr w:type="spellEnd"/>
      <w:r w:rsidRPr="007E301E">
        <w:rPr>
          <w:rFonts w:eastAsia="Times New Roman"/>
          <w:lang w:eastAsia="en-US" w:bidi="gu-IN"/>
        </w:rPr>
        <w:t xml:space="preserve"> + hand weeding at 20 and 40 DAS) during 2017–18, 2018–19</w:t>
      </w:r>
      <w:r>
        <w:rPr>
          <w:rFonts w:eastAsia="Times New Roman"/>
          <w:lang w:eastAsia="en-US" w:bidi="gu-IN"/>
        </w:rPr>
        <w:t xml:space="preserve"> and</w:t>
      </w:r>
      <w:r w:rsidRPr="007E301E">
        <w:rPr>
          <w:rFonts w:eastAsia="Times New Roman"/>
          <w:lang w:eastAsia="en-US" w:bidi="gu-IN"/>
        </w:rPr>
        <w:t xml:space="preserve"> in pooled analysis, respectively. This treatment was statistically at par with all other treatments except T10 (weedy check). The lowest oil content of 18.3, 18.6</w:t>
      </w:r>
      <w:r>
        <w:rPr>
          <w:rFonts w:eastAsia="Times New Roman"/>
          <w:lang w:eastAsia="en-US" w:bidi="gu-IN"/>
        </w:rPr>
        <w:t xml:space="preserve"> and</w:t>
      </w:r>
      <w:r w:rsidRPr="007E301E">
        <w:rPr>
          <w:rFonts w:eastAsia="Times New Roman"/>
          <w:lang w:eastAsia="en-US" w:bidi="gu-IN"/>
        </w:rPr>
        <w:t xml:space="preserve"> 18.4 per cent was recorded under treatment T</w:t>
      </w:r>
      <w:r w:rsidRPr="007E301E">
        <w:rPr>
          <w:rFonts w:eastAsia="Times New Roman"/>
          <w:vertAlign w:val="subscript"/>
          <w:lang w:eastAsia="en-US" w:bidi="gu-IN"/>
        </w:rPr>
        <w:t>10</w:t>
      </w:r>
      <w:r w:rsidRPr="007E301E">
        <w:rPr>
          <w:rFonts w:eastAsia="Times New Roman"/>
          <w:lang w:eastAsia="en-US" w:bidi="gu-IN"/>
        </w:rPr>
        <w:t xml:space="preserve"> (weedy check) during respective years and in pooled analysis. </w:t>
      </w:r>
      <w:r>
        <w:t>S</w:t>
      </w:r>
      <w:r w:rsidRPr="00DC3B99">
        <w:t xml:space="preserve">imilar results were reported by </w:t>
      </w:r>
      <w:proofErr w:type="spellStart"/>
      <w:r w:rsidRPr="000048B9">
        <w:rPr>
          <w:rFonts w:eastAsiaTheme="minorHAnsi"/>
          <w:color w:val="000000" w:themeColor="text1"/>
        </w:rPr>
        <w:t>Pannerselvam</w:t>
      </w:r>
      <w:proofErr w:type="spellEnd"/>
      <w:r w:rsidRPr="000048B9">
        <w:rPr>
          <w:rFonts w:eastAsiaTheme="minorHAnsi"/>
          <w:color w:val="000000" w:themeColor="text1"/>
        </w:rPr>
        <w:t xml:space="preserve"> </w:t>
      </w:r>
      <w:r w:rsidRPr="005715B7">
        <w:rPr>
          <w:rFonts w:eastAsia="Times New Roman"/>
          <w:i/>
          <w:iCs/>
          <w:lang w:eastAsia="en-US" w:bidi="gu-IN"/>
        </w:rPr>
        <w:t>et al.</w:t>
      </w:r>
      <w:r w:rsidRPr="007E301E">
        <w:rPr>
          <w:rFonts w:eastAsia="Times New Roman"/>
          <w:lang w:eastAsia="en-US" w:bidi="gu-IN"/>
        </w:rPr>
        <w:t xml:space="preserve"> (1998), Pandey </w:t>
      </w:r>
      <w:r w:rsidRPr="005715B7">
        <w:rPr>
          <w:rFonts w:eastAsia="Times New Roman"/>
          <w:i/>
          <w:iCs/>
          <w:lang w:eastAsia="en-US" w:bidi="gu-IN"/>
        </w:rPr>
        <w:t>et al.</w:t>
      </w:r>
      <w:r w:rsidRPr="007E301E">
        <w:rPr>
          <w:rFonts w:eastAsia="Times New Roman"/>
          <w:lang w:eastAsia="en-US" w:bidi="gu-IN"/>
        </w:rPr>
        <w:t xml:space="preserve"> (2003), Govind Prasad </w:t>
      </w:r>
      <w:r w:rsidRPr="005715B7">
        <w:rPr>
          <w:rFonts w:eastAsia="Times New Roman"/>
          <w:i/>
          <w:iCs/>
          <w:lang w:eastAsia="en-US" w:bidi="gu-IN"/>
        </w:rPr>
        <w:t>et al.</w:t>
      </w:r>
      <w:r w:rsidRPr="007E301E">
        <w:rPr>
          <w:rFonts w:eastAsia="Times New Roman"/>
          <w:lang w:eastAsia="en-US" w:bidi="gu-IN"/>
        </w:rPr>
        <w:t xml:space="preserve"> (2008)</w:t>
      </w:r>
      <w:r>
        <w:rPr>
          <w:rFonts w:eastAsia="Times New Roman"/>
          <w:lang w:eastAsia="en-US" w:bidi="gu-IN"/>
        </w:rPr>
        <w:t xml:space="preserve"> and</w:t>
      </w:r>
      <w:r w:rsidRPr="007E301E">
        <w:rPr>
          <w:rFonts w:eastAsia="Times New Roman"/>
          <w:lang w:eastAsia="en-US" w:bidi="gu-IN"/>
        </w:rPr>
        <w:t xml:space="preserve"> Mahajan </w:t>
      </w:r>
      <w:r w:rsidRPr="005715B7">
        <w:rPr>
          <w:rFonts w:eastAsia="Times New Roman"/>
          <w:i/>
          <w:iCs/>
          <w:lang w:eastAsia="en-US" w:bidi="gu-IN"/>
        </w:rPr>
        <w:t>et al.</w:t>
      </w:r>
      <w:r w:rsidRPr="007E301E">
        <w:rPr>
          <w:rFonts w:eastAsia="Times New Roman"/>
          <w:lang w:eastAsia="en-US" w:bidi="gu-IN"/>
        </w:rPr>
        <w:t xml:space="preserve"> (2015).</w:t>
      </w:r>
    </w:p>
    <w:p w:rsidR="00304A4D" w:rsidRPr="00D9199E" w:rsidRDefault="00304A4D" w:rsidP="00382BC8">
      <w:pPr>
        <w:spacing w:line="276" w:lineRule="auto"/>
        <w:jc w:val="both"/>
        <w:rPr>
          <w:bCs/>
        </w:rPr>
      </w:pPr>
      <w:r>
        <w:rPr>
          <w:b/>
          <w:bCs/>
        </w:rPr>
        <w:t xml:space="preserve">Protein content of </w:t>
      </w:r>
      <w:proofErr w:type="spellStart"/>
      <w:r>
        <w:rPr>
          <w:b/>
          <w:bCs/>
        </w:rPr>
        <w:t>pigeonpea</w:t>
      </w:r>
      <w:proofErr w:type="spellEnd"/>
      <w:r>
        <w:rPr>
          <w:b/>
          <w:bCs/>
        </w:rPr>
        <w:t xml:space="preserve"> seed</w:t>
      </w:r>
    </w:p>
    <w:p w:rsidR="00304A4D" w:rsidRDefault="00304A4D" w:rsidP="00382BC8">
      <w:pPr>
        <w:spacing w:line="276" w:lineRule="auto"/>
        <w:jc w:val="both"/>
        <w:rPr>
          <w:bCs/>
        </w:rPr>
      </w:pPr>
      <w:r>
        <w:rPr>
          <w:bCs/>
        </w:rPr>
        <w:t>P</w:t>
      </w:r>
      <w:r w:rsidRPr="00981182">
        <w:rPr>
          <w:bCs/>
        </w:rPr>
        <w:t>rotein content</w:t>
      </w:r>
      <w:r w:rsidRPr="00D9199E">
        <w:rPr>
          <w:bCs/>
        </w:rPr>
        <w:t xml:space="preserve"> of </w:t>
      </w:r>
      <w:proofErr w:type="spellStart"/>
      <w:r>
        <w:rPr>
          <w:bCs/>
        </w:rPr>
        <w:t>pigeonpea</w:t>
      </w:r>
      <w:proofErr w:type="spellEnd"/>
      <w:r w:rsidRPr="00D9199E">
        <w:rPr>
          <w:bCs/>
        </w:rPr>
        <w:t xml:space="preserve"> recorded at harvest as influenced by weed management practices for the year 2017-18, 2018-19</w:t>
      </w:r>
      <w:r>
        <w:rPr>
          <w:bCs/>
        </w:rPr>
        <w:t xml:space="preserve"> and in pooled are presented in Tables </w:t>
      </w:r>
      <w:r w:rsidR="000243BB">
        <w:rPr>
          <w:bCs/>
        </w:rPr>
        <w:t>2</w:t>
      </w:r>
      <w:r>
        <w:rPr>
          <w:bCs/>
        </w:rPr>
        <w:t xml:space="preserve">. </w:t>
      </w:r>
      <w:proofErr w:type="gramStart"/>
      <w:r w:rsidRPr="00D9199E">
        <w:rPr>
          <w:bCs/>
        </w:rPr>
        <w:t>.Result</w:t>
      </w:r>
      <w:proofErr w:type="gramEnd"/>
      <w:r w:rsidRPr="00D9199E">
        <w:rPr>
          <w:bCs/>
        </w:rPr>
        <w:t xml:space="preserve"> revealed that different treatments of weed management practices did not show significant influence on </w:t>
      </w:r>
      <w:r w:rsidRPr="00981182">
        <w:rPr>
          <w:bCs/>
        </w:rPr>
        <w:t>protein content</w:t>
      </w:r>
      <w:r>
        <w:rPr>
          <w:bCs/>
        </w:rPr>
        <w:t xml:space="preserve"> percent </w:t>
      </w:r>
      <w:r w:rsidRPr="00D9199E">
        <w:rPr>
          <w:bCs/>
        </w:rPr>
        <w:t xml:space="preserve">of </w:t>
      </w:r>
      <w:proofErr w:type="spellStart"/>
      <w:r>
        <w:rPr>
          <w:bCs/>
        </w:rPr>
        <w:t>pigeonpea</w:t>
      </w:r>
      <w:proofErr w:type="spellEnd"/>
      <w:r w:rsidRPr="00D9199E">
        <w:rPr>
          <w:bCs/>
        </w:rPr>
        <w:t xml:space="preserve"> recorded during 2017-18 </w:t>
      </w:r>
      <w:r>
        <w:rPr>
          <w:bCs/>
        </w:rPr>
        <w:t>and</w:t>
      </w:r>
      <w:r w:rsidRPr="00D9199E">
        <w:rPr>
          <w:bCs/>
        </w:rPr>
        <w:t>2018-19</w:t>
      </w:r>
      <w:r>
        <w:rPr>
          <w:bCs/>
        </w:rPr>
        <w:t xml:space="preserve">. </w:t>
      </w:r>
    </w:p>
    <w:p w:rsidR="00304A4D" w:rsidRDefault="00304A4D" w:rsidP="00382BC8">
      <w:pPr>
        <w:spacing w:line="276" w:lineRule="auto"/>
        <w:jc w:val="both"/>
        <w:rPr>
          <w:bCs/>
          <w:color w:val="000000" w:themeColor="text1"/>
        </w:rPr>
      </w:pPr>
      <w:r>
        <w:rPr>
          <w:bCs/>
        </w:rPr>
        <w:t xml:space="preserve">          The </w:t>
      </w:r>
      <w:r>
        <w:rPr>
          <w:bCs/>
          <w:color w:val="000000" w:themeColor="text1"/>
        </w:rPr>
        <w:t xml:space="preserve">higher </w:t>
      </w:r>
      <w:r w:rsidRPr="00981182">
        <w:rPr>
          <w:bCs/>
        </w:rPr>
        <w:t>protein content</w:t>
      </w:r>
      <w:r w:rsidR="000246C9">
        <w:rPr>
          <w:bCs/>
        </w:rPr>
        <w:t xml:space="preserve"> </w:t>
      </w:r>
      <w:r w:rsidRPr="00FA7716">
        <w:rPr>
          <w:bCs/>
          <w:color w:val="000000" w:themeColor="text1"/>
        </w:rPr>
        <w:t xml:space="preserve">of </w:t>
      </w:r>
      <w:r>
        <w:rPr>
          <w:bCs/>
          <w:color w:val="000000" w:themeColor="text1"/>
        </w:rPr>
        <w:t>20.8, 21.2</w:t>
      </w:r>
      <w:r w:rsidRPr="00FA7716">
        <w:rPr>
          <w:bCs/>
          <w:color w:val="000000" w:themeColor="text1"/>
        </w:rPr>
        <w:t xml:space="preserve"> and </w:t>
      </w:r>
      <w:r>
        <w:rPr>
          <w:bCs/>
          <w:color w:val="000000" w:themeColor="text1"/>
        </w:rPr>
        <w:t xml:space="preserve">21.0 percent </w:t>
      </w:r>
      <w:r w:rsidRPr="00FA7716">
        <w:rPr>
          <w:bCs/>
          <w:color w:val="000000" w:themeColor="text1"/>
        </w:rPr>
        <w:t xml:space="preserve">was recorded under treatment </w:t>
      </w:r>
      <w:r w:rsidRPr="006E4CB4">
        <w:rPr>
          <w:bCs/>
          <w:color w:val="000000" w:themeColor="text1"/>
        </w:rPr>
        <w:t>T</w:t>
      </w:r>
      <w:r w:rsidRPr="006E4CB4">
        <w:rPr>
          <w:bCs/>
          <w:color w:val="000000" w:themeColor="text1"/>
          <w:vertAlign w:val="subscript"/>
        </w:rPr>
        <w:t>9</w:t>
      </w:r>
      <w:r w:rsidRPr="006E4CB4">
        <w:rPr>
          <w:bCs/>
          <w:color w:val="000000" w:themeColor="text1"/>
        </w:rPr>
        <w:t xml:space="preserve"> (</w:t>
      </w:r>
      <w:r w:rsidRPr="00FA7716">
        <w:t>IC + HW</w:t>
      </w:r>
      <w:r w:rsidRPr="00FA7716">
        <w:rPr>
          <w:bCs/>
          <w:color w:val="000000"/>
        </w:rPr>
        <w:t xml:space="preserve"> at 20 &amp; 40 DAS</w:t>
      </w:r>
      <w:r w:rsidRPr="006E4CB4">
        <w:rPr>
          <w:bCs/>
          <w:color w:val="000000" w:themeColor="text1"/>
        </w:rPr>
        <w:t>) in both the year and in pooled results</w:t>
      </w:r>
      <w:r>
        <w:rPr>
          <w:bCs/>
          <w:color w:val="000000" w:themeColor="text1"/>
        </w:rPr>
        <w:t xml:space="preserve">, while </w:t>
      </w:r>
      <w:r w:rsidRPr="00AA3915">
        <w:rPr>
          <w:bCs/>
          <w:color w:val="000000" w:themeColor="text1"/>
          <w:szCs w:val="28"/>
        </w:rPr>
        <w:t xml:space="preserve">which was statistically at par with </w:t>
      </w:r>
      <w:r w:rsidRPr="00BC2B36">
        <w:rPr>
          <w:bCs/>
          <w:color w:val="000000" w:themeColor="text1"/>
          <w:szCs w:val="28"/>
        </w:rPr>
        <w:t>treatmentT</w:t>
      </w:r>
      <w:r w:rsidRPr="00BC2B36">
        <w:rPr>
          <w:bCs/>
          <w:color w:val="000000" w:themeColor="text1"/>
          <w:szCs w:val="28"/>
          <w:vertAlign w:val="subscript"/>
        </w:rPr>
        <w:t xml:space="preserve">7 </w:t>
      </w:r>
      <w:r w:rsidRPr="00BC2B36">
        <w:rPr>
          <w:bCs/>
          <w:color w:val="000000" w:themeColor="text1"/>
          <w:szCs w:val="28"/>
        </w:rPr>
        <w:t>(</w:t>
      </w:r>
      <w:proofErr w:type="spellStart"/>
      <w:r w:rsidRPr="00BC2B36">
        <w:rPr>
          <w:bCs/>
          <w:color w:val="000000" w:themeColor="text1"/>
          <w:szCs w:val="28"/>
        </w:rPr>
        <w:t>imazamox</w:t>
      </w:r>
      <w:proofErr w:type="spellEnd"/>
      <w:r w:rsidRPr="00BC2B36">
        <w:rPr>
          <w:bCs/>
          <w:color w:val="000000" w:themeColor="text1"/>
          <w:szCs w:val="28"/>
        </w:rPr>
        <w:t xml:space="preserve"> 35% + i</w:t>
      </w:r>
      <w:r>
        <w:rPr>
          <w:bCs/>
          <w:color w:val="000000" w:themeColor="text1"/>
          <w:szCs w:val="28"/>
        </w:rPr>
        <w:t xml:space="preserve">mazethapyr 35% (Pre </w:t>
      </w:r>
      <w:proofErr w:type="gramStart"/>
      <w:r>
        <w:rPr>
          <w:bCs/>
          <w:color w:val="000000" w:themeColor="text1"/>
          <w:szCs w:val="28"/>
        </w:rPr>
        <w:t>mix )</w:t>
      </w:r>
      <w:proofErr w:type="gramEnd"/>
      <w:r>
        <w:rPr>
          <w:bCs/>
          <w:color w:val="000000" w:themeColor="text1"/>
          <w:szCs w:val="28"/>
        </w:rPr>
        <w:t xml:space="preserve"> 70 g </w:t>
      </w:r>
      <w:r w:rsidRPr="00BC2B36">
        <w:rPr>
          <w:bCs/>
          <w:color w:val="000000" w:themeColor="text1"/>
          <w:szCs w:val="28"/>
        </w:rPr>
        <w:t>ha</w:t>
      </w:r>
      <w:r w:rsidRPr="00DB612A">
        <w:rPr>
          <w:bCs/>
          <w:color w:val="000000" w:themeColor="text1"/>
          <w:szCs w:val="28"/>
          <w:vertAlign w:val="superscript"/>
        </w:rPr>
        <w:t>-1</w:t>
      </w:r>
      <w:r w:rsidRPr="00BC2B36">
        <w:rPr>
          <w:bCs/>
          <w:color w:val="000000" w:themeColor="text1"/>
          <w:szCs w:val="28"/>
        </w:rPr>
        <w:t xml:space="preserve"> PoE  </w:t>
      </w:r>
      <w:r w:rsidRPr="00234ADC">
        <w:rPr>
          <w:bCs/>
          <w:i/>
          <w:color w:val="000000" w:themeColor="text1"/>
          <w:szCs w:val="28"/>
        </w:rPr>
        <w:t>fb</w:t>
      </w:r>
      <w:r w:rsidRPr="00BC2B36">
        <w:rPr>
          <w:bCs/>
          <w:color w:val="000000" w:themeColor="text1"/>
          <w:szCs w:val="28"/>
        </w:rPr>
        <w:t xml:space="preserve">  IC + HW at 30 DAS)</w:t>
      </w:r>
      <w:r>
        <w:rPr>
          <w:bCs/>
          <w:color w:val="000000" w:themeColor="text1"/>
          <w:szCs w:val="28"/>
        </w:rPr>
        <w:t xml:space="preserve">, except all other </w:t>
      </w:r>
      <w:r w:rsidRPr="00AA3915">
        <w:rPr>
          <w:bCs/>
          <w:color w:val="000000" w:themeColor="text1"/>
          <w:szCs w:val="28"/>
        </w:rPr>
        <w:t xml:space="preserve">treatments in in </w:t>
      </w:r>
      <w:r>
        <w:rPr>
          <w:bCs/>
          <w:color w:val="000000" w:themeColor="text1"/>
          <w:szCs w:val="28"/>
        </w:rPr>
        <w:t xml:space="preserve">pooled results respectively. </w:t>
      </w:r>
      <w:r w:rsidRPr="006E4CB4">
        <w:rPr>
          <w:bCs/>
          <w:color w:val="000000" w:themeColor="text1"/>
        </w:rPr>
        <w:t xml:space="preserve">Significantly </w:t>
      </w:r>
      <w:r>
        <w:rPr>
          <w:bCs/>
          <w:color w:val="000000" w:themeColor="text1"/>
        </w:rPr>
        <w:t xml:space="preserve">lowest </w:t>
      </w:r>
      <w:r w:rsidRPr="00981182">
        <w:rPr>
          <w:bCs/>
        </w:rPr>
        <w:t xml:space="preserve">protein </w:t>
      </w:r>
      <w:proofErr w:type="spellStart"/>
      <w:r w:rsidRPr="00981182">
        <w:rPr>
          <w:bCs/>
        </w:rPr>
        <w:t>content</w:t>
      </w:r>
      <w:r w:rsidRPr="00FA7716">
        <w:rPr>
          <w:bCs/>
          <w:color w:val="000000" w:themeColor="text1"/>
        </w:rPr>
        <w:t>of</w:t>
      </w:r>
      <w:proofErr w:type="spellEnd"/>
      <w:r w:rsidRPr="00FA7716">
        <w:rPr>
          <w:bCs/>
          <w:color w:val="000000" w:themeColor="text1"/>
        </w:rPr>
        <w:t xml:space="preserve"> </w:t>
      </w:r>
      <w:r>
        <w:rPr>
          <w:bCs/>
          <w:color w:val="000000" w:themeColor="text1"/>
        </w:rPr>
        <w:t xml:space="preserve">16.9, 17.8 </w:t>
      </w:r>
      <w:r w:rsidRPr="00FA7716">
        <w:rPr>
          <w:bCs/>
          <w:color w:val="000000" w:themeColor="text1"/>
        </w:rPr>
        <w:t xml:space="preserve">and </w:t>
      </w:r>
      <w:r>
        <w:rPr>
          <w:bCs/>
          <w:color w:val="000000" w:themeColor="text1"/>
        </w:rPr>
        <w:t xml:space="preserve">17.4 percent </w:t>
      </w:r>
      <w:r w:rsidRPr="006E4CB4">
        <w:rPr>
          <w:bCs/>
          <w:color w:val="000000" w:themeColor="text1"/>
        </w:rPr>
        <w:t>was recorded by the treatment T</w:t>
      </w:r>
      <w:r w:rsidRPr="006E4CB4">
        <w:rPr>
          <w:bCs/>
          <w:color w:val="000000" w:themeColor="text1"/>
          <w:vertAlign w:val="subscript"/>
        </w:rPr>
        <w:t>10</w:t>
      </w:r>
      <w:r w:rsidRPr="006E4CB4">
        <w:rPr>
          <w:bCs/>
          <w:color w:val="000000" w:themeColor="text1"/>
        </w:rPr>
        <w:t xml:space="preserve"> (weedy check) during individual years and in pooled analys</w:t>
      </w:r>
      <w:r>
        <w:rPr>
          <w:bCs/>
          <w:color w:val="000000" w:themeColor="text1"/>
        </w:rPr>
        <w:t>is.</w:t>
      </w:r>
    </w:p>
    <w:p w:rsidR="002B57D7" w:rsidRDefault="002B57D7" w:rsidP="00382BC8">
      <w:pPr>
        <w:spacing w:line="276" w:lineRule="auto"/>
        <w:ind w:left="1170" w:right="-58" w:hanging="1170"/>
        <w:jc w:val="both"/>
        <w:rPr>
          <w:bCs/>
          <w:color w:val="000000" w:themeColor="text1"/>
        </w:rPr>
      </w:pPr>
      <w:r>
        <w:rPr>
          <w:b/>
          <w:bCs/>
        </w:rPr>
        <w:t xml:space="preserve">Seed yield of soybean and </w:t>
      </w:r>
      <w:proofErr w:type="spellStart"/>
      <w:r>
        <w:rPr>
          <w:b/>
          <w:bCs/>
        </w:rPr>
        <w:t>pigeonpea</w:t>
      </w:r>
      <w:proofErr w:type="spellEnd"/>
    </w:p>
    <w:p w:rsidR="0057459F" w:rsidRPr="007E301E" w:rsidRDefault="0057459F" w:rsidP="00382BC8">
      <w:pPr>
        <w:spacing w:line="276" w:lineRule="auto"/>
        <w:ind w:firstLine="720"/>
        <w:jc w:val="both"/>
        <w:rPr>
          <w:rFonts w:eastAsia="Times New Roman"/>
          <w:lang w:eastAsia="en-US" w:bidi="gu-IN"/>
        </w:rPr>
      </w:pPr>
      <w:r w:rsidRPr="007E301E">
        <w:rPr>
          <w:rFonts w:eastAsia="Times New Roman"/>
          <w:lang w:eastAsia="en-US" w:bidi="gu-IN"/>
        </w:rPr>
        <w:t xml:space="preserve">Seed yield (kg ha⁻¹) of soybean and </w:t>
      </w:r>
      <w:proofErr w:type="spellStart"/>
      <w:r w:rsidRPr="007E301E">
        <w:rPr>
          <w:rFonts w:eastAsia="Times New Roman"/>
          <w:lang w:eastAsia="en-US" w:bidi="gu-IN"/>
        </w:rPr>
        <w:t>pigeonpea</w:t>
      </w:r>
      <w:proofErr w:type="spellEnd"/>
      <w:r w:rsidRPr="007E301E">
        <w:rPr>
          <w:rFonts w:eastAsia="Times New Roman"/>
          <w:lang w:eastAsia="en-US" w:bidi="gu-IN"/>
        </w:rPr>
        <w:t xml:space="preserve"> as influenced by weed management practices during 2017–18, 2018–19</w:t>
      </w:r>
      <w:r>
        <w:rPr>
          <w:rFonts w:eastAsia="Times New Roman"/>
          <w:lang w:eastAsia="en-US" w:bidi="gu-IN"/>
        </w:rPr>
        <w:t xml:space="preserve"> and</w:t>
      </w:r>
      <w:r w:rsidRPr="007E301E">
        <w:rPr>
          <w:rFonts w:eastAsia="Times New Roman"/>
          <w:lang w:eastAsia="en-US" w:bidi="gu-IN"/>
        </w:rPr>
        <w:t xml:space="preserve"> in pooled analysis is presented in Tables 1 and 2. The </w:t>
      </w:r>
      <w:r w:rsidRPr="007E301E">
        <w:rPr>
          <w:rFonts w:eastAsia="Times New Roman"/>
          <w:lang w:eastAsia="en-US" w:bidi="gu-IN"/>
        </w:rPr>
        <w:lastRenderedPageBreak/>
        <w:t>differences in seed yield of soybean due to different treatments were found to be significant during both the years as well as in pooled analysis.</w:t>
      </w:r>
    </w:p>
    <w:p w:rsidR="0057459F" w:rsidRPr="007E301E" w:rsidRDefault="0057459F" w:rsidP="00382BC8">
      <w:pPr>
        <w:spacing w:line="276" w:lineRule="auto"/>
        <w:ind w:firstLine="720"/>
        <w:jc w:val="both"/>
        <w:rPr>
          <w:rFonts w:eastAsia="Times New Roman"/>
          <w:lang w:eastAsia="en-US" w:bidi="gu-IN"/>
        </w:rPr>
      </w:pPr>
      <w:r w:rsidRPr="007E301E">
        <w:rPr>
          <w:rFonts w:eastAsia="Times New Roman"/>
          <w:lang w:eastAsia="en-US" w:bidi="gu-IN"/>
        </w:rPr>
        <w:t>The highest seed yield of soybean (932, 1017</w:t>
      </w:r>
      <w:r>
        <w:rPr>
          <w:rFonts w:eastAsia="Times New Roman"/>
          <w:lang w:eastAsia="en-US" w:bidi="gu-IN"/>
        </w:rPr>
        <w:t xml:space="preserve"> and</w:t>
      </w:r>
      <w:r w:rsidRPr="007E301E">
        <w:rPr>
          <w:rFonts w:eastAsia="Times New Roman"/>
          <w:lang w:eastAsia="en-US" w:bidi="gu-IN"/>
        </w:rPr>
        <w:t xml:space="preserve"> 975 kg ha⁻¹) was recorded under treatment T</w:t>
      </w:r>
      <w:r w:rsidRPr="007E301E">
        <w:rPr>
          <w:rFonts w:eastAsia="Times New Roman"/>
          <w:vertAlign w:val="subscript"/>
          <w:lang w:eastAsia="en-US" w:bidi="gu-IN"/>
        </w:rPr>
        <w:t>9</w:t>
      </w:r>
      <w:r w:rsidRPr="007E301E">
        <w:rPr>
          <w:rFonts w:eastAsia="Times New Roman"/>
          <w:lang w:eastAsia="en-US" w:bidi="gu-IN"/>
        </w:rPr>
        <w:t xml:space="preserve"> (</w:t>
      </w:r>
      <w:proofErr w:type="spellStart"/>
      <w:r w:rsidRPr="007E301E">
        <w:rPr>
          <w:rFonts w:eastAsia="Times New Roman"/>
          <w:lang w:eastAsia="en-US" w:bidi="gu-IN"/>
        </w:rPr>
        <w:t>interculturing</w:t>
      </w:r>
      <w:proofErr w:type="spellEnd"/>
      <w:r w:rsidRPr="007E301E">
        <w:rPr>
          <w:rFonts w:eastAsia="Times New Roman"/>
          <w:lang w:eastAsia="en-US" w:bidi="gu-IN"/>
        </w:rPr>
        <w:t xml:space="preserve"> + hand weeding at 20 and 40 DAS) during 2017–18, 2018–19</w:t>
      </w:r>
      <w:r>
        <w:rPr>
          <w:rFonts w:eastAsia="Times New Roman"/>
          <w:lang w:eastAsia="en-US" w:bidi="gu-IN"/>
        </w:rPr>
        <w:t xml:space="preserve"> and</w:t>
      </w:r>
      <w:r w:rsidRPr="007E301E">
        <w:rPr>
          <w:rFonts w:eastAsia="Times New Roman"/>
          <w:lang w:eastAsia="en-US" w:bidi="gu-IN"/>
        </w:rPr>
        <w:t xml:space="preserve"> in pooled results, respectively. During 2017–18, this treatment was statistically at par with T</w:t>
      </w:r>
      <w:r w:rsidRPr="007E301E">
        <w:rPr>
          <w:rFonts w:eastAsia="Times New Roman"/>
          <w:vertAlign w:val="subscript"/>
          <w:lang w:eastAsia="en-US" w:bidi="gu-IN"/>
        </w:rPr>
        <w:t>7</w:t>
      </w:r>
      <w:r w:rsidRPr="007E301E">
        <w:rPr>
          <w:rFonts w:eastAsia="Times New Roman"/>
          <w:lang w:eastAsia="en-US" w:bidi="gu-IN"/>
        </w:rPr>
        <w:t>, T</w:t>
      </w:r>
      <w:r w:rsidRPr="007E301E">
        <w:rPr>
          <w:rFonts w:eastAsia="Times New Roman"/>
          <w:vertAlign w:val="subscript"/>
          <w:lang w:eastAsia="en-US" w:bidi="gu-IN"/>
        </w:rPr>
        <w:t>3</w:t>
      </w:r>
      <w:r w:rsidRPr="007E301E">
        <w:rPr>
          <w:rFonts w:eastAsia="Times New Roman"/>
          <w:lang w:eastAsia="en-US" w:bidi="gu-IN"/>
        </w:rPr>
        <w:t>, T</w:t>
      </w:r>
      <w:r w:rsidRPr="007E301E">
        <w:rPr>
          <w:rFonts w:eastAsia="Times New Roman"/>
          <w:vertAlign w:val="subscript"/>
          <w:lang w:eastAsia="en-US" w:bidi="gu-IN"/>
        </w:rPr>
        <w:t>4</w:t>
      </w:r>
      <w:r w:rsidRPr="007E301E">
        <w:rPr>
          <w:rFonts w:eastAsia="Times New Roman"/>
          <w:lang w:eastAsia="en-US" w:bidi="gu-IN"/>
        </w:rPr>
        <w:t>, T</w:t>
      </w:r>
      <w:r w:rsidRPr="007E301E">
        <w:rPr>
          <w:rFonts w:eastAsia="Times New Roman"/>
          <w:vertAlign w:val="subscript"/>
          <w:lang w:eastAsia="en-US" w:bidi="gu-IN"/>
        </w:rPr>
        <w:t>8</w:t>
      </w:r>
      <w:r>
        <w:rPr>
          <w:rFonts w:eastAsia="Times New Roman"/>
          <w:lang w:eastAsia="en-US" w:bidi="gu-IN"/>
        </w:rPr>
        <w:t xml:space="preserve"> and</w:t>
      </w:r>
      <w:r w:rsidRPr="007E301E">
        <w:rPr>
          <w:rFonts w:eastAsia="Times New Roman"/>
          <w:lang w:eastAsia="en-US" w:bidi="gu-IN"/>
        </w:rPr>
        <w:t xml:space="preserve"> T</w:t>
      </w:r>
      <w:r w:rsidRPr="007E301E">
        <w:rPr>
          <w:rFonts w:eastAsia="Times New Roman"/>
          <w:vertAlign w:val="subscript"/>
          <w:lang w:eastAsia="en-US" w:bidi="gu-IN"/>
        </w:rPr>
        <w:t>5</w:t>
      </w:r>
      <w:r w:rsidRPr="007E301E">
        <w:rPr>
          <w:rFonts w:eastAsia="Times New Roman"/>
          <w:lang w:eastAsia="en-US" w:bidi="gu-IN"/>
        </w:rPr>
        <w:t>, whereas during 2018–19 it was statistically at par with T</w:t>
      </w:r>
      <w:r w:rsidRPr="007E301E">
        <w:rPr>
          <w:rFonts w:eastAsia="Times New Roman"/>
          <w:vertAlign w:val="subscript"/>
          <w:lang w:eastAsia="en-US" w:bidi="gu-IN"/>
        </w:rPr>
        <w:t>7</w:t>
      </w:r>
      <w:r w:rsidRPr="007E301E">
        <w:rPr>
          <w:rFonts w:eastAsia="Times New Roman"/>
          <w:lang w:eastAsia="en-US" w:bidi="gu-IN"/>
        </w:rPr>
        <w:t>, T</w:t>
      </w:r>
      <w:r w:rsidRPr="007E301E">
        <w:rPr>
          <w:rFonts w:eastAsia="Times New Roman"/>
          <w:vertAlign w:val="subscript"/>
          <w:lang w:eastAsia="en-US" w:bidi="gu-IN"/>
        </w:rPr>
        <w:t>3</w:t>
      </w:r>
      <w:r w:rsidRPr="007E301E">
        <w:rPr>
          <w:rFonts w:eastAsia="Times New Roman"/>
          <w:lang w:eastAsia="en-US" w:bidi="gu-IN"/>
        </w:rPr>
        <w:t>, T</w:t>
      </w:r>
      <w:r w:rsidRPr="007E301E">
        <w:rPr>
          <w:rFonts w:eastAsia="Times New Roman"/>
          <w:vertAlign w:val="subscript"/>
          <w:lang w:eastAsia="en-US" w:bidi="gu-IN"/>
        </w:rPr>
        <w:t>4</w:t>
      </w:r>
      <w:r>
        <w:rPr>
          <w:rFonts w:eastAsia="Times New Roman"/>
          <w:lang w:eastAsia="en-US" w:bidi="gu-IN"/>
        </w:rPr>
        <w:t xml:space="preserve"> and</w:t>
      </w:r>
      <w:r w:rsidRPr="007E301E">
        <w:rPr>
          <w:rFonts w:eastAsia="Times New Roman"/>
          <w:lang w:eastAsia="en-US" w:bidi="gu-IN"/>
        </w:rPr>
        <w:t xml:space="preserve"> T</w:t>
      </w:r>
      <w:r w:rsidRPr="007E301E">
        <w:rPr>
          <w:rFonts w:eastAsia="Times New Roman"/>
          <w:vertAlign w:val="subscript"/>
          <w:lang w:eastAsia="en-US" w:bidi="gu-IN"/>
        </w:rPr>
        <w:t>8</w:t>
      </w:r>
      <w:r w:rsidRPr="007E301E">
        <w:rPr>
          <w:rFonts w:eastAsia="Times New Roman"/>
          <w:lang w:eastAsia="en-US" w:bidi="gu-IN"/>
        </w:rPr>
        <w:t>. In pooled analysis, treatment T</w:t>
      </w:r>
      <w:r w:rsidRPr="007E301E">
        <w:rPr>
          <w:rFonts w:eastAsia="Times New Roman"/>
          <w:vertAlign w:val="subscript"/>
          <w:lang w:eastAsia="en-US" w:bidi="gu-IN"/>
        </w:rPr>
        <w:t>9</w:t>
      </w:r>
      <w:r w:rsidRPr="007E301E">
        <w:rPr>
          <w:rFonts w:eastAsia="Times New Roman"/>
          <w:lang w:eastAsia="en-US" w:bidi="gu-IN"/>
        </w:rPr>
        <w:t xml:space="preserve"> remained statistically at par only with T</w:t>
      </w:r>
      <w:r w:rsidRPr="007E301E">
        <w:rPr>
          <w:rFonts w:eastAsia="Times New Roman"/>
          <w:vertAlign w:val="subscript"/>
          <w:lang w:eastAsia="en-US" w:bidi="gu-IN"/>
        </w:rPr>
        <w:t>7</w:t>
      </w:r>
      <w:r w:rsidRPr="007E301E">
        <w:rPr>
          <w:rFonts w:eastAsia="Times New Roman"/>
          <w:lang w:eastAsia="en-US" w:bidi="gu-IN"/>
        </w:rPr>
        <w:t>. The lowest seed yield of soybean (39, 82</w:t>
      </w:r>
      <w:r>
        <w:rPr>
          <w:rFonts w:eastAsia="Times New Roman"/>
          <w:lang w:eastAsia="en-US" w:bidi="gu-IN"/>
        </w:rPr>
        <w:t xml:space="preserve"> and</w:t>
      </w:r>
      <w:r w:rsidRPr="007E301E">
        <w:rPr>
          <w:rFonts w:eastAsia="Times New Roman"/>
          <w:lang w:eastAsia="en-US" w:bidi="gu-IN"/>
        </w:rPr>
        <w:t xml:space="preserve"> 61 kg ha⁻¹) was recorded under treatment T</w:t>
      </w:r>
      <w:r w:rsidRPr="007E301E">
        <w:rPr>
          <w:rFonts w:eastAsia="Times New Roman"/>
          <w:vertAlign w:val="subscript"/>
          <w:lang w:eastAsia="en-US" w:bidi="gu-IN"/>
        </w:rPr>
        <w:t>10</w:t>
      </w:r>
      <w:r w:rsidRPr="007E301E">
        <w:rPr>
          <w:rFonts w:eastAsia="Times New Roman"/>
          <w:lang w:eastAsia="en-US" w:bidi="gu-IN"/>
        </w:rPr>
        <w:t xml:space="preserve"> (weedy check) during respective years and in pooled analysis.</w:t>
      </w:r>
    </w:p>
    <w:p w:rsidR="0057459F" w:rsidRPr="007E301E" w:rsidRDefault="0057459F" w:rsidP="00382BC8">
      <w:pPr>
        <w:spacing w:line="276" w:lineRule="auto"/>
        <w:ind w:firstLine="720"/>
        <w:jc w:val="both"/>
        <w:rPr>
          <w:rFonts w:eastAsia="Times New Roman"/>
          <w:lang w:eastAsia="en-US" w:bidi="gu-IN"/>
        </w:rPr>
      </w:pPr>
      <w:r w:rsidRPr="007E301E">
        <w:rPr>
          <w:rFonts w:eastAsia="Times New Roman"/>
          <w:lang w:eastAsia="en-US" w:bidi="gu-IN"/>
        </w:rPr>
        <w:t xml:space="preserve">Similarly, seed yield of </w:t>
      </w:r>
      <w:proofErr w:type="spellStart"/>
      <w:r w:rsidRPr="007E301E">
        <w:rPr>
          <w:rFonts w:eastAsia="Times New Roman"/>
          <w:lang w:eastAsia="en-US" w:bidi="gu-IN"/>
        </w:rPr>
        <w:t>pigeonpea</w:t>
      </w:r>
      <w:proofErr w:type="spellEnd"/>
      <w:r w:rsidRPr="007E301E">
        <w:rPr>
          <w:rFonts w:eastAsia="Times New Roman"/>
          <w:lang w:eastAsia="en-US" w:bidi="gu-IN"/>
        </w:rPr>
        <w:t xml:space="preserve"> differed significantly due to weed management treatments during both the years and in pooled analysis. The highest </w:t>
      </w:r>
      <w:proofErr w:type="spellStart"/>
      <w:r w:rsidRPr="007E301E">
        <w:rPr>
          <w:rFonts w:eastAsia="Times New Roman"/>
          <w:lang w:eastAsia="en-US" w:bidi="gu-IN"/>
        </w:rPr>
        <w:t>pigeonpea</w:t>
      </w:r>
      <w:proofErr w:type="spellEnd"/>
      <w:r w:rsidRPr="007E301E">
        <w:rPr>
          <w:rFonts w:eastAsia="Times New Roman"/>
          <w:lang w:eastAsia="en-US" w:bidi="gu-IN"/>
        </w:rPr>
        <w:t xml:space="preserve"> seed yield of 1542, 1421</w:t>
      </w:r>
      <w:r>
        <w:rPr>
          <w:rFonts w:eastAsia="Times New Roman"/>
          <w:lang w:eastAsia="en-US" w:bidi="gu-IN"/>
        </w:rPr>
        <w:t xml:space="preserve"> and</w:t>
      </w:r>
      <w:r w:rsidRPr="007E301E">
        <w:rPr>
          <w:rFonts w:eastAsia="Times New Roman"/>
          <w:lang w:eastAsia="en-US" w:bidi="gu-IN"/>
        </w:rPr>
        <w:t xml:space="preserve"> 1482 kg ha⁻¹ was recorded under treatment T</w:t>
      </w:r>
      <w:r w:rsidRPr="007E301E">
        <w:rPr>
          <w:rFonts w:eastAsia="Times New Roman"/>
          <w:vertAlign w:val="subscript"/>
          <w:lang w:eastAsia="en-US" w:bidi="gu-IN"/>
        </w:rPr>
        <w:t>9</w:t>
      </w:r>
      <w:r w:rsidRPr="007E301E">
        <w:rPr>
          <w:rFonts w:eastAsia="Times New Roman"/>
          <w:lang w:eastAsia="en-US" w:bidi="gu-IN"/>
        </w:rPr>
        <w:t xml:space="preserve"> during 2017–18, 2018–19</w:t>
      </w:r>
      <w:r>
        <w:rPr>
          <w:rFonts w:eastAsia="Times New Roman"/>
          <w:lang w:eastAsia="en-US" w:bidi="gu-IN"/>
        </w:rPr>
        <w:t xml:space="preserve"> and</w:t>
      </w:r>
      <w:r w:rsidRPr="007E301E">
        <w:rPr>
          <w:rFonts w:eastAsia="Times New Roman"/>
          <w:lang w:eastAsia="en-US" w:bidi="gu-IN"/>
        </w:rPr>
        <w:t xml:space="preserve"> in pooled analysis, respectively. This treatment was statistically at par with T</w:t>
      </w:r>
      <w:r w:rsidRPr="007E301E">
        <w:rPr>
          <w:rFonts w:eastAsia="Times New Roman"/>
          <w:vertAlign w:val="subscript"/>
          <w:lang w:eastAsia="en-US" w:bidi="gu-IN"/>
        </w:rPr>
        <w:t>7</w:t>
      </w:r>
      <w:r w:rsidRPr="007E301E">
        <w:rPr>
          <w:rFonts w:eastAsia="Times New Roman"/>
          <w:lang w:eastAsia="en-US" w:bidi="gu-IN"/>
        </w:rPr>
        <w:t>, T</w:t>
      </w:r>
      <w:r w:rsidRPr="007E301E">
        <w:rPr>
          <w:rFonts w:eastAsia="Times New Roman"/>
          <w:vertAlign w:val="subscript"/>
          <w:lang w:eastAsia="en-US" w:bidi="gu-IN"/>
        </w:rPr>
        <w:t>3</w:t>
      </w:r>
      <w:r w:rsidRPr="007E301E">
        <w:rPr>
          <w:rFonts w:eastAsia="Times New Roman"/>
          <w:lang w:eastAsia="en-US" w:bidi="gu-IN"/>
        </w:rPr>
        <w:t>, T</w:t>
      </w:r>
      <w:r w:rsidRPr="007E301E">
        <w:rPr>
          <w:rFonts w:eastAsia="Times New Roman"/>
          <w:vertAlign w:val="subscript"/>
          <w:lang w:eastAsia="en-US" w:bidi="gu-IN"/>
        </w:rPr>
        <w:t>4</w:t>
      </w:r>
      <w:r w:rsidRPr="007E301E">
        <w:rPr>
          <w:rFonts w:eastAsia="Times New Roman"/>
          <w:lang w:eastAsia="en-US" w:bidi="gu-IN"/>
        </w:rPr>
        <w:t>, T</w:t>
      </w:r>
      <w:r w:rsidRPr="007E301E">
        <w:rPr>
          <w:rFonts w:eastAsia="Times New Roman"/>
          <w:vertAlign w:val="subscript"/>
          <w:lang w:eastAsia="en-US" w:bidi="gu-IN"/>
        </w:rPr>
        <w:t>8</w:t>
      </w:r>
      <w:r>
        <w:rPr>
          <w:rFonts w:eastAsia="Times New Roman"/>
          <w:lang w:eastAsia="en-US" w:bidi="gu-IN"/>
        </w:rPr>
        <w:t xml:space="preserve"> and</w:t>
      </w:r>
      <w:r w:rsidRPr="007E301E">
        <w:rPr>
          <w:rFonts w:eastAsia="Times New Roman"/>
          <w:lang w:eastAsia="en-US" w:bidi="gu-IN"/>
        </w:rPr>
        <w:t xml:space="preserve"> T</w:t>
      </w:r>
      <w:r w:rsidRPr="007E301E">
        <w:rPr>
          <w:rFonts w:eastAsia="Times New Roman"/>
          <w:vertAlign w:val="subscript"/>
          <w:lang w:eastAsia="en-US" w:bidi="gu-IN"/>
        </w:rPr>
        <w:t>5</w:t>
      </w:r>
      <w:r w:rsidRPr="007E301E">
        <w:rPr>
          <w:rFonts w:eastAsia="Times New Roman"/>
          <w:lang w:eastAsia="en-US" w:bidi="gu-IN"/>
        </w:rPr>
        <w:t xml:space="preserve"> during individual years, whereas in pooled analysis it was statistically at par only with T</w:t>
      </w:r>
      <w:r w:rsidRPr="007E301E">
        <w:rPr>
          <w:rFonts w:eastAsia="Times New Roman"/>
          <w:vertAlign w:val="subscript"/>
          <w:lang w:eastAsia="en-US" w:bidi="gu-IN"/>
        </w:rPr>
        <w:t>7</w:t>
      </w:r>
      <w:r w:rsidRPr="007E301E">
        <w:rPr>
          <w:rFonts w:eastAsia="Times New Roman"/>
          <w:lang w:eastAsia="en-US" w:bidi="gu-IN"/>
        </w:rPr>
        <w:t xml:space="preserve">. The lowest </w:t>
      </w:r>
      <w:proofErr w:type="spellStart"/>
      <w:r w:rsidRPr="007E301E">
        <w:rPr>
          <w:rFonts w:eastAsia="Times New Roman"/>
          <w:lang w:eastAsia="en-US" w:bidi="gu-IN"/>
        </w:rPr>
        <w:t>pigeonpea</w:t>
      </w:r>
      <w:proofErr w:type="spellEnd"/>
      <w:r w:rsidRPr="007E301E">
        <w:rPr>
          <w:rFonts w:eastAsia="Times New Roman"/>
          <w:lang w:eastAsia="en-US" w:bidi="gu-IN"/>
        </w:rPr>
        <w:t xml:space="preserve"> seed yield of 540, 487</w:t>
      </w:r>
      <w:r>
        <w:rPr>
          <w:rFonts w:eastAsia="Times New Roman"/>
          <w:lang w:eastAsia="en-US" w:bidi="gu-IN"/>
        </w:rPr>
        <w:t xml:space="preserve"> and</w:t>
      </w:r>
      <w:r w:rsidRPr="007E301E">
        <w:rPr>
          <w:rFonts w:eastAsia="Times New Roman"/>
          <w:lang w:eastAsia="en-US" w:bidi="gu-IN"/>
        </w:rPr>
        <w:t xml:space="preserve"> 514 kg ha⁻¹ was recorded under treatment T</w:t>
      </w:r>
      <w:r w:rsidRPr="007E301E">
        <w:rPr>
          <w:rFonts w:eastAsia="Times New Roman"/>
          <w:vertAlign w:val="subscript"/>
          <w:lang w:eastAsia="en-US" w:bidi="gu-IN"/>
        </w:rPr>
        <w:t>10</w:t>
      </w:r>
      <w:r w:rsidRPr="007E301E">
        <w:rPr>
          <w:rFonts w:eastAsia="Times New Roman"/>
          <w:lang w:eastAsia="en-US" w:bidi="gu-IN"/>
        </w:rPr>
        <w:t xml:space="preserve"> (weedy check) during individual years and in pooled analysis</w:t>
      </w:r>
      <w:r>
        <w:rPr>
          <w:rFonts w:eastAsia="Times New Roman"/>
          <w:lang w:eastAsia="en-US" w:bidi="gu-IN"/>
        </w:rPr>
        <w:t xml:space="preserve"> respectively</w:t>
      </w:r>
      <w:r w:rsidRPr="007E301E">
        <w:rPr>
          <w:rFonts w:eastAsia="Times New Roman"/>
          <w:lang w:eastAsia="en-US" w:bidi="gu-IN"/>
        </w:rPr>
        <w:t>.</w:t>
      </w:r>
    </w:p>
    <w:p w:rsidR="0057459F" w:rsidRPr="007E301E" w:rsidRDefault="00927410" w:rsidP="00382BC8">
      <w:pPr>
        <w:spacing w:line="276" w:lineRule="auto"/>
        <w:ind w:firstLine="720"/>
        <w:jc w:val="both"/>
        <w:rPr>
          <w:rFonts w:eastAsia="Times New Roman"/>
          <w:lang w:eastAsia="en-US" w:bidi="gu-IN"/>
        </w:rPr>
      </w:pPr>
      <w:r w:rsidRPr="00927410">
        <w:rPr>
          <w:rFonts w:eastAsia="Times New Roman"/>
          <w:lang w:eastAsia="en-US" w:bidi="gu-IN"/>
        </w:rPr>
        <w:t xml:space="preserve">One crucial factor in assessing the stability and superiority of a given treatment is seed yield. The current study's findings showed that, in comparison to the weedy check, all weed control methods provided noticeably higher seed yields. </w:t>
      </w:r>
      <w:r>
        <w:rPr>
          <w:rFonts w:eastAsia="Times New Roman"/>
          <w:lang w:eastAsia="en-US" w:bidi="gu-IN"/>
        </w:rPr>
        <w:t xml:space="preserve"> </w:t>
      </w:r>
      <w:r w:rsidR="0057459F" w:rsidRPr="007E301E">
        <w:rPr>
          <w:rFonts w:eastAsia="Times New Roman"/>
          <w:lang w:eastAsia="en-US" w:bidi="gu-IN"/>
        </w:rPr>
        <w:t xml:space="preserve">Effective weed management at optimum stages reduced crop–weed competition and provided a nearly weed-free environment, resulting in enhanced crop growth and yield. Lower yields in weedy check plots were attributed to severe weed competition. Higher yields obtained under </w:t>
      </w:r>
      <w:proofErr w:type="spellStart"/>
      <w:r w:rsidR="0057459F" w:rsidRPr="007E301E">
        <w:rPr>
          <w:rFonts w:eastAsia="Times New Roman"/>
          <w:lang w:eastAsia="en-US" w:bidi="gu-IN"/>
        </w:rPr>
        <w:t>interculturing</w:t>
      </w:r>
      <w:proofErr w:type="spellEnd"/>
      <w:r w:rsidR="0057459F" w:rsidRPr="007E301E">
        <w:rPr>
          <w:rFonts w:eastAsia="Times New Roman"/>
          <w:lang w:eastAsia="en-US" w:bidi="gu-IN"/>
        </w:rPr>
        <w:t xml:space="preserve"> + hand weeding at 20 and 40 DAS, followed by application of </w:t>
      </w:r>
      <w:proofErr w:type="spellStart"/>
      <w:r w:rsidR="0057459F" w:rsidRPr="007E301E">
        <w:rPr>
          <w:rFonts w:eastAsia="Times New Roman"/>
          <w:lang w:eastAsia="en-US" w:bidi="gu-IN"/>
        </w:rPr>
        <w:t>imazamox</w:t>
      </w:r>
      <w:proofErr w:type="spellEnd"/>
      <w:r w:rsidR="0057459F" w:rsidRPr="007E301E">
        <w:rPr>
          <w:rFonts w:eastAsia="Times New Roman"/>
          <w:lang w:eastAsia="en-US" w:bidi="gu-IN"/>
        </w:rPr>
        <w:t xml:space="preserve"> + imazethapyr or imazethapyr alone, may be due to efficient weed control and improved availability of nutrients, light</w:t>
      </w:r>
      <w:r w:rsidR="0057459F">
        <w:rPr>
          <w:rFonts w:eastAsia="Times New Roman"/>
          <w:lang w:eastAsia="en-US" w:bidi="gu-IN"/>
        </w:rPr>
        <w:t xml:space="preserve"> and</w:t>
      </w:r>
      <w:r w:rsidR="0057459F" w:rsidRPr="007E301E">
        <w:rPr>
          <w:rFonts w:eastAsia="Times New Roman"/>
          <w:lang w:eastAsia="en-US" w:bidi="gu-IN"/>
        </w:rPr>
        <w:t xml:space="preserve"> moisture. These results are in conformity with the findings of </w:t>
      </w:r>
      <w:proofErr w:type="spellStart"/>
      <w:r w:rsidR="0057459F" w:rsidRPr="007E301E">
        <w:rPr>
          <w:rFonts w:eastAsia="Times New Roman"/>
          <w:lang w:eastAsia="en-US" w:bidi="gu-IN"/>
        </w:rPr>
        <w:t>Kushwah</w:t>
      </w:r>
      <w:proofErr w:type="spellEnd"/>
      <w:r w:rsidR="0057459F" w:rsidRPr="007E301E">
        <w:rPr>
          <w:rFonts w:eastAsia="Times New Roman"/>
          <w:lang w:eastAsia="en-US" w:bidi="gu-IN"/>
        </w:rPr>
        <w:t xml:space="preserve"> and Vyas (2005), Jadhav and </w:t>
      </w:r>
      <w:proofErr w:type="spellStart"/>
      <w:r w:rsidR="0057459F" w:rsidRPr="007E301E">
        <w:rPr>
          <w:rFonts w:eastAsia="Times New Roman"/>
          <w:lang w:eastAsia="en-US" w:bidi="gu-IN"/>
        </w:rPr>
        <w:t>Gadade</w:t>
      </w:r>
      <w:proofErr w:type="spellEnd"/>
      <w:r w:rsidR="0057459F" w:rsidRPr="007E301E">
        <w:rPr>
          <w:rFonts w:eastAsia="Times New Roman"/>
          <w:lang w:eastAsia="en-US" w:bidi="gu-IN"/>
        </w:rPr>
        <w:t xml:space="preserve"> (2012), </w:t>
      </w:r>
      <w:proofErr w:type="spellStart"/>
      <w:r w:rsidR="0057459F" w:rsidRPr="007E301E">
        <w:rPr>
          <w:rFonts w:eastAsia="Times New Roman"/>
          <w:lang w:eastAsia="en-US" w:bidi="gu-IN"/>
        </w:rPr>
        <w:t>Habimana</w:t>
      </w:r>
      <w:proofErr w:type="spellEnd"/>
      <w:r w:rsidR="0057459F" w:rsidRPr="007E301E">
        <w:rPr>
          <w:rFonts w:eastAsia="Times New Roman"/>
          <w:lang w:eastAsia="en-US" w:bidi="gu-IN"/>
        </w:rPr>
        <w:t xml:space="preserve"> </w:t>
      </w:r>
      <w:r w:rsidR="0057459F" w:rsidRPr="005715B7">
        <w:rPr>
          <w:rFonts w:eastAsia="Times New Roman"/>
          <w:i/>
          <w:iCs/>
          <w:lang w:eastAsia="en-US" w:bidi="gu-IN"/>
        </w:rPr>
        <w:t>et al.</w:t>
      </w:r>
      <w:r w:rsidR="0057459F" w:rsidRPr="007E301E">
        <w:rPr>
          <w:rFonts w:eastAsia="Times New Roman"/>
          <w:lang w:eastAsia="en-US" w:bidi="gu-IN"/>
        </w:rPr>
        <w:t xml:space="preserve"> (2013)</w:t>
      </w:r>
      <w:r w:rsidR="0057459F">
        <w:rPr>
          <w:rFonts w:eastAsia="Times New Roman"/>
          <w:lang w:eastAsia="en-US" w:bidi="gu-IN"/>
        </w:rPr>
        <w:t xml:space="preserve"> and</w:t>
      </w:r>
      <w:r w:rsidR="0057459F" w:rsidRPr="007E301E">
        <w:rPr>
          <w:rFonts w:eastAsia="Times New Roman"/>
          <w:lang w:eastAsia="en-US" w:bidi="gu-IN"/>
        </w:rPr>
        <w:t xml:space="preserve"> Mishra </w:t>
      </w:r>
      <w:r w:rsidR="0057459F" w:rsidRPr="005715B7">
        <w:rPr>
          <w:rFonts w:eastAsia="Times New Roman"/>
          <w:i/>
          <w:iCs/>
          <w:lang w:eastAsia="en-US" w:bidi="gu-IN"/>
        </w:rPr>
        <w:t>et al.</w:t>
      </w:r>
      <w:r w:rsidR="0057459F" w:rsidRPr="007E301E">
        <w:rPr>
          <w:rFonts w:eastAsia="Times New Roman"/>
          <w:lang w:eastAsia="en-US" w:bidi="gu-IN"/>
        </w:rPr>
        <w:t xml:space="preserve"> (2013) in soybean; </w:t>
      </w:r>
      <w:proofErr w:type="spellStart"/>
      <w:r w:rsidR="0057459F" w:rsidRPr="007E301E">
        <w:rPr>
          <w:rFonts w:eastAsia="Times New Roman"/>
          <w:lang w:eastAsia="en-US" w:bidi="gu-IN"/>
        </w:rPr>
        <w:t>Mallareddy</w:t>
      </w:r>
      <w:proofErr w:type="spellEnd"/>
      <w:r w:rsidR="0057459F" w:rsidRPr="007E301E">
        <w:rPr>
          <w:rFonts w:eastAsia="Times New Roman"/>
          <w:lang w:eastAsia="en-US" w:bidi="gu-IN"/>
        </w:rPr>
        <w:t xml:space="preserve"> </w:t>
      </w:r>
      <w:r w:rsidR="0057459F" w:rsidRPr="005715B7">
        <w:rPr>
          <w:rFonts w:eastAsia="Times New Roman"/>
          <w:i/>
          <w:iCs/>
          <w:lang w:eastAsia="en-US" w:bidi="gu-IN"/>
        </w:rPr>
        <w:t>et al.</w:t>
      </w:r>
      <w:r w:rsidR="0057459F" w:rsidRPr="007E301E">
        <w:rPr>
          <w:rFonts w:eastAsia="Times New Roman"/>
          <w:lang w:eastAsia="en-US" w:bidi="gu-IN"/>
        </w:rPr>
        <w:t xml:space="preserve"> (2008), Banjara </w:t>
      </w:r>
      <w:r w:rsidR="0057459F" w:rsidRPr="005715B7">
        <w:rPr>
          <w:rFonts w:eastAsia="Times New Roman"/>
          <w:i/>
          <w:iCs/>
          <w:lang w:eastAsia="en-US" w:bidi="gu-IN"/>
        </w:rPr>
        <w:t>et al.</w:t>
      </w:r>
      <w:r w:rsidR="0057459F" w:rsidRPr="007E301E">
        <w:rPr>
          <w:rFonts w:eastAsia="Times New Roman"/>
          <w:lang w:eastAsia="en-US" w:bidi="gu-IN"/>
        </w:rPr>
        <w:t xml:space="preserve"> (2016)</w:t>
      </w:r>
      <w:r w:rsidR="0057459F">
        <w:rPr>
          <w:rFonts w:eastAsia="Times New Roman"/>
          <w:lang w:eastAsia="en-US" w:bidi="gu-IN"/>
        </w:rPr>
        <w:t xml:space="preserve"> and</w:t>
      </w:r>
      <w:r w:rsidR="0057459F" w:rsidRPr="007E301E">
        <w:rPr>
          <w:rFonts w:eastAsia="Times New Roman"/>
          <w:lang w:eastAsia="en-US" w:bidi="gu-IN"/>
        </w:rPr>
        <w:t xml:space="preserve"> Reddy </w:t>
      </w:r>
      <w:r w:rsidR="0057459F" w:rsidRPr="005715B7">
        <w:rPr>
          <w:rFonts w:eastAsia="Times New Roman"/>
          <w:i/>
          <w:iCs/>
          <w:lang w:eastAsia="en-US" w:bidi="gu-IN"/>
        </w:rPr>
        <w:t>et al.</w:t>
      </w:r>
      <w:r w:rsidR="0057459F" w:rsidRPr="007E301E">
        <w:rPr>
          <w:rFonts w:eastAsia="Times New Roman"/>
          <w:lang w:eastAsia="en-US" w:bidi="gu-IN"/>
        </w:rPr>
        <w:t xml:space="preserve"> (2016) in </w:t>
      </w:r>
      <w:proofErr w:type="spellStart"/>
      <w:r w:rsidR="0057459F" w:rsidRPr="007E301E">
        <w:rPr>
          <w:rFonts w:eastAsia="Times New Roman"/>
          <w:lang w:eastAsia="en-US" w:bidi="gu-IN"/>
        </w:rPr>
        <w:t>pigeonpea</w:t>
      </w:r>
      <w:proofErr w:type="spellEnd"/>
      <w:r w:rsidR="0057459F" w:rsidRPr="007E301E">
        <w:rPr>
          <w:rFonts w:eastAsia="Times New Roman"/>
          <w:lang w:eastAsia="en-US" w:bidi="gu-IN"/>
        </w:rPr>
        <w:t>; and Jadhav (2015) in soybean–</w:t>
      </w:r>
      <w:proofErr w:type="spellStart"/>
      <w:r w:rsidR="0057459F" w:rsidRPr="007E301E">
        <w:rPr>
          <w:rFonts w:eastAsia="Times New Roman"/>
          <w:lang w:eastAsia="en-US" w:bidi="gu-IN"/>
        </w:rPr>
        <w:t>pigeonpea</w:t>
      </w:r>
      <w:proofErr w:type="spellEnd"/>
      <w:r w:rsidR="0057459F" w:rsidRPr="007E301E">
        <w:rPr>
          <w:rFonts w:eastAsia="Times New Roman"/>
          <w:lang w:eastAsia="en-US" w:bidi="gu-IN"/>
        </w:rPr>
        <w:t xml:space="preserve"> intercropping system.</w:t>
      </w:r>
    </w:p>
    <w:p w:rsidR="00E334B6" w:rsidRPr="00764600" w:rsidRDefault="00E334B6" w:rsidP="00576506">
      <w:pPr>
        <w:spacing w:line="276" w:lineRule="auto"/>
        <w:jc w:val="both"/>
        <w:outlineLvl w:val="1"/>
        <w:rPr>
          <w:rFonts w:eastAsia="Times New Roman"/>
          <w:b/>
          <w:bCs/>
          <w:lang w:bidi="gu-IN"/>
        </w:rPr>
      </w:pPr>
      <w:r w:rsidRPr="00A9288A">
        <w:rPr>
          <w:rFonts w:eastAsia="Times New Roman"/>
          <w:b/>
          <w:bCs/>
          <w:lang w:bidi="gu-IN"/>
        </w:rPr>
        <w:t>Conclusion</w:t>
      </w:r>
    </w:p>
    <w:p w:rsidR="00576506" w:rsidRDefault="004937F7" w:rsidP="00C579B4">
      <w:pPr>
        <w:spacing w:line="276" w:lineRule="auto"/>
        <w:jc w:val="both"/>
        <w:rPr>
          <w:rFonts w:eastAsia="Times New Roman"/>
          <w:lang w:bidi="gu-IN"/>
        </w:rPr>
      </w:pPr>
      <w:r w:rsidRPr="004937F7">
        <w:rPr>
          <w:rFonts w:eastAsia="Times New Roman"/>
          <w:lang w:bidi="gu-IN"/>
        </w:rPr>
        <w:t xml:space="preserve">The most successful weed management techniques were found to be </w:t>
      </w:r>
      <w:proofErr w:type="spellStart"/>
      <w:r w:rsidRPr="004937F7">
        <w:rPr>
          <w:rFonts w:eastAsia="Times New Roman"/>
          <w:lang w:bidi="gu-IN"/>
        </w:rPr>
        <w:t>interculturing</w:t>
      </w:r>
      <w:proofErr w:type="spellEnd"/>
      <w:r w:rsidRPr="004937F7">
        <w:rPr>
          <w:rFonts w:eastAsia="Times New Roman"/>
          <w:lang w:bidi="gu-IN"/>
        </w:rPr>
        <w:t xml:space="preserve"> + hand weeding at 20 and 40 DAS, followed by post-emergence application of </w:t>
      </w:r>
      <w:proofErr w:type="spellStart"/>
      <w:r w:rsidRPr="004937F7">
        <w:rPr>
          <w:rFonts w:eastAsia="Times New Roman"/>
          <w:lang w:bidi="gu-IN"/>
        </w:rPr>
        <w:t>imazamox</w:t>
      </w:r>
      <w:proofErr w:type="spellEnd"/>
      <w:r w:rsidRPr="004937F7">
        <w:rPr>
          <w:rFonts w:eastAsia="Times New Roman"/>
          <w:lang w:bidi="gu-IN"/>
        </w:rPr>
        <w:t xml:space="preserve"> 35% + imazethapyr 35% (pre-mix) at 70 g ha⁻¹ PoE fb </w:t>
      </w:r>
      <w:proofErr w:type="spellStart"/>
      <w:r w:rsidRPr="004937F7">
        <w:rPr>
          <w:rFonts w:eastAsia="Times New Roman"/>
          <w:lang w:bidi="gu-IN"/>
        </w:rPr>
        <w:t>interculturing</w:t>
      </w:r>
      <w:proofErr w:type="spellEnd"/>
      <w:r w:rsidRPr="004937F7">
        <w:rPr>
          <w:rFonts w:eastAsia="Times New Roman"/>
          <w:lang w:bidi="gu-IN"/>
        </w:rPr>
        <w:t xml:space="preserve"> + hand weeding at 30 DAS, according to the combined results of two years of experimentation. </w:t>
      </w:r>
      <w:r>
        <w:rPr>
          <w:rFonts w:eastAsia="Times New Roman"/>
          <w:lang w:bidi="gu-IN"/>
        </w:rPr>
        <w:t xml:space="preserve"> </w:t>
      </w:r>
      <w:bookmarkStart w:id="0" w:name="_GoBack"/>
      <w:bookmarkEnd w:id="0"/>
      <w:r w:rsidR="00E334B6" w:rsidRPr="00764600">
        <w:rPr>
          <w:rFonts w:eastAsia="Times New Roman"/>
          <w:lang w:bidi="gu-IN"/>
        </w:rPr>
        <w:t xml:space="preserve">These treatments recorded </w:t>
      </w:r>
      <w:r w:rsidR="00E334B6" w:rsidRPr="00A9288A">
        <w:rPr>
          <w:rFonts w:eastAsia="Times New Roman"/>
          <w:lang w:bidi="gu-IN"/>
        </w:rPr>
        <w:t>higher protein and oil content</w:t>
      </w:r>
      <w:r w:rsidR="000243BB">
        <w:rPr>
          <w:rFonts w:eastAsia="Times New Roman"/>
          <w:lang w:bidi="gu-IN"/>
        </w:rPr>
        <w:t xml:space="preserve"> and yield</w:t>
      </w:r>
      <w:r w:rsidR="00E334B6" w:rsidRPr="00A9288A">
        <w:rPr>
          <w:rFonts w:eastAsia="Times New Roman"/>
          <w:lang w:bidi="gu-IN"/>
        </w:rPr>
        <w:t xml:space="preserve"> in soybean</w:t>
      </w:r>
      <w:r w:rsidR="00E334B6" w:rsidRPr="00764600">
        <w:rPr>
          <w:rFonts w:eastAsia="Times New Roman"/>
          <w:lang w:bidi="gu-IN"/>
        </w:rPr>
        <w:t xml:space="preserve"> and </w:t>
      </w:r>
      <w:r w:rsidR="00E334B6" w:rsidRPr="00A9288A">
        <w:rPr>
          <w:rFonts w:eastAsia="Times New Roman"/>
          <w:lang w:bidi="gu-IN"/>
        </w:rPr>
        <w:t xml:space="preserve">higher protein content </w:t>
      </w:r>
      <w:r w:rsidR="000243BB">
        <w:rPr>
          <w:rFonts w:eastAsia="Times New Roman"/>
          <w:lang w:bidi="gu-IN"/>
        </w:rPr>
        <w:t xml:space="preserve">and yield </w:t>
      </w:r>
      <w:r w:rsidR="00E334B6" w:rsidRPr="00A9288A">
        <w:rPr>
          <w:rFonts w:eastAsia="Times New Roman"/>
          <w:lang w:bidi="gu-IN"/>
        </w:rPr>
        <w:t xml:space="preserve">in </w:t>
      </w:r>
      <w:proofErr w:type="spellStart"/>
      <w:r w:rsidR="00E334B6" w:rsidRPr="00A9288A">
        <w:rPr>
          <w:rFonts w:eastAsia="Times New Roman"/>
          <w:lang w:bidi="gu-IN"/>
        </w:rPr>
        <w:t>pigeonpea</w:t>
      </w:r>
      <w:proofErr w:type="spellEnd"/>
      <w:r w:rsidR="00E334B6" w:rsidRPr="00764600">
        <w:rPr>
          <w:rFonts w:eastAsia="Times New Roman"/>
          <w:lang w:bidi="gu-IN"/>
        </w:rPr>
        <w:t xml:space="preserve"> under the soybean–</w:t>
      </w:r>
      <w:proofErr w:type="spellStart"/>
      <w:r w:rsidR="00E334B6" w:rsidRPr="00764600">
        <w:rPr>
          <w:rFonts w:eastAsia="Times New Roman"/>
          <w:lang w:bidi="gu-IN"/>
        </w:rPr>
        <w:t>pigeonpea</w:t>
      </w:r>
      <w:proofErr w:type="spellEnd"/>
      <w:r w:rsidR="00E334B6" w:rsidRPr="00764600">
        <w:rPr>
          <w:rFonts w:eastAsia="Times New Roman"/>
          <w:lang w:bidi="gu-IN"/>
        </w:rPr>
        <w:t xml:space="preserve"> intercropping </w:t>
      </w:r>
      <w:proofErr w:type="spellStart"/>
      <w:proofErr w:type="gramStart"/>
      <w:r w:rsidR="00E334B6" w:rsidRPr="00764600">
        <w:rPr>
          <w:rFonts w:eastAsia="Times New Roman"/>
          <w:lang w:bidi="gu-IN"/>
        </w:rPr>
        <w:t>system.In</w:t>
      </w:r>
      <w:proofErr w:type="spellEnd"/>
      <w:proofErr w:type="gramEnd"/>
      <w:r w:rsidR="00E334B6" w:rsidRPr="00764600">
        <w:rPr>
          <w:rFonts w:eastAsia="Times New Roman"/>
          <w:lang w:bidi="gu-IN"/>
        </w:rPr>
        <w:t xml:space="preserve"> contrast, the </w:t>
      </w:r>
      <w:r w:rsidR="00E334B6" w:rsidRPr="00A9288A">
        <w:rPr>
          <w:rFonts w:eastAsia="Times New Roman"/>
          <w:lang w:bidi="gu-IN"/>
        </w:rPr>
        <w:t>weedy check</w:t>
      </w:r>
      <w:r w:rsidR="00E334B6" w:rsidRPr="00764600">
        <w:rPr>
          <w:rFonts w:eastAsia="Times New Roman"/>
          <w:lang w:bidi="gu-IN"/>
        </w:rPr>
        <w:t xml:space="preserve"> treatment recorded the </w:t>
      </w:r>
      <w:r w:rsidR="000243BB">
        <w:rPr>
          <w:rFonts w:eastAsia="Times New Roman"/>
          <w:lang w:bidi="gu-IN"/>
        </w:rPr>
        <w:t>lowest protein ,</w:t>
      </w:r>
      <w:r w:rsidR="00E334B6" w:rsidRPr="00A9288A">
        <w:rPr>
          <w:rFonts w:eastAsia="Times New Roman"/>
          <w:lang w:bidi="gu-IN"/>
        </w:rPr>
        <w:t xml:space="preserve"> oil content</w:t>
      </w:r>
      <w:r w:rsidR="000243BB">
        <w:rPr>
          <w:rFonts w:eastAsia="Times New Roman"/>
          <w:lang w:bidi="gu-IN"/>
        </w:rPr>
        <w:t xml:space="preserve"> and yield</w:t>
      </w:r>
      <w:r w:rsidR="00E334B6" w:rsidRPr="00764600">
        <w:rPr>
          <w:rFonts w:eastAsia="Times New Roman"/>
          <w:lang w:bidi="gu-IN"/>
        </w:rPr>
        <w:t xml:space="preserve"> in both crops.</w:t>
      </w:r>
    </w:p>
    <w:p w:rsidR="002126F6" w:rsidRDefault="002126F6" w:rsidP="00C579B4">
      <w:pPr>
        <w:spacing w:line="276" w:lineRule="auto"/>
        <w:jc w:val="both"/>
        <w:rPr>
          <w:rFonts w:eastAsia="Times New Roman"/>
          <w:lang w:bidi="gu-IN"/>
        </w:rPr>
      </w:pPr>
    </w:p>
    <w:p w:rsidR="0011056C" w:rsidRDefault="0011056C" w:rsidP="00C579B4">
      <w:pPr>
        <w:spacing w:line="276" w:lineRule="auto"/>
        <w:jc w:val="both"/>
        <w:rPr>
          <w:rFonts w:eastAsia="Times New Roman"/>
          <w:lang w:bidi="gu-IN"/>
        </w:rPr>
      </w:pPr>
    </w:p>
    <w:p w:rsidR="003D5651" w:rsidRDefault="003D5651" w:rsidP="00C579B4">
      <w:pPr>
        <w:spacing w:line="276" w:lineRule="auto"/>
        <w:jc w:val="both"/>
        <w:rPr>
          <w:rFonts w:eastAsia="Times New Roman"/>
          <w:lang w:bidi="gu-IN"/>
        </w:rPr>
      </w:pPr>
    </w:p>
    <w:p w:rsidR="000005C7" w:rsidRPr="000005C7" w:rsidRDefault="000005C7" w:rsidP="000005C7">
      <w:pPr>
        <w:keepNext/>
        <w:keepLines/>
        <w:spacing w:before="120" w:after="120" w:line="360" w:lineRule="auto"/>
        <w:jc w:val="both"/>
        <w:outlineLvl w:val="1"/>
        <w:rPr>
          <w:rFonts w:eastAsia="Times New Roman"/>
          <w:bCs/>
          <w:highlight w:val="yellow"/>
          <w:lang w:val="en-GB" w:eastAsia="en-IN"/>
        </w:rPr>
      </w:pPr>
      <w:bookmarkStart w:id="1" w:name="_Hlk218867759"/>
      <w:bookmarkStart w:id="2" w:name="_Hlk219125673"/>
      <w:r w:rsidRPr="000005C7">
        <w:rPr>
          <w:rFonts w:eastAsia="Times New Roman"/>
          <w:bCs/>
          <w:highlight w:val="yellow"/>
          <w:lang w:val="en-GB" w:eastAsia="en-IN"/>
        </w:rPr>
        <w:lastRenderedPageBreak/>
        <w:t>Disclaimer (Artificial intelligence)</w:t>
      </w:r>
    </w:p>
    <w:p w:rsidR="000005C7" w:rsidRPr="000005C7" w:rsidRDefault="000005C7" w:rsidP="000005C7">
      <w:pPr>
        <w:keepNext/>
        <w:keepLines/>
        <w:spacing w:before="120" w:after="120" w:line="360" w:lineRule="auto"/>
        <w:jc w:val="both"/>
        <w:outlineLvl w:val="1"/>
        <w:rPr>
          <w:rFonts w:eastAsia="Times New Roman"/>
          <w:bCs/>
          <w:lang w:val="en-GB" w:eastAsia="en-IN"/>
        </w:rPr>
      </w:pPr>
      <w:r w:rsidRPr="000005C7">
        <w:rPr>
          <w:rFonts w:eastAsia="Times New Roman"/>
          <w:bCs/>
          <w:highlight w:val="yellow"/>
          <w:lang w:val="en-GB" w:eastAsia="en-IN"/>
        </w:rPr>
        <w:t>Author(s) hereby declare that NO generative AI technologies such as Large Language Models (</w:t>
      </w:r>
      <w:proofErr w:type="spellStart"/>
      <w:r w:rsidRPr="000005C7">
        <w:rPr>
          <w:rFonts w:eastAsia="Times New Roman"/>
          <w:bCs/>
          <w:highlight w:val="yellow"/>
          <w:lang w:val="en-GB" w:eastAsia="en-IN"/>
        </w:rPr>
        <w:t>ChatGPT</w:t>
      </w:r>
      <w:proofErr w:type="spellEnd"/>
      <w:r w:rsidRPr="000005C7">
        <w:rPr>
          <w:rFonts w:eastAsia="Times New Roman"/>
          <w:bCs/>
          <w:highlight w:val="yellow"/>
          <w:lang w:val="en-GB" w:eastAsia="en-IN"/>
        </w:rPr>
        <w:t>, COPILOT, etc.) and text-to-image generators have been used during the writing or editing of this manuscript.</w:t>
      </w:r>
    </w:p>
    <w:bookmarkEnd w:id="1"/>
    <w:p w:rsidR="000005C7" w:rsidRPr="000005C7" w:rsidRDefault="000005C7" w:rsidP="000005C7">
      <w:pPr>
        <w:spacing w:after="200" w:line="276" w:lineRule="auto"/>
        <w:rPr>
          <w:rFonts w:asciiTheme="minorHAnsi" w:eastAsiaTheme="minorHAnsi" w:hAnsiTheme="minorHAnsi" w:cstheme="minorBidi"/>
          <w:sz w:val="28"/>
          <w:szCs w:val="22"/>
          <w:lang w:val="en-GB" w:eastAsia="en-US"/>
        </w:rPr>
      </w:pPr>
    </w:p>
    <w:bookmarkEnd w:id="2"/>
    <w:p w:rsidR="0011056C" w:rsidRDefault="0011056C" w:rsidP="00C579B4">
      <w:pPr>
        <w:spacing w:line="276" w:lineRule="auto"/>
        <w:jc w:val="both"/>
        <w:rPr>
          <w:rFonts w:eastAsia="Times New Roman"/>
          <w:lang w:bidi="gu-IN"/>
        </w:rPr>
      </w:pPr>
    </w:p>
    <w:p w:rsidR="0011056C" w:rsidRDefault="0011056C" w:rsidP="00C579B4">
      <w:pPr>
        <w:spacing w:line="276" w:lineRule="auto"/>
        <w:jc w:val="both"/>
        <w:rPr>
          <w:rFonts w:eastAsia="Times New Roman"/>
          <w:lang w:bidi="gu-IN"/>
        </w:rPr>
      </w:pPr>
    </w:p>
    <w:p w:rsidR="0011056C" w:rsidRDefault="0011056C" w:rsidP="00C579B4">
      <w:pPr>
        <w:spacing w:line="276" w:lineRule="auto"/>
        <w:jc w:val="both"/>
        <w:rPr>
          <w:rFonts w:eastAsia="Times New Roman"/>
          <w:lang w:bidi="gu-IN"/>
        </w:rPr>
      </w:pPr>
    </w:p>
    <w:p w:rsidR="0011056C" w:rsidRDefault="0011056C" w:rsidP="00C579B4">
      <w:pPr>
        <w:spacing w:line="276" w:lineRule="auto"/>
        <w:jc w:val="both"/>
        <w:rPr>
          <w:rFonts w:eastAsia="Times New Roman"/>
          <w:lang w:bidi="gu-IN"/>
        </w:rPr>
      </w:pPr>
    </w:p>
    <w:p w:rsidR="0011056C" w:rsidRPr="00C579B4" w:rsidRDefault="0011056C" w:rsidP="00C579B4">
      <w:pPr>
        <w:spacing w:line="276" w:lineRule="auto"/>
        <w:jc w:val="both"/>
      </w:pPr>
    </w:p>
    <w:p w:rsidR="006035EE" w:rsidRDefault="006035EE" w:rsidP="0018686D">
      <w:pPr>
        <w:spacing w:before="120"/>
        <w:rPr>
          <w:b/>
          <w:bCs/>
        </w:rPr>
      </w:pPr>
    </w:p>
    <w:p w:rsidR="0057459F" w:rsidRDefault="0057459F" w:rsidP="0057459F">
      <w:pPr>
        <w:spacing w:before="120"/>
        <w:rPr>
          <w:b/>
          <w:bCs/>
        </w:rPr>
      </w:pPr>
      <w:r>
        <w:rPr>
          <w:b/>
          <w:bCs/>
        </w:rPr>
        <w:t>References</w:t>
      </w:r>
    </w:p>
    <w:p w:rsidR="0057459F" w:rsidRPr="000048B9" w:rsidRDefault="0057459F" w:rsidP="00F42CC6">
      <w:pPr>
        <w:pStyle w:val="ListParagraph"/>
        <w:numPr>
          <w:ilvl w:val="0"/>
          <w:numId w:val="27"/>
        </w:numPr>
        <w:autoSpaceDE w:val="0"/>
        <w:autoSpaceDN w:val="0"/>
        <w:adjustRightInd w:val="0"/>
        <w:spacing w:line="276" w:lineRule="auto"/>
        <w:jc w:val="both"/>
      </w:pPr>
      <w:r w:rsidRPr="000048B9">
        <w:t xml:space="preserve">Banjara, G.P., Tandon, A. and. </w:t>
      </w:r>
      <w:proofErr w:type="spellStart"/>
      <w:proofErr w:type="gramStart"/>
      <w:r w:rsidRPr="000048B9">
        <w:t>Porte,S.S</w:t>
      </w:r>
      <w:proofErr w:type="spellEnd"/>
      <w:r w:rsidRPr="000048B9">
        <w:t>.</w:t>
      </w:r>
      <w:proofErr w:type="gramEnd"/>
      <w:r w:rsidRPr="000048B9">
        <w:t xml:space="preserve"> (2016). </w:t>
      </w:r>
      <w:proofErr w:type="spellStart"/>
      <w:r w:rsidRPr="000048B9">
        <w:t>Efects</w:t>
      </w:r>
      <w:proofErr w:type="spellEnd"/>
      <w:r w:rsidRPr="000048B9">
        <w:t xml:space="preserve"> of P levels and weed management on </w:t>
      </w:r>
    </w:p>
    <w:p w:rsidR="0057459F" w:rsidRDefault="0057459F" w:rsidP="00F42CC6">
      <w:pPr>
        <w:pStyle w:val="ListParagraph"/>
        <w:numPr>
          <w:ilvl w:val="1"/>
          <w:numId w:val="27"/>
        </w:numPr>
        <w:autoSpaceDE w:val="0"/>
        <w:autoSpaceDN w:val="0"/>
        <w:adjustRightInd w:val="0"/>
        <w:spacing w:line="276" w:lineRule="auto"/>
        <w:jc w:val="both"/>
      </w:pPr>
      <w:r w:rsidRPr="000048B9">
        <w:t xml:space="preserve">seed yield in </w:t>
      </w:r>
      <w:proofErr w:type="spellStart"/>
      <w:r w:rsidRPr="000048B9">
        <w:t>pigeonpea</w:t>
      </w:r>
      <w:proofErr w:type="spellEnd"/>
      <w:r w:rsidRPr="000048B9">
        <w:t xml:space="preserve"> + soybean intercropping system. </w:t>
      </w:r>
      <w:r w:rsidRPr="00F42CC6">
        <w:rPr>
          <w:i/>
          <w:iCs/>
        </w:rPr>
        <w:t xml:space="preserve">Journal of Plant </w:t>
      </w:r>
      <w:proofErr w:type="gramStart"/>
      <w:r w:rsidRPr="00F42CC6">
        <w:rPr>
          <w:i/>
          <w:iCs/>
        </w:rPr>
        <w:t>Development  Sciences</w:t>
      </w:r>
      <w:proofErr w:type="gramEnd"/>
      <w:r w:rsidRPr="00F42CC6">
        <w:rPr>
          <w:i/>
          <w:iCs/>
        </w:rPr>
        <w:t>,</w:t>
      </w:r>
      <w:r w:rsidRPr="000048B9">
        <w:t>8(1):1-6.</w:t>
      </w:r>
    </w:p>
    <w:p w:rsidR="0057459F" w:rsidRDefault="0057459F" w:rsidP="00F42CC6">
      <w:pPr>
        <w:pStyle w:val="ListParagraph"/>
        <w:numPr>
          <w:ilvl w:val="0"/>
          <w:numId w:val="27"/>
        </w:numPr>
        <w:autoSpaceDE w:val="0"/>
        <w:autoSpaceDN w:val="0"/>
        <w:adjustRightInd w:val="0"/>
        <w:spacing w:line="276" w:lineRule="auto"/>
        <w:jc w:val="both"/>
      </w:pPr>
      <w:r>
        <w:t xml:space="preserve">Bharat C.H, Bhushan R, Srinivas A, </w:t>
      </w:r>
      <w:proofErr w:type="spellStart"/>
      <w:r>
        <w:t>Ramprakash</w:t>
      </w:r>
      <w:proofErr w:type="spellEnd"/>
      <w:r>
        <w:t xml:space="preserve"> T.</w:t>
      </w:r>
      <w:r w:rsidRPr="00927E57">
        <w:t xml:space="preserve"> </w:t>
      </w:r>
      <w:r>
        <w:t xml:space="preserve">(2019). Impact of integrated weed management and bio fertilizers on growth and quality of </w:t>
      </w:r>
      <w:r w:rsidRPr="00F42CC6">
        <w:rPr>
          <w:i/>
          <w:iCs/>
        </w:rPr>
        <w:t>kharif</w:t>
      </w:r>
      <w:r>
        <w:t xml:space="preserve"> soybean. </w:t>
      </w:r>
      <w:r w:rsidRPr="00F42CC6">
        <w:rPr>
          <w:i/>
          <w:iCs/>
        </w:rPr>
        <w:t>Journal of Pharmacognosy and Phytochemistry</w:t>
      </w:r>
      <w:r>
        <w:t>., 5(S):461-463.</w:t>
      </w:r>
    </w:p>
    <w:p w:rsidR="0057459F" w:rsidRPr="00F42CC6" w:rsidRDefault="0057459F" w:rsidP="00F42CC6">
      <w:pPr>
        <w:pStyle w:val="ListParagraph"/>
        <w:numPr>
          <w:ilvl w:val="0"/>
          <w:numId w:val="27"/>
        </w:numPr>
        <w:autoSpaceDE w:val="0"/>
        <w:autoSpaceDN w:val="0"/>
        <w:adjustRightInd w:val="0"/>
        <w:spacing w:line="276" w:lineRule="auto"/>
        <w:jc w:val="both"/>
        <w:rPr>
          <w:color w:val="000000" w:themeColor="text1"/>
        </w:rPr>
      </w:pPr>
      <w:r w:rsidRPr="00F42CC6">
        <w:rPr>
          <w:color w:val="000000" w:themeColor="text1"/>
        </w:rPr>
        <w:t xml:space="preserve">Govind </w:t>
      </w:r>
      <w:proofErr w:type="gramStart"/>
      <w:r w:rsidRPr="00F42CC6">
        <w:rPr>
          <w:color w:val="000000" w:themeColor="text1"/>
        </w:rPr>
        <w:t>Prasad .Integrated</w:t>
      </w:r>
      <w:proofErr w:type="gramEnd"/>
      <w:r w:rsidRPr="00F42CC6">
        <w:rPr>
          <w:color w:val="000000" w:themeColor="text1"/>
        </w:rPr>
        <w:t xml:space="preserve"> weed management in soybean [</w:t>
      </w:r>
      <w:r w:rsidRPr="00F42CC6">
        <w:rPr>
          <w:i/>
          <w:iCs/>
          <w:color w:val="000000" w:themeColor="text1"/>
        </w:rPr>
        <w:t xml:space="preserve">Glycine max </w:t>
      </w:r>
      <w:r w:rsidRPr="00F42CC6">
        <w:rPr>
          <w:color w:val="000000" w:themeColor="text1"/>
        </w:rPr>
        <w:t>(L.) Merrill] M.Sc. (agri.) Thesis 2008; (A.A.U., Anand. Gujarat).</w:t>
      </w:r>
    </w:p>
    <w:p w:rsidR="0057459F" w:rsidRPr="000048B9" w:rsidRDefault="0057459F" w:rsidP="00F42CC6">
      <w:pPr>
        <w:pStyle w:val="ListParagraph"/>
        <w:numPr>
          <w:ilvl w:val="0"/>
          <w:numId w:val="27"/>
        </w:numPr>
        <w:autoSpaceDE w:val="0"/>
        <w:autoSpaceDN w:val="0"/>
        <w:adjustRightInd w:val="0"/>
        <w:spacing w:line="276" w:lineRule="auto"/>
        <w:jc w:val="both"/>
      </w:pPr>
      <w:proofErr w:type="spellStart"/>
      <w:proofErr w:type="gramStart"/>
      <w:r w:rsidRPr="000048B9">
        <w:t>Habimana,S.</w:t>
      </w:r>
      <w:proofErr w:type="gramEnd"/>
      <w:r w:rsidRPr="000048B9">
        <w:t>,Murthy,K.N.K.,Shankaralingappa,B.C.,Sanjay</w:t>
      </w:r>
      <w:proofErr w:type="spellEnd"/>
      <w:r w:rsidRPr="000048B9">
        <w:t xml:space="preserve">, M.T. and Ramachandra, C.( 2013). Efficiency and economics of weed control with pre and post emergence herbicides in soybean. </w:t>
      </w:r>
      <w:r w:rsidRPr="00F42CC6">
        <w:rPr>
          <w:i/>
          <w:iCs/>
        </w:rPr>
        <w:t xml:space="preserve">Asian Journal of Plant Science and Research, </w:t>
      </w:r>
      <w:r w:rsidRPr="00F42CC6">
        <w:rPr>
          <w:b/>
          <w:bCs/>
        </w:rPr>
        <w:t>3</w:t>
      </w:r>
      <w:r w:rsidRPr="000048B9">
        <w:t>(4): 18-20.</w:t>
      </w:r>
    </w:p>
    <w:p w:rsidR="0057459F" w:rsidRPr="00F42CC6" w:rsidRDefault="0057459F" w:rsidP="00F42CC6">
      <w:pPr>
        <w:pStyle w:val="ListParagraph"/>
        <w:numPr>
          <w:ilvl w:val="0"/>
          <w:numId w:val="27"/>
        </w:numPr>
        <w:autoSpaceDE w:val="0"/>
        <w:autoSpaceDN w:val="0"/>
        <w:adjustRightInd w:val="0"/>
        <w:spacing w:line="276" w:lineRule="auto"/>
        <w:rPr>
          <w:color w:val="000000" w:themeColor="text1"/>
        </w:rPr>
      </w:pPr>
      <w:r w:rsidRPr="00F42CC6">
        <w:rPr>
          <w:color w:val="000000" w:themeColor="text1"/>
        </w:rPr>
        <w:t>Jackson, M.L. (1973). Soil Chemical Analysis. Prentice Hall of India Pvt. Ltd.; New Delhi.</w:t>
      </w:r>
    </w:p>
    <w:p w:rsidR="0057459F" w:rsidRDefault="0057459F" w:rsidP="00F42CC6">
      <w:pPr>
        <w:pStyle w:val="ListParagraph"/>
        <w:numPr>
          <w:ilvl w:val="0"/>
          <w:numId w:val="27"/>
        </w:numPr>
        <w:autoSpaceDE w:val="0"/>
        <w:autoSpaceDN w:val="0"/>
        <w:adjustRightInd w:val="0"/>
        <w:spacing w:line="276" w:lineRule="auto"/>
      </w:pPr>
      <w:r w:rsidRPr="000048B9">
        <w:t xml:space="preserve">Jadhav, A.S and </w:t>
      </w:r>
      <w:proofErr w:type="spellStart"/>
      <w:r w:rsidRPr="000048B9">
        <w:t>Gadade</w:t>
      </w:r>
      <w:proofErr w:type="spellEnd"/>
      <w:r w:rsidRPr="000048B9">
        <w:t xml:space="preserve">, G.D. (2012). Evaluation of post emergence herbicides in soybean. </w:t>
      </w:r>
      <w:r w:rsidRPr="00F42CC6">
        <w:rPr>
          <w:i/>
          <w:iCs/>
        </w:rPr>
        <w:t>Indian Journal of Weed Sci</w:t>
      </w:r>
      <w:r w:rsidRPr="000048B9">
        <w:t>ence.,44(4): 259-260.</w:t>
      </w:r>
    </w:p>
    <w:p w:rsidR="0057459F" w:rsidRPr="00F42CC6" w:rsidRDefault="0057459F" w:rsidP="00F42CC6">
      <w:pPr>
        <w:pStyle w:val="ListParagraph"/>
        <w:numPr>
          <w:ilvl w:val="0"/>
          <w:numId w:val="27"/>
        </w:numPr>
        <w:spacing w:line="276" w:lineRule="auto"/>
        <w:jc w:val="both"/>
        <w:rPr>
          <w:bCs/>
        </w:rPr>
      </w:pPr>
      <w:r w:rsidRPr="00F42CC6">
        <w:rPr>
          <w:bCs/>
        </w:rPr>
        <w:t xml:space="preserve">Jadhav, A.S. (2015). Performance of post emergence weedicide in </w:t>
      </w:r>
      <w:proofErr w:type="gramStart"/>
      <w:r w:rsidRPr="00F42CC6">
        <w:rPr>
          <w:bCs/>
        </w:rPr>
        <w:t>soybean  +</w:t>
      </w:r>
      <w:proofErr w:type="gramEnd"/>
      <w:r w:rsidRPr="00F42CC6">
        <w:rPr>
          <w:bCs/>
        </w:rPr>
        <w:t xml:space="preserve">Pigeon pea Intercropping. </w:t>
      </w:r>
      <w:r w:rsidRPr="00F42CC6">
        <w:rPr>
          <w:bCs/>
          <w:i/>
        </w:rPr>
        <w:t xml:space="preserve">Journal of Agriculture and Veterinary Science, </w:t>
      </w:r>
      <w:r w:rsidRPr="000048B9">
        <w:t>8</w:t>
      </w:r>
      <w:r w:rsidRPr="00F42CC6">
        <w:rPr>
          <w:b/>
          <w:bCs/>
        </w:rPr>
        <w:t xml:space="preserve"> </w:t>
      </w:r>
      <w:r w:rsidRPr="00F42CC6">
        <w:rPr>
          <w:bCs/>
        </w:rPr>
        <w:t>(7):61-62.</w:t>
      </w:r>
    </w:p>
    <w:p w:rsidR="0057459F" w:rsidRDefault="0057459F" w:rsidP="00F42CC6">
      <w:pPr>
        <w:pStyle w:val="ListParagraph"/>
        <w:numPr>
          <w:ilvl w:val="0"/>
          <w:numId w:val="27"/>
        </w:numPr>
        <w:spacing w:before="120"/>
        <w:jc w:val="both"/>
      </w:pPr>
      <w:r>
        <w:t xml:space="preserve">Jadav M.L, Mishra K.P, Mishra U.S, Pandey A. (2020). Effect on yield, water us e efficiency and economics of pigeon pea of mulch and irrigation under </w:t>
      </w:r>
      <w:proofErr w:type="spellStart"/>
      <w:r>
        <w:t>vindhyan</w:t>
      </w:r>
      <w:proofErr w:type="spellEnd"/>
      <w:r>
        <w:t xml:space="preserve"> plateau of Madhya Pradesh. </w:t>
      </w:r>
      <w:r w:rsidRPr="00F42CC6">
        <w:rPr>
          <w:i/>
          <w:iCs/>
        </w:rPr>
        <w:t xml:space="preserve">Int. J. </w:t>
      </w:r>
      <w:proofErr w:type="spellStart"/>
      <w:r w:rsidRPr="00F42CC6">
        <w:rPr>
          <w:i/>
          <w:iCs/>
        </w:rPr>
        <w:t>Curr</w:t>
      </w:r>
      <w:proofErr w:type="spellEnd"/>
      <w:r w:rsidRPr="00F42CC6">
        <w:rPr>
          <w:i/>
          <w:iCs/>
        </w:rPr>
        <w:t>. Microbiol. Appl. Sci.</w:t>
      </w:r>
      <w:r>
        <w:t>, 9(9):3525-33.</w:t>
      </w:r>
    </w:p>
    <w:p w:rsidR="0057459F" w:rsidRPr="000048B9" w:rsidRDefault="0057459F" w:rsidP="00F42CC6">
      <w:pPr>
        <w:pStyle w:val="ListParagraph"/>
        <w:numPr>
          <w:ilvl w:val="0"/>
          <w:numId w:val="27"/>
        </w:numPr>
        <w:autoSpaceDE w:val="0"/>
        <w:autoSpaceDN w:val="0"/>
        <w:adjustRightInd w:val="0"/>
        <w:spacing w:line="276" w:lineRule="auto"/>
        <w:jc w:val="both"/>
      </w:pPr>
      <w:proofErr w:type="spellStart"/>
      <w:r w:rsidRPr="000048B9">
        <w:t>Kushwah</w:t>
      </w:r>
      <w:proofErr w:type="spellEnd"/>
      <w:r w:rsidRPr="000048B9">
        <w:t>, S. S. and Vyas, M. D. (2005). Herbicidal weed control in soybean (</w:t>
      </w:r>
      <w:r w:rsidRPr="00F42CC6">
        <w:rPr>
          <w:i/>
          <w:iCs/>
        </w:rPr>
        <w:t xml:space="preserve">Glycine </w:t>
      </w:r>
      <w:proofErr w:type="gramStart"/>
      <w:r w:rsidRPr="00F42CC6">
        <w:rPr>
          <w:i/>
          <w:iCs/>
        </w:rPr>
        <w:t>max)Indian</w:t>
      </w:r>
      <w:proofErr w:type="gramEnd"/>
      <w:r w:rsidRPr="00F42CC6">
        <w:rPr>
          <w:i/>
          <w:iCs/>
        </w:rPr>
        <w:t xml:space="preserve"> </w:t>
      </w:r>
      <w:proofErr w:type="spellStart"/>
      <w:r w:rsidRPr="00F42CC6">
        <w:rPr>
          <w:i/>
          <w:iCs/>
        </w:rPr>
        <w:t>Jornal</w:t>
      </w:r>
      <w:proofErr w:type="spellEnd"/>
      <w:r w:rsidRPr="00F42CC6">
        <w:rPr>
          <w:i/>
          <w:iCs/>
        </w:rPr>
        <w:t xml:space="preserve"> of Agronomy</w:t>
      </w:r>
      <w:r w:rsidRPr="000048B9">
        <w:t>, 50</w:t>
      </w:r>
      <w:r w:rsidRPr="00F42CC6">
        <w:rPr>
          <w:b/>
          <w:bCs/>
        </w:rPr>
        <w:t xml:space="preserve"> </w:t>
      </w:r>
      <w:r w:rsidRPr="000048B9">
        <w:t>(3 ): 225-227.</w:t>
      </w:r>
    </w:p>
    <w:p w:rsidR="0057459F" w:rsidRPr="00F42CC6" w:rsidRDefault="0057459F" w:rsidP="00F42CC6">
      <w:pPr>
        <w:pStyle w:val="ListParagraph"/>
        <w:numPr>
          <w:ilvl w:val="0"/>
          <w:numId w:val="27"/>
        </w:numPr>
        <w:spacing w:line="276" w:lineRule="auto"/>
        <w:jc w:val="both"/>
        <w:rPr>
          <w:bCs/>
          <w:i/>
          <w:color w:val="000000" w:themeColor="text1"/>
        </w:rPr>
      </w:pPr>
      <w:r w:rsidRPr="00F42CC6">
        <w:rPr>
          <w:bCs/>
          <w:color w:val="000000" w:themeColor="text1"/>
        </w:rPr>
        <w:t xml:space="preserve">Mahajan M.S, </w:t>
      </w:r>
      <w:proofErr w:type="spellStart"/>
      <w:r w:rsidRPr="00F42CC6">
        <w:rPr>
          <w:bCs/>
          <w:color w:val="000000" w:themeColor="text1"/>
        </w:rPr>
        <w:t>Pawar</w:t>
      </w:r>
      <w:proofErr w:type="spellEnd"/>
      <w:r w:rsidRPr="00F42CC6">
        <w:rPr>
          <w:bCs/>
          <w:color w:val="000000" w:themeColor="text1"/>
        </w:rPr>
        <w:t xml:space="preserve"> P.P, </w:t>
      </w:r>
      <w:proofErr w:type="spellStart"/>
      <w:r w:rsidRPr="00F42CC6">
        <w:rPr>
          <w:bCs/>
          <w:color w:val="000000" w:themeColor="text1"/>
        </w:rPr>
        <w:t>Wadile</w:t>
      </w:r>
      <w:proofErr w:type="spellEnd"/>
      <w:r w:rsidRPr="00F42CC6">
        <w:rPr>
          <w:bCs/>
          <w:color w:val="000000" w:themeColor="text1"/>
        </w:rPr>
        <w:t xml:space="preserve"> S.C, </w:t>
      </w:r>
      <w:proofErr w:type="spellStart"/>
      <w:r w:rsidRPr="00F42CC6">
        <w:rPr>
          <w:bCs/>
          <w:color w:val="000000" w:themeColor="text1"/>
        </w:rPr>
        <w:t>Ilhe</w:t>
      </w:r>
      <w:proofErr w:type="spellEnd"/>
      <w:r w:rsidRPr="00F42CC6">
        <w:rPr>
          <w:bCs/>
          <w:color w:val="000000" w:themeColor="text1"/>
        </w:rPr>
        <w:t xml:space="preserve"> S.S and Patil D.B. (2015). Efficacy of herbicide on quality, yield and economics of soybean.; 25</w:t>
      </w:r>
      <w:r w:rsidRPr="00F42CC6">
        <w:rPr>
          <w:bCs/>
          <w:color w:val="000000" w:themeColor="text1"/>
          <w:vertAlign w:val="superscript"/>
        </w:rPr>
        <w:t>th</w:t>
      </w:r>
      <w:r w:rsidRPr="00F42CC6">
        <w:rPr>
          <w:bCs/>
          <w:color w:val="000000" w:themeColor="text1"/>
        </w:rPr>
        <w:t xml:space="preserve"> Asian-Pacific Weed Science Society Conference on “</w:t>
      </w:r>
      <w:r w:rsidRPr="00F42CC6">
        <w:rPr>
          <w:bCs/>
          <w:iCs/>
          <w:color w:val="000000" w:themeColor="text1"/>
        </w:rPr>
        <w:t>Weed Science for Sustainable Agriculture</w:t>
      </w:r>
      <w:r w:rsidRPr="00F42CC6">
        <w:rPr>
          <w:bCs/>
          <w:i/>
          <w:color w:val="000000" w:themeColor="text1"/>
        </w:rPr>
        <w:t>”.</w:t>
      </w:r>
    </w:p>
    <w:p w:rsidR="0057459F" w:rsidRPr="000048B9" w:rsidRDefault="0057459F" w:rsidP="00F42CC6">
      <w:pPr>
        <w:pStyle w:val="ListParagraph"/>
        <w:numPr>
          <w:ilvl w:val="0"/>
          <w:numId w:val="27"/>
        </w:numPr>
        <w:autoSpaceDE w:val="0"/>
        <w:autoSpaceDN w:val="0"/>
        <w:adjustRightInd w:val="0"/>
        <w:spacing w:line="276" w:lineRule="auto"/>
        <w:jc w:val="both"/>
      </w:pPr>
      <w:proofErr w:type="spellStart"/>
      <w:r w:rsidRPr="000048B9">
        <w:t>Mallareddy</w:t>
      </w:r>
      <w:proofErr w:type="spellEnd"/>
      <w:r w:rsidRPr="000048B9">
        <w:t xml:space="preserve">, M., Padmaja, B. and </w:t>
      </w:r>
      <w:proofErr w:type="spellStart"/>
      <w:r w:rsidRPr="000048B9">
        <w:t>Jalapathirao</w:t>
      </w:r>
      <w:proofErr w:type="spellEnd"/>
      <w:r w:rsidRPr="000048B9">
        <w:t>, L.</w:t>
      </w:r>
      <w:r>
        <w:t xml:space="preserve"> </w:t>
      </w:r>
      <w:proofErr w:type="gramStart"/>
      <w:r w:rsidRPr="000048B9">
        <w:t>( 2008</w:t>
      </w:r>
      <w:proofErr w:type="gramEnd"/>
      <w:r w:rsidRPr="000048B9">
        <w:t xml:space="preserve">). Response to </w:t>
      </w:r>
      <w:r w:rsidRPr="00F42CC6">
        <w:rPr>
          <w:i/>
          <w:iCs/>
        </w:rPr>
        <w:t xml:space="preserve">Rabi </w:t>
      </w:r>
      <w:r w:rsidRPr="000048B9">
        <w:t xml:space="preserve">irrigation scheduling and weed management in </w:t>
      </w:r>
      <w:proofErr w:type="spellStart"/>
      <w:r w:rsidRPr="000048B9">
        <w:t>Alfisols</w:t>
      </w:r>
      <w:proofErr w:type="spellEnd"/>
      <w:r w:rsidRPr="000048B9">
        <w:t xml:space="preserve">, </w:t>
      </w:r>
      <w:r w:rsidRPr="00F42CC6">
        <w:rPr>
          <w:i/>
          <w:iCs/>
        </w:rPr>
        <w:t xml:space="preserve">Journal </w:t>
      </w:r>
      <w:proofErr w:type="gramStart"/>
      <w:r w:rsidRPr="00F42CC6">
        <w:rPr>
          <w:i/>
          <w:iCs/>
        </w:rPr>
        <w:t>of  food</w:t>
      </w:r>
      <w:proofErr w:type="gramEnd"/>
      <w:r w:rsidRPr="00F42CC6">
        <w:rPr>
          <w:i/>
          <w:iCs/>
        </w:rPr>
        <w:t xml:space="preserve"> Legumes</w:t>
      </w:r>
      <w:r w:rsidRPr="000048B9">
        <w:t>, 21(4): 237-239.</w:t>
      </w:r>
    </w:p>
    <w:p w:rsidR="0057459F" w:rsidRPr="000048B9" w:rsidRDefault="0057459F" w:rsidP="00F42CC6">
      <w:pPr>
        <w:pStyle w:val="ListParagraph"/>
        <w:numPr>
          <w:ilvl w:val="0"/>
          <w:numId w:val="27"/>
        </w:numPr>
        <w:autoSpaceDE w:val="0"/>
        <w:autoSpaceDN w:val="0"/>
        <w:adjustRightInd w:val="0"/>
        <w:spacing w:line="276" w:lineRule="auto"/>
        <w:jc w:val="both"/>
      </w:pPr>
      <w:r w:rsidRPr="000048B9">
        <w:lastRenderedPageBreak/>
        <w:t xml:space="preserve">Mishra, P., Singh </w:t>
      </w:r>
      <w:proofErr w:type="spellStart"/>
      <w:r w:rsidRPr="000048B9">
        <w:t>Harvir</w:t>
      </w:r>
      <w:proofErr w:type="spellEnd"/>
      <w:r w:rsidRPr="000048B9">
        <w:t xml:space="preserve">, </w:t>
      </w:r>
      <w:proofErr w:type="spellStart"/>
      <w:r w:rsidRPr="000048B9">
        <w:t>BabuSubhash</w:t>
      </w:r>
      <w:proofErr w:type="spellEnd"/>
      <w:r w:rsidRPr="000048B9">
        <w:t xml:space="preserve"> and Pal Suresh. (2013). </w:t>
      </w:r>
      <w:proofErr w:type="spellStart"/>
      <w:r w:rsidRPr="000048B9">
        <w:t>Bioefficacy</w:t>
      </w:r>
      <w:proofErr w:type="spellEnd"/>
      <w:r w:rsidRPr="000048B9">
        <w:t xml:space="preserve"> of some early post </w:t>
      </w:r>
    </w:p>
    <w:p w:rsidR="0057459F" w:rsidRPr="000048B9" w:rsidRDefault="0057459F" w:rsidP="00F42CC6">
      <w:pPr>
        <w:pStyle w:val="ListParagraph"/>
        <w:numPr>
          <w:ilvl w:val="1"/>
          <w:numId w:val="27"/>
        </w:numPr>
        <w:autoSpaceDE w:val="0"/>
        <w:autoSpaceDN w:val="0"/>
        <w:adjustRightInd w:val="0"/>
        <w:spacing w:line="276" w:lineRule="auto"/>
        <w:jc w:val="both"/>
      </w:pPr>
      <w:r w:rsidRPr="000048B9">
        <w:t xml:space="preserve">emergence herbicides in soybean. </w:t>
      </w:r>
      <w:r w:rsidRPr="00F42CC6">
        <w:rPr>
          <w:i/>
          <w:iCs/>
        </w:rPr>
        <w:t xml:space="preserve">Annals of Agricultural Research, </w:t>
      </w:r>
      <w:r w:rsidRPr="000048B9">
        <w:t>24(4): 970-972.</w:t>
      </w:r>
    </w:p>
    <w:p w:rsidR="0057459F" w:rsidRPr="00F42CC6" w:rsidRDefault="0057459F" w:rsidP="00F42CC6">
      <w:pPr>
        <w:pStyle w:val="ListParagraph"/>
        <w:numPr>
          <w:ilvl w:val="0"/>
          <w:numId w:val="27"/>
        </w:numPr>
        <w:autoSpaceDE w:val="0"/>
        <w:autoSpaceDN w:val="0"/>
        <w:adjustRightInd w:val="0"/>
        <w:spacing w:line="276" w:lineRule="auto"/>
        <w:jc w:val="both"/>
        <w:rPr>
          <w:bCs/>
          <w:color w:val="000000" w:themeColor="text1"/>
        </w:rPr>
      </w:pPr>
      <w:proofErr w:type="spellStart"/>
      <w:r w:rsidRPr="00F42CC6">
        <w:rPr>
          <w:rFonts w:eastAsiaTheme="minorHAnsi"/>
          <w:color w:val="000000" w:themeColor="text1"/>
        </w:rPr>
        <w:t>Pannerselvam</w:t>
      </w:r>
      <w:proofErr w:type="spellEnd"/>
      <w:r w:rsidRPr="00F42CC6">
        <w:rPr>
          <w:rFonts w:eastAsiaTheme="minorHAnsi"/>
          <w:color w:val="000000" w:themeColor="text1"/>
        </w:rPr>
        <w:t xml:space="preserve"> S, Christopher </w:t>
      </w:r>
      <w:proofErr w:type="spellStart"/>
      <w:r w:rsidRPr="00F42CC6">
        <w:rPr>
          <w:rFonts w:eastAsiaTheme="minorHAnsi"/>
          <w:color w:val="000000" w:themeColor="text1"/>
        </w:rPr>
        <w:t>Lourduraj</w:t>
      </w:r>
      <w:proofErr w:type="spellEnd"/>
      <w:r w:rsidRPr="00F42CC6">
        <w:rPr>
          <w:rFonts w:eastAsiaTheme="minorHAnsi"/>
          <w:color w:val="000000" w:themeColor="text1"/>
        </w:rPr>
        <w:t xml:space="preserve"> A and </w:t>
      </w:r>
      <w:proofErr w:type="spellStart"/>
      <w:r w:rsidRPr="00F42CC6">
        <w:rPr>
          <w:rFonts w:eastAsiaTheme="minorHAnsi"/>
          <w:color w:val="000000" w:themeColor="text1"/>
        </w:rPr>
        <w:t>Balasubramaniam</w:t>
      </w:r>
      <w:proofErr w:type="spellEnd"/>
      <w:r w:rsidRPr="00F42CC6">
        <w:rPr>
          <w:rFonts w:eastAsiaTheme="minorHAnsi"/>
          <w:color w:val="000000" w:themeColor="text1"/>
        </w:rPr>
        <w:t xml:space="preserve"> N (1998). Effect of organic manures, inorganic fertilizers and weed management practices on the quality characters of soybean </w:t>
      </w:r>
      <w:r w:rsidRPr="00F42CC6">
        <w:rPr>
          <w:bCs/>
          <w:color w:val="000000" w:themeColor="text1"/>
        </w:rPr>
        <w:t>(</w:t>
      </w:r>
      <w:r w:rsidRPr="00F42CC6">
        <w:rPr>
          <w:bCs/>
          <w:i/>
          <w:color w:val="000000" w:themeColor="text1"/>
        </w:rPr>
        <w:t>Glycine max</w:t>
      </w:r>
      <w:r w:rsidRPr="00F42CC6">
        <w:rPr>
          <w:bCs/>
          <w:color w:val="000000" w:themeColor="text1"/>
        </w:rPr>
        <w:t xml:space="preserve">). </w:t>
      </w:r>
      <w:r w:rsidRPr="00F42CC6">
        <w:rPr>
          <w:bCs/>
          <w:i/>
          <w:iCs/>
          <w:color w:val="000000" w:themeColor="text1"/>
        </w:rPr>
        <w:t xml:space="preserve">Legume Research, </w:t>
      </w:r>
      <w:r w:rsidRPr="00F42CC6">
        <w:rPr>
          <w:bCs/>
          <w:color w:val="000000" w:themeColor="text1"/>
        </w:rPr>
        <w:t>21 (3&amp;4): 165 -170.</w:t>
      </w:r>
    </w:p>
    <w:p w:rsidR="0057459F" w:rsidRPr="00F42CC6" w:rsidRDefault="0057459F" w:rsidP="00F42CC6">
      <w:pPr>
        <w:pStyle w:val="ListParagraph"/>
        <w:numPr>
          <w:ilvl w:val="0"/>
          <w:numId w:val="27"/>
        </w:numPr>
        <w:spacing w:line="276" w:lineRule="auto"/>
        <w:jc w:val="both"/>
        <w:rPr>
          <w:bCs/>
          <w:color w:val="000000" w:themeColor="text1"/>
        </w:rPr>
      </w:pPr>
      <w:r w:rsidRPr="00F42CC6">
        <w:rPr>
          <w:bCs/>
          <w:color w:val="000000" w:themeColor="text1"/>
        </w:rPr>
        <w:t xml:space="preserve">Pandey D, Singh D and </w:t>
      </w:r>
      <w:proofErr w:type="spellStart"/>
      <w:r w:rsidRPr="00F42CC6">
        <w:rPr>
          <w:bCs/>
          <w:color w:val="000000" w:themeColor="text1"/>
        </w:rPr>
        <w:t>Tomar</w:t>
      </w:r>
      <w:proofErr w:type="spellEnd"/>
      <w:r w:rsidRPr="00F42CC6">
        <w:rPr>
          <w:bCs/>
          <w:color w:val="000000" w:themeColor="text1"/>
        </w:rPr>
        <w:t xml:space="preserve"> P.K (2003). Productivity and quality of soybean influenced by integrated method of weed management. Journal of Oilseeds Research</w:t>
      </w:r>
      <w:r w:rsidRPr="00F42CC6">
        <w:rPr>
          <w:bCs/>
          <w:i/>
          <w:iCs/>
          <w:color w:val="000000" w:themeColor="text1"/>
        </w:rPr>
        <w:t xml:space="preserve"> </w:t>
      </w:r>
      <w:r w:rsidRPr="00F42CC6">
        <w:rPr>
          <w:bCs/>
          <w:color w:val="000000" w:themeColor="text1"/>
        </w:rPr>
        <w:t>20(2): 295-296.</w:t>
      </w:r>
    </w:p>
    <w:p w:rsidR="0057459F" w:rsidRDefault="0057459F" w:rsidP="00F42CC6">
      <w:pPr>
        <w:pStyle w:val="ListParagraph"/>
        <w:numPr>
          <w:ilvl w:val="0"/>
          <w:numId w:val="27"/>
        </w:numPr>
        <w:autoSpaceDE w:val="0"/>
        <w:autoSpaceDN w:val="0"/>
        <w:adjustRightInd w:val="0"/>
        <w:spacing w:line="276" w:lineRule="auto"/>
        <w:jc w:val="both"/>
      </w:pPr>
      <w:r>
        <w:t xml:space="preserve">Reddy, A.S., Rao, P.V. and </w:t>
      </w:r>
      <w:proofErr w:type="spellStart"/>
      <w:proofErr w:type="gramStart"/>
      <w:r>
        <w:t>Rao</w:t>
      </w:r>
      <w:r w:rsidRPr="000048B9">
        <w:t>,Y</w:t>
      </w:r>
      <w:proofErr w:type="spellEnd"/>
      <w:r w:rsidRPr="000048B9">
        <w:t>.</w:t>
      </w:r>
      <w:proofErr w:type="gramEnd"/>
      <w:r>
        <w:t xml:space="preserve"> </w:t>
      </w:r>
      <w:r w:rsidRPr="000048B9">
        <w:t>K</w:t>
      </w:r>
      <w:r>
        <w:t xml:space="preserve"> </w:t>
      </w:r>
      <w:r w:rsidRPr="000048B9">
        <w:t xml:space="preserve">.(2016). Response of IWM on growth and yield of </w:t>
      </w:r>
      <w:proofErr w:type="spellStart"/>
      <w:r w:rsidRPr="000048B9">
        <w:t>pigeonpea</w:t>
      </w:r>
      <w:proofErr w:type="spellEnd"/>
      <w:r w:rsidRPr="000048B9">
        <w:t xml:space="preserve">. </w:t>
      </w:r>
      <w:proofErr w:type="spellStart"/>
      <w:r w:rsidRPr="00F42CC6">
        <w:rPr>
          <w:i/>
          <w:iCs/>
        </w:rPr>
        <w:t>International</w:t>
      </w:r>
      <w:r w:rsidRPr="00F42CC6">
        <w:rPr>
          <w:rStyle w:val="Emphasis"/>
          <w:color w:val="52565A"/>
          <w:shd w:val="clear" w:color="auto" w:fill="FFFFFF"/>
        </w:rPr>
        <w:t>journal</w:t>
      </w:r>
      <w:proofErr w:type="spellEnd"/>
      <w:r w:rsidRPr="00F42CC6">
        <w:rPr>
          <w:color w:val="3C4043"/>
          <w:shd w:val="clear" w:color="auto" w:fill="FFFFFF"/>
        </w:rPr>
        <w:t> of </w:t>
      </w:r>
      <w:r w:rsidRPr="00F42CC6">
        <w:rPr>
          <w:rStyle w:val="Emphasis"/>
          <w:color w:val="52565A"/>
          <w:shd w:val="clear" w:color="auto" w:fill="FFFFFF"/>
        </w:rPr>
        <w:t>current</w:t>
      </w:r>
      <w:r w:rsidRPr="00F42CC6">
        <w:rPr>
          <w:color w:val="3C4043"/>
          <w:shd w:val="clear" w:color="auto" w:fill="FFFFFF"/>
        </w:rPr>
        <w:t> microbiology and </w:t>
      </w:r>
      <w:r w:rsidRPr="00F42CC6">
        <w:rPr>
          <w:rStyle w:val="Emphasis"/>
          <w:color w:val="52565A"/>
          <w:shd w:val="clear" w:color="auto" w:fill="FFFFFF"/>
        </w:rPr>
        <w:t>applied sciences</w:t>
      </w:r>
      <w:r w:rsidRPr="00F42CC6">
        <w:rPr>
          <w:i/>
          <w:iCs/>
        </w:rPr>
        <w:t>.,</w:t>
      </w:r>
      <w:r w:rsidRPr="00F42CC6">
        <w:rPr>
          <w:b/>
          <w:bCs/>
        </w:rPr>
        <w:t>5</w:t>
      </w:r>
      <w:r w:rsidRPr="000048B9">
        <w:t>(3):610-616.</w:t>
      </w:r>
    </w:p>
    <w:p w:rsidR="0057459F" w:rsidRPr="000048B9" w:rsidRDefault="0057459F" w:rsidP="00F42CC6">
      <w:pPr>
        <w:pStyle w:val="ListParagraph"/>
        <w:numPr>
          <w:ilvl w:val="0"/>
          <w:numId w:val="27"/>
        </w:numPr>
        <w:autoSpaceDE w:val="0"/>
        <w:autoSpaceDN w:val="0"/>
        <w:adjustRightInd w:val="0"/>
        <w:spacing w:line="276" w:lineRule="auto"/>
        <w:jc w:val="both"/>
      </w:pPr>
      <w:proofErr w:type="spellStart"/>
      <w:r w:rsidRPr="004C0DA6">
        <w:t>Rupareliya</w:t>
      </w:r>
      <w:proofErr w:type="spellEnd"/>
      <w:r w:rsidRPr="004C0DA6">
        <w:t xml:space="preserve">, V. V., </w:t>
      </w:r>
      <w:proofErr w:type="spellStart"/>
      <w:r w:rsidRPr="004C0DA6">
        <w:t>Mathukia</w:t>
      </w:r>
      <w:proofErr w:type="spellEnd"/>
      <w:r w:rsidRPr="004C0DA6">
        <w:t xml:space="preserve">, R. K., Gohil, B. S., &amp; </w:t>
      </w:r>
      <w:proofErr w:type="spellStart"/>
      <w:r w:rsidRPr="004C0DA6">
        <w:t>Javiya</w:t>
      </w:r>
      <w:proofErr w:type="spellEnd"/>
      <w:r w:rsidRPr="004C0DA6">
        <w:t>, P. P. (2020). Effect of post emergence herbicides and their mixture on growth, yield and quality of soybean (Glycine max L.). </w:t>
      </w:r>
      <w:r w:rsidRPr="00F42CC6">
        <w:rPr>
          <w:i/>
          <w:iCs/>
        </w:rPr>
        <w:t>Journal of Pharmacognosy and Phytochemistry</w:t>
      </w:r>
      <w:r w:rsidRPr="004C0DA6">
        <w:t>, </w:t>
      </w:r>
      <w:r w:rsidRPr="00F42CC6">
        <w:rPr>
          <w:i/>
          <w:iCs/>
        </w:rPr>
        <w:t>9</w:t>
      </w:r>
      <w:r w:rsidRPr="004C0DA6">
        <w:t>(6), 1161-1164.</w:t>
      </w:r>
    </w:p>
    <w:p w:rsidR="0057459F" w:rsidRPr="00F42CC6" w:rsidRDefault="0057459F" w:rsidP="00F42CC6">
      <w:pPr>
        <w:pStyle w:val="ListParagraph"/>
        <w:numPr>
          <w:ilvl w:val="0"/>
          <w:numId w:val="27"/>
        </w:numPr>
        <w:spacing w:line="276" w:lineRule="auto"/>
        <w:jc w:val="both"/>
        <w:rPr>
          <w:bCs/>
          <w:color w:val="000000" w:themeColor="text1"/>
        </w:rPr>
      </w:pPr>
      <w:r w:rsidRPr="00F42CC6">
        <w:rPr>
          <w:bCs/>
          <w:color w:val="000000" w:themeColor="text1"/>
        </w:rPr>
        <w:t xml:space="preserve">Sangeetha C, </w:t>
      </w:r>
      <w:proofErr w:type="spellStart"/>
      <w:r w:rsidRPr="00F42CC6">
        <w:rPr>
          <w:bCs/>
          <w:color w:val="000000" w:themeColor="text1"/>
        </w:rPr>
        <w:t>Chinnusamy</w:t>
      </w:r>
      <w:proofErr w:type="spellEnd"/>
      <w:r w:rsidRPr="00F42CC6">
        <w:rPr>
          <w:bCs/>
          <w:color w:val="000000" w:themeColor="text1"/>
        </w:rPr>
        <w:t xml:space="preserve"> C and Prabhakaran NK 2013. Early post-emergence herbicides for weed control in soybean. </w:t>
      </w:r>
      <w:r w:rsidRPr="00F42CC6">
        <w:rPr>
          <w:bCs/>
          <w:i/>
          <w:iCs/>
          <w:color w:val="000000" w:themeColor="text1"/>
        </w:rPr>
        <w:t xml:space="preserve">Indian Journal of Weed </w:t>
      </w:r>
      <w:proofErr w:type="gramStart"/>
      <w:r w:rsidRPr="00F42CC6">
        <w:rPr>
          <w:bCs/>
          <w:i/>
          <w:iCs/>
          <w:color w:val="000000" w:themeColor="text1"/>
        </w:rPr>
        <w:t>Science</w:t>
      </w:r>
      <w:r w:rsidRPr="00F42CC6">
        <w:rPr>
          <w:bCs/>
          <w:color w:val="000000" w:themeColor="text1"/>
        </w:rPr>
        <w:t xml:space="preserve">, </w:t>
      </w:r>
      <w:r w:rsidRPr="00F42CC6">
        <w:rPr>
          <w:bCs/>
          <w:i/>
          <w:color w:val="000000" w:themeColor="text1"/>
        </w:rPr>
        <w:t xml:space="preserve"> </w:t>
      </w:r>
      <w:r w:rsidRPr="00F42CC6">
        <w:rPr>
          <w:color w:val="000000" w:themeColor="text1"/>
        </w:rPr>
        <w:t>45</w:t>
      </w:r>
      <w:proofErr w:type="gramEnd"/>
      <w:r w:rsidRPr="00F42CC6">
        <w:rPr>
          <w:b/>
          <w:bCs/>
          <w:color w:val="000000" w:themeColor="text1"/>
        </w:rPr>
        <w:t xml:space="preserve"> </w:t>
      </w:r>
      <w:r w:rsidRPr="00F42CC6">
        <w:rPr>
          <w:bCs/>
          <w:color w:val="000000" w:themeColor="text1"/>
        </w:rPr>
        <w:t>(2): 140-142.</w:t>
      </w:r>
    </w:p>
    <w:p w:rsidR="0057459F" w:rsidRDefault="0057459F" w:rsidP="00F42CC6">
      <w:pPr>
        <w:pStyle w:val="ListParagraph"/>
        <w:numPr>
          <w:ilvl w:val="0"/>
          <w:numId w:val="27"/>
        </w:numPr>
        <w:spacing w:before="120"/>
        <w:jc w:val="both"/>
      </w:pPr>
      <w:r>
        <w:t>Sarkar S, Panda S, Yadav K.K, Kandasamy P. (2020). Pigeon pea (</w:t>
      </w:r>
      <w:proofErr w:type="spellStart"/>
      <w:r>
        <w:t>Cajanus</w:t>
      </w:r>
      <w:proofErr w:type="spellEnd"/>
      <w:r>
        <w:t xml:space="preserve"> </w:t>
      </w:r>
      <w:proofErr w:type="spellStart"/>
      <w:r>
        <w:t>cajan</w:t>
      </w:r>
      <w:proofErr w:type="spellEnd"/>
      <w:r>
        <w:t xml:space="preserve">) an important food legume in Indian scenario-A review. </w:t>
      </w:r>
      <w:r w:rsidRPr="00F42CC6">
        <w:rPr>
          <w:i/>
          <w:iCs/>
        </w:rPr>
        <w:t>Legume Research-an International Journal</w:t>
      </w:r>
      <w:r>
        <w:t>, 43(5):601-10.</w:t>
      </w:r>
    </w:p>
    <w:p w:rsidR="0057459F" w:rsidRPr="00F42CC6" w:rsidRDefault="0057459F" w:rsidP="00F42CC6">
      <w:pPr>
        <w:pStyle w:val="ListParagraph"/>
        <w:numPr>
          <w:ilvl w:val="0"/>
          <w:numId w:val="27"/>
        </w:numPr>
        <w:autoSpaceDE w:val="0"/>
        <w:autoSpaceDN w:val="0"/>
        <w:adjustRightInd w:val="0"/>
        <w:spacing w:line="276" w:lineRule="auto"/>
        <w:jc w:val="both"/>
        <w:rPr>
          <w:color w:val="000000" w:themeColor="text1"/>
        </w:rPr>
      </w:pPr>
      <w:proofErr w:type="spellStart"/>
      <w:r w:rsidRPr="00F42CC6">
        <w:rPr>
          <w:color w:val="000000" w:themeColor="text1"/>
        </w:rPr>
        <w:t>Talnikar</w:t>
      </w:r>
      <w:proofErr w:type="spellEnd"/>
      <w:r w:rsidRPr="00F42CC6">
        <w:rPr>
          <w:color w:val="000000" w:themeColor="text1"/>
        </w:rPr>
        <w:t xml:space="preserve"> </w:t>
      </w:r>
      <w:proofErr w:type="spellStart"/>
      <w:proofErr w:type="gramStart"/>
      <w:r w:rsidRPr="00F42CC6">
        <w:rPr>
          <w:color w:val="000000" w:themeColor="text1"/>
        </w:rPr>
        <w:t>AS,Kadam</w:t>
      </w:r>
      <w:proofErr w:type="spellEnd"/>
      <w:proofErr w:type="gramEnd"/>
      <w:r w:rsidRPr="00F42CC6">
        <w:rPr>
          <w:color w:val="000000" w:themeColor="text1"/>
        </w:rPr>
        <w:t xml:space="preserve"> GL, </w:t>
      </w:r>
      <w:proofErr w:type="spellStart"/>
      <w:r w:rsidRPr="00F42CC6">
        <w:rPr>
          <w:color w:val="000000" w:themeColor="text1"/>
        </w:rPr>
        <w:t>Karande</w:t>
      </w:r>
      <w:proofErr w:type="spellEnd"/>
      <w:r w:rsidRPr="00F42CC6">
        <w:rPr>
          <w:color w:val="000000" w:themeColor="text1"/>
        </w:rPr>
        <w:t xml:space="preserve"> DR and </w:t>
      </w:r>
      <w:proofErr w:type="spellStart"/>
      <w:r w:rsidRPr="00F42CC6">
        <w:rPr>
          <w:color w:val="000000" w:themeColor="text1"/>
        </w:rPr>
        <w:t>Jogdand</w:t>
      </w:r>
      <w:proofErr w:type="spellEnd"/>
      <w:r w:rsidRPr="00F42CC6">
        <w:rPr>
          <w:color w:val="000000" w:themeColor="text1"/>
        </w:rPr>
        <w:t xml:space="preserve"> PB 2008. Integrated weed management in </w:t>
      </w:r>
      <w:proofErr w:type="spellStart"/>
      <w:r w:rsidRPr="00F42CC6">
        <w:rPr>
          <w:color w:val="000000" w:themeColor="text1"/>
        </w:rPr>
        <w:t>pigeonpea</w:t>
      </w:r>
      <w:proofErr w:type="spellEnd"/>
      <w:r w:rsidRPr="00F42CC6">
        <w:rPr>
          <w:color w:val="000000" w:themeColor="text1"/>
        </w:rPr>
        <w:t xml:space="preserve"> [</w:t>
      </w:r>
      <w:proofErr w:type="spellStart"/>
      <w:r w:rsidRPr="00F42CC6">
        <w:rPr>
          <w:i/>
          <w:iCs/>
          <w:color w:val="000000" w:themeColor="text1"/>
        </w:rPr>
        <w:t>Cajanus</w:t>
      </w:r>
      <w:proofErr w:type="spellEnd"/>
      <w:r w:rsidRPr="00F42CC6">
        <w:rPr>
          <w:i/>
          <w:iCs/>
          <w:color w:val="000000" w:themeColor="text1"/>
        </w:rPr>
        <w:t xml:space="preserve"> </w:t>
      </w:r>
      <w:proofErr w:type="spellStart"/>
      <w:proofErr w:type="gramStart"/>
      <w:r w:rsidRPr="00F42CC6">
        <w:rPr>
          <w:i/>
          <w:iCs/>
          <w:color w:val="000000" w:themeColor="text1"/>
        </w:rPr>
        <w:t>cajan</w:t>
      </w:r>
      <w:proofErr w:type="spellEnd"/>
      <w:r w:rsidRPr="00F42CC6">
        <w:rPr>
          <w:color w:val="000000" w:themeColor="text1"/>
        </w:rPr>
        <w:t>(</w:t>
      </w:r>
      <w:proofErr w:type="gramEnd"/>
      <w:r w:rsidRPr="00F42CC6">
        <w:rPr>
          <w:color w:val="000000" w:themeColor="text1"/>
        </w:rPr>
        <w:t xml:space="preserve">L.) </w:t>
      </w:r>
      <w:proofErr w:type="spellStart"/>
      <w:r w:rsidRPr="00F42CC6">
        <w:rPr>
          <w:color w:val="000000" w:themeColor="text1"/>
        </w:rPr>
        <w:t>Millsp</w:t>
      </w:r>
      <w:proofErr w:type="spellEnd"/>
      <w:r w:rsidRPr="00F42CC6">
        <w:rPr>
          <w:color w:val="000000" w:themeColor="text1"/>
        </w:rPr>
        <w:t xml:space="preserve">.]. </w:t>
      </w:r>
      <w:r w:rsidRPr="00F42CC6">
        <w:rPr>
          <w:i/>
          <w:iCs/>
          <w:color w:val="000000" w:themeColor="text1"/>
        </w:rPr>
        <w:t>International Journal of Agricultural Sciences</w:t>
      </w:r>
      <w:r w:rsidRPr="00F42CC6">
        <w:rPr>
          <w:color w:val="000000" w:themeColor="text1"/>
        </w:rPr>
        <w:t>, 4</w:t>
      </w:r>
      <w:r w:rsidRPr="00F42CC6">
        <w:rPr>
          <w:b/>
          <w:bCs/>
          <w:color w:val="000000" w:themeColor="text1"/>
        </w:rPr>
        <w:t xml:space="preserve"> </w:t>
      </w:r>
      <w:r w:rsidRPr="00F42CC6">
        <w:rPr>
          <w:color w:val="000000" w:themeColor="text1"/>
        </w:rPr>
        <w:t>(1): 363-370.</w:t>
      </w:r>
    </w:p>
    <w:p w:rsidR="0057459F" w:rsidRDefault="0057459F" w:rsidP="00F42CC6">
      <w:pPr>
        <w:pStyle w:val="ListParagraph"/>
        <w:numPr>
          <w:ilvl w:val="0"/>
          <w:numId w:val="27"/>
        </w:numPr>
        <w:spacing w:before="120"/>
        <w:jc w:val="both"/>
      </w:pPr>
      <w:r>
        <w:t xml:space="preserve">Temba M.C, </w:t>
      </w:r>
      <w:proofErr w:type="spellStart"/>
      <w:r>
        <w:t>Njobeh</w:t>
      </w:r>
      <w:proofErr w:type="spellEnd"/>
      <w:r>
        <w:t xml:space="preserve"> P.B, </w:t>
      </w:r>
      <w:proofErr w:type="spellStart"/>
      <w:r>
        <w:t>Adebo</w:t>
      </w:r>
      <w:proofErr w:type="spellEnd"/>
      <w:r>
        <w:t xml:space="preserve"> O.A, </w:t>
      </w:r>
      <w:proofErr w:type="spellStart"/>
      <w:r>
        <w:t>Olugbile</w:t>
      </w:r>
      <w:proofErr w:type="spellEnd"/>
      <w:r>
        <w:t xml:space="preserve"> A.O, </w:t>
      </w:r>
      <w:proofErr w:type="spellStart"/>
      <w:r>
        <w:t>Kayitesi</w:t>
      </w:r>
      <w:proofErr w:type="spellEnd"/>
      <w:r>
        <w:t xml:space="preserve"> E. (2016). The role of compositing cereals with legumes to alleviate protein energy malnutrition in Africa. International Journal of Food Science &amp; Technology., 51(3):543-54</w:t>
      </w:r>
    </w:p>
    <w:p w:rsidR="0057459F" w:rsidRDefault="0057459F" w:rsidP="00F42CC6">
      <w:pPr>
        <w:pStyle w:val="ListParagraph"/>
        <w:numPr>
          <w:ilvl w:val="0"/>
          <w:numId w:val="27"/>
        </w:numPr>
        <w:autoSpaceDE w:val="0"/>
        <w:autoSpaceDN w:val="0"/>
        <w:adjustRightInd w:val="0"/>
        <w:spacing w:line="276" w:lineRule="auto"/>
        <w:rPr>
          <w:color w:val="000000" w:themeColor="text1"/>
        </w:rPr>
      </w:pPr>
      <w:r w:rsidRPr="00F42CC6">
        <w:rPr>
          <w:color w:val="000000" w:themeColor="text1"/>
        </w:rPr>
        <w:t xml:space="preserve">Tiwari P.N, </w:t>
      </w:r>
      <w:proofErr w:type="spellStart"/>
      <w:r w:rsidRPr="00F42CC6">
        <w:rPr>
          <w:color w:val="000000" w:themeColor="text1"/>
        </w:rPr>
        <w:t>Gamber</w:t>
      </w:r>
      <w:proofErr w:type="spellEnd"/>
      <w:r w:rsidRPr="00F42CC6">
        <w:rPr>
          <w:color w:val="000000" w:themeColor="text1"/>
        </w:rPr>
        <w:t xml:space="preserve"> P.N and </w:t>
      </w:r>
      <w:proofErr w:type="spellStart"/>
      <w:r w:rsidRPr="00F42CC6">
        <w:rPr>
          <w:color w:val="000000" w:themeColor="text1"/>
        </w:rPr>
        <w:t>Rajan</w:t>
      </w:r>
      <w:proofErr w:type="spellEnd"/>
      <w:r w:rsidRPr="00F42CC6">
        <w:rPr>
          <w:color w:val="000000" w:themeColor="text1"/>
        </w:rPr>
        <w:t xml:space="preserve"> T.N 1974. Rapid and nondestructive determination of oil in oilseeds. Journal of Oil Chemical Science 51: 10</w:t>
      </w:r>
    </w:p>
    <w:p w:rsidR="00ED0B4C" w:rsidRPr="00F42CC6" w:rsidRDefault="00ED0B4C" w:rsidP="00F42CC6">
      <w:pPr>
        <w:pStyle w:val="ListParagraph"/>
        <w:numPr>
          <w:ilvl w:val="0"/>
          <w:numId w:val="27"/>
        </w:numPr>
        <w:autoSpaceDE w:val="0"/>
        <w:autoSpaceDN w:val="0"/>
        <w:adjustRightInd w:val="0"/>
        <w:spacing w:line="276" w:lineRule="auto"/>
        <w:rPr>
          <w:color w:val="000000" w:themeColor="text1"/>
        </w:rPr>
      </w:pPr>
      <w:proofErr w:type="spellStart"/>
      <w:r w:rsidRPr="00ED0B4C">
        <w:rPr>
          <w:color w:val="000000" w:themeColor="text1"/>
        </w:rPr>
        <w:t>Hajari</w:t>
      </w:r>
      <w:proofErr w:type="spellEnd"/>
      <w:r w:rsidRPr="00ED0B4C">
        <w:rPr>
          <w:color w:val="000000" w:themeColor="text1"/>
        </w:rPr>
        <w:t>, R. V., &amp; PATEL, D. (2020). Pre and post-emergence herbicides with cultural practices on weed management in soybean-</w:t>
      </w:r>
      <w:proofErr w:type="spellStart"/>
      <w:r w:rsidRPr="00ED0B4C">
        <w:rPr>
          <w:color w:val="000000" w:themeColor="text1"/>
        </w:rPr>
        <w:t>pigeonpea</w:t>
      </w:r>
      <w:proofErr w:type="spellEnd"/>
      <w:r w:rsidRPr="00ED0B4C">
        <w:rPr>
          <w:color w:val="000000" w:themeColor="text1"/>
        </w:rPr>
        <w:t xml:space="preserve"> intercropping system under middle Gujarat conditions. INTERNATIONAL JOURNAL, 8(5), 577-581.</w:t>
      </w:r>
    </w:p>
    <w:p w:rsidR="003C489D" w:rsidRDefault="003C489D" w:rsidP="003C489D">
      <w:pPr>
        <w:rPr>
          <w:b/>
          <w:bCs/>
          <w:color w:val="000000" w:themeColor="text1"/>
        </w:rPr>
      </w:pPr>
    </w:p>
    <w:p w:rsidR="00116334" w:rsidRDefault="00116334" w:rsidP="003C489D">
      <w:pPr>
        <w:rPr>
          <w:b/>
          <w:bCs/>
          <w:color w:val="000000" w:themeColor="text1"/>
        </w:rPr>
      </w:pPr>
    </w:p>
    <w:p w:rsidR="005611ED" w:rsidRDefault="005611ED" w:rsidP="003C489D">
      <w:pPr>
        <w:rPr>
          <w:b/>
          <w:bCs/>
          <w:color w:val="000000" w:themeColor="text1"/>
        </w:rPr>
        <w:sectPr w:rsidR="005611ED" w:rsidSect="0032564C">
          <w:headerReference w:type="even" r:id="rId7"/>
          <w:headerReference w:type="default" r:id="rId8"/>
          <w:footerReference w:type="even" r:id="rId9"/>
          <w:footerReference w:type="default" r:id="rId10"/>
          <w:headerReference w:type="first" r:id="rId11"/>
          <w:footerReference w:type="first" r:id="rId12"/>
          <w:pgSz w:w="12240" w:h="15840"/>
          <w:pgMar w:top="1152" w:right="1440" w:bottom="1008" w:left="1440" w:header="720" w:footer="720" w:gutter="0"/>
          <w:cols w:space="720"/>
          <w:docGrid w:linePitch="360"/>
        </w:sectPr>
      </w:pPr>
    </w:p>
    <w:p w:rsidR="009A0A99" w:rsidRDefault="003C489D" w:rsidP="00F33D82">
      <w:pPr>
        <w:autoSpaceDE w:val="0"/>
        <w:autoSpaceDN w:val="0"/>
        <w:adjustRightInd w:val="0"/>
        <w:spacing w:line="276" w:lineRule="auto"/>
        <w:ind w:left="1260" w:hanging="1260"/>
        <w:rPr>
          <w:b/>
          <w:bCs/>
          <w:color w:val="000000" w:themeColor="text1"/>
          <w:sz w:val="22"/>
          <w:szCs w:val="22"/>
        </w:rPr>
      </w:pPr>
      <w:r>
        <w:rPr>
          <w:b/>
          <w:bCs/>
          <w:color w:val="000000" w:themeColor="text1"/>
        </w:rPr>
        <w:lastRenderedPageBreak/>
        <w:t xml:space="preserve">Table 1: </w:t>
      </w:r>
      <w:r w:rsidR="00576506" w:rsidRPr="00F33D82">
        <w:rPr>
          <w:b/>
          <w:bCs/>
          <w:color w:val="000000" w:themeColor="text1"/>
          <w:sz w:val="22"/>
          <w:szCs w:val="22"/>
        </w:rPr>
        <w:t>Protein</w:t>
      </w:r>
      <w:r w:rsidR="00382BC8">
        <w:rPr>
          <w:b/>
          <w:bCs/>
          <w:color w:val="000000" w:themeColor="text1"/>
          <w:sz w:val="22"/>
          <w:szCs w:val="22"/>
        </w:rPr>
        <w:t xml:space="preserve"> content</w:t>
      </w:r>
      <w:r w:rsidR="00F33D82" w:rsidRPr="00F33D82">
        <w:rPr>
          <w:b/>
          <w:bCs/>
          <w:color w:val="000000" w:themeColor="text1"/>
          <w:sz w:val="22"/>
          <w:szCs w:val="22"/>
        </w:rPr>
        <w:t>, oil</w:t>
      </w:r>
      <w:r w:rsidR="0057459F">
        <w:rPr>
          <w:b/>
          <w:bCs/>
          <w:color w:val="000000" w:themeColor="text1"/>
          <w:sz w:val="22"/>
          <w:szCs w:val="22"/>
        </w:rPr>
        <w:t xml:space="preserve"> </w:t>
      </w:r>
      <w:r w:rsidR="00E4701B">
        <w:rPr>
          <w:b/>
          <w:bCs/>
          <w:color w:val="000000" w:themeColor="text1"/>
          <w:sz w:val="22"/>
          <w:szCs w:val="22"/>
        </w:rPr>
        <w:t>content and</w:t>
      </w:r>
      <w:r w:rsidR="009871BE" w:rsidRPr="00F33D82">
        <w:rPr>
          <w:b/>
          <w:bCs/>
          <w:color w:val="000000" w:themeColor="text1"/>
          <w:sz w:val="22"/>
          <w:szCs w:val="22"/>
        </w:rPr>
        <w:t xml:space="preserve"> </w:t>
      </w:r>
      <w:r w:rsidR="009871BE">
        <w:rPr>
          <w:b/>
          <w:bCs/>
          <w:color w:val="000000" w:themeColor="text1"/>
          <w:sz w:val="22"/>
          <w:szCs w:val="22"/>
        </w:rPr>
        <w:t>seed</w:t>
      </w:r>
      <w:r w:rsidR="0057459F">
        <w:rPr>
          <w:b/>
          <w:bCs/>
          <w:color w:val="000000" w:themeColor="text1"/>
          <w:sz w:val="22"/>
          <w:szCs w:val="22"/>
        </w:rPr>
        <w:t xml:space="preserve"> </w:t>
      </w:r>
      <w:r w:rsidR="009871BE" w:rsidRPr="00F33D82">
        <w:rPr>
          <w:b/>
          <w:bCs/>
          <w:color w:val="000000" w:themeColor="text1"/>
          <w:sz w:val="22"/>
          <w:szCs w:val="22"/>
        </w:rPr>
        <w:t xml:space="preserve">yield </w:t>
      </w:r>
      <w:r w:rsidR="009871BE">
        <w:rPr>
          <w:b/>
          <w:bCs/>
          <w:color w:val="000000" w:themeColor="text1"/>
          <w:sz w:val="22"/>
          <w:szCs w:val="22"/>
        </w:rPr>
        <w:t>of</w:t>
      </w:r>
      <w:r w:rsidR="009871BE" w:rsidRPr="00F33D82">
        <w:rPr>
          <w:b/>
          <w:bCs/>
          <w:color w:val="000000" w:themeColor="text1"/>
          <w:sz w:val="22"/>
          <w:szCs w:val="22"/>
        </w:rPr>
        <w:t xml:space="preserve"> soybean as</w:t>
      </w:r>
      <w:r w:rsidRPr="00F33D82">
        <w:rPr>
          <w:b/>
          <w:bCs/>
          <w:color w:val="000000" w:themeColor="text1"/>
          <w:sz w:val="22"/>
          <w:szCs w:val="22"/>
        </w:rPr>
        <w:t xml:space="preserve"> influenced by weed management </w:t>
      </w:r>
      <w:r w:rsidR="00F33D82" w:rsidRPr="00F33D82">
        <w:rPr>
          <w:b/>
          <w:bCs/>
          <w:color w:val="000000" w:themeColor="text1"/>
          <w:sz w:val="22"/>
          <w:szCs w:val="22"/>
        </w:rPr>
        <w:t xml:space="preserve">practices </w:t>
      </w:r>
      <w:r w:rsidR="009871BE" w:rsidRPr="00F33D82">
        <w:rPr>
          <w:b/>
          <w:bCs/>
          <w:color w:val="000000" w:themeColor="text1"/>
          <w:sz w:val="22"/>
          <w:szCs w:val="22"/>
        </w:rPr>
        <w:t>in soybean</w:t>
      </w:r>
      <w:r w:rsidRPr="00F33D82">
        <w:rPr>
          <w:b/>
          <w:bCs/>
          <w:color w:val="000000" w:themeColor="text1"/>
          <w:sz w:val="22"/>
          <w:szCs w:val="22"/>
        </w:rPr>
        <w:t>-</w:t>
      </w:r>
      <w:proofErr w:type="spellStart"/>
      <w:r w:rsidR="009A0A99">
        <w:rPr>
          <w:b/>
          <w:bCs/>
          <w:color w:val="000000" w:themeColor="text1"/>
          <w:sz w:val="22"/>
          <w:szCs w:val="22"/>
        </w:rPr>
        <w:t>pigeonpea</w:t>
      </w:r>
      <w:proofErr w:type="spellEnd"/>
    </w:p>
    <w:p w:rsidR="003C489D" w:rsidRPr="00F33D82" w:rsidRDefault="00E4701B" w:rsidP="00F33D82">
      <w:pPr>
        <w:autoSpaceDE w:val="0"/>
        <w:autoSpaceDN w:val="0"/>
        <w:adjustRightInd w:val="0"/>
        <w:spacing w:line="276" w:lineRule="auto"/>
        <w:ind w:left="1260" w:hanging="1260"/>
        <w:rPr>
          <w:b/>
          <w:bCs/>
          <w:color w:val="000000" w:themeColor="text1"/>
          <w:sz w:val="22"/>
          <w:szCs w:val="22"/>
        </w:rPr>
      </w:pPr>
      <w:r>
        <w:rPr>
          <w:b/>
          <w:bCs/>
          <w:color w:val="000000" w:themeColor="text1"/>
          <w:sz w:val="22"/>
          <w:szCs w:val="22"/>
        </w:rPr>
        <w:t xml:space="preserve">                 </w:t>
      </w:r>
      <w:r w:rsidR="003C489D" w:rsidRPr="00F33D82">
        <w:rPr>
          <w:b/>
          <w:bCs/>
          <w:color w:val="000000" w:themeColor="text1"/>
          <w:sz w:val="22"/>
          <w:szCs w:val="22"/>
        </w:rPr>
        <w:t>intercropping system</w:t>
      </w:r>
    </w:p>
    <w:tbl>
      <w:tblPr>
        <w:tblStyle w:val="TableGrid"/>
        <w:tblW w:w="5000" w:type="pct"/>
        <w:tblLook w:val="04A0" w:firstRow="1" w:lastRow="0" w:firstColumn="1" w:lastColumn="0" w:noHBand="0" w:noVBand="1"/>
      </w:tblPr>
      <w:tblGrid>
        <w:gridCol w:w="540"/>
        <w:gridCol w:w="3979"/>
        <w:gridCol w:w="994"/>
        <w:gridCol w:w="1162"/>
        <w:gridCol w:w="1087"/>
        <w:gridCol w:w="1081"/>
        <w:gridCol w:w="1081"/>
        <w:gridCol w:w="998"/>
        <w:gridCol w:w="995"/>
        <w:gridCol w:w="992"/>
        <w:gridCol w:w="987"/>
      </w:tblGrid>
      <w:tr w:rsidR="00F33D82" w:rsidRPr="00F33D82" w:rsidTr="00F33D82">
        <w:tc>
          <w:tcPr>
            <w:tcW w:w="194" w:type="pct"/>
            <w:vMerge w:val="restart"/>
          </w:tcPr>
          <w:p w:rsidR="00F33D82" w:rsidRPr="00F33D82" w:rsidRDefault="00F33D82" w:rsidP="006035EE">
            <w:pPr>
              <w:pStyle w:val="Default"/>
              <w:jc w:val="center"/>
              <w:rPr>
                <w:sz w:val="22"/>
                <w:szCs w:val="22"/>
              </w:rPr>
            </w:pPr>
            <w:r w:rsidRPr="00F33D82">
              <w:rPr>
                <w:b/>
                <w:bCs/>
                <w:sz w:val="22"/>
                <w:szCs w:val="22"/>
              </w:rPr>
              <w:t xml:space="preserve">Tr. No. </w:t>
            </w:r>
          </w:p>
        </w:tc>
        <w:tc>
          <w:tcPr>
            <w:tcW w:w="1432" w:type="pct"/>
            <w:vMerge w:val="restart"/>
          </w:tcPr>
          <w:p w:rsidR="00F33D82" w:rsidRPr="00F33D82" w:rsidRDefault="00F33D82" w:rsidP="006035EE">
            <w:pPr>
              <w:jc w:val="center"/>
              <w:rPr>
                <w:sz w:val="22"/>
                <w:szCs w:val="22"/>
              </w:rPr>
            </w:pPr>
            <w:r w:rsidRPr="00F33D82">
              <w:rPr>
                <w:b/>
                <w:bCs/>
                <w:sz w:val="22"/>
                <w:szCs w:val="22"/>
              </w:rPr>
              <w:t>Treatment</w:t>
            </w:r>
          </w:p>
        </w:tc>
        <w:tc>
          <w:tcPr>
            <w:tcW w:w="1167" w:type="pct"/>
            <w:gridSpan w:val="3"/>
          </w:tcPr>
          <w:p w:rsidR="00F33D82" w:rsidRPr="00F33D82" w:rsidRDefault="00F33D82" w:rsidP="006035EE">
            <w:pPr>
              <w:autoSpaceDE w:val="0"/>
              <w:autoSpaceDN w:val="0"/>
              <w:adjustRightInd w:val="0"/>
              <w:jc w:val="center"/>
              <w:rPr>
                <w:b/>
                <w:bCs/>
                <w:sz w:val="22"/>
                <w:szCs w:val="22"/>
              </w:rPr>
            </w:pPr>
            <w:r w:rsidRPr="00F33D82">
              <w:rPr>
                <w:b/>
                <w:bCs/>
                <w:sz w:val="22"/>
                <w:szCs w:val="22"/>
              </w:rPr>
              <w:t>Protein content (%)</w:t>
            </w:r>
          </w:p>
        </w:tc>
        <w:tc>
          <w:tcPr>
            <w:tcW w:w="1137" w:type="pct"/>
            <w:gridSpan w:val="3"/>
          </w:tcPr>
          <w:p w:rsidR="00F33D82" w:rsidRPr="00F33D82" w:rsidRDefault="00F33D82" w:rsidP="006035EE">
            <w:pPr>
              <w:autoSpaceDE w:val="0"/>
              <w:autoSpaceDN w:val="0"/>
              <w:adjustRightInd w:val="0"/>
              <w:jc w:val="center"/>
              <w:rPr>
                <w:b/>
                <w:bCs/>
                <w:sz w:val="22"/>
                <w:szCs w:val="22"/>
              </w:rPr>
            </w:pPr>
            <w:r w:rsidRPr="005F06A2">
              <w:rPr>
                <w:b/>
                <w:bCs/>
              </w:rPr>
              <w:t>Oil content (%)</w:t>
            </w:r>
          </w:p>
        </w:tc>
        <w:tc>
          <w:tcPr>
            <w:tcW w:w="1070" w:type="pct"/>
            <w:gridSpan w:val="3"/>
          </w:tcPr>
          <w:p w:rsidR="00F33D82" w:rsidRPr="00F33D82" w:rsidRDefault="00F33D82" w:rsidP="006035EE">
            <w:pPr>
              <w:autoSpaceDE w:val="0"/>
              <w:autoSpaceDN w:val="0"/>
              <w:adjustRightInd w:val="0"/>
              <w:jc w:val="center"/>
              <w:rPr>
                <w:b/>
                <w:bCs/>
                <w:sz w:val="22"/>
                <w:szCs w:val="22"/>
              </w:rPr>
            </w:pPr>
            <w:r w:rsidRPr="00643997">
              <w:rPr>
                <w:b/>
                <w:bCs/>
              </w:rPr>
              <w:t xml:space="preserve">Seed yield </w:t>
            </w:r>
            <w:proofErr w:type="gramStart"/>
            <w:r w:rsidRPr="00643997">
              <w:rPr>
                <w:b/>
                <w:bCs/>
              </w:rPr>
              <w:t>( kg</w:t>
            </w:r>
            <w:proofErr w:type="gramEnd"/>
            <w:r w:rsidRPr="00643997">
              <w:rPr>
                <w:b/>
                <w:bCs/>
              </w:rPr>
              <w:t xml:space="preserve"> ha</w:t>
            </w:r>
            <w:r w:rsidRPr="00643997">
              <w:rPr>
                <w:b/>
                <w:bCs/>
                <w:vertAlign w:val="superscript"/>
              </w:rPr>
              <w:t>-1</w:t>
            </w:r>
            <w:r w:rsidRPr="00643997">
              <w:rPr>
                <w:b/>
                <w:bCs/>
              </w:rPr>
              <w:t xml:space="preserve">)   </w:t>
            </w:r>
          </w:p>
        </w:tc>
      </w:tr>
      <w:tr w:rsidR="00F33D82" w:rsidRPr="00F33D82" w:rsidTr="00F33D82">
        <w:tc>
          <w:tcPr>
            <w:tcW w:w="194" w:type="pct"/>
            <w:vMerge/>
          </w:tcPr>
          <w:p w:rsidR="00F33D82" w:rsidRPr="00F33D82" w:rsidRDefault="00F33D82" w:rsidP="006035EE">
            <w:pPr>
              <w:rPr>
                <w:sz w:val="22"/>
                <w:szCs w:val="22"/>
              </w:rPr>
            </w:pPr>
          </w:p>
        </w:tc>
        <w:tc>
          <w:tcPr>
            <w:tcW w:w="1432" w:type="pct"/>
            <w:vMerge/>
          </w:tcPr>
          <w:p w:rsidR="00F33D82" w:rsidRPr="00F33D82" w:rsidRDefault="00F33D82" w:rsidP="006035EE">
            <w:pPr>
              <w:rPr>
                <w:sz w:val="22"/>
                <w:szCs w:val="22"/>
              </w:rPr>
            </w:pPr>
          </w:p>
        </w:tc>
        <w:tc>
          <w:tcPr>
            <w:tcW w:w="358" w:type="pct"/>
          </w:tcPr>
          <w:p w:rsidR="00F33D82" w:rsidRPr="00F33D82" w:rsidRDefault="00F33D82" w:rsidP="006035EE">
            <w:pPr>
              <w:jc w:val="center"/>
              <w:rPr>
                <w:b/>
                <w:bCs/>
                <w:sz w:val="22"/>
                <w:szCs w:val="22"/>
              </w:rPr>
            </w:pPr>
            <w:r w:rsidRPr="00F33D82">
              <w:rPr>
                <w:b/>
                <w:bCs/>
                <w:sz w:val="22"/>
                <w:szCs w:val="22"/>
              </w:rPr>
              <w:t>2017-18</w:t>
            </w:r>
          </w:p>
        </w:tc>
        <w:tc>
          <w:tcPr>
            <w:tcW w:w="418" w:type="pct"/>
          </w:tcPr>
          <w:p w:rsidR="00F33D82" w:rsidRPr="00F33D82" w:rsidRDefault="00F33D82" w:rsidP="006035EE">
            <w:pPr>
              <w:jc w:val="center"/>
              <w:rPr>
                <w:b/>
                <w:bCs/>
                <w:sz w:val="22"/>
                <w:szCs w:val="22"/>
              </w:rPr>
            </w:pPr>
            <w:r w:rsidRPr="00F33D82">
              <w:rPr>
                <w:b/>
                <w:bCs/>
                <w:sz w:val="22"/>
                <w:szCs w:val="22"/>
              </w:rPr>
              <w:t>2018-19</w:t>
            </w:r>
          </w:p>
        </w:tc>
        <w:tc>
          <w:tcPr>
            <w:tcW w:w="391" w:type="pct"/>
          </w:tcPr>
          <w:p w:rsidR="00F33D82" w:rsidRPr="00F33D82" w:rsidRDefault="00F33D82" w:rsidP="006035EE">
            <w:pPr>
              <w:jc w:val="center"/>
              <w:rPr>
                <w:b/>
                <w:bCs/>
                <w:sz w:val="22"/>
                <w:szCs w:val="22"/>
              </w:rPr>
            </w:pPr>
            <w:r w:rsidRPr="00F33D82">
              <w:rPr>
                <w:b/>
                <w:bCs/>
                <w:sz w:val="22"/>
                <w:szCs w:val="22"/>
              </w:rPr>
              <w:t>Pooled</w:t>
            </w:r>
          </w:p>
        </w:tc>
        <w:tc>
          <w:tcPr>
            <w:tcW w:w="389" w:type="pct"/>
          </w:tcPr>
          <w:p w:rsidR="00F33D82" w:rsidRPr="00F33D82" w:rsidRDefault="00F33D82" w:rsidP="004D4114">
            <w:pPr>
              <w:jc w:val="center"/>
              <w:rPr>
                <w:b/>
                <w:bCs/>
                <w:sz w:val="22"/>
                <w:szCs w:val="22"/>
              </w:rPr>
            </w:pPr>
            <w:r w:rsidRPr="00F33D82">
              <w:rPr>
                <w:b/>
                <w:bCs/>
                <w:sz w:val="22"/>
                <w:szCs w:val="22"/>
              </w:rPr>
              <w:t>2017-18</w:t>
            </w:r>
          </w:p>
        </w:tc>
        <w:tc>
          <w:tcPr>
            <w:tcW w:w="389" w:type="pct"/>
          </w:tcPr>
          <w:p w:rsidR="00F33D82" w:rsidRPr="00F33D82" w:rsidRDefault="00F33D82" w:rsidP="004D4114">
            <w:pPr>
              <w:jc w:val="center"/>
              <w:rPr>
                <w:b/>
                <w:bCs/>
                <w:sz w:val="22"/>
                <w:szCs w:val="22"/>
              </w:rPr>
            </w:pPr>
            <w:r w:rsidRPr="00F33D82">
              <w:rPr>
                <w:b/>
                <w:bCs/>
                <w:sz w:val="22"/>
                <w:szCs w:val="22"/>
              </w:rPr>
              <w:t>2018-19</w:t>
            </w:r>
          </w:p>
        </w:tc>
        <w:tc>
          <w:tcPr>
            <w:tcW w:w="359" w:type="pct"/>
          </w:tcPr>
          <w:p w:rsidR="00F33D82" w:rsidRPr="00F33D82" w:rsidRDefault="00F33D82" w:rsidP="004D4114">
            <w:pPr>
              <w:jc w:val="center"/>
              <w:rPr>
                <w:b/>
                <w:bCs/>
                <w:sz w:val="22"/>
                <w:szCs w:val="22"/>
              </w:rPr>
            </w:pPr>
            <w:r w:rsidRPr="00F33D82">
              <w:rPr>
                <w:b/>
                <w:bCs/>
                <w:sz w:val="22"/>
                <w:szCs w:val="22"/>
              </w:rPr>
              <w:t>Pooled</w:t>
            </w:r>
          </w:p>
        </w:tc>
        <w:tc>
          <w:tcPr>
            <w:tcW w:w="358" w:type="pct"/>
          </w:tcPr>
          <w:p w:rsidR="00F33D82" w:rsidRPr="00F33D82" w:rsidRDefault="00F33D82" w:rsidP="004D4114">
            <w:pPr>
              <w:jc w:val="center"/>
              <w:rPr>
                <w:b/>
                <w:bCs/>
                <w:sz w:val="22"/>
                <w:szCs w:val="22"/>
              </w:rPr>
            </w:pPr>
            <w:r w:rsidRPr="00F33D82">
              <w:rPr>
                <w:b/>
                <w:bCs/>
                <w:sz w:val="22"/>
                <w:szCs w:val="22"/>
              </w:rPr>
              <w:t>2017-18</w:t>
            </w:r>
          </w:p>
        </w:tc>
        <w:tc>
          <w:tcPr>
            <w:tcW w:w="357" w:type="pct"/>
          </w:tcPr>
          <w:p w:rsidR="00F33D82" w:rsidRPr="00F33D82" w:rsidRDefault="00F33D82" w:rsidP="004D4114">
            <w:pPr>
              <w:jc w:val="center"/>
              <w:rPr>
                <w:b/>
                <w:bCs/>
                <w:sz w:val="22"/>
                <w:szCs w:val="22"/>
              </w:rPr>
            </w:pPr>
            <w:r w:rsidRPr="00F33D82">
              <w:rPr>
                <w:b/>
                <w:bCs/>
                <w:sz w:val="22"/>
                <w:szCs w:val="22"/>
              </w:rPr>
              <w:t>2018-19</w:t>
            </w:r>
          </w:p>
        </w:tc>
        <w:tc>
          <w:tcPr>
            <w:tcW w:w="355" w:type="pct"/>
          </w:tcPr>
          <w:p w:rsidR="00F33D82" w:rsidRPr="00F33D82" w:rsidRDefault="00F33D82" w:rsidP="004D4114">
            <w:pPr>
              <w:jc w:val="center"/>
              <w:rPr>
                <w:b/>
                <w:bCs/>
                <w:sz w:val="22"/>
                <w:szCs w:val="22"/>
              </w:rPr>
            </w:pPr>
            <w:r w:rsidRPr="00F33D82">
              <w:rPr>
                <w:b/>
                <w:bCs/>
                <w:sz w:val="22"/>
                <w:szCs w:val="22"/>
              </w:rPr>
              <w:t>Pooled</w:t>
            </w:r>
          </w:p>
        </w:tc>
      </w:tr>
      <w:tr w:rsidR="00F33D82" w:rsidRPr="00F33D82" w:rsidTr="00F33D82">
        <w:trPr>
          <w:trHeight w:val="512"/>
        </w:trPr>
        <w:tc>
          <w:tcPr>
            <w:tcW w:w="194" w:type="pct"/>
          </w:tcPr>
          <w:p w:rsidR="00F33D82" w:rsidRPr="00F33D82" w:rsidRDefault="00F33D82" w:rsidP="006035EE">
            <w:pPr>
              <w:jc w:val="center"/>
              <w:rPr>
                <w:b/>
                <w:color w:val="000000"/>
                <w:sz w:val="22"/>
                <w:szCs w:val="22"/>
              </w:rPr>
            </w:pPr>
            <w:r w:rsidRPr="00F33D82">
              <w:rPr>
                <w:b/>
                <w:color w:val="000000"/>
                <w:sz w:val="22"/>
                <w:szCs w:val="22"/>
              </w:rPr>
              <w:t>T</w:t>
            </w:r>
            <w:r w:rsidRPr="00F33D82">
              <w:rPr>
                <w:b/>
                <w:color w:val="000000"/>
                <w:sz w:val="22"/>
                <w:szCs w:val="22"/>
                <w:vertAlign w:val="subscript"/>
              </w:rPr>
              <w:t>1</w:t>
            </w:r>
          </w:p>
        </w:tc>
        <w:tc>
          <w:tcPr>
            <w:tcW w:w="1432" w:type="pct"/>
          </w:tcPr>
          <w:p w:rsidR="00F33D82" w:rsidRPr="00F33D82" w:rsidRDefault="00F33D82" w:rsidP="00F33D82">
            <w:pPr>
              <w:jc w:val="both"/>
              <w:rPr>
                <w:color w:val="000000"/>
                <w:kern w:val="24"/>
                <w:position w:val="-10"/>
                <w:sz w:val="22"/>
                <w:szCs w:val="22"/>
                <w:vertAlign w:val="subscript"/>
                <w:lang w:eastAsia="en-IN"/>
              </w:rPr>
            </w:pPr>
            <w:proofErr w:type="gramStart"/>
            <w:r w:rsidRPr="00F33D82">
              <w:rPr>
                <w:sz w:val="22"/>
                <w:szCs w:val="22"/>
              </w:rPr>
              <w:t>Pendimethalin  1000</w:t>
            </w:r>
            <w:proofErr w:type="gramEnd"/>
            <w:r w:rsidRPr="00F33D82">
              <w:rPr>
                <w:sz w:val="22"/>
                <w:szCs w:val="22"/>
              </w:rPr>
              <w:t xml:space="preserve"> g ha</w:t>
            </w:r>
            <w:r w:rsidRPr="00F33D82">
              <w:rPr>
                <w:sz w:val="22"/>
                <w:szCs w:val="22"/>
                <w:vertAlign w:val="superscript"/>
              </w:rPr>
              <w:t>-1</w:t>
            </w:r>
            <w:r w:rsidRPr="00F33D82">
              <w:rPr>
                <w:sz w:val="22"/>
                <w:szCs w:val="22"/>
              </w:rPr>
              <w:t xml:space="preserve"> PE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358" w:type="pct"/>
            <w:vAlign w:val="center"/>
          </w:tcPr>
          <w:p w:rsidR="00F33D82" w:rsidRPr="009A0A99" w:rsidRDefault="00F33D82" w:rsidP="006035EE">
            <w:pPr>
              <w:jc w:val="center"/>
              <w:rPr>
                <w:color w:val="000000"/>
              </w:rPr>
            </w:pPr>
            <w:r w:rsidRPr="009A0A99">
              <w:rPr>
                <w:color w:val="000000"/>
              </w:rPr>
              <w:t>39.3</w:t>
            </w:r>
          </w:p>
        </w:tc>
        <w:tc>
          <w:tcPr>
            <w:tcW w:w="418" w:type="pct"/>
            <w:vAlign w:val="center"/>
          </w:tcPr>
          <w:p w:rsidR="00F33D82" w:rsidRPr="009A0A99" w:rsidRDefault="00F33D82" w:rsidP="006035EE">
            <w:pPr>
              <w:jc w:val="center"/>
              <w:rPr>
                <w:color w:val="000000"/>
              </w:rPr>
            </w:pPr>
            <w:r w:rsidRPr="009A0A99">
              <w:rPr>
                <w:color w:val="000000"/>
              </w:rPr>
              <w:t>39.3</w:t>
            </w:r>
          </w:p>
        </w:tc>
        <w:tc>
          <w:tcPr>
            <w:tcW w:w="391" w:type="pct"/>
            <w:vAlign w:val="center"/>
          </w:tcPr>
          <w:p w:rsidR="00F33D82" w:rsidRPr="009A0A99" w:rsidRDefault="00F33D82" w:rsidP="006035EE">
            <w:pPr>
              <w:jc w:val="center"/>
              <w:rPr>
                <w:color w:val="000000"/>
              </w:rPr>
            </w:pPr>
            <w:r w:rsidRPr="009A0A99">
              <w:rPr>
                <w:color w:val="000000"/>
              </w:rPr>
              <w:t>39.3</w:t>
            </w:r>
            <w:r w:rsidRPr="009A0A99">
              <w:rPr>
                <w:color w:val="000000"/>
                <w:vertAlign w:val="superscript"/>
              </w:rPr>
              <w:t>ab</w:t>
            </w:r>
          </w:p>
        </w:tc>
        <w:tc>
          <w:tcPr>
            <w:tcW w:w="389" w:type="pct"/>
            <w:vAlign w:val="center"/>
          </w:tcPr>
          <w:p w:rsidR="00F33D82" w:rsidRPr="009A0A99" w:rsidRDefault="00F33D82" w:rsidP="004D4114">
            <w:pPr>
              <w:jc w:val="center"/>
              <w:rPr>
                <w:color w:val="000000"/>
              </w:rPr>
            </w:pPr>
            <w:r w:rsidRPr="009A0A99">
              <w:rPr>
                <w:color w:val="000000"/>
              </w:rPr>
              <w:t>19.6</w:t>
            </w:r>
          </w:p>
        </w:tc>
        <w:tc>
          <w:tcPr>
            <w:tcW w:w="389" w:type="pct"/>
            <w:vAlign w:val="center"/>
          </w:tcPr>
          <w:p w:rsidR="00F33D82" w:rsidRPr="009A0A99" w:rsidRDefault="00F33D82" w:rsidP="004D4114">
            <w:pPr>
              <w:jc w:val="center"/>
              <w:rPr>
                <w:color w:val="000000"/>
              </w:rPr>
            </w:pPr>
            <w:r w:rsidRPr="009A0A99">
              <w:rPr>
                <w:color w:val="000000"/>
              </w:rPr>
              <w:t>19.3</w:t>
            </w:r>
          </w:p>
        </w:tc>
        <w:tc>
          <w:tcPr>
            <w:tcW w:w="359" w:type="pct"/>
            <w:vAlign w:val="center"/>
          </w:tcPr>
          <w:p w:rsidR="00F33D82" w:rsidRPr="009A0A99" w:rsidRDefault="00F33D82" w:rsidP="004D4114">
            <w:pPr>
              <w:jc w:val="center"/>
              <w:rPr>
                <w:color w:val="000000"/>
              </w:rPr>
            </w:pPr>
            <w:r w:rsidRPr="009A0A99">
              <w:rPr>
                <w:color w:val="000000"/>
              </w:rPr>
              <w:t>19.5</w:t>
            </w:r>
            <w:r w:rsidRPr="009A0A99">
              <w:rPr>
                <w:color w:val="000000"/>
                <w:vertAlign w:val="superscript"/>
              </w:rPr>
              <w:t>ab</w:t>
            </w:r>
          </w:p>
        </w:tc>
        <w:tc>
          <w:tcPr>
            <w:tcW w:w="358" w:type="pct"/>
            <w:vAlign w:val="center"/>
          </w:tcPr>
          <w:p w:rsidR="00F33D82" w:rsidRPr="009A0A99" w:rsidRDefault="00F33D82" w:rsidP="004D4114">
            <w:pPr>
              <w:jc w:val="center"/>
              <w:rPr>
                <w:color w:val="000000"/>
              </w:rPr>
            </w:pPr>
            <w:r w:rsidRPr="009A0A99">
              <w:rPr>
                <w:color w:val="000000"/>
              </w:rPr>
              <w:t>719</w:t>
            </w:r>
            <w:r w:rsidRPr="009A0A99">
              <w:rPr>
                <w:color w:val="000000"/>
                <w:vertAlign w:val="superscript"/>
              </w:rPr>
              <w:t>b</w:t>
            </w:r>
          </w:p>
        </w:tc>
        <w:tc>
          <w:tcPr>
            <w:tcW w:w="357" w:type="pct"/>
            <w:vAlign w:val="center"/>
          </w:tcPr>
          <w:p w:rsidR="00F33D82" w:rsidRPr="009A0A99" w:rsidRDefault="00F33D82" w:rsidP="004D4114">
            <w:pPr>
              <w:jc w:val="center"/>
              <w:rPr>
                <w:color w:val="000000"/>
              </w:rPr>
            </w:pPr>
            <w:r w:rsidRPr="009A0A99">
              <w:rPr>
                <w:color w:val="000000"/>
              </w:rPr>
              <w:t>736</w:t>
            </w:r>
            <w:r w:rsidRPr="009A0A99">
              <w:rPr>
                <w:color w:val="000000"/>
                <w:vertAlign w:val="superscript"/>
              </w:rPr>
              <w:t>d</w:t>
            </w:r>
          </w:p>
        </w:tc>
        <w:tc>
          <w:tcPr>
            <w:tcW w:w="355" w:type="pct"/>
            <w:vAlign w:val="center"/>
          </w:tcPr>
          <w:p w:rsidR="00F33D82" w:rsidRPr="009A0A99" w:rsidRDefault="00F33D82" w:rsidP="004D4114">
            <w:pPr>
              <w:jc w:val="center"/>
              <w:rPr>
                <w:color w:val="000000"/>
              </w:rPr>
            </w:pPr>
            <w:r w:rsidRPr="009A0A99">
              <w:rPr>
                <w:color w:val="000000"/>
              </w:rPr>
              <w:t>727</w:t>
            </w:r>
            <w:r w:rsidRPr="009A0A99">
              <w:rPr>
                <w:color w:val="000000"/>
                <w:vertAlign w:val="superscript"/>
              </w:rPr>
              <w:t>c</w:t>
            </w:r>
          </w:p>
        </w:tc>
      </w:tr>
      <w:tr w:rsidR="00F33D82" w:rsidRPr="00F33D82" w:rsidTr="00802E4B">
        <w:tc>
          <w:tcPr>
            <w:tcW w:w="194" w:type="pct"/>
          </w:tcPr>
          <w:p w:rsidR="00F33D82" w:rsidRPr="00F33D82" w:rsidRDefault="00F33D82" w:rsidP="006035EE">
            <w:pPr>
              <w:jc w:val="center"/>
              <w:rPr>
                <w:b/>
                <w:color w:val="000000"/>
                <w:sz w:val="22"/>
                <w:szCs w:val="22"/>
              </w:rPr>
            </w:pPr>
            <w:r w:rsidRPr="00F33D82">
              <w:rPr>
                <w:b/>
                <w:color w:val="000000"/>
                <w:sz w:val="22"/>
                <w:szCs w:val="22"/>
              </w:rPr>
              <w:t>T</w:t>
            </w:r>
            <w:r w:rsidRPr="00F33D82">
              <w:rPr>
                <w:b/>
                <w:color w:val="000000"/>
                <w:sz w:val="22"/>
                <w:szCs w:val="22"/>
                <w:vertAlign w:val="subscript"/>
              </w:rPr>
              <w:t>2</w:t>
            </w:r>
          </w:p>
        </w:tc>
        <w:tc>
          <w:tcPr>
            <w:tcW w:w="1432" w:type="pct"/>
          </w:tcPr>
          <w:p w:rsidR="00F33D82" w:rsidRPr="00F33D82" w:rsidRDefault="00F33D82" w:rsidP="00F33D82">
            <w:pPr>
              <w:jc w:val="both"/>
              <w:rPr>
                <w:color w:val="000000"/>
                <w:kern w:val="24"/>
                <w:position w:val="-10"/>
                <w:sz w:val="22"/>
                <w:szCs w:val="22"/>
                <w:vertAlign w:val="subscript"/>
                <w:lang w:eastAsia="en-IN"/>
              </w:rPr>
            </w:pPr>
            <w:proofErr w:type="gramStart"/>
            <w:r w:rsidRPr="00F33D82">
              <w:rPr>
                <w:bCs/>
                <w:color w:val="000000"/>
                <w:sz w:val="22"/>
                <w:szCs w:val="22"/>
              </w:rPr>
              <w:t xml:space="preserve">Clomazone </w:t>
            </w:r>
            <w:r w:rsidRPr="00F33D82">
              <w:rPr>
                <w:sz w:val="22"/>
                <w:szCs w:val="22"/>
              </w:rPr>
              <w:t xml:space="preserve"> 1000</w:t>
            </w:r>
            <w:proofErr w:type="gramEnd"/>
            <w:r w:rsidRPr="00F33D82">
              <w:rPr>
                <w:sz w:val="22"/>
                <w:szCs w:val="22"/>
              </w:rPr>
              <w:t xml:space="preserve"> g ha</w:t>
            </w:r>
            <w:r w:rsidRPr="00F33D82">
              <w:rPr>
                <w:sz w:val="22"/>
                <w:szCs w:val="22"/>
                <w:vertAlign w:val="superscript"/>
              </w:rPr>
              <w:t>-1</w:t>
            </w:r>
            <w:r w:rsidRPr="00F33D82">
              <w:rPr>
                <w:sz w:val="22"/>
                <w:szCs w:val="22"/>
              </w:rPr>
              <w:t xml:space="preserve">PE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358" w:type="pct"/>
            <w:vAlign w:val="center"/>
          </w:tcPr>
          <w:p w:rsidR="00F33D82" w:rsidRPr="009A0A99" w:rsidRDefault="00F33D82" w:rsidP="006035EE">
            <w:pPr>
              <w:jc w:val="center"/>
              <w:rPr>
                <w:color w:val="000000"/>
              </w:rPr>
            </w:pPr>
            <w:r w:rsidRPr="009A0A99">
              <w:rPr>
                <w:color w:val="000000"/>
              </w:rPr>
              <w:t>37.5</w:t>
            </w:r>
          </w:p>
        </w:tc>
        <w:tc>
          <w:tcPr>
            <w:tcW w:w="418" w:type="pct"/>
            <w:vAlign w:val="center"/>
          </w:tcPr>
          <w:p w:rsidR="00F33D82" w:rsidRPr="009A0A99" w:rsidRDefault="00F33D82" w:rsidP="006035EE">
            <w:pPr>
              <w:jc w:val="center"/>
              <w:rPr>
                <w:color w:val="000000"/>
              </w:rPr>
            </w:pPr>
            <w:r w:rsidRPr="009A0A99">
              <w:rPr>
                <w:color w:val="000000"/>
              </w:rPr>
              <w:t>37.5</w:t>
            </w:r>
          </w:p>
        </w:tc>
        <w:tc>
          <w:tcPr>
            <w:tcW w:w="391" w:type="pct"/>
            <w:vAlign w:val="center"/>
          </w:tcPr>
          <w:p w:rsidR="00F33D82" w:rsidRPr="009A0A99" w:rsidRDefault="00F33D82" w:rsidP="006035EE">
            <w:pPr>
              <w:jc w:val="center"/>
              <w:rPr>
                <w:color w:val="000000"/>
              </w:rPr>
            </w:pPr>
            <w:r w:rsidRPr="009A0A99">
              <w:rPr>
                <w:color w:val="000000"/>
              </w:rPr>
              <w:t>37.5</w:t>
            </w:r>
            <w:r w:rsidRPr="009A0A99">
              <w:rPr>
                <w:color w:val="000000"/>
                <w:vertAlign w:val="superscript"/>
              </w:rPr>
              <w:t>abc</w:t>
            </w:r>
          </w:p>
        </w:tc>
        <w:tc>
          <w:tcPr>
            <w:tcW w:w="389" w:type="pct"/>
            <w:vAlign w:val="center"/>
          </w:tcPr>
          <w:p w:rsidR="00F33D82" w:rsidRPr="009A0A99" w:rsidRDefault="00F33D82" w:rsidP="004D4114">
            <w:pPr>
              <w:jc w:val="center"/>
              <w:rPr>
                <w:color w:val="000000"/>
              </w:rPr>
            </w:pPr>
            <w:r w:rsidRPr="009A0A99">
              <w:rPr>
                <w:color w:val="000000"/>
              </w:rPr>
              <w:t>19.4</w:t>
            </w:r>
          </w:p>
        </w:tc>
        <w:tc>
          <w:tcPr>
            <w:tcW w:w="389" w:type="pct"/>
            <w:vAlign w:val="center"/>
          </w:tcPr>
          <w:p w:rsidR="00F33D82" w:rsidRPr="009A0A99" w:rsidRDefault="00F33D82" w:rsidP="004D4114">
            <w:pPr>
              <w:jc w:val="center"/>
              <w:rPr>
                <w:color w:val="000000"/>
              </w:rPr>
            </w:pPr>
            <w:r w:rsidRPr="009A0A99">
              <w:rPr>
                <w:color w:val="000000"/>
              </w:rPr>
              <w:t>19.2</w:t>
            </w:r>
          </w:p>
        </w:tc>
        <w:tc>
          <w:tcPr>
            <w:tcW w:w="359" w:type="pct"/>
            <w:vAlign w:val="center"/>
          </w:tcPr>
          <w:p w:rsidR="00F33D82" w:rsidRPr="009A0A99" w:rsidRDefault="00F33D82" w:rsidP="004D4114">
            <w:pPr>
              <w:jc w:val="center"/>
              <w:rPr>
                <w:color w:val="000000"/>
              </w:rPr>
            </w:pPr>
            <w:r w:rsidRPr="009A0A99">
              <w:rPr>
                <w:color w:val="000000"/>
              </w:rPr>
              <w:t>19.3</w:t>
            </w:r>
            <w:r w:rsidRPr="009A0A99">
              <w:rPr>
                <w:color w:val="000000"/>
                <w:vertAlign w:val="superscript"/>
              </w:rPr>
              <w:t>ab</w:t>
            </w:r>
          </w:p>
        </w:tc>
        <w:tc>
          <w:tcPr>
            <w:tcW w:w="358" w:type="pct"/>
            <w:vAlign w:val="center"/>
          </w:tcPr>
          <w:p w:rsidR="00F33D82" w:rsidRPr="009A0A99" w:rsidRDefault="00F33D82" w:rsidP="004D4114">
            <w:pPr>
              <w:jc w:val="center"/>
              <w:rPr>
                <w:color w:val="000000"/>
              </w:rPr>
            </w:pPr>
            <w:r w:rsidRPr="009A0A99">
              <w:rPr>
                <w:color w:val="000000"/>
              </w:rPr>
              <w:t>722</w:t>
            </w:r>
            <w:r w:rsidRPr="009A0A99">
              <w:rPr>
                <w:color w:val="000000"/>
                <w:vertAlign w:val="superscript"/>
              </w:rPr>
              <w:t>b</w:t>
            </w:r>
          </w:p>
        </w:tc>
        <w:tc>
          <w:tcPr>
            <w:tcW w:w="357" w:type="pct"/>
            <w:vAlign w:val="center"/>
          </w:tcPr>
          <w:p w:rsidR="00F33D82" w:rsidRPr="009A0A99" w:rsidRDefault="00F33D82" w:rsidP="004D4114">
            <w:pPr>
              <w:jc w:val="center"/>
              <w:rPr>
                <w:color w:val="000000"/>
              </w:rPr>
            </w:pPr>
            <w:r w:rsidRPr="009A0A99">
              <w:rPr>
                <w:color w:val="000000"/>
              </w:rPr>
              <w:t>745</w:t>
            </w:r>
            <w:r w:rsidRPr="009A0A99">
              <w:rPr>
                <w:color w:val="000000"/>
                <w:vertAlign w:val="superscript"/>
              </w:rPr>
              <w:t>cd</w:t>
            </w:r>
          </w:p>
        </w:tc>
        <w:tc>
          <w:tcPr>
            <w:tcW w:w="355" w:type="pct"/>
            <w:vAlign w:val="center"/>
          </w:tcPr>
          <w:p w:rsidR="00F33D82" w:rsidRPr="009A0A99" w:rsidRDefault="00F33D82" w:rsidP="004D4114">
            <w:pPr>
              <w:jc w:val="center"/>
              <w:rPr>
                <w:color w:val="000000"/>
              </w:rPr>
            </w:pPr>
            <w:r w:rsidRPr="009A0A99">
              <w:rPr>
                <w:color w:val="000000"/>
              </w:rPr>
              <w:t>734</w:t>
            </w:r>
            <w:r w:rsidRPr="009A0A99">
              <w:rPr>
                <w:color w:val="000000"/>
                <w:vertAlign w:val="superscript"/>
              </w:rPr>
              <w:t>c</w:t>
            </w:r>
          </w:p>
        </w:tc>
      </w:tr>
      <w:tr w:rsidR="00F33D82" w:rsidRPr="00F33D82" w:rsidTr="00802E4B">
        <w:tc>
          <w:tcPr>
            <w:tcW w:w="194" w:type="pct"/>
          </w:tcPr>
          <w:p w:rsidR="00F33D82" w:rsidRPr="00F33D82" w:rsidRDefault="00F33D82" w:rsidP="006035EE">
            <w:pPr>
              <w:jc w:val="center"/>
              <w:rPr>
                <w:b/>
                <w:color w:val="000000"/>
                <w:sz w:val="22"/>
                <w:szCs w:val="22"/>
              </w:rPr>
            </w:pPr>
            <w:r w:rsidRPr="00F33D82">
              <w:rPr>
                <w:b/>
                <w:color w:val="000000"/>
                <w:sz w:val="22"/>
                <w:szCs w:val="22"/>
              </w:rPr>
              <w:t>T</w:t>
            </w:r>
            <w:r w:rsidRPr="00F33D82">
              <w:rPr>
                <w:b/>
                <w:color w:val="000000"/>
                <w:sz w:val="22"/>
                <w:szCs w:val="22"/>
                <w:vertAlign w:val="subscript"/>
              </w:rPr>
              <w:t>3</w:t>
            </w:r>
          </w:p>
        </w:tc>
        <w:tc>
          <w:tcPr>
            <w:tcW w:w="1432" w:type="pct"/>
          </w:tcPr>
          <w:p w:rsidR="00F33D82" w:rsidRPr="00F33D82" w:rsidRDefault="00F33D82" w:rsidP="00F33D82">
            <w:pPr>
              <w:jc w:val="both"/>
              <w:rPr>
                <w:color w:val="000000"/>
                <w:kern w:val="24"/>
                <w:position w:val="-10"/>
                <w:sz w:val="22"/>
                <w:szCs w:val="22"/>
                <w:vertAlign w:val="subscript"/>
                <w:lang w:eastAsia="en-IN"/>
              </w:rPr>
            </w:pPr>
            <w:r w:rsidRPr="00F33D82">
              <w:rPr>
                <w:sz w:val="22"/>
                <w:szCs w:val="22"/>
              </w:rPr>
              <w:t>Imazethapyr 75 g ha</w:t>
            </w:r>
            <w:r w:rsidRPr="00F33D82">
              <w:rPr>
                <w:sz w:val="22"/>
                <w:szCs w:val="22"/>
                <w:vertAlign w:val="superscript"/>
              </w:rPr>
              <w:t>-1</w:t>
            </w:r>
            <w:proofErr w:type="gramStart"/>
            <w:r w:rsidRPr="00F33D82">
              <w:rPr>
                <w:sz w:val="22"/>
                <w:szCs w:val="22"/>
              </w:rPr>
              <w:t xml:space="preserve">PoE  </w:t>
            </w:r>
            <w:r w:rsidRPr="00F33D82">
              <w:rPr>
                <w:i/>
                <w:iCs/>
                <w:sz w:val="22"/>
                <w:szCs w:val="22"/>
              </w:rPr>
              <w:t>fb</w:t>
            </w:r>
            <w:proofErr w:type="gramEnd"/>
            <w:r w:rsidRPr="00F33D82">
              <w:rPr>
                <w:sz w:val="22"/>
                <w:szCs w:val="22"/>
              </w:rPr>
              <w:t xml:space="preserve">  IC + HW at 30 </w:t>
            </w:r>
            <w:r w:rsidRPr="00F33D82">
              <w:rPr>
                <w:bCs/>
                <w:color w:val="000000"/>
                <w:sz w:val="22"/>
                <w:szCs w:val="22"/>
              </w:rPr>
              <w:t>DAS</w:t>
            </w:r>
          </w:p>
        </w:tc>
        <w:tc>
          <w:tcPr>
            <w:tcW w:w="358" w:type="pct"/>
            <w:vAlign w:val="center"/>
          </w:tcPr>
          <w:p w:rsidR="00F33D82" w:rsidRPr="009A0A99" w:rsidRDefault="00F33D82" w:rsidP="006035EE">
            <w:pPr>
              <w:jc w:val="center"/>
              <w:rPr>
                <w:color w:val="000000"/>
              </w:rPr>
            </w:pPr>
            <w:r w:rsidRPr="009A0A99">
              <w:rPr>
                <w:color w:val="000000"/>
              </w:rPr>
              <w:t>38.8</w:t>
            </w:r>
          </w:p>
        </w:tc>
        <w:tc>
          <w:tcPr>
            <w:tcW w:w="418" w:type="pct"/>
            <w:vAlign w:val="center"/>
          </w:tcPr>
          <w:p w:rsidR="00F33D82" w:rsidRPr="009A0A99" w:rsidRDefault="00F33D82" w:rsidP="006035EE">
            <w:pPr>
              <w:jc w:val="center"/>
              <w:rPr>
                <w:color w:val="000000"/>
              </w:rPr>
            </w:pPr>
            <w:r w:rsidRPr="009A0A99">
              <w:rPr>
                <w:color w:val="000000"/>
              </w:rPr>
              <w:t>38.3</w:t>
            </w:r>
          </w:p>
        </w:tc>
        <w:tc>
          <w:tcPr>
            <w:tcW w:w="391" w:type="pct"/>
            <w:vAlign w:val="center"/>
          </w:tcPr>
          <w:p w:rsidR="00F33D82" w:rsidRPr="009A0A99" w:rsidRDefault="00F33D82" w:rsidP="006035EE">
            <w:pPr>
              <w:jc w:val="center"/>
              <w:rPr>
                <w:color w:val="000000"/>
              </w:rPr>
            </w:pPr>
            <w:r w:rsidRPr="009A0A99">
              <w:rPr>
                <w:color w:val="000000"/>
              </w:rPr>
              <w:t>38.6</w:t>
            </w:r>
            <w:r w:rsidRPr="009A0A99">
              <w:rPr>
                <w:color w:val="000000"/>
                <w:vertAlign w:val="superscript"/>
              </w:rPr>
              <w:t>abc</w:t>
            </w:r>
          </w:p>
        </w:tc>
        <w:tc>
          <w:tcPr>
            <w:tcW w:w="389" w:type="pct"/>
            <w:vAlign w:val="center"/>
          </w:tcPr>
          <w:p w:rsidR="00F33D82" w:rsidRPr="009A0A99" w:rsidRDefault="00F33D82" w:rsidP="004D4114">
            <w:pPr>
              <w:jc w:val="center"/>
              <w:rPr>
                <w:color w:val="000000"/>
              </w:rPr>
            </w:pPr>
            <w:r w:rsidRPr="009A0A99">
              <w:rPr>
                <w:color w:val="000000"/>
              </w:rPr>
              <w:t>19.5</w:t>
            </w:r>
          </w:p>
        </w:tc>
        <w:tc>
          <w:tcPr>
            <w:tcW w:w="389" w:type="pct"/>
            <w:vAlign w:val="center"/>
          </w:tcPr>
          <w:p w:rsidR="00F33D82" w:rsidRPr="009A0A99" w:rsidRDefault="00F33D82" w:rsidP="004D4114">
            <w:pPr>
              <w:jc w:val="center"/>
              <w:rPr>
                <w:color w:val="000000"/>
              </w:rPr>
            </w:pPr>
            <w:r w:rsidRPr="009A0A99">
              <w:rPr>
                <w:color w:val="000000"/>
              </w:rPr>
              <w:t>19.6</w:t>
            </w:r>
          </w:p>
        </w:tc>
        <w:tc>
          <w:tcPr>
            <w:tcW w:w="359" w:type="pct"/>
            <w:vAlign w:val="center"/>
          </w:tcPr>
          <w:p w:rsidR="00F33D82" w:rsidRPr="009A0A99" w:rsidRDefault="00F33D82" w:rsidP="004D4114">
            <w:pPr>
              <w:jc w:val="center"/>
              <w:rPr>
                <w:color w:val="000000"/>
              </w:rPr>
            </w:pPr>
            <w:r w:rsidRPr="009A0A99">
              <w:rPr>
                <w:color w:val="000000"/>
              </w:rPr>
              <w:t>19.6</w:t>
            </w:r>
            <w:r w:rsidRPr="009A0A99">
              <w:rPr>
                <w:color w:val="000000"/>
                <w:vertAlign w:val="superscript"/>
              </w:rPr>
              <w:t>a</w:t>
            </w:r>
          </w:p>
        </w:tc>
        <w:tc>
          <w:tcPr>
            <w:tcW w:w="358" w:type="pct"/>
            <w:vAlign w:val="center"/>
          </w:tcPr>
          <w:p w:rsidR="00F33D82" w:rsidRPr="009A0A99" w:rsidRDefault="00F33D82" w:rsidP="004D4114">
            <w:pPr>
              <w:jc w:val="center"/>
              <w:rPr>
                <w:color w:val="000000"/>
              </w:rPr>
            </w:pPr>
            <w:r w:rsidRPr="009A0A99">
              <w:rPr>
                <w:color w:val="000000"/>
              </w:rPr>
              <w:t>837</w:t>
            </w:r>
            <w:r w:rsidRPr="009A0A99">
              <w:rPr>
                <w:color w:val="000000"/>
                <w:vertAlign w:val="superscript"/>
              </w:rPr>
              <w:t>ab</w:t>
            </w:r>
          </w:p>
        </w:tc>
        <w:tc>
          <w:tcPr>
            <w:tcW w:w="357" w:type="pct"/>
            <w:vAlign w:val="center"/>
          </w:tcPr>
          <w:p w:rsidR="00F33D82" w:rsidRPr="009A0A99" w:rsidRDefault="00F33D82" w:rsidP="004D4114">
            <w:pPr>
              <w:jc w:val="center"/>
              <w:rPr>
                <w:color w:val="000000"/>
              </w:rPr>
            </w:pPr>
            <w:r w:rsidRPr="009A0A99">
              <w:rPr>
                <w:color w:val="000000"/>
              </w:rPr>
              <w:t>899</w:t>
            </w:r>
            <w:r w:rsidRPr="009A0A99">
              <w:rPr>
                <w:color w:val="000000"/>
                <w:vertAlign w:val="superscript"/>
              </w:rPr>
              <w:t>ab</w:t>
            </w:r>
          </w:p>
        </w:tc>
        <w:tc>
          <w:tcPr>
            <w:tcW w:w="355" w:type="pct"/>
            <w:vAlign w:val="center"/>
          </w:tcPr>
          <w:p w:rsidR="00F33D82" w:rsidRPr="009A0A99" w:rsidRDefault="00F33D82" w:rsidP="004D4114">
            <w:pPr>
              <w:jc w:val="center"/>
              <w:rPr>
                <w:color w:val="000000"/>
              </w:rPr>
            </w:pPr>
            <w:r w:rsidRPr="009A0A99">
              <w:rPr>
                <w:color w:val="000000"/>
              </w:rPr>
              <w:t>868</w:t>
            </w:r>
            <w:r w:rsidRPr="009A0A99">
              <w:rPr>
                <w:color w:val="000000"/>
                <w:vertAlign w:val="superscript"/>
              </w:rPr>
              <w:t>b</w:t>
            </w:r>
          </w:p>
        </w:tc>
      </w:tr>
      <w:tr w:rsidR="00F33D82" w:rsidRPr="00F33D82" w:rsidTr="00802E4B">
        <w:tc>
          <w:tcPr>
            <w:tcW w:w="194" w:type="pct"/>
          </w:tcPr>
          <w:p w:rsidR="00F33D82" w:rsidRPr="00F33D82" w:rsidRDefault="00F33D82" w:rsidP="006035EE">
            <w:pPr>
              <w:jc w:val="center"/>
              <w:rPr>
                <w:b/>
                <w:color w:val="000000"/>
                <w:sz w:val="22"/>
                <w:szCs w:val="22"/>
              </w:rPr>
            </w:pPr>
            <w:r w:rsidRPr="00F33D82">
              <w:rPr>
                <w:b/>
                <w:color w:val="000000"/>
                <w:sz w:val="22"/>
                <w:szCs w:val="22"/>
              </w:rPr>
              <w:t>T</w:t>
            </w:r>
            <w:r w:rsidRPr="00F33D82">
              <w:rPr>
                <w:b/>
                <w:color w:val="000000"/>
                <w:sz w:val="22"/>
                <w:szCs w:val="22"/>
                <w:vertAlign w:val="subscript"/>
              </w:rPr>
              <w:t>4</w:t>
            </w:r>
          </w:p>
        </w:tc>
        <w:tc>
          <w:tcPr>
            <w:tcW w:w="1432" w:type="pct"/>
          </w:tcPr>
          <w:p w:rsidR="00F33D82" w:rsidRPr="00F33D82" w:rsidRDefault="00F33D82" w:rsidP="00F33D82">
            <w:pPr>
              <w:jc w:val="both"/>
              <w:rPr>
                <w:color w:val="000000"/>
                <w:kern w:val="24"/>
                <w:position w:val="-10"/>
                <w:sz w:val="22"/>
                <w:szCs w:val="22"/>
                <w:vertAlign w:val="subscript"/>
                <w:lang w:eastAsia="en-IN"/>
              </w:rPr>
            </w:pPr>
            <w:proofErr w:type="spellStart"/>
            <w:proofErr w:type="gramStart"/>
            <w:r w:rsidRPr="00F33D82">
              <w:rPr>
                <w:bCs/>
                <w:color w:val="000000"/>
                <w:sz w:val="22"/>
                <w:szCs w:val="22"/>
              </w:rPr>
              <w:t>Propaquizafop</w:t>
            </w:r>
            <w:proofErr w:type="spellEnd"/>
            <w:r w:rsidRPr="00F33D82">
              <w:rPr>
                <w:sz w:val="22"/>
                <w:szCs w:val="22"/>
              </w:rPr>
              <w:t xml:space="preserve">  75</w:t>
            </w:r>
            <w:proofErr w:type="gramEnd"/>
            <w:r w:rsidRPr="00F33D82">
              <w:rPr>
                <w:sz w:val="22"/>
                <w:szCs w:val="22"/>
              </w:rPr>
              <w:t xml:space="preserve"> g ha</w:t>
            </w:r>
            <w:r w:rsidRPr="00F33D82">
              <w:rPr>
                <w:sz w:val="22"/>
                <w:szCs w:val="22"/>
                <w:vertAlign w:val="superscript"/>
              </w:rPr>
              <w:t>-1</w:t>
            </w:r>
            <w:r w:rsidRPr="00F33D82">
              <w:rPr>
                <w:sz w:val="22"/>
                <w:szCs w:val="22"/>
              </w:rPr>
              <w:t xml:space="preserve">PoE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358" w:type="pct"/>
            <w:vAlign w:val="center"/>
          </w:tcPr>
          <w:p w:rsidR="00F33D82" w:rsidRPr="009A0A99" w:rsidRDefault="00F33D82" w:rsidP="006035EE">
            <w:pPr>
              <w:jc w:val="center"/>
              <w:rPr>
                <w:color w:val="000000"/>
              </w:rPr>
            </w:pPr>
            <w:r w:rsidRPr="009A0A99">
              <w:rPr>
                <w:color w:val="000000"/>
              </w:rPr>
              <w:t>38.1</w:t>
            </w:r>
          </w:p>
        </w:tc>
        <w:tc>
          <w:tcPr>
            <w:tcW w:w="418" w:type="pct"/>
            <w:vAlign w:val="center"/>
          </w:tcPr>
          <w:p w:rsidR="00F33D82" w:rsidRPr="009A0A99" w:rsidRDefault="00F33D82" w:rsidP="006035EE">
            <w:pPr>
              <w:jc w:val="center"/>
              <w:rPr>
                <w:color w:val="000000"/>
              </w:rPr>
            </w:pPr>
            <w:r w:rsidRPr="009A0A99">
              <w:rPr>
                <w:color w:val="000000"/>
              </w:rPr>
              <w:t>37.9</w:t>
            </w:r>
          </w:p>
        </w:tc>
        <w:tc>
          <w:tcPr>
            <w:tcW w:w="391" w:type="pct"/>
            <w:vAlign w:val="center"/>
          </w:tcPr>
          <w:p w:rsidR="00F33D82" w:rsidRPr="009A0A99" w:rsidRDefault="00F33D82" w:rsidP="006035EE">
            <w:pPr>
              <w:jc w:val="center"/>
              <w:rPr>
                <w:color w:val="000000"/>
              </w:rPr>
            </w:pPr>
            <w:r w:rsidRPr="009A0A99">
              <w:rPr>
                <w:color w:val="000000"/>
              </w:rPr>
              <w:t>38.0</w:t>
            </w:r>
            <w:r w:rsidRPr="009A0A99">
              <w:rPr>
                <w:color w:val="000000"/>
                <w:vertAlign w:val="superscript"/>
              </w:rPr>
              <w:t>abc</w:t>
            </w:r>
          </w:p>
        </w:tc>
        <w:tc>
          <w:tcPr>
            <w:tcW w:w="389" w:type="pct"/>
            <w:vAlign w:val="center"/>
          </w:tcPr>
          <w:p w:rsidR="00F33D82" w:rsidRPr="009A0A99" w:rsidRDefault="00F33D82" w:rsidP="004D4114">
            <w:pPr>
              <w:jc w:val="center"/>
              <w:rPr>
                <w:color w:val="000000"/>
              </w:rPr>
            </w:pPr>
            <w:r w:rsidRPr="009A0A99">
              <w:rPr>
                <w:color w:val="000000"/>
              </w:rPr>
              <w:t>19.5</w:t>
            </w:r>
          </w:p>
        </w:tc>
        <w:tc>
          <w:tcPr>
            <w:tcW w:w="389" w:type="pct"/>
            <w:vAlign w:val="center"/>
          </w:tcPr>
          <w:p w:rsidR="00F33D82" w:rsidRPr="009A0A99" w:rsidRDefault="00F33D82" w:rsidP="004D4114">
            <w:pPr>
              <w:jc w:val="center"/>
              <w:rPr>
                <w:color w:val="000000"/>
              </w:rPr>
            </w:pPr>
            <w:r w:rsidRPr="009A0A99">
              <w:rPr>
                <w:color w:val="000000"/>
              </w:rPr>
              <w:t>19.1</w:t>
            </w:r>
          </w:p>
        </w:tc>
        <w:tc>
          <w:tcPr>
            <w:tcW w:w="359" w:type="pct"/>
            <w:vAlign w:val="center"/>
          </w:tcPr>
          <w:p w:rsidR="00F33D82" w:rsidRPr="009A0A99" w:rsidRDefault="00F33D82" w:rsidP="004D4114">
            <w:pPr>
              <w:jc w:val="center"/>
              <w:rPr>
                <w:color w:val="000000"/>
              </w:rPr>
            </w:pPr>
            <w:r w:rsidRPr="009A0A99">
              <w:rPr>
                <w:color w:val="000000"/>
              </w:rPr>
              <w:t>19.3</w:t>
            </w:r>
            <w:r w:rsidRPr="009A0A99">
              <w:rPr>
                <w:color w:val="000000"/>
                <w:vertAlign w:val="superscript"/>
              </w:rPr>
              <w:t>ab</w:t>
            </w:r>
          </w:p>
        </w:tc>
        <w:tc>
          <w:tcPr>
            <w:tcW w:w="358" w:type="pct"/>
            <w:vAlign w:val="center"/>
          </w:tcPr>
          <w:p w:rsidR="00F33D82" w:rsidRPr="009A0A99" w:rsidRDefault="00F33D82" w:rsidP="004D4114">
            <w:pPr>
              <w:jc w:val="center"/>
              <w:rPr>
                <w:color w:val="000000"/>
              </w:rPr>
            </w:pPr>
            <w:r w:rsidRPr="009A0A99">
              <w:rPr>
                <w:color w:val="000000"/>
              </w:rPr>
              <w:t>826</w:t>
            </w:r>
            <w:r w:rsidRPr="009A0A99">
              <w:rPr>
                <w:color w:val="000000"/>
                <w:vertAlign w:val="superscript"/>
              </w:rPr>
              <w:t>ab</w:t>
            </w:r>
          </w:p>
        </w:tc>
        <w:tc>
          <w:tcPr>
            <w:tcW w:w="357" w:type="pct"/>
            <w:vAlign w:val="center"/>
          </w:tcPr>
          <w:p w:rsidR="00F33D82" w:rsidRPr="009A0A99" w:rsidRDefault="00F33D82" w:rsidP="004D4114">
            <w:pPr>
              <w:jc w:val="center"/>
              <w:rPr>
                <w:color w:val="000000"/>
              </w:rPr>
            </w:pPr>
            <w:r w:rsidRPr="009A0A99">
              <w:rPr>
                <w:color w:val="000000"/>
              </w:rPr>
              <w:t>896</w:t>
            </w:r>
            <w:r w:rsidRPr="009A0A99">
              <w:rPr>
                <w:color w:val="000000"/>
                <w:vertAlign w:val="superscript"/>
              </w:rPr>
              <w:t>ab</w:t>
            </w:r>
          </w:p>
        </w:tc>
        <w:tc>
          <w:tcPr>
            <w:tcW w:w="355" w:type="pct"/>
            <w:vAlign w:val="center"/>
          </w:tcPr>
          <w:p w:rsidR="00F33D82" w:rsidRPr="009A0A99" w:rsidRDefault="00F33D82" w:rsidP="004D4114">
            <w:pPr>
              <w:jc w:val="center"/>
              <w:rPr>
                <w:color w:val="000000"/>
              </w:rPr>
            </w:pPr>
            <w:r w:rsidRPr="009A0A99">
              <w:rPr>
                <w:color w:val="000000"/>
              </w:rPr>
              <w:t>861</w:t>
            </w:r>
            <w:r w:rsidRPr="009A0A99">
              <w:rPr>
                <w:color w:val="000000"/>
                <w:vertAlign w:val="superscript"/>
              </w:rPr>
              <w:t>b</w:t>
            </w:r>
          </w:p>
        </w:tc>
      </w:tr>
      <w:tr w:rsidR="00F33D82" w:rsidRPr="00F33D82" w:rsidTr="00802E4B">
        <w:tc>
          <w:tcPr>
            <w:tcW w:w="194" w:type="pct"/>
          </w:tcPr>
          <w:p w:rsidR="00F33D82" w:rsidRPr="00F33D82" w:rsidRDefault="00F33D82" w:rsidP="006035EE">
            <w:pPr>
              <w:jc w:val="center"/>
              <w:rPr>
                <w:b/>
                <w:color w:val="000000"/>
                <w:sz w:val="22"/>
                <w:szCs w:val="22"/>
              </w:rPr>
            </w:pPr>
            <w:r w:rsidRPr="00F33D82">
              <w:rPr>
                <w:b/>
                <w:color w:val="000000"/>
                <w:sz w:val="22"/>
                <w:szCs w:val="22"/>
              </w:rPr>
              <w:t>T</w:t>
            </w:r>
            <w:r w:rsidRPr="00F33D82">
              <w:rPr>
                <w:b/>
                <w:color w:val="000000"/>
                <w:sz w:val="22"/>
                <w:szCs w:val="22"/>
                <w:vertAlign w:val="subscript"/>
              </w:rPr>
              <w:t>5</w:t>
            </w:r>
          </w:p>
        </w:tc>
        <w:tc>
          <w:tcPr>
            <w:tcW w:w="1432" w:type="pct"/>
          </w:tcPr>
          <w:p w:rsidR="00F33D82" w:rsidRPr="00F33D82" w:rsidRDefault="00F33D82" w:rsidP="00F33D82">
            <w:pPr>
              <w:jc w:val="both"/>
              <w:rPr>
                <w:color w:val="000000"/>
                <w:kern w:val="24"/>
                <w:position w:val="-10"/>
                <w:sz w:val="22"/>
                <w:szCs w:val="22"/>
                <w:vertAlign w:val="subscript"/>
                <w:lang w:eastAsia="en-IN"/>
              </w:rPr>
            </w:pPr>
            <w:proofErr w:type="spellStart"/>
            <w:r w:rsidRPr="00F33D82">
              <w:rPr>
                <w:sz w:val="22"/>
                <w:szCs w:val="22"/>
              </w:rPr>
              <w:t>Quizalofop</w:t>
            </w:r>
            <w:proofErr w:type="spellEnd"/>
            <w:r w:rsidRPr="00F33D82">
              <w:rPr>
                <w:sz w:val="22"/>
                <w:szCs w:val="22"/>
              </w:rPr>
              <w:t xml:space="preserve"> ethyl   50 g ha</w:t>
            </w:r>
            <w:r w:rsidRPr="00F33D82">
              <w:rPr>
                <w:sz w:val="22"/>
                <w:szCs w:val="22"/>
                <w:vertAlign w:val="superscript"/>
              </w:rPr>
              <w:t>-1</w:t>
            </w:r>
            <w:proofErr w:type="gramStart"/>
            <w:r w:rsidRPr="00F33D82">
              <w:rPr>
                <w:sz w:val="22"/>
                <w:szCs w:val="22"/>
              </w:rPr>
              <w:t xml:space="preserve">PoE  </w:t>
            </w:r>
            <w:r w:rsidRPr="00F33D82">
              <w:rPr>
                <w:i/>
                <w:iCs/>
                <w:sz w:val="22"/>
                <w:szCs w:val="22"/>
              </w:rPr>
              <w:t>fb</w:t>
            </w:r>
            <w:proofErr w:type="gramEnd"/>
            <w:r w:rsidRPr="00F33D82">
              <w:rPr>
                <w:sz w:val="22"/>
                <w:szCs w:val="22"/>
              </w:rPr>
              <w:t xml:space="preserve">  IC + HW at 30 </w:t>
            </w:r>
            <w:r w:rsidRPr="00F33D82">
              <w:rPr>
                <w:bCs/>
                <w:color w:val="000000"/>
                <w:sz w:val="22"/>
                <w:szCs w:val="22"/>
              </w:rPr>
              <w:t>DAS</w:t>
            </w:r>
          </w:p>
        </w:tc>
        <w:tc>
          <w:tcPr>
            <w:tcW w:w="358" w:type="pct"/>
            <w:vAlign w:val="center"/>
          </w:tcPr>
          <w:p w:rsidR="00F33D82" w:rsidRPr="009A0A99" w:rsidRDefault="00F33D82" w:rsidP="006035EE">
            <w:pPr>
              <w:jc w:val="center"/>
              <w:rPr>
                <w:color w:val="000000"/>
              </w:rPr>
            </w:pPr>
            <w:r w:rsidRPr="009A0A99">
              <w:rPr>
                <w:color w:val="000000"/>
              </w:rPr>
              <w:t>37.5</w:t>
            </w:r>
          </w:p>
        </w:tc>
        <w:tc>
          <w:tcPr>
            <w:tcW w:w="418" w:type="pct"/>
            <w:vAlign w:val="center"/>
          </w:tcPr>
          <w:p w:rsidR="00F33D82" w:rsidRPr="009A0A99" w:rsidRDefault="00F33D82" w:rsidP="006035EE">
            <w:pPr>
              <w:jc w:val="center"/>
              <w:rPr>
                <w:color w:val="000000"/>
              </w:rPr>
            </w:pPr>
            <w:r w:rsidRPr="009A0A99">
              <w:rPr>
                <w:color w:val="000000"/>
              </w:rPr>
              <w:t>37.5</w:t>
            </w:r>
          </w:p>
        </w:tc>
        <w:tc>
          <w:tcPr>
            <w:tcW w:w="391" w:type="pct"/>
            <w:vAlign w:val="center"/>
          </w:tcPr>
          <w:p w:rsidR="00F33D82" w:rsidRPr="009A0A99" w:rsidRDefault="00F33D82" w:rsidP="006035EE">
            <w:pPr>
              <w:jc w:val="center"/>
              <w:rPr>
                <w:color w:val="000000"/>
              </w:rPr>
            </w:pPr>
            <w:r w:rsidRPr="009A0A99">
              <w:rPr>
                <w:color w:val="000000"/>
              </w:rPr>
              <w:t>37.5</w:t>
            </w:r>
            <w:r w:rsidRPr="009A0A99">
              <w:rPr>
                <w:color w:val="000000"/>
                <w:vertAlign w:val="superscript"/>
              </w:rPr>
              <w:t>bc</w:t>
            </w:r>
          </w:p>
        </w:tc>
        <w:tc>
          <w:tcPr>
            <w:tcW w:w="389" w:type="pct"/>
            <w:vAlign w:val="center"/>
          </w:tcPr>
          <w:p w:rsidR="00F33D82" w:rsidRPr="009A0A99" w:rsidRDefault="00F33D82" w:rsidP="004D4114">
            <w:pPr>
              <w:jc w:val="center"/>
              <w:rPr>
                <w:color w:val="000000"/>
              </w:rPr>
            </w:pPr>
            <w:r w:rsidRPr="009A0A99">
              <w:rPr>
                <w:color w:val="000000"/>
              </w:rPr>
              <w:t>19.9</w:t>
            </w:r>
          </w:p>
        </w:tc>
        <w:tc>
          <w:tcPr>
            <w:tcW w:w="389" w:type="pct"/>
            <w:vAlign w:val="center"/>
          </w:tcPr>
          <w:p w:rsidR="00F33D82" w:rsidRPr="009A0A99" w:rsidRDefault="00F33D82" w:rsidP="004D4114">
            <w:pPr>
              <w:jc w:val="center"/>
              <w:rPr>
                <w:color w:val="000000"/>
              </w:rPr>
            </w:pPr>
            <w:r w:rsidRPr="009A0A99">
              <w:rPr>
                <w:color w:val="000000"/>
              </w:rPr>
              <w:t>19.6</w:t>
            </w:r>
          </w:p>
        </w:tc>
        <w:tc>
          <w:tcPr>
            <w:tcW w:w="359" w:type="pct"/>
            <w:vAlign w:val="center"/>
          </w:tcPr>
          <w:p w:rsidR="00F33D82" w:rsidRPr="009A0A99" w:rsidRDefault="00F33D82" w:rsidP="004D4114">
            <w:pPr>
              <w:jc w:val="center"/>
              <w:rPr>
                <w:color w:val="000000"/>
              </w:rPr>
            </w:pPr>
            <w:r w:rsidRPr="009A0A99">
              <w:rPr>
                <w:color w:val="000000"/>
              </w:rPr>
              <w:t>19.7</w:t>
            </w:r>
            <w:r w:rsidRPr="009A0A99">
              <w:rPr>
                <w:color w:val="000000"/>
                <w:vertAlign w:val="superscript"/>
              </w:rPr>
              <w:t>a</w:t>
            </w:r>
          </w:p>
        </w:tc>
        <w:tc>
          <w:tcPr>
            <w:tcW w:w="358" w:type="pct"/>
            <w:vAlign w:val="center"/>
          </w:tcPr>
          <w:p w:rsidR="00F33D82" w:rsidRPr="009A0A99" w:rsidRDefault="00F33D82" w:rsidP="004D4114">
            <w:pPr>
              <w:jc w:val="center"/>
              <w:rPr>
                <w:color w:val="000000"/>
              </w:rPr>
            </w:pPr>
            <w:r w:rsidRPr="009A0A99">
              <w:rPr>
                <w:color w:val="000000"/>
              </w:rPr>
              <w:t>823</w:t>
            </w:r>
            <w:r w:rsidRPr="009A0A99">
              <w:rPr>
                <w:color w:val="000000"/>
                <w:vertAlign w:val="superscript"/>
              </w:rPr>
              <w:t>ab</w:t>
            </w:r>
          </w:p>
        </w:tc>
        <w:tc>
          <w:tcPr>
            <w:tcW w:w="357" w:type="pct"/>
            <w:vAlign w:val="center"/>
          </w:tcPr>
          <w:p w:rsidR="00F33D82" w:rsidRPr="009A0A99" w:rsidRDefault="00F33D82" w:rsidP="004D4114">
            <w:pPr>
              <w:jc w:val="center"/>
              <w:rPr>
                <w:color w:val="000000"/>
              </w:rPr>
            </w:pPr>
            <w:r w:rsidRPr="009A0A99">
              <w:rPr>
                <w:color w:val="000000"/>
              </w:rPr>
              <w:t>885</w:t>
            </w:r>
            <w:r w:rsidRPr="009A0A99">
              <w:rPr>
                <w:color w:val="000000"/>
                <w:vertAlign w:val="superscript"/>
              </w:rPr>
              <w:t>abc</w:t>
            </w:r>
          </w:p>
        </w:tc>
        <w:tc>
          <w:tcPr>
            <w:tcW w:w="355" w:type="pct"/>
            <w:vAlign w:val="center"/>
          </w:tcPr>
          <w:p w:rsidR="00F33D82" w:rsidRPr="009A0A99" w:rsidRDefault="00F33D82" w:rsidP="004D4114">
            <w:pPr>
              <w:jc w:val="center"/>
              <w:rPr>
                <w:color w:val="000000"/>
              </w:rPr>
            </w:pPr>
            <w:r w:rsidRPr="009A0A99">
              <w:rPr>
                <w:color w:val="000000"/>
              </w:rPr>
              <w:t>854</w:t>
            </w:r>
            <w:r w:rsidRPr="009A0A99">
              <w:rPr>
                <w:color w:val="000000"/>
                <w:vertAlign w:val="superscript"/>
              </w:rPr>
              <w:t>b</w:t>
            </w:r>
          </w:p>
        </w:tc>
      </w:tr>
      <w:tr w:rsidR="00F33D82" w:rsidRPr="00F33D82" w:rsidTr="00802E4B">
        <w:tc>
          <w:tcPr>
            <w:tcW w:w="194" w:type="pct"/>
          </w:tcPr>
          <w:p w:rsidR="00F33D82" w:rsidRPr="00F33D82" w:rsidRDefault="00F33D82" w:rsidP="006035EE">
            <w:pPr>
              <w:jc w:val="center"/>
              <w:rPr>
                <w:b/>
                <w:color w:val="000000"/>
                <w:sz w:val="22"/>
                <w:szCs w:val="22"/>
              </w:rPr>
            </w:pPr>
            <w:r w:rsidRPr="00F33D82">
              <w:rPr>
                <w:b/>
                <w:color w:val="000000"/>
                <w:sz w:val="22"/>
                <w:szCs w:val="22"/>
              </w:rPr>
              <w:t>T</w:t>
            </w:r>
            <w:r w:rsidRPr="00F33D82">
              <w:rPr>
                <w:b/>
                <w:color w:val="000000"/>
                <w:sz w:val="22"/>
                <w:szCs w:val="22"/>
                <w:vertAlign w:val="subscript"/>
              </w:rPr>
              <w:t>6</w:t>
            </w:r>
          </w:p>
        </w:tc>
        <w:tc>
          <w:tcPr>
            <w:tcW w:w="1432" w:type="pct"/>
          </w:tcPr>
          <w:p w:rsidR="00F33D82" w:rsidRPr="00F33D82" w:rsidRDefault="00F33D82" w:rsidP="00F33D82">
            <w:pPr>
              <w:jc w:val="both"/>
              <w:rPr>
                <w:color w:val="000000"/>
                <w:kern w:val="24"/>
                <w:position w:val="-10"/>
                <w:sz w:val="22"/>
                <w:szCs w:val="22"/>
                <w:vertAlign w:val="subscript"/>
                <w:lang w:eastAsia="en-IN"/>
              </w:rPr>
            </w:pPr>
            <w:r w:rsidRPr="00F33D82">
              <w:rPr>
                <w:sz w:val="22"/>
                <w:szCs w:val="22"/>
              </w:rPr>
              <w:t>Fenoxaprop -p-</w:t>
            </w:r>
            <w:proofErr w:type="gramStart"/>
            <w:r w:rsidRPr="00F33D82">
              <w:rPr>
                <w:sz w:val="22"/>
                <w:szCs w:val="22"/>
              </w:rPr>
              <w:t>ethyl  100</w:t>
            </w:r>
            <w:proofErr w:type="gramEnd"/>
            <w:r w:rsidRPr="00F33D82">
              <w:rPr>
                <w:sz w:val="22"/>
                <w:szCs w:val="22"/>
              </w:rPr>
              <w:t xml:space="preserve"> g ha</w:t>
            </w:r>
            <w:r w:rsidRPr="00F33D82">
              <w:rPr>
                <w:sz w:val="22"/>
                <w:szCs w:val="22"/>
                <w:vertAlign w:val="superscript"/>
              </w:rPr>
              <w:t>-1</w:t>
            </w:r>
            <w:r w:rsidRPr="00F33D82">
              <w:rPr>
                <w:sz w:val="22"/>
                <w:szCs w:val="22"/>
              </w:rPr>
              <w:t xml:space="preserve">PoE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358" w:type="pct"/>
            <w:vAlign w:val="center"/>
          </w:tcPr>
          <w:p w:rsidR="00F33D82" w:rsidRPr="009A0A99" w:rsidRDefault="00F33D82" w:rsidP="006035EE">
            <w:pPr>
              <w:jc w:val="center"/>
              <w:rPr>
                <w:color w:val="000000"/>
              </w:rPr>
            </w:pPr>
            <w:r w:rsidRPr="009A0A99">
              <w:rPr>
                <w:color w:val="000000"/>
              </w:rPr>
              <w:t>37.9</w:t>
            </w:r>
          </w:p>
        </w:tc>
        <w:tc>
          <w:tcPr>
            <w:tcW w:w="418" w:type="pct"/>
            <w:vAlign w:val="center"/>
          </w:tcPr>
          <w:p w:rsidR="00F33D82" w:rsidRPr="009A0A99" w:rsidRDefault="00F33D82" w:rsidP="006035EE">
            <w:pPr>
              <w:jc w:val="center"/>
              <w:rPr>
                <w:color w:val="000000"/>
              </w:rPr>
            </w:pPr>
            <w:r w:rsidRPr="009A0A99">
              <w:rPr>
                <w:color w:val="000000"/>
              </w:rPr>
              <w:t>37.7</w:t>
            </w:r>
          </w:p>
        </w:tc>
        <w:tc>
          <w:tcPr>
            <w:tcW w:w="391" w:type="pct"/>
            <w:vAlign w:val="center"/>
          </w:tcPr>
          <w:p w:rsidR="00F33D82" w:rsidRPr="009A0A99" w:rsidRDefault="00F33D82" w:rsidP="006035EE">
            <w:pPr>
              <w:jc w:val="center"/>
              <w:rPr>
                <w:color w:val="000000"/>
              </w:rPr>
            </w:pPr>
            <w:r w:rsidRPr="009A0A99">
              <w:rPr>
                <w:color w:val="000000"/>
              </w:rPr>
              <w:t>37.8</w:t>
            </w:r>
            <w:r w:rsidRPr="009A0A99">
              <w:rPr>
                <w:color w:val="000000"/>
                <w:vertAlign w:val="superscript"/>
              </w:rPr>
              <w:t>abc</w:t>
            </w:r>
          </w:p>
        </w:tc>
        <w:tc>
          <w:tcPr>
            <w:tcW w:w="389" w:type="pct"/>
            <w:vAlign w:val="center"/>
          </w:tcPr>
          <w:p w:rsidR="00F33D82" w:rsidRPr="009A0A99" w:rsidRDefault="00F33D82" w:rsidP="004D4114">
            <w:pPr>
              <w:jc w:val="center"/>
              <w:rPr>
                <w:color w:val="000000"/>
              </w:rPr>
            </w:pPr>
            <w:r w:rsidRPr="009A0A99">
              <w:rPr>
                <w:color w:val="000000"/>
              </w:rPr>
              <w:t>19.5</w:t>
            </w:r>
          </w:p>
        </w:tc>
        <w:tc>
          <w:tcPr>
            <w:tcW w:w="389" w:type="pct"/>
            <w:vAlign w:val="center"/>
          </w:tcPr>
          <w:p w:rsidR="00F33D82" w:rsidRPr="009A0A99" w:rsidRDefault="00F33D82" w:rsidP="004D4114">
            <w:pPr>
              <w:jc w:val="center"/>
              <w:rPr>
                <w:color w:val="000000"/>
              </w:rPr>
            </w:pPr>
            <w:r w:rsidRPr="009A0A99">
              <w:rPr>
                <w:color w:val="000000"/>
              </w:rPr>
              <w:t>19.5</w:t>
            </w:r>
          </w:p>
        </w:tc>
        <w:tc>
          <w:tcPr>
            <w:tcW w:w="359" w:type="pct"/>
            <w:vAlign w:val="center"/>
          </w:tcPr>
          <w:p w:rsidR="00F33D82" w:rsidRPr="009A0A99" w:rsidRDefault="00F33D82" w:rsidP="004D4114">
            <w:pPr>
              <w:jc w:val="center"/>
              <w:rPr>
                <w:color w:val="000000"/>
              </w:rPr>
            </w:pPr>
            <w:r w:rsidRPr="009A0A99">
              <w:rPr>
                <w:color w:val="000000"/>
              </w:rPr>
              <w:t>19.5</w:t>
            </w:r>
            <w:r w:rsidRPr="009A0A99">
              <w:rPr>
                <w:color w:val="000000"/>
                <w:vertAlign w:val="superscript"/>
              </w:rPr>
              <w:t>ab</w:t>
            </w:r>
          </w:p>
        </w:tc>
        <w:tc>
          <w:tcPr>
            <w:tcW w:w="358" w:type="pct"/>
            <w:vAlign w:val="center"/>
          </w:tcPr>
          <w:p w:rsidR="00F33D82" w:rsidRPr="009A0A99" w:rsidRDefault="00F33D82" w:rsidP="004D4114">
            <w:pPr>
              <w:jc w:val="center"/>
              <w:rPr>
                <w:color w:val="000000"/>
              </w:rPr>
            </w:pPr>
            <w:r w:rsidRPr="009A0A99">
              <w:rPr>
                <w:color w:val="000000"/>
              </w:rPr>
              <w:t>731</w:t>
            </w:r>
            <w:r w:rsidRPr="009A0A99">
              <w:rPr>
                <w:color w:val="000000"/>
                <w:vertAlign w:val="superscript"/>
              </w:rPr>
              <w:t>b</w:t>
            </w:r>
          </w:p>
        </w:tc>
        <w:tc>
          <w:tcPr>
            <w:tcW w:w="357" w:type="pct"/>
            <w:vAlign w:val="center"/>
          </w:tcPr>
          <w:p w:rsidR="00F33D82" w:rsidRPr="009A0A99" w:rsidRDefault="00F33D82" w:rsidP="004D4114">
            <w:pPr>
              <w:jc w:val="center"/>
              <w:rPr>
                <w:color w:val="000000"/>
              </w:rPr>
            </w:pPr>
            <w:r w:rsidRPr="009A0A99">
              <w:rPr>
                <w:color w:val="000000"/>
              </w:rPr>
              <w:t>766</w:t>
            </w:r>
            <w:r w:rsidRPr="009A0A99">
              <w:rPr>
                <w:color w:val="000000"/>
                <w:vertAlign w:val="superscript"/>
              </w:rPr>
              <w:t>bcd</w:t>
            </w:r>
          </w:p>
        </w:tc>
        <w:tc>
          <w:tcPr>
            <w:tcW w:w="355" w:type="pct"/>
            <w:vAlign w:val="center"/>
          </w:tcPr>
          <w:p w:rsidR="00F33D82" w:rsidRPr="009A0A99" w:rsidRDefault="00F33D82" w:rsidP="004D4114">
            <w:pPr>
              <w:jc w:val="center"/>
              <w:rPr>
                <w:color w:val="000000"/>
              </w:rPr>
            </w:pPr>
            <w:r w:rsidRPr="009A0A99">
              <w:rPr>
                <w:color w:val="000000"/>
              </w:rPr>
              <w:t>749</w:t>
            </w:r>
            <w:r w:rsidRPr="009A0A99">
              <w:rPr>
                <w:color w:val="000000"/>
                <w:vertAlign w:val="superscript"/>
              </w:rPr>
              <w:t>c</w:t>
            </w:r>
          </w:p>
        </w:tc>
      </w:tr>
      <w:tr w:rsidR="00F33D82" w:rsidRPr="00F33D82" w:rsidTr="00F33D82">
        <w:trPr>
          <w:trHeight w:val="647"/>
        </w:trPr>
        <w:tc>
          <w:tcPr>
            <w:tcW w:w="194" w:type="pct"/>
          </w:tcPr>
          <w:p w:rsidR="00F33D82" w:rsidRPr="00F33D82" w:rsidRDefault="00F33D82" w:rsidP="006035EE">
            <w:pPr>
              <w:jc w:val="center"/>
              <w:rPr>
                <w:b/>
                <w:color w:val="000000"/>
                <w:sz w:val="22"/>
                <w:szCs w:val="22"/>
              </w:rPr>
            </w:pPr>
            <w:r w:rsidRPr="00F33D82">
              <w:rPr>
                <w:b/>
                <w:color w:val="000000"/>
                <w:sz w:val="22"/>
                <w:szCs w:val="22"/>
              </w:rPr>
              <w:t>T</w:t>
            </w:r>
            <w:r w:rsidRPr="00F33D82">
              <w:rPr>
                <w:b/>
                <w:color w:val="000000"/>
                <w:sz w:val="22"/>
                <w:szCs w:val="22"/>
                <w:vertAlign w:val="subscript"/>
              </w:rPr>
              <w:t>7</w:t>
            </w:r>
          </w:p>
        </w:tc>
        <w:tc>
          <w:tcPr>
            <w:tcW w:w="1432" w:type="pct"/>
          </w:tcPr>
          <w:p w:rsidR="00F33D82" w:rsidRPr="00F33D82" w:rsidRDefault="00F33D82" w:rsidP="00F33D82">
            <w:pPr>
              <w:jc w:val="both"/>
              <w:rPr>
                <w:color w:val="000000"/>
                <w:kern w:val="24"/>
                <w:position w:val="-10"/>
                <w:sz w:val="22"/>
                <w:szCs w:val="22"/>
                <w:vertAlign w:val="subscript"/>
                <w:lang w:eastAsia="en-IN"/>
              </w:rPr>
            </w:pPr>
            <w:proofErr w:type="spellStart"/>
            <w:r w:rsidRPr="00F33D82">
              <w:rPr>
                <w:sz w:val="22"/>
                <w:szCs w:val="22"/>
              </w:rPr>
              <w:t>Imazamox</w:t>
            </w:r>
            <w:proofErr w:type="spellEnd"/>
            <w:r w:rsidRPr="00F33D82">
              <w:rPr>
                <w:sz w:val="22"/>
                <w:szCs w:val="22"/>
              </w:rPr>
              <w:t xml:space="preserve"> 35% + Imazethapyr 35% (Pre </w:t>
            </w:r>
            <w:proofErr w:type="gramStart"/>
            <w:r w:rsidRPr="00F33D82">
              <w:rPr>
                <w:sz w:val="22"/>
                <w:szCs w:val="22"/>
              </w:rPr>
              <w:t>mix )</w:t>
            </w:r>
            <w:proofErr w:type="gramEnd"/>
            <w:r w:rsidRPr="00F33D82">
              <w:rPr>
                <w:sz w:val="22"/>
                <w:szCs w:val="22"/>
              </w:rPr>
              <w:t xml:space="preserve"> 70 g ha</w:t>
            </w:r>
            <w:r w:rsidRPr="00F33D82">
              <w:rPr>
                <w:sz w:val="22"/>
                <w:szCs w:val="22"/>
                <w:vertAlign w:val="superscript"/>
              </w:rPr>
              <w:t>-1</w:t>
            </w:r>
            <w:r w:rsidRPr="00F33D82">
              <w:rPr>
                <w:sz w:val="22"/>
                <w:szCs w:val="22"/>
              </w:rPr>
              <w:t xml:space="preserve">PoE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358" w:type="pct"/>
            <w:vAlign w:val="center"/>
          </w:tcPr>
          <w:p w:rsidR="00F33D82" w:rsidRPr="009A0A99" w:rsidRDefault="00F33D82" w:rsidP="006035EE">
            <w:pPr>
              <w:jc w:val="center"/>
              <w:rPr>
                <w:color w:val="000000"/>
              </w:rPr>
            </w:pPr>
            <w:r w:rsidRPr="009A0A99">
              <w:rPr>
                <w:color w:val="000000"/>
              </w:rPr>
              <w:t>39.1</w:t>
            </w:r>
          </w:p>
        </w:tc>
        <w:tc>
          <w:tcPr>
            <w:tcW w:w="418" w:type="pct"/>
            <w:vAlign w:val="center"/>
          </w:tcPr>
          <w:p w:rsidR="00F33D82" w:rsidRPr="009A0A99" w:rsidRDefault="00F33D82" w:rsidP="006035EE">
            <w:pPr>
              <w:jc w:val="center"/>
              <w:rPr>
                <w:color w:val="000000"/>
              </w:rPr>
            </w:pPr>
            <w:r w:rsidRPr="009A0A99">
              <w:rPr>
                <w:color w:val="000000"/>
              </w:rPr>
              <w:t>39.3</w:t>
            </w:r>
          </w:p>
        </w:tc>
        <w:tc>
          <w:tcPr>
            <w:tcW w:w="391" w:type="pct"/>
            <w:vAlign w:val="center"/>
          </w:tcPr>
          <w:p w:rsidR="00F33D82" w:rsidRPr="009A0A99" w:rsidRDefault="00F33D82" w:rsidP="006035EE">
            <w:pPr>
              <w:jc w:val="center"/>
              <w:rPr>
                <w:color w:val="000000"/>
              </w:rPr>
            </w:pPr>
            <w:r w:rsidRPr="009A0A99">
              <w:rPr>
                <w:color w:val="000000"/>
              </w:rPr>
              <w:t>39.2</w:t>
            </w:r>
            <w:r w:rsidRPr="009A0A99">
              <w:rPr>
                <w:color w:val="000000"/>
                <w:vertAlign w:val="superscript"/>
              </w:rPr>
              <w:t>ab</w:t>
            </w:r>
          </w:p>
        </w:tc>
        <w:tc>
          <w:tcPr>
            <w:tcW w:w="389" w:type="pct"/>
            <w:vAlign w:val="center"/>
          </w:tcPr>
          <w:p w:rsidR="00F33D82" w:rsidRPr="009A0A99" w:rsidRDefault="00F33D82" w:rsidP="004D4114">
            <w:pPr>
              <w:jc w:val="center"/>
              <w:rPr>
                <w:color w:val="000000"/>
              </w:rPr>
            </w:pPr>
            <w:r w:rsidRPr="009A0A99">
              <w:rPr>
                <w:color w:val="000000"/>
              </w:rPr>
              <w:t>19.9</w:t>
            </w:r>
          </w:p>
        </w:tc>
        <w:tc>
          <w:tcPr>
            <w:tcW w:w="389" w:type="pct"/>
            <w:vAlign w:val="center"/>
          </w:tcPr>
          <w:p w:rsidR="00F33D82" w:rsidRPr="009A0A99" w:rsidRDefault="00F33D82" w:rsidP="004D4114">
            <w:pPr>
              <w:jc w:val="center"/>
              <w:rPr>
                <w:color w:val="000000"/>
              </w:rPr>
            </w:pPr>
            <w:r w:rsidRPr="009A0A99">
              <w:rPr>
                <w:color w:val="000000"/>
              </w:rPr>
              <w:t>19.7</w:t>
            </w:r>
          </w:p>
        </w:tc>
        <w:tc>
          <w:tcPr>
            <w:tcW w:w="359" w:type="pct"/>
            <w:vAlign w:val="center"/>
          </w:tcPr>
          <w:p w:rsidR="00F33D82" w:rsidRPr="009A0A99" w:rsidRDefault="00F33D82" w:rsidP="004D4114">
            <w:pPr>
              <w:jc w:val="center"/>
              <w:rPr>
                <w:color w:val="000000"/>
              </w:rPr>
            </w:pPr>
            <w:r w:rsidRPr="009A0A99">
              <w:rPr>
                <w:color w:val="000000"/>
              </w:rPr>
              <w:t>19.8</w:t>
            </w:r>
            <w:r w:rsidRPr="009A0A99">
              <w:rPr>
                <w:color w:val="000000"/>
                <w:vertAlign w:val="superscript"/>
              </w:rPr>
              <w:t>a</w:t>
            </w:r>
          </w:p>
        </w:tc>
        <w:tc>
          <w:tcPr>
            <w:tcW w:w="358" w:type="pct"/>
            <w:vAlign w:val="center"/>
          </w:tcPr>
          <w:p w:rsidR="00F33D82" w:rsidRPr="009A0A99" w:rsidRDefault="00F33D82" w:rsidP="004D4114">
            <w:pPr>
              <w:jc w:val="center"/>
              <w:rPr>
                <w:color w:val="000000"/>
              </w:rPr>
            </w:pPr>
            <w:r w:rsidRPr="009A0A99">
              <w:rPr>
                <w:color w:val="000000"/>
              </w:rPr>
              <w:t>869</w:t>
            </w:r>
            <w:r w:rsidRPr="009A0A99">
              <w:rPr>
                <w:color w:val="000000"/>
                <w:vertAlign w:val="superscript"/>
              </w:rPr>
              <w:t>a</w:t>
            </w:r>
          </w:p>
        </w:tc>
        <w:tc>
          <w:tcPr>
            <w:tcW w:w="357" w:type="pct"/>
            <w:vAlign w:val="center"/>
          </w:tcPr>
          <w:p w:rsidR="00F33D82" w:rsidRPr="009A0A99" w:rsidRDefault="00F33D82" w:rsidP="004D4114">
            <w:pPr>
              <w:jc w:val="center"/>
              <w:rPr>
                <w:color w:val="000000"/>
              </w:rPr>
            </w:pPr>
            <w:r w:rsidRPr="009A0A99">
              <w:rPr>
                <w:color w:val="000000"/>
              </w:rPr>
              <w:t>918</w:t>
            </w:r>
            <w:r w:rsidRPr="009A0A99">
              <w:rPr>
                <w:color w:val="000000"/>
                <w:vertAlign w:val="superscript"/>
              </w:rPr>
              <w:t>a</w:t>
            </w:r>
          </w:p>
        </w:tc>
        <w:tc>
          <w:tcPr>
            <w:tcW w:w="355" w:type="pct"/>
            <w:vAlign w:val="center"/>
          </w:tcPr>
          <w:p w:rsidR="00F33D82" w:rsidRPr="009A0A99" w:rsidRDefault="00F33D82" w:rsidP="004D4114">
            <w:pPr>
              <w:jc w:val="center"/>
              <w:rPr>
                <w:color w:val="000000"/>
              </w:rPr>
            </w:pPr>
            <w:r w:rsidRPr="009A0A99">
              <w:rPr>
                <w:color w:val="000000"/>
              </w:rPr>
              <w:t>894</w:t>
            </w:r>
            <w:r w:rsidRPr="009A0A99">
              <w:rPr>
                <w:color w:val="000000"/>
                <w:vertAlign w:val="superscript"/>
              </w:rPr>
              <w:t>ab</w:t>
            </w:r>
          </w:p>
        </w:tc>
      </w:tr>
      <w:tr w:rsidR="00F33D82" w:rsidRPr="00F33D82" w:rsidTr="00802E4B">
        <w:tc>
          <w:tcPr>
            <w:tcW w:w="194" w:type="pct"/>
          </w:tcPr>
          <w:p w:rsidR="00F33D82" w:rsidRPr="00F33D82" w:rsidRDefault="00F33D82" w:rsidP="006035EE">
            <w:pPr>
              <w:jc w:val="center"/>
              <w:rPr>
                <w:b/>
                <w:color w:val="000000"/>
                <w:sz w:val="22"/>
                <w:szCs w:val="22"/>
              </w:rPr>
            </w:pPr>
            <w:r w:rsidRPr="00F33D82">
              <w:rPr>
                <w:b/>
                <w:color w:val="000000"/>
                <w:sz w:val="22"/>
                <w:szCs w:val="22"/>
              </w:rPr>
              <w:t>T</w:t>
            </w:r>
            <w:r w:rsidRPr="00F33D82">
              <w:rPr>
                <w:b/>
                <w:color w:val="000000"/>
                <w:sz w:val="22"/>
                <w:szCs w:val="22"/>
                <w:vertAlign w:val="subscript"/>
              </w:rPr>
              <w:t>8</w:t>
            </w:r>
          </w:p>
        </w:tc>
        <w:tc>
          <w:tcPr>
            <w:tcW w:w="1432" w:type="pct"/>
          </w:tcPr>
          <w:p w:rsidR="00F33D82" w:rsidRPr="00F33D82" w:rsidRDefault="00F33D82" w:rsidP="00F33D82">
            <w:pPr>
              <w:jc w:val="both"/>
              <w:rPr>
                <w:sz w:val="22"/>
                <w:szCs w:val="22"/>
              </w:rPr>
            </w:pPr>
            <w:r w:rsidRPr="00F33D82">
              <w:rPr>
                <w:bCs/>
                <w:color w:val="000000"/>
                <w:sz w:val="22"/>
                <w:szCs w:val="22"/>
              </w:rPr>
              <w:t xml:space="preserve">Sodium </w:t>
            </w:r>
            <w:proofErr w:type="spellStart"/>
            <w:r w:rsidRPr="00F33D82">
              <w:rPr>
                <w:bCs/>
                <w:color w:val="000000"/>
                <w:sz w:val="22"/>
                <w:szCs w:val="22"/>
              </w:rPr>
              <w:t>acefluorfen</w:t>
            </w:r>
            <w:proofErr w:type="spellEnd"/>
            <w:r w:rsidRPr="00F33D82">
              <w:rPr>
                <w:bCs/>
                <w:color w:val="000000"/>
                <w:sz w:val="22"/>
                <w:szCs w:val="22"/>
              </w:rPr>
              <w:t xml:space="preserve"> 16.5% + </w:t>
            </w:r>
            <w:proofErr w:type="spellStart"/>
            <w:r w:rsidRPr="00F33D82">
              <w:rPr>
                <w:bCs/>
                <w:color w:val="000000"/>
                <w:sz w:val="22"/>
                <w:szCs w:val="22"/>
              </w:rPr>
              <w:t>Clodinafop</w:t>
            </w:r>
            <w:proofErr w:type="spellEnd"/>
            <w:r w:rsidRPr="00F33D82">
              <w:rPr>
                <w:bCs/>
                <w:color w:val="000000"/>
                <w:sz w:val="22"/>
                <w:szCs w:val="22"/>
              </w:rPr>
              <w:t xml:space="preserve"> propargyl 8% EC (Pre-mix</w:t>
            </w:r>
            <w:proofErr w:type="gramStart"/>
            <w:r w:rsidRPr="00F33D82">
              <w:rPr>
                <w:bCs/>
                <w:color w:val="000000"/>
                <w:sz w:val="22"/>
                <w:szCs w:val="22"/>
              </w:rPr>
              <w:t>)  80</w:t>
            </w:r>
            <w:proofErr w:type="gramEnd"/>
            <w:r w:rsidRPr="00F33D82">
              <w:rPr>
                <w:bCs/>
                <w:color w:val="000000"/>
                <w:sz w:val="22"/>
                <w:szCs w:val="22"/>
              </w:rPr>
              <w:t>+165</w:t>
            </w:r>
            <w:r w:rsidRPr="00F33D82">
              <w:rPr>
                <w:sz w:val="22"/>
                <w:szCs w:val="22"/>
              </w:rPr>
              <w:t xml:space="preserve"> PoE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358" w:type="pct"/>
            <w:vAlign w:val="center"/>
          </w:tcPr>
          <w:p w:rsidR="00F33D82" w:rsidRPr="009A0A99" w:rsidRDefault="00F33D82" w:rsidP="006035EE">
            <w:pPr>
              <w:jc w:val="center"/>
              <w:rPr>
                <w:color w:val="000000"/>
              </w:rPr>
            </w:pPr>
            <w:r w:rsidRPr="009A0A99">
              <w:rPr>
                <w:color w:val="000000"/>
              </w:rPr>
              <w:t>37.8</w:t>
            </w:r>
          </w:p>
        </w:tc>
        <w:tc>
          <w:tcPr>
            <w:tcW w:w="418" w:type="pct"/>
            <w:vAlign w:val="center"/>
          </w:tcPr>
          <w:p w:rsidR="00F33D82" w:rsidRPr="009A0A99" w:rsidRDefault="00F33D82" w:rsidP="006035EE">
            <w:pPr>
              <w:jc w:val="center"/>
              <w:rPr>
                <w:color w:val="000000"/>
              </w:rPr>
            </w:pPr>
            <w:r w:rsidRPr="009A0A99">
              <w:rPr>
                <w:color w:val="000000"/>
              </w:rPr>
              <w:t>37.4</w:t>
            </w:r>
          </w:p>
        </w:tc>
        <w:tc>
          <w:tcPr>
            <w:tcW w:w="391" w:type="pct"/>
            <w:vAlign w:val="center"/>
          </w:tcPr>
          <w:p w:rsidR="00F33D82" w:rsidRPr="009A0A99" w:rsidRDefault="00F33D82" w:rsidP="006035EE">
            <w:pPr>
              <w:jc w:val="center"/>
              <w:rPr>
                <w:color w:val="000000"/>
              </w:rPr>
            </w:pPr>
            <w:r w:rsidRPr="009A0A99">
              <w:rPr>
                <w:color w:val="000000"/>
              </w:rPr>
              <w:t>37.6</w:t>
            </w:r>
            <w:r w:rsidRPr="009A0A99">
              <w:rPr>
                <w:color w:val="000000"/>
                <w:vertAlign w:val="superscript"/>
              </w:rPr>
              <w:t>abc</w:t>
            </w:r>
          </w:p>
        </w:tc>
        <w:tc>
          <w:tcPr>
            <w:tcW w:w="389" w:type="pct"/>
            <w:vAlign w:val="center"/>
          </w:tcPr>
          <w:p w:rsidR="00F33D82" w:rsidRPr="009A0A99" w:rsidRDefault="00F33D82" w:rsidP="004D4114">
            <w:pPr>
              <w:jc w:val="center"/>
              <w:rPr>
                <w:color w:val="000000"/>
              </w:rPr>
            </w:pPr>
            <w:r w:rsidRPr="009A0A99">
              <w:rPr>
                <w:color w:val="000000"/>
              </w:rPr>
              <w:t>19.8</w:t>
            </w:r>
          </w:p>
        </w:tc>
        <w:tc>
          <w:tcPr>
            <w:tcW w:w="389" w:type="pct"/>
            <w:vAlign w:val="center"/>
          </w:tcPr>
          <w:p w:rsidR="00F33D82" w:rsidRPr="009A0A99" w:rsidRDefault="00F33D82" w:rsidP="004D4114">
            <w:pPr>
              <w:jc w:val="center"/>
              <w:rPr>
                <w:color w:val="000000"/>
              </w:rPr>
            </w:pPr>
            <w:r w:rsidRPr="009A0A99">
              <w:rPr>
                <w:color w:val="000000"/>
              </w:rPr>
              <w:t>19.6</w:t>
            </w:r>
          </w:p>
        </w:tc>
        <w:tc>
          <w:tcPr>
            <w:tcW w:w="359" w:type="pct"/>
            <w:vAlign w:val="center"/>
          </w:tcPr>
          <w:p w:rsidR="00F33D82" w:rsidRPr="009A0A99" w:rsidRDefault="00F33D82" w:rsidP="004D4114">
            <w:pPr>
              <w:jc w:val="center"/>
              <w:rPr>
                <w:color w:val="000000"/>
              </w:rPr>
            </w:pPr>
            <w:r w:rsidRPr="009A0A99">
              <w:rPr>
                <w:color w:val="000000"/>
              </w:rPr>
              <w:t>19.7</w:t>
            </w:r>
            <w:r w:rsidRPr="009A0A99">
              <w:rPr>
                <w:color w:val="000000"/>
                <w:vertAlign w:val="superscript"/>
              </w:rPr>
              <w:t>a</w:t>
            </w:r>
          </w:p>
        </w:tc>
        <w:tc>
          <w:tcPr>
            <w:tcW w:w="358" w:type="pct"/>
            <w:vAlign w:val="center"/>
          </w:tcPr>
          <w:p w:rsidR="00F33D82" w:rsidRPr="009A0A99" w:rsidRDefault="00F33D82" w:rsidP="004D4114">
            <w:pPr>
              <w:jc w:val="center"/>
              <w:rPr>
                <w:color w:val="000000"/>
              </w:rPr>
            </w:pPr>
            <w:r w:rsidRPr="009A0A99">
              <w:rPr>
                <w:color w:val="000000"/>
              </w:rPr>
              <w:t>825</w:t>
            </w:r>
            <w:r w:rsidRPr="009A0A99">
              <w:rPr>
                <w:color w:val="000000"/>
                <w:vertAlign w:val="superscript"/>
              </w:rPr>
              <w:t>ab</w:t>
            </w:r>
          </w:p>
        </w:tc>
        <w:tc>
          <w:tcPr>
            <w:tcW w:w="357" w:type="pct"/>
            <w:vAlign w:val="center"/>
          </w:tcPr>
          <w:p w:rsidR="00F33D82" w:rsidRPr="009A0A99" w:rsidRDefault="00F33D82" w:rsidP="004D4114">
            <w:pPr>
              <w:jc w:val="center"/>
              <w:rPr>
                <w:color w:val="000000"/>
              </w:rPr>
            </w:pPr>
            <w:r w:rsidRPr="009A0A99">
              <w:rPr>
                <w:color w:val="000000"/>
              </w:rPr>
              <w:t>887</w:t>
            </w:r>
            <w:r w:rsidRPr="009A0A99">
              <w:rPr>
                <w:color w:val="000000"/>
                <w:vertAlign w:val="superscript"/>
              </w:rPr>
              <w:t>abc</w:t>
            </w:r>
          </w:p>
        </w:tc>
        <w:tc>
          <w:tcPr>
            <w:tcW w:w="355" w:type="pct"/>
            <w:vAlign w:val="center"/>
          </w:tcPr>
          <w:p w:rsidR="00F33D82" w:rsidRPr="009A0A99" w:rsidRDefault="00F33D82" w:rsidP="004D4114">
            <w:pPr>
              <w:jc w:val="center"/>
              <w:rPr>
                <w:color w:val="000000"/>
              </w:rPr>
            </w:pPr>
            <w:r w:rsidRPr="009A0A99">
              <w:rPr>
                <w:color w:val="000000"/>
              </w:rPr>
              <w:t>856</w:t>
            </w:r>
            <w:r w:rsidRPr="009A0A99">
              <w:rPr>
                <w:color w:val="000000"/>
                <w:vertAlign w:val="superscript"/>
              </w:rPr>
              <w:t>b</w:t>
            </w:r>
          </w:p>
        </w:tc>
      </w:tr>
      <w:tr w:rsidR="00F33D82" w:rsidRPr="00F33D82" w:rsidTr="00802E4B">
        <w:tc>
          <w:tcPr>
            <w:tcW w:w="194" w:type="pct"/>
          </w:tcPr>
          <w:p w:rsidR="00F33D82" w:rsidRPr="00F33D82" w:rsidRDefault="00F33D82" w:rsidP="006035EE">
            <w:pPr>
              <w:jc w:val="center"/>
              <w:rPr>
                <w:b/>
                <w:color w:val="000000"/>
                <w:sz w:val="22"/>
                <w:szCs w:val="22"/>
              </w:rPr>
            </w:pPr>
            <w:r w:rsidRPr="00F33D82">
              <w:rPr>
                <w:b/>
                <w:color w:val="000000"/>
                <w:sz w:val="22"/>
                <w:szCs w:val="22"/>
              </w:rPr>
              <w:t>T</w:t>
            </w:r>
            <w:r w:rsidRPr="00F33D82">
              <w:rPr>
                <w:b/>
                <w:color w:val="000000"/>
                <w:sz w:val="22"/>
                <w:szCs w:val="22"/>
                <w:vertAlign w:val="subscript"/>
              </w:rPr>
              <w:t>9</w:t>
            </w:r>
          </w:p>
        </w:tc>
        <w:tc>
          <w:tcPr>
            <w:tcW w:w="1432" w:type="pct"/>
          </w:tcPr>
          <w:p w:rsidR="00F33D82" w:rsidRPr="00F33D82" w:rsidRDefault="00F33D82" w:rsidP="00F33D82">
            <w:pPr>
              <w:jc w:val="both"/>
              <w:rPr>
                <w:color w:val="000000"/>
                <w:kern w:val="24"/>
                <w:position w:val="-10"/>
                <w:sz w:val="22"/>
                <w:szCs w:val="22"/>
                <w:vertAlign w:val="subscript"/>
                <w:lang w:eastAsia="en-IN"/>
              </w:rPr>
            </w:pPr>
            <w:r w:rsidRPr="00F33D82">
              <w:rPr>
                <w:sz w:val="22"/>
                <w:szCs w:val="22"/>
              </w:rPr>
              <w:t xml:space="preserve"> IC + HW</w:t>
            </w:r>
            <w:r w:rsidRPr="00F33D82">
              <w:rPr>
                <w:bCs/>
                <w:color w:val="000000"/>
                <w:sz w:val="22"/>
                <w:szCs w:val="22"/>
              </w:rPr>
              <w:t xml:space="preserve"> at 20 &amp; 40 DAS</w:t>
            </w:r>
          </w:p>
        </w:tc>
        <w:tc>
          <w:tcPr>
            <w:tcW w:w="358" w:type="pct"/>
            <w:vAlign w:val="center"/>
          </w:tcPr>
          <w:p w:rsidR="00F33D82" w:rsidRPr="009A0A99" w:rsidRDefault="00F33D82" w:rsidP="006035EE">
            <w:pPr>
              <w:jc w:val="center"/>
              <w:rPr>
                <w:color w:val="000000"/>
              </w:rPr>
            </w:pPr>
            <w:r w:rsidRPr="009A0A99">
              <w:rPr>
                <w:color w:val="000000"/>
              </w:rPr>
              <w:t>40.1</w:t>
            </w:r>
          </w:p>
        </w:tc>
        <w:tc>
          <w:tcPr>
            <w:tcW w:w="418" w:type="pct"/>
            <w:vAlign w:val="center"/>
          </w:tcPr>
          <w:p w:rsidR="00F33D82" w:rsidRPr="009A0A99" w:rsidRDefault="00F33D82" w:rsidP="006035EE">
            <w:pPr>
              <w:jc w:val="center"/>
              <w:rPr>
                <w:color w:val="000000"/>
              </w:rPr>
            </w:pPr>
            <w:r w:rsidRPr="009A0A99">
              <w:rPr>
                <w:color w:val="000000"/>
              </w:rPr>
              <w:t>39.8</w:t>
            </w:r>
          </w:p>
        </w:tc>
        <w:tc>
          <w:tcPr>
            <w:tcW w:w="391" w:type="pct"/>
            <w:vAlign w:val="center"/>
          </w:tcPr>
          <w:p w:rsidR="00F33D82" w:rsidRPr="009A0A99" w:rsidRDefault="00F33D82" w:rsidP="006035EE">
            <w:pPr>
              <w:jc w:val="center"/>
              <w:rPr>
                <w:color w:val="000000"/>
              </w:rPr>
            </w:pPr>
            <w:r w:rsidRPr="009A0A99">
              <w:rPr>
                <w:color w:val="000000"/>
              </w:rPr>
              <w:t>39.9</w:t>
            </w:r>
            <w:r w:rsidRPr="009A0A99">
              <w:rPr>
                <w:color w:val="000000"/>
                <w:vertAlign w:val="superscript"/>
              </w:rPr>
              <w:t>a</w:t>
            </w:r>
          </w:p>
        </w:tc>
        <w:tc>
          <w:tcPr>
            <w:tcW w:w="389" w:type="pct"/>
            <w:vAlign w:val="center"/>
          </w:tcPr>
          <w:p w:rsidR="00F33D82" w:rsidRPr="009A0A99" w:rsidRDefault="00F33D82" w:rsidP="004D4114">
            <w:pPr>
              <w:jc w:val="center"/>
              <w:rPr>
                <w:color w:val="000000"/>
              </w:rPr>
            </w:pPr>
            <w:r w:rsidRPr="009A0A99">
              <w:rPr>
                <w:color w:val="000000"/>
              </w:rPr>
              <w:t>20.3</w:t>
            </w:r>
          </w:p>
        </w:tc>
        <w:tc>
          <w:tcPr>
            <w:tcW w:w="389" w:type="pct"/>
            <w:vAlign w:val="center"/>
          </w:tcPr>
          <w:p w:rsidR="00F33D82" w:rsidRPr="009A0A99" w:rsidRDefault="00F33D82" w:rsidP="004D4114">
            <w:pPr>
              <w:jc w:val="center"/>
              <w:rPr>
                <w:color w:val="000000"/>
              </w:rPr>
            </w:pPr>
            <w:r w:rsidRPr="009A0A99">
              <w:rPr>
                <w:color w:val="000000"/>
              </w:rPr>
              <w:t>20.2</w:t>
            </w:r>
          </w:p>
        </w:tc>
        <w:tc>
          <w:tcPr>
            <w:tcW w:w="359" w:type="pct"/>
            <w:vAlign w:val="center"/>
          </w:tcPr>
          <w:p w:rsidR="00F33D82" w:rsidRPr="009A0A99" w:rsidRDefault="00F33D82" w:rsidP="004D4114">
            <w:pPr>
              <w:jc w:val="center"/>
              <w:rPr>
                <w:color w:val="000000"/>
              </w:rPr>
            </w:pPr>
            <w:r w:rsidRPr="009A0A99">
              <w:rPr>
                <w:color w:val="000000"/>
              </w:rPr>
              <w:t>20.2</w:t>
            </w:r>
            <w:r w:rsidRPr="009A0A99">
              <w:rPr>
                <w:color w:val="000000"/>
                <w:vertAlign w:val="superscript"/>
              </w:rPr>
              <w:t>a</w:t>
            </w:r>
          </w:p>
        </w:tc>
        <w:tc>
          <w:tcPr>
            <w:tcW w:w="358" w:type="pct"/>
            <w:vAlign w:val="center"/>
          </w:tcPr>
          <w:p w:rsidR="00F33D82" w:rsidRPr="009A0A99" w:rsidRDefault="00F33D82" w:rsidP="004D4114">
            <w:pPr>
              <w:jc w:val="center"/>
              <w:rPr>
                <w:color w:val="000000"/>
              </w:rPr>
            </w:pPr>
            <w:r w:rsidRPr="009A0A99">
              <w:rPr>
                <w:color w:val="000000"/>
              </w:rPr>
              <w:t>932</w:t>
            </w:r>
            <w:r w:rsidRPr="009A0A99">
              <w:rPr>
                <w:color w:val="000000"/>
                <w:vertAlign w:val="superscript"/>
              </w:rPr>
              <w:t>a</w:t>
            </w:r>
          </w:p>
        </w:tc>
        <w:tc>
          <w:tcPr>
            <w:tcW w:w="357" w:type="pct"/>
            <w:vAlign w:val="center"/>
          </w:tcPr>
          <w:p w:rsidR="00F33D82" w:rsidRPr="009A0A99" w:rsidRDefault="00F33D82" w:rsidP="004D4114">
            <w:pPr>
              <w:jc w:val="center"/>
              <w:rPr>
                <w:color w:val="000000"/>
              </w:rPr>
            </w:pPr>
            <w:r w:rsidRPr="009A0A99">
              <w:rPr>
                <w:color w:val="000000"/>
              </w:rPr>
              <w:t>1017</w:t>
            </w:r>
            <w:r w:rsidRPr="009A0A99">
              <w:rPr>
                <w:color w:val="000000"/>
                <w:vertAlign w:val="superscript"/>
              </w:rPr>
              <w:t>a</w:t>
            </w:r>
          </w:p>
        </w:tc>
        <w:tc>
          <w:tcPr>
            <w:tcW w:w="355" w:type="pct"/>
            <w:vAlign w:val="center"/>
          </w:tcPr>
          <w:p w:rsidR="00F33D82" w:rsidRPr="009A0A99" w:rsidRDefault="00F33D82" w:rsidP="004D4114">
            <w:pPr>
              <w:jc w:val="center"/>
              <w:rPr>
                <w:color w:val="000000"/>
              </w:rPr>
            </w:pPr>
            <w:r w:rsidRPr="009A0A99">
              <w:rPr>
                <w:color w:val="000000"/>
              </w:rPr>
              <w:t>975</w:t>
            </w:r>
            <w:r w:rsidRPr="009A0A99">
              <w:rPr>
                <w:color w:val="000000"/>
                <w:vertAlign w:val="superscript"/>
              </w:rPr>
              <w:t>a</w:t>
            </w:r>
          </w:p>
        </w:tc>
      </w:tr>
      <w:tr w:rsidR="00F33D82" w:rsidRPr="00F33D82" w:rsidTr="00802E4B">
        <w:tc>
          <w:tcPr>
            <w:tcW w:w="194" w:type="pct"/>
          </w:tcPr>
          <w:p w:rsidR="00F33D82" w:rsidRPr="00F33D82" w:rsidRDefault="00F33D82" w:rsidP="006035EE">
            <w:pPr>
              <w:jc w:val="center"/>
              <w:rPr>
                <w:b/>
                <w:color w:val="000000"/>
                <w:sz w:val="22"/>
                <w:szCs w:val="22"/>
              </w:rPr>
            </w:pPr>
            <w:r w:rsidRPr="00F33D82">
              <w:rPr>
                <w:b/>
                <w:color w:val="000000"/>
                <w:sz w:val="22"/>
                <w:szCs w:val="22"/>
              </w:rPr>
              <w:t>T</w:t>
            </w:r>
            <w:r w:rsidRPr="00F33D82">
              <w:rPr>
                <w:b/>
                <w:color w:val="000000"/>
                <w:sz w:val="22"/>
                <w:szCs w:val="22"/>
                <w:vertAlign w:val="subscript"/>
              </w:rPr>
              <w:t>10</w:t>
            </w:r>
          </w:p>
        </w:tc>
        <w:tc>
          <w:tcPr>
            <w:tcW w:w="1432" w:type="pct"/>
          </w:tcPr>
          <w:p w:rsidR="00F33D82" w:rsidRPr="00F33D82" w:rsidRDefault="00F33D82" w:rsidP="00F33D82">
            <w:pPr>
              <w:jc w:val="both"/>
              <w:rPr>
                <w:color w:val="000000"/>
                <w:kern w:val="24"/>
                <w:position w:val="-10"/>
                <w:sz w:val="22"/>
                <w:szCs w:val="22"/>
                <w:vertAlign w:val="subscript"/>
                <w:lang w:eastAsia="en-IN"/>
              </w:rPr>
            </w:pPr>
            <w:r w:rsidRPr="00F33D82">
              <w:rPr>
                <w:bCs/>
                <w:color w:val="000000"/>
                <w:sz w:val="22"/>
                <w:szCs w:val="22"/>
              </w:rPr>
              <w:t>Weedy check</w:t>
            </w:r>
          </w:p>
        </w:tc>
        <w:tc>
          <w:tcPr>
            <w:tcW w:w="358" w:type="pct"/>
            <w:vAlign w:val="center"/>
          </w:tcPr>
          <w:p w:rsidR="00F33D82" w:rsidRPr="009A0A99" w:rsidRDefault="00F33D82" w:rsidP="006035EE">
            <w:pPr>
              <w:jc w:val="center"/>
              <w:rPr>
                <w:color w:val="000000"/>
              </w:rPr>
            </w:pPr>
            <w:r w:rsidRPr="009A0A99">
              <w:rPr>
                <w:color w:val="000000"/>
              </w:rPr>
              <w:t>36.2</w:t>
            </w:r>
          </w:p>
        </w:tc>
        <w:tc>
          <w:tcPr>
            <w:tcW w:w="418" w:type="pct"/>
            <w:vAlign w:val="center"/>
          </w:tcPr>
          <w:p w:rsidR="00F33D82" w:rsidRPr="009A0A99" w:rsidRDefault="00F33D82" w:rsidP="006035EE">
            <w:pPr>
              <w:jc w:val="center"/>
              <w:rPr>
                <w:color w:val="000000"/>
              </w:rPr>
            </w:pPr>
            <w:r w:rsidRPr="009A0A99">
              <w:rPr>
                <w:color w:val="000000"/>
              </w:rPr>
              <w:t>37.2</w:t>
            </w:r>
          </w:p>
        </w:tc>
        <w:tc>
          <w:tcPr>
            <w:tcW w:w="391" w:type="pct"/>
            <w:vAlign w:val="center"/>
          </w:tcPr>
          <w:p w:rsidR="00F33D82" w:rsidRPr="009A0A99" w:rsidRDefault="00F33D82" w:rsidP="006035EE">
            <w:pPr>
              <w:jc w:val="center"/>
            </w:pPr>
            <w:r w:rsidRPr="009A0A99">
              <w:t>36.7</w:t>
            </w:r>
            <w:r w:rsidRPr="009A0A99">
              <w:rPr>
                <w:vertAlign w:val="superscript"/>
              </w:rPr>
              <w:t>c</w:t>
            </w:r>
          </w:p>
        </w:tc>
        <w:tc>
          <w:tcPr>
            <w:tcW w:w="389" w:type="pct"/>
            <w:vAlign w:val="center"/>
          </w:tcPr>
          <w:p w:rsidR="00F33D82" w:rsidRPr="009A0A99" w:rsidRDefault="00F33D82" w:rsidP="004D4114">
            <w:pPr>
              <w:jc w:val="center"/>
              <w:rPr>
                <w:color w:val="000000"/>
              </w:rPr>
            </w:pPr>
            <w:r w:rsidRPr="009A0A99">
              <w:rPr>
                <w:color w:val="000000"/>
              </w:rPr>
              <w:t>18.3</w:t>
            </w:r>
          </w:p>
        </w:tc>
        <w:tc>
          <w:tcPr>
            <w:tcW w:w="389" w:type="pct"/>
            <w:vAlign w:val="center"/>
          </w:tcPr>
          <w:p w:rsidR="00F33D82" w:rsidRPr="009A0A99" w:rsidRDefault="00F33D82" w:rsidP="004D4114">
            <w:pPr>
              <w:jc w:val="center"/>
              <w:rPr>
                <w:color w:val="000000"/>
              </w:rPr>
            </w:pPr>
            <w:r w:rsidRPr="009A0A99">
              <w:rPr>
                <w:color w:val="000000"/>
              </w:rPr>
              <w:t>18.6</w:t>
            </w:r>
          </w:p>
        </w:tc>
        <w:tc>
          <w:tcPr>
            <w:tcW w:w="359" w:type="pct"/>
            <w:vAlign w:val="center"/>
          </w:tcPr>
          <w:p w:rsidR="00F33D82" w:rsidRPr="009A0A99" w:rsidRDefault="00F33D82" w:rsidP="004D4114">
            <w:pPr>
              <w:jc w:val="center"/>
              <w:rPr>
                <w:color w:val="000000"/>
              </w:rPr>
            </w:pPr>
            <w:r w:rsidRPr="009A0A99">
              <w:rPr>
                <w:color w:val="000000"/>
              </w:rPr>
              <w:t>18.4</w:t>
            </w:r>
            <w:r w:rsidRPr="009A0A99">
              <w:rPr>
                <w:color w:val="000000"/>
                <w:vertAlign w:val="superscript"/>
              </w:rPr>
              <w:t>b</w:t>
            </w:r>
          </w:p>
        </w:tc>
        <w:tc>
          <w:tcPr>
            <w:tcW w:w="358" w:type="pct"/>
            <w:vAlign w:val="center"/>
          </w:tcPr>
          <w:p w:rsidR="00F33D82" w:rsidRPr="009A0A99" w:rsidRDefault="00F33D82" w:rsidP="004D4114">
            <w:pPr>
              <w:jc w:val="center"/>
              <w:rPr>
                <w:color w:val="000000"/>
              </w:rPr>
            </w:pPr>
            <w:r w:rsidRPr="009A0A99">
              <w:rPr>
                <w:color w:val="000000"/>
              </w:rPr>
              <w:t>39</w:t>
            </w:r>
            <w:r w:rsidRPr="009A0A99">
              <w:rPr>
                <w:color w:val="000000"/>
                <w:vertAlign w:val="superscript"/>
              </w:rPr>
              <w:t>c</w:t>
            </w:r>
          </w:p>
        </w:tc>
        <w:tc>
          <w:tcPr>
            <w:tcW w:w="357" w:type="pct"/>
            <w:vAlign w:val="center"/>
          </w:tcPr>
          <w:p w:rsidR="00F33D82" w:rsidRPr="009A0A99" w:rsidRDefault="00F33D82" w:rsidP="004D4114">
            <w:pPr>
              <w:jc w:val="center"/>
              <w:rPr>
                <w:color w:val="000000"/>
              </w:rPr>
            </w:pPr>
            <w:r w:rsidRPr="009A0A99">
              <w:rPr>
                <w:color w:val="000000"/>
              </w:rPr>
              <w:t>82</w:t>
            </w:r>
            <w:r w:rsidRPr="009A0A99">
              <w:rPr>
                <w:color w:val="000000"/>
                <w:vertAlign w:val="superscript"/>
              </w:rPr>
              <w:t>e</w:t>
            </w:r>
          </w:p>
        </w:tc>
        <w:tc>
          <w:tcPr>
            <w:tcW w:w="355" w:type="pct"/>
            <w:vAlign w:val="center"/>
          </w:tcPr>
          <w:p w:rsidR="00F33D82" w:rsidRPr="009A0A99" w:rsidRDefault="00F33D82" w:rsidP="004D4114">
            <w:pPr>
              <w:jc w:val="center"/>
              <w:rPr>
                <w:color w:val="000000"/>
              </w:rPr>
            </w:pPr>
            <w:r w:rsidRPr="009A0A99">
              <w:rPr>
                <w:color w:val="000000"/>
              </w:rPr>
              <w:t>61</w:t>
            </w:r>
            <w:r w:rsidRPr="009A0A99">
              <w:rPr>
                <w:color w:val="000000"/>
                <w:vertAlign w:val="superscript"/>
              </w:rPr>
              <w:t>d</w:t>
            </w:r>
          </w:p>
        </w:tc>
      </w:tr>
      <w:tr w:rsidR="00F33D82" w:rsidRPr="00F33D82" w:rsidTr="00802E4B">
        <w:trPr>
          <w:trHeight w:val="296"/>
        </w:trPr>
        <w:tc>
          <w:tcPr>
            <w:tcW w:w="194" w:type="pct"/>
          </w:tcPr>
          <w:p w:rsidR="00F33D82" w:rsidRPr="00F33D82" w:rsidRDefault="00F33D82" w:rsidP="006035EE">
            <w:pPr>
              <w:jc w:val="center"/>
              <w:rPr>
                <w:b/>
                <w:color w:val="000000"/>
                <w:sz w:val="22"/>
                <w:szCs w:val="22"/>
              </w:rPr>
            </w:pPr>
          </w:p>
        </w:tc>
        <w:tc>
          <w:tcPr>
            <w:tcW w:w="1432" w:type="pct"/>
          </w:tcPr>
          <w:p w:rsidR="00F33D82" w:rsidRPr="00F33D82" w:rsidRDefault="00F33D82" w:rsidP="006035EE">
            <w:pPr>
              <w:jc w:val="center"/>
              <w:rPr>
                <w:b/>
                <w:bCs/>
                <w:sz w:val="22"/>
                <w:szCs w:val="22"/>
              </w:rPr>
            </w:pPr>
            <w:proofErr w:type="spellStart"/>
            <w:proofErr w:type="gramStart"/>
            <w:r w:rsidRPr="00F33D82">
              <w:rPr>
                <w:b/>
                <w:bCs/>
                <w:sz w:val="22"/>
                <w:szCs w:val="22"/>
              </w:rPr>
              <w:t>S.Em</w:t>
            </w:r>
            <w:proofErr w:type="spellEnd"/>
            <w:proofErr w:type="gramEnd"/>
            <w:r w:rsidRPr="00F33D82">
              <w:rPr>
                <w:b/>
                <w:bCs/>
                <w:sz w:val="22"/>
                <w:szCs w:val="22"/>
              </w:rPr>
              <w:t xml:space="preserve"> ±</w:t>
            </w:r>
          </w:p>
        </w:tc>
        <w:tc>
          <w:tcPr>
            <w:tcW w:w="358" w:type="pct"/>
            <w:vAlign w:val="center"/>
          </w:tcPr>
          <w:p w:rsidR="00F33D82" w:rsidRPr="009A0A99" w:rsidRDefault="00F33D82" w:rsidP="006035EE">
            <w:pPr>
              <w:jc w:val="center"/>
            </w:pPr>
            <w:r w:rsidRPr="009A0A99">
              <w:t>1.08</w:t>
            </w:r>
          </w:p>
        </w:tc>
        <w:tc>
          <w:tcPr>
            <w:tcW w:w="418" w:type="pct"/>
            <w:vAlign w:val="center"/>
          </w:tcPr>
          <w:p w:rsidR="00F33D82" w:rsidRPr="009A0A99" w:rsidRDefault="00F33D82" w:rsidP="006035EE">
            <w:pPr>
              <w:jc w:val="center"/>
            </w:pPr>
            <w:r w:rsidRPr="009A0A99">
              <w:t>1.03</w:t>
            </w:r>
          </w:p>
        </w:tc>
        <w:tc>
          <w:tcPr>
            <w:tcW w:w="391" w:type="pct"/>
            <w:vAlign w:val="center"/>
          </w:tcPr>
          <w:p w:rsidR="00F33D82" w:rsidRPr="009A0A99" w:rsidRDefault="00F33D82" w:rsidP="006035EE">
            <w:pPr>
              <w:jc w:val="center"/>
            </w:pPr>
            <w:r w:rsidRPr="009A0A99">
              <w:t>0.69</w:t>
            </w:r>
          </w:p>
        </w:tc>
        <w:tc>
          <w:tcPr>
            <w:tcW w:w="389" w:type="pct"/>
            <w:vAlign w:val="center"/>
          </w:tcPr>
          <w:p w:rsidR="00F33D82" w:rsidRPr="009A0A99" w:rsidRDefault="00F33D82" w:rsidP="004D4114">
            <w:pPr>
              <w:jc w:val="center"/>
            </w:pPr>
            <w:r w:rsidRPr="009A0A99">
              <w:t>0.49</w:t>
            </w:r>
          </w:p>
        </w:tc>
        <w:tc>
          <w:tcPr>
            <w:tcW w:w="389" w:type="pct"/>
            <w:vAlign w:val="center"/>
          </w:tcPr>
          <w:p w:rsidR="00F33D82" w:rsidRPr="009A0A99" w:rsidRDefault="00F33D82" w:rsidP="004D4114">
            <w:pPr>
              <w:jc w:val="center"/>
            </w:pPr>
            <w:r w:rsidRPr="009A0A99">
              <w:t>0.45</w:t>
            </w:r>
          </w:p>
        </w:tc>
        <w:tc>
          <w:tcPr>
            <w:tcW w:w="359" w:type="pct"/>
            <w:vAlign w:val="center"/>
          </w:tcPr>
          <w:p w:rsidR="00F33D82" w:rsidRPr="009A0A99" w:rsidRDefault="00F33D82" w:rsidP="004D4114">
            <w:pPr>
              <w:jc w:val="center"/>
            </w:pPr>
            <w:r w:rsidRPr="009A0A99">
              <w:t>0.31</w:t>
            </w:r>
          </w:p>
        </w:tc>
        <w:tc>
          <w:tcPr>
            <w:tcW w:w="358" w:type="pct"/>
            <w:vAlign w:val="center"/>
          </w:tcPr>
          <w:p w:rsidR="00F33D82" w:rsidRPr="009A0A99" w:rsidRDefault="00F33D82" w:rsidP="004D4114">
            <w:pPr>
              <w:jc w:val="center"/>
            </w:pPr>
            <w:r w:rsidRPr="009A0A99">
              <w:t>38.59</w:t>
            </w:r>
          </w:p>
        </w:tc>
        <w:tc>
          <w:tcPr>
            <w:tcW w:w="357" w:type="pct"/>
            <w:vAlign w:val="center"/>
          </w:tcPr>
          <w:p w:rsidR="00F33D82" w:rsidRPr="009A0A99" w:rsidRDefault="00F33D82" w:rsidP="004D4114">
            <w:pPr>
              <w:jc w:val="center"/>
            </w:pPr>
            <w:r w:rsidRPr="009A0A99">
              <w:t>44.96</w:t>
            </w:r>
          </w:p>
        </w:tc>
        <w:tc>
          <w:tcPr>
            <w:tcW w:w="355" w:type="pct"/>
            <w:vAlign w:val="center"/>
          </w:tcPr>
          <w:p w:rsidR="00F33D82" w:rsidRPr="009A0A99" w:rsidRDefault="00F33D82" w:rsidP="004D4114">
            <w:pPr>
              <w:jc w:val="center"/>
            </w:pPr>
            <w:r w:rsidRPr="009A0A99">
              <w:t>27.73</w:t>
            </w:r>
          </w:p>
        </w:tc>
      </w:tr>
      <w:tr w:rsidR="00F33D82" w:rsidRPr="00F33D82" w:rsidTr="00F9739B">
        <w:tc>
          <w:tcPr>
            <w:tcW w:w="194" w:type="pct"/>
          </w:tcPr>
          <w:p w:rsidR="00F33D82" w:rsidRPr="00F33D82" w:rsidRDefault="00F33D82" w:rsidP="006035EE">
            <w:pPr>
              <w:rPr>
                <w:sz w:val="22"/>
                <w:szCs w:val="22"/>
              </w:rPr>
            </w:pPr>
          </w:p>
        </w:tc>
        <w:tc>
          <w:tcPr>
            <w:tcW w:w="1432" w:type="pct"/>
          </w:tcPr>
          <w:p w:rsidR="00F33D82" w:rsidRPr="00F33D82" w:rsidRDefault="00F33D82" w:rsidP="006035EE">
            <w:pPr>
              <w:jc w:val="center"/>
              <w:rPr>
                <w:b/>
                <w:bCs/>
                <w:sz w:val="22"/>
                <w:szCs w:val="22"/>
              </w:rPr>
            </w:pPr>
            <w:r w:rsidRPr="00F33D82">
              <w:rPr>
                <w:b/>
                <w:bCs/>
                <w:color w:val="000000" w:themeColor="text1"/>
                <w:sz w:val="22"/>
                <w:szCs w:val="22"/>
              </w:rPr>
              <w:t>F Test. 5 %</w:t>
            </w:r>
          </w:p>
        </w:tc>
        <w:tc>
          <w:tcPr>
            <w:tcW w:w="358" w:type="pct"/>
            <w:vAlign w:val="center"/>
          </w:tcPr>
          <w:p w:rsidR="00F33D82" w:rsidRPr="009A0A99" w:rsidRDefault="00F33D82" w:rsidP="006035EE">
            <w:pPr>
              <w:jc w:val="center"/>
            </w:pPr>
            <w:r w:rsidRPr="009A0A99">
              <w:t>NS</w:t>
            </w:r>
          </w:p>
        </w:tc>
        <w:tc>
          <w:tcPr>
            <w:tcW w:w="418" w:type="pct"/>
            <w:vAlign w:val="center"/>
          </w:tcPr>
          <w:p w:rsidR="00F33D82" w:rsidRPr="009A0A99" w:rsidRDefault="00F33D82" w:rsidP="006035EE">
            <w:pPr>
              <w:jc w:val="center"/>
            </w:pPr>
            <w:r w:rsidRPr="009A0A99">
              <w:t>NS</w:t>
            </w:r>
          </w:p>
        </w:tc>
        <w:tc>
          <w:tcPr>
            <w:tcW w:w="391" w:type="pct"/>
            <w:vAlign w:val="center"/>
          </w:tcPr>
          <w:p w:rsidR="00F33D82" w:rsidRPr="009A0A99" w:rsidRDefault="00F33D82" w:rsidP="006035EE">
            <w:pPr>
              <w:jc w:val="center"/>
            </w:pPr>
            <w:r w:rsidRPr="009A0A99">
              <w:t>Sig.</w:t>
            </w:r>
          </w:p>
        </w:tc>
        <w:tc>
          <w:tcPr>
            <w:tcW w:w="389" w:type="pct"/>
            <w:vAlign w:val="center"/>
          </w:tcPr>
          <w:p w:rsidR="00F33D82" w:rsidRPr="009A0A99" w:rsidRDefault="00F33D82" w:rsidP="004D4114">
            <w:pPr>
              <w:jc w:val="center"/>
            </w:pPr>
            <w:r w:rsidRPr="009A0A99">
              <w:t>NS</w:t>
            </w:r>
          </w:p>
        </w:tc>
        <w:tc>
          <w:tcPr>
            <w:tcW w:w="389" w:type="pct"/>
            <w:vAlign w:val="center"/>
          </w:tcPr>
          <w:p w:rsidR="00F33D82" w:rsidRPr="009A0A99" w:rsidRDefault="00F33D82" w:rsidP="004D4114">
            <w:pPr>
              <w:jc w:val="center"/>
            </w:pPr>
            <w:r w:rsidRPr="009A0A99">
              <w:t>NS</w:t>
            </w:r>
          </w:p>
        </w:tc>
        <w:tc>
          <w:tcPr>
            <w:tcW w:w="359" w:type="pct"/>
            <w:vAlign w:val="center"/>
          </w:tcPr>
          <w:p w:rsidR="00F33D82" w:rsidRPr="009A0A99" w:rsidRDefault="00F33D82" w:rsidP="004D4114">
            <w:pPr>
              <w:jc w:val="center"/>
            </w:pPr>
            <w:r w:rsidRPr="009A0A99">
              <w:t>Sig.</w:t>
            </w:r>
          </w:p>
        </w:tc>
        <w:tc>
          <w:tcPr>
            <w:tcW w:w="358" w:type="pct"/>
          </w:tcPr>
          <w:p w:rsidR="00F33D82" w:rsidRPr="009A0A99" w:rsidRDefault="00F33D82" w:rsidP="004D4114">
            <w:pPr>
              <w:jc w:val="center"/>
            </w:pPr>
            <w:r w:rsidRPr="009A0A99">
              <w:t>Sig.</w:t>
            </w:r>
          </w:p>
        </w:tc>
        <w:tc>
          <w:tcPr>
            <w:tcW w:w="357" w:type="pct"/>
          </w:tcPr>
          <w:p w:rsidR="00F33D82" w:rsidRPr="009A0A99" w:rsidRDefault="00F33D82" w:rsidP="004D4114">
            <w:pPr>
              <w:jc w:val="center"/>
            </w:pPr>
            <w:r w:rsidRPr="009A0A99">
              <w:t>Sig.</w:t>
            </w:r>
          </w:p>
        </w:tc>
        <w:tc>
          <w:tcPr>
            <w:tcW w:w="355" w:type="pct"/>
          </w:tcPr>
          <w:p w:rsidR="00F33D82" w:rsidRPr="009A0A99" w:rsidRDefault="00F33D82" w:rsidP="004D4114">
            <w:pPr>
              <w:jc w:val="center"/>
            </w:pPr>
            <w:r w:rsidRPr="009A0A99">
              <w:t>Sig.</w:t>
            </w:r>
          </w:p>
        </w:tc>
      </w:tr>
      <w:tr w:rsidR="00F33D82" w:rsidRPr="00F33D82" w:rsidTr="00802E4B">
        <w:tc>
          <w:tcPr>
            <w:tcW w:w="194" w:type="pct"/>
          </w:tcPr>
          <w:p w:rsidR="00F33D82" w:rsidRPr="00F33D82" w:rsidRDefault="00F33D82" w:rsidP="006035EE">
            <w:pPr>
              <w:rPr>
                <w:sz w:val="22"/>
                <w:szCs w:val="22"/>
              </w:rPr>
            </w:pPr>
          </w:p>
        </w:tc>
        <w:tc>
          <w:tcPr>
            <w:tcW w:w="1432" w:type="pct"/>
          </w:tcPr>
          <w:p w:rsidR="00F33D82" w:rsidRPr="00F33D82" w:rsidRDefault="00F33D82" w:rsidP="006035EE">
            <w:pPr>
              <w:jc w:val="center"/>
              <w:rPr>
                <w:b/>
                <w:bCs/>
                <w:sz w:val="22"/>
                <w:szCs w:val="22"/>
              </w:rPr>
            </w:pPr>
            <w:r w:rsidRPr="00F33D82">
              <w:rPr>
                <w:b/>
                <w:bCs/>
                <w:sz w:val="22"/>
                <w:szCs w:val="22"/>
              </w:rPr>
              <w:t>CV%</w:t>
            </w:r>
          </w:p>
        </w:tc>
        <w:tc>
          <w:tcPr>
            <w:tcW w:w="358" w:type="pct"/>
            <w:vAlign w:val="center"/>
          </w:tcPr>
          <w:p w:rsidR="00F33D82" w:rsidRPr="009A0A99" w:rsidRDefault="00F33D82" w:rsidP="006035EE">
            <w:pPr>
              <w:jc w:val="center"/>
            </w:pPr>
            <w:r w:rsidRPr="009A0A99">
              <w:t>5.66</w:t>
            </w:r>
          </w:p>
        </w:tc>
        <w:tc>
          <w:tcPr>
            <w:tcW w:w="418" w:type="pct"/>
            <w:vAlign w:val="center"/>
          </w:tcPr>
          <w:p w:rsidR="00F33D82" w:rsidRPr="009A0A99" w:rsidRDefault="00F33D82" w:rsidP="006035EE">
            <w:pPr>
              <w:jc w:val="center"/>
            </w:pPr>
            <w:r w:rsidRPr="009A0A99">
              <w:t>5.39</w:t>
            </w:r>
          </w:p>
        </w:tc>
        <w:tc>
          <w:tcPr>
            <w:tcW w:w="391" w:type="pct"/>
            <w:vAlign w:val="center"/>
          </w:tcPr>
          <w:p w:rsidR="00F33D82" w:rsidRPr="009A0A99" w:rsidRDefault="00F33D82" w:rsidP="006035EE">
            <w:pPr>
              <w:jc w:val="center"/>
            </w:pPr>
            <w:r w:rsidRPr="009A0A99">
              <w:t>5.52</w:t>
            </w:r>
          </w:p>
        </w:tc>
        <w:tc>
          <w:tcPr>
            <w:tcW w:w="389" w:type="pct"/>
            <w:vAlign w:val="center"/>
          </w:tcPr>
          <w:p w:rsidR="00F33D82" w:rsidRPr="009A0A99" w:rsidRDefault="00F33D82" w:rsidP="004D4114">
            <w:pPr>
              <w:jc w:val="center"/>
            </w:pPr>
            <w:r w:rsidRPr="009A0A99">
              <w:t>4.99</w:t>
            </w:r>
          </w:p>
        </w:tc>
        <w:tc>
          <w:tcPr>
            <w:tcW w:w="389" w:type="pct"/>
            <w:vAlign w:val="center"/>
          </w:tcPr>
          <w:p w:rsidR="00F33D82" w:rsidRPr="009A0A99" w:rsidRDefault="00F33D82" w:rsidP="004D4114">
            <w:pPr>
              <w:jc w:val="center"/>
            </w:pPr>
            <w:r w:rsidRPr="009A0A99">
              <w:t>4.62</w:t>
            </w:r>
          </w:p>
        </w:tc>
        <w:tc>
          <w:tcPr>
            <w:tcW w:w="359" w:type="pct"/>
            <w:vAlign w:val="center"/>
          </w:tcPr>
          <w:p w:rsidR="00F33D82" w:rsidRPr="009A0A99" w:rsidRDefault="00F33D82" w:rsidP="004D4114">
            <w:pPr>
              <w:jc w:val="center"/>
            </w:pPr>
            <w:r w:rsidRPr="009A0A99">
              <w:t>4.81</w:t>
            </w:r>
          </w:p>
        </w:tc>
        <w:tc>
          <w:tcPr>
            <w:tcW w:w="358" w:type="pct"/>
            <w:vAlign w:val="center"/>
          </w:tcPr>
          <w:p w:rsidR="00F33D82" w:rsidRPr="009A0A99" w:rsidRDefault="00F33D82" w:rsidP="004D4114">
            <w:pPr>
              <w:jc w:val="center"/>
            </w:pPr>
            <w:r w:rsidRPr="009A0A99">
              <w:t>10.54</w:t>
            </w:r>
          </w:p>
        </w:tc>
        <w:tc>
          <w:tcPr>
            <w:tcW w:w="357" w:type="pct"/>
            <w:vAlign w:val="center"/>
          </w:tcPr>
          <w:p w:rsidR="00F33D82" w:rsidRPr="009A0A99" w:rsidRDefault="00F33D82" w:rsidP="004D4114">
            <w:pPr>
              <w:jc w:val="center"/>
            </w:pPr>
            <w:r w:rsidRPr="009A0A99">
              <w:t>11.48</w:t>
            </w:r>
          </w:p>
        </w:tc>
        <w:tc>
          <w:tcPr>
            <w:tcW w:w="355" w:type="pct"/>
            <w:vAlign w:val="center"/>
          </w:tcPr>
          <w:p w:rsidR="00F33D82" w:rsidRPr="009A0A99" w:rsidRDefault="00F33D82" w:rsidP="004D4114">
            <w:pPr>
              <w:jc w:val="center"/>
            </w:pPr>
            <w:r w:rsidRPr="009A0A99">
              <w:t>11.06</w:t>
            </w:r>
          </w:p>
        </w:tc>
      </w:tr>
      <w:tr w:rsidR="00F33D82" w:rsidRPr="00F33D82" w:rsidTr="00802E4B">
        <w:tc>
          <w:tcPr>
            <w:tcW w:w="194" w:type="pct"/>
          </w:tcPr>
          <w:p w:rsidR="00F33D82" w:rsidRPr="00F33D82" w:rsidRDefault="00F33D82" w:rsidP="006035EE">
            <w:pPr>
              <w:rPr>
                <w:sz w:val="22"/>
                <w:szCs w:val="22"/>
              </w:rPr>
            </w:pPr>
          </w:p>
        </w:tc>
        <w:tc>
          <w:tcPr>
            <w:tcW w:w="1432" w:type="pct"/>
          </w:tcPr>
          <w:p w:rsidR="00F33D82" w:rsidRPr="00F33D82" w:rsidRDefault="00F33D82" w:rsidP="006035EE">
            <w:pPr>
              <w:rPr>
                <w:b/>
                <w:bCs/>
                <w:sz w:val="22"/>
                <w:szCs w:val="22"/>
              </w:rPr>
            </w:pPr>
            <w:r w:rsidRPr="00F33D82">
              <w:rPr>
                <w:b/>
                <w:bCs/>
                <w:sz w:val="22"/>
                <w:szCs w:val="22"/>
              </w:rPr>
              <w:t xml:space="preserve">Interaction Y x </w:t>
            </w:r>
            <w:proofErr w:type="spellStart"/>
            <w:proofErr w:type="gramStart"/>
            <w:r w:rsidRPr="00F33D82">
              <w:rPr>
                <w:b/>
                <w:bCs/>
                <w:sz w:val="22"/>
                <w:szCs w:val="22"/>
              </w:rPr>
              <w:t>TS.Em</w:t>
            </w:r>
            <w:proofErr w:type="spellEnd"/>
            <w:proofErr w:type="gramEnd"/>
            <w:r w:rsidRPr="00F33D82">
              <w:rPr>
                <w:b/>
                <w:bCs/>
                <w:sz w:val="22"/>
                <w:szCs w:val="22"/>
              </w:rPr>
              <w:t xml:space="preserve"> ±</w:t>
            </w:r>
          </w:p>
        </w:tc>
        <w:tc>
          <w:tcPr>
            <w:tcW w:w="358" w:type="pct"/>
            <w:vAlign w:val="center"/>
          </w:tcPr>
          <w:p w:rsidR="00F33D82" w:rsidRPr="009A0A99" w:rsidRDefault="00F33D82" w:rsidP="006035EE">
            <w:pPr>
              <w:jc w:val="center"/>
              <w:rPr>
                <w:b/>
                <w:bCs/>
              </w:rPr>
            </w:pPr>
            <w:r w:rsidRPr="009A0A99">
              <w:rPr>
                <w:b/>
                <w:bCs/>
              </w:rPr>
              <w:t>-</w:t>
            </w:r>
          </w:p>
        </w:tc>
        <w:tc>
          <w:tcPr>
            <w:tcW w:w="418" w:type="pct"/>
            <w:vAlign w:val="center"/>
          </w:tcPr>
          <w:p w:rsidR="00F33D82" w:rsidRPr="009A0A99" w:rsidRDefault="00F33D82" w:rsidP="006035EE">
            <w:pPr>
              <w:jc w:val="center"/>
              <w:rPr>
                <w:b/>
                <w:bCs/>
              </w:rPr>
            </w:pPr>
            <w:r w:rsidRPr="009A0A99">
              <w:rPr>
                <w:b/>
                <w:bCs/>
              </w:rPr>
              <w:t>-</w:t>
            </w:r>
          </w:p>
        </w:tc>
        <w:tc>
          <w:tcPr>
            <w:tcW w:w="391" w:type="pct"/>
            <w:vAlign w:val="center"/>
          </w:tcPr>
          <w:p w:rsidR="00F33D82" w:rsidRPr="009A0A99" w:rsidRDefault="00F33D82" w:rsidP="006035EE">
            <w:pPr>
              <w:jc w:val="center"/>
            </w:pPr>
            <w:r w:rsidRPr="009A0A99">
              <w:t>1.05</w:t>
            </w:r>
          </w:p>
        </w:tc>
        <w:tc>
          <w:tcPr>
            <w:tcW w:w="389" w:type="pct"/>
            <w:vAlign w:val="center"/>
          </w:tcPr>
          <w:p w:rsidR="00F33D82" w:rsidRPr="009A0A99" w:rsidRDefault="00F33D82" w:rsidP="004D4114">
            <w:pPr>
              <w:jc w:val="center"/>
              <w:rPr>
                <w:b/>
                <w:bCs/>
              </w:rPr>
            </w:pPr>
            <w:r w:rsidRPr="009A0A99">
              <w:rPr>
                <w:b/>
                <w:bCs/>
              </w:rPr>
              <w:t>-</w:t>
            </w:r>
          </w:p>
        </w:tc>
        <w:tc>
          <w:tcPr>
            <w:tcW w:w="389" w:type="pct"/>
            <w:vAlign w:val="center"/>
          </w:tcPr>
          <w:p w:rsidR="00F33D82" w:rsidRPr="009A0A99" w:rsidRDefault="00F33D82" w:rsidP="004D4114">
            <w:pPr>
              <w:jc w:val="center"/>
              <w:rPr>
                <w:b/>
                <w:bCs/>
              </w:rPr>
            </w:pPr>
            <w:r w:rsidRPr="009A0A99">
              <w:rPr>
                <w:b/>
                <w:bCs/>
              </w:rPr>
              <w:t>-</w:t>
            </w:r>
          </w:p>
        </w:tc>
        <w:tc>
          <w:tcPr>
            <w:tcW w:w="359" w:type="pct"/>
            <w:vAlign w:val="center"/>
          </w:tcPr>
          <w:p w:rsidR="00F33D82" w:rsidRPr="009A0A99" w:rsidRDefault="00F33D82" w:rsidP="004D4114">
            <w:pPr>
              <w:jc w:val="center"/>
              <w:rPr>
                <w:b/>
                <w:bCs/>
              </w:rPr>
            </w:pPr>
            <w:r w:rsidRPr="009A0A99">
              <w:t>0.47</w:t>
            </w:r>
          </w:p>
        </w:tc>
        <w:tc>
          <w:tcPr>
            <w:tcW w:w="358" w:type="pct"/>
            <w:vAlign w:val="center"/>
          </w:tcPr>
          <w:p w:rsidR="00F33D82" w:rsidRPr="009A0A99" w:rsidRDefault="00F33D82" w:rsidP="004D4114">
            <w:pPr>
              <w:jc w:val="center"/>
              <w:rPr>
                <w:b/>
                <w:bCs/>
              </w:rPr>
            </w:pPr>
            <w:r w:rsidRPr="009A0A99">
              <w:rPr>
                <w:b/>
                <w:bCs/>
              </w:rPr>
              <w:t>-</w:t>
            </w:r>
          </w:p>
        </w:tc>
        <w:tc>
          <w:tcPr>
            <w:tcW w:w="357" w:type="pct"/>
            <w:vAlign w:val="center"/>
          </w:tcPr>
          <w:p w:rsidR="00F33D82" w:rsidRPr="009A0A99" w:rsidRDefault="00F33D82" w:rsidP="004D4114">
            <w:pPr>
              <w:jc w:val="center"/>
              <w:rPr>
                <w:b/>
                <w:bCs/>
              </w:rPr>
            </w:pPr>
            <w:r w:rsidRPr="009A0A99">
              <w:rPr>
                <w:b/>
                <w:bCs/>
              </w:rPr>
              <w:t>-</w:t>
            </w:r>
          </w:p>
        </w:tc>
        <w:tc>
          <w:tcPr>
            <w:tcW w:w="355" w:type="pct"/>
            <w:vAlign w:val="center"/>
          </w:tcPr>
          <w:p w:rsidR="00F33D82" w:rsidRPr="009A0A99" w:rsidRDefault="00F33D82" w:rsidP="004D4114">
            <w:pPr>
              <w:jc w:val="center"/>
            </w:pPr>
            <w:r w:rsidRPr="009A0A99">
              <w:t>41.89</w:t>
            </w:r>
          </w:p>
        </w:tc>
      </w:tr>
      <w:tr w:rsidR="00F33D82" w:rsidRPr="00F33D82" w:rsidTr="00802E4B">
        <w:tc>
          <w:tcPr>
            <w:tcW w:w="194" w:type="pct"/>
          </w:tcPr>
          <w:p w:rsidR="00F33D82" w:rsidRPr="00F33D82" w:rsidRDefault="00F33D82" w:rsidP="006035EE">
            <w:pPr>
              <w:rPr>
                <w:sz w:val="22"/>
                <w:szCs w:val="22"/>
              </w:rPr>
            </w:pPr>
          </w:p>
        </w:tc>
        <w:tc>
          <w:tcPr>
            <w:tcW w:w="1432" w:type="pct"/>
          </w:tcPr>
          <w:p w:rsidR="00F33D82" w:rsidRPr="00F33D82" w:rsidRDefault="00F33D82" w:rsidP="006035EE">
            <w:pPr>
              <w:jc w:val="center"/>
              <w:rPr>
                <w:b/>
                <w:bCs/>
                <w:sz w:val="22"/>
                <w:szCs w:val="22"/>
              </w:rPr>
            </w:pPr>
            <w:r w:rsidRPr="00F33D82">
              <w:rPr>
                <w:b/>
                <w:bCs/>
                <w:color w:val="000000" w:themeColor="text1"/>
                <w:sz w:val="22"/>
                <w:szCs w:val="22"/>
              </w:rPr>
              <w:t>F Test. 5 %</w:t>
            </w:r>
          </w:p>
        </w:tc>
        <w:tc>
          <w:tcPr>
            <w:tcW w:w="358" w:type="pct"/>
            <w:vAlign w:val="center"/>
          </w:tcPr>
          <w:p w:rsidR="00F33D82" w:rsidRPr="009A0A99" w:rsidRDefault="00F33D82" w:rsidP="006035EE">
            <w:pPr>
              <w:jc w:val="center"/>
              <w:rPr>
                <w:b/>
                <w:bCs/>
              </w:rPr>
            </w:pPr>
            <w:r w:rsidRPr="009A0A99">
              <w:rPr>
                <w:b/>
                <w:bCs/>
              </w:rPr>
              <w:t>-</w:t>
            </w:r>
          </w:p>
        </w:tc>
        <w:tc>
          <w:tcPr>
            <w:tcW w:w="418" w:type="pct"/>
            <w:vAlign w:val="center"/>
          </w:tcPr>
          <w:p w:rsidR="00F33D82" w:rsidRPr="009A0A99" w:rsidRDefault="00F33D82" w:rsidP="006035EE">
            <w:pPr>
              <w:jc w:val="center"/>
              <w:rPr>
                <w:b/>
                <w:bCs/>
              </w:rPr>
            </w:pPr>
            <w:r w:rsidRPr="009A0A99">
              <w:rPr>
                <w:b/>
                <w:bCs/>
              </w:rPr>
              <w:t>-</w:t>
            </w:r>
          </w:p>
        </w:tc>
        <w:tc>
          <w:tcPr>
            <w:tcW w:w="391" w:type="pct"/>
            <w:vAlign w:val="center"/>
          </w:tcPr>
          <w:p w:rsidR="00F33D82" w:rsidRPr="009A0A99" w:rsidRDefault="00F33D82" w:rsidP="006035EE">
            <w:pPr>
              <w:jc w:val="center"/>
              <w:rPr>
                <w:b/>
                <w:bCs/>
              </w:rPr>
            </w:pPr>
            <w:r w:rsidRPr="009A0A99">
              <w:t>NS</w:t>
            </w:r>
          </w:p>
        </w:tc>
        <w:tc>
          <w:tcPr>
            <w:tcW w:w="389" w:type="pct"/>
            <w:vAlign w:val="center"/>
          </w:tcPr>
          <w:p w:rsidR="00F33D82" w:rsidRPr="009A0A99" w:rsidRDefault="00F33D82" w:rsidP="004D4114">
            <w:pPr>
              <w:jc w:val="center"/>
              <w:rPr>
                <w:b/>
                <w:bCs/>
              </w:rPr>
            </w:pPr>
            <w:r w:rsidRPr="009A0A99">
              <w:rPr>
                <w:b/>
                <w:bCs/>
              </w:rPr>
              <w:t>-</w:t>
            </w:r>
          </w:p>
        </w:tc>
        <w:tc>
          <w:tcPr>
            <w:tcW w:w="389" w:type="pct"/>
            <w:vAlign w:val="center"/>
          </w:tcPr>
          <w:p w:rsidR="00F33D82" w:rsidRPr="009A0A99" w:rsidRDefault="00F33D82" w:rsidP="004D4114">
            <w:pPr>
              <w:jc w:val="center"/>
              <w:rPr>
                <w:b/>
                <w:bCs/>
              </w:rPr>
            </w:pPr>
            <w:r w:rsidRPr="009A0A99">
              <w:rPr>
                <w:b/>
                <w:bCs/>
              </w:rPr>
              <w:t>-</w:t>
            </w:r>
          </w:p>
        </w:tc>
        <w:tc>
          <w:tcPr>
            <w:tcW w:w="359" w:type="pct"/>
            <w:vAlign w:val="center"/>
          </w:tcPr>
          <w:p w:rsidR="00F33D82" w:rsidRPr="009A0A99" w:rsidRDefault="00F33D82" w:rsidP="004D4114">
            <w:pPr>
              <w:jc w:val="center"/>
              <w:rPr>
                <w:b/>
                <w:bCs/>
              </w:rPr>
            </w:pPr>
            <w:r w:rsidRPr="009A0A99">
              <w:t>NS</w:t>
            </w:r>
          </w:p>
        </w:tc>
        <w:tc>
          <w:tcPr>
            <w:tcW w:w="358" w:type="pct"/>
            <w:vAlign w:val="center"/>
          </w:tcPr>
          <w:p w:rsidR="00F33D82" w:rsidRPr="009A0A99" w:rsidRDefault="00F33D82" w:rsidP="004D4114">
            <w:pPr>
              <w:jc w:val="center"/>
              <w:rPr>
                <w:b/>
                <w:bCs/>
              </w:rPr>
            </w:pPr>
            <w:r w:rsidRPr="009A0A99">
              <w:rPr>
                <w:b/>
                <w:bCs/>
              </w:rPr>
              <w:t>-</w:t>
            </w:r>
          </w:p>
        </w:tc>
        <w:tc>
          <w:tcPr>
            <w:tcW w:w="357" w:type="pct"/>
            <w:vAlign w:val="center"/>
          </w:tcPr>
          <w:p w:rsidR="00F33D82" w:rsidRPr="009A0A99" w:rsidRDefault="00F33D82" w:rsidP="004D4114">
            <w:pPr>
              <w:jc w:val="center"/>
              <w:rPr>
                <w:b/>
                <w:bCs/>
              </w:rPr>
            </w:pPr>
            <w:r w:rsidRPr="009A0A99">
              <w:rPr>
                <w:b/>
                <w:bCs/>
              </w:rPr>
              <w:t>-</w:t>
            </w:r>
          </w:p>
        </w:tc>
        <w:tc>
          <w:tcPr>
            <w:tcW w:w="355" w:type="pct"/>
            <w:vAlign w:val="center"/>
          </w:tcPr>
          <w:p w:rsidR="00F33D82" w:rsidRPr="009A0A99" w:rsidRDefault="00F33D82" w:rsidP="004D4114">
            <w:pPr>
              <w:jc w:val="center"/>
              <w:rPr>
                <w:b/>
                <w:bCs/>
              </w:rPr>
            </w:pPr>
            <w:r w:rsidRPr="009A0A99">
              <w:t>NS</w:t>
            </w:r>
          </w:p>
        </w:tc>
      </w:tr>
    </w:tbl>
    <w:p w:rsidR="00F33D82" w:rsidRDefault="00F33D82" w:rsidP="003C489D">
      <w:pPr>
        <w:jc w:val="both"/>
        <w:rPr>
          <w:color w:val="000000" w:themeColor="text1"/>
        </w:rPr>
      </w:pPr>
    </w:p>
    <w:p w:rsidR="003C489D" w:rsidRPr="00C96A5F" w:rsidRDefault="003C489D" w:rsidP="003C489D">
      <w:pPr>
        <w:jc w:val="both"/>
        <w:rPr>
          <w:color w:val="000000" w:themeColor="text1"/>
        </w:rPr>
      </w:pPr>
      <w:r w:rsidRPr="00C96A5F">
        <w:rPr>
          <w:color w:val="000000" w:themeColor="text1"/>
        </w:rPr>
        <w:t>Note: 1) Treatment means with the letter/letters in common are</w:t>
      </w:r>
      <w:r w:rsidR="00A748AC">
        <w:rPr>
          <w:color w:val="000000" w:themeColor="text1"/>
        </w:rPr>
        <w:t xml:space="preserve"> not significantly different by</w:t>
      </w:r>
      <w:r w:rsidR="00FC23D6">
        <w:rPr>
          <w:color w:val="000000" w:themeColor="text1"/>
        </w:rPr>
        <w:t xml:space="preserve"> Duncan’s </w:t>
      </w:r>
      <w:r w:rsidR="00475339">
        <w:rPr>
          <w:color w:val="000000" w:themeColor="text1"/>
        </w:rPr>
        <w:t xml:space="preserve">New Multiple Range </w:t>
      </w:r>
      <w:proofErr w:type="gramStart"/>
      <w:r w:rsidRPr="00C96A5F">
        <w:rPr>
          <w:color w:val="000000" w:themeColor="text1"/>
        </w:rPr>
        <w:t>Test  at</w:t>
      </w:r>
      <w:proofErr w:type="gramEnd"/>
      <w:r w:rsidRPr="00C96A5F">
        <w:rPr>
          <w:color w:val="000000" w:themeColor="text1"/>
        </w:rPr>
        <w:t xml:space="preserve"> 5% per cent level of significance</w:t>
      </w:r>
    </w:p>
    <w:p w:rsidR="003C489D" w:rsidRPr="00C96A5F" w:rsidRDefault="003C489D" w:rsidP="003C489D">
      <w:pPr>
        <w:rPr>
          <w:color w:val="000000" w:themeColor="text1"/>
        </w:rPr>
      </w:pPr>
    </w:p>
    <w:p w:rsidR="003C489D" w:rsidRDefault="003C489D" w:rsidP="003C489D">
      <w:pPr>
        <w:rPr>
          <w:color w:val="000000" w:themeColor="text1"/>
        </w:rPr>
      </w:pPr>
    </w:p>
    <w:p w:rsidR="001B2BE4" w:rsidRDefault="001B2BE4" w:rsidP="001B2BE4">
      <w:pPr>
        <w:autoSpaceDE w:val="0"/>
        <w:autoSpaceDN w:val="0"/>
        <w:adjustRightInd w:val="0"/>
        <w:spacing w:line="276" w:lineRule="auto"/>
        <w:ind w:left="1260" w:hanging="1260"/>
        <w:rPr>
          <w:b/>
          <w:bCs/>
          <w:color w:val="000000" w:themeColor="text1"/>
          <w:sz w:val="22"/>
          <w:szCs w:val="22"/>
        </w:rPr>
      </w:pPr>
      <w:r>
        <w:rPr>
          <w:b/>
          <w:bCs/>
          <w:color w:val="000000" w:themeColor="text1"/>
        </w:rPr>
        <w:lastRenderedPageBreak/>
        <w:t xml:space="preserve">Table 2: </w:t>
      </w:r>
      <w:r w:rsidRPr="00F33D82">
        <w:rPr>
          <w:b/>
          <w:bCs/>
          <w:color w:val="000000" w:themeColor="text1"/>
          <w:sz w:val="22"/>
          <w:szCs w:val="22"/>
        </w:rPr>
        <w:t>Protein</w:t>
      </w:r>
      <w:r w:rsidR="00382BC8">
        <w:rPr>
          <w:b/>
          <w:bCs/>
          <w:color w:val="000000" w:themeColor="text1"/>
          <w:sz w:val="22"/>
          <w:szCs w:val="22"/>
        </w:rPr>
        <w:t xml:space="preserve"> content </w:t>
      </w:r>
      <w:r w:rsidR="00382BC8" w:rsidRPr="00F33D82">
        <w:rPr>
          <w:b/>
          <w:bCs/>
          <w:color w:val="000000" w:themeColor="text1"/>
          <w:sz w:val="22"/>
          <w:szCs w:val="22"/>
        </w:rPr>
        <w:t>and</w:t>
      </w:r>
      <w:r>
        <w:rPr>
          <w:b/>
          <w:bCs/>
          <w:color w:val="000000" w:themeColor="text1"/>
          <w:sz w:val="22"/>
          <w:szCs w:val="22"/>
        </w:rPr>
        <w:t xml:space="preserve"> seed </w:t>
      </w:r>
      <w:r w:rsidRPr="00F33D82">
        <w:rPr>
          <w:b/>
          <w:bCs/>
          <w:color w:val="000000" w:themeColor="text1"/>
          <w:sz w:val="22"/>
          <w:szCs w:val="22"/>
        </w:rPr>
        <w:t xml:space="preserve">yield </w:t>
      </w:r>
      <w:r w:rsidR="009449A7" w:rsidRPr="00F33D82">
        <w:rPr>
          <w:b/>
          <w:bCs/>
          <w:color w:val="000000" w:themeColor="text1"/>
          <w:sz w:val="22"/>
          <w:szCs w:val="22"/>
        </w:rPr>
        <w:t xml:space="preserve">of </w:t>
      </w:r>
      <w:proofErr w:type="spellStart"/>
      <w:r w:rsidR="009449A7" w:rsidRPr="00F33D82">
        <w:rPr>
          <w:b/>
          <w:bCs/>
          <w:color w:val="000000" w:themeColor="text1"/>
          <w:sz w:val="22"/>
          <w:szCs w:val="22"/>
        </w:rPr>
        <w:t>pigeonpea</w:t>
      </w:r>
      <w:proofErr w:type="spellEnd"/>
      <w:r w:rsidR="009449A7" w:rsidRPr="00F33D82">
        <w:rPr>
          <w:b/>
          <w:bCs/>
          <w:color w:val="000000" w:themeColor="text1"/>
          <w:sz w:val="22"/>
          <w:szCs w:val="22"/>
        </w:rPr>
        <w:t xml:space="preserve"> as</w:t>
      </w:r>
      <w:r w:rsidRPr="00F33D82">
        <w:rPr>
          <w:b/>
          <w:bCs/>
          <w:color w:val="000000" w:themeColor="text1"/>
          <w:sz w:val="22"/>
          <w:szCs w:val="22"/>
        </w:rPr>
        <w:t xml:space="preserve"> influenced by weed management practices </w:t>
      </w:r>
      <w:proofErr w:type="gramStart"/>
      <w:r w:rsidRPr="00F33D82">
        <w:rPr>
          <w:b/>
          <w:bCs/>
          <w:color w:val="000000" w:themeColor="text1"/>
          <w:sz w:val="22"/>
          <w:szCs w:val="22"/>
        </w:rPr>
        <w:t>in  soybean</w:t>
      </w:r>
      <w:proofErr w:type="gramEnd"/>
      <w:r w:rsidRPr="00F33D82">
        <w:rPr>
          <w:b/>
          <w:bCs/>
          <w:color w:val="000000" w:themeColor="text1"/>
          <w:sz w:val="22"/>
          <w:szCs w:val="22"/>
        </w:rPr>
        <w:t xml:space="preserve">- </w:t>
      </w:r>
      <w:proofErr w:type="spellStart"/>
      <w:r>
        <w:rPr>
          <w:b/>
          <w:bCs/>
          <w:color w:val="000000" w:themeColor="text1"/>
          <w:sz w:val="22"/>
          <w:szCs w:val="22"/>
        </w:rPr>
        <w:t>pigeonpea</w:t>
      </w:r>
      <w:proofErr w:type="spellEnd"/>
      <w:r>
        <w:rPr>
          <w:b/>
          <w:bCs/>
          <w:color w:val="000000" w:themeColor="text1"/>
          <w:sz w:val="22"/>
          <w:szCs w:val="22"/>
        </w:rPr>
        <w:t xml:space="preserve"> intercropping </w:t>
      </w:r>
    </w:p>
    <w:p w:rsidR="001B2BE4" w:rsidRPr="00F33D82" w:rsidRDefault="009449A7" w:rsidP="009449A7">
      <w:pPr>
        <w:autoSpaceDE w:val="0"/>
        <w:autoSpaceDN w:val="0"/>
        <w:adjustRightInd w:val="0"/>
        <w:spacing w:line="276" w:lineRule="auto"/>
        <w:rPr>
          <w:b/>
          <w:bCs/>
          <w:color w:val="000000" w:themeColor="text1"/>
          <w:sz w:val="22"/>
          <w:szCs w:val="22"/>
        </w:rPr>
      </w:pPr>
      <w:r>
        <w:rPr>
          <w:b/>
          <w:bCs/>
          <w:color w:val="000000" w:themeColor="text1"/>
          <w:sz w:val="22"/>
          <w:szCs w:val="22"/>
        </w:rPr>
        <w:t xml:space="preserve">               </w:t>
      </w:r>
      <w:r w:rsidR="001B2BE4" w:rsidRPr="00F33D82">
        <w:rPr>
          <w:b/>
          <w:bCs/>
          <w:color w:val="000000" w:themeColor="text1"/>
          <w:sz w:val="22"/>
          <w:szCs w:val="22"/>
        </w:rPr>
        <w:t xml:space="preserve">system </w:t>
      </w:r>
    </w:p>
    <w:tbl>
      <w:tblPr>
        <w:tblStyle w:val="TableGrid"/>
        <w:tblW w:w="4772" w:type="pct"/>
        <w:tblLook w:val="04A0" w:firstRow="1" w:lastRow="0" w:firstColumn="1" w:lastColumn="0" w:noHBand="0" w:noVBand="1"/>
      </w:tblPr>
      <w:tblGrid>
        <w:gridCol w:w="669"/>
        <w:gridCol w:w="4915"/>
        <w:gridCol w:w="1228"/>
        <w:gridCol w:w="1435"/>
        <w:gridCol w:w="1342"/>
        <w:gridCol w:w="1228"/>
        <w:gridCol w:w="1225"/>
        <w:gridCol w:w="1220"/>
      </w:tblGrid>
      <w:tr w:rsidR="001B2BE4" w:rsidRPr="00F33D82" w:rsidTr="001B2BE4">
        <w:trPr>
          <w:trHeight w:val="270"/>
        </w:trPr>
        <w:tc>
          <w:tcPr>
            <w:tcW w:w="252" w:type="pct"/>
            <w:vMerge w:val="restart"/>
          </w:tcPr>
          <w:p w:rsidR="001B2BE4" w:rsidRPr="00F33D82" w:rsidRDefault="001B2BE4" w:rsidP="004D4114">
            <w:pPr>
              <w:pStyle w:val="Default"/>
              <w:jc w:val="center"/>
              <w:rPr>
                <w:sz w:val="22"/>
                <w:szCs w:val="22"/>
              </w:rPr>
            </w:pPr>
            <w:r w:rsidRPr="00F33D82">
              <w:rPr>
                <w:b/>
                <w:bCs/>
                <w:sz w:val="22"/>
                <w:szCs w:val="22"/>
              </w:rPr>
              <w:t xml:space="preserve">Tr. No. </w:t>
            </w:r>
          </w:p>
        </w:tc>
        <w:tc>
          <w:tcPr>
            <w:tcW w:w="1853" w:type="pct"/>
            <w:vMerge w:val="restart"/>
          </w:tcPr>
          <w:p w:rsidR="001B2BE4" w:rsidRPr="00F33D82" w:rsidRDefault="001B2BE4" w:rsidP="004D4114">
            <w:pPr>
              <w:jc w:val="center"/>
              <w:rPr>
                <w:sz w:val="22"/>
                <w:szCs w:val="22"/>
              </w:rPr>
            </w:pPr>
            <w:r w:rsidRPr="00F33D82">
              <w:rPr>
                <w:b/>
                <w:bCs/>
                <w:sz w:val="22"/>
                <w:szCs w:val="22"/>
              </w:rPr>
              <w:t>Treatment</w:t>
            </w:r>
          </w:p>
        </w:tc>
        <w:tc>
          <w:tcPr>
            <w:tcW w:w="1510" w:type="pct"/>
            <w:gridSpan w:val="3"/>
          </w:tcPr>
          <w:p w:rsidR="001B2BE4" w:rsidRPr="00F33D82" w:rsidRDefault="001B2BE4" w:rsidP="004D4114">
            <w:pPr>
              <w:autoSpaceDE w:val="0"/>
              <w:autoSpaceDN w:val="0"/>
              <w:adjustRightInd w:val="0"/>
              <w:jc w:val="center"/>
              <w:rPr>
                <w:b/>
                <w:bCs/>
                <w:sz w:val="22"/>
                <w:szCs w:val="22"/>
              </w:rPr>
            </w:pPr>
            <w:r w:rsidRPr="00F33D82">
              <w:rPr>
                <w:b/>
                <w:bCs/>
                <w:sz w:val="22"/>
                <w:szCs w:val="22"/>
              </w:rPr>
              <w:t>Protein content (%)</w:t>
            </w:r>
          </w:p>
        </w:tc>
        <w:tc>
          <w:tcPr>
            <w:tcW w:w="1385" w:type="pct"/>
            <w:gridSpan w:val="3"/>
          </w:tcPr>
          <w:p w:rsidR="001B2BE4" w:rsidRPr="00F33D82" w:rsidRDefault="001B2BE4" w:rsidP="004D4114">
            <w:pPr>
              <w:autoSpaceDE w:val="0"/>
              <w:autoSpaceDN w:val="0"/>
              <w:adjustRightInd w:val="0"/>
              <w:jc w:val="center"/>
              <w:rPr>
                <w:b/>
                <w:bCs/>
                <w:sz w:val="22"/>
                <w:szCs w:val="22"/>
              </w:rPr>
            </w:pPr>
            <w:r w:rsidRPr="00643997">
              <w:rPr>
                <w:b/>
                <w:bCs/>
              </w:rPr>
              <w:t xml:space="preserve">Seed yield </w:t>
            </w:r>
            <w:proofErr w:type="gramStart"/>
            <w:r w:rsidRPr="00643997">
              <w:rPr>
                <w:b/>
                <w:bCs/>
              </w:rPr>
              <w:t>( kg</w:t>
            </w:r>
            <w:proofErr w:type="gramEnd"/>
            <w:r w:rsidRPr="00643997">
              <w:rPr>
                <w:b/>
                <w:bCs/>
              </w:rPr>
              <w:t xml:space="preserve"> ha</w:t>
            </w:r>
            <w:r w:rsidRPr="00643997">
              <w:rPr>
                <w:b/>
                <w:bCs/>
                <w:vertAlign w:val="superscript"/>
              </w:rPr>
              <w:t>-1</w:t>
            </w:r>
            <w:r w:rsidRPr="00643997">
              <w:rPr>
                <w:b/>
                <w:bCs/>
              </w:rPr>
              <w:t xml:space="preserve">)   </w:t>
            </w:r>
          </w:p>
        </w:tc>
      </w:tr>
      <w:tr w:rsidR="001B2BE4" w:rsidRPr="00F33D82" w:rsidTr="001B2BE4">
        <w:trPr>
          <w:trHeight w:val="144"/>
        </w:trPr>
        <w:tc>
          <w:tcPr>
            <w:tcW w:w="252" w:type="pct"/>
            <w:vMerge/>
          </w:tcPr>
          <w:p w:rsidR="001B2BE4" w:rsidRPr="00F33D82" w:rsidRDefault="001B2BE4" w:rsidP="004D4114">
            <w:pPr>
              <w:rPr>
                <w:sz w:val="22"/>
                <w:szCs w:val="22"/>
              </w:rPr>
            </w:pPr>
          </w:p>
        </w:tc>
        <w:tc>
          <w:tcPr>
            <w:tcW w:w="1853" w:type="pct"/>
            <w:vMerge/>
          </w:tcPr>
          <w:p w:rsidR="001B2BE4" w:rsidRPr="00F33D82" w:rsidRDefault="001B2BE4" w:rsidP="004D4114">
            <w:pPr>
              <w:rPr>
                <w:sz w:val="22"/>
                <w:szCs w:val="22"/>
              </w:rPr>
            </w:pPr>
          </w:p>
        </w:tc>
        <w:tc>
          <w:tcPr>
            <w:tcW w:w="463" w:type="pct"/>
          </w:tcPr>
          <w:p w:rsidR="001B2BE4" w:rsidRPr="00F33D82" w:rsidRDefault="001B2BE4" w:rsidP="004D4114">
            <w:pPr>
              <w:jc w:val="center"/>
              <w:rPr>
                <w:b/>
                <w:bCs/>
                <w:sz w:val="22"/>
                <w:szCs w:val="22"/>
              </w:rPr>
            </w:pPr>
            <w:r w:rsidRPr="00F33D82">
              <w:rPr>
                <w:b/>
                <w:bCs/>
                <w:sz w:val="22"/>
                <w:szCs w:val="22"/>
              </w:rPr>
              <w:t>2017-18</w:t>
            </w:r>
          </w:p>
        </w:tc>
        <w:tc>
          <w:tcPr>
            <w:tcW w:w="541" w:type="pct"/>
          </w:tcPr>
          <w:p w:rsidR="001B2BE4" w:rsidRPr="00F33D82" w:rsidRDefault="001B2BE4" w:rsidP="004D4114">
            <w:pPr>
              <w:jc w:val="center"/>
              <w:rPr>
                <w:b/>
                <w:bCs/>
                <w:sz w:val="22"/>
                <w:szCs w:val="22"/>
              </w:rPr>
            </w:pPr>
            <w:r w:rsidRPr="00F33D82">
              <w:rPr>
                <w:b/>
                <w:bCs/>
                <w:sz w:val="22"/>
                <w:szCs w:val="22"/>
              </w:rPr>
              <w:t>2018-19</w:t>
            </w:r>
          </w:p>
        </w:tc>
        <w:tc>
          <w:tcPr>
            <w:tcW w:w="506" w:type="pct"/>
          </w:tcPr>
          <w:p w:rsidR="001B2BE4" w:rsidRPr="00F33D82" w:rsidRDefault="001B2BE4" w:rsidP="004D4114">
            <w:pPr>
              <w:jc w:val="center"/>
              <w:rPr>
                <w:b/>
                <w:bCs/>
                <w:sz w:val="22"/>
                <w:szCs w:val="22"/>
              </w:rPr>
            </w:pPr>
            <w:r w:rsidRPr="00F33D82">
              <w:rPr>
                <w:b/>
                <w:bCs/>
                <w:sz w:val="22"/>
                <w:szCs w:val="22"/>
              </w:rPr>
              <w:t>Pooled</w:t>
            </w:r>
          </w:p>
        </w:tc>
        <w:tc>
          <w:tcPr>
            <w:tcW w:w="463" w:type="pct"/>
          </w:tcPr>
          <w:p w:rsidR="001B2BE4" w:rsidRPr="00F33D82" w:rsidRDefault="001B2BE4" w:rsidP="004D4114">
            <w:pPr>
              <w:jc w:val="center"/>
              <w:rPr>
                <w:b/>
                <w:bCs/>
                <w:sz w:val="22"/>
                <w:szCs w:val="22"/>
              </w:rPr>
            </w:pPr>
            <w:r w:rsidRPr="00F33D82">
              <w:rPr>
                <w:b/>
                <w:bCs/>
                <w:sz w:val="22"/>
                <w:szCs w:val="22"/>
              </w:rPr>
              <w:t>2017-18</w:t>
            </w:r>
          </w:p>
        </w:tc>
        <w:tc>
          <w:tcPr>
            <w:tcW w:w="462" w:type="pct"/>
          </w:tcPr>
          <w:p w:rsidR="001B2BE4" w:rsidRPr="00F33D82" w:rsidRDefault="001B2BE4" w:rsidP="004D4114">
            <w:pPr>
              <w:jc w:val="center"/>
              <w:rPr>
                <w:b/>
                <w:bCs/>
                <w:sz w:val="22"/>
                <w:szCs w:val="22"/>
              </w:rPr>
            </w:pPr>
            <w:r w:rsidRPr="00F33D82">
              <w:rPr>
                <w:b/>
                <w:bCs/>
                <w:sz w:val="22"/>
                <w:szCs w:val="22"/>
              </w:rPr>
              <w:t>2018-19</w:t>
            </w:r>
          </w:p>
        </w:tc>
        <w:tc>
          <w:tcPr>
            <w:tcW w:w="460" w:type="pct"/>
          </w:tcPr>
          <w:p w:rsidR="001B2BE4" w:rsidRPr="00F33D82" w:rsidRDefault="001B2BE4" w:rsidP="004D4114">
            <w:pPr>
              <w:jc w:val="center"/>
              <w:rPr>
                <w:b/>
                <w:bCs/>
                <w:sz w:val="22"/>
                <w:szCs w:val="22"/>
              </w:rPr>
            </w:pPr>
            <w:r w:rsidRPr="00F33D82">
              <w:rPr>
                <w:b/>
                <w:bCs/>
                <w:sz w:val="22"/>
                <w:szCs w:val="22"/>
              </w:rPr>
              <w:t>Pooled</w:t>
            </w:r>
          </w:p>
        </w:tc>
      </w:tr>
      <w:tr w:rsidR="001B2BE4" w:rsidRPr="00F33D82" w:rsidTr="001B2BE4">
        <w:trPr>
          <w:trHeight w:val="512"/>
        </w:trPr>
        <w:tc>
          <w:tcPr>
            <w:tcW w:w="252" w:type="pct"/>
          </w:tcPr>
          <w:p w:rsidR="001B2BE4" w:rsidRPr="00F33D82" w:rsidRDefault="001B2BE4" w:rsidP="004D4114">
            <w:pPr>
              <w:jc w:val="center"/>
              <w:rPr>
                <w:b/>
                <w:color w:val="000000"/>
                <w:sz w:val="22"/>
                <w:szCs w:val="22"/>
              </w:rPr>
            </w:pPr>
            <w:r w:rsidRPr="00F33D82">
              <w:rPr>
                <w:b/>
                <w:color w:val="000000"/>
                <w:sz w:val="22"/>
                <w:szCs w:val="22"/>
              </w:rPr>
              <w:t>T</w:t>
            </w:r>
            <w:r w:rsidRPr="00F33D82">
              <w:rPr>
                <w:b/>
                <w:color w:val="000000"/>
                <w:sz w:val="22"/>
                <w:szCs w:val="22"/>
                <w:vertAlign w:val="subscript"/>
              </w:rPr>
              <w:t>1</w:t>
            </w:r>
          </w:p>
        </w:tc>
        <w:tc>
          <w:tcPr>
            <w:tcW w:w="1853" w:type="pct"/>
          </w:tcPr>
          <w:p w:rsidR="001B2BE4" w:rsidRPr="00F33D82" w:rsidRDefault="001B2BE4" w:rsidP="004D4114">
            <w:pPr>
              <w:jc w:val="both"/>
              <w:rPr>
                <w:color w:val="000000"/>
                <w:kern w:val="24"/>
                <w:position w:val="-10"/>
                <w:sz w:val="22"/>
                <w:szCs w:val="22"/>
                <w:vertAlign w:val="subscript"/>
                <w:lang w:eastAsia="en-IN"/>
              </w:rPr>
            </w:pPr>
            <w:proofErr w:type="gramStart"/>
            <w:r w:rsidRPr="00F33D82">
              <w:rPr>
                <w:sz w:val="22"/>
                <w:szCs w:val="22"/>
              </w:rPr>
              <w:t>Pendimethalin  1000</w:t>
            </w:r>
            <w:proofErr w:type="gramEnd"/>
            <w:r w:rsidRPr="00F33D82">
              <w:rPr>
                <w:sz w:val="22"/>
                <w:szCs w:val="22"/>
              </w:rPr>
              <w:t xml:space="preserve"> g ha</w:t>
            </w:r>
            <w:r w:rsidRPr="00F33D82">
              <w:rPr>
                <w:sz w:val="22"/>
                <w:szCs w:val="22"/>
                <w:vertAlign w:val="superscript"/>
              </w:rPr>
              <w:t>-1</w:t>
            </w:r>
            <w:r w:rsidRPr="00F33D82">
              <w:rPr>
                <w:sz w:val="22"/>
                <w:szCs w:val="22"/>
              </w:rPr>
              <w:t xml:space="preserve"> PE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463" w:type="pct"/>
            <w:vAlign w:val="center"/>
          </w:tcPr>
          <w:p w:rsidR="001B2BE4" w:rsidRPr="005F06A2" w:rsidRDefault="001B2BE4" w:rsidP="004D4114">
            <w:pPr>
              <w:jc w:val="center"/>
              <w:rPr>
                <w:color w:val="000000"/>
              </w:rPr>
            </w:pPr>
            <w:r w:rsidRPr="005F06A2">
              <w:rPr>
                <w:color w:val="000000"/>
              </w:rPr>
              <w:t>19.0</w:t>
            </w:r>
          </w:p>
        </w:tc>
        <w:tc>
          <w:tcPr>
            <w:tcW w:w="541" w:type="pct"/>
            <w:vAlign w:val="center"/>
          </w:tcPr>
          <w:p w:rsidR="001B2BE4" w:rsidRPr="005F06A2" w:rsidRDefault="001B2BE4" w:rsidP="004D4114">
            <w:pPr>
              <w:jc w:val="center"/>
              <w:rPr>
                <w:color w:val="000000"/>
              </w:rPr>
            </w:pPr>
            <w:r w:rsidRPr="005F06A2">
              <w:rPr>
                <w:color w:val="000000"/>
              </w:rPr>
              <w:t>19.3</w:t>
            </w:r>
          </w:p>
        </w:tc>
        <w:tc>
          <w:tcPr>
            <w:tcW w:w="506" w:type="pct"/>
            <w:vAlign w:val="center"/>
          </w:tcPr>
          <w:p w:rsidR="001B2BE4" w:rsidRPr="005F06A2" w:rsidRDefault="001B2BE4" w:rsidP="004D4114">
            <w:pPr>
              <w:jc w:val="center"/>
              <w:rPr>
                <w:color w:val="000000"/>
              </w:rPr>
            </w:pPr>
            <w:r w:rsidRPr="005F06A2">
              <w:rPr>
                <w:color w:val="000000"/>
              </w:rPr>
              <w:t>19.1</w:t>
            </w:r>
            <w:r w:rsidRPr="005F06A2">
              <w:rPr>
                <w:color w:val="000000"/>
                <w:vertAlign w:val="superscript"/>
              </w:rPr>
              <w:t>bc</w:t>
            </w:r>
          </w:p>
        </w:tc>
        <w:tc>
          <w:tcPr>
            <w:tcW w:w="463" w:type="pct"/>
            <w:vAlign w:val="center"/>
          </w:tcPr>
          <w:p w:rsidR="001B2BE4" w:rsidRPr="00643997" w:rsidRDefault="001B2BE4" w:rsidP="004D4114">
            <w:pPr>
              <w:jc w:val="center"/>
              <w:rPr>
                <w:color w:val="000000"/>
              </w:rPr>
            </w:pPr>
            <w:r w:rsidRPr="00643997">
              <w:rPr>
                <w:color w:val="000000"/>
              </w:rPr>
              <w:t>1061</w:t>
            </w:r>
            <w:r w:rsidRPr="00643997">
              <w:rPr>
                <w:color w:val="000000"/>
                <w:vertAlign w:val="superscript"/>
              </w:rPr>
              <w:t>c</w:t>
            </w:r>
          </w:p>
        </w:tc>
        <w:tc>
          <w:tcPr>
            <w:tcW w:w="462" w:type="pct"/>
            <w:vAlign w:val="center"/>
          </w:tcPr>
          <w:p w:rsidR="001B2BE4" w:rsidRPr="00643997" w:rsidRDefault="001B2BE4" w:rsidP="004D4114">
            <w:pPr>
              <w:jc w:val="center"/>
              <w:rPr>
                <w:color w:val="000000"/>
              </w:rPr>
            </w:pPr>
            <w:r w:rsidRPr="00643997">
              <w:rPr>
                <w:color w:val="000000"/>
              </w:rPr>
              <w:t>1140</w:t>
            </w:r>
            <w:r w:rsidRPr="00643997">
              <w:rPr>
                <w:color w:val="000000"/>
                <w:vertAlign w:val="superscript"/>
              </w:rPr>
              <w:t>b</w:t>
            </w:r>
          </w:p>
        </w:tc>
        <w:tc>
          <w:tcPr>
            <w:tcW w:w="460" w:type="pct"/>
            <w:vAlign w:val="center"/>
          </w:tcPr>
          <w:p w:rsidR="001B2BE4" w:rsidRPr="00643997" w:rsidRDefault="001B2BE4" w:rsidP="004D4114">
            <w:pPr>
              <w:jc w:val="center"/>
              <w:rPr>
                <w:color w:val="000000"/>
              </w:rPr>
            </w:pPr>
            <w:r w:rsidRPr="00643997">
              <w:rPr>
                <w:color w:val="000000"/>
              </w:rPr>
              <w:t>1101</w:t>
            </w:r>
            <w:r w:rsidRPr="00643997">
              <w:rPr>
                <w:color w:val="000000"/>
                <w:vertAlign w:val="superscript"/>
              </w:rPr>
              <w:t>e</w:t>
            </w:r>
          </w:p>
        </w:tc>
      </w:tr>
      <w:tr w:rsidR="001B2BE4" w:rsidRPr="00F33D82" w:rsidTr="001B2BE4">
        <w:trPr>
          <w:trHeight w:val="467"/>
        </w:trPr>
        <w:tc>
          <w:tcPr>
            <w:tcW w:w="252" w:type="pct"/>
          </w:tcPr>
          <w:p w:rsidR="001B2BE4" w:rsidRPr="00F33D82" w:rsidRDefault="001B2BE4" w:rsidP="004D4114">
            <w:pPr>
              <w:jc w:val="center"/>
              <w:rPr>
                <w:b/>
                <w:color w:val="000000"/>
                <w:sz w:val="22"/>
                <w:szCs w:val="22"/>
              </w:rPr>
            </w:pPr>
            <w:r w:rsidRPr="00F33D82">
              <w:rPr>
                <w:b/>
                <w:color w:val="000000"/>
                <w:sz w:val="22"/>
                <w:szCs w:val="22"/>
              </w:rPr>
              <w:t>T</w:t>
            </w:r>
            <w:r w:rsidRPr="00F33D82">
              <w:rPr>
                <w:b/>
                <w:color w:val="000000"/>
                <w:sz w:val="22"/>
                <w:szCs w:val="22"/>
                <w:vertAlign w:val="subscript"/>
              </w:rPr>
              <w:t>2</w:t>
            </w:r>
          </w:p>
        </w:tc>
        <w:tc>
          <w:tcPr>
            <w:tcW w:w="1853" w:type="pct"/>
          </w:tcPr>
          <w:p w:rsidR="001B2BE4" w:rsidRPr="00F33D82" w:rsidRDefault="001B2BE4" w:rsidP="004D4114">
            <w:pPr>
              <w:jc w:val="both"/>
              <w:rPr>
                <w:color w:val="000000"/>
                <w:kern w:val="24"/>
                <w:position w:val="-10"/>
                <w:sz w:val="22"/>
                <w:szCs w:val="22"/>
                <w:vertAlign w:val="subscript"/>
                <w:lang w:eastAsia="en-IN"/>
              </w:rPr>
            </w:pPr>
            <w:proofErr w:type="gramStart"/>
            <w:r w:rsidRPr="00F33D82">
              <w:rPr>
                <w:bCs/>
                <w:color w:val="000000"/>
                <w:sz w:val="22"/>
                <w:szCs w:val="22"/>
              </w:rPr>
              <w:t xml:space="preserve">Clomazone </w:t>
            </w:r>
            <w:r w:rsidRPr="00F33D82">
              <w:rPr>
                <w:sz w:val="22"/>
                <w:szCs w:val="22"/>
              </w:rPr>
              <w:t xml:space="preserve"> 1000</w:t>
            </w:r>
            <w:proofErr w:type="gramEnd"/>
            <w:r w:rsidRPr="00F33D82">
              <w:rPr>
                <w:sz w:val="22"/>
                <w:szCs w:val="22"/>
              </w:rPr>
              <w:t xml:space="preserve"> g ha</w:t>
            </w:r>
            <w:r w:rsidRPr="00F33D82">
              <w:rPr>
                <w:sz w:val="22"/>
                <w:szCs w:val="22"/>
                <w:vertAlign w:val="superscript"/>
              </w:rPr>
              <w:t>-1</w:t>
            </w:r>
            <w:r w:rsidRPr="00F33D82">
              <w:rPr>
                <w:sz w:val="22"/>
                <w:szCs w:val="22"/>
              </w:rPr>
              <w:t xml:space="preserve">PE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463" w:type="pct"/>
            <w:vAlign w:val="center"/>
          </w:tcPr>
          <w:p w:rsidR="001B2BE4" w:rsidRPr="005F06A2" w:rsidRDefault="001B2BE4" w:rsidP="004D4114">
            <w:pPr>
              <w:jc w:val="center"/>
              <w:rPr>
                <w:color w:val="000000"/>
              </w:rPr>
            </w:pPr>
            <w:r w:rsidRPr="005F06A2">
              <w:rPr>
                <w:color w:val="000000"/>
              </w:rPr>
              <w:t>18.4</w:t>
            </w:r>
          </w:p>
        </w:tc>
        <w:tc>
          <w:tcPr>
            <w:tcW w:w="541" w:type="pct"/>
            <w:vAlign w:val="center"/>
          </w:tcPr>
          <w:p w:rsidR="001B2BE4" w:rsidRPr="005F06A2" w:rsidRDefault="001B2BE4" w:rsidP="004D4114">
            <w:pPr>
              <w:jc w:val="center"/>
              <w:rPr>
                <w:color w:val="000000"/>
              </w:rPr>
            </w:pPr>
            <w:r w:rsidRPr="005F06A2">
              <w:rPr>
                <w:color w:val="000000"/>
              </w:rPr>
              <w:t>18.6</w:t>
            </w:r>
          </w:p>
        </w:tc>
        <w:tc>
          <w:tcPr>
            <w:tcW w:w="506" w:type="pct"/>
            <w:vAlign w:val="center"/>
          </w:tcPr>
          <w:p w:rsidR="001B2BE4" w:rsidRPr="005F06A2" w:rsidRDefault="001B2BE4" w:rsidP="004D4114">
            <w:pPr>
              <w:jc w:val="center"/>
              <w:rPr>
                <w:color w:val="000000"/>
              </w:rPr>
            </w:pPr>
            <w:r w:rsidRPr="005F06A2">
              <w:rPr>
                <w:color w:val="000000"/>
              </w:rPr>
              <w:t>18.5</w:t>
            </w:r>
            <w:r w:rsidRPr="005F06A2">
              <w:rPr>
                <w:color w:val="000000"/>
                <w:vertAlign w:val="superscript"/>
              </w:rPr>
              <w:t>cd</w:t>
            </w:r>
          </w:p>
        </w:tc>
        <w:tc>
          <w:tcPr>
            <w:tcW w:w="463" w:type="pct"/>
            <w:vAlign w:val="center"/>
          </w:tcPr>
          <w:p w:rsidR="001B2BE4" w:rsidRPr="00643997" w:rsidRDefault="001B2BE4" w:rsidP="004D4114">
            <w:pPr>
              <w:jc w:val="center"/>
              <w:rPr>
                <w:color w:val="000000"/>
              </w:rPr>
            </w:pPr>
            <w:r w:rsidRPr="00643997">
              <w:rPr>
                <w:color w:val="000000"/>
              </w:rPr>
              <w:t>1182</w:t>
            </w:r>
            <w:r w:rsidRPr="00643997">
              <w:rPr>
                <w:color w:val="000000"/>
                <w:vertAlign w:val="superscript"/>
              </w:rPr>
              <w:t>bc</w:t>
            </w:r>
          </w:p>
        </w:tc>
        <w:tc>
          <w:tcPr>
            <w:tcW w:w="462" w:type="pct"/>
            <w:vAlign w:val="center"/>
          </w:tcPr>
          <w:p w:rsidR="001B2BE4" w:rsidRPr="00643997" w:rsidRDefault="001B2BE4" w:rsidP="004D4114">
            <w:pPr>
              <w:jc w:val="center"/>
              <w:rPr>
                <w:color w:val="000000"/>
              </w:rPr>
            </w:pPr>
            <w:r w:rsidRPr="00643997">
              <w:rPr>
                <w:color w:val="000000"/>
              </w:rPr>
              <w:t>1149</w:t>
            </w:r>
            <w:r w:rsidRPr="00643997">
              <w:rPr>
                <w:color w:val="000000"/>
                <w:vertAlign w:val="superscript"/>
              </w:rPr>
              <w:t>b</w:t>
            </w:r>
          </w:p>
        </w:tc>
        <w:tc>
          <w:tcPr>
            <w:tcW w:w="460" w:type="pct"/>
            <w:vAlign w:val="center"/>
          </w:tcPr>
          <w:p w:rsidR="001B2BE4" w:rsidRPr="00643997" w:rsidRDefault="001B2BE4" w:rsidP="004D4114">
            <w:pPr>
              <w:jc w:val="center"/>
              <w:rPr>
                <w:color w:val="000000"/>
              </w:rPr>
            </w:pPr>
            <w:r w:rsidRPr="00643997">
              <w:rPr>
                <w:color w:val="000000"/>
              </w:rPr>
              <w:t>1165</w:t>
            </w:r>
            <w:r w:rsidRPr="00643997">
              <w:rPr>
                <w:color w:val="000000"/>
                <w:vertAlign w:val="superscript"/>
              </w:rPr>
              <w:t>de</w:t>
            </w:r>
          </w:p>
        </w:tc>
      </w:tr>
      <w:tr w:rsidR="001B2BE4" w:rsidRPr="00F33D82" w:rsidTr="001B2BE4">
        <w:trPr>
          <w:trHeight w:val="495"/>
        </w:trPr>
        <w:tc>
          <w:tcPr>
            <w:tcW w:w="252" w:type="pct"/>
          </w:tcPr>
          <w:p w:rsidR="001B2BE4" w:rsidRPr="00F33D82" w:rsidRDefault="001B2BE4" w:rsidP="004D4114">
            <w:pPr>
              <w:jc w:val="center"/>
              <w:rPr>
                <w:b/>
                <w:color w:val="000000"/>
                <w:sz w:val="22"/>
                <w:szCs w:val="22"/>
              </w:rPr>
            </w:pPr>
            <w:r w:rsidRPr="00F33D82">
              <w:rPr>
                <w:b/>
                <w:color w:val="000000"/>
                <w:sz w:val="22"/>
                <w:szCs w:val="22"/>
              </w:rPr>
              <w:t>T</w:t>
            </w:r>
            <w:r w:rsidRPr="00F33D82">
              <w:rPr>
                <w:b/>
                <w:color w:val="000000"/>
                <w:sz w:val="22"/>
                <w:szCs w:val="22"/>
                <w:vertAlign w:val="subscript"/>
              </w:rPr>
              <w:t>3</w:t>
            </w:r>
          </w:p>
        </w:tc>
        <w:tc>
          <w:tcPr>
            <w:tcW w:w="1853" w:type="pct"/>
          </w:tcPr>
          <w:p w:rsidR="001B2BE4" w:rsidRPr="00F33D82" w:rsidRDefault="001B2BE4" w:rsidP="004D4114">
            <w:pPr>
              <w:jc w:val="both"/>
              <w:rPr>
                <w:color w:val="000000"/>
                <w:kern w:val="24"/>
                <w:position w:val="-10"/>
                <w:sz w:val="22"/>
                <w:szCs w:val="22"/>
                <w:vertAlign w:val="subscript"/>
                <w:lang w:eastAsia="en-IN"/>
              </w:rPr>
            </w:pPr>
            <w:r w:rsidRPr="00F33D82">
              <w:rPr>
                <w:sz w:val="22"/>
                <w:szCs w:val="22"/>
              </w:rPr>
              <w:t>Imazethapyr 75 g ha</w:t>
            </w:r>
            <w:r w:rsidRPr="00F33D82">
              <w:rPr>
                <w:sz w:val="22"/>
                <w:szCs w:val="22"/>
                <w:vertAlign w:val="superscript"/>
              </w:rPr>
              <w:t>-1</w:t>
            </w:r>
            <w:proofErr w:type="gramStart"/>
            <w:r w:rsidRPr="00F33D82">
              <w:rPr>
                <w:sz w:val="22"/>
                <w:szCs w:val="22"/>
              </w:rPr>
              <w:t xml:space="preserve">PoE  </w:t>
            </w:r>
            <w:r w:rsidRPr="00F33D82">
              <w:rPr>
                <w:i/>
                <w:iCs/>
                <w:sz w:val="22"/>
                <w:szCs w:val="22"/>
              </w:rPr>
              <w:t>fb</w:t>
            </w:r>
            <w:proofErr w:type="gramEnd"/>
            <w:r w:rsidRPr="00F33D82">
              <w:rPr>
                <w:sz w:val="22"/>
                <w:szCs w:val="22"/>
              </w:rPr>
              <w:t xml:space="preserve">  IC + HW at 30 </w:t>
            </w:r>
            <w:r w:rsidRPr="00F33D82">
              <w:rPr>
                <w:bCs/>
                <w:color w:val="000000"/>
                <w:sz w:val="22"/>
                <w:szCs w:val="22"/>
              </w:rPr>
              <w:t>DAS</w:t>
            </w:r>
          </w:p>
        </w:tc>
        <w:tc>
          <w:tcPr>
            <w:tcW w:w="463" w:type="pct"/>
            <w:vAlign w:val="center"/>
          </w:tcPr>
          <w:p w:rsidR="001B2BE4" w:rsidRPr="005F06A2" w:rsidRDefault="001B2BE4" w:rsidP="004D4114">
            <w:pPr>
              <w:jc w:val="center"/>
              <w:rPr>
                <w:color w:val="000000"/>
              </w:rPr>
            </w:pPr>
            <w:r w:rsidRPr="005F06A2">
              <w:rPr>
                <w:color w:val="000000"/>
              </w:rPr>
              <w:t>19.0</w:t>
            </w:r>
          </w:p>
        </w:tc>
        <w:tc>
          <w:tcPr>
            <w:tcW w:w="541" w:type="pct"/>
            <w:vAlign w:val="center"/>
          </w:tcPr>
          <w:p w:rsidR="001B2BE4" w:rsidRPr="005F06A2" w:rsidRDefault="001B2BE4" w:rsidP="004D4114">
            <w:pPr>
              <w:jc w:val="center"/>
              <w:rPr>
                <w:color w:val="000000"/>
              </w:rPr>
            </w:pPr>
            <w:r w:rsidRPr="005F06A2">
              <w:rPr>
                <w:color w:val="000000"/>
              </w:rPr>
              <w:t>19.4</w:t>
            </w:r>
          </w:p>
        </w:tc>
        <w:tc>
          <w:tcPr>
            <w:tcW w:w="506" w:type="pct"/>
            <w:vAlign w:val="center"/>
          </w:tcPr>
          <w:p w:rsidR="001B2BE4" w:rsidRPr="005F06A2" w:rsidRDefault="001B2BE4" w:rsidP="004D4114">
            <w:pPr>
              <w:jc w:val="center"/>
              <w:rPr>
                <w:color w:val="000000"/>
              </w:rPr>
            </w:pPr>
            <w:r w:rsidRPr="005F06A2">
              <w:rPr>
                <w:color w:val="000000"/>
              </w:rPr>
              <w:t>19.2</w:t>
            </w:r>
            <w:r w:rsidRPr="005F06A2">
              <w:rPr>
                <w:color w:val="000000"/>
                <w:vertAlign w:val="superscript"/>
              </w:rPr>
              <w:t>bc</w:t>
            </w:r>
          </w:p>
        </w:tc>
        <w:tc>
          <w:tcPr>
            <w:tcW w:w="463" w:type="pct"/>
            <w:vAlign w:val="center"/>
          </w:tcPr>
          <w:p w:rsidR="001B2BE4" w:rsidRPr="00643997" w:rsidRDefault="001B2BE4" w:rsidP="004D4114">
            <w:pPr>
              <w:jc w:val="center"/>
              <w:rPr>
                <w:color w:val="000000"/>
              </w:rPr>
            </w:pPr>
            <w:r w:rsidRPr="00643997">
              <w:rPr>
                <w:color w:val="000000"/>
              </w:rPr>
              <w:t>1374</w:t>
            </w:r>
            <w:r w:rsidRPr="00643997">
              <w:rPr>
                <w:color w:val="000000"/>
                <w:vertAlign w:val="superscript"/>
              </w:rPr>
              <w:t>ab</w:t>
            </w:r>
          </w:p>
        </w:tc>
        <w:tc>
          <w:tcPr>
            <w:tcW w:w="462" w:type="pct"/>
            <w:vAlign w:val="center"/>
          </w:tcPr>
          <w:p w:rsidR="001B2BE4" w:rsidRPr="00643997" w:rsidRDefault="001B2BE4" w:rsidP="004D4114">
            <w:pPr>
              <w:jc w:val="center"/>
              <w:rPr>
                <w:color w:val="000000"/>
              </w:rPr>
            </w:pPr>
            <w:r w:rsidRPr="00643997">
              <w:rPr>
                <w:color w:val="000000"/>
              </w:rPr>
              <w:t>1285</w:t>
            </w:r>
            <w:r w:rsidRPr="00643997">
              <w:rPr>
                <w:color w:val="000000"/>
                <w:vertAlign w:val="superscript"/>
              </w:rPr>
              <w:t>ab</w:t>
            </w:r>
          </w:p>
        </w:tc>
        <w:tc>
          <w:tcPr>
            <w:tcW w:w="460" w:type="pct"/>
            <w:vAlign w:val="center"/>
          </w:tcPr>
          <w:p w:rsidR="001B2BE4" w:rsidRPr="00643997" w:rsidRDefault="001B2BE4" w:rsidP="004D4114">
            <w:pPr>
              <w:jc w:val="center"/>
              <w:rPr>
                <w:color w:val="000000"/>
              </w:rPr>
            </w:pPr>
            <w:r w:rsidRPr="00643997">
              <w:rPr>
                <w:color w:val="000000"/>
              </w:rPr>
              <w:t>1329</w:t>
            </w:r>
            <w:r w:rsidRPr="00643997">
              <w:rPr>
                <w:color w:val="000000"/>
                <w:vertAlign w:val="superscript"/>
              </w:rPr>
              <w:t>bc</w:t>
            </w:r>
          </w:p>
        </w:tc>
      </w:tr>
      <w:tr w:rsidR="001B2BE4" w:rsidRPr="00F33D82" w:rsidTr="001B2BE4">
        <w:trPr>
          <w:trHeight w:val="510"/>
        </w:trPr>
        <w:tc>
          <w:tcPr>
            <w:tcW w:w="252" w:type="pct"/>
          </w:tcPr>
          <w:p w:rsidR="001B2BE4" w:rsidRPr="00F33D82" w:rsidRDefault="001B2BE4" w:rsidP="004D4114">
            <w:pPr>
              <w:jc w:val="center"/>
              <w:rPr>
                <w:b/>
                <w:color w:val="000000"/>
                <w:sz w:val="22"/>
                <w:szCs w:val="22"/>
              </w:rPr>
            </w:pPr>
            <w:r w:rsidRPr="00F33D82">
              <w:rPr>
                <w:b/>
                <w:color w:val="000000"/>
                <w:sz w:val="22"/>
                <w:szCs w:val="22"/>
              </w:rPr>
              <w:t>T</w:t>
            </w:r>
            <w:r w:rsidRPr="00F33D82">
              <w:rPr>
                <w:b/>
                <w:color w:val="000000"/>
                <w:sz w:val="22"/>
                <w:szCs w:val="22"/>
                <w:vertAlign w:val="subscript"/>
              </w:rPr>
              <w:t>4</w:t>
            </w:r>
          </w:p>
        </w:tc>
        <w:tc>
          <w:tcPr>
            <w:tcW w:w="1853" w:type="pct"/>
          </w:tcPr>
          <w:p w:rsidR="001B2BE4" w:rsidRPr="00F33D82" w:rsidRDefault="001B2BE4" w:rsidP="004D4114">
            <w:pPr>
              <w:jc w:val="both"/>
              <w:rPr>
                <w:color w:val="000000"/>
                <w:kern w:val="24"/>
                <w:position w:val="-10"/>
                <w:sz w:val="22"/>
                <w:szCs w:val="22"/>
                <w:vertAlign w:val="subscript"/>
                <w:lang w:eastAsia="en-IN"/>
              </w:rPr>
            </w:pPr>
            <w:proofErr w:type="spellStart"/>
            <w:proofErr w:type="gramStart"/>
            <w:r w:rsidRPr="00F33D82">
              <w:rPr>
                <w:bCs/>
                <w:color w:val="000000"/>
                <w:sz w:val="22"/>
                <w:szCs w:val="22"/>
              </w:rPr>
              <w:t>Propaquizafop</w:t>
            </w:r>
            <w:proofErr w:type="spellEnd"/>
            <w:r w:rsidRPr="00F33D82">
              <w:rPr>
                <w:sz w:val="22"/>
                <w:szCs w:val="22"/>
              </w:rPr>
              <w:t xml:space="preserve">  75</w:t>
            </w:r>
            <w:proofErr w:type="gramEnd"/>
            <w:r w:rsidRPr="00F33D82">
              <w:rPr>
                <w:sz w:val="22"/>
                <w:szCs w:val="22"/>
              </w:rPr>
              <w:t xml:space="preserve"> g ha</w:t>
            </w:r>
            <w:r w:rsidRPr="00F33D82">
              <w:rPr>
                <w:sz w:val="22"/>
                <w:szCs w:val="22"/>
                <w:vertAlign w:val="superscript"/>
              </w:rPr>
              <w:t>-1</w:t>
            </w:r>
            <w:r w:rsidRPr="00F33D82">
              <w:rPr>
                <w:sz w:val="22"/>
                <w:szCs w:val="22"/>
              </w:rPr>
              <w:t xml:space="preserve">PoE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463" w:type="pct"/>
            <w:vAlign w:val="center"/>
          </w:tcPr>
          <w:p w:rsidR="001B2BE4" w:rsidRPr="005F06A2" w:rsidRDefault="001B2BE4" w:rsidP="004D4114">
            <w:pPr>
              <w:jc w:val="center"/>
              <w:rPr>
                <w:color w:val="000000"/>
              </w:rPr>
            </w:pPr>
            <w:r w:rsidRPr="005F06A2">
              <w:rPr>
                <w:color w:val="000000"/>
              </w:rPr>
              <w:t>19.4</w:t>
            </w:r>
          </w:p>
        </w:tc>
        <w:tc>
          <w:tcPr>
            <w:tcW w:w="541" w:type="pct"/>
            <w:vAlign w:val="center"/>
          </w:tcPr>
          <w:p w:rsidR="001B2BE4" w:rsidRPr="005F06A2" w:rsidRDefault="001B2BE4" w:rsidP="004D4114">
            <w:pPr>
              <w:jc w:val="center"/>
              <w:rPr>
                <w:color w:val="000000"/>
              </w:rPr>
            </w:pPr>
            <w:r w:rsidRPr="005F06A2">
              <w:rPr>
                <w:color w:val="000000"/>
              </w:rPr>
              <w:t>19.9</w:t>
            </w:r>
          </w:p>
        </w:tc>
        <w:tc>
          <w:tcPr>
            <w:tcW w:w="506" w:type="pct"/>
            <w:vAlign w:val="center"/>
          </w:tcPr>
          <w:p w:rsidR="001B2BE4" w:rsidRPr="005F06A2" w:rsidRDefault="001B2BE4" w:rsidP="004D4114">
            <w:pPr>
              <w:jc w:val="center"/>
              <w:rPr>
                <w:color w:val="000000"/>
              </w:rPr>
            </w:pPr>
            <w:r w:rsidRPr="005F06A2">
              <w:rPr>
                <w:color w:val="000000"/>
              </w:rPr>
              <w:t>19.6</w:t>
            </w:r>
            <w:r w:rsidRPr="005F06A2">
              <w:rPr>
                <w:color w:val="000000"/>
                <w:vertAlign w:val="superscript"/>
              </w:rPr>
              <w:t>abc</w:t>
            </w:r>
          </w:p>
        </w:tc>
        <w:tc>
          <w:tcPr>
            <w:tcW w:w="463" w:type="pct"/>
            <w:vAlign w:val="center"/>
          </w:tcPr>
          <w:p w:rsidR="001B2BE4" w:rsidRPr="00643997" w:rsidRDefault="001B2BE4" w:rsidP="004D4114">
            <w:pPr>
              <w:jc w:val="center"/>
              <w:rPr>
                <w:color w:val="000000"/>
              </w:rPr>
            </w:pPr>
            <w:r w:rsidRPr="00643997">
              <w:rPr>
                <w:color w:val="000000"/>
              </w:rPr>
              <w:t>1371</w:t>
            </w:r>
            <w:r w:rsidRPr="00643997">
              <w:rPr>
                <w:color w:val="000000"/>
                <w:vertAlign w:val="superscript"/>
              </w:rPr>
              <w:t>ab</w:t>
            </w:r>
          </w:p>
        </w:tc>
        <w:tc>
          <w:tcPr>
            <w:tcW w:w="462" w:type="pct"/>
            <w:vAlign w:val="center"/>
          </w:tcPr>
          <w:p w:rsidR="001B2BE4" w:rsidRPr="00643997" w:rsidRDefault="001B2BE4" w:rsidP="004D4114">
            <w:pPr>
              <w:jc w:val="center"/>
              <w:rPr>
                <w:color w:val="000000"/>
              </w:rPr>
            </w:pPr>
            <w:r w:rsidRPr="00643997">
              <w:rPr>
                <w:color w:val="000000"/>
              </w:rPr>
              <w:t>1250</w:t>
            </w:r>
            <w:r w:rsidRPr="00643997">
              <w:rPr>
                <w:color w:val="000000"/>
                <w:vertAlign w:val="superscript"/>
              </w:rPr>
              <w:t>ab</w:t>
            </w:r>
          </w:p>
        </w:tc>
        <w:tc>
          <w:tcPr>
            <w:tcW w:w="460" w:type="pct"/>
            <w:vAlign w:val="center"/>
          </w:tcPr>
          <w:p w:rsidR="001B2BE4" w:rsidRPr="00643997" w:rsidRDefault="001B2BE4" w:rsidP="004D4114">
            <w:pPr>
              <w:jc w:val="center"/>
              <w:rPr>
                <w:color w:val="000000"/>
              </w:rPr>
            </w:pPr>
            <w:r w:rsidRPr="00643997">
              <w:rPr>
                <w:color w:val="000000"/>
              </w:rPr>
              <w:t>1310</w:t>
            </w:r>
            <w:r w:rsidRPr="00643997">
              <w:rPr>
                <w:color w:val="000000"/>
                <w:vertAlign w:val="superscript"/>
              </w:rPr>
              <w:t>bcd</w:t>
            </w:r>
          </w:p>
        </w:tc>
      </w:tr>
      <w:tr w:rsidR="001B2BE4" w:rsidRPr="00F33D82" w:rsidTr="001B2BE4">
        <w:trPr>
          <w:trHeight w:val="495"/>
        </w:trPr>
        <w:tc>
          <w:tcPr>
            <w:tcW w:w="252" w:type="pct"/>
          </w:tcPr>
          <w:p w:rsidR="001B2BE4" w:rsidRPr="00F33D82" w:rsidRDefault="001B2BE4" w:rsidP="004D4114">
            <w:pPr>
              <w:jc w:val="center"/>
              <w:rPr>
                <w:b/>
                <w:color w:val="000000"/>
                <w:sz w:val="22"/>
                <w:szCs w:val="22"/>
              </w:rPr>
            </w:pPr>
            <w:r w:rsidRPr="00F33D82">
              <w:rPr>
                <w:b/>
                <w:color w:val="000000"/>
                <w:sz w:val="22"/>
                <w:szCs w:val="22"/>
              </w:rPr>
              <w:t>T</w:t>
            </w:r>
            <w:r w:rsidRPr="00F33D82">
              <w:rPr>
                <w:b/>
                <w:color w:val="000000"/>
                <w:sz w:val="22"/>
                <w:szCs w:val="22"/>
                <w:vertAlign w:val="subscript"/>
              </w:rPr>
              <w:t>5</w:t>
            </w:r>
          </w:p>
        </w:tc>
        <w:tc>
          <w:tcPr>
            <w:tcW w:w="1853" w:type="pct"/>
          </w:tcPr>
          <w:p w:rsidR="001B2BE4" w:rsidRPr="00F33D82" w:rsidRDefault="001B2BE4" w:rsidP="004D4114">
            <w:pPr>
              <w:jc w:val="both"/>
              <w:rPr>
                <w:color w:val="000000"/>
                <w:kern w:val="24"/>
                <w:position w:val="-10"/>
                <w:sz w:val="22"/>
                <w:szCs w:val="22"/>
                <w:vertAlign w:val="subscript"/>
                <w:lang w:eastAsia="en-IN"/>
              </w:rPr>
            </w:pPr>
            <w:proofErr w:type="spellStart"/>
            <w:r w:rsidRPr="00F33D82">
              <w:rPr>
                <w:sz w:val="22"/>
                <w:szCs w:val="22"/>
              </w:rPr>
              <w:t>Quizalofop</w:t>
            </w:r>
            <w:proofErr w:type="spellEnd"/>
            <w:r w:rsidRPr="00F33D82">
              <w:rPr>
                <w:sz w:val="22"/>
                <w:szCs w:val="22"/>
              </w:rPr>
              <w:t xml:space="preserve"> ethyl   50 g ha</w:t>
            </w:r>
            <w:r w:rsidRPr="00F33D82">
              <w:rPr>
                <w:sz w:val="22"/>
                <w:szCs w:val="22"/>
                <w:vertAlign w:val="superscript"/>
              </w:rPr>
              <w:t>-1</w:t>
            </w:r>
            <w:proofErr w:type="gramStart"/>
            <w:r w:rsidRPr="00F33D82">
              <w:rPr>
                <w:sz w:val="22"/>
                <w:szCs w:val="22"/>
              </w:rPr>
              <w:t xml:space="preserve">PoE  </w:t>
            </w:r>
            <w:r w:rsidRPr="00F33D82">
              <w:rPr>
                <w:i/>
                <w:iCs/>
                <w:sz w:val="22"/>
                <w:szCs w:val="22"/>
              </w:rPr>
              <w:t>fb</w:t>
            </w:r>
            <w:proofErr w:type="gramEnd"/>
            <w:r w:rsidRPr="00F33D82">
              <w:rPr>
                <w:sz w:val="22"/>
                <w:szCs w:val="22"/>
              </w:rPr>
              <w:t xml:space="preserve">  IC + HW at 30 </w:t>
            </w:r>
            <w:r w:rsidRPr="00F33D82">
              <w:rPr>
                <w:bCs/>
                <w:color w:val="000000"/>
                <w:sz w:val="22"/>
                <w:szCs w:val="22"/>
              </w:rPr>
              <w:t>DAS</w:t>
            </w:r>
          </w:p>
        </w:tc>
        <w:tc>
          <w:tcPr>
            <w:tcW w:w="463" w:type="pct"/>
            <w:vAlign w:val="center"/>
          </w:tcPr>
          <w:p w:rsidR="001B2BE4" w:rsidRPr="005F06A2" w:rsidRDefault="001B2BE4" w:rsidP="004D4114">
            <w:pPr>
              <w:jc w:val="center"/>
              <w:rPr>
                <w:color w:val="000000"/>
              </w:rPr>
            </w:pPr>
            <w:r w:rsidRPr="005F06A2">
              <w:rPr>
                <w:color w:val="000000"/>
              </w:rPr>
              <w:t>19.1</w:t>
            </w:r>
          </w:p>
        </w:tc>
        <w:tc>
          <w:tcPr>
            <w:tcW w:w="541" w:type="pct"/>
            <w:vAlign w:val="center"/>
          </w:tcPr>
          <w:p w:rsidR="001B2BE4" w:rsidRPr="005F06A2" w:rsidRDefault="001B2BE4" w:rsidP="004D4114">
            <w:pPr>
              <w:jc w:val="center"/>
              <w:rPr>
                <w:color w:val="000000"/>
              </w:rPr>
            </w:pPr>
            <w:r w:rsidRPr="005F06A2">
              <w:rPr>
                <w:color w:val="000000"/>
              </w:rPr>
              <w:t>19.9</w:t>
            </w:r>
          </w:p>
        </w:tc>
        <w:tc>
          <w:tcPr>
            <w:tcW w:w="506" w:type="pct"/>
            <w:vAlign w:val="center"/>
          </w:tcPr>
          <w:p w:rsidR="001B2BE4" w:rsidRPr="005F06A2" w:rsidRDefault="001B2BE4" w:rsidP="004D4114">
            <w:pPr>
              <w:jc w:val="center"/>
              <w:rPr>
                <w:color w:val="000000"/>
              </w:rPr>
            </w:pPr>
            <w:r w:rsidRPr="005F06A2">
              <w:rPr>
                <w:color w:val="000000"/>
              </w:rPr>
              <w:t>19.5</w:t>
            </w:r>
            <w:r w:rsidRPr="005F06A2">
              <w:rPr>
                <w:color w:val="000000"/>
                <w:vertAlign w:val="superscript"/>
              </w:rPr>
              <w:t>abc</w:t>
            </w:r>
          </w:p>
        </w:tc>
        <w:tc>
          <w:tcPr>
            <w:tcW w:w="463" w:type="pct"/>
            <w:vAlign w:val="center"/>
          </w:tcPr>
          <w:p w:rsidR="001B2BE4" w:rsidRPr="00643997" w:rsidRDefault="001B2BE4" w:rsidP="004D4114">
            <w:pPr>
              <w:jc w:val="center"/>
              <w:rPr>
                <w:color w:val="000000"/>
              </w:rPr>
            </w:pPr>
            <w:r w:rsidRPr="00643997">
              <w:rPr>
                <w:color w:val="000000"/>
              </w:rPr>
              <w:t>1367</w:t>
            </w:r>
            <w:r w:rsidRPr="00643997">
              <w:rPr>
                <w:color w:val="000000"/>
                <w:vertAlign w:val="superscript"/>
              </w:rPr>
              <w:t>ab</w:t>
            </w:r>
          </w:p>
        </w:tc>
        <w:tc>
          <w:tcPr>
            <w:tcW w:w="462" w:type="pct"/>
            <w:vAlign w:val="center"/>
          </w:tcPr>
          <w:p w:rsidR="001B2BE4" w:rsidRPr="00643997" w:rsidRDefault="001B2BE4" w:rsidP="004D4114">
            <w:pPr>
              <w:jc w:val="center"/>
              <w:rPr>
                <w:color w:val="000000"/>
              </w:rPr>
            </w:pPr>
            <w:r w:rsidRPr="00643997">
              <w:rPr>
                <w:color w:val="000000"/>
              </w:rPr>
              <w:t>1239</w:t>
            </w:r>
            <w:r w:rsidRPr="00643997">
              <w:rPr>
                <w:color w:val="000000"/>
                <w:vertAlign w:val="superscript"/>
              </w:rPr>
              <w:t>ab</w:t>
            </w:r>
          </w:p>
        </w:tc>
        <w:tc>
          <w:tcPr>
            <w:tcW w:w="460" w:type="pct"/>
            <w:vAlign w:val="center"/>
          </w:tcPr>
          <w:p w:rsidR="001B2BE4" w:rsidRPr="00643997" w:rsidRDefault="001B2BE4" w:rsidP="004D4114">
            <w:pPr>
              <w:jc w:val="center"/>
              <w:rPr>
                <w:color w:val="000000"/>
              </w:rPr>
            </w:pPr>
            <w:r w:rsidRPr="00643997">
              <w:rPr>
                <w:color w:val="000000"/>
              </w:rPr>
              <w:t>1303</w:t>
            </w:r>
            <w:r w:rsidRPr="00643997">
              <w:rPr>
                <w:color w:val="000000"/>
                <w:vertAlign w:val="superscript"/>
              </w:rPr>
              <w:t>bcd</w:t>
            </w:r>
          </w:p>
        </w:tc>
      </w:tr>
      <w:tr w:rsidR="001B2BE4" w:rsidRPr="00F33D82" w:rsidTr="001B2BE4">
        <w:trPr>
          <w:trHeight w:val="510"/>
        </w:trPr>
        <w:tc>
          <w:tcPr>
            <w:tcW w:w="252" w:type="pct"/>
          </w:tcPr>
          <w:p w:rsidR="001B2BE4" w:rsidRPr="00F33D82" w:rsidRDefault="001B2BE4" w:rsidP="004D4114">
            <w:pPr>
              <w:jc w:val="center"/>
              <w:rPr>
                <w:b/>
                <w:color w:val="000000"/>
                <w:sz w:val="22"/>
                <w:szCs w:val="22"/>
              </w:rPr>
            </w:pPr>
            <w:r w:rsidRPr="00F33D82">
              <w:rPr>
                <w:b/>
                <w:color w:val="000000"/>
                <w:sz w:val="22"/>
                <w:szCs w:val="22"/>
              </w:rPr>
              <w:t>T</w:t>
            </w:r>
            <w:r w:rsidRPr="00F33D82">
              <w:rPr>
                <w:b/>
                <w:color w:val="000000"/>
                <w:sz w:val="22"/>
                <w:szCs w:val="22"/>
                <w:vertAlign w:val="subscript"/>
              </w:rPr>
              <w:t>6</w:t>
            </w:r>
          </w:p>
        </w:tc>
        <w:tc>
          <w:tcPr>
            <w:tcW w:w="1853" w:type="pct"/>
          </w:tcPr>
          <w:p w:rsidR="001B2BE4" w:rsidRPr="00F33D82" w:rsidRDefault="001B2BE4" w:rsidP="004D4114">
            <w:pPr>
              <w:jc w:val="both"/>
              <w:rPr>
                <w:color w:val="000000"/>
                <w:kern w:val="24"/>
                <w:position w:val="-10"/>
                <w:sz w:val="22"/>
                <w:szCs w:val="22"/>
                <w:vertAlign w:val="subscript"/>
                <w:lang w:eastAsia="en-IN"/>
              </w:rPr>
            </w:pPr>
            <w:r w:rsidRPr="00F33D82">
              <w:rPr>
                <w:sz w:val="22"/>
                <w:szCs w:val="22"/>
              </w:rPr>
              <w:t>Fenoxaprop -p-</w:t>
            </w:r>
            <w:proofErr w:type="gramStart"/>
            <w:r w:rsidRPr="00F33D82">
              <w:rPr>
                <w:sz w:val="22"/>
                <w:szCs w:val="22"/>
              </w:rPr>
              <w:t>ethyl  100</w:t>
            </w:r>
            <w:proofErr w:type="gramEnd"/>
            <w:r w:rsidRPr="00F33D82">
              <w:rPr>
                <w:sz w:val="22"/>
                <w:szCs w:val="22"/>
              </w:rPr>
              <w:t xml:space="preserve"> g ha</w:t>
            </w:r>
            <w:r w:rsidRPr="00F33D82">
              <w:rPr>
                <w:sz w:val="22"/>
                <w:szCs w:val="22"/>
                <w:vertAlign w:val="superscript"/>
              </w:rPr>
              <w:t>-1</w:t>
            </w:r>
            <w:r w:rsidRPr="00F33D82">
              <w:rPr>
                <w:sz w:val="22"/>
                <w:szCs w:val="22"/>
              </w:rPr>
              <w:t xml:space="preserve">PoE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463" w:type="pct"/>
            <w:vAlign w:val="center"/>
          </w:tcPr>
          <w:p w:rsidR="001B2BE4" w:rsidRPr="005F06A2" w:rsidRDefault="001B2BE4" w:rsidP="004D4114">
            <w:pPr>
              <w:jc w:val="center"/>
              <w:rPr>
                <w:color w:val="000000"/>
              </w:rPr>
            </w:pPr>
            <w:r w:rsidRPr="005F06A2">
              <w:rPr>
                <w:color w:val="000000"/>
              </w:rPr>
              <w:t>19.1</w:t>
            </w:r>
          </w:p>
        </w:tc>
        <w:tc>
          <w:tcPr>
            <w:tcW w:w="541" w:type="pct"/>
            <w:vAlign w:val="center"/>
          </w:tcPr>
          <w:p w:rsidR="001B2BE4" w:rsidRPr="005F06A2" w:rsidRDefault="001B2BE4" w:rsidP="004D4114">
            <w:pPr>
              <w:jc w:val="center"/>
              <w:rPr>
                <w:color w:val="000000"/>
              </w:rPr>
            </w:pPr>
            <w:r w:rsidRPr="005F06A2">
              <w:rPr>
                <w:color w:val="000000"/>
              </w:rPr>
              <w:t>19.6</w:t>
            </w:r>
          </w:p>
        </w:tc>
        <w:tc>
          <w:tcPr>
            <w:tcW w:w="506" w:type="pct"/>
            <w:vAlign w:val="center"/>
          </w:tcPr>
          <w:p w:rsidR="001B2BE4" w:rsidRPr="005F06A2" w:rsidRDefault="001B2BE4" w:rsidP="004D4114">
            <w:pPr>
              <w:jc w:val="center"/>
              <w:rPr>
                <w:color w:val="000000"/>
              </w:rPr>
            </w:pPr>
            <w:r w:rsidRPr="005F06A2">
              <w:rPr>
                <w:color w:val="000000"/>
              </w:rPr>
              <w:t>19.4</w:t>
            </w:r>
            <w:r w:rsidRPr="005F06A2">
              <w:rPr>
                <w:color w:val="000000"/>
                <w:vertAlign w:val="superscript"/>
              </w:rPr>
              <w:t>bc</w:t>
            </w:r>
          </w:p>
        </w:tc>
        <w:tc>
          <w:tcPr>
            <w:tcW w:w="463" w:type="pct"/>
            <w:vAlign w:val="center"/>
          </w:tcPr>
          <w:p w:rsidR="001B2BE4" w:rsidRPr="00643997" w:rsidRDefault="001B2BE4" w:rsidP="004D4114">
            <w:pPr>
              <w:jc w:val="center"/>
              <w:rPr>
                <w:color w:val="000000"/>
              </w:rPr>
            </w:pPr>
            <w:r w:rsidRPr="00643997">
              <w:rPr>
                <w:color w:val="000000"/>
              </w:rPr>
              <w:t>1202</w:t>
            </w:r>
            <w:r w:rsidRPr="00643997">
              <w:rPr>
                <w:color w:val="000000"/>
                <w:vertAlign w:val="superscript"/>
              </w:rPr>
              <w:t>bc</w:t>
            </w:r>
          </w:p>
        </w:tc>
        <w:tc>
          <w:tcPr>
            <w:tcW w:w="462" w:type="pct"/>
            <w:vAlign w:val="center"/>
          </w:tcPr>
          <w:p w:rsidR="001B2BE4" w:rsidRPr="00643997" w:rsidRDefault="001B2BE4" w:rsidP="004D4114">
            <w:pPr>
              <w:jc w:val="center"/>
              <w:rPr>
                <w:color w:val="000000"/>
              </w:rPr>
            </w:pPr>
            <w:r w:rsidRPr="00643997">
              <w:rPr>
                <w:color w:val="000000"/>
              </w:rPr>
              <w:t>1164</w:t>
            </w:r>
            <w:r w:rsidRPr="00643997">
              <w:rPr>
                <w:color w:val="000000"/>
                <w:vertAlign w:val="superscript"/>
              </w:rPr>
              <w:t>b</w:t>
            </w:r>
          </w:p>
        </w:tc>
        <w:tc>
          <w:tcPr>
            <w:tcW w:w="460" w:type="pct"/>
            <w:vAlign w:val="center"/>
          </w:tcPr>
          <w:p w:rsidR="001B2BE4" w:rsidRPr="00643997" w:rsidRDefault="001B2BE4" w:rsidP="004D4114">
            <w:pPr>
              <w:jc w:val="center"/>
              <w:rPr>
                <w:color w:val="000000"/>
              </w:rPr>
            </w:pPr>
            <w:r w:rsidRPr="00643997">
              <w:rPr>
                <w:color w:val="000000"/>
              </w:rPr>
              <w:t>1183</w:t>
            </w:r>
            <w:r w:rsidRPr="00643997">
              <w:rPr>
                <w:color w:val="000000"/>
                <w:vertAlign w:val="superscript"/>
              </w:rPr>
              <w:t>cde</w:t>
            </w:r>
          </w:p>
        </w:tc>
      </w:tr>
      <w:tr w:rsidR="001B2BE4" w:rsidRPr="00F33D82" w:rsidTr="001B2BE4">
        <w:trPr>
          <w:trHeight w:val="647"/>
        </w:trPr>
        <w:tc>
          <w:tcPr>
            <w:tcW w:w="252" w:type="pct"/>
          </w:tcPr>
          <w:p w:rsidR="001B2BE4" w:rsidRPr="00F33D82" w:rsidRDefault="001B2BE4" w:rsidP="004D4114">
            <w:pPr>
              <w:jc w:val="center"/>
              <w:rPr>
                <w:b/>
                <w:color w:val="000000"/>
                <w:sz w:val="22"/>
                <w:szCs w:val="22"/>
              </w:rPr>
            </w:pPr>
            <w:r w:rsidRPr="00F33D82">
              <w:rPr>
                <w:b/>
                <w:color w:val="000000"/>
                <w:sz w:val="22"/>
                <w:szCs w:val="22"/>
              </w:rPr>
              <w:t>T</w:t>
            </w:r>
            <w:r w:rsidRPr="00F33D82">
              <w:rPr>
                <w:b/>
                <w:color w:val="000000"/>
                <w:sz w:val="22"/>
                <w:szCs w:val="22"/>
                <w:vertAlign w:val="subscript"/>
              </w:rPr>
              <w:t>7</w:t>
            </w:r>
          </w:p>
        </w:tc>
        <w:tc>
          <w:tcPr>
            <w:tcW w:w="1853" w:type="pct"/>
          </w:tcPr>
          <w:p w:rsidR="001B2BE4" w:rsidRPr="00F33D82" w:rsidRDefault="001B2BE4" w:rsidP="004D4114">
            <w:pPr>
              <w:jc w:val="both"/>
              <w:rPr>
                <w:color w:val="000000"/>
                <w:kern w:val="24"/>
                <w:position w:val="-10"/>
                <w:sz w:val="22"/>
                <w:szCs w:val="22"/>
                <w:vertAlign w:val="subscript"/>
                <w:lang w:eastAsia="en-IN"/>
              </w:rPr>
            </w:pPr>
            <w:proofErr w:type="spellStart"/>
            <w:r w:rsidRPr="00F33D82">
              <w:rPr>
                <w:sz w:val="22"/>
                <w:szCs w:val="22"/>
              </w:rPr>
              <w:t>Imazamox</w:t>
            </w:r>
            <w:proofErr w:type="spellEnd"/>
            <w:r w:rsidRPr="00F33D82">
              <w:rPr>
                <w:sz w:val="22"/>
                <w:szCs w:val="22"/>
              </w:rPr>
              <w:t xml:space="preserve"> 35% + Imazethapyr 35% (Pre </w:t>
            </w:r>
            <w:proofErr w:type="gramStart"/>
            <w:r w:rsidRPr="00F33D82">
              <w:rPr>
                <w:sz w:val="22"/>
                <w:szCs w:val="22"/>
              </w:rPr>
              <w:t>mix )</w:t>
            </w:r>
            <w:proofErr w:type="gramEnd"/>
            <w:r w:rsidRPr="00F33D82">
              <w:rPr>
                <w:sz w:val="22"/>
                <w:szCs w:val="22"/>
              </w:rPr>
              <w:t xml:space="preserve"> 70 g ha</w:t>
            </w:r>
            <w:r w:rsidRPr="00F33D82">
              <w:rPr>
                <w:sz w:val="22"/>
                <w:szCs w:val="22"/>
                <w:vertAlign w:val="superscript"/>
              </w:rPr>
              <w:t>-1</w:t>
            </w:r>
            <w:r w:rsidRPr="00F33D82">
              <w:rPr>
                <w:sz w:val="22"/>
                <w:szCs w:val="22"/>
              </w:rPr>
              <w:t xml:space="preserve">PoE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463" w:type="pct"/>
            <w:vAlign w:val="center"/>
          </w:tcPr>
          <w:p w:rsidR="001B2BE4" w:rsidRPr="005F06A2" w:rsidRDefault="001B2BE4" w:rsidP="004D4114">
            <w:pPr>
              <w:jc w:val="center"/>
              <w:rPr>
                <w:color w:val="000000"/>
              </w:rPr>
            </w:pPr>
            <w:r w:rsidRPr="005F06A2">
              <w:rPr>
                <w:color w:val="000000"/>
              </w:rPr>
              <w:t>20.3</w:t>
            </w:r>
          </w:p>
        </w:tc>
        <w:tc>
          <w:tcPr>
            <w:tcW w:w="541" w:type="pct"/>
            <w:vAlign w:val="center"/>
          </w:tcPr>
          <w:p w:rsidR="001B2BE4" w:rsidRPr="005F06A2" w:rsidRDefault="001B2BE4" w:rsidP="004D4114">
            <w:pPr>
              <w:jc w:val="center"/>
              <w:rPr>
                <w:color w:val="000000"/>
              </w:rPr>
            </w:pPr>
            <w:r w:rsidRPr="005F06A2">
              <w:rPr>
                <w:color w:val="000000"/>
              </w:rPr>
              <w:t>20.3</w:t>
            </w:r>
          </w:p>
        </w:tc>
        <w:tc>
          <w:tcPr>
            <w:tcW w:w="506" w:type="pct"/>
            <w:vAlign w:val="center"/>
          </w:tcPr>
          <w:p w:rsidR="001B2BE4" w:rsidRPr="005F06A2" w:rsidRDefault="001B2BE4" w:rsidP="004D4114">
            <w:pPr>
              <w:jc w:val="center"/>
              <w:rPr>
                <w:color w:val="000000"/>
              </w:rPr>
            </w:pPr>
            <w:r w:rsidRPr="005F06A2">
              <w:rPr>
                <w:color w:val="000000"/>
              </w:rPr>
              <w:t>20.3</w:t>
            </w:r>
            <w:r w:rsidRPr="005F06A2">
              <w:rPr>
                <w:color w:val="000000"/>
                <w:vertAlign w:val="superscript"/>
              </w:rPr>
              <w:t>ab</w:t>
            </w:r>
          </w:p>
        </w:tc>
        <w:tc>
          <w:tcPr>
            <w:tcW w:w="463" w:type="pct"/>
            <w:vAlign w:val="center"/>
          </w:tcPr>
          <w:p w:rsidR="001B2BE4" w:rsidRPr="00643997" w:rsidRDefault="001B2BE4" w:rsidP="004D4114">
            <w:pPr>
              <w:jc w:val="center"/>
              <w:rPr>
                <w:color w:val="000000"/>
              </w:rPr>
            </w:pPr>
            <w:r w:rsidRPr="00643997">
              <w:rPr>
                <w:color w:val="000000"/>
              </w:rPr>
              <w:t>1417</w:t>
            </w:r>
            <w:r w:rsidRPr="00643997">
              <w:rPr>
                <w:color w:val="000000"/>
                <w:vertAlign w:val="superscript"/>
              </w:rPr>
              <w:t>a</w:t>
            </w:r>
          </w:p>
        </w:tc>
        <w:tc>
          <w:tcPr>
            <w:tcW w:w="462" w:type="pct"/>
            <w:vAlign w:val="center"/>
          </w:tcPr>
          <w:p w:rsidR="001B2BE4" w:rsidRPr="00643997" w:rsidRDefault="001B2BE4" w:rsidP="004D4114">
            <w:pPr>
              <w:jc w:val="center"/>
              <w:rPr>
                <w:color w:val="000000"/>
              </w:rPr>
            </w:pPr>
            <w:r w:rsidRPr="00643997">
              <w:rPr>
                <w:color w:val="000000"/>
              </w:rPr>
              <w:t>1345</w:t>
            </w:r>
            <w:r w:rsidRPr="00643997">
              <w:rPr>
                <w:color w:val="000000"/>
                <w:vertAlign w:val="superscript"/>
              </w:rPr>
              <w:t>ab</w:t>
            </w:r>
          </w:p>
        </w:tc>
        <w:tc>
          <w:tcPr>
            <w:tcW w:w="460" w:type="pct"/>
            <w:vAlign w:val="center"/>
          </w:tcPr>
          <w:p w:rsidR="001B2BE4" w:rsidRPr="00643997" w:rsidRDefault="001B2BE4" w:rsidP="004D4114">
            <w:pPr>
              <w:jc w:val="center"/>
              <w:rPr>
                <w:color w:val="000000"/>
              </w:rPr>
            </w:pPr>
            <w:r w:rsidRPr="00643997">
              <w:rPr>
                <w:color w:val="000000"/>
              </w:rPr>
              <w:t>1381</w:t>
            </w:r>
            <w:r w:rsidRPr="00643997">
              <w:rPr>
                <w:color w:val="000000"/>
                <w:vertAlign w:val="superscript"/>
              </w:rPr>
              <w:t>ab</w:t>
            </w:r>
          </w:p>
        </w:tc>
      </w:tr>
      <w:tr w:rsidR="001B2BE4" w:rsidRPr="00F33D82" w:rsidTr="001B2BE4">
        <w:trPr>
          <w:trHeight w:val="750"/>
        </w:trPr>
        <w:tc>
          <w:tcPr>
            <w:tcW w:w="252" w:type="pct"/>
          </w:tcPr>
          <w:p w:rsidR="001B2BE4" w:rsidRPr="00F33D82" w:rsidRDefault="001B2BE4" w:rsidP="004D4114">
            <w:pPr>
              <w:jc w:val="center"/>
              <w:rPr>
                <w:b/>
                <w:color w:val="000000"/>
                <w:sz w:val="22"/>
                <w:szCs w:val="22"/>
              </w:rPr>
            </w:pPr>
            <w:r w:rsidRPr="00F33D82">
              <w:rPr>
                <w:b/>
                <w:color w:val="000000"/>
                <w:sz w:val="22"/>
                <w:szCs w:val="22"/>
              </w:rPr>
              <w:t>T</w:t>
            </w:r>
            <w:r w:rsidRPr="00F33D82">
              <w:rPr>
                <w:b/>
                <w:color w:val="000000"/>
                <w:sz w:val="22"/>
                <w:szCs w:val="22"/>
                <w:vertAlign w:val="subscript"/>
              </w:rPr>
              <w:t>8</w:t>
            </w:r>
          </w:p>
        </w:tc>
        <w:tc>
          <w:tcPr>
            <w:tcW w:w="1853" w:type="pct"/>
          </w:tcPr>
          <w:p w:rsidR="001B2BE4" w:rsidRPr="00F33D82" w:rsidRDefault="001B2BE4" w:rsidP="004D4114">
            <w:pPr>
              <w:jc w:val="both"/>
              <w:rPr>
                <w:sz w:val="22"/>
                <w:szCs w:val="22"/>
              </w:rPr>
            </w:pPr>
            <w:r w:rsidRPr="00F33D82">
              <w:rPr>
                <w:bCs/>
                <w:color w:val="000000"/>
                <w:sz w:val="22"/>
                <w:szCs w:val="22"/>
              </w:rPr>
              <w:t xml:space="preserve">Sodium </w:t>
            </w:r>
            <w:proofErr w:type="spellStart"/>
            <w:r w:rsidRPr="00F33D82">
              <w:rPr>
                <w:bCs/>
                <w:color w:val="000000"/>
                <w:sz w:val="22"/>
                <w:szCs w:val="22"/>
              </w:rPr>
              <w:t>acefluorfen</w:t>
            </w:r>
            <w:proofErr w:type="spellEnd"/>
            <w:r w:rsidRPr="00F33D82">
              <w:rPr>
                <w:bCs/>
                <w:color w:val="000000"/>
                <w:sz w:val="22"/>
                <w:szCs w:val="22"/>
              </w:rPr>
              <w:t xml:space="preserve"> 16.5% + </w:t>
            </w:r>
            <w:proofErr w:type="spellStart"/>
            <w:r w:rsidRPr="00F33D82">
              <w:rPr>
                <w:bCs/>
                <w:color w:val="000000"/>
                <w:sz w:val="22"/>
                <w:szCs w:val="22"/>
              </w:rPr>
              <w:t>Clodinafop</w:t>
            </w:r>
            <w:proofErr w:type="spellEnd"/>
            <w:r w:rsidRPr="00F33D82">
              <w:rPr>
                <w:bCs/>
                <w:color w:val="000000"/>
                <w:sz w:val="22"/>
                <w:szCs w:val="22"/>
              </w:rPr>
              <w:t xml:space="preserve"> propargyl 8% EC (Pre-mix</w:t>
            </w:r>
            <w:proofErr w:type="gramStart"/>
            <w:r w:rsidRPr="00F33D82">
              <w:rPr>
                <w:bCs/>
                <w:color w:val="000000"/>
                <w:sz w:val="22"/>
                <w:szCs w:val="22"/>
              </w:rPr>
              <w:t>)  80</w:t>
            </w:r>
            <w:proofErr w:type="gramEnd"/>
            <w:r w:rsidRPr="00F33D82">
              <w:rPr>
                <w:bCs/>
                <w:color w:val="000000"/>
                <w:sz w:val="22"/>
                <w:szCs w:val="22"/>
              </w:rPr>
              <w:t>+165</w:t>
            </w:r>
            <w:r w:rsidRPr="00F33D82">
              <w:rPr>
                <w:sz w:val="22"/>
                <w:szCs w:val="22"/>
              </w:rPr>
              <w:t xml:space="preserve"> PoE </w:t>
            </w:r>
            <w:r w:rsidRPr="00F33D82">
              <w:rPr>
                <w:i/>
                <w:iCs/>
                <w:sz w:val="22"/>
                <w:szCs w:val="22"/>
              </w:rPr>
              <w:t>fb</w:t>
            </w:r>
            <w:r w:rsidRPr="00F33D82">
              <w:rPr>
                <w:sz w:val="22"/>
                <w:szCs w:val="22"/>
              </w:rPr>
              <w:t xml:space="preserve">  IC + HW at 30 </w:t>
            </w:r>
            <w:r w:rsidRPr="00F33D82">
              <w:rPr>
                <w:bCs/>
                <w:color w:val="000000"/>
                <w:sz w:val="22"/>
                <w:szCs w:val="22"/>
              </w:rPr>
              <w:t>DAS</w:t>
            </w:r>
          </w:p>
        </w:tc>
        <w:tc>
          <w:tcPr>
            <w:tcW w:w="463" w:type="pct"/>
            <w:vAlign w:val="center"/>
          </w:tcPr>
          <w:p w:rsidR="001B2BE4" w:rsidRPr="005F06A2" w:rsidRDefault="001B2BE4" w:rsidP="004D4114">
            <w:pPr>
              <w:jc w:val="center"/>
              <w:rPr>
                <w:color w:val="000000"/>
              </w:rPr>
            </w:pPr>
            <w:r w:rsidRPr="005F06A2">
              <w:rPr>
                <w:color w:val="000000"/>
              </w:rPr>
              <w:t>19.2</w:t>
            </w:r>
          </w:p>
        </w:tc>
        <w:tc>
          <w:tcPr>
            <w:tcW w:w="541" w:type="pct"/>
            <w:vAlign w:val="center"/>
          </w:tcPr>
          <w:p w:rsidR="001B2BE4" w:rsidRPr="005F06A2" w:rsidRDefault="001B2BE4" w:rsidP="004D4114">
            <w:pPr>
              <w:jc w:val="center"/>
              <w:rPr>
                <w:color w:val="000000"/>
              </w:rPr>
            </w:pPr>
            <w:r w:rsidRPr="005F06A2">
              <w:rPr>
                <w:color w:val="000000"/>
              </w:rPr>
              <w:t>18.9</w:t>
            </w:r>
          </w:p>
        </w:tc>
        <w:tc>
          <w:tcPr>
            <w:tcW w:w="506" w:type="pct"/>
            <w:vAlign w:val="center"/>
          </w:tcPr>
          <w:p w:rsidR="001B2BE4" w:rsidRPr="005F06A2" w:rsidRDefault="001B2BE4" w:rsidP="004D4114">
            <w:pPr>
              <w:jc w:val="center"/>
              <w:rPr>
                <w:color w:val="000000"/>
              </w:rPr>
            </w:pPr>
            <w:r w:rsidRPr="005F06A2">
              <w:rPr>
                <w:color w:val="000000"/>
              </w:rPr>
              <w:t>19.0</w:t>
            </w:r>
            <w:r w:rsidRPr="005F06A2">
              <w:rPr>
                <w:color w:val="000000"/>
                <w:vertAlign w:val="superscript"/>
              </w:rPr>
              <w:t>bc</w:t>
            </w:r>
          </w:p>
        </w:tc>
        <w:tc>
          <w:tcPr>
            <w:tcW w:w="463" w:type="pct"/>
            <w:vAlign w:val="center"/>
          </w:tcPr>
          <w:p w:rsidR="001B2BE4" w:rsidRPr="00643997" w:rsidRDefault="001B2BE4" w:rsidP="004D4114">
            <w:pPr>
              <w:jc w:val="center"/>
              <w:rPr>
                <w:color w:val="000000"/>
              </w:rPr>
            </w:pPr>
            <w:r w:rsidRPr="00643997">
              <w:rPr>
                <w:color w:val="000000"/>
              </w:rPr>
              <w:t>1369</w:t>
            </w:r>
            <w:r w:rsidRPr="00643997">
              <w:rPr>
                <w:color w:val="000000"/>
                <w:vertAlign w:val="superscript"/>
              </w:rPr>
              <w:t>ab</w:t>
            </w:r>
          </w:p>
        </w:tc>
        <w:tc>
          <w:tcPr>
            <w:tcW w:w="462" w:type="pct"/>
            <w:vAlign w:val="center"/>
          </w:tcPr>
          <w:p w:rsidR="001B2BE4" w:rsidRPr="00643997" w:rsidRDefault="001B2BE4" w:rsidP="004D4114">
            <w:pPr>
              <w:jc w:val="center"/>
              <w:rPr>
                <w:color w:val="000000"/>
              </w:rPr>
            </w:pPr>
            <w:r w:rsidRPr="00643997">
              <w:rPr>
                <w:color w:val="000000"/>
              </w:rPr>
              <w:t>1242</w:t>
            </w:r>
            <w:r w:rsidRPr="00643997">
              <w:rPr>
                <w:color w:val="000000"/>
                <w:vertAlign w:val="superscript"/>
              </w:rPr>
              <w:t>ab</w:t>
            </w:r>
          </w:p>
        </w:tc>
        <w:tc>
          <w:tcPr>
            <w:tcW w:w="460" w:type="pct"/>
            <w:vAlign w:val="center"/>
          </w:tcPr>
          <w:p w:rsidR="001B2BE4" w:rsidRPr="00643997" w:rsidRDefault="001B2BE4" w:rsidP="004D4114">
            <w:pPr>
              <w:jc w:val="center"/>
              <w:rPr>
                <w:color w:val="000000"/>
              </w:rPr>
            </w:pPr>
            <w:r w:rsidRPr="00643997">
              <w:rPr>
                <w:color w:val="000000"/>
              </w:rPr>
              <w:t>1305</w:t>
            </w:r>
            <w:r w:rsidRPr="00643997">
              <w:rPr>
                <w:color w:val="000000"/>
                <w:vertAlign w:val="superscript"/>
              </w:rPr>
              <w:t>bcd</w:t>
            </w:r>
          </w:p>
        </w:tc>
      </w:tr>
      <w:tr w:rsidR="001B2BE4" w:rsidRPr="00F33D82" w:rsidTr="001B2BE4">
        <w:trPr>
          <w:trHeight w:val="255"/>
        </w:trPr>
        <w:tc>
          <w:tcPr>
            <w:tcW w:w="252" w:type="pct"/>
          </w:tcPr>
          <w:p w:rsidR="001B2BE4" w:rsidRPr="00F33D82" w:rsidRDefault="001B2BE4" w:rsidP="004D4114">
            <w:pPr>
              <w:jc w:val="center"/>
              <w:rPr>
                <w:b/>
                <w:color w:val="000000"/>
                <w:sz w:val="22"/>
                <w:szCs w:val="22"/>
              </w:rPr>
            </w:pPr>
            <w:r w:rsidRPr="00F33D82">
              <w:rPr>
                <w:b/>
                <w:color w:val="000000"/>
                <w:sz w:val="22"/>
                <w:szCs w:val="22"/>
              </w:rPr>
              <w:t>T</w:t>
            </w:r>
            <w:r w:rsidRPr="00F33D82">
              <w:rPr>
                <w:b/>
                <w:color w:val="000000"/>
                <w:sz w:val="22"/>
                <w:szCs w:val="22"/>
                <w:vertAlign w:val="subscript"/>
              </w:rPr>
              <w:t>9</w:t>
            </w:r>
          </w:p>
        </w:tc>
        <w:tc>
          <w:tcPr>
            <w:tcW w:w="1853" w:type="pct"/>
          </w:tcPr>
          <w:p w:rsidR="001B2BE4" w:rsidRPr="00F33D82" w:rsidRDefault="001B2BE4" w:rsidP="004D4114">
            <w:pPr>
              <w:jc w:val="both"/>
              <w:rPr>
                <w:color w:val="000000"/>
                <w:kern w:val="24"/>
                <w:position w:val="-10"/>
                <w:sz w:val="22"/>
                <w:szCs w:val="22"/>
                <w:vertAlign w:val="subscript"/>
                <w:lang w:eastAsia="en-IN"/>
              </w:rPr>
            </w:pPr>
            <w:r w:rsidRPr="00F33D82">
              <w:rPr>
                <w:sz w:val="22"/>
                <w:szCs w:val="22"/>
              </w:rPr>
              <w:t xml:space="preserve"> IC + HW</w:t>
            </w:r>
            <w:r w:rsidRPr="00F33D82">
              <w:rPr>
                <w:bCs/>
                <w:color w:val="000000"/>
                <w:sz w:val="22"/>
                <w:szCs w:val="22"/>
              </w:rPr>
              <w:t xml:space="preserve"> at 20 &amp; 40 DAS</w:t>
            </w:r>
          </w:p>
        </w:tc>
        <w:tc>
          <w:tcPr>
            <w:tcW w:w="463" w:type="pct"/>
            <w:vAlign w:val="center"/>
          </w:tcPr>
          <w:p w:rsidR="001B2BE4" w:rsidRPr="005F06A2" w:rsidRDefault="001B2BE4" w:rsidP="004D4114">
            <w:pPr>
              <w:jc w:val="center"/>
              <w:rPr>
                <w:color w:val="000000"/>
              </w:rPr>
            </w:pPr>
            <w:r w:rsidRPr="005F06A2">
              <w:rPr>
                <w:color w:val="000000"/>
              </w:rPr>
              <w:t>20.8</w:t>
            </w:r>
          </w:p>
        </w:tc>
        <w:tc>
          <w:tcPr>
            <w:tcW w:w="541" w:type="pct"/>
            <w:vAlign w:val="center"/>
          </w:tcPr>
          <w:p w:rsidR="001B2BE4" w:rsidRPr="005F06A2" w:rsidRDefault="001B2BE4" w:rsidP="004D4114">
            <w:pPr>
              <w:jc w:val="center"/>
              <w:rPr>
                <w:color w:val="000000"/>
              </w:rPr>
            </w:pPr>
            <w:r w:rsidRPr="005F06A2">
              <w:rPr>
                <w:color w:val="000000"/>
              </w:rPr>
              <w:t>21.2</w:t>
            </w:r>
          </w:p>
        </w:tc>
        <w:tc>
          <w:tcPr>
            <w:tcW w:w="506" w:type="pct"/>
            <w:vAlign w:val="center"/>
          </w:tcPr>
          <w:p w:rsidR="001B2BE4" w:rsidRPr="005F06A2" w:rsidRDefault="001B2BE4" w:rsidP="004D4114">
            <w:pPr>
              <w:jc w:val="center"/>
              <w:rPr>
                <w:color w:val="000000"/>
              </w:rPr>
            </w:pPr>
            <w:r w:rsidRPr="005F06A2">
              <w:rPr>
                <w:color w:val="000000"/>
              </w:rPr>
              <w:t>21.0</w:t>
            </w:r>
            <w:r w:rsidRPr="005F06A2">
              <w:rPr>
                <w:color w:val="000000"/>
                <w:vertAlign w:val="superscript"/>
              </w:rPr>
              <w:t>a</w:t>
            </w:r>
          </w:p>
        </w:tc>
        <w:tc>
          <w:tcPr>
            <w:tcW w:w="463" w:type="pct"/>
            <w:vAlign w:val="center"/>
          </w:tcPr>
          <w:p w:rsidR="001B2BE4" w:rsidRPr="00643997" w:rsidRDefault="001B2BE4" w:rsidP="004D4114">
            <w:pPr>
              <w:jc w:val="center"/>
              <w:rPr>
                <w:color w:val="000000"/>
              </w:rPr>
            </w:pPr>
            <w:r w:rsidRPr="00643997">
              <w:rPr>
                <w:color w:val="000000"/>
              </w:rPr>
              <w:t>1542</w:t>
            </w:r>
            <w:r w:rsidRPr="00643997">
              <w:rPr>
                <w:color w:val="000000"/>
                <w:vertAlign w:val="superscript"/>
              </w:rPr>
              <w:t>a</w:t>
            </w:r>
          </w:p>
        </w:tc>
        <w:tc>
          <w:tcPr>
            <w:tcW w:w="462" w:type="pct"/>
            <w:vAlign w:val="center"/>
          </w:tcPr>
          <w:p w:rsidR="001B2BE4" w:rsidRPr="00643997" w:rsidRDefault="001B2BE4" w:rsidP="004D4114">
            <w:pPr>
              <w:jc w:val="center"/>
              <w:rPr>
                <w:color w:val="000000"/>
              </w:rPr>
            </w:pPr>
            <w:r w:rsidRPr="00643997">
              <w:rPr>
                <w:color w:val="000000"/>
              </w:rPr>
              <w:t>1421</w:t>
            </w:r>
            <w:r w:rsidRPr="00643997">
              <w:rPr>
                <w:color w:val="000000"/>
                <w:vertAlign w:val="superscript"/>
              </w:rPr>
              <w:t>a</w:t>
            </w:r>
          </w:p>
        </w:tc>
        <w:tc>
          <w:tcPr>
            <w:tcW w:w="460" w:type="pct"/>
            <w:vAlign w:val="center"/>
          </w:tcPr>
          <w:p w:rsidR="001B2BE4" w:rsidRPr="00643997" w:rsidRDefault="001B2BE4" w:rsidP="004D4114">
            <w:pPr>
              <w:jc w:val="center"/>
              <w:rPr>
                <w:color w:val="000000"/>
              </w:rPr>
            </w:pPr>
            <w:r w:rsidRPr="00643997">
              <w:rPr>
                <w:color w:val="000000"/>
              </w:rPr>
              <w:t>1482</w:t>
            </w:r>
            <w:r w:rsidRPr="00643997">
              <w:rPr>
                <w:color w:val="000000"/>
                <w:vertAlign w:val="superscript"/>
              </w:rPr>
              <w:t>a</w:t>
            </w:r>
          </w:p>
        </w:tc>
      </w:tr>
      <w:tr w:rsidR="001B2BE4" w:rsidRPr="00F33D82" w:rsidTr="001B2BE4">
        <w:trPr>
          <w:trHeight w:val="240"/>
        </w:trPr>
        <w:tc>
          <w:tcPr>
            <w:tcW w:w="252" w:type="pct"/>
          </w:tcPr>
          <w:p w:rsidR="001B2BE4" w:rsidRPr="00F33D82" w:rsidRDefault="001B2BE4" w:rsidP="004D4114">
            <w:pPr>
              <w:jc w:val="center"/>
              <w:rPr>
                <w:b/>
                <w:color w:val="000000"/>
                <w:sz w:val="22"/>
                <w:szCs w:val="22"/>
              </w:rPr>
            </w:pPr>
            <w:r w:rsidRPr="00F33D82">
              <w:rPr>
                <w:b/>
                <w:color w:val="000000"/>
                <w:sz w:val="22"/>
                <w:szCs w:val="22"/>
              </w:rPr>
              <w:t>T</w:t>
            </w:r>
            <w:r w:rsidRPr="00F33D82">
              <w:rPr>
                <w:b/>
                <w:color w:val="000000"/>
                <w:sz w:val="22"/>
                <w:szCs w:val="22"/>
                <w:vertAlign w:val="subscript"/>
              </w:rPr>
              <w:t>10</w:t>
            </w:r>
          </w:p>
        </w:tc>
        <w:tc>
          <w:tcPr>
            <w:tcW w:w="1853" w:type="pct"/>
          </w:tcPr>
          <w:p w:rsidR="001B2BE4" w:rsidRPr="00F33D82" w:rsidRDefault="001B2BE4" w:rsidP="004D4114">
            <w:pPr>
              <w:jc w:val="both"/>
              <w:rPr>
                <w:color w:val="000000"/>
                <w:kern w:val="24"/>
                <w:position w:val="-10"/>
                <w:sz w:val="22"/>
                <w:szCs w:val="22"/>
                <w:vertAlign w:val="subscript"/>
                <w:lang w:eastAsia="en-IN"/>
              </w:rPr>
            </w:pPr>
            <w:r w:rsidRPr="00F33D82">
              <w:rPr>
                <w:bCs/>
                <w:color w:val="000000"/>
                <w:sz w:val="22"/>
                <w:szCs w:val="22"/>
              </w:rPr>
              <w:t>Weedy check</w:t>
            </w:r>
          </w:p>
        </w:tc>
        <w:tc>
          <w:tcPr>
            <w:tcW w:w="463" w:type="pct"/>
            <w:vAlign w:val="center"/>
          </w:tcPr>
          <w:p w:rsidR="001B2BE4" w:rsidRPr="005F06A2" w:rsidRDefault="001B2BE4" w:rsidP="004D4114">
            <w:pPr>
              <w:jc w:val="center"/>
              <w:rPr>
                <w:color w:val="000000"/>
              </w:rPr>
            </w:pPr>
            <w:r w:rsidRPr="005F06A2">
              <w:rPr>
                <w:color w:val="000000"/>
              </w:rPr>
              <w:t>16.9</w:t>
            </w:r>
          </w:p>
        </w:tc>
        <w:tc>
          <w:tcPr>
            <w:tcW w:w="541" w:type="pct"/>
            <w:vAlign w:val="center"/>
          </w:tcPr>
          <w:p w:rsidR="001B2BE4" w:rsidRPr="005F06A2" w:rsidRDefault="001B2BE4" w:rsidP="004D4114">
            <w:pPr>
              <w:jc w:val="center"/>
              <w:rPr>
                <w:color w:val="000000"/>
              </w:rPr>
            </w:pPr>
            <w:r w:rsidRPr="005F06A2">
              <w:rPr>
                <w:color w:val="000000"/>
              </w:rPr>
              <w:t>17.8</w:t>
            </w:r>
          </w:p>
        </w:tc>
        <w:tc>
          <w:tcPr>
            <w:tcW w:w="506" w:type="pct"/>
            <w:vAlign w:val="center"/>
          </w:tcPr>
          <w:p w:rsidR="001B2BE4" w:rsidRPr="005F06A2" w:rsidRDefault="001B2BE4" w:rsidP="004D4114">
            <w:pPr>
              <w:jc w:val="center"/>
              <w:rPr>
                <w:color w:val="000000"/>
              </w:rPr>
            </w:pPr>
            <w:r w:rsidRPr="005F06A2">
              <w:rPr>
                <w:color w:val="000000"/>
              </w:rPr>
              <w:t>17.4</w:t>
            </w:r>
            <w:r w:rsidRPr="005F06A2">
              <w:rPr>
                <w:color w:val="000000"/>
                <w:vertAlign w:val="superscript"/>
              </w:rPr>
              <w:t>d</w:t>
            </w:r>
          </w:p>
        </w:tc>
        <w:tc>
          <w:tcPr>
            <w:tcW w:w="463" w:type="pct"/>
            <w:vAlign w:val="center"/>
          </w:tcPr>
          <w:p w:rsidR="001B2BE4" w:rsidRPr="00643997" w:rsidRDefault="001B2BE4" w:rsidP="004D4114">
            <w:pPr>
              <w:jc w:val="center"/>
              <w:rPr>
                <w:color w:val="000000"/>
              </w:rPr>
            </w:pPr>
            <w:r w:rsidRPr="00643997">
              <w:rPr>
                <w:color w:val="000000"/>
              </w:rPr>
              <w:t>540</w:t>
            </w:r>
            <w:r w:rsidRPr="00643997">
              <w:rPr>
                <w:color w:val="000000"/>
                <w:vertAlign w:val="superscript"/>
              </w:rPr>
              <w:t>d</w:t>
            </w:r>
          </w:p>
        </w:tc>
        <w:tc>
          <w:tcPr>
            <w:tcW w:w="462" w:type="pct"/>
            <w:vAlign w:val="center"/>
          </w:tcPr>
          <w:p w:rsidR="001B2BE4" w:rsidRPr="00643997" w:rsidRDefault="001B2BE4" w:rsidP="004D4114">
            <w:pPr>
              <w:jc w:val="center"/>
              <w:rPr>
                <w:color w:val="000000"/>
              </w:rPr>
            </w:pPr>
            <w:r w:rsidRPr="00643997">
              <w:rPr>
                <w:color w:val="000000"/>
              </w:rPr>
              <w:t>487</w:t>
            </w:r>
            <w:r w:rsidRPr="00643997">
              <w:rPr>
                <w:color w:val="000000"/>
                <w:vertAlign w:val="superscript"/>
              </w:rPr>
              <w:t>c</w:t>
            </w:r>
          </w:p>
        </w:tc>
        <w:tc>
          <w:tcPr>
            <w:tcW w:w="460" w:type="pct"/>
            <w:vAlign w:val="center"/>
          </w:tcPr>
          <w:p w:rsidR="001B2BE4" w:rsidRPr="00643997" w:rsidRDefault="001B2BE4" w:rsidP="004D4114">
            <w:pPr>
              <w:jc w:val="center"/>
              <w:rPr>
                <w:color w:val="000000"/>
              </w:rPr>
            </w:pPr>
            <w:r w:rsidRPr="00643997">
              <w:rPr>
                <w:color w:val="000000"/>
              </w:rPr>
              <w:t>514</w:t>
            </w:r>
            <w:r w:rsidRPr="00643997">
              <w:rPr>
                <w:color w:val="000000"/>
                <w:vertAlign w:val="superscript"/>
              </w:rPr>
              <w:t>f</w:t>
            </w:r>
          </w:p>
        </w:tc>
      </w:tr>
      <w:tr w:rsidR="001B2BE4" w:rsidRPr="00F33D82" w:rsidTr="001B2BE4">
        <w:trPr>
          <w:trHeight w:val="296"/>
        </w:trPr>
        <w:tc>
          <w:tcPr>
            <w:tcW w:w="252" w:type="pct"/>
          </w:tcPr>
          <w:p w:rsidR="001B2BE4" w:rsidRPr="00F33D82" w:rsidRDefault="001B2BE4" w:rsidP="004D4114">
            <w:pPr>
              <w:jc w:val="center"/>
              <w:rPr>
                <w:b/>
                <w:color w:val="000000"/>
                <w:sz w:val="22"/>
                <w:szCs w:val="22"/>
              </w:rPr>
            </w:pPr>
          </w:p>
        </w:tc>
        <w:tc>
          <w:tcPr>
            <w:tcW w:w="1853" w:type="pct"/>
          </w:tcPr>
          <w:p w:rsidR="001B2BE4" w:rsidRPr="00F33D82" w:rsidRDefault="001B2BE4" w:rsidP="004D4114">
            <w:pPr>
              <w:jc w:val="center"/>
              <w:rPr>
                <w:b/>
                <w:bCs/>
                <w:sz w:val="22"/>
                <w:szCs w:val="22"/>
              </w:rPr>
            </w:pPr>
            <w:proofErr w:type="spellStart"/>
            <w:proofErr w:type="gramStart"/>
            <w:r w:rsidRPr="00F33D82">
              <w:rPr>
                <w:b/>
                <w:bCs/>
                <w:sz w:val="22"/>
                <w:szCs w:val="22"/>
              </w:rPr>
              <w:t>S.Em</w:t>
            </w:r>
            <w:proofErr w:type="spellEnd"/>
            <w:proofErr w:type="gramEnd"/>
            <w:r w:rsidRPr="00F33D82">
              <w:rPr>
                <w:b/>
                <w:bCs/>
                <w:sz w:val="22"/>
                <w:szCs w:val="22"/>
              </w:rPr>
              <w:t xml:space="preserve"> ±</w:t>
            </w:r>
          </w:p>
        </w:tc>
        <w:tc>
          <w:tcPr>
            <w:tcW w:w="463" w:type="pct"/>
            <w:vAlign w:val="center"/>
          </w:tcPr>
          <w:p w:rsidR="001B2BE4" w:rsidRPr="005F06A2" w:rsidRDefault="001B2BE4" w:rsidP="004D4114">
            <w:pPr>
              <w:jc w:val="center"/>
            </w:pPr>
            <w:r w:rsidRPr="005F06A2">
              <w:t>0.71</w:t>
            </w:r>
          </w:p>
        </w:tc>
        <w:tc>
          <w:tcPr>
            <w:tcW w:w="541" w:type="pct"/>
            <w:vAlign w:val="center"/>
          </w:tcPr>
          <w:p w:rsidR="001B2BE4" w:rsidRPr="005F06A2" w:rsidRDefault="001B2BE4" w:rsidP="004D4114">
            <w:pPr>
              <w:jc w:val="center"/>
            </w:pPr>
            <w:r w:rsidRPr="005F06A2">
              <w:t>0.62</w:t>
            </w:r>
          </w:p>
        </w:tc>
        <w:tc>
          <w:tcPr>
            <w:tcW w:w="506" w:type="pct"/>
            <w:vAlign w:val="center"/>
          </w:tcPr>
          <w:p w:rsidR="001B2BE4" w:rsidRPr="005F06A2" w:rsidRDefault="001B2BE4" w:rsidP="004D4114">
            <w:pPr>
              <w:jc w:val="center"/>
            </w:pPr>
            <w:r w:rsidRPr="005F06A2">
              <w:t>0.44</w:t>
            </w:r>
          </w:p>
        </w:tc>
        <w:tc>
          <w:tcPr>
            <w:tcW w:w="463" w:type="pct"/>
            <w:vAlign w:val="center"/>
          </w:tcPr>
          <w:p w:rsidR="001B2BE4" w:rsidRPr="00643997" w:rsidRDefault="001B2BE4" w:rsidP="004D4114">
            <w:pPr>
              <w:jc w:val="center"/>
            </w:pPr>
            <w:r w:rsidRPr="00643997">
              <w:t>60.54</w:t>
            </w:r>
          </w:p>
        </w:tc>
        <w:tc>
          <w:tcPr>
            <w:tcW w:w="462" w:type="pct"/>
            <w:vAlign w:val="center"/>
          </w:tcPr>
          <w:p w:rsidR="001B2BE4" w:rsidRPr="00643997" w:rsidRDefault="001B2BE4" w:rsidP="004D4114">
            <w:pPr>
              <w:jc w:val="center"/>
            </w:pPr>
            <w:r w:rsidRPr="00643997">
              <w:t>63.97</w:t>
            </w:r>
          </w:p>
        </w:tc>
        <w:tc>
          <w:tcPr>
            <w:tcW w:w="460" w:type="pct"/>
            <w:vAlign w:val="center"/>
          </w:tcPr>
          <w:p w:rsidR="001B2BE4" w:rsidRPr="00643997" w:rsidRDefault="001B2BE4" w:rsidP="004D4114">
            <w:pPr>
              <w:jc w:val="center"/>
            </w:pPr>
            <w:r w:rsidRPr="00643997">
              <w:t>42.54</w:t>
            </w:r>
          </w:p>
        </w:tc>
      </w:tr>
      <w:tr w:rsidR="001B2BE4" w:rsidRPr="00F33D82" w:rsidTr="001B2BE4">
        <w:trPr>
          <w:trHeight w:val="240"/>
        </w:trPr>
        <w:tc>
          <w:tcPr>
            <w:tcW w:w="252" w:type="pct"/>
          </w:tcPr>
          <w:p w:rsidR="001B2BE4" w:rsidRPr="00F33D82" w:rsidRDefault="001B2BE4" w:rsidP="004D4114">
            <w:pPr>
              <w:rPr>
                <w:sz w:val="22"/>
                <w:szCs w:val="22"/>
              </w:rPr>
            </w:pPr>
          </w:p>
        </w:tc>
        <w:tc>
          <w:tcPr>
            <w:tcW w:w="1853" w:type="pct"/>
          </w:tcPr>
          <w:p w:rsidR="001B2BE4" w:rsidRPr="00F33D82" w:rsidRDefault="001B2BE4" w:rsidP="004D4114">
            <w:pPr>
              <w:jc w:val="center"/>
              <w:rPr>
                <w:b/>
                <w:bCs/>
                <w:sz w:val="22"/>
                <w:szCs w:val="22"/>
              </w:rPr>
            </w:pPr>
            <w:r w:rsidRPr="00F33D82">
              <w:rPr>
                <w:b/>
                <w:bCs/>
                <w:color w:val="000000" w:themeColor="text1"/>
                <w:sz w:val="22"/>
                <w:szCs w:val="22"/>
              </w:rPr>
              <w:t>F Test. 5 %</w:t>
            </w:r>
          </w:p>
        </w:tc>
        <w:tc>
          <w:tcPr>
            <w:tcW w:w="463" w:type="pct"/>
            <w:vAlign w:val="center"/>
          </w:tcPr>
          <w:p w:rsidR="001B2BE4" w:rsidRPr="005F06A2" w:rsidRDefault="001B2BE4" w:rsidP="004D4114">
            <w:pPr>
              <w:jc w:val="center"/>
            </w:pPr>
            <w:r w:rsidRPr="005F06A2">
              <w:t>NS</w:t>
            </w:r>
          </w:p>
        </w:tc>
        <w:tc>
          <w:tcPr>
            <w:tcW w:w="541" w:type="pct"/>
            <w:vAlign w:val="center"/>
          </w:tcPr>
          <w:p w:rsidR="001B2BE4" w:rsidRPr="005F06A2" w:rsidRDefault="001B2BE4" w:rsidP="004D4114">
            <w:pPr>
              <w:jc w:val="center"/>
            </w:pPr>
            <w:r w:rsidRPr="005F06A2">
              <w:t>NS</w:t>
            </w:r>
          </w:p>
        </w:tc>
        <w:tc>
          <w:tcPr>
            <w:tcW w:w="506" w:type="pct"/>
            <w:vAlign w:val="center"/>
          </w:tcPr>
          <w:p w:rsidR="001B2BE4" w:rsidRPr="005F06A2" w:rsidRDefault="001B2BE4" w:rsidP="004D4114">
            <w:pPr>
              <w:jc w:val="center"/>
            </w:pPr>
            <w:r w:rsidRPr="005F06A2">
              <w:t>Sig.</w:t>
            </w:r>
          </w:p>
        </w:tc>
        <w:tc>
          <w:tcPr>
            <w:tcW w:w="463" w:type="pct"/>
          </w:tcPr>
          <w:p w:rsidR="001B2BE4" w:rsidRPr="00643997" w:rsidRDefault="001B2BE4" w:rsidP="004D4114">
            <w:pPr>
              <w:jc w:val="center"/>
            </w:pPr>
            <w:r w:rsidRPr="00643997">
              <w:t>Sig.</w:t>
            </w:r>
          </w:p>
        </w:tc>
        <w:tc>
          <w:tcPr>
            <w:tcW w:w="462" w:type="pct"/>
          </w:tcPr>
          <w:p w:rsidR="001B2BE4" w:rsidRPr="00643997" w:rsidRDefault="001B2BE4" w:rsidP="004D4114">
            <w:pPr>
              <w:jc w:val="center"/>
            </w:pPr>
            <w:r w:rsidRPr="00643997">
              <w:t>Sig.</w:t>
            </w:r>
          </w:p>
        </w:tc>
        <w:tc>
          <w:tcPr>
            <w:tcW w:w="460" w:type="pct"/>
          </w:tcPr>
          <w:p w:rsidR="001B2BE4" w:rsidRPr="00643997" w:rsidRDefault="001B2BE4" w:rsidP="004D4114">
            <w:pPr>
              <w:jc w:val="center"/>
            </w:pPr>
            <w:r w:rsidRPr="00643997">
              <w:t>Sig.</w:t>
            </w:r>
          </w:p>
        </w:tc>
      </w:tr>
      <w:tr w:rsidR="001B2BE4" w:rsidRPr="00F33D82" w:rsidTr="001B2BE4">
        <w:trPr>
          <w:trHeight w:val="255"/>
        </w:trPr>
        <w:tc>
          <w:tcPr>
            <w:tcW w:w="252" w:type="pct"/>
          </w:tcPr>
          <w:p w:rsidR="001B2BE4" w:rsidRPr="00F33D82" w:rsidRDefault="001B2BE4" w:rsidP="004D4114">
            <w:pPr>
              <w:rPr>
                <w:sz w:val="22"/>
                <w:szCs w:val="22"/>
              </w:rPr>
            </w:pPr>
          </w:p>
        </w:tc>
        <w:tc>
          <w:tcPr>
            <w:tcW w:w="1853" w:type="pct"/>
          </w:tcPr>
          <w:p w:rsidR="001B2BE4" w:rsidRPr="00F33D82" w:rsidRDefault="001B2BE4" w:rsidP="004D4114">
            <w:pPr>
              <w:jc w:val="center"/>
              <w:rPr>
                <w:b/>
                <w:bCs/>
                <w:sz w:val="22"/>
                <w:szCs w:val="22"/>
              </w:rPr>
            </w:pPr>
            <w:r w:rsidRPr="00F33D82">
              <w:rPr>
                <w:b/>
                <w:bCs/>
                <w:sz w:val="22"/>
                <w:szCs w:val="22"/>
              </w:rPr>
              <w:t>CV%</w:t>
            </w:r>
          </w:p>
        </w:tc>
        <w:tc>
          <w:tcPr>
            <w:tcW w:w="463" w:type="pct"/>
            <w:vAlign w:val="center"/>
          </w:tcPr>
          <w:p w:rsidR="001B2BE4" w:rsidRPr="005F06A2" w:rsidRDefault="001B2BE4" w:rsidP="004D4114">
            <w:pPr>
              <w:jc w:val="center"/>
            </w:pPr>
            <w:r w:rsidRPr="005F06A2">
              <w:t>7.43</w:t>
            </w:r>
          </w:p>
        </w:tc>
        <w:tc>
          <w:tcPr>
            <w:tcW w:w="541" w:type="pct"/>
            <w:vAlign w:val="center"/>
          </w:tcPr>
          <w:p w:rsidR="001B2BE4" w:rsidRPr="005F06A2" w:rsidRDefault="001B2BE4" w:rsidP="004D4114">
            <w:pPr>
              <w:jc w:val="center"/>
            </w:pPr>
            <w:r w:rsidRPr="005F06A2">
              <w:t>6.39</w:t>
            </w:r>
          </w:p>
        </w:tc>
        <w:tc>
          <w:tcPr>
            <w:tcW w:w="506" w:type="pct"/>
            <w:vAlign w:val="center"/>
          </w:tcPr>
          <w:p w:rsidR="001B2BE4" w:rsidRPr="005F06A2" w:rsidRDefault="001B2BE4" w:rsidP="004D4114">
            <w:pPr>
              <w:jc w:val="center"/>
            </w:pPr>
            <w:r w:rsidRPr="005F06A2">
              <w:t>6.92</w:t>
            </w:r>
          </w:p>
        </w:tc>
        <w:tc>
          <w:tcPr>
            <w:tcW w:w="463" w:type="pct"/>
            <w:vAlign w:val="center"/>
          </w:tcPr>
          <w:p w:rsidR="001B2BE4" w:rsidRPr="00643997" w:rsidRDefault="001B2BE4" w:rsidP="004D4114">
            <w:pPr>
              <w:jc w:val="center"/>
            </w:pPr>
            <w:r w:rsidRPr="00643997">
              <w:t>9.74</w:t>
            </w:r>
          </w:p>
        </w:tc>
        <w:tc>
          <w:tcPr>
            <w:tcW w:w="462" w:type="pct"/>
            <w:vAlign w:val="center"/>
          </w:tcPr>
          <w:p w:rsidR="001B2BE4" w:rsidRPr="00643997" w:rsidRDefault="001B2BE4" w:rsidP="004D4114">
            <w:pPr>
              <w:jc w:val="center"/>
            </w:pPr>
            <w:r w:rsidRPr="00643997">
              <w:t>10.91</w:t>
            </w:r>
          </w:p>
        </w:tc>
        <w:tc>
          <w:tcPr>
            <w:tcW w:w="460" w:type="pct"/>
            <w:vAlign w:val="center"/>
          </w:tcPr>
          <w:p w:rsidR="001B2BE4" w:rsidRPr="00643997" w:rsidRDefault="001B2BE4" w:rsidP="004D4114">
            <w:pPr>
              <w:jc w:val="center"/>
            </w:pPr>
            <w:r w:rsidRPr="00643997">
              <w:t>10.32</w:t>
            </w:r>
          </w:p>
        </w:tc>
      </w:tr>
      <w:tr w:rsidR="001B2BE4" w:rsidRPr="00F33D82" w:rsidTr="001B2BE4">
        <w:trPr>
          <w:trHeight w:val="240"/>
        </w:trPr>
        <w:tc>
          <w:tcPr>
            <w:tcW w:w="252" w:type="pct"/>
          </w:tcPr>
          <w:p w:rsidR="001B2BE4" w:rsidRPr="00F33D82" w:rsidRDefault="001B2BE4" w:rsidP="004D4114">
            <w:pPr>
              <w:rPr>
                <w:sz w:val="22"/>
                <w:szCs w:val="22"/>
              </w:rPr>
            </w:pPr>
          </w:p>
        </w:tc>
        <w:tc>
          <w:tcPr>
            <w:tcW w:w="1853" w:type="pct"/>
          </w:tcPr>
          <w:p w:rsidR="001B2BE4" w:rsidRPr="00F33D82" w:rsidRDefault="001B2BE4" w:rsidP="004D4114">
            <w:pPr>
              <w:rPr>
                <w:b/>
                <w:bCs/>
                <w:sz w:val="22"/>
                <w:szCs w:val="22"/>
              </w:rPr>
            </w:pPr>
            <w:r w:rsidRPr="00F33D82">
              <w:rPr>
                <w:b/>
                <w:bCs/>
                <w:sz w:val="22"/>
                <w:szCs w:val="22"/>
              </w:rPr>
              <w:t xml:space="preserve">Interaction Y x </w:t>
            </w:r>
            <w:proofErr w:type="spellStart"/>
            <w:proofErr w:type="gramStart"/>
            <w:r w:rsidRPr="00F33D82">
              <w:rPr>
                <w:b/>
                <w:bCs/>
                <w:sz w:val="22"/>
                <w:szCs w:val="22"/>
              </w:rPr>
              <w:t>TS.Em</w:t>
            </w:r>
            <w:proofErr w:type="spellEnd"/>
            <w:proofErr w:type="gramEnd"/>
            <w:r w:rsidRPr="00F33D82">
              <w:rPr>
                <w:b/>
                <w:bCs/>
                <w:sz w:val="22"/>
                <w:szCs w:val="22"/>
              </w:rPr>
              <w:t xml:space="preserve"> ±</w:t>
            </w:r>
          </w:p>
        </w:tc>
        <w:tc>
          <w:tcPr>
            <w:tcW w:w="463" w:type="pct"/>
            <w:vAlign w:val="center"/>
          </w:tcPr>
          <w:p w:rsidR="001B2BE4" w:rsidRPr="005F06A2" w:rsidRDefault="001B2BE4" w:rsidP="004D4114">
            <w:pPr>
              <w:jc w:val="center"/>
              <w:rPr>
                <w:b/>
                <w:bCs/>
              </w:rPr>
            </w:pPr>
            <w:r w:rsidRPr="005F06A2">
              <w:rPr>
                <w:b/>
                <w:bCs/>
              </w:rPr>
              <w:t>-</w:t>
            </w:r>
          </w:p>
        </w:tc>
        <w:tc>
          <w:tcPr>
            <w:tcW w:w="541" w:type="pct"/>
            <w:vAlign w:val="center"/>
          </w:tcPr>
          <w:p w:rsidR="001B2BE4" w:rsidRPr="005F06A2" w:rsidRDefault="001B2BE4" w:rsidP="004D4114">
            <w:pPr>
              <w:jc w:val="center"/>
              <w:rPr>
                <w:b/>
                <w:bCs/>
              </w:rPr>
            </w:pPr>
            <w:r w:rsidRPr="005F06A2">
              <w:rPr>
                <w:b/>
                <w:bCs/>
              </w:rPr>
              <w:t>-</w:t>
            </w:r>
          </w:p>
        </w:tc>
        <w:tc>
          <w:tcPr>
            <w:tcW w:w="506" w:type="pct"/>
            <w:vAlign w:val="center"/>
          </w:tcPr>
          <w:p w:rsidR="001B2BE4" w:rsidRPr="005F06A2" w:rsidRDefault="001B2BE4" w:rsidP="004D4114">
            <w:pPr>
              <w:jc w:val="center"/>
            </w:pPr>
            <w:r w:rsidRPr="005F06A2">
              <w:t>0.67</w:t>
            </w:r>
          </w:p>
        </w:tc>
        <w:tc>
          <w:tcPr>
            <w:tcW w:w="463" w:type="pct"/>
            <w:vAlign w:val="center"/>
          </w:tcPr>
          <w:p w:rsidR="001B2BE4" w:rsidRPr="00643997" w:rsidRDefault="001B2BE4" w:rsidP="004D4114">
            <w:pPr>
              <w:jc w:val="center"/>
              <w:rPr>
                <w:b/>
                <w:bCs/>
              </w:rPr>
            </w:pPr>
            <w:r w:rsidRPr="00643997">
              <w:rPr>
                <w:b/>
                <w:bCs/>
              </w:rPr>
              <w:t>-</w:t>
            </w:r>
          </w:p>
        </w:tc>
        <w:tc>
          <w:tcPr>
            <w:tcW w:w="462" w:type="pct"/>
            <w:vAlign w:val="center"/>
          </w:tcPr>
          <w:p w:rsidR="001B2BE4" w:rsidRPr="00643997" w:rsidRDefault="001B2BE4" w:rsidP="004D4114">
            <w:pPr>
              <w:jc w:val="center"/>
              <w:rPr>
                <w:b/>
                <w:bCs/>
              </w:rPr>
            </w:pPr>
            <w:r w:rsidRPr="00643997">
              <w:rPr>
                <w:b/>
                <w:bCs/>
              </w:rPr>
              <w:t>-</w:t>
            </w:r>
          </w:p>
        </w:tc>
        <w:tc>
          <w:tcPr>
            <w:tcW w:w="460" w:type="pct"/>
            <w:vAlign w:val="center"/>
          </w:tcPr>
          <w:p w:rsidR="001B2BE4" w:rsidRPr="00643997" w:rsidRDefault="001B2BE4" w:rsidP="004D4114">
            <w:pPr>
              <w:jc w:val="center"/>
            </w:pPr>
            <w:r w:rsidRPr="00643997">
              <w:t>62.28</w:t>
            </w:r>
          </w:p>
        </w:tc>
      </w:tr>
      <w:tr w:rsidR="001B2BE4" w:rsidRPr="00F33D82" w:rsidTr="001B2BE4">
        <w:trPr>
          <w:trHeight w:val="270"/>
        </w:trPr>
        <w:tc>
          <w:tcPr>
            <w:tcW w:w="252" w:type="pct"/>
          </w:tcPr>
          <w:p w:rsidR="001B2BE4" w:rsidRPr="00F33D82" w:rsidRDefault="001B2BE4" w:rsidP="004D4114">
            <w:pPr>
              <w:rPr>
                <w:sz w:val="22"/>
                <w:szCs w:val="22"/>
              </w:rPr>
            </w:pPr>
          </w:p>
        </w:tc>
        <w:tc>
          <w:tcPr>
            <w:tcW w:w="1853" w:type="pct"/>
          </w:tcPr>
          <w:p w:rsidR="001B2BE4" w:rsidRPr="00F33D82" w:rsidRDefault="001B2BE4" w:rsidP="004D4114">
            <w:pPr>
              <w:jc w:val="center"/>
              <w:rPr>
                <w:b/>
                <w:bCs/>
                <w:sz w:val="22"/>
                <w:szCs w:val="22"/>
              </w:rPr>
            </w:pPr>
            <w:r w:rsidRPr="00F33D82">
              <w:rPr>
                <w:b/>
                <w:bCs/>
                <w:color w:val="000000" w:themeColor="text1"/>
                <w:sz w:val="22"/>
                <w:szCs w:val="22"/>
              </w:rPr>
              <w:t>F Test. 5 %</w:t>
            </w:r>
          </w:p>
        </w:tc>
        <w:tc>
          <w:tcPr>
            <w:tcW w:w="463" w:type="pct"/>
            <w:vAlign w:val="center"/>
          </w:tcPr>
          <w:p w:rsidR="001B2BE4" w:rsidRPr="005F06A2" w:rsidRDefault="001B2BE4" w:rsidP="004D4114">
            <w:pPr>
              <w:jc w:val="center"/>
              <w:rPr>
                <w:b/>
                <w:bCs/>
              </w:rPr>
            </w:pPr>
            <w:r w:rsidRPr="005F06A2">
              <w:rPr>
                <w:b/>
                <w:bCs/>
              </w:rPr>
              <w:t>-</w:t>
            </w:r>
          </w:p>
        </w:tc>
        <w:tc>
          <w:tcPr>
            <w:tcW w:w="541" w:type="pct"/>
            <w:vAlign w:val="center"/>
          </w:tcPr>
          <w:p w:rsidR="001B2BE4" w:rsidRPr="005F06A2" w:rsidRDefault="001B2BE4" w:rsidP="004D4114">
            <w:pPr>
              <w:jc w:val="center"/>
              <w:rPr>
                <w:b/>
                <w:bCs/>
              </w:rPr>
            </w:pPr>
            <w:r w:rsidRPr="005F06A2">
              <w:rPr>
                <w:b/>
                <w:bCs/>
              </w:rPr>
              <w:t>-</w:t>
            </w:r>
          </w:p>
        </w:tc>
        <w:tc>
          <w:tcPr>
            <w:tcW w:w="506" w:type="pct"/>
            <w:vAlign w:val="center"/>
          </w:tcPr>
          <w:p w:rsidR="001B2BE4" w:rsidRPr="005F06A2" w:rsidRDefault="001B2BE4" w:rsidP="004D4114">
            <w:pPr>
              <w:jc w:val="center"/>
              <w:rPr>
                <w:b/>
                <w:bCs/>
              </w:rPr>
            </w:pPr>
            <w:r w:rsidRPr="005F06A2">
              <w:t>NS</w:t>
            </w:r>
          </w:p>
        </w:tc>
        <w:tc>
          <w:tcPr>
            <w:tcW w:w="463" w:type="pct"/>
            <w:vAlign w:val="center"/>
          </w:tcPr>
          <w:p w:rsidR="001B2BE4" w:rsidRPr="00643997" w:rsidRDefault="001B2BE4" w:rsidP="004D4114">
            <w:pPr>
              <w:jc w:val="center"/>
              <w:rPr>
                <w:b/>
                <w:bCs/>
              </w:rPr>
            </w:pPr>
            <w:r w:rsidRPr="00643997">
              <w:rPr>
                <w:b/>
                <w:bCs/>
              </w:rPr>
              <w:t>-</w:t>
            </w:r>
          </w:p>
        </w:tc>
        <w:tc>
          <w:tcPr>
            <w:tcW w:w="462" w:type="pct"/>
            <w:vAlign w:val="center"/>
          </w:tcPr>
          <w:p w:rsidR="001B2BE4" w:rsidRPr="00643997" w:rsidRDefault="001B2BE4" w:rsidP="004D4114">
            <w:pPr>
              <w:jc w:val="center"/>
              <w:rPr>
                <w:b/>
                <w:bCs/>
              </w:rPr>
            </w:pPr>
            <w:r w:rsidRPr="00643997">
              <w:rPr>
                <w:b/>
                <w:bCs/>
              </w:rPr>
              <w:t>-</w:t>
            </w:r>
          </w:p>
        </w:tc>
        <w:tc>
          <w:tcPr>
            <w:tcW w:w="460" w:type="pct"/>
            <w:vAlign w:val="center"/>
          </w:tcPr>
          <w:p w:rsidR="001B2BE4" w:rsidRPr="00643997" w:rsidRDefault="001B2BE4" w:rsidP="004D4114">
            <w:pPr>
              <w:jc w:val="center"/>
              <w:rPr>
                <w:b/>
                <w:bCs/>
              </w:rPr>
            </w:pPr>
            <w:r w:rsidRPr="00643997">
              <w:t>NS</w:t>
            </w:r>
          </w:p>
        </w:tc>
      </w:tr>
    </w:tbl>
    <w:p w:rsidR="001B2BE4" w:rsidRDefault="001B2BE4" w:rsidP="001B2BE4">
      <w:pPr>
        <w:jc w:val="both"/>
        <w:rPr>
          <w:color w:val="000000" w:themeColor="text1"/>
        </w:rPr>
      </w:pPr>
    </w:p>
    <w:p w:rsidR="00505A9E" w:rsidRDefault="001B2BE4" w:rsidP="001B2BE4">
      <w:pPr>
        <w:jc w:val="both"/>
        <w:rPr>
          <w:color w:val="000000" w:themeColor="text1"/>
        </w:rPr>
      </w:pPr>
      <w:r w:rsidRPr="00C96A5F">
        <w:rPr>
          <w:color w:val="000000" w:themeColor="text1"/>
        </w:rPr>
        <w:t xml:space="preserve">Note: 1) Treatment means with the letter/letters in common are not significantly different </w:t>
      </w:r>
      <w:proofErr w:type="gramStart"/>
      <w:r w:rsidRPr="00C96A5F">
        <w:rPr>
          <w:color w:val="000000" w:themeColor="text1"/>
        </w:rPr>
        <w:t xml:space="preserve">by </w:t>
      </w:r>
      <w:r>
        <w:rPr>
          <w:color w:val="000000" w:themeColor="text1"/>
        </w:rPr>
        <w:t xml:space="preserve"> Duncan’s</w:t>
      </w:r>
      <w:proofErr w:type="gramEnd"/>
      <w:r>
        <w:rPr>
          <w:color w:val="000000" w:themeColor="text1"/>
        </w:rPr>
        <w:t xml:space="preserve"> New Multiple Range </w:t>
      </w:r>
      <w:r w:rsidRPr="00C96A5F">
        <w:rPr>
          <w:color w:val="000000" w:themeColor="text1"/>
        </w:rPr>
        <w:t>Test  at</w:t>
      </w:r>
    </w:p>
    <w:p w:rsidR="001B2BE4" w:rsidRPr="00C96A5F" w:rsidRDefault="001B2BE4" w:rsidP="001B2BE4">
      <w:pPr>
        <w:jc w:val="both"/>
        <w:rPr>
          <w:color w:val="000000" w:themeColor="text1"/>
        </w:rPr>
      </w:pPr>
      <w:r w:rsidRPr="00C96A5F">
        <w:rPr>
          <w:color w:val="000000" w:themeColor="text1"/>
        </w:rPr>
        <w:t xml:space="preserve"> 5% per cent level of significance</w:t>
      </w:r>
    </w:p>
    <w:p w:rsidR="001B2BE4" w:rsidRPr="00C96A5F" w:rsidRDefault="001B2BE4" w:rsidP="001B2BE4">
      <w:pPr>
        <w:rPr>
          <w:color w:val="000000" w:themeColor="text1"/>
        </w:rPr>
      </w:pPr>
    </w:p>
    <w:p w:rsidR="00304A4D" w:rsidRDefault="00304A4D" w:rsidP="003C489D">
      <w:pPr>
        <w:rPr>
          <w:color w:val="000000" w:themeColor="text1"/>
        </w:rPr>
      </w:pPr>
    </w:p>
    <w:sectPr w:rsidR="00304A4D" w:rsidSect="005611ED">
      <w:pgSz w:w="15840" w:h="12240" w:orient="landscape"/>
      <w:pgMar w:top="1440" w:right="1008"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C7A" w:rsidRDefault="00C73C7A" w:rsidP="002B52D8">
      <w:r>
        <w:separator/>
      </w:r>
    </w:p>
  </w:endnote>
  <w:endnote w:type="continuationSeparator" w:id="0">
    <w:p w:rsidR="00C73C7A" w:rsidRDefault="00C73C7A" w:rsidP="002B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2D8" w:rsidRDefault="002B5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2D8" w:rsidRDefault="002B52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2D8" w:rsidRDefault="002B5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C7A" w:rsidRDefault="00C73C7A" w:rsidP="002B52D8">
      <w:r>
        <w:separator/>
      </w:r>
    </w:p>
  </w:footnote>
  <w:footnote w:type="continuationSeparator" w:id="0">
    <w:p w:rsidR="00C73C7A" w:rsidRDefault="00C73C7A" w:rsidP="002B5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2D8" w:rsidRDefault="004937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845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2D8" w:rsidRDefault="004937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845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2D8" w:rsidRDefault="004937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845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22BB"/>
    <w:multiLevelType w:val="hybridMultilevel"/>
    <w:tmpl w:val="2CFC4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F0B75"/>
    <w:multiLevelType w:val="hybridMultilevel"/>
    <w:tmpl w:val="6D2E0018"/>
    <w:lvl w:ilvl="0" w:tplc="F9A830D0">
      <w:start w:val="1"/>
      <w:numFmt w:val="lowerLetter"/>
      <w:lvlText w:val="%1)"/>
      <w:lvlJc w:val="left"/>
      <w:pPr>
        <w:ind w:left="360" w:hanging="360"/>
      </w:pPr>
      <w:rPr>
        <w:rFonts w:ascii="Cambria" w:eastAsia="SimSun" w:hAnsi="Cambria"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435330"/>
    <w:multiLevelType w:val="hybridMultilevel"/>
    <w:tmpl w:val="34BA1E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8667F3"/>
    <w:multiLevelType w:val="hybridMultilevel"/>
    <w:tmpl w:val="A7CCD3DC"/>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F2857"/>
    <w:multiLevelType w:val="hybridMultilevel"/>
    <w:tmpl w:val="910ACB50"/>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7D51D0"/>
    <w:multiLevelType w:val="hybridMultilevel"/>
    <w:tmpl w:val="DB1A0E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C0914"/>
    <w:multiLevelType w:val="hybridMultilevel"/>
    <w:tmpl w:val="194AA304"/>
    <w:lvl w:ilvl="0" w:tplc="675E03F6">
      <w:start w:val="1"/>
      <w:numFmt w:val="decimal"/>
      <w:lvlText w:val="%1)"/>
      <w:lvlJc w:val="left"/>
      <w:pPr>
        <w:ind w:left="1080" w:hanging="720"/>
      </w:pPr>
      <w:rPr>
        <w:rFonts w:ascii="Cambria" w:eastAsia="SimSu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73220"/>
    <w:multiLevelType w:val="hybridMultilevel"/>
    <w:tmpl w:val="0F5EC956"/>
    <w:lvl w:ilvl="0" w:tplc="C23C06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72796"/>
    <w:multiLevelType w:val="hybridMultilevel"/>
    <w:tmpl w:val="DA9AF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B7A30"/>
    <w:multiLevelType w:val="hybridMultilevel"/>
    <w:tmpl w:val="CA4A0DC2"/>
    <w:lvl w:ilvl="0" w:tplc="5252A992">
      <w:start w:val="1"/>
      <w:numFmt w:val="bullet"/>
      <w:lvlText w:val=""/>
      <w:lvlJc w:val="left"/>
      <w:pPr>
        <w:tabs>
          <w:tab w:val="num" w:pos="720"/>
        </w:tabs>
        <w:ind w:left="720" w:hanging="360"/>
      </w:pPr>
      <w:rPr>
        <w:rFonts w:ascii="Wingdings" w:hAnsi="Wingdings" w:hint="default"/>
      </w:rPr>
    </w:lvl>
    <w:lvl w:ilvl="1" w:tplc="E95E48CA" w:tentative="1">
      <w:start w:val="1"/>
      <w:numFmt w:val="bullet"/>
      <w:lvlText w:val=""/>
      <w:lvlJc w:val="left"/>
      <w:pPr>
        <w:tabs>
          <w:tab w:val="num" w:pos="1440"/>
        </w:tabs>
        <w:ind w:left="1440" w:hanging="360"/>
      </w:pPr>
      <w:rPr>
        <w:rFonts w:ascii="Wingdings" w:hAnsi="Wingdings" w:hint="default"/>
      </w:rPr>
    </w:lvl>
    <w:lvl w:ilvl="2" w:tplc="C07CE5EA" w:tentative="1">
      <w:start w:val="1"/>
      <w:numFmt w:val="bullet"/>
      <w:lvlText w:val=""/>
      <w:lvlJc w:val="left"/>
      <w:pPr>
        <w:tabs>
          <w:tab w:val="num" w:pos="2160"/>
        </w:tabs>
        <w:ind w:left="2160" w:hanging="360"/>
      </w:pPr>
      <w:rPr>
        <w:rFonts w:ascii="Wingdings" w:hAnsi="Wingdings" w:hint="default"/>
      </w:rPr>
    </w:lvl>
    <w:lvl w:ilvl="3" w:tplc="D25A50BC" w:tentative="1">
      <w:start w:val="1"/>
      <w:numFmt w:val="bullet"/>
      <w:lvlText w:val=""/>
      <w:lvlJc w:val="left"/>
      <w:pPr>
        <w:tabs>
          <w:tab w:val="num" w:pos="2880"/>
        </w:tabs>
        <w:ind w:left="2880" w:hanging="360"/>
      </w:pPr>
      <w:rPr>
        <w:rFonts w:ascii="Wingdings" w:hAnsi="Wingdings" w:hint="default"/>
      </w:rPr>
    </w:lvl>
    <w:lvl w:ilvl="4" w:tplc="BF56F25A" w:tentative="1">
      <w:start w:val="1"/>
      <w:numFmt w:val="bullet"/>
      <w:lvlText w:val=""/>
      <w:lvlJc w:val="left"/>
      <w:pPr>
        <w:tabs>
          <w:tab w:val="num" w:pos="3600"/>
        </w:tabs>
        <w:ind w:left="3600" w:hanging="360"/>
      </w:pPr>
      <w:rPr>
        <w:rFonts w:ascii="Wingdings" w:hAnsi="Wingdings" w:hint="default"/>
      </w:rPr>
    </w:lvl>
    <w:lvl w:ilvl="5" w:tplc="219CDDDE" w:tentative="1">
      <w:start w:val="1"/>
      <w:numFmt w:val="bullet"/>
      <w:lvlText w:val=""/>
      <w:lvlJc w:val="left"/>
      <w:pPr>
        <w:tabs>
          <w:tab w:val="num" w:pos="4320"/>
        </w:tabs>
        <w:ind w:left="4320" w:hanging="360"/>
      </w:pPr>
      <w:rPr>
        <w:rFonts w:ascii="Wingdings" w:hAnsi="Wingdings" w:hint="default"/>
      </w:rPr>
    </w:lvl>
    <w:lvl w:ilvl="6" w:tplc="1C122A9E" w:tentative="1">
      <w:start w:val="1"/>
      <w:numFmt w:val="bullet"/>
      <w:lvlText w:val=""/>
      <w:lvlJc w:val="left"/>
      <w:pPr>
        <w:tabs>
          <w:tab w:val="num" w:pos="5040"/>
        </w:tabs>
        <w:ind w:left="5040" w:hanging="360"/>
      </w:pPr>
      <w:rPr>
        <w:rFonts w:ascii="Wingdings" w:hAnsi="Wingdings" w:hint="default"/>
      </w:rPr>
    </w:lvl>
    <w:lvl w:ilvl="7" w:tplc="41A613AA" w:tentative="1">
      <w:start w:val="1"/>
      <w:numFmt w:val="bullet"/>
      <w:lvlText w:val=""/>
      <w:lvlJc w:val="left"/>
      <w:pPr>
        <w:tabs>
          <w:tab w:val="num" w:pos="5760"/>
        </w:tabs>
        <w:ind w:left="5760" w:hanging="360"/>
      </w:pPr>
      <w:rPr>
        <w:rFonts w:ascii="Wingdings" w:hAnsi="Wingdings" w:hint="default"/>
      </w:rPr>
    </w:lvl>
    <w:lvl w:ilvl="8" w:tplc="D518A0F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7B2523"/>
    <w:multiLevelType w:val="hybridMultilevel"/>
    <w:tmpl w:val="F2F64998"/>
    <w:lvl w:ilvl="0" w:tplc="0409000B">
      <w:start w:val="1"/>
      <w:numFmt w:val="bullet"/>
      <w:lvlText w:val=""/>
      <w:lvlJc w:val="left"/>
      <w:pPr>
        <w:ind w:left="1940" w:hanging="360"/>
      </w:pPr>
      <w:rPr>
        <w:rFonts w:ascii="Wingdings" w:hAnsi="Wingdings" w:hint="default"/>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11" w15:restartNumberingAfterBreak="0">
    <w:nsid w:val="3BCA0235"/>
    <w:multiLevelType w:val="hybridMultilevel"/>
    <w:tmpl w:val="A7CCD3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293A1E"/>
    <w:multiLevelType w:val="hybridMultilevel"/>
    <w:tmpl w:val="A7CCD3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05C91"/>
    <w:multiLevelType w:val="hybridMultilevel"/>
    <w:tmpl w:val="E2300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13968"/>
    <w:multiLevelType w:val="hybridMultilevel"/>
    <w:tmpl w:val="5E80C2AC"/>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44867A2C"/>
    <w:multiLevelType w:val="hybridMultilevel"/>
    <w:tmpl w:val="7E0C1028"/>
    <w:lvl w:ilvl="0" w:tplc="67F82D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977CDF"/>
    <w:multiLevelType w:val="hybridMultilevel"/>
    <w:tmpl w:val="B9D6E7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4B12F9"/>
    <w:multiLevelType w:val="hybridMultilevel"/>
    <w:tmpl w:val="19BA4122"/>
    <w:lvl w:ilvl="0" w:tplc="B8EAA1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40276D"/>
    <w:multiLevelType w:val="hybridMultilevel"/>
    <w:tmpl w:val="6C162590"/>
    <w:lvl w:ilvl="0" w:tplc="57A6094C">
      <w:start w:val="1"/>
      <w:numFmt w:val="decimal"/>
      <w:lvlText w:val="%1)"/>
      <w:lvlJc w:val="left"/>
      <w:pPr>
        <w:ind w:left="1080" w:hanging="720"/>
      </w:pPr>
      <w:rPr>
        <w:rFonts w:ascii="Cambria" w:eastAsia="SimSu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DB41AB"/>
    <w:multiLevelType w:val="hybridMultilevel"/>
    <w:tmpl w:val="F75C35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4B290E"/>
    <w:multiLevelType w:val="hybridMultilevel"/>
    <w:tmpl w:val="7F08D1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EF6986"/>
    <w:multiLevelType w:val="hybridMultilevel"/>
    <w:tmpl w:val="34B0C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BE03E8"/>
    <w:multiLevelType w:val="hybridMultilevel"/>
    <w:tmpl w:val="20BAC5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E41DB1"/>
    <w:multiLevelType w:val="hybridMultilevel"/>
    <w:tmpl w:val="4B98915E"/>
    <w:lvl w:ilvl="0" w:tplc="A0A0B9C4">
      <w:start w:val="2"/>
      <w:numFmt w:val="decimal"/>
      <w:lvlText w:val="%1."/>
      <w:lvlJc w:val="left"/>
      <w:pPr>
        <w:ind w:left="1140" w:hanging="360"/>
      </w:pPr>
      <w:rPr>
        <w:rFonts w:hint="default"/>
        <w:b w:val="0"/>
      </w:rPr>
    </w:lvl>
    <w:lvl w:ilvl="1" w:tplc="40090019" w:tentative="1">
      <w:start w:val="1"/>
      <w:numFmt w:val="lowerLetter"/>
      <w:lvlText w:val="%2."/>
      <w:lvlJc w:val="left"/>
      <w:pPr>
        <w:ind w:left="1860" w:hanging="360"/>
      </w:pPr>
    </w:lvl>
    <w:lvl w:ilvl="2" w:tplc="4009001B" w:tentative="1">
      <w:start w:val="1"/>
      <w:numFmt w:val="lowerRoman"/>
      <w:lvlText w:val="%3."/>
      <w:lvlJc w:val="right"/>
      <w:pPr>
        <w:ind w:left="2580" w:hanging="180"/>
      </w:pPr>
    </w:lvl>
    <w:lvl w:ilvl="3" w:tplc="4009000F" w:tentative="1">
      <w:start w:val="1"/>
      <w:numFmt w:val="decimal"/>
      <w:lvlText w:val="%4."/>
      <w:lvlJc w:val="left"/>
      <w:pPr>
        <w:ind w:left="3300" w:hanging="360"/>
      </w:pPr>
    </w:lvl>
    <w:lvl w:ilvl="4" w:tplc="40090019" w:tentative="1">
      <w:start w:val="1"/>
      <w:numFmt w:val="lowerLetter"/>
      <w:lvlText w:val="%5."/>
      <w:lvlJc w:val="left"/>
      <w:pPr>
        <w:ind w:left="4020" w:hanging="360"/>
      </w:pPr>
    </w:lvl>
    <w:lvl w:ilvl="5" w:tplc="4009001B" w:tentative="1">
      <w:start w:val="1"/>
      <w:numFmt w:val="lowerRoman"/>
      <w:lvlText w:val="%6."/>
      <w:lvlJc w:val="right"/>
      <w:pPr>
        <w:ind w:left="4740" w:hanging="180"/>
      </w:pPr>
    </w:lvl>
    <w:lvl w:ilvl="6" w:tplc="4009000F" w:tentative="1">
      <w:start w:val="1"/>
      <w:numFmt w:val="decimal"/>
      <w:lvlText w:val="%7."/>
      <w:lvlJc w:val="left"/>
      <w:pPr>
        <w:ind w:left="5460" w:hanging="360"/>
      </w:pPr>
    </w:lvl>
    <w:lvl w:ilvl="7" w:tplc="40090019" w:tentative="1">
      <w:start w:val="1"/>
      <w:numFmt w:val="lowerLetter"/>
      <w:lvlText w:val="%8."/>
      <w:lvlJc w:val="left"/>
      <w:pPr>
        <w:ind w:left="6180" w:hanging="360"/>
      </w:pPr>
    </w:lvl>
    <w:lvl w:ilvl="8" w:tplc="4009001B" w:tentative="1">
      <w:start w:val="1"/>
      <w:numFmt w:val="lowerRoman"/>
      <w:lvlText w:val="%9."/>
      <w:lvlJc w:val="right"/>
      <w:pPr>
        <w:ind w:left="6900" w:hanging="180"/>
      </w:pPr>
    </w:lvl>
  </w:abstractNum>
  <w:abstractNum w:abstractNumId="24" w15:restartNumberingAfterBreak="0">
    <w:nsid w:val="742C0832"/>
    <w:multiLevelType w:val="hybridMultilevel"/>
    <w:tmpl w:val="1A5E0EB6"/>
    <w:lvl w:ilvl="0" w:tplc="0409000B">
      <w:start w:val="1"/>
      <w:numFmt w:val="bullet"/>
      <w:lvlText w:val=""/>
      <w:lvlJc w:val="left"/>
      <w:pPr>
        <w:ind w:left="1940" w:hanging="360"/>
      </w:pPr>
      <w:rPr>
        <w:rFonts w:ascii="Wingdings" w:hAnsi="Wingdings" w:hint="default"/>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25" w15:restartNumberingAfterBreak="0">
    <w:nsid w:val="78547E51"/>
    <w:multiLevelType w:val="hybridMultilevel"/>
    <w:tmpl w:val="6C162590"/>
    <w:lvl w:ilvl="0" w:tplc="57A6094C">
      <w:start w:val="1"/>
      <w:numFmt w:val="decimal"/>
      <w:lvlText w:val="%1)"/>
      <w:lvlJc w:val="left"/>
      <w:pPr>
        <w:ind w:left="1080" w:hanging="720"/>
      </w:pPr>
      <w:rPr>
        <w:rFonts w:ascii="Cambria" w:eastAsia="SimSun"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311F2"/>
    <w:multiLevelType w:val="hybridMultilevel"/>
    <w:tmpl w:val="4A04CDF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2"/>
  </w:num>
  <w:num w:numId="2">
    <w:abstractNumId w:val="8"/>
  </w:num>
  <w:num w:numId="3">
    <w:abstractNumId w:val="5"/>
  </w:num>
  <w:num w:numId="4">
    <w:abstractNumId w:val="16"/>
  </w:num>
  <w:num w:numId="5">
    <w:abstractNumId w:val="25"/>
  </w:num>
  <w:num w:numId="6">
    <w:abstractNumId w:val="6"/>
  </w:num>
  <w:num w:numId="7">
    <w:abstractNumId w:val="20"/>
  </w:num>
  <w:num w:numId="8">
    <w:abstractNumId w:val="19"/>
  </w:num>
  <w:num w:numId="9">
    <w:abstractNumId w:val="1"/>
  </w:num>
  <w:num w:numId="10">
    <w:abstractNumId w:val="4"/>
  </w:num>
  <w:num w:numId="11">
    <w:abstractNumId w:val="0"/>
  </w:num>
  <w:num w:numId="12">
    <w:abstractNumId w:val="13"/>
  </w:num>
  <w:num w:numId="13">
    <w:abstractNumId w:val="18"/>
  </w:num>
  <w:num w:numId="14">
    <w:abstractNumId w:val="2"/>
  </w:num>
  <w:num w:numId="15">
    <w:abstractNumId w:val="23"/>
  </w:num>
  <w:num w:numId="16">
    <w:abstractNumId w:val="26"/>
  </w:num>
  <w:num w:numId="17">
    <w:abstractNumId w:val="10"/>
  </w:num>
  <w:num w:numId="18">
    <w:abstractNumId w:val="24"/>
  </w:num>
  <w:num w:numId="19">
    <w:abstractNumId w:val="14"/>
  </w:num>
  <w:num w:numId="20">
    <w:abstractNumId w:val="7"/>
  </w:num>
  <w:num w:numId="21">
    <w:abstractNumId w:val="9"/>
  </w:num>
  <w:num w:numId="22">
    <w:abstractNumId w:val="3"/>
  </w:num>
  <w:num w:numId="23">
    <w:abstractNumId w:val="11"/>
  </w:num>
  <w:num w:numId="24">
    <w:abstractNumId w:val="17"/>
  </w:num>
  <w:num w:numId="25">
    <w:abstractNumId w:val="15"/>
  </w:num>
  <w:num w:numId="26">
    <w:abstractNumId w:val="1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EwNjQyMTMyNDa3MDNT0lEKTi0uzszPAykwrAUA4UUhISwAAAA="/>
  </w:docVars>
  <w:rsids>
    <w:rsidRoot w:val="003D5830"/>
    <w:rsid w:val="000005C7"/>
    <w:rsid w:val="000039EC"/>
    <w:rsid w:val="000048B9"/>
    <w:rsid w:val="000154AD"/>
    <w:rsid w:val="000156F0"/>
    <w:rsid w:val="00015A3A"/>
    <w:rsid w:val="00015CC8"/>
    <w:rsid w:val="00017E8B"/>
    <w:rsid w:val="00021C76"/>
    <w:rsid w:val="000243BB"/>
    <w:rsid w:val="000246C9"/>
    <w:rsid w:val="00024889"/>
    <w:rsid w:val="00024973"/>
    <w:rsid w:val="000444ED"/>
    <w:rsid w:val="00045E96"/>
    <w:rsid w:val="000463CB"/>
    <w:rsid w:val="0005645A"/>
    <w:rsid w:val="00061BBB"/>
    <w:rsid w:val="000710F6"/>
    <w:rsid w:val="0007497B"/>
    <w:rsid w:val="00081195"/>
    <w:rsid w:val="00086128"/>
    <w:rsid w:val="00092D57"/>
    <w:rsid w:val="000A64D9"/>
    <w:rsid w:val="000B4FBF"/>
    <w:rsid w:val="000B79F1"/>
    <w:rsid w:val="000C3D76"/>
    <w:rsid w:val="000F731B"/>
    <w:rsid w:val="00103A08"/>
    <w:rsid w:val="0011056C"/>
    <w:rsid w:val="00113A86"/>
    <w:rsid w:val="0011579C"/>
    <w:rsid w:val="00116334"/>
    <w:rsid w:val="0013487B"/>
    <w:rsid w:val="00141C22"/>
    <w:rsid w:val="00146C3F"/>
    <w:rsid w:val="0015013A"/>
    <w:rsid w:val="00155BFC"/>
    <w:rsid w:val="00155EE1"/>
    <w:rsid w:val="001560BD"/>
    <w:rsid w:val="00167644"/>
    <w:rsid w:val="001803B5"/>
    <w:rsid w:val="0018686D"/>
    <w:rsid w:val="00186DAF"/>
    <w:rsid w:val="001A313E"/>
    <w:rsid w:val="001A3FCD"/>
    <w:rsid w:val="001A6BB3"/>
    <w:rsid w:val="001B2BE4"/>
    <w:rsid w:val="001B3B7F"/>
    <w:rsid w:val="001D2269"/>
    <w:rsid w:val="001D67E8"/>
    <w:rsid w:val="001D7998"/>
    <w:rsid w:val="001E0BD0"/>
    <w:rsid w:val="001E47F2"/>
    <w:rsid w:val="001E7355"/>
    <w:rsid w:val="001F128B"/>
    <w:rsid w:val="001F1B5E"/>
    <w:rsid w:val="001F51AC"/>
    <w:rsid w:val="00207A53"/>
    <w:rsid w:val="002126F6"/>
    <w:rsid w:val="00217D10"/>
    <w:rsid w:val="00221E1A"/>
    <w:rsid w:val="00232645"/>
    <w:rsid w:val="00246398"/>
    <w:rsid w:val="0024654B"/>
    <w:rsid w:val="0026148E"/>
    <w:rsid w:val="00262CFA"/>
    <w:rsid w:val="00262EB1"/>
    <w:rsid w:val="002651E0"/>
    <w:rsid w:val="00266EB5"/>
    <w:rsid w:val="0028577F"/>
    <w:rsid w:val="00286EE2"/>
    <w:rsid w:val="0029233F"/>
    <w:rsid w:val="00293946"/>
    <w:rsid w:val="0029417C"/>
    <w:rsid w:val="00294C50"/>
    <w:rsid w:val="002957B1"/>
    <w:rsid w:val="002A1081"/>
    <w:rsid w:val="002B0238"/>
    <w:rsid w:val="002B52D8"/>
    <w:rsid w:val="002B57D7"/>
    <w:rsid w:val="002C43DB"/>
    <w:rsid w:val="002C6B61"/>
    <w:rsid w:val="002D3E65"/>
    <w:rsid w:val="002F5E02"/>
    <w:rsid w:val="00302753"/>
    <w:rsid w:val="00304A4D"/>
    <w:rsid w:val="003073A5"/>
    <w:rsid w:val="003246BC"/>
    <w:rsid w:val="0032564C"/>
    <w:rsid w:val="00327647"/>
    <w:rsid w:val="003331A5"/>
    <w:rsid w:val="00334443"/>
    <w:rsid w:val="00335109"/>
    <w:rsid w:val="00346282"/>
    <w:rsid w:val="0035431B"/>
    <w:rsid w:val="00355B17"/>
    <w:rsid w:val="00362E03"/>
    <w:rsid w:val="00364BD7"/>
    <w:rsid w:val="00382BC8"/>
    <w:rsid w:val="00386A31"/>
    <w:rsid w:val="00387CB9"/>
    <w:rsid w:val="00396F67"/>
    <w:rsid w:val="003A0ECE"/>
    <w:rsid w:val="003A1391"/>
    <w:rsid w:val="003A7894"/>
    <w:rsid w:val="003C489D"/>
    <w:rsid w:val="003D5651"/>
    <w:rsid w:val="003D5830"/>
    <w:rsid w:val="003E18B5"/>
    <w:rsid w:val="003E2685"/>
    <w:rsid w:val="003F0686"/>
    <w:rsid w:val="003F365D"/>
    <w:rsid w:val="00401329"/>
    <w:rsid w:val="00412741"/>
    <w:rsid w:val="00413B15"/>
    <w:rsid w:val="00451739"/>
    <w:rsid w:val="00451D0D"/>
    <w:rsid w:val="004548A7"/>
    <w:rsid w:val="00475339"/>
    <w:rsid w:val="0048228B"/>
    <w:rsid w:val="004833E5"/>
    <w:rsid w:val="00484C8F"/>
    <w:rsid w:val="004917DA"/>
    <w:rsid w:val="004937F7"/>
    <w:rsid w:val="004A2D36"/>
    <w:rsid w:val="004B05B2"/>
    <w:rsid w:val="004B2820"/>
    <w:rsid w:val="004B3663"/>
    <w:rsid w:val="004C1A81"/>
    <w:rsid w:val="004C678A"/>
    <w:rsid w:val="004D4B76"/>
    <w:rsid w:val="004D7CB2"/>
    <w:rsid w:val="004E0D1C"/>
    <w:rsid w:val="00505A9E"/>
    <w:rsid w:val="005144C7"/>
    <w:rsid w:val="00550E02"/>
    <w:rsid w:val="005608C8"/>
    <w:rsid w:val="005611ED"/>
    <w:rsid w:val="00570592"/>
    <w:rsid w:val="00572936"/>
    <w:rsid w:val="00573EA1"/>
    <w:rsid w:val="0057459F"/>
    <w:rsid w:val="00576506"/>
    <w:rsid w:val="00577BD4"/>
    <w:rsid w:val="0059457B"/>
    <w:rsid w:val="005959A0"/>
    <w:rsid w:val="00595E43"/>
    <w:rsid w:val="005A6B54"/>
    <w:rsid w:val="005A7571"/>
    <w:rsid w:val="005B03EE"/>
    <w:rsid w:val="005C112C"/>
    <w:rsid w:val="005C3EA2"/>
    <w:rsid w:val="005D1FC9"/>
    <w:rsid w:val="005E17C5"/>
    <w:rsid w:val="005E1E9F"/>
    <w:rsid w:val="006035EE"/>
    <w:rsid w:val="006036E7"/>
    <w:rsid w:val="00614636"/>
    <w:rsid w:val="00624DCE"/>
    <w:rsid w:val="0062598A"/>
    <w:rsid w:val="00631255"/>
    <w:rsid w:val="00635615"/>
    <w:rsid w:val="00637826"/>
    <w:rsid w:val="00641792"/>
    <w:rsid w:val="006469A5"/>
    <w:rsid w:val="0065194C"/>
    <w:rsid w:val="0065234F"/>
    <w:rsid w:val="00660085"/>
    <w:rsid w:val="00670A86"/>
    <w:rsid w:val="00675BBF"/>
    <w:rsid w:val="00680FF4"/>
    <w:rsid w:val="006A49DA"/>
    <w:rsid w:val="006B7875"/>
    <w:rsid w:val="006C0C9E"/>
    <w:rsid w:val="006C2C50"/>
    <w:rsid w:val="006C44B2"/>
    <w:rsid w:val="006C709A"/>
    <w:rsid w:val="006F3FED"/>
    <w:rsid w:val="006F7EE0"/>
    <w:rsid w:val="00702CDC"/>
    <w:rsid w:val="00703C9A"/>
    <w:rsid w:val="00706275"/>
    <w:rsid w:val="007155FD"/>
    <w:rsid w:val="00715A16"/>
    <w:rsid w:val="00723383"/>
    <w:rsid w:val="0073555C"/>
    <w:rsid w:val="00743A88"/>
    <w:rsid w:val="00743F08"/>
    <w:rsid w:val="00746DC0"/>
    <w:rsid w:val="00752905"/>
    <w:rsid w:val="00762A4E"/>
    <w:rsid w:val="007678C4"/>
    <w:rsid w:val="007731D8"/>
    <w:rsid w:val="007775A2"/>
    <w:rsid w:val="007A3216"/>
    <w:rsid w:val="007B6B7C"/>
    <w:rsid w:val="007D1F4D"/>
    <w:rsid w:val="007E43E4"/>
    <w:rsid w:val="007F0B81"/>
    <w:rsid w:val="00831DCB"/>
    <w:rsid w:val="00835EE3"/>
    <w:rsid w:val="00844F82"/>
    <w:rsid w:val="008522A6"/>
    <w:rsid w:val="00854F92"/>
    <w:rsid w:val="0085698E"/>
    <w:rsid w:val="00873AFD"/>
    <w:rsid w:val="00876D4E"/>
    <w:rsid w:val="00884030"/>
    <w:rsid w:val="00887A42"/>
    <w:rsid w:val="008941BB"/>
    <w:rsid w:val="00896AC4"/>
    <w:rsid w:val="00897067"/>
    <w:rsid w:val="008A4F27"/>
    <w:rsid w:val="008C3B83"/>
    <w:rsid w:val="008D5823"/>
    <w:rsid w:val="008D5F94"/>
    <w:rsid w:val="008D6269"/>
    <w:rsid w:val="008E282E"/>
    <w:rsid w:val="008E285E"/>
    <w:rsid w:val="008E40CA"/>
    <w:rsid w:val="008E5CB5"/>
    <w:rsid w:val="008E71EC"/>
    <w:rsid w:val="008F0521"/>
    <w:rsid w:val="008F58BB"/>
    <w:rsid w:val="008F71BF"/>
    <w:rsid w:val="00904F27"/>
    <w:rsid w:val="009100B3"/>
    <w:rsid w:val="00910E5C"/>
    <w:rsid w:val="009152C4"/>
    <w:rsid w:val="00917232"/>
    <w:rsid w:val="00920743"/>
    <w:rsid w:val="009216CE"/>
    <w:rsid w:val="00927410"/>
    <w:rsid w:val="009449A7"/>
    <w:rsid w:val="00950511"/>
    <w:rsid w:val="00952453"/>
    <w:rsid w:val="0095635C"/>
    <w:rsid w:val="009578AB"/>
    <w:rsid w:val="00963A81"/>
    <w:rsid w:val="0096688E"/>
    <w:rsid w:val="009830A9"/>
    <w:rsid w:val="009871BE"/>
    <w:rsid w:val="00996C7D"/>
    <w:rsid w:val="009A0A99"/>
    <w:rsid w:val="009A41DD"/>
    <w:rsid w:val="009C2485"/>
    <w:rsid w:val="009D2EA5"/>
    <w:rsid w:val="009E200F"/>
    <w:rsid w:val="009F2B82"/>
    <w:rsid w:val="009F5408"/>
    <w:rsid w:val="00A13793"/>
    <w:rsid w:val="00A1520A"/>
    <w:rsid w:val="00A157D1"/>
    <w:rsid w:val="00A32D8D"/>
    <w:rsid w:val="00A369C1"/>
    <w:rsid w:val="00A43B8C"/>
    <w:rsid w:val="00A5567D"/>
    <w:rsid w:val="00A567A9"/>
    <w:rsid w:val="00A748AC"/>
    <w:rsid w:val="00A74A9A"/>
    <w:rsid w:val="00A83CD6"/>
    <w:rsid w:val="00A925A9"/>
    <w:rsid w:val="00AA68EA"/>
    <w:rsid w:val="00AB175C"/>
    <w:rsid w:val="00AC75B0"/>
    <w:rsid w:val="00AD291D"/>
    <w:rsid w:val="00AD3660"/>
    <w:rsid w:val="00AE3869"/>
    <w:rsid w:val="00AF3CD0"/>
    <w:rsid w:val="00AF424B"/>
    <w:rsid w:val="00AF5BDB"/>
    <w:rsid w:val="00AF6E81"/>
    <w:rsid w:val="00B061AD"/>
    <w:rsid w:val="00B10277"/>
    <w:rsid w:val="00B131CE"/>
    <w:rsid w:val="00B1728A"/>
    <w:rsid w:val="00B22FD7"/>
    <w:rsid w:val="00B30FFF"/>
    <w:rsid w:val="00B35181"/>
    <w:rsid w:val="00B358EC"/>
    <w:rsid w:val="00B60FCF"/>
    <w:rsid w:val="00B613A3"/>
    <w:rsid w:val="00B630AC"/>
    <w:rsid w:val="00B65E77"/>
    <w:rsid w:val="00B66E5E"/>
    <w:rsid w:val="00B674FA"/>
    <w:rsid w:val="00B72B3F"/>
    <w:rsid w:val="00B94336"/>
    <w:rsid w:val="00B95D82"/>
    <w:rsid w:val="00BA405D"/>
    <w:rsid w:val="00BB146D"/>
    <w:rsid w:val="00BB2847"/>
    <w:rsid w:val="00BB674E"/>
    <w:rsid w:val="00BC3D3F"/>
    <w:rsid w:val="00BD18A8"/>
    <w:rsid w:val="00BE1D8D"/>
    <w:rsid w:val="00BF48FA"/>
    <w:rsid w:val="00C00414"/>
    <w:rsid w:val="00C02B93"/>
    <w:rsid w:val="00C15B6A"/>
    <w:rsid w:val="00C31C2F"/>
    <w:rsid w:val="00C325E1"/>
    <w:rsid w:val="00C52DB6"/>
    <w:rsid w:val="00C53692"/>
    <w:rsid w:val="00C53C57"/>
    <w:rsid w:val="00C54534"/>
    <w:rsid w:val="00C579B4"/>
    <w:rsid w:val="00C61EAB"/>
    <w:rsid w:val="00C71607"/>
    <w:rsid w:val="00C73C7A"/>
    <w:rsid w:val="00C92483"/>
    <w:rsid w:val="00C9355B"/>
    <w:rsid w:val="00CA4A69"/>
    <w:rsid w:val="00CB1DDE"/>
    <w:rsid w:val="00CB4103"/>
    <w:rsid w:val="00CC0BC5"/>
    <w:rsid w:val="00CC35C8"/>
    <w:rsid w:val="00CC4556"/>
    <w:rsid w:val="00CD0A8C"/>
    <w:rsid w:val="00CD286D"/>
    <w:rsid w:val="00CD52D9"/>
    <w:rsid w:val="00CF1434"/>
    <w:rsid w:val="00D06730"/>
    <w:rsid w:val="00D074A1"/>
    <w:rsid w:val="00D07716"/>
    <w:rsid w:val="00D077EB"/>
    <w:rsid w:val="00D2600C"/>
    <w:rsid w:val="00D269F0"/>
    <w:rsid w:val="00D33815"/>
    <w:rsid w:val="00D61E16"/>
    <w:rsid w:val="00D62683"/>
    <w:rsid w:val="00D703DA"/>
    <w:rsid w:val="00D7058E"/>
    <w:rsid w:val="00D75159"/>
    <w:rsid w:val="00D75FFF"/>
    <w:rsid w:val="00D908E2"/>
    <w:rsid w:val="00D934EB"/>
    <w:rsid w:val="00D94648"/>
    <w:rsid w:val="00D97740"/>
    <w:rsid w:val="00DA2DD2"/>
    <w:rsid w:val="00DA5C66"/>
    <w:rsid w:val="00DB3A27"/>
    <w:rsid w:val="00DD2EEA"/>
    <w:rsid w:val="00DD70A5"/>
    <w:rsid w:val="00DE0054"/>
    <w:rsid w:val="00DF0191"/>
    <w:rsid w:val="00DF7FE7"/>
    <w:rsid w:val="00E26C9C"/>
    <w:rsid w:val="00E334B6"/>
    <w:rsid w:val="00E369A6"/>
    <w:rsid w:val="00E40FD5"/>
    <w:rsid w:val="00E43BB8"/>
    <w:rsid w:val="00E4701B"/>
    <w:rsid w:val="00E567E8"/>
    <w:rsid w:val="00E60048"/>
    <w:rsid w:val="00E616EE"/>
    <w:rsid w:val="00E66FDE"/>
    <w:rsid w:val="00E84893"/>
    <w:rsid w:val="00E85913"/>
    <w:rsid w:val="00E90D37"/>
    <w:rsid w:val="00EB4D5D"/>
    <w:rsid w:val="00EC35B0"/>
    <w:rsid w:val="00EC471E"/>
    <w:rsid w:val="00ED0B4C"/>
    <w:rsid w:val="00ED0E9D"/>
    <w:rsid w:val="00ED3E5D"/>
    <w:rsid w:val="00ED7FEB"/>
    <w:rsid w:val="00EE0F55"/>
    <w:rsid w:val="00EE4B79"/>
    <w:rsid w:val="00EF0E34"/>
    <w:rsid w:val="00F06C35"/>
    <w:rsid w:val="00F077C1"/>
    <w:rsid w:val="00F106C9"/>
    <w:rsid w:val="00F10936"/>
    <w:rsid w:val="00F21A2B"/>
    <w:rsid w:val="00F3042E"/>
    <w:rsid w:val="00F31C6C"/>
    <w:rsid w:val="00F33B99"/>
    <w:rsid w:val="00F33D82"/>
    <w:rsid w:val="00F34D6E"/>
    <w:rsid w:val="00F42CC6"/>
    <w:rsid w:val="00F563F1"/>
    <w:rsid w:val="00F61886"/>
    <w:rsid w:val="00F85149"/>
    <w:rsid w:val="00F971C8"/>
    <w:rsid w:val="00FA2519"/>
    <w:rsid w:val="00FA3195"/>
    <w:rsid w:val="00FA3F39"/>
    <w:rsid w:val="00FA68FB"/>
    <w:rsid w:val="00FA7CC5"/>
    <w:rsid w:val="00FB165F"/>
    <w:rsid w:val="00FB3298"/>
    <w:rsid w:val="00FB3421"/>
    <w:rsid w:val="00FC23D6"/>
    <w:rsid w:val="00FC3BEF"/>
    <w:rsid w:val="00FD75DE"/>
    <w:rsid w:val="00FE3BFB"/>
    <w:rsid w:val="00FE6519"/>
    <w:rsid w:val="00FF1D4E"/>
    <w:rsid w:val="00FF5B48"/>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3F78FC"/>
  <w15:docId w15:val="{F3D36238-6B25-4E07-BC9C-43BDC958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830"/>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583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647"/>
    <w:pPr>
      <w:ind w:left="720"/>
      <w:contextualSpacing/>
    </w:pPr>
  </w:style>
  <w:style w:type="paragraph" w:styleId="NormalWeb">
    <w:name w:val="Normal (Web)"/>
    <w:basedOn w:val="Normal"/>
    <w:uiPriority w:val="99"/>
    <w:unhideWhenUsed/>
    <w:rsid w:val="00AF5BDB"/>
    <w:pPr>
      <w:spacing w:before="100" w:beforeAutospacing="1" w:after="100" w:afterAutospacing="1"/>
    </w:pPr>
    <w:rPr>
      <w:rFonts w:eastAsia="Times New Roman"/>
      <w:lang w:val="en-IN" w:eastAsia="en-IN" w:bidi="gu-IN"/>
    </w:rPr>
  </w:style>
  <w:style w:type="character" w:styleId="Hyperlink">
    <w:name w:val="Hyperlink"/>
    <w:basedOn w:val="DefaultParagraphFont"/>
    <w:uiPriority w:val="99"/>
    <w:unhideWhenUsed/>
    <w:rsid w:val="00015CC8"/>
    <w:rPr>
      <w:color w:val="0000FF" w:themeColor="hyperlink"/>
      <w:u w:val="single"/>
    </w:rPr>
  </w:style>
  <w:style w:type="character" w:styleId="BookTitle">
    <w:name w:val="Book Title"/>
    <w:basedOn w:val="DefaultParagraphFont"/>
    <w:uiPriority w:val="33"/>
    <w:qFormat/>
    <w:rsid w:val="00CB4103"/>
    <w:rPr>
      <w:b/>
      <w:bCs/>
      <w:smallCaps/>
      <w:spacing w:val="5"/>
    </w:rPr>
  </w:style>
  <w:style w:type="paragraph" w:styleId="Header">
    <w:name w:val="header"/>
    <w:basedOn w:val="Normal"/>
    <w:link w:val="HeaderChar"/>
    <w:uiPriority w:val="99"/>
    <w:unhideWhenUsed/>
    <w:rsid w:val="00CB4103"/>
    <w:pPr>
      <w:tabs>
        <w:tab w:val="center" w:pos="4513"/>
        <w:tab w:val="right" w:pos="9026"/>
      </w:tabs>
    </w:pPr>
    <w:rPr>
      <w:rFonts w:asciiTheme="minorHAnsi" w:eastAsiaTheme="minorEastAsia" w:hAnsiTheme="minorHAnsi" w:cs="Mangal"/>
      <w:sz w:val="22"/>
      <w:szCs w:val="20"/>
      <w:lang w:eastAsia="en-US" w:bidi="hi-IN"/>
    </w:rPr>
  </w:style>
  <w:style w:type="character" w:customStyle="1" w:styleId="HeaderChar">
    <w:name w:val="Header Char"/>
    <w:basedOn w:val="DefaultParagraphFont"/>
    <w:link w:val="Header"/>
    <w:uiPriority w:val="99"/>
    <w:rsid w:val="00CB4103"/>
    <w:rPr>
      <w:rFonts w:eastAsiaTheme="minorEastAsia" w:cs="Mangal"/>
      <w:szCs w:val="20"/>
      <w:lang w:bidi="hi-IN"/>
    </w:rPr>
  </w:style>
  <w:style w:type="paragraph" w:styleId="Footer">
    <w:name w:val="footer"/>
    <w:basedOn w:val="Normal"/>
    <w:link w:val="FooterChar"/>
    <w:uiPriority w:val="99"/>
    <w:unhideWhenUsed/>
    <w:rsid w:val="00CB4103"/>
    <w:pPr>
      <w:tabs>
        <w:tab w:val="center" w:pos="4513"/>
        <w:tab w:val="right" w:pos="9026"/>
      </w:tabs>
    </w:pPr>
    <w:rPr>
      <w:rFonts w:asciiTheme="minorHAnsi" w:eastAsiaTheme="minorEastAsia" w:hAnsiTheme="minorHAnsi" w:cs="Mangal"/>
      <w:sz w:val="22"/>
      <w:szCs w:val="20"/>
      <w:lang w:eastAsia="en-US" w:bidi="hi-IN"/>
    </w:rPr>
  </w:style>
  <w:style w:type="character" w:customStyle="1" w:styleId="FooterChar">
    <w:name w:val="Footer Char"/>
    <w:basedOn w:val="DefaultParagraphFont"/>
    <w:link w:val="Footer"/>
    <w:uiPriority w:val="99"/>
    <w:rsid w:val="00CB4103"/>
    <w:rPr>
      <w:rFonts w:eastAsiaTheme="minorEastAsia" w:cs="Mangal"/>
      <w:szCs w:val="20"/>
      <w:lang w:bidi="hi-IN"/>
    </w:rPr>
  </w:style>
  <w:style w:type="paragraph" w:customStyle="1" w:styleId="Default">
    <w:name w:val="Default"/>
    <w:rsid w:val="009216CE"/>
    <w:pPr>
      <w:autoSpaceDE w:val="0"/>
      <w:autoSpaceDN w:val="0"/>
      <w:adjustRightInd w:val="0"/>
      <w:spacing w:after="0" w:line="240" w:lineRule="auto"/>
    </w:pPr>
    <w:rPr>
      <w:rFonts w:ascii="Times New Roman" w:hAnsi="Times New Roman" w:cs="Times New Roman"/>
      <w:color w:val="000000"/>
      <w:sz w:val="24"/>
      <w:szCs w:val="24"/>
      <w:lang w:bidi="gu-IN"/>
    </w:rPr>
  </w:style>
  <w:style w:type="character" w:styleId="Emphasis">
    <w:name w:val="Emphasis"/>
    <w:basedOn w:val="DefaultParagraphFont"/>
    <w:uiPriority w:val="20"/>
    <w:qFormat/>
    <w:rsid w:val="006035EE"/>
    <w:rPr>
      <w:i/>
      <w:iCs/>
    </w:rPr>
  </w:style>
  <w:style w:type="character" w:customStyle="1" w:styleId="UnresolvedMention1">
    <w:name w:val="Unresolved Mention1"/>
    <w:basedOn w:val="DefaultParagraphFont"/>
    <w:uiPriority w:val="99"/>
    <w:semiHidden/>
    <w:unhideWhenUsed/>
    <w:rsid w:val="00D26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81245">
      <w:bodyDiv w:val="1"/>
      <w:marLeft w:val="0"/>
      <w:marRight w:val="0"/>
      <w:marTop w:val="0"/>
      <w:marBottom w:val="0"/>
      <w:divBdr>
        <w:top w:val="none" w:sz="0" w:space="0" w:color="auto"/>
        <w:left w:val="none" w:sz="0" w:space="0" w:color="auto"/>
        <w:bottom w:val="none" w:sz="0" w:space="0" w:color="auto"/>
        <w:right w:val="none" w:sz="0" w:space="0" w:color="auto"/>
      </w:divBdr>
    </w:div>
    <w:div w:id="728462346">
      <w:bodyDiv w:val="1"/>
      <w:marLeft w:val="0"/>
      <w:marRight w:val="0"/>
      <w:marTop w:val="0"/>
      <w:marBottom w:val="0"/>
      <w:divBdr>
        <w:top w:val="none" w:sz="0" w:space="0" w:color="auto"/>
        <w:left w:val="none" w:sz="0" w:space="0" w:color="auto"/>
        <w:bottom w:val="none" w:sz="0" w:space="0" w:color="auto"/>
        <w:right w:val="none" w:sz="0" w:space="0" w:color="auto"/>
      </w:divBdr>
    </w:div>
    <w:div w:id="1134903734">
      <w:bodyDiv w:val="1"/>
      <w:marLeft w:val="0"/>
      <w:marRight w:val="0"/>
      <w:marTop w:val="0"/>
      <w:marBottom w:val="0"/>
      <w:divBdr>
        <w:top w:val="none" w:sz="0" w:space="0" w:color="auto"/>
        <w:left w:val="none" w:sz="0" w:space="0" w:color="auto"/>
        <w:bottom w:val="none" w:sz="0" w:space="0" w:color="auto"/>
        <w:right w:val="none" w:sz="0" w:space="0" w:color="auto"/>
      </w:divBdr>
    </w:div>
    <w:div w:id="1223518061">
      <w:bodyDiv w:val="1"/>
      <w:marLeft w:val="0"/>
      <w:marRight w:val="0"/>
      <w:marTop w:val="0"/>
      <w:marBottom w:val="0"/>
      <w:divBdr>
        <w:top w:val="none" w:sz="0" w:space="0" w:color="auto"/>
        <w:left w:val="none" w:sz="0" w:space="0" w:color="auto"/>
        <w:bottom w:val="none" w:sz="0" w:space="0" w:color="auto"/>
        <w:right w:val="none" w:sz="0" w:space="0" w:color="auto"/>
      </w:divBdr>
    </w:div>
    <w:div w:id="1295791110">
      <w:bodyDiv w:val="1"/>
      <w:marLeft w:val="0"/>
      <w:marRight w:val="0"/>
      <w:marTop w:val="0"/>
      <w:marBottom w:val="0"/>
      <w:divBdr>
        <w:top w:val="none" w:sz="0" w:space="0" w:color="auto"/>
        <w:left w:val="none" w:sz="0" w:space="0" w:color="auto"/>
        <w:bottom w:val="none" w:sz="0" w:space="0" w:color="auto"/>
        <w:right w:val="none" w:sz="0" w:space="0" w:color="auto"/>
      </w:divBdr>
    </w:div>
    <w:div w:id="1490293754">
      <w:bodyDiv w:val="1"/>
      <w:marLeft w:val="0"/>
      <w:marRight w:val="0"/>
      <w:marTop w:val="0"/>
      <w:marBottom w:val="0"/>
      <w:divBdr>
        <w:top w:val="none" w:sz="0" w:space="0" w:color="auto"/>
        <w:left w:val="none" w:sz="0" w:space="0" w:color="auto"/>
        <w:bottom w:val="none" w:sz="0" w:space="0" w:color="auto"/>
        <w:right w:val="none" w:sz="0" w:space="0" w:color="auto"/>
      </w:divBdr>
    </w:div>
    <w:div w:id="1595166726">
      <w:bodyDiv w:val="1"/>
      <w:marLeft w:val="0"/>
      <w:marRight w:val="0"/>
      <w:marTop w:val="0"/>
      <w:marBottom w:val="0"/>
      <w:divBdr>
        <w:top w:val="none" w:sz="0" w:space="0" w:color="auto"/>
        <w:left w:val="none" w:sz="0" w:space="0" w:color="auto"/>
        <w:bottom w:val="none" w:sz="0" w:space="0" w:color="auto"/>
        <w:right w:val="none" w:sz="0" w:space="0" w:color="auto"/>
      </w:divBdr>
    </w:div>
    <w:div w:id="1687096619">
      <w:bodyDiv w:val="1"/>
      <w:marLeft w:val="0"/>
      <w:marRight w:val="0"/>
      <w:marTop w:val="0"/>
      <w:marBottom w:val="0"/>
      <w:divBdr>
        <w:top w:val="none" w:sz="0" w:space="0" w:color="auto"/>
        <w:left w:val="none" w:sz="0" w:space="0" w:color="auto"/>
        <w:bottom w:val="none" w:sz="0" w:space="0" w:color="auto"/>
        <w:right w:val="none" w:sz="0" w:space="0" w:color="auto"/>
      </w:divBdr>
    </w:div>
    <w:div w:id="1941445872">
      <w:bodyDiv w:val="1"/>
      <w:marLeft w:val="0"/>
      <w:marRight w:val="0"/>
      <w:marTop w:val="0"/>
      <w:marBottom w:val="0"/>
      <w:divBdr>
        <w:top w:val="none" w:sz="0" w:space="0" w:color="auto"/>
        <w:left w:val="none" w:sz="0" w:space="0" w:color="auto"/>
        <w:bottom w:val="none" w:sz="0" w:space="0" w:color="auto"/>
        <w:right w:val="none" w:sz="0" w:space="0" w:color="auto"/>
      </w:divBdr>
    </w:div>
    <w:div w:id="20574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dipal</dc:creator>
  <cp:lastModifiedBy>SDI 1020</cp:lastModifiedBy>
  <cp:revision>25</cp:revision>
  <cp:lastPrinted>2020-03-16T05:01:00Z</cp:lastPrinted>
  <dcterms:created xsi:type="dcterms:W3CDTF">2026-01-30T10:36:00Z</dcterms:created>
  <dcterms:modified xsi:type="dcterms:W3CDTF">2026-02-06T06:13:00Z</dcterms:modified>
</cp:coreProperties>
</file>