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53F" w:rsidRDefault="00CD794B">
      <w:pPr>
        <w:spacing w:before="240" w:after="240"/>
        <w:jc w:val="both"/>
        <w:rPr>
          <w:sz w:val="28"/>
          <w:szCs w:val="28"/>
        </w:rPr>
      </w:pPr>
      <w:proofErr w:type="spellStart"/>
      <w:r>
        <w:rPr>
          <w:b/>
          <w:bCs/>
          <w:sz w:val="28"/>
          <w:szCs w:val="28"/>
        </w:rPr>
        <w:t>Nipah</w:t>
      </w:r>
      <w:proofErr w:type="spellEnd"/>
      <w:r>
        <w:rPr>
          <w:b/>
          <w:bCs/>
          <w:sz w:val="28"/>
          <w:szCs w:val="28"/>
        </w:rPr>
        <w:t xml:space="preserve"> Virus Readiness in the Philippines: A National Gap Analysis of Laboratory Diagnostic Capacity, Biosafety Systems, and Specimen Referral Networks</w:t>
      </w:r>
    </w:p>
    <w:p w:rsidR="00BE553F" w:rsidRDefault="00BE553F">
      <w:pPr>
        <w:spacing w:before="240" w:after="240"/>
        <w:jc w:val="both"/>
        <w:rPr>
          <w:b/>
          <w:bCs/>
          <w:sz w:val="24"/>
          <w:szCs w:val="24"/>
        </w:rPr>
      </w:pPr>
    </w:p>
    <w:p w:rsidR="00BE553F" w:rsidRDefault="00CD794B">
      <w:pPr>
        <w:spacing w:before="240" w:after="240"/>
        <w:jc w:val="both"/>
        <w:rPr>
          <w:b/>
          <w:bCs/>
          <w:sz w:val="24"/>
          <w:szCs w:val="24"/>
        </w:rPr>
      </w:pPr>
      <w:r>
        <w:rPr>
          <w:b/>
          <w:bCs/>
          <w:sz w:val="24"/>
          <w:szCs w:val="24"/>
        </w:rPr>
        <w:t>ABSTRACT</w:t>
      </w:r>
    </w:p>
    <w:p w:rsidR="00BE553F" w:rsidRDefault="00CD794B">
      <w:pPr>
        <w:spacing w:before="240" w:after="240"/>
        <w:jc w:val="both"/>
        <w:rPr>
          <w:sz w:val="24"/>
          <w:szCs w:val="24"/>
        </w:rPr>
      </w:pPr>
      <w:proofErr w:type="spellStart"/>
      <w:r>
        <w:rPr>
          <w:sz w:val="24"/>
          <w:szCs w:val="24"/>
        </w:rPr>
        <w:t>Nipah</w:t>
      </w:r>
      <w:proofErr w:type="spellEnd"/>
      <w:r>
        <w:rPr>
          <w:sz w:val="24"/>
          <w:szCs w:val="24"/>
        </w:rPr>
        <w:t xml:space="preserve"> virus (</w:t>
      </w:r>
      <w:proofErr w:type="spellStart"/>
      <w:r>
        <w:rPr>
          <w:sz w:val="24"/>
          <w:szCs w:val="24"/>
        </w:rPr>
        <w:t>NiV</w:t>
      </w:r>
      <w:proofErr w:type="spellEnd"/>
      <w:r>
        <w:rPr>
          <w:sz w:val="24"/>
          <w:szCs w:val="24"/>
        </w:rPr>
        <w:t xml:space="preserve">) is </w:t>
      </w:r>
      <w:r>
        <w:rPr>
          <w:rFonts w:eastAsia="SimSun"/>
          <w:sz w:val="24"/>
          <w:szCs w:val="24"/>
          <w:highlight w:val="yellow"/>
        </w:rPr>
        <w:t xml:space="preserve">a </w:t>
      </w:r>
      <w:r>
        <w:rPr>
          <w:rFonts w:eastAsia="SimSun"/>
          <w:sz w:val="24"/>
          <w:szCs w:val="24"/>
          <w:highlight w:val="yellow"/>
        </w:rPr>
        <w:t>high-consequence zoonotic pathogen associated with severe human disease and substantial outbreak risk</w:t>
      </w:r>
      <w:r>
        <w:rPr>
          <w:sz w:val="24"/>
          <w:szCs w:val="24"/>
          <w:highlight w:val="yellow"/>
        </w:rPr>
        <w:t>.</w:t>
      </w:r>
      <w:r>
        <w:rPr>
          <w:sz w:val="24"/>
          <w:szCs w:val="24"/>
        </w:rPr>
        <w:t xml:space="preserve"> Although no sustained transmission has been reported in the Philippines since the 2014 outbreak involving 17 human cases and 9 deaths, ecological evidenc</w:t>
      </w:r>
      <w:r>
        <w:rPr>
          <w:sz w:val="24"/>
          <w:szCs w:val="24"/>
        </w:rPr>
        <w:t xml:space="preserve">e of viral circulation in bat reservoirs and increasing regional outbreaks emphasize the need for proactive national preparedness. This study conducted a systematic review and national gap analysis to assess </w:t>
      </w:r>
      <w:proofErr w:type="spellStart"/>
      <w:r>
        <w:rPr>
          <w:sz w:val="24"/>
          <w:szCs w:val="24"/>
        </w:rPr>
        <w:t>Nipah</w:t>
      </w:r>
      <w:proofErr w:type="spellEnd"/>
      <w:r>
        <w:rPr>
          <w:sz w:val="24"/>
          <w:szCs w:val="24"/>
        </w:rPr>
        <w:t xml:space="preserve"> virus readiness in the Philippines, focusi</w:t>
      </w:r>
      <w:r>
        <w:rPr>
          <w:sz w:val="24"/>
          <w:szCs w:val="24"/>
        </w:rPr>
        <w:t>ng on laboratory diagnostic capacity, biosafety and biosecurity systems, and specimen referral and transport networks. A comprehensive search of peer-reviewed literature and authoritative operational sources published between 2000 and 2025 was performed fo</w:t>
      </w:r>
      <w:r>
        <w:rPr>
          <w:sz w:val="24"/>
          <w:szCs w:val="24"/>
        </w:rPr>
        <w:t>llowing PRISMA 2020 guidelines.</w:t>
      </w:r>
      <w:r>
        <w:rPr>
          <w:sz w:val="24"/>
          <w:szCs w:val="24"/>
          <w:lang w:val="en-US"/>
        </w:rPr>
        <w:t xml:space="preserve"> </w:t>
      </w:r>
      <w:r>
        <w:rPr>
          <w:rFonts w:eastAsia="SimSun"/>
          <w:sz w:val="24"/>
          <w:szCs w:val="24"/>
          <w:highlight w:val="yellow"/>
        </w:rPr>
        <w:t>Benchmarks included published WHO guidance on diagnostic preparedness, integrated laboratory networks, genomic surveillance, and HCID readiness expectations.</w:t>
      </w:r>
      <w:r>
        <w:rPr>
          <w:sz w:val="24"/>
          <w:szCs w:val="24"/>
        </w:rPr>
        <w:t xml:space="preserve"> Data were synthesized thematically and compared against internatio</w:t>
      </w:r>
      <w:r>
        <w:rPr>
          <w:sz w:val="24"/>
          <w:szCs w:val="24"/>
        </w:rPr>
        <w:t>nal preparedness benchmarks for high-consequence infectious diseases.</w:t>
      </w:r>
      <w:r>
        <w:rPr>
          <w:sz w:val="24"/>
          <w:szCs w:val="24"/>
          <w:lang w:val="en-US"/>
        </w:rPr>
        <w:t xml:space="preserve"> </w:t>
      </w:r>
      <w:r>
        <w:rPr>
          <w:rFonts w:eastAsia="SimSun"/>
          <w:sz w:val="24"/>
          <w:szCs w:val="24"/>
          <w:highlight w:val="yellow"/>
        </w:rPr>
        <w:t xml:space="preserve">Preparedness was classified qualitatively through benchmark-referenced comparison across the three domains (diagnostics, biosafety/biosecurity, and specimen referral), without numerical </w:t>
      </w:r>
      <w:r>
        <w:rPr>
          <w:rFonts w:eastAsia="SimSun"/>
          <w:sz w:val="24"/>
          <w:szCs w:val="24"/>
          <w:highlight w:val="yellow"/>
        </w:rPr>
        <w:t>scoring. ‘Intermediate preparedness’ denotes functional reference-level capacity and documented capacity-building initiatives, alongside persistent structural gaps that limit decentralization, integration, and rapid turnaround at subnational levels</w:t>
      </w:r>
      <w:r>
        <w:rPr>
          <w:sz w:val="24"/>
          <w:szCs w:val="24"/>
          <w:lang w:val="en-US"/>
        </w:rPr>
        <w:t>.</w:t>
      </w:r>
      <w:r>
        <w:rPr>
          <w:sz w:val="24"/>
          <w:szCs w:val="24"/>
        </w:rPr>
        <w:t xml:space="preserve"> Twenty</w:t>
      </w:r>
      <w:r>
        <w:rPr>
          <w:sz w:val="24"/>
          <w:szCs w:val="24"/>
        </w:rPr>
        <w:t>-one sources met inclusion criteria, comprising academic studies and operational reports. The findings indicate that the Philippines has achieved intermediate preparedness, characterized by strengthened surveillance, reference-level molecular diagnostic ca</w:t>
      </w:r>
      <w:r>
        <w:rPr>
          <w:sz w:val="24"/>
          <w:szCs w:val="24"/>
        </w:rPr>
        <w:t xml:space="preserve">pability, and coordinated border health measures. </w:t>
      </w:r>
      <w:r>
        <w:rPr>
          <w:rFonts w:eastAsia="SimSun"/>
          <w:sz w:val="24"/>
          <w:szCs w:val="24"/>
          <w:highlight w:val="yellow"/>
        </w:rPr>
        <w:t>Key gaps include centralized confirmatory testing, uneven subnational access to molecular diagnostics, limited public documentation of biosafety governance, and persistent inter-island referral and cold-cha</w:t>
      </w:r>
      <w:r>
        <w:rPr>
          <w:rFonts w:eastAsia="SimSun"/>
          <w:sz w:val="24"/>
          <w:szCs w:val="24"/>
          <w:highlight w:val="yellow"/>
        </w:rPr>
        <w:t>in constraints</w:t>
      </w:r>
      <w:r>
        <w:rPr>
          <w:sz w:val="24"/>
          <w:szCs w:val="24"/>
        </w:rPr>
        <w:t>, variable access to diagnostics at subnational levels, limited public documentation of biosafety governance, and logistical challenges in specimen referral across the archipelago. While sector-specific surveillance systems have been strength</w:t>
      </w:r>
      <w:r>
        <w:rPr>
          <w:sz w:val="24"/>
          <w:szCs w:val="24"/>
        </w:rPr>
        <w:t>ened, integration of human, animal, and environmental surveillance data under a unified One Health framework remains limited.</w:t>
      </w:r>
      <w:r>
        <w:rPr>
          <w:sz w:val="24"/>
          <w:szCs w:val="24"/>
          <w:lang w:val="en-US"/>
        </w:rPr>
        <w:t xml:space="preserve"> </w:t>
      </w:r>
      <w:r>
        <w:rPr>
          <w:rFonts w:eastAsia="SimSun"/>
          <w:sz w:val="24"/>
          <w:szCs w:val="24"/>
          <w:highlight w:val="yellow"/>
        </w:rPr>
        <w:t xml:space="preserve">In the Philippine context, relevant One Health touchpoints include bat and wildlife surveillance activities, veterinary reporting </w:t>
      </w:r>
      <w:r>
        <w:rPr>
          <w:rFonts w:eastAsia="SimSun"/>
          <w:sz w:val="24"/>
          <w:szCs w:val="24"/>
          <w:highlight w:val="yellow"/>
        </w:rPr>
        <w:t xml:space="preserve">channels for unusual animal morbidity/mortality, and national inter-agency coordination mechanisms; however, routine, bidirectional integration of animal </w:t>
      </w:r>
      <w:r>
        <w:rPr>
          <w:rFonts w:eastAsia="SimSun"/>
          <w:sz w:val="24"/>
          <w:szCs w:val="24"/>
          <w:highlight w:val="yellow"/>
        </w:rPr>
        <w:lastRenderedPageBreak/>
        <w:t>and environmental signals into human diagnostic escalation and outbreak response workflows is not cons</w:t>
      </w:r>
      <w:r>
        <w:rPr>
          <w:rFonts w:eastAsia="SimSun"/>
          <w:sz w:val="24"/>
          <w:szCs w:val="24"/>
          <w:highlight w:val="yellow"/>
        </w:rPr>
        <w:t>istently described in publicly available operational documentation.</w:t>
      </w:r>
      <w:r>
        <w:rPr>
          <w:sz w:val="24"/>
          <w:szCs w:val="24"/>
        </w:rPr>
        <w:t xml:space="preserve"> Strengthening decentralized diagnostics, reinforcing biosafety systems, and optimizing specimen referral pathways are essential to improve early detection and rapid containment. </w:t>
      </w:r>
      <w:r>
        <w:rPr>
          <w:rFonts w:eastAsia="SimSun"/>
          <w:sz w:val="24"/>
          <w:szCs w:val="24"/>
          <w:highlight w:val="yellow"/>
        </w:rPr>
        <w:t>Addressing</w:t>
      </w:r>
      <w:r>
        <w:rPr>
          <w:rFonts w:eastAsia="SimSun"/>
          <w:sz w:val="24"/>
          <w:szCs w:val="24"/>
          <w:highlight w:val="yellow"/>
        </w:rPr>
        <w:t xml:space="preserve"> these gaps would shorten time-to-confirmation, strengthen healthcare and laboratory risk controls, and improve early containment capacity for suspected </w:t>
      </w:r>
      <w:proofErr w:type="spellStart"/>
      <w:r>
        <w:rPr>
          <w:rFonts w:eastAsia="SimSun"/>
          <w:sz w:val="24"/>
          <w:szCs w:val="24"/>
          <w:highlight w:val="yellow"/>
        </w:rPr>
        <w:t>Nipah</w:t>
      </w:r>
      <w:proofErr w:type="spellEnd"/>
      <w:r>
        <w:rPr>
          <w:rFonts w:eastAsia="SimSun"/>
          <w:sz w:val="24"/>
          <w:szCs w:val="24"/>
          <w:highlight w:val="yellow"/>
        </w:rPr>
        <w:t xml:space="preserve"> events in an archipelagic setting</w:t>
      </w:r>
      <w:r>
        <w:rPr>
          <w:sz w:val="24"/>
          <w:szCs w:val="24"/>
        </w:rPr>
        <w:t>.</w:t>
      </w:r>
    </w:p>
    <w:p w:rsidR="00BE553F" w:rsidRDefault="00CD794B">
      <w:pPr>
        <w:spacing w:before="240" w:after="240"/>
        <w:jc w:val="both"/>
        <w:rPr>
          <w:sz w:val="24"/>
          <w:szCs w:val="24"/>
        </w:rPr>
      </w:pPr>
      <w:r>
        <w:rPr>
          <w:b/>
          <w:bCs/>
          <w:sz w:val="24"/>
          <w:szCs w:val="24"/>
        </w:rPr>
        <w:t xml:space="preserve">Keywords: </w:t>
      </w:r>
      <w:proofErr w:type="spellStart"/>
      <w:r>
        <w:rPr>
          <w:sz w:val="24"/>
          <w:szCs w:val="24"/>
        </w:rPr>
        <w:t>Nipah</w:t>
      </w:r>
      <w:proofErr w:type="spellEnd"/>
      <w:r>
        <w:rPr>
          <w:sz w:val="24"/>
          <w:szCs w:val="24"/>
        </w:rPr>
        <w:t xml:space="preserve"> virus, public health preparedness, disease sur</w:t>
      </w:r>
      <w:r>
        <w:rPr>
          <w:sz w:val="24"/>
          <w:szCs w:val="24"/>
        </w:rPr>
        <w:t>veillance systems, biosafety and infection control, health system readiness, Philippines</w:t>
      </w:r>
    </w:p>
    <w:p w:rsidR="00BE553F" w:rsidRDefault="00CD794B">
      <w:pPr>
        <w:spacing w:after="80"/>
        <w:jc w:val="both"/>
        <w:rPr>
          <w:b/>
          <w:bCs/>
          <w:sz w:val="24"/>
          <w:szCs w:val="24"/>
        </w:rPr>
      </w:pPr>
      <w:r>
        <w:rPr>
          <w:b/>
          <w:bCs/>
          <w:sz w:val="24"/>
          <w:szCs w:val="24"/>
        </w:rPr>
        <w:t>INTRODUCTION</w:t>
      </w:r>
    </w:p>
    <w:p w:rsidR="00BE553F" w:rsidRDefault="00CD794B">
      <w:pPr>
        <w:spacing w:before="240" w:after="240"/>
        <w:ind w:firstLine="720"/>
        <w:jc w:val="both"/>
        <w:rPr>
          <w:sz w:val="24"/>
          <w:szCs w:val="24"/>
        </w:rPr>
      </w:pPr>
      <w:proofErr w:type="spellStart"/>
      <w:r>
        <w:rPr>
          <w:sz w:val="24"/>
          <w:szCs w:val="24"/>
        </w:rPr>
        <w:t>Nipah</w:t>
      </w:r>
      <w:proofErr w:type="spellEnd"/>
      <w:r>
        <w:rPr>
          <w:sz w:val="24"/>
          <w:szCs w:val="24"/>
        </w:rPr>
        <w:t xml:space="preserve"> virus (</w:t>
      </w:r>
      <w:proofErr w:type="spellStart"/>
      <w:r>
        <w:rPr>
          <w:sz w:val="24"/>
          <w:szCs w:val="24"/>
        </w:rPr>
        <w:t>NiV</w:t>
      </w:r>
      <w:proofErr w:type="spellEnd"/>
      <w:r>
        <w:rPr>
          <w:sz w:val="24"/>
          <w:szCs w:val="24"/>
        </w:rPr>
        <w:t xml:space="preserve">) is a highly pathogenic zoonotic, negative-sense, single-stranded RNA virus belonging to the genus </w:t>
      </w:r>
      <w:proofErr w:type="spellStart"/>
      <w:r>
        <w:rPr>
          <w:i/>
          <w:iCs/>
          <w:sz w:val="24"/>
          <w:szCs w:val="24"/>
        </w:rPr>
        <w:t>Henipavirus</w:t>
      </w:r>
      <w:proofErr w:type="spellEnd"/>
      <w:r>
        <w:rPr>
          <w:sz w:val="24"/>
          <w:szCs w:val="24"/>
        </w:rPr>
        <w:t xml:space="preserve"> within the family </w:t>
      </w:r>
      <w:proofErr w:type="spellStart"/>
      <w:r>
        <w:rPr>
          <w:i/>
          <w:iCs/>
          <w:sz w:val="24"/>
          <w:szCs w:val="24"/>
        </w:rPr>
        <w:t>Paramyxo</w:t>
      </w:r>
      <w:r>
        <w:rPr>
          <w:i/>
          <w:iCs/>
          <w:sz w:val="24"/>
          <w:szCs w:val="24"/>
        </w:rPr>
        <w:t>viridae</w:t>
      </w:r>
      <w:proofErr w:type="spellEnd"/>
      <w:r>
        <w:rPr>
          <w:sz w:val="24"/>
          <w:szCs w:val="24"/>
        </w:rPr>
        <w:t xml:space="preserve">. It is capable of causing severe febrile illness, acute respiratory distress, and fatal encephalitis in humans, </w:t>
      </w:r>
      <w:r>
        <w:rPr>
          <w:rFonts w:eastAsia="SimSun"/>
          <w:sz w:val="24"/>
          <w:szCs w:val="24"/>
          <w:highlight w:val="yellow"/>
        </w:rPr>
        <w:t>with reported case-fatality rates commonly ranging from ~40% to &gt;70%, varying by outbreak context, case ascertainment, and healthcare ca</w:t>
      </w:r>
      <w:r>
        <w:rPr>
          <w:rFonts w:eastAsia="SimSun"/>
          <w:sz w:val="24"/>
          <w:szCs w:val="24"/>
          <w:highlight w:val="yellow"/>
        </w:rPr>
        <w:t>pacity.</w:t>
      </w:r>
      <w:r>
        <w:rPr>
          <w:sz w:val="24"/>
          <w:szCs w:val="24"/>
        </w:rPr>
        <w:t xml:space="preserve"> (Rathish &amp; </w:t>
      </w:r>
      <w:proofErr w:type="spellStart"/>
      <w:r>
        <w:rPr>
          <w:sz w:val="24"/>
          <w:szCs w:val="24"/>
        </w:rPr>
        <w:t>Vaishnani</w:t>
      </w:r>
      <w:proofErr w:type="spellEnd"/>
      <w:r>
        <w:rPr>
          <w:sz w:val="24"/>
          <w:szCs w:val="24"/>
        </w:rPr>
        <w:t xml:space="preserve">, 2025; Ang et al., 2018). The natural reservoir hosts of </w:t>
      </w:r>
      <w:proofErr w:type="spellStart"/>
      <w:r>
        <w:rPr>
          <w:sz w:val="24"/>
          <w:szCs w:val="24"/>
        </w:rPr>
        <w:t>Nipah</w:t>
      </w:r>
      <w:proofErr w:type="spellEnd"/>
      <w:r>
        <w:rPr>
          <w:sz w:val="24"/>
          <w:szCs w:val="24"/>
        </w:rPr>
        <w:t xml:space="preserve"> virus are fruit bats of the genus </w:t>
      </w:r>
      <w:proofErr w:type="spellStart"/>
      <w:r>
        <w:rPr>
          <w:i/>
          <w:iCs/>
          <w:sz w:val="24"/>
          <w:szCs w:val="24"/>
        </w:rPr>
        <w:t>Pteropus</w:t>
      </w:r>
      <w:proofErr w:type="spellEnd"/>
      <w:r>
        <w:rPr>
          <w:sz w:val="24"/>
          <w:szCs w:val="24"/>
        </w:rPr>
        <w:t>, with spillover to humans occurring through direct contact with infected animals, consumption of contaminated food produc</w:t>
      </w:r>
      <w:r>
        <w:rPr>
          <w:sz w:val="24"/>
          <w:szCs w:val="24"/>
        </w:rPr>
        <w:t>ts, or subsequent human-to-human transmission, particularly in healthcare settings (</w:t>
      </w:r>
      <w:proofErr w:type="spellStart"/>
      <w:r>
        <w:rPr>
          <w:sz w:val="24"/>
          <w:szCs w:val="24"/>
        </w:rPr>
        <w:t>Ganguly</w:t>
      </w:r>
      <w:proofErr w:type="spellEnd"/>
      <w:r>
        <w:rPr>
          <w:sz w:val="24"/>
          <w:szCs w:val="24"/>
        </w:rPr>
        <w:t xml:space="preserve"> et al., 2025; Epstein et al., 2020; Singh et al., 2019;). Due to its epidemic potential, absence of licensed vaccines or specific antiviral therapy, and significant</w:t>
      </w:r>
      <w:r>
        <w:rPr>
          <w:sz w:val="24"/>
          <w:szCs w:val="24"/>
        </w:rPr>
        <w:t xml:space="preserve"> public health impact, </w:t>
      </w:r>
      <w:proofErr w:type="spellStart"/>
      <w:r>
        <w:rPr>
          <w:sz w:val="24"/>
          <w:szCs w:val="24"/>
        </w:rPr>
        <w:t>Nipah</w:t>
      </w:r>
      <w:proofErr w:type="spellEnd"/>
      <w:r>
        <w:rPr>
          <w:sz w:val="24"/>
          <w:szCs w:val="24"/>
        </w:rPr>
        <w:t xml:space="preserve"> virus is classified by the World Health Organization as a priority pathogen under the Research and Development Blueprint (</w:t>
      </w:r>
      <w:proofErr w:type="spellStart"/>
      <w:r>
        <w:rPr>
          <w:rFonts w:eastAsia="SimSun"/>
          <w:sz w:val="24"/>
          <w:szCs w:val="24"/>
          <w:highlight w:val="yellow"/>
        </w:rPr>
        <w:t>Ukoaka</w:t>
      </w:r>
      <w:proofErr w:type="spellEnd"/>
      <w:r>
        <w:rPr>
          <w:rFonts w:eastAsia="SimSun"/>
          <w:sz w:val="24"/>
          <w:szCs w:val="24"/>
          <w:highlight w:val="yellow"/>
        </w:rPr>
        <w:t xml:space="preserve"> et al., 2024</w:t>
      </w:r>
      <w:r>
        <w:rPr>
          <w:sz w:val="24"/>
          <w:szCs w:val="24"/>
        </w:rPr>
        <w:t>).</w:t>
      </w:r>
    </w:p>
    <w:p w:rsidR="00BE553F" w:rsidRDefault="00CD794B">
      <w:pPr>
        <w:spacing w:before="240" w:after="240"/>
        <w:ind w:firstLine="720"/>
        <w:jc w:val="both"/>
        <w:rPr>
          <w:sz w:val="24"/>
          <w:szCs w:val="24"/>
        </w:rPr>
      </w:pPr>
      <w:r>
        <w:rPr>
          <w:sz w:val="24"/>
          <w:szCs w:val="24"/>
        </w:rPr>
        <w:t xml:space="preserve">From a public health preparedness standpoint, </w:t>
      </w:r>
      <w:proofErr w:type="spellStart"/>
      <w:r>
        <w:rPr>
          <w:sz w:val="24"/>
          <w:szCs w:val="24"/>
        </w:rPr>
        <w:t>Nipah</w:t>
      </w:r>
      <w:proofErr w:type="spellEnd"/>
      <w:r>
        <w:rPr>
          <w:sz w:val="24"/>
          <w:szCs w:val="24"/>
        </w:rPr>
        <w:t xml:space="preserve"> virus is categorized as a high-</w:t>
      </w:r>
      <w:r>
        <w:rPr>
          <w:sz w:val="24"/>
          <w:szCs w:val="24"/>
        </w:rPr>
        <w:t>consequence infectious disease (HCID) and is associated with biosafety level-4 (BSL-4) containment requirements for live virus handling, although molecular detection on appropriately inactivated clinical specimens may be performed under enhanced containmen</w:t>
      </w:r>
      <w:r>
        <w:rPr>
          <w:sz w:val="24"/>
          <w:szCs w:val="24"/>
        </w:rPr>
        <w:t>t practices consistent with national biosafety guidance, while live virus work requires the highest containment (CDC, 2023; Chan et al., 2025). Assessment of preparedness for such pathogens typically relies on multidimensional frameworks encompassing labor</w:t>
      </w:r>
      <w:r>
        <w:rPr>
          <w:sz w:val="24"/>
          <w:szCs w:val="24"/>
        </w:rPr>
        <w:t>atory diagnostic capacity, biosafety and biosecurity systems, and specimen referral and transport networks. Diagnostic readiness is primarily evaluated through the availability of molecular diagnostic techniques, particularly real-time reverse transcriptio</w:t>
      </w:r>
      <w:r>
        <w:rPr>
          <w:sz w:val="24"/>
          <w:szCs w:val="24"/>
        </w:rPr>
        <w:t xml:space="preserve">n polymerase chain reaction (RT-PCR) for </w:t>
      </w:r>
      <w:proofErr w:type="spellStart"/>
      <w:r>
        <w:rPr>
          <w:sz w:val="24"/>
          <w:szCs w:val="24"/>
        </w:rPr>
        <w:t>Nipah</w:t>
      </w:r>
      <w:proofErr w:type="spellEnd"/>
      <w:r>
        <w:rPr>
          <w:sz w:val="24"/>
          <w:szCs w:val="24"/>
        </w:rPr>
        <w:t xml:space="preserve"> virus RNA detection in clinical specimens, supported by trained laboratory personnel, quality assurance through proficiency testing, and reliable reporting mechanisms (</w:t>
      </w:r>
      <w:proofErr w:type="spellStart"/>
      <w:r>
        <w:rPr>
          <w:sz w:val="24"/>
          <w:szCs w:val="24"/>
        </w:rPr>
        <w:t>Garbuglia</w:t>
      </w:r>
      <w:proofErr w:type="spellEnd"/>
      <w:r>
        <w:rPr>
          <w:sz w:val="24"/>
          <w:szCs w:val="24"/>
        </w:rPr>
        <w:t xml:space="preserve"> et al., 2023; Borges et al., 20</w:t>
      </w:r>
      <w:r>
        <w:rPr>
          <w:sz w:val="24"/>
          <w:szCs w:val="24"/>
        </w:rPr>
        <w:t xml:space="preserve">25; </w:t>
      </w:r>
      <w:proofErr w:type="spellStart"/>
      <w:r>
        <w:rPr>
          <w:sz w:val="24"/>
          <w:szCs w:val="24"/>
        </w:rPr>
        <w:t>Inbanathan</w:t>
      </w:r>
      <w:proofErr w:type="spellEnd"/>
      <w:r>
        <w:rPr>
          <w:sz w:val="24"/>
          <w:szCs w:val="24"/>
        </w:rPr>
        <w:t xml:space="preserve"> et al., 2024; WHO, 2026). In parallel, biosafety and biosecurity </w:t>
      </w:r>
      <w:r>
        <w:rPr>
          <w:sz w:val="24"/>
          <w:szCs w:val="24"/>
        </w:rPr>
        <w:lastRenderedPageBreak/>
        <w:t xml:space="preserve">assessments for </w:t>
      </w:r>
      <w:proofErr w:type="spellStart"/>
      <w:r>
        <w:rPr>
          <w:sz w:val="24"/>
          <w:szCs w:val="24"/>
        </w:rPr>
        <w:t>Nipah</w:t>
      </w:r>
      <w:proofErr w:type="spellEnd"/>
      <w:r>
        <w:rPr>
          <w:sz w:val="24"/>
          <w:szCs w:val="24"/>
        </w:rPr>
        <w:t xml:space="preserve"> virus examine laboratory infrastructure (BSL-3/4 with negative pressure and HEPA filtration), personal protective equipment (PPE) availability (PAPRs, imp</w:t>
      </w:r>
      <w:r>
        <w:rPr>
          <w:sz w:val="24"/>
          <w:szCs w:val="24"/>
        </w:rPr>
        <w:t xml:space="preserve">ermeable suits, double gloving), waste management procedures (autoclaving followed by incineration), staff training (annual simulations and risk assessments), and compliance with standard operating </w:t>
      </w:r>
      <w:proofErr w:type="gramStart"/>
      <w:r>
        <w:rPr>
          <w:sz w:val="24"/>
          <w:szCs w:val="24"/>
        </w:rPr>
        <w:t>protocols.(</w:t>
      </w:r>
      <w:proofErr w:type="spellStart"/>
      <w:proofErr w:type="gramEnd"/>
      <w:r>
        <w:rPr>
          <w:sz w:val="24"/>
          <w:szCs w:val="24"/>
        </w:rPr>
        <w:t>Artika</w:t>
      </w:r>
      <w:proofErr w:type="spellEnd"/>
      <w:r>
        <w:rPr>
          <w:sz w:val="24"/>
          <w:szCs w:val="24"/>
        </w:rPr>
        <w:t xml:space="preserve"> &amp; </w:t>
      </w:r>
      <w:proofErr w:type="spellStart"/>
      <w:r>
        <w:rPr>
          <w:sz w:val="24"/>
          <w:szCs w:val="24"/>
        </w:rPr>
        <w:t>Ma’roef</w:t>
      </w:r>
      <w:proofErr w:type="spellEnd"/>
      <w:r>
        <w:rPr>
          <w:sz w:val="24"/>
          <w:szCs w:val="24"/>
        </w:rPr>
        <w:t>, 2017; Vaughan, 2022).</w:t>
      </w:r>
    </w:p>
    <w:p w:rsidR="00BE553F" w:rsidRDefault="00CD794B">
      <w:pPr>
        <w:spacing w:before="240" w:after="240"/>
        <w:ind w:firstLine="720"/>
        <w:jc w:val="both"/>
        <w:rPr>
          <w:sz w:val="24"/>
          <w:szCs w:val="24"/>
        </w:rPr>
      </w:pPr>
      <w:r>
        <w:rPr>
          <w:sz w:val="24"/>
          <w:szCs w:val="24"/>
        </w:rPr>
        <w:t xml:space="preserve">At the </w:t>
      </w:r>
      <w:r>
        <w:rPr>
          <w:sz w:val="24"/>
          <w:szCs w:val="24"/>
        </w:rPr>
        <w:t xml:space="preserve">population level, </w:t>
      </w:r>
      <w:proofErr w:type="spellStart"/>
      <w:r>
        <w:rPr>
          <w:sz w:val="24"/>
          <w:szCs w:val="24"/>
        </w:rPr>
        <w:t>Nipah</w:t>
      </w:r>
      <w:proofErr w:type="spellEnd"/>
      <w:r>
        <w:rPr>
          <w:sz w:val="24"/>
          <w:szCs w:val="24"/>
        </w:rPr>
        <w:t xml:space="preserve"> virus preparedness has gained increasing relevance due to global trends that heighten zoonotic spillover risk, including deforestation, agricultural intensification, urban expansion, climate change, and increased human mobility (Plo</w:t>
      </w:r>
      <w:r>
        <w:rPr>
          <w:sz w:val="24"/>
          <w:szCs w:val="24"/>
        </w:rPr>
        <w:t xml:space="preserve">wright et al., </w:t>
      </w:r>
      <w:proofErr w:type="gramStart"/>
      <w:r>
        <w:rPr>
          <w:sz w:val="24"/>
          <w:szCs w:val="24"/>
        </w:rPr>
        <w:t>2017;WHO</w:t>
      </w:r>
      <w:proofErr w:type="gramEnd"/>
      <w:r>
        <w:rPr>
          <w:sz w:val="24"/>
          <w:szCs w:val="24"/>
        </w:rPr>
        <w:t>, 2025). Outbreaks in South and Southeast Asia have demonstrated that delayed diagnosis and inadequate biosafety measures can result in rapid healthcare-associated transmission, increased mortality, and significant socioeconomic disr</w:t>
      </w:r>
      <w:r>
        <w:rPr>
          <w:sz w:val="24"/>
          <w:szCs w:val="24"/>
        </w:rPr>
        <w:t>uption (</w:t>
      </w:r>
      <w:proofErr w:type="spellStart"/>
      <w:r>
        <w:rPr>
          <w:sz w:val="24"/>
          <w:szCs w:val="24"/>
        </w:rPr>
        <w:t>Arunkumar</w:t>
      </w:r>
      <w:proofErr w:type="spellEnd"/>
      <w:r>
        <w:rPr>
          <w:sz w:val="24"/>
          <w:szCs w:val="24"/>
        </w:rPr>
        <w:t xml:space="preserve"> et al., 2019; WHO, 2022). Consequently, strengthening laboratory systems and referral pathways is widely recognized as a core pillar of global health security and pandemic preparedness, even in countries without prior documented outbreaks</w:t>
      </w:r>
      <w:r>
        <w:rPr>
          <w:sz w:val="24"/>
          <w:szCs w:val="24"/>
        </w:rPr>
        <w:t xml:space="preserve"> (Kluge et al., 2018).</w:t>
      </w:r>
    </w:p>
    <w:p w:rsidR="00BE553F" w:rsidRDefault="00CD794B">
      <w:pPr>
        <w:spacing w:before="240" w:after="240"/>
        <w:ind w:firstLine="720"/>
        <w:jc w:val="both"/>
        <w:rPr>
          <w:sz w:val="24"/>
          <w:szCs w:val="24"/>
        </w:rPr>
      </w:pPr>
      <w:r>
        <w:rPr>
          <w:sz w:val="24"/>
          <w:szCs w:val="24"/>
        </w:rPr>
        <w:t xml:space="preserve">The Philippines represents a setting of particular interest within this regional context. The country hosts widespread </w:t>
      </w:r>
      <w:proofErr w:type="spellStart"/>
      <w:r>
        <w:rPr>
          <w:i/>
          <w:iCs/>
          <w:sz w:val="24"/>
          <w:szCs w:val="24"/>
        </w:rPr>
        <w:t>Pteropus</w:t>
      </w:r>
      <w:proofErr w:type="spellEnd"/>
      <w:r>
        <w:rPr>
          <w:sz w:val="24"/>
          <w:szCs w:val="24"/>
        </w:rPr>
        <w:t xml:space="preserve"> bat populations, maintains close interfaces between wildlife, livestock, and human communities, and exper</w:t>
      </w:r>
      <w:r>
        <w:rPr>
          <w:sz w:val="24"/>
          <w:szCs w:val="24"/>
        </w:rPr>
        <w:t xml:space="preserve">iences frequent inter-island and international population movement. While no new confirmed </w:t>
      </w:r>
      <w:proofErr w:type="spellStart"/>
      <w:r>
        <w:rPr>
          <w:sz w:val="24"/>
          <w:szCs w:val="24"/>
        </w:rPr>
        <w:t>Nipah</w:t>
      </w:r>
      <w:proofErr w:type="spellEnd"/>
      <w:r>
        <w:rPr>
          <w:sz w:val="24"/>
          <w:szCs w:val="24"/>
        </w:rPr>
        <w:t xml:space="preserve"> virus cases have been officially reported in the Philippines since the 2014 Mindanao outbreak, which involved 17 human cases and 9 deaths, evidence of </w:t>
      </w:r>
      <w:proofErr w:type="spellStart"/>
      <w:r>
        <w:rPr>
          <w:sz w:val="24"/>
          <w:szCs w:val="24"/>
        </w:rPr>
        <w:t>henipavi</w:t>
      </w:r>
      <w:r>
        <w:rPr>
          <w:sz w:val="24"/>
          <w:szCs w:val="24"/>
        </w:rPr>
        <w:t>rus</w:t>
      </w:r>
      <w:proofErr w:type="spellEnd"/>
      <w:r>
        <w:rPr>
          <w:sz w:val="24"/>
          <w:szCs w:val="24"/>
        </w:rPr>
        <w:t xml:space="preserve"> exposure among bats and the country’s experience with emerging infectious diseases support the need for proactive preparedness</w:t>
      </w:r>
      <w:r>
        <w:rPr>
          <w:sz w:val="24"/>
          <w:szCs w:val="24"/>
          <w:lang w:val="en-US"/>
        </w:rPr>
        <w:t xml:space="preserve">. </w:t>
      </w:r>
      <w:r>
        <w:rPr>
          <w:rFonts w:eastAsia="SimSun"/>
          <w:sz w:val="24"/>
          <w:szCs w:val="24"/>
          <w:highlight w:val="yellow"/>
        </w:rPr>
        <w:t>Since 2014, surveillance and reference-level diagnostics have strengthened, yet recurring constraints reported in later oper</w:t>
      </w:r>
      <w:r>
        <w:rPr>
          <w:rFonts w:eastAsia="SimSun"/>
          <w:sz w:val="24"/>
          <w:szCs w:val="24"/>
          <w:highlight w:val="yellow"/>
        </w:rPr>
        <w:t>ational accounts</w:t>
      </w:r>
      <w:r>
        <w:rPr>
          <w:rFonts w:eastAsia="SimSun"/>
          <w:sz w:val="24"/>
          <w:szCs w:val="24"/>
          <w:highlight w:val="yellow"/>
          <w:lang w:val="en-US"/>
        </w:rPr>
        <w:t xml:space="preserve">, </w:t>
      </w:r>
      <w:r>
        <w:rPr>
          <w:rFonts w:eastAsia="SimSun"/>
          <w:sz w:val="24"/>
          <w:szCs w:val="24"/>
          <w:highlight w:val="yellow"/>
        </w:rPr>
        <w:t>particularly referral delays and uneven subnational access</w:t>
      </w:r>
      <w:r>
        <w:rPr>
          <w:rFonts w:eastAsia="SimSun"/>
          <w:sz w:val="24"/>
          <w:szCs w:val="24"/>
          <w:highlight w:val="yellow"/>
          <w:lang w:val="en-US"/>
        </w:rPr>
        <w:t xml:space="preserve">, </w:t>
      </w:r>
      <w:r>
        <w:rPr>
          <w:rFonts w:eastAsia="SimSun"/>
          <w:sz w:val="24"/>
          <w:szCs w:val="24"/>
          <w:highlight w:val="yellow"/>
        </w:rPr>
        <w:t>suggest that some system vulnerabilities remain only partially resolved.</w:t>
      </w:r>
      <w:r>
        <w:rPr>
          <w:sz w:val="24"/>
          <w:szCs w:val="24"/>
        </w:rPr>
        <w:t xml:space="preserve"> (WHO, 2026; Kaku et al., 2025; Khan et al., 2024;</w:t>
      </w:r>
      <w:r>
        <w:rPr>
          <w:sz w:val="24"/>
          <w:szCs w:val="24"/>
          <w:lang w:val="en-US"/>
        </w:rPr>
        <w:t xml:space="preserve"> </w:t>
      </w:r>
      <w:r>
        <w:rPr>
          <w:sz w:val="24"/>
          <w:szCs w:val="24"/>
        </w:rPr>
        <w:t xml:space="preserve">Ramos &amp; </w:t>
      </w:r>
      <w:proofErr w:type="spellStart"/>
      <w:r>
        <w:rPr>
          <w:sz w:val="24"/>
          <w:szCs w:val="24"/>
        </w:rPr>
        <w:t>Nemenzo-Calica</w:t>
      </w:r>
      <w:proofErr w:type="spellEnd"/>
      <w:r>
        <w:rPr>
          <w:sz w:val="24"/>
          <w:szCs w:val="24"/>
        </w:rPr>
        <w:t xml:space="preserve">, 2025). Furthermore, the </w:t>
      </w:r>
      <w:r>
        <w:rPr>
          <w:sz w:val="24"/>
          <w:szCs w:val="24"/>
        </w:rPr>
        <w:t>archipelagic geography of the Philippines poses logistical challenges to specimen referral and transport, potentially affecting diagnostic turnaround time and coordinated outbreak response, especially during public health emergencies or extreme weather eve</w:t>
      </w:r>
      <w:r>
        <w:rPr>
          <w:sz w:val="24"/>
          <w:szCs w:val="24"/>
        </w:rPr>
        <w:t>nts.</w:t>
      </w:r>
      <w:r>
        <w:rPr>
          <w:sz w:val="24"/>
          <w:szCs w:val="24"/>
          <w:lang w:val="en-US"/>
        </w:rPr>
        <w:t xml:space="preserve"> </w:t>
      </w:r>
      <w:r>
        <w:rPr>
          <w:sz w:val="24"/>
          <w:szCs w:val="24"/>
        </w:rPr>
        <w:t xml:space="preserve">Despite global recognition of </w:t>
      </w:r>
      <w:proofErr w:type="spellStart"/>
      <w:r>
        <w:rPr>
          <w:sz w:val="24"/>
          <w:szCs w:val="24"/>
        </w:rPr>
        <w:t>Nipah</w:t>
      </w:r>
      <w:proofErr w:type="spellEnd"/>
      <w:r>
        <w:rPr>
          <w:sz w:val="24"/>
          <w:szCs w:val="24"/>
        </w:rPr>
        <w:t xml:space="preserve"> virus as a priority pathogen, existing studies in the Philippines and comparable settings have largely focused on general emerging infectious disease preparedness, surveillance policy, or outbreak response narrative</w:t>
      </w:r>
      <w:r>
        <w:rPr>
          <w:sz w:val="24"/>
          <w:szCs w:val="24"/>
        </w:rPr>
        <w:t xml:space="preserve">s from affected countries. Comprehensive, pathogen-specific national analyses examining laboratory diagnostic capacity, biosafety and biosecurity systems, and specimen referral networks for </w:t>
      </w:r>
      <w:proofErr w:type="spellStart"/>
      <w:r>
        <w:rPr>
          <w:sz w:val="24"/>
          <w:szCs w:val="24"/>
        </w:rPr>
        <w:t>Nipah</w:t>
      </w:r>
      <w:proofErr w:type="spellEnd"/>
      <w:r>
        <w:rPr>
          <w:sz w:val="24"/>
          <w:szCs w:val="24"/>
        </w:rPr>
        <w:t xml:space="preserve"> virus in pre-emergence contexts remain limited. This gap con</w:t>
      </w:r>
      <w:r>
        <w:rPr>
          <w:sz w:val="24"/>
          <w:szCs w:val="24"/>
        </w:rPr>
        <w:t>strains evidence-based preparedness planning and may obscure critical system vulnerabilities that could delay detection and containment in the event of a future spillover.</w:t>
      </w:r>
    </w:p>
    <w:p w:rsidR="00BE553F" w:rsidRDefault="00CD794B">
      <w:pPr>
        <w:spacing w:before="240" w:after="240"/>
        <w:ind w:firstLine="720"/>
        <w:jc w:val="both"/>
        <w:rPr>
          <w:sz w:val="24"/>
          <w:szCs w:val="24"/>
        </w:rPr>
      </w:pPr>
      <w:r>
        <w:rPr>
          <w:sz w:val="24"/>
          <w:szCs w:val="24"/>
        </w:rPr>
        <w:lastRenderedPageBreak/>
        <w:t xml:space="preserve">This study therefore aims to conduct a national gap analysis of </w:t>
      </w:r>
      <w:proofErr w:type="spellStart"/>
      <w:r>
        <w:rPr>
          <w:sz w:val="24"/>
          <w:szCs w:val="24"/>
        </w:rPr>
        <w:t>Nipah</w:t>
      </w:r>
      <w:proofErr w:type="spellEnd"/>
      <w:r>
        <w:rPr>
          <w:sz w:val="24"/>
          <w:szCs w:val="24"/>
        </w:rPr>
        <w:t xml:space="preserve"> virus readines</w:t>
      </w:r>
      <w:r>
        <w:rPr>
          <w:sz w:val="24"/>
          <w:szCs w:val="24"/>
        </w:rPr>
        <w:t xml:space="preserve">s in the Philippines, focusing on laboratory diagnostic capacity, biosafety and biosecurity systems, and specimen referral and transport networks. </w:t>
      </w:r>
    </w:p>
    <w:p w:rsidR="00BE553F" w:rsidRDefault="00CD794B">
      <w:pPr>
        <w:spacing w:before="240" w:after="240"/>
        <w:ind w:firstLine="720"/>
        <w:jc w:val="both"/>
        <w:rPr>
          <w:sz w:val="24"/>
          <w:szCs w:val="24"/>
        </w:rPr>
      </w:pPr>
      <w:r>
        <w:rPr>
          <w:sz w:val="24"/>
          <w:szCs w:val="24"/>
        </w:rPr>
        <w:t>Specifically, the objectives are to:</w:t>
      </w:r>
    </w:p>
    <w:p w:rsidR="00BE553F" w:rsidRDefault="00CD794B">
      <w:pPr>
        <w:numPr>
          <w:ilvl w:val="0"/>
          <w:numId w:val="1"/>
        </w:numPr>
        <w:spacing w:before="240"/>
        <w:jc w:val="both"/>
        <w:rPr>
          <w:sz w:val="24"/>
          <w:szCs w:val="24"/>
        </w:rPr>
      </w:pPr>
      <w:r>
        <w:rPr>
          <w:sz w:val="24"/>
          <w:szCs w:val="24"/>
        </w:rPr>
        <w:t>Systematically synthesize available evidence on existing laboratory and</w:t>
      </w:r>
      <w:r>
        <w:rPr>
          <w:sz w:val="24"/>
          <w:szCs w:val="24"/>
        </w:rPr>
        <w:t xml:space="preserve"> public health infrastructure relevant to </w:t>
      </w:r>
      <w:proofErr w:type="spellStart"/>
      <w:r>
        <w:rPr>
          <w:sz w:val="24"/>
          <w:szCs w:val="24"/>
        </w:rPr>
        <w:t>Nipah</w:t>
      </w:r>
      <w:proofErr w:type="spellEnd"/>
      <w:r>
        <w:rPr>
          <w:sz w:val="24"/>
          <w:szCs w:val="24"/>
        </w:rPr>
        <w:t xml:space="preserve"> virus detection and containment;</w:t>
      </w:r>
    </w:p>
    <w:p w:rsidR="00BE553F" w:rsidRDefault="00CD794B">
      <w:pPr>
        <w:numPr>
          <w:ilvl w:val="0"/>
          <w:numId w:val="1"/>
        </w:numPr>
        <w:jc w:val="both"/>
        <w:rPr>
          <w:sz w:val="24"/>
          <w:szCs w:val="24"/>
        </w:rPr>
      </w:pPr>
      <w:r>
        <w:rPr>
          <w:sz w:val="24"/>
          <w:szCs w:val="24"/>
        </w:rPr>
        <w:t>Identify structural and operational gaps affecting national preparedness; and</w:t>
      </w:r>
    </w:p>
    <w:p w:rsidR="00BE553F" w:rsidRDefault="00CD794B">
      <w:pPr>
        <w:numPr>
          <w:ilvl w:val="0"/>
          <w:numId w:val="1"/>
        </w:numPr>
        <w:spacing w:after="240"/>
        <w:jc w:val="both"/>
        <w:rPr>
          <w:sz w:val="24"/>
          <w:szCs w:val="24"/>
        </w:rPr>
      </w:pPr>
      <w:r>
        <w:rPr>
          <w:sz w:val="24"/>
          <w:szCs w:val="24"/>
        </w:rPr>
        <w:t xml:space="preserve">Propose context-appropriate strategies to strengthen readiness in alignment with international </w:t>
      </w:r>
      <w:r>
        <w:rPr>
          <w:sz w:val="24"/>
          <w:szCs w:val="24"/>
        </w:rPr>
        <w:t>health security standards.</w:t>
      </w:r>
    </w:p>
    <w:p w:rsidR="00BE553F" w:rsidRDefault="00CD794B">
      <w:pPr>
        <w:spacing w:after="80"/>
        <w:jc w:val="both"/>
        <w:rPr>
          <w:b/>
          <w:bCs/>
          <w:sz w:val="24"/>
          <w:szCs w:val="24"/>
        </w:rPr>
      </w:pPr>
      <w:r>
        <w:rPr>
          <w:b/>
          <w:bCs/>
          <w:sz w:val="24"/>
          <w:szCs w:val="24"/>
        </w:rPr>
        <w:t>METHODS</w:t>
      </w:r>
    </w:p>
    <w:p w:rsidR="00BE553F" w:rsidRDefault="00CD794B">
      <w:pPr>
        <w:spacing w:before="280"/>
        <w:jc w:val="both"/>
        <w:rPr>
          <w:b/>
          <w:bCs/>
          <w:sz w:val="24"/>
          <w:szCs w:val="24"/>
        </w:rPr>
      </w:pPr>
      <w:r>
        <w:rPr>
          <w:b/>
          <w:bCs/>
          <w:sz w:val="24"/>
          <w:szCs w:val="24"/>
        </w:rPr>
        <w:t>Study Design and Reporting Framework</w:t>
      </w:r>
    </w:p>
    <w:p w:rsidR="00BE553F" w:rsidRDefault="00CD794B">
      <w:pPr>
        <w:spacing w:before="240" w:after="240"/>
        <w:ind w:firstLine="720"/>
        <w:jc w:val="both"/>
        <w:rPr>
          <w:sz w:val="24"/>
          <w:szCs w:val="24"/>
        </w:rPr>
      </w:pPr>
      <w:r>
        <w:rPr>
          <w:sz w:val="24"/>
          <w:szCs w:val="24"/>
        </w:rPr>
        <w:t xml:space="preserve">This study was conducted as a systematic review with national gap analysis, designed to assess </w:t>
      </w:r>
      <w:proofErr w:type="spellStart"/>
      <w:r>
        <w:rPr>
          <w:sz w:val="24"/>
          <w:szCs w:val="24"/>
        </w:rPr>
        <w:t>Nipah</w:t>
      </w:r>
      <w:proofErr w:type="spellEnd"/>
      <w:r>
        <w:rPr>
          <w:sz w:val="24"/>
          <w:szCs w:val="24"/>
        </w:rPr>
        <w:t xml:space="preserve"> virus readiness in the Philippines across three core domains: laboratory diagnostic</w:t>
      </w:r>
      <w:r>
        <w:rPr>
          <w:sz w:val="24"/>
          <w:szCs w:val="24"/>
        </w:rPr>
        <w:t xml:space="preserve"> capacity, biosafety and biosecurity systems, and specimen referral and transport networks. The review followed the Preferred Reporting Items for Systematic Reviews and Meta-Analyses (PRISMA) 2020 guidelines to ensure methodological transparency, reproduci</w:t>
      </w:r>
      <w:r>
        <w:rPr>
          <w:sz w:val="24"/>
          <w:szCs w:val="24"/>
        </w:rPr>
        <w:t>bility, and rigor (Page et al., 2021). A PRISMA 2020 flow diagram was used to document the study selection process.</w:t>
      </w:r>
    </w:p>
    <w:p w:rsidR="00BE553F" w:rsidRDefault="00CD794B">
      <w:pPr>
        <w:spacing w:before="280"/>
        <w:jc w:val="both"/>
        <w:rPr>
          <w:b/>
          <w:bCs/>
          <w:sz w:val="24"/>
          <w:szCs w:val="24"/>
        </w:rPr>
      </w:pPr>
      <w:r>
        <w:rPr>
          <w:b/>
          <w:bCs/>
          <w:sz w:val="24"/>
          <w:szCs w:val="24"/>
        </w:rPr>
        <w:t>Search Strategy</w:t>
      </w:r>
    </w:p>
    <w:p w:rsidR="00BE553F" w:rsidRDefault="00CD794B">
      <w:pPr>
        <w:spacing w:before="240" w:after="240"/>
        <w:ind w:firstLine="720"/>
        <w:jc w:val="both"/>
        <w:rPr>
          <w:sz w:val="24"/>
          <w:szCs w:val="24"/>
        </w:rPr>
      </w:pPr>
      <w:r>
        <w:rPr>
          <w:sz w:val="24"/>
          <w:szCs w:val="24"/>
        </w:rPr>
        <w:t xml:space="preserve">A comprehensive literature search was conducted across multiple electronic databases to identify relevant peer-reviewed and </w:t>
      </w:r>
      <w:r>
        <w:rPr>
          <w:sz w:val="24"/>
          <w:szCs w:val="24"/>
        </w:rPr>
        <w:t xml:space="preserve">grey literature on </w:t>
      </w:r>
      <w:proofErr w:type="spellStart"/>
      <w:r>
        <w:rPr>
          <w:sz w:val="24"/>
          <w:szCs w:val="24"/>
        </w:rPr>
        <w:t>Nipah</w:t>
      </w:r>
      <w:proofErr w:type="spellEnd"/>
      <w:r>
        <w:rPr>
          <w:sz w:val="24"/>
          <w:szCs w:val="24"/>
        </w:rPr>
        <w:t xml:space="preserve"> virus preparedness. The databases searched included PubMed/MEDLINE, Scopus, Web of Science, </w:t>
      </w:r>
      <w:proofErr w:type="spellStart"/>
      <w:r>
        <w:rPr>
          <w:sz w:val="24"/>
          <w:szCs w:val="24"/>
        </w:rPr>
        <w:t>Embase</w:t>
      </w:r>
      <w:proofErr w:type="spellEnd"/>
      <w:r>
        <w:rPr>
          <w:sz w:val="24"/>
          <w:szCs w:val="24"/>
        </w:rPr>
        <w:t>, and Google Scholar. In addition, targeted searches were performed on the official websites of international and national public hea</w:t>
      </w:r>
      <w:r>
        <w:rPr>
          <w:sz w:val="24"/>
          <w:szCs w:val="24"/>
        </w:rPr>
        <w:t xml:space="preserve">lth organizations, including the World Health Organization, national health authorities, and regional laboratory networks. The search strategy combined controlled vocabulary (such as </w:t>
      </w:r>
      <w:proofErr w:type="spellStart"/>
      <w:r>
        <w:rPr>
          <w:sz w:val="24"/>
          <w:szCs w:val="24"/>
        </w:rPr>
        <w:t>MeSH</w:t>
      </w:r>
      <w:proofErr w:type="spellEnd"/>
      <w:r>
        <w:rPr>
          <w:sz w:val="24"/>
          <w:szCs w:val="24"/>
        </w:rPr>
        <w:t xml:space="preserve"> terms) and free-text keywords related to </w:t>
      </w:r>
      <w:proofErr w:type="spellStart"/>
      <w:r>
        <w:rPr>
          <w:sz w:val="24"/>
          <w:szCs w:val="24"/>
        </w:rPr>
        <w:t>Nipah</w:t>
      </w:r>
      <w:proofErr w:type="spellEnd"/>
      <w:r>
        <w:rPr>
          <w:sz w:val="24"/>
          <w:szCs w:val="24"/>
        </w:rPr>
        <w:t xml:space="preserve"> virus preparedness, l</w:t>
      </w:r>
      <w:r>
        <w:rPr>
          <w:sz w:val="24"/>
          <w:szCs w:val="24"/>
        </w:rPr>
        <w:t xml:space="preserve">aboratory systems, and public health infrastructure. Search terms included combinations of </w:t>
      </w:r>
      <w:proofErr w:type="spellStart"/>
      <w:r>
        <w:rPr>
          <w:sz w:val="24"/>
          <w:szCs w:val="24"/>
        </w:rPr>
        <w:t>Nipah</w:t>
      </w:r>
      <w:proofErr w:type="spellEnd"/>
      <w:r>
        <w:rPr>
          <w:sz w:val="24"/>
          <w:szCs w:val="24"/>
        </w:rPr>
        <w:t xml:space="preserve"> virus or </w:t>
      </w:r>
      <w:proofErr w:type="spellStart"/>
      <w:r>
        <w:rPr>
          <w:sz w:val="24"/>
          <w:szCs w:val="24"/>
        </w:rPr>
        <w:t>Henipavirus</w:t>
      </w:r>
      <w:proofErr w:type="spellEnd"/>
      <w:r>
        <w:rPr>
          <w:sz w:val="24"/>
          <w:szCs w:val="24"/>
        </w:rPr>
        <w:t>, laboratory preparedness, diagnostic capacity, or RT-PCR, biosafety, biosecurity, BSL-3, or BSL-4, specimen referral, sample transport, or</w:t>
      </w:r>
      <w:r>
        <w:rPr>
          <w:sz w:val="24"/>
          <w:szCs w:val="24"/>
        </w:rPr>
        <w:t xml:space="preserve"> laboratory networks, public health preparedness or health system readiness, and geographic identifiers such as Philippines or Southeast Asia. Boolean operators were applied to refine the search strategy. The search period spanned January 2000 to February </w:t>
      </w:r>
      <w:r>
        <w:rPr>
          <w:sz w:val="24"/>
          <w:szCs w:val="24"/>
        </w:rPr>
        <w:t xml:space="preserve">2026, reflecting the </w:t>
      </w:r>
      <w:r>
        <w:rPr>
          <w:sz w:val="24"/>
          <w:szCs w:val="24"/>
        </w:rPr>
        <w:lastRenderedPageBreak/>
        <w:t xml:space="preserve">emergence of </w:t>
      </w:r>
      <w:proofErr w:type="spellStart"/>
      <w:r>
        <w:rPr>
          <w:sz w:val="24"/>
          <w:szCs w:val="24"/>
        </w:rPr>
        <w:t>Nipah</w:t>
      </w:r>
      <w:proofErr w:type="spellEnd"/>
      <w:r>
        <w:rPr>
          <w:sz w:val="24"/>
          <w:szCs w:val="24"/>
        </w:rPr>
        <w:t xml:space="preserve"> virus and subsequent developments in laboratory and health system preparedness, and only articles published in English were included. </w:t>
      </w:r>
    </w:p>
    <w:p w:rsidR="00BE553F" w:rsidRDefault="00CD794B">
      <w:pPr>
        <w:spacing w:before="240" w:after="240"/>
        <w:ind w:firstLine="720"/>
        <w:jc w:val="both"/>
        <w:rPr>
          <w:sz w:val="24"/>
          <w:szCs w:val="24"/>
        </w:rPr>
      </w:pPr>
      <w:r>
        <w:rPr>
          <w:sz w:val="24"/>
          <w:szCs w:val="24"/>
        </w:rPr>
        <w:t>Other sources included official publications and web-based reports from the World</w:t>
      </w:r>
      <w:r>
        <w:rPr>
          <w:sz w:val="24"/>
          <w:szCs w:val="24"/>
        </w:rPr>
        <w:t xml:space="preserve"> Health Organization (WHO), the Philippine Department of Health (DOH-PH) and its attached agencies including the Research Institute for Tropical Medicine (RITM), the Department of Science and Technology–Philippine Council for Health Research and Developmen</w:t>
      </w:r>
      <w:r>
        <w:rPr>
          <w:sz w:val="24"/>
          <w:szCs w:val="24"/>
        </w:rPr>
        <w:t>t (DOST-PCHRD), the Philippine News Agency (PNA), and established national (PH-Media) and international media organizations (Intl-Media) reporting official surveillance and preparedness updates.</w:t>
      </w:r>
    </w:p>
    <w:p w:rsidR="00BE553F" w:rsidRDefault="00CD794B">
      <w:pPr>
        <w:spacing w:before="280"/>
        <w:jc w:val="both"/>
        <w:rPr>
          <w:b/>
          <w:bCs/>
          <w:sz w:val="24"/>
          <w:szCs w:val="24"/>
        </w:rPr>
      </w:pPr>
      <w:r>
        <w:rPr>
          <w:b/>
          <w:bCs/>
          <w:sz w:val="24"/>
          <w:szCs w:val="24"/>
        </w:rPr>
        <w:t>Eligibility Criteria</w:t>
      </w:r>
    </w:p>
    <w:p w:rsidR="00BE553F" w:rsidRDefault="00CD794B">
      <w:pPr>
        <w:spacing w:before="240" w:after="240"/>
        <w:ind w:firstLine="720"/>
        <w:jc w:val="both"/>
        <w:rPr>
          <w:sz w:val="24"/>
          <w:szCs w:val="24"/>
        </w:rPr>
      </w:pPr>
      <w:r>
        <w:rPr>
          <w:sz w:val="24"/>
          <w:szCs w:val="24"/>
        </w:rPr>
        <w:t>Studies and documents were included in t</w:t>
      </w:r>
      <w:r>
        <w:rPr>
          <w:sz w:val="24"/>
          <w:szCs w:val="24"/>
        </w:rPr>
        <w:t xml:space="preserve">his review if they addressed </w:t>
      </w:r>
      <w:proofErr w:type="spellStart"/>
      <w:r>
        <w:rPr>
          <w:sz w:val="24"/>
          <w:szCs w:val="24"/>
        </w:rPr>
        <w:t>Nipah</w:t>
      </w:r>
      <w:proofErr w:type="spellEnd"/>
      <w:r>
        <w:rPr>
          <w:sz w:val="24"/>
          <w:szCs w:val="24"/>
        </w:rPr>
        <w:t xml:space="preserve"> virus or comparable high-consequence zoonotic pathogens and reported on key components of preparedness, including laboratory diagnostic capacity, biosafety and biosecurity practices, or specimen referral and transport sys</w:t>
      </w:r>
      <w:r>
        <w:rPr>
          <w:sz w:val="24"/>
          <w:szCs w:val="24"/>
        </w:rPr>
        <w:t>tems. Eligible sources were required to present national, regional, or health-system-level data relevant to preparedness or readiness and to be published as peer-reviewed journal articles, technical reports, policy documents, or authoritative guidelines. I</w:t>
      </w:r>
      <w:r>
        <w:rPr>
          <w:sz w:val="24"/>
          <w:szCs w:val="24"/>
        </w:rPr>
        <w:t>n addition, included studies had to be applicable to the Philippine context or to comparable low-incidence or pre-emergence settings in South or Southeast Asia, where proactive preparedness planning is critical despite the absence of widespread outbreaks.</w:t>
      </w:r>
    </w:p>
    <w:p w:rsidR="00BE553F" w:rsidRDefault="00CD794B">
      <w:pPr>
        <w:spacing w:before="240" w:after="240"/>
        <w:ind w:firstLine="720"/>
        <w:jc w:val="both"/>
        <w:rPr>
          <w:sz w:val="24"/>
          <w:szCs w:val="24"/>
        </w:rPr>
      </w:pPr>
      <w:r>
        <w:rPr>
          <w:sz w:val="24"/>
          <w:szCs w:val="24"/>
        </w:rPr>
        <w:t>Sources were excluded if they focused exclusively on clinical management or therapeutic interventions without addressing laboratory or health system dimensions of preparedness. Case reports and outbreak narratives that lacked substantive discussion of diag</w:t>
      </w:r>
      <w:r>
        <w:rPr>
          <w:sz w:val="24"/>
          <w:szCs w:val="24"/>
        </w:rPr>
        <w:t xml:space="preserve">nostic systems, biosafety frameworks, or public health infrastructure were also excluded. Experimental animal studies and laboratory infection studies were not considered, as the review emphasized systems-level preparedness rather than </w:t>
      </w:r>
      <w:proofErr w:type="spellStart"/>
      <w:r>
        <w:rPr>
          <w:sz w:val="24"/>
          <w:szCs w:val="24"/>
        </w:rPr>
        <w:t>virological</w:t>
      </w:r>
      <w:proofErr w:type="spellEnd"/>
      <w:r>
        <w:rPr>
          <w:sz w:val="24"/>
          <w:szCs w:val="24"/>
        </w:rPr>
        <w:t xml:space="preserve"> experime</w:t>
      </w:r>
      <w:r>
        <w:rPr>
          <w:sz w:val="24"/>
          <w:szCs w:val="24"/>
        </w:rPr>
        <w:t>ntation. Furthermore, opinion pieces without empirical evidence or policy grounding, as well as sources with insufficient methodological detail or inaccessible full text, were excluded from the final synthesis.</w:t>
      </w:r>
    </w:p>
    <w:p w:rsidR="00BE553F" w:rsidRDefault="00CD794B">
      <w:pPr>
        <w:spacing w:before="280"/>
        <w:jc w:val="both"/>
        <w:rPr>
          <w:b/>
          <w:bCs/>
          <w:sz w:val="24"/>
          <w:szCs w:val="24"/>
        </w:rPr>
      </w:pPr>
      <w:r>
        <w:rPr>
          <w:b/>
          <w:bCs/>
          <w:sz w:val="24"/>
          <w:szCs w:val="24"/>
        </w:rPr>
        <w:t>Study Selection Process</w:t>
      </w:r>
    </w:p>
    <w:p w:rsidR="00BE553F" w:rsidRDefault="00CD794B">
      <w:pPr>
        <w:spacing w:before="240" w:after="240"/>
        <w:ind w:firstLine="720"/>
        <w:jc w:val="both"/>
        <w:rPr>
          <w:sz w:val="24"/>
          <w:szCs w:val="24"/>
        </w:rPr>
      </w:pPr>
      <w:r>
        <w:rPr>
          <w:sz w:val="24"/>
          <w:szCs w:val="24"/>
        </w:rPr>
        <w:t>All identified record</w:t>
      </w:r>
      <w:r>
        <w:rPr>
          <w:sz w:val="24"/>
          <w:szCs w:val="24"/>
        </w:rPr>
        <w:t>s were imported into a reference management system, and duplicates were removed prior to screening. Title and abstract screening were independently performed to assess relevance against the eligibility criteria. Full-text screening was subsequently conduct</w:t>
      </w:r>
      <w:r>
        <w:rPr>
          <w:sz w:val="24"/>
          <w:szCs w:val="24"/>
        </w:rPr>
        <w:t xml:space="preserve">ed for all potentially eligible sources. Discrepancies during screening were resolved through discussion and consensus. The selection </w:t>
      </w:r>
      <w:r>
        <w:rPr>
          <w:sz w:val="24"/>
          <w:szCs w:val="24"/>
        </w:rPr>
        <w:lastRenderedPageBreak/>
        <w:t>process was documented using a PRISMA 2020 flow diagram, detailing the number of records identified, screened, excluded, a</w:t>
      </w:r>
      <w:r>
        <w:rPr>
          <w:sz w:val="24"/>
          <w:szCs w:val="24"/>
        </w:rPr>
        <w:t>nd included in the final synthesis.</w:t>
      </w:r>
    </w:p>
    <w:p w:rsidR="00BE553F" w:rsidRDefault="00CD794B">
      <w:pPr>
        <w:spacing w:before="280"/>
        <w:jc w:val="both"/>
        <w:rPr>
          <w:b/>
          <w:bCs/>
          <w:sz w:val="24"/>
          <w:szCs w:val="24"/>
        </w:rPr>
      </w:pPr>
      <w:r>
        <w:rPr>
          <w:b/>
          <w:bCs/>
          <w:sz w:val="24"/>
          <w:szCs w:val="24"/>
        </w:rPr>
        <w:t>Data Extraction</w:t>
      </w:r>
    </w:p>
    <w:p w:rsidR="00BE553F" w:rsidRDefault="00CD794B">
      <w:pPr>
        <w:spacing w:before="240" w:after="240"/>
        <w:ind w:firstLine="720"/>
        <w:jc w:val="both"/>
        <w:rPr>
          <w:sz w:val="24"/>
          <w:szCs w:val="24"/>
        </w:rPr>
      </w:pPr>
      <w:r>
        <w:rPr>
          <w:sz w:val="24"/>
          <w:szCs w:val="24"/>
        </w:rPr>
        <w:t>A standardized data extraction form was developed to ensure consistency and comparability across all included studies and documents. Extracted information encompassed the author(s) and year of publication</w:t>
      </w:r>
      <w:r>
        <w:rPr>
          <w:sz w:val="24"/>
          <w:szCs w:val="24"/>
        </w:rPr>
        <w:t xml:space="preserve">, study design or document type, and geographic scope. Data relevant to laboratory diagnostic capacity were collected, including indicators such as the availability of molecular testing, laboratory tiering, and workforce training. Information on biosafety </w:t>
      </w:r>
      <w:r>
        <w:rPr>
          <w:sz w:val="24"/>
          <w:szCs w:val="24"/>
        </w:rPr>
        <w:t>and biosecurity components, such as containment level, availability and use of personal protective equipment, waste management practices, and standard operating procedures, was also extracted. In addition, characteristics of specimen referral and transport</w:t>
      </w:r>
      <w:r>
        <w:rPr>
          <w:sz w:val="24"/>
          <w:szCs w:val="24"/>
        </w:rPr>
        <w:t xml:space="preserve"> systems, including logistics, cold-chain maintenance, and diagnostic turnaround time, were documented. Key findings related to preparedness gaps and existing system strengths were systematically recorded, and all extracted data were organized according to</w:t>
      </w:r>
      <w:r>
        <w:rPr>
          <w:sz w:val="24"/>
          <w:szCs w:val="24"/>
        </w:rPr>
        <w:t xml:space="preserve"> the three predefined analytical domains of laboratory diagnostics, biosafety and biosecurity, and specimen referral networks.</w:t>
      </w:r>
    </w:p>
    <w:p w:rsidR="00BE553F" w:rsidRDefault="00CD794B">
      <w:pPr>
        <w:spacing w:before="280"/>
        <w:jc w:val="both"/>
        <w:rPr>
          <w:b/>
          <w:bCs/>
          <w:sz w:val="24"/>
          <w:szCs w:val="24"/>
        </w:rPr>
      </w:pPr>
      <w:r>
        <w:rPr>
          <w:b/>
          <w:bCs/>
          <w:sz w:val="24"/>
          <w:szCs w:val="24"/>
        </w:rPr>
        <w:t>Data Synthesis and Gap Analysis</w:t>
      </w:r>
    </w:p>
    <w:p w:rsidR="00BE553F" w:rsidRDefault="00CD794B">
      <w:pPr>
        <w:spacing w:before="240" w:after="240"/>
        <w:ind w:firstLine="720"/>
        <w:jc w:val="both"/>
        <w:rPr>
          <w:sz w:val="24"/>
          <w:szCs w:val="24"/>
          <w:lang w:val="en-US"/>
        </w:rPr>
      </w:pPr>
      <w:r>
        <w:rPr>
          <w:sz w:val="24"/>
          <w:szCs w:val="24"/>
        </w:rPr>
        <w:t>A narrative thematic synthesis approach was employed due to heterogeneity in study designs and da</w:t>
      </w:r>
      <w:r>
        <w:rPr>
          <w:sz w:val="24"/>
          <w:szCs w:val="24"/>
        </w:rPr>
        <w:t xml:space="preserve">ta sources. Findings were grouped into thematic categories corresponding to laboratory diagnostics, biosafety and biosecurity, and specimen referral systems. </w:t>
      </w:r>
      <w:r>
        <w:rPr>
          <w:rFonts w:eastAsia="SimSun"/>
          <w:sz w:val="24"/>
          <w:szCs w:val="24"/>
          <w:highlight w:val="yellow"/>
        </w:rPr>
        <w:t>Operationally, a “gap” was recorded when included sources (</w:t>
      </w:r>
      <w:proofErr w:type="spellStart"/>
      <w:r>
        <w:rPr>
          <w:rFonts w:eastAsia="SimSun"/>
          <w:sz w:val="24"/>
          <w:szCs w:val="24"/>
          <w:highlight w:val="yellow"/>
        </w:rPr>
        <w:t>i</w:t>
      </w:r>
      <w:proofErr w:type="spellEnd"/>
      <w:r>
        <w:rPr>
          <w:rFonts w:eastAsia="SimSun"/>
          <w:sz w:val="24"/>
          <w:szCs w:val="24"/>
          <w:highlight w:val="yellow"/>
        </w:rPr>
        <w:t>) documented absence/limited availabil</w:t>
      </w:r>
      <w:r>
        <w:rPr>
          <w:rFonts w:eastAsia="SimSun"/>
          <w:sz w:val="24"/>
          <w:szCs w:val="24"/>
          <w:highlight w:val="yellow"/>
        </w:rPr>
        <w:t>ity of a capability, (ii) reported centralization that plausibly prolongs turnaround time or limits access, (iii) described implementation variability across regions, or (iv) lacked publicly available technical documentation for governance-critical functio</w:t>
      </w:r>
      <w:r>
        <w:rPr>
          <w:rFonts w:eastAsia="SimSun"/>
          <w:sz w:val="24"/>
          <w:szCs w:val="24"/>
          <w:highlight w:val="yellow"/>
        </w:rPr>
        <w:t>ns (e.g., audit processes, tiering, escalation pathways). Evidence was categorized by domain and interpreted as strengths when capacity was documented as present and functional, and as gaps when limitations were reported or when essential readiness element</w:t>
      </w:r>
      <w:r>
        <w:rPr>
          <w:rFonts w:eastAsia="SimSun"/>
          <w:sz w:val="24"/>
          <w:szCs w:val="24"/>
          <w:highlight w:val="yellow"/>
        </w:rPr>
        <w:t>s were not publicly documented</w:t>
      </w:r>
      <w:r>
        <w:rPr>
          <w:rFonts w:ascii="SimSun" w:eastAsia="SimSun" w:hAnsi="SimSun" w:cs="SimSun"/>
          <w:sz w:val="24"/>
          <w:szCs w:val="24"/>
          <w:lang w:val="en-US"/>
        </w:rPr>
        <w:t>.</w:t>
      </w:r>
    </w:p>
    <w:p w:rsidR="00BE553F" w:rsidRDefault="00CD794B">
      <w:pPr>
        <w:spacing w:before="240" w:after="240"/>
        <w:jc w:val="both"/>
        <w:rPr>
          <w:b/>
          <w:bCs/>
          <w:sz w:val="24"/>
          <w:szCs w:val="24"/>
        </w:rPr>
      </w:pPr>
      <w:r>
        <w:rPr>
          <w:b/>
          <w:bCs/>
          <w:sz w:val="24"/>
          <w:szCs w:val="24"/>
        </w:rPr>
        <w:t>Preparedness classification</w:t>
      </w:r>
    </w:p>
    <w:p w:rsidR="00BE553F" w:rsidRDefault="00CD794B">
      <w:pPr>
        <w:spacing w:before="240" w:after="240"/>
        <w:ind w:firstLine="720"/>
        <w:jc w:val="both"/>
        <w:rPr>
          <w:sz w:val="24"/>
          <w:szCs w:val="24"/>
        </w:rPr>
      </w:pPr>
      <w:r>
        <w:rPr>
          <w:sz w:val="24"/>
          <w:szCs w:val="24"/>
        </w:rPr>
        <w:t>The overall level of preparedness was classified qualitatively based on a structured gap analysis across the three predefined domains: laboratory diagnostic capacity, biosafety and biosecurity sys</w:t>
      </w:r>
      <w:r>
        <w:rPr>
          <w:sz w:val="24"/>
          <w:szCs w:val="24"/>
        </w:rPr>
        <w:t>tems, and specimen referral and transport networks. No formal numerical scoring tool was applied. Instead, national capacities were interpreted relative to international benchmarks and published expectations for preparedness for high-consequence infectious</w:t>
      </w:r>
      <w:r>
        <w:rPr>
          <w:sz w:val="24"/>
          <w:szCs w:val="24"/>
        </w:rPr>
        <w:t xml:space="preserve"> diseases. ‘Intermediate preparedness’ was used to denote </w:t>
      </w:r>
      <w:r>
        <w:rPr>
          <w:sz w:val="24"/>
          <w:szCs w:val="24"/>
        </w:rPr>
        <w:lastRenderedPageBreak/>
        <w:t>the presence of functional systems and documented capacity-building initiatives, alongside persistent structural or operational gaps that limit full decentralization, integration, and resilience.</w:t>
      </w:r>
    </w:p>
    <w:p w:rsidR="00BE553F" w:rsidRDefault="00CD794B">
      <w:pPr>
        <w:spacing w:before="280"/>
        <w:jc w:val="both"/>
        <w:rPr>
          <w:b/>
          <w:bCs/>
          <w:sz w:val="24"/>
          <w:szCs w:val="24"/>
        </w:rPr>
      </w:pPr>
      <w:r>
        <w:rPr>
          <w:b/>
          <w:bCs/>
          <w:sz w:val="24"/>
          <w:szCs w:val="24"/>
        </w:rPr>
        <w:t>Ri</w:t>
      </w:r>
      <w:r>
        <w:rPr>
          <w:b/>
          <w:bCs/>
          <w:sz w:val="24"/>
          <w:szCs w:val="24"/>
        </w:rPr>
        <w:t>sk of Bias and Quality Considerations</w:t>
      </w:r>
    </w:p>
    <w:p w:rsidR="00BE553F" w:rsidRDefault="00CD794B">
      <w:pPr>
        <w:spacing w:before="240" w:after="240"/>
        <w:ind w:firstLine="720"/>
        <w:jc w:val="both"/>
        <w:rPr>
          <w:sz w:val="24"/>
          <w:szCs w:val="24"/>
        </w:rPr>
      </w:pPr>
      <w:r>
        <w:rPr>
          <w:rFonts w:eastAsia="SimSun"/>
          <w:sz w:val="24"/>
          <w:szCs w:val="24"/>
          <w:highlight w:val="yellow"/>
        </w:rPr>
        <w:t>Because this review included heterogeneous non-experimental sources (policy documents, advisories, technical reports, and media reports), formal risk-of-bias tools designed for clinical trials or observational epidemio</w:t>
      </w:r>
      <w:r>
        <w:rPr>
          <w:rFonts w:eastAsia="SimSun"/>
          <w:sz w:val="24"/>
          <w:szCs w:val="24"/>
          <w:highlight w:val="yellow"/>
        </w:rPr>
        <w:t>logy were not appropriate.</w:t>
      </w:r>
      <w:r>
        <w:rPr>
          <w:sz w:val="24"/>
          <w:szCs w:val="24"/>
        </w:rPr>
        <w:br/>
      </w:r>
      <w:r>
        <w:rPr>
          <w:rFonts w:eastAsia="SimSun"/>
          <w:sz w:val="24"/>
          <w:szCs w:val="24"/>
          <w:highlight w:val="yellow"/>
        </w:rPr>
        <w:t>This limitation is acknowledged as a potential source of reporting bias, mitigated by restricting operational sources to recognized agencies and established outlets.</w:t>
      </w:r>
    </w:p>
    <w:p w:rsidR="00BE553F" w:rsidRDefault="00CD794B">
      <w:pPr>
        <w:spacing w:before="280"/>
        <w:jc w:val="both"/>
        <w:rPr>
          <w:b/>
          <w:bCs/>
          <w:sz w:val="24"/>
          <w:szCs w:val="24"/>
        </w:rPr>
      </w:pPr>
      <w:r>
        <w:rPr>
          <w:b/>
          <w:bCs/>
          <w:sz w:val="24"/>
          <w:szCs w:val="24"/>
        </w:rPr>
        <w:t>Ethical Considerations</w:t>
      </w:r>
    </w:p>
    <w:p w:rsidR="00BE553F" w:rsidRDefault="00CD794B">
      <w:pPr>
        <w:spacing w:before="240" w:after="240"/>
        <w:ind w:firstLine="720"/>
        <w:jc w:val="both"/>
      </w:pPr>
      <w:r>
        <w:rPr>
          <w:sz w:val="24"/>
          <w:szCs w:val="24"/>
        </w:rPr>
        <w:t xml:space="preserve">This study relied exclusively on </w:t>
      </w:r>
      <w:r>
        <w:rPr>
          <w:sz w:val="24"/>
          <w:szCs w:val="24"/>
        </w:rPr>
        <w:t>publicly available secondary data and did not involve human participants, patient data, or experimental procedures. As such, ethical approval was not required.</w:t>
      </w:r>
      <w:r>
        <w:rPr>
          <w:sz w:val="24"/>
          <w:szCs w:val="24"/>
        </w:rPr>
        <w:br/>
      </w:r>
    </w:p>
    <w:p w:rsidR="00BE553F" w:rsidRDefault="00CD794B">
      <w:pPr>
        <w:pStyle w:val="Heading3"/>
        <w:keepNext w:val="0"/>
        <w:keepLines w:val="0"/>
        <w:spacing w:before="280"/>
        <w:jc w:val="both"/>
        <w:rPr>
          <w:b/>
          <w:bCs/>
          <w:sz w:val="24"/>
          <w:szCs w:val="24"/>
        </w:rPr>
      </w:pPr>
      <w:bookmarkStart w:id="0" w:name="_54qzjmxii07b" w:colFirst="0" w:colLast="0"/>
      <w:bookmarkEnd w:id="0"/>
      <w:r>
        <w:rPr>
          <w:b/>
          <w:bCs/>
          <w:color w:val="000000"/>
          <w:sz w:val="24"/>
          <w:szCs w:val="24"/>
        </w:rPr>
        <w:t>PRISMA Flow Diagram</w:t>
      </w:r>
    </w:p>
    <w:p w:rsidR="00BE553F" w:rsidRDefault="00CD794B">
      <w:pPr>
        <w:spacing w:before="240" w:after="240"/>
        <w:jc w:val="center"/>
        <w:rPr>
          <w:b/>
          <w:bCs/>
          <w:sz w:val="24"/>
          <w:szCs w:val="24"/>
        </w:rPr>
      </w:pPr>
      <w:r>
        <w:rPr>
          <w:b/>
          <w:bCs/>
          <w:noProof/>
          <w:sz w:val="24"/>
          <w:szCs w:val="24"/>
        </w:rPr>
        <w:lastRenderedPageBreak/>
        <mc:AlternateContent>
          <mc:Choice Requires="wpg">
            <w:drawing>
              <wp:inline distT="114300" distB="114300" distL="114300" distR="114300">
                <wp:extent cx="4210050" cy="4973955"/>
                <wp:effectExtent l="5080" t="4445" r="13970" b="12700"/>
                <wp:docPr id="1" name="Group 1"/>
                <wp:cNvGraphicFramePr/>
                <a:graphic xmlns:a="http://schemas.openxmlformats.org/drawingml/2006/main">
                  <a:graphicData uri="http://schemas.microsoft.com/office/word/2010/wordprocessingGroup">
                    <wpg:wgp>
                      <wpg:cNvGrpSpPr/>
                      <wpg:grpSpPr>
                        <a:xfrm>
                          <a:off x="0" y="0"/>
                          <a:ext cx="4210008" cy="4973775"/>
                          <a:chOff x="1165650" y="21978"/>
                          <a:chExt cx="4202600" cy="4895247"/>
                        </a:xfrm>
                      </wpg:grpSpPr>
                      <wps:wsp>
                        <wps:cNvPr id="780975721" name="Rectangle 780975721"/>
                        <wps:cNvSpPr/>
                        <wps:spPr>
                          <a:xfrm rot="-5400000">
                            <a:off x="864150" y="362988"/>
                            <a:ext cx="1073400" cy="470400"/>
                          </a:xfrm>
                          <a:prstGeom prst="rect">
                            <a:avLst/>
                          </a:prstGeom>
                          <a:solidFill>
                            <a:srgbClr val="CFE2F3"/>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b/>
                                  <w:color w:val="000000"/>
                                  <w:sz w:val="20"/>
                                </w:rPr>
                                <w:t>Identification</w:t>
                              </w:r>
                            </w:p>
                          </w:txbxContent>
                        </wps:txbx>
                        <wps:bodyPr spcFirstLastPara="1" wrap="square" lIns="91425" tIns="91425" rIns="91425" bIns="91425" anchor="ctr" anchorCtr="0">
                          <a:noAutofit/>
                        </wps:bodyPr>
                      </wps:wsp>
                      <wps:wsp>
                        <wps:cNvPr id="1098080509" name="Rectangle 1098080509"/>
                        <wps:cNvSpPr/>
                        <wps:spPr>
                          <a:xfrm>
                            <a:off x="2043400" y="61500"/>
                            <a:ext cx="1434900" cy="633900"/>
                          </a:xfrm>
                          <a:prstGeom prst="rect">
                            <a:avLst/>
                          </a:prstGeom>
                          <a:solidFill>
                            <a:srgbClr val="FFFFFF"/>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color w:val="000000"/>
                                  <w:sz w:val="20"/>
                                </w:rPr>
                                <w:t>Records identified through database search (n = 125)</w:t>
                              </w:r>
                            </w:p>
                          </w:txbxContent>
                        </wps:txbx>
                        <wps:bodyPr spcFirstLastPara="1" wrap="square" lIns="91425" tIns="91425" rIns="91425" bIns="91425" anchor="ctr" anchorCtr="0">
                          <a:noAutofit/>
                        </wps:bodyPr>
                      </wps:wsp>
                      <wps:wsp>
                        <wps:cNvPr id="1890344881" name="Rectangle 1890344881"/>
                        <wps:cNvSpPr/>
                        <wps:spPr>
                          <a:xfrm>
                            <a:off x="3711931" y="21978"/>
                            <a:ext cx="1608778" cy="751192"/>
                          </a:xfrm>
                          <a:prstGeom prst="rect">
                            <a:avLst/>
                          </a:prstGeom>
                          <a:solidFill>
                            <a:srgbClr val="FFFFFF"/>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proofErr w:type="gramStart"/>
                              <w:r>
                                <w:rPr>
                                  <w:color w:val="000000"/>
                                  <w:sz w:val="20"/>
                                </w:rPr>
                                <w:t>WHO,DOH</w:t>
                              </w:r>
                              <w:proofErr w:type="gramEnd"/>
                              <w:r>
                                <w:rPr>
                                  <w:color w:val="000000"/>
                                  <w:sz w:val="20"/>
                                </w:rPr>
                                <w:t>-PH,RITM, DOST-PCHRD,PNA,PH-Media, Intl-Media</w:t>
                              </w:r>
                            </w:p>
                            <w:p w:rsidR="00BE553F" w:rsidRDefault="00CD794B">
                              <w:pPr>
                                <w:spacing w:line="240" w:lineRule="auto"/>
                                <w:jc w:val="center"/>
                              </w:pPr>
                              <w:r>
                                <w:rPr>
                                  <w:color w:val="000000"/>
                                  <w:sz w:val="20"/>
                                </w:rPr>
                                <w:t xml:space="preserve"> (n = 7)</w:t>
                              </w:r>
                            </w:p>
                          </w:txbxContent>
                        </wps:txbx>
                        <wps:bodyPr spcFirstLastPara="1" wrap="square" lIns="91425" tIns="91425" rIns="91425" bIns="91425" anchor="ctr" anchorCtr="0">
                          <a:noAutofit/>
                        </wps:bodyPr>
                      </wps:wsp>
                      <wps:wsp>
                        <wps:cNvPr id="411057044" name="Rectangle 411057044"/>
                        <wps:cNvSpPr/>
                        <wps:spPr>
                          <a:xfrm rot="-5400000">
                            <a:off x="864000" y="1623613"/>
                            <a:ext cx="1073700" cy="470400"/>
                          </a:xfrm>
                          <a:prstGeom prst="rect">
                            <a:avLst/>
                          </a:prstGeom>
                          <a:solidFill>
                            <a:srgbClr val="CFE2F3"/>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b/>
                                  <w:color w:val="000000"/>
                                  <w:sz w:val="20"/>
                                </w:rPr>
                                <w:t xml:space="preserve">Screening </w:t>
                              </w:r>
                            </w:p>
                          </w:txbxContent>
                        </wps:txbx>
                        <wps:bodyPr spcFirstLastPara="1" wrap="square" lIns="91425" tIns="91425" rIns="91425" bIns="91425" anchor="ctr" anchorCtr="0">
                          <a:noAutofit/>
                        </wps:bodyPr>
                      </wps:wsp>
                      <wps:wsp>
                        <wps:cNvPr id="1437084093" name="Rectangle 1437084093"/>
                        <wps:cNvSpPr/>
                        <wps:spPr>
                          <a:xfrm>
                            <a:off x="2043400" y="1017600"/>
                            <a:ext cx="3277200" cy="450000"/>
                          </a:xfrm>
                          <a:prstGeom prst="rect">
                            <a:avLst/>
                          </a:prstGeom>
                          <a:solidFill>
                            <a:srgbClr val="FFFFFF"/>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color w:val="000000"/>
                                  <w:sz w:val="20"/>
                                </w:rPr>
                                <w:t>Records after duplicated removed (n = 34)</w:t>
                              </w:r>
                            </w:p>
                          </w:txbxContent>
                        </wps:txbx>
                        <wps:bodyPr spcFirstLastPara="1" wrap="square" lIns="91425" tIns="91425" rIns="91425" bIns="91425" anchor="ctr" anchorCtr="0">
                          <a:noAutofit/>
                        </wps:bodyPr>
                      </wps:wsp>
                      <wps:wsp>
                        <wps:cNvPr id="556146046" name="Rectangle 556146046"/>
                        <wps:cNvSpPr/>
                        <wps:spPr>
                          <a:xfrm rot="-5400000">
                            <a:off x="864000" y="2884400"/>
                            <a:ext cx="1073700" cy="470400"/>
                          </a:xfrm>
                          <a:prstGeom prst="rect">
                            <a:avLst/>
                          </a:prstGeom>
                          <a:solidFill>
                            <a:srgbClr val="CFE2F3"/>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b/>
                                  <w:color w:val="000000"/>
                                  <w:sz w:val="20"/>
                                </w:rPr>
                                <w:t>Eligibility</w:t>
                              </w:r>
                            </w:p>
                          </w:txbxContent>
                        </wps:txbx>
                        <wps:bodyPr spcFirstLastPara="1" wrap="square" lIns="91425" tIns="91425" rIns="91425" bIns="91425" anchor="ctr" anchorCtr="0">
                          <a:noAutofit/>
                        </wps:bodyPr>
                      </wps:wsp>
                      <wps:wsp>
                        <wps:cNvPr id="45496565" name="Rectangle 45496565"/>
                        <wps:cNvSpPr/>
                        <wps:spPr>
                          <a:xfrm rot="-5400000">
                            <a:off x="864000" y="4145175"/>
                            <a:ext cx="1073700" cy="470400"/>
                          </a:xfrm>
                          <a:prstGeom prst="rect">
                            <a:avLst/>
                          </a:prstGeom>
                          <a:solidFill>
                            <a:srgbClr val="CFE2F3"/>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b/>
                                  <w:color w:val="000000"/>
                                  <w:sz w:val="20"/>
                                </w:rPr>
                                <w:t>Included</w:t>
                              </w:r>
                            </w:p>
                          </w:txbxContent>
                        </wps:txbx>
                        <wps:bodyPr spcFirstLastPara="1" wrap="square" lIns="91425" tIns="91425" rIns="91425" bIns="91425" anchor="ctr" anchorCtr="0">
                          <a:noAutofit/>
                        </wps:bodyPr>
                      </wps:wsp>
                      <wps:wsp>
                        <wps:cNvPr id="1176517448" name="Rectangle 1176517448"/>
                        <wps:cNvSpPr/>
                        <wps:spPr>
                          <a:xfrm>
                            <a:off x="2043400" y="1789788"/>
                            <a:ext cx="1482600" cy="450000"/>
                          </a:xfrm>
                          <a:prstGeom prst="rect">
                            <a:avLst/>
                          </a:prstGeom>
                          <a:solidFill>
                            <a:srgbClr val="FFFFFF"/>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color w:val="000000"/>
                                  <w:sz w:val="20"/>
                                </w:rPr>
                                <w:t xml:space="preserve">Records screened </w:t>
                              </w:r>
                            </w:p>
                            <w:p w:rsidR="00BE553F" w:rsidRDefault="00CD794B">
                              <w:pPr>
                                <w:spacing w:line="240" w:lineRule="auto"/>
                                <w:jc w:val="center"/>
                              </w:pPr>
                              <w:r>
                                <w:rPr>
                                  <w:color w:val="000000"/>
                                  <w:sz w:val="20"/>
                                </w:rPr>
                                <w:t>(n = 98)</w:t>
                              </w:r>
                            </w:p>
                          </w:txbxContent>
                        </wps:txbx>
                        <wps:bodyPr spcFirstLastPara="1" wrap="square" lIns="91425" tIns="91425" rIns="91425" bIns="91425" anchor="ctr" anchorCtr="0">
                          <a:noAutofit/>
                        </wps:bodyPr>
                      </wps:wsp>
                      <wps:wsp>
                        <wps:cNvPr id="1975993828" name="Rectangle 1975993828"/>
                        <wps:cNvSpPr/>
                        <wps:spPr>
                          <a:xfrm>
                            <a:off x="3933154" y="1789966"/>
                            <a:ext cx="1435096" cy="512460"/>
                          </a:xfrm>
                          <a:prstGeom prst="rect">
                            <a:avLst/>
                          </a:prstGeom>
                          <a:solidFill>
                            <a:srgbClr val="FFFFFF"/>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color w:val="000000"/>
                                  <w:sz w:val="20"/>
                                </w:rPr>
                                <w:t>Records excluded</w:t>
                              </w:r>
                            </w:p>
                            <w:p w:rsidR="00BE553F" w:rsidRDefault="00CD794B">
                              <w:pPr>
                                <w:spacing w:line="240" w:lineRule="auto"/>
                                <w:jc w:val="center"/>
                              </w:pPr>
                              <w:r>
                                <w:rPr>
                                  <w:color w:val="000000"/>
                                  <w:sz w:val="20"/>
                                </w:rPr>
                                <w:t>(n = 61)</w:t>
                              </w:r>
                            </w:p>
                          </w:txbxContent>
                        </wps:txbx>
                        <wps:bodyPr spcFirstLastPara="1" wrap="square" lIns="91425" tIns="91425" rIns="91425" bIns="91425" anchor="ctr" anchorCtr="0">
                          <a:noAutofit/>
                        </wps:bodyPr>
                      </wps:wsp>
                      <wps:wsp>
                        <wps:cNvPr id="917115921" name="Rectangle 917115921"/>
                        <wps:cNvSpPr/>
                        <wps:spPr>
                          <a:xfrm>
                            <a:off x="2042935" y="2562407"/>
                            <a:ext cx="1482637" cy="647450"/>
                          </a:xfrm>
                          <a:prstGeom prst="rect">
                            <a:avLst/>
                          </a:prstGeom>
                          <a:solidFill>
                            <a:srgbClr val="FFFFFF"/>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color w:val="000000"/>
                                  <w:sz w:val="20"/>
                                </w:rPr>
                                <w:t>Full-text reports assessed for eligibility (n = 37)</w:t>
                              </w:r>
                            </w:p>
                          </w:txbxContent>
                        </wps:txbx>
                        <wps:bodyPr spcFirstLastPara="1" wrap="square" lIns="91425" tIns="91425" rIns="91425" bIns="91425" anchor="ctr" anchorCtr="0">
                          <a:noAutofit/>
                        </wps:bodyPr>
                      </wps:wsp>
                      <wps:wsp>
                        <wps:cNvPr id="1640973118" name="Rectangle 1640973118"/>
                        <wps:cNvSpPr/>
                        <wps:spPr>
                          <a:xfrm>
                            <a:off x="3933154" y="2562407"/>
                            <a:ext cx="1435096" cy="679323"/>
                          </a:xfrm>
                          <a:prstGeom prst="rect">
                            <a:avLst/>
                          </a:prstGeom>
                          <a:solidFill>
                            <a:srgbClr val="FFFFFF"/>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color w:val="000000"/>
                                  <w:sz w:val="20"/>
                                </w:rPr>
                                <w:t>Full-text reports excluded, with reason (n = 16)</w:t>
                              </w:r>
                            </w:p>
                          </w:txbxContent>
                        </wps:txbx>
                        <wps:bodyPr spcFirstLastPara="1" wrap="square" lIns="91425" tIns="91425" rIns="91425" bIns="91425" anchor="ctr" anchorCtr="0">
                          <a:noAutofit/>
                        </wps:bodyPr>
                      </wps:wsp>
                      <wps:wsp>
                        <wps:cNvPr id="1167053394" name="Rectangle 1167053394"/>
                        <wps:cNvSpPr/>
                        <wps:spPr>
                          <a:xfrm>
                            <a:off x="2043400" y="3841500"/>
                            <a:ext cx="1617300" cy="1073400"/>
                          </a:xfrm>
                          <a:prstGeom prst="rect">
                            <a:avLst/>
                          </a:prstGeom>
                          <a:solidFill>
                            <a:srgbClr val="FFFFFF"/>
                          </a:solidFill>
                          <a:ln w="9525" cap="flat" cmpd="sng">
                            <a:solidFill>
                              <a:srgbClr val="000000"/>
                            </a:solidFill>
                            <a:prstDash val="solid"/>
                            <a:round/>
                            <a:headEnd type="none" w="sm" len="sm"/>
                            <a:tailEnd type="none" w="sm" len="sm"/>
                          </a:ln>
                        </wps:spPr>
                        <wps:txbx>
                          <w:txbxContent>
                            <w:p w:rsidR="00BE553F" w:rsidRDefault="00CD794B">
                              <w:pPr>
                                <w:spacing w:line="240" w:lineRule="auto"/>
                                <w:jc w:val="center"/>
                              </w:pPr>
                              <w:r>
                                <w:rPr>
                                  <w:color w:val="000000"/>
                                  <w:sz w:val="20"/>
                                </w:rPr>
                                <w:t>Studies included in</w:t>
                              </w:r>
                            </w:p>
                            <w:p w:rsidR="00BE553F" w:rsidRDefault="00CD794B">
                              <w:pPr>
                                <w:spacing w:line="240" w:lineRule="auto"/>
                                <w:jc w:val="center"/>
                              </w:pPr>
                              <w:r>
                                <w:rPr>
                                  <w:color w:val="000000"/>
                                  <w:sz w:val="20"/>
                                </w:rPr>
                                <w:t>synthesis (n = 21)</w:t>
                              </w:r>
                            </w:p>
                            <w:p w:rsidR="00BE553F" w:rsidRDefault="00CD794B">
                              <w:pPr>
                                <w:spacing w:line="240" w:lineRule="auto"/>
                                <w:jc w:val="center"/>
                              </w:pPr>
                              <w:r>
                                <w:rPr>
                                  <w:color w:val="000000"/>
                                  <w:sz w:val="20"/>
                                </w:rPr>
                                <w:br/>
                                <w:t>Academic studies (n=8)</w:t>
                              </w:r>
                            </w:p>
                            <w:p w:rsidR="00BE553F" w:rsidRDefault="00CD794B">
                              <w:pPr>
                                <w:spacing w:line="240" w:lineRule="auto"/>
                                <w:jc w:val="center"/>
                              </w:pPr>
                              <w:r>
                                <w:rPr>
                                  <w:color w:val="000000"/>
                                  <w:sz w:val="20"/>
                                </w:rPr>
                                <w:t>Operational sources</w:t>
                              </w:r>
                            </w:p>
                            <w:p w:rsidR="00BE553F" w:rsidRDefault="00CD794B">
                              <w:pPr>
                                <w:spacing w:line="240" w:lineRule="auto"/>
                                <w:jc w:val="center"/>
                              </w:pPr>
                              <w:r>
                                <w:rPr>
                                  <w:color w:val="000000"/>
                                  <w:sz w:val="20"/>
                                </w:rPr>
                                <w:t>(n = 13)</w:t>
                              </w:r>
                            </w:p>
                            <w:p w:rsidR="00BE553F" w:rsidRDefault="00BE553F">
                              <w:pPr>
                                <w:spacing w:line="240" w:lineRule="auto"/>
                                <w:jc w:val="center"/>
                              </w:pPr>
                            </w:p>
                          </w:txbxContent>
                        </wps:txbx>
                        <wps:bodyPr spcFirstLastPara="1" wrap="square" lIns="91425" tIns="91425" rIns="91425" bIns="91425" anchor="ctr" anchorCtr="0">
                          <a:noAutofit/>
                        </wps:bodyPr>
                      </wps:wsp>
                      <wps:wsp>
                        <wps:cNvPr id="360848945" name="Arrow: Down 360848945"/>
                        <wps:cNvSpPr/>
                        <wps:spPr>
                          <a:xfrm>
                            <a:off x="2790700" y="6954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BE553F" w:rsidRDefault="00BE553F">
                              <w:pPr>
                                <w:spacing w:line="240" w:lineRule="auto"/>
                                <w:jc w:val="center"/>
                              </w:pPr>
                            </w:p>
                          </w:txbxContent>
                        </wps:txbx>
                        <wps:bodyPr spcFirstLastPara="1" wrap="square" lIns="91425" tIns="91425" rIns="91425" bIns="91425" anchor="ctr" anchorCtr="0">
                          <a:noAutofit/>
                        </wps:bodyPr>
                      </wps:wsp>
                      <wps:wsp>
                        <wps:cNvPr id="1813292242" name="Arrow: Down 1813292242"/>
                        <wps:cNvSpPr/>
                        <wps:spPr>
                          <a:xfrm>
                            <a:off x="4406250" y="6954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BE553F" w:rsidRDefault="00BE553F">
                              <w:pPr>
                                <w:spacing w:line="240" w:lineRule="auto"/>
                                <w:jc w:val="center"/>
                              </w:pPr>
                            </w:p>
                          </w:txbxContent>
                        </wps:txbx>
                        <wps:bodyPr spcFirstLastPara="1" wrap="square" lIns="91425" tIns="91425" rIns="91425" bIns="91425" anchor="ctr" anchorCtr="0">
                          <a:noAutofit/>
                        </wps:bodyPr>
                      </wps:wsp>
                      <wps:wsp>
                        <wps:cNvPr id="868327665" name="Arrow: Down 868327665"/>
                        <wps:cNvSpPr/>
                        <wps:spPr>
                          <a:xfrm>
                            <a:off x="2790700" y="14676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BE553F" w:rsidRDefault="00BE553F">
                              <w:pPr>
                                <w:spacing w:line="240" w:lineRule="auto"/>
                                <w:jc w:val="center"/>
                              </w:pPr>
                            </w:p>
                          </w:txbxContent>
                        </wps:txbx>
                        <wps:bodyPr spcFirstLastPara="1" wrap="square" lIns="91425" tIns="91425" rIns="91425" bIns="91425" anchor="ctr" anchorCtr="0">
                          <a:noAutofit/>
                        </wps:bodyPr>
                      </wps:wsp>
                      <wps:wsp>
                        <wps:cNvPr id="2090529841" name="Arrow: Down 2090529841"/>
                        <wps:cNvSpPr/>
                        <wps:spPr>
                          <a:xfrm rot="-5400000">
                            <a:off x="3668325" y="18537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BE553F" w:rsidRDefault="00BE553F">
                              <w:pPr>
                                <w:spacing w:line="240" w:lineRule="auto"/>
                                <w:jc w:val="center"/>
                              </w:pPr>
                            </w:p>
                          </w:txbxContent>
                        </wps:txbx>
                        <wps:bodyPr spcFirstLastPara="1" wrap="square" lIns="91425" tIns="91425" rIns="91425" bIns="91425" anchor="ctr" anchorCtr="0">
                          <a:noAutofit/>
                        </wps:bodyPr>
                      </wps:wsp>
                      <wps:wsp>
                        <wps:cNvPr id="1855655336" name="Arrow: Down 1855655336"/>
                        <wps:cNvSpPr/>
                        <wps:spPr>
                          <a:xfrm>
                            <a:off x="2790700" y="22398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BE553F" w:rsidRDefault="00BE553F">
                              <w:pPr>
                                <w:spacing w:line="240" w:lineRule="auto"/>
                                <w:jc w:val="center"/>
                              </w:pPr>
                            </w:p>
                          </w:txbxContent>
                        </wps:txbx>
                        <wps:bodyPr spcFirstLastPara="1" wrap="square" lIns="91425" tIns="91425" rIns="91425" bIns="91425" anchor="ctr" anchorCtr="0">
                          <a:noAutofit/>
                        </wps:bodyPr>
                      </wps:wsp>
                      <wps:wsp>
                        <wps:cNvPr id="128936500" name="Arrow: Down 128936500"/>
                        <wps:cNvSpPr/>
                        <wps:spPr>
                          <a:xfrm rot="-5400000">
                            <a:off x="3668325" y="265485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BE553F" w:rsidRDefault="00BE553F">
                              <w:pPr>
                                <w:spacing w:line="240" w:lineRule="auto"/>
                                <w:jc w:val="center"/>
                              </w:pPr>
                            </w:p>
                          </w:txbxContent>
                        </wps:txbx>
                        <wps:bodyPr spcFirstLastPara="1" wrap="square" lIns="91425" tIns="91425" rIns="91425" bIns="91425" anchor="ctr" anchorCtr="0">
                          <a:noAutofit/>
                        </wps:bodyPr>
                      </wps:wsp>
                      <wps:wsp>
                        <wps:cNvPr id="1328719922" name="Arrow: Down 1328719922"/>
                        <wps:cNvSpPr/>
                        <wps:spPr>
                          <a:xfrm>
                            <a:off x="2790700" y="3205188"/>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BE553F" w:rsidRDefault="00BE553F">
                              <w:pPr>
                                <w:spacing w:line="240" w:lineRule="auto"/>
                                <w:jc w:val="center"/>
                              </w:pPr>
                            </w:p>
                          </w:txbxContent>
                        </wps:txbx>
                        <wps:bodyPr spcFirstLastPara="1" wrap="square" lIns="91425" tIns="91425" rIns="91425" bIns="91425" anchor="ctr" anchorCtr="0">
                          <a:noAutofit/>
                        </wps:bodyPr>
                      </wps:wsp>
                    </wpg:wgp>
                  </a:graphicData>
                </a:graphic>
              </wp:inline>
            </w:drawing>
          </mc:Choice>
          <mc:Fallback xmlns:wpsCustomData="http://www.wps.cn/officeDocument/2013/wpsCustomData">
            <w:pict>
              <v:group id="_x0000_s1026" o:spid="_x0000_s1026" o:spt="203" style="height:391.65pt;width:331.5pt;" coordorigin="1165650,21978" coordsize="4202600,4895247" o:gfxdata="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Dlblwk1QAAAAUB&#10;AAAPAAAAAAAAAAEAIAAAACIAAABkcnMvZG93bnJldi54bWxQSwECFAAUAAAACACHTuJAPVYHdCAG&#10;AADvPAAADgAAAAAAAAABACAAAAAkAQAAZHJzL2Uyb0RvYy54bWxQSwUGAAAAAAYABgBZAQAAtgkA&#10;AAAA&#10;">
                <o:lock v:ext="edit" aspectratio="f"/>
                <v:rect id="Rectangle 780975721" o:spid="_x0000_s1026" o:spt="1" style="position:absolute;left:864150;top:362988;height:470400;width:1073400;rotation:-5898240f;v-text-anchor:middle;" fillcolor="#CFE2F3" filled="t" stroked="t" coordsize="21600,21600" o:gfxdata="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o&#10;yZvCAAAA4gAAAA8AAAAAAAAAAQAgAAAAIgAAAGRycy9kb3ducmV2LnhtbFBLAQIUABQAAAAIAIdO&#10;4kAzLwWeOwAAADkAAAAQAAAAAAAAAAEAIAAAABEBAABkcnMvc2hhcGV4bWwueG1sUEsFBgAAAAAG&#10;AAYAWwEAALsD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A2A8639">
                        <w:pPr>
                          <w:spacing w:line="240" w:lineRule="auto"/>
                          <w:jc w:val="center"/>
                        </w:pPr>
                        <w:r>
                          <w:rPr>
                            <w:b/>
                            <w:color w:val="000000"/>
                            <w:sz w:val="20"/>
                          </w:rPr>
                          <w:t>Identification</w:t>
                        </w:r>
                      </w:p>
                    </w:txbxContent>
                  </v:textbox>
                </v:rect>
                <v:rect id="Rectangle 1098080509" o:spid="_x0000_s1026" o:spt="1" style="position:absolute;left:2043400;top:61500;height:633900;width:1434900;v-text-anchor:middle;" fillcolor="#FFFFFF" filled="t" stroked="t" coordsize="21600,21600" o:gfxdata="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T8Ir4A&#10;AADjAAAADwAAAAAAAAABACAAAAAiAAAAZHJzL2Rvd25yZXYueG1sUEsBAhQAFAAAAAgAh07iQDMv&#10;BZ47AAAAOQAAABAAAAAAAAAAAQAgAAAADQEAAGRycy9zaGFwZXhtbC54bWxQSwUGAAAAAAYABgBb&#10;AQAAtwM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27ABE692">
                        <w:pPr>
                          <w:spacing w:line="240" w:lineRule="auto"/>
                          <w:jc w:val="center"/>
                        </w:pPr>
                        <w:r>
                          <w:rPr>
                            <w:color w:val="000000"/>
                            <w:sz w:val="20"/>
                          </w:rPr>
                          <w:t>Records identified through database search (n = 125)</w:t>
                        </w:r>
                      </w:p>
                    </w:txbxContent>
                  </v:textbox>
                </v:rect>
                <v:rect id="Rectangle 1890344881" o:spid="_x0000_s1026" o:spt="1" style="position:absolute;left:3711931;top:21978;height:751192;width:1608778;v-text-anchor:middle;" fillcolor="#FFFFFF" filled="t" stroked="t" coordsize="21600,21600" o:gfxdata="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ERz2/&#10;AAAA4wAAAA8AAAAAAAAAAQAgAAAAIgAAAGRycy9kb3ducmV2LnhtbFBLAQIUABQAAAAIAIdO4kAz&#10;LwWeOwAAADkAAAAQAAAAAAAAAAEAIAAAAA4BAABkcnMvc2hhcGV4bWwueG1sUEsFBgAAAAAGAAYA&#10;WwEAALgD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43341F31">
                        <w:pPr>
                          <w:spacing w:line="240" w:lineRule="auto"/>
                          <w:jc w:val="center"/>
                        </w:pPr>
                        <w:r>
                          <w:rPr>
                            <w:color w:val="000000"/>
                            <w:sz w:val="20"/>
                          </w:rPr>
                          <w:t>WHO,DOH-PH,RITM, DOST-PCHRD,PNA,PH-Media, Intl-Media</w:t>
                        </w:r>
                      </w:p>
                      <w:p w14:paraId="419D753D">
                        <w:pPr>
                          <w:spacing w:line="240" w:lineRule="auto"/>
                          <w:jc w:val="center"/>
                        </w:pPr>
                        <w:r>
                          <w:rPr>
                            <w:color w:val="000000"/>
                            <w:sz w:val="20"/>
                          </w:rPr>
                          <w:t xml:space="preserve"> (n = 7)</w:t>
                        </w:r>
                      </w:p>
                    </w:txbxContent>
                  </v:textbox>
                </v:rect>
                <v:rect id="Rectangle 411057044" o:spid="_x0000_s1026" o:spt="1" style="position:absolute;left:864000;top:1623613;height:470400;width:1073700;rotation:-5898240f;v-text-anchor:middle;" fillcolor="#CFE2F3" filled="t" stroked="t" coordsize="21600,21600" o:gfxdata="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6c&#10;ahbCAAAA4gAAAA8AAAAAAAAAAQAgAAAAIgAAAGRycy9kb3ducmV2LnhtbFBLAQIUABQAAAAIAIdO&#10;4kAzLwWeOwAAADkAAAAQAAAAAAAAAAEAIAAAABEBAABkcnMvc2hhcGV4bWwueG1sUEsFBgAAAAAG&#10;AAYAWwEAALsD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462184C4">
                        <w:pPr>
                          <w:spacing w:line="240" w:lineRule="auto"/>
                          <w:jc w:val="center"/>
                        </w:pPr>
                        <w:r>
                          <w:rPr>
                            <w:b/>
                            <w:color w:val="000000"/>
                            <w:sz w:val="20"/>
                          </w:rPr>
                          <w:t xml:space="preserve">Screening </w:t>
                        </w:r>
                      </w:p>
                    </w:txbxContent>
                  </v:textbox>
                </v:rect>
                <v:rect id="Rectangle 1437084093" o:spid="_x0000_s1026" o:spt="1" style="position:absolute;left:2043400;top:1017600;height:450000;width:3277200;v-text-anchor:middle;" fillcolor="#FFFFFF" filled="t" stroked="t" coordsize="21600,21600" o:gfxdata="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5BoS/&#10;AAAA4wAAAA8AAAAAAAAAAQAgAAAAIgAAAGRycy9kb3ducmV2LnhtbFBLAQIUABQAAAAIAIdO4kAz&#10;LwWeOwAAADkAAAAQAAAAAAAAAAEAIAAAAA4BAABkcnMvc2hhcGV4bWwueG1sUEsFBgAAAAAGAAYA&#10;WwEAALgD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07553F8B">
                        <w:pPr>
                          <w:spacing w:line="240" w:lineRule="auto"/>
                          <w:jc w:val="center"/>
                        </w:pPr>
                        <w:r>
                          <w:rPr>
                            <w:color w:val="000000"/>
                            <w:sz w:val="20"/>
                          </w:rPr>
                          <w:t>Records after duplicated removed (n = 34)</w:t>
                        </w:r>
                      </w:p>
                    </w:txbxContent>
                  </v:textbox>
                </v:rect>
                <v:rect id="Rectangle 556146046" o:spid="_x0000_s1026" o:spt="1" style="position:absolute;left:864000;top:2884400;height:470400;width:1073700;rotation:-5898240f;v-text-anchor:middle;" fillcolor="#CFE2F3" filled="t" stroked="t" coordsize="21600,21600" o:gfxdata="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79F&#10;B8EAAADiAAAADwAAAAAAAAABACAAAAAiAAAAZHJzL2Rvd25yZXYueG1sUEsBAhQAFAAAAAgAh07i&#10;QDMvBZ47AAAAOQAAABAAAAAAAAAAAQAgAAAAEAEAAGRycy9zaGFwZXhtbC54bWxQSwUGAAAAAAYA&#10;BgBbAQAAugM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24D2AD80">
                        <w:pPr>
                          <w:spacing w:line="240" w:lineRule="auto"/>
                          <w:jc w:val="center"/>
                        </w:pPr>
                        <w:r>
                          <w:rPr>
                            <w:b/>
                            <w:color w:val="000000"/>
                            <w:sz w:val="20"/>
                          </w:rPr>
                          <w:t>Eligibility</w:t>
                        </w:r>
                      </w:p>
                    </w:txbxContent>
                  </v:textbox>
                </v:rect>
                <v:rect id="Rectangle 45496565" o:spid="_x0000_s1026" o:spt="1" style="position:absolute;left:864000;top:4145175;height:470400;width:1073700;rotation:-5898240f;v-text-anchor:middle;" fillcolor="#CFE2F3" filled="t" stroked="t" coordsize="21600,21600" o:gfxdata="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QLI&#10;bMEAAADhAAAADwAAAAAAAAABACAAAAAiAAAAZHJzL2Rvd25yZXYueG1sUEsBAhQAFAAAAAgAh07i&#10;QDMvBZ47AAAAOQAAABAAAAAAAAAAAQAgAAAAEAEAAGRycy9zaGFwZXhtbC54bWxQSwUGAAAAAAYA&#10;BgBbAQAAugM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8698DD2">
                        <w:pPr>
                          <w:spacing w:line="240" w:lineRule="auto"/>
                          <w:jc w:val="center"/>
                        </w:pPr>
                        <w:r>
                          <w:rPr>
                            <w:b/>
                            <w:color w:val="000000"/>
                            <w:sz w:val="20"/>
                          </w:rPr>
                          <w:t>Included</w:t>
                        </w:r>
                      </w:p>
                    </w:txbxContent>
                  </v:textbox>
                </v:rect>
                <v:rect id="Rectangle 1176517448" o:spid="_x0000_s1026" o:spt="1" style="position:absolute;left:2043400;top:1789788;height:450000;width:1482600;v-text-anchor:middle;" fillcolor="#FFFFFF" filled="t" stroked="t" coordsize="21600,21600" o:gfxdata="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UQy+wwAAAOMAAAAPAAAAAAAAAAEAIAAAACIAAABkcnMvZG93bnJldi54bWxQSwECFAAUAAAACACH&#10;TuJAMy8FnjsAAAA5AAAAEAAAAAAAAAABACAAAAASAQAAZHJzL3NoYXBleG1sLnhtbFBLBQYAAAAA&#10;BgAGAFsBAAC8Aw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7636E65A">
                        <w:pPr>
                          <w:spacing w:line="240" w:lineRule="auto"/>
                          <w:jc w:val="center"/>
                        </w:pPr>
                        <w:r>
                          <w:rPr>
                            <w:color w:val="000000"/>
                            <w:sz w:val="20"/>
                          </w:rPr>
                          <w:t xml:space="preserve">Records screened </w:t>
                        </w:r>
                      </w:p>
                      <w:p w14:paraId="332FFCF6">
                        <w:pPr>
                          <w:spacing w:line="240" w:lineRule="auto"/>
                          <w:jc w:val="center"/>
                        </w:pPr>
                        <w:r>
                          <w:rPr>
                            <w:color w:val="000000"/>
                            <w:sz w:val="20"/>
                          </w:rPr>
                          <w:t>(n = 98)</w:t>
                        </w:r>
                      </w:p>
                    </w:txbxContent>
                  </v:textbox>
                </v:rect>
                <v:rect id="Rectangle 1975993828" o:spid="_x0000_s1026" o:spt="1" style="position:absolute;left:3933154;top:1789966;height:512460;width:1435096;v-text-anchor:middle;" fillcolor="#FFFFFF" filled="t" stroked="t" coordsize="21600,21600" o:gfxdata="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hjYvwwAAAOMAAAAPAAAAAAAAAAEAIAAAACIAAABkcnMvZG93bnJldi54bWxQSwECFAAUAAAACACH&#10;TuJAMy8FnjsAAAA5AAAAEAAAAAAAAAABACAAAAASAQAAZHJzL3NoYXBleG1sLnhtbFBLBQYAAAAA&#10;BgAGAFsBAAC8Aw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7F0CD9AA">
                        <w:pPr>
                          <w:spacing w:line="240" w:lineRule="auto"/>
                          <w:jc w:val="center"/>
                        </w:pPr>
                        <w:r>
                          <w:rPr>
                            <w:color w:val="000000"/>
                            <w:sz w:val="20"/>
                          </w:rPr>
                          <w:t>Records excluded</w:t>
                        </w:r>
                      </w:p>
                      <w:p w14:paraId="2B074645">
                        <w:pPr>
                          <w:spacing w:line="240" w:lineRule="auto"/>
                          <w:jc w:val="center"/>
                        </w:pPr>
                        <w:r>
                          <w:rPr>
                            <w:color w:val="000000"/>
                            <w:sz w:val="20"/>
                          </w:rPr>
                          <w:t>(n = 61)</w:t>
                        </w:r>
                      </w:p>
                    </w:txbxContent>
                  </v:textbox>
                </v:rect>
                <v:rect id="Rectangle 917115921" o:spid="_x0000_s1026" o:spt="1" style="position:absolute;left:2042935;top:2562407;height:647450;width:1482637;v-text-anchor:middle;" fillcolor="#FFFFFF" filled="t" stroked="t" coordsize="21600,21600" o:gfxdata="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e03&#10;nsEAAADiAAAADwAAAAAAAAABACAAAAAiAAAAZHJzL2Rvd25yZXYueG1sUEsBAhQAFAAAAAgAh07i&#10;QDMvBZ47AAAAOQAAABAAAAAAAAAAAQAgAAAAEAEAAGRycy9zaGFwZXhtbC54bWxQSwUGAAAAAAYA&#10;BgBbAQAAugM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43820E93">
                        <w:pPr>
                          <w:spacing w:line="240" w:lineRule="auto"/>
                          <w:jc w:val="center"/>
                        </w:pPr>
                        <w:r>
                          <w:rPr>
                            <w:color w:val="000000"/>
                            <w:sz w:val="20"/>
                          </w:rPr>
                          <w:t>Full-text reports assessed for eligibility (n = 37)</w:t>
                        </w:r>
                      </w:p>
                    </w:txbxContent>
                  </v:textbox>
                </v:rect>
                <v:rect id="Rectangle 1640973118" o:spid="_x0000_s1026" o:spt="1" style="position:absolute;left:3933154;top:2562407;height:679323;width:1435096;v-text-anchor:middle;" fillcolor="#FFFFFF" filled="t" stroked="t" coordsize="21600,21600" o:gfxdata="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d0&#10;GyfCAAAA4wAAAA8AAAAAAAAAAQAgAAAAIgAAAGRycy9kb3ducmV2LnhtbFBLAQIUABQAAAAIAIdO&#10;4kAzLwWeOwAAADkAAAAQAAAAAAAAAAEAIAAAABEBAABkcnMvc2hhcGV4bWwueG1sUEsFBgAAAAAG&#10;AAYAWwEAALsD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1E3B78EF">
                        <w:pPr>
                          <w:spacing w:line="240" w:lineRule="auto"/>
                          <w:jc w:val="center"/>
                        </w:pPr>
                        <w:r>
                          <w:rPr>
                            <w:color w:val="000000"/>
                            <w:sz w:val="20"/>
                          </w:rPr>
                          <w:t>Full-text reports excluded, with reason (n = 16)</w:t>
                        </w:r>
                      </w:p>
                    </w:txbxContent>
                  </v:textbox>
                </v:rect>
                <v:rect id="Rectangle 1167053394" o:spid="_x0000_s1026" o:spt="1" style="position:absolute;left:2043400;top:3841500;height:1073400;width:1617300;v-text-anchor:middle;" fillcolor="#FFFFFF" filled="t" stroked="t" coordsize="21600,21600" o:gfxdata="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bQL&#10;wAAAAOMAAAAPAAAAAAAAAAEAIAAAACIAAABkcnMvZG93bnJldi54bWxQSwECFAAUAAAACACHTuJA&#10;My8FnjsAAAA5AAAAEAAAAAAAAAABACAAAAAPAQAAZHJzL3NoYXBleG1sLnhtbFBLBQYAAAAABgAG&#10;AFsBAAC5Aw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7BE1F6A8">
                        <w:pPr>
                          <w:spacing w:line="240" w:lineRule="auto"/>
                          <w:jc w:val="center"/>
                        </w:pPr>
                        <w:r>
                          <w:rPr>
                            <w:color w:val="000000"/>
                            <w:sz w:val="20"/>
                          </w:rPr>
                          <w:t>Studies included in</w:t>
                        </w:r>
                      </w:p>
                      <w:p w14:paraId="26C08983">
                        <w:pPr>
                          <w:spacing w:line="240" w:lineRule="auto"/>
                          <w:jc w:val="center"/>
                        </w:pPr>
                        <w:r>
                          <w:rPr>
                            <w:color w:val="000000"/>
                            <w:sz w:val="20"/>
                          </w:rPr>
                          <w:t>synthesis (n = 21)</w:t>
                        </w:r>
                      </w:p>
                      <w:p w14:paraId="43683171">
                        <w:pPr>
                          <w:spacing w:line="240" w:lineRule="auto"/>
                          <w:jc w:val="center"/>
                        </w:pPr>
                        <w:r>
                          <w:rPr>
                            <w:color w:val="000000"/>
                            <w:sz w:val="20"/>
                          </w:rPr>
                          <w:br w:type="textWrapping"/>
                        </w:r>
                        <w:r>
                          <w:rPr>
                            <w:color w:val="000000"/>
                            <w:sz w:val="20"/>
                          </w:rPr>
                          <w:t>Academic studies (n=8)</w:t>
                        </w:r>
                      </w:p>
                      <w:p w14:paraId="0F3DA780">
                        <w:pPr>
                          <w:spacing w:line="240" w:lineRule="auto"/>
                          <w:jc w:val="center"/>
                        </w:pPr>
                        <w:r>
                          <w:rPr>
                            <w:color w:val="000000"/>
                            <w:sz w:val="20"/>
                          </w:rPr>
                          <w:t>Operational sources</w:t>
                        </w:r>
                      </w:p>
                      <w:p w14:paraId="4B4F9F1C">
                        <w:pPr>
                          <w:spacing w:line="240" w:lineRule="auto"/>
                          <w:jc w:val="center"/>
                        </w:pPr>
                        <w:r>
                          <w:rPr>
                            <w:color w:val="000000"/>
                            <w:sz w:val="20"/>
                          </w:rPr>
                          <w:t>(n = 13)</w:t>
                        </w:r>
                      </w:p>
                      <w:p w14:paraId="4897C532">
                        <w:pPr>
                          <w:spacing w:line="240" w:lineRule="auto"/>
                          <w:jc w:val="center"/>
                        </w:pPr>
                      </w:p>
                    </w:txbxContent>
                  </v:textbox>
                </v:rect>
                <v:shape id="Arrow: Down 360848945" o:spid="_x0000_s1026" o:spt="67" type="#_x0000_t67" style="position:absolute;left:2790700;top:695400;height:322200;width:122700;v-text-anchor:middle;" fillcolor="#CFE2F3" filled="t" stroked="t" coordsize="21600,21600" o:gfxdata="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mZi+wwAAAOIAAAAPAAAAAAAAAAEAIAAAACIAAABkcnMvZG93bnJldi54bWxQSwECFAAUAAAACACH&#10;TuJAMy8FnjsAAAA5AAAAEAAAAAAAAAABACAAAAASAQAAZHJzL3NoYXBleG1sLnhtbFBLBQYAAAAA&#10;BgAGAFsBAAC8AwAAAAA=&#10;" adj="17488,540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7D101D8D">
                        <w:pPr>
                          <w:spacing w:line="240" w:lineRule="auto"/>
                          <w:jc w:val="center"/>
                        </w:pPr>
                      </w:p>
                    </w:txbxContent>
                  </v:textbox>
                </v:shape>
                <v:shape id="Arrow: Down 1813292242" o:spid="_x0000_s1026" o:spt="67" type="#_x0000_t67" style="position:absolute;left:4406250;top:695400;height:322200;width:122700;v-text-anchor:middle;" fillcolor="#CFE2F3" filled="t" stroked="t" coordsize="21600,21600" o:gfxdata="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8US+&#10;wAAAAOMAAAAPAAAAAAAAAAEAIAAAACIAAABkcnMvZG93bnJldi54bWxQSwECFAAUAAAACACHTuJA&#10;My8FnjsAAAA5AAAAEAAAAAAAAAABACAAAAAPAQAAZHJzL3NoYXBleG1sLnhtbFBLBQYAAAAABgAG&#10;AFsBAAC5AwAAAAA=&#10;" adj="17488,540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E205B6C">
                        <w:pPr>
                          <w:spacing w:line="240" w:lineRule="auto"/>
                          <w:jc w:val="center"/>
                        </w:pPr>
                      </w:p>
                    </w:txbxContent>
                  </v:textbox>
                </v:shape>
                <v:shape id="Arrow: Down 868327665" o:spid="_x0000_s1026" o:spt="67" type="#_x0000_t67" style="position:absolute;left:2790700;top:1467600;height:322200;width:122700;v-text-anchor:middle;" fillcolor="#CFE2F3" filled="t" stroked="t" coordsize="21600,21600" o:gfxdata="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9&#10;E+AfwwAAAOIAAAAPAAAAAAAAAAEAIAAAACIAAABkcnMvZG93bnJldi54bWxQSwECFAAUAAAACACH&#10;TuJAMy8FnjsAAAA5AAAAEAAAAAAAAAABACAAAAASAQAAZHJzL3NoYXBleG1sLnhtbFBLBQYAAAAA&#10;BgAGAFsBAAC8AwAAAAA=&#10;" adj="17488,540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546E583A">
                        <w:pPr>
                          <w:spacing w:line="240" w:lineRule="auto"/>
                          <w:jc w:val="center"/>
                        </w:pPr>
                      </w:p>
                    </w:txbxContent>
                  </v:textbox>
                </v:shape>
                <v:shape id="Arrow: Down 2090529841" o:spid="_x0000_s1026" o:spt="67" type="#_x0000_t67" style="position:absolute;left:3668325;top:1853700;height:322200;width:122700;rotation:-5898240f;v-text-anchor:middle;" fillcolor="#CFE2F3" filled="t" stroked="t" coordsize="21600,21600" o:gfxdata="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NUHYwwAAAOMAAAAPAAAAAAAAAAEAIAAAACIAAABkcnMvZG93bnJldi54bWxQSwECFAAUAAAACACH&#10;TuJAMy8FnjsAAAA5AAAAEAAAAAAAAAABACAAAAASAQAAZHJzL3NoYXBleG1sLnhtbFBLBQYAAAAA&#10;BgAGAFsBAAC8AwAAAAA=&#10;" adj="17488,540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10645BF0">
                        <w:pPr>
                          <w:spacing w:line="240" w:lineRule="auto"/>
                          <w:jc w:val="center"/>
                        </w:pPr>
                      </w:p>
                    </w:txbxContent>
                  </v:textbox>
                </v:shape>
                <v:shape id="Arrow: Down 1855655336" o:spid="_x0000_s1026" o:spt="67" type="#_x0000_t67" style="position:absolute;left:2790700;top:2239800;height:322200;width:122700;v-text-anchor:middle;" fillcolor="#CFE2F3" filled="t" stroked="t" coordsize="21600,21600" o:gfxdata="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ZwH1&#10;wAAAAOMAAAAPAAAAAAAAAAEAIAAAACIAAABkcnMvZG93bnJldi54bWxQSwECFAAUAAAACACHTuJA&#10;My8FnjsAAAA5AAAAEAAAAAAAAAABACAAAAAPAQAAZHJzL3NoYXBleG1sLnhtbFBLBQYAAAAABgAG&#10;AFsBAAC5AwAAAAA=&#10;" adj="17488,540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1077BB85">
                        <w:pPr>
                          <w:spacing w:line="240" w:lineRule="auto"/>
                          <w:jc w:val="center"/>
                        </w:pPr>
                      </w:p>
                    </w:txbxContent>
                  </v:textbox>
                </v:shape>
                <v:shape id="Arrow: Down 128936500" o:spid="_x0000_s1026" o:spt="67" type="#_x0000_t67" style="position:absolute;left:3668325;top:2654850;height:322200;width:122700;rotation:-5898240f;v-text-anchor:middle;" fillcolor="#CFE2F3" filled="t" stroked="t" coordsize="21600,21600" o:gfxdata="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hGEG/&#10;AAAA4gAAAA8AAAAAAAAAAQAgAAAAIgAAAGRycy9kb3ducmV2LnhtbFBLAQIUABQAAAAIAIdO4kAz&#10;LwWeOwAAADkAAAAQAAAAAAAAAAEAIAAAAA4BAABkcnMvc2hhcGV4bWwueG1sUEsFBgAAAAAGAAYA&#10;WwEAALgDAAAAAA==&#10;" adj="17488,540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257293A1">
                        <w:pPr>
                          <w:spacing w:line="240" w:lineRule="auto"/>
                          <w:jc w:val="center"/>
                        </w:pPr>
                      </w:p>
                    </w:txbxContent>
                  </v:textbox>
                </v:shape>
                <v:shape id="Arrow: Down 1328719922" o:spid="_x0000_s1026" o:spt="67" type="#_x0000_t67" style="position:absolute;left:2790700;top:3205188;height:322200;width:122700;v-text-anchor:middle;" fillcolor="#CFE2F3" filled="t" stroked="t" coordsize="21600,21600" o:gfxdata="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K4j&#10;ZMEAAADjAAAADwAAAAAAAAABACAAAAAiAAAAZHJzL2Rvd25yZXYueG1sUEsBAhQAFAAAAAgAh07i&#10;QDMvBZ47AAAAOQAAABAAAAAAAAAAAQAgAAAAEAEAAGRycy9zaGFwZXhtbC54bWxQSwUGAAAAAAYA&#10;BgBbAQAAugMAAAAA&#10;" adj="17488,540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1A359DD6">
                        <w:pPr>
                          <w:spacing w:line="240" w:lineRule="auto"/>
                          <w:jc w:val="center"/>
                        </w:pPr>
                      </w:p>
                    </w:txbxContent>
                  </v:textbox>
                </v:shape>
                <w10:wrap type="none"/>
                <w10:anchorlock/>
              </v:group>
            </w:pict>
          </mc:Fallback>
        </mc:AlternateContent>
      </w:r>
    </w:p>
    <w:p w:rsidR="00BE553F" w:rsidRDefault="00CD794B">
      <w:pPr>
        <w:spacing w:before="240" w:after="240"/>
        <w:rPr>
          <w:sz w:val="24"/>
          <w:szCs w:val="24"/>
        </w:rPr>
      </w:pPr>
      <w:r>
        <w:rPr>
          <w:b/>
          <w:bCs/>
          <w:sz w:val="24"/>
          <w:szCs w:val="24"/>
        </w:rPr>
        <w:t xml:space="preserve">Figure 1. PRISMA 2020 flow diagram of evidence selection for </w:t>
      </w:r>
      <w:proofErr w:type="spellStart"/>
      <w:r>
        <w:rPr>
          <w:b/>
          <w:bCs/>
          <w:sz w:val="24"/>
          <w:szCs w:val="24"/>
        </w:rPr>
        <w:t>Nipah</w:t>
      </w:r>
      <w:proofErr w:type="spellEnd"/>
      <w:r>
        <w:rPr>
          <w:b/>
          <w:bCs/>
          <w:sz w:val="24"/>
          <w:szCs w:val="24"/>
        </w:rPr>
        <w:t xml:space="preserve"> virus preparedness in </w:t>
      </w:r>
      <w:r>
        <w:rPr>
          <w:b/>
          <w:bCs/>
          <w:sz w:val="24"/>
          <w:szCs w:val="24"/>
        </w:rPr>
        <w:t>the Philippines</w:t>
      </w:r>
    </w:p>
    <w:p w:rsidR="00BE553F" w:rsidRDefault="00CD794B">
      <w:pPr>
        <w:spacing w:before="240" w:after="240"/>
        <w:ind w:firstLine="720"/>
        <w:jc w:val="both"/>
        <w:rPr>
          <w:sz w:val="24"/>
          <w:szCs w:val="24"/>
        </w:rPr>
      </w:pPr>
      <w:r>
        <w:rPr>
          <w:sz w:val="24"/>
          <w:szCs w:val="24"/>
        </w:rPr>
        <w:t>A total of 132 records were identified through database searches of peer-reviewed literature (PubMed, Scopus, and Web of Science) and targeted searches of government portals and reputable media sources. After removal of 34 duplicate records</w:t>
      </w:r>
      <w:r>
        <w:rPr>
          <w:sz w:val="24"/>
          <w:szCs w:val="24"/>
        </w:rPr>
        <w:t xml:space="preserve">, 98 records remained for title and abstract screening. Of these, 61 records were excluded due to irrelevance to </w:t>
      </w:r>
      <w:proofErr w:type="spellStart"/>
      <w:r>
        <w:rPr>
          <w:sz w:val="24"/>
          <w:szCs w:val="24"/>
        </w:rPr>
        <w:t>Nipah</w:t>
      </w:r>
      <w:proofErr w:type="spellEnd"/>
      <w:r>
        <w:rPr>
          <w:sz w:val="24"/>
          <w:szCs w:val="24"/>
        </w:rPr>
        <w:t xml:space="preserve"> virus, lack of relevance to the Philippines or Southeast Asia, or absence of preparedness-related content.</w:t>
      </w:r>
    </w:p>
    <w:p w:rsidR="00BE553F" w:rsidRDefault="00CD794B">
      <w:pPr>
        <w:spacing w:before="240" w:after="240"/>
        <w:ind w:firstLine="720"/>
        <w:jc w:val="both"/>
        <w:rPr>
          <w:sz w:val="24"/>
          <w:szCs w:val="24"/>
        </w:rPr>
      </w:pPr>
      <w:r>
        <w:rPr>
          <w:sz w:val="24"/>
          <w:szCs w:val="24"/>
        </w:rPr>
        <w:t xml:space="preserve">The full texts of 37 articles </w:t>
      </w:r>
      <w:r>
        <w:rPr>
          <w:sz w:val="24"/>
          <w:szCs w:val="24"/>
        </w:rPr>
        <w:t>and reports were assessed for eligibility. Following full-text review, 16 records were excluded because of insufficient methodological detail, duplication of data, opinion-only content, or lack of relevance to diagnostics, biosafety, surveillance, or prepa</w:t>
      </w:r>
      <w:r>
        <w:rPr>
          <w:sz w:val="24"/>
          <w:szCs w:val="24"/>
        </w:rPr>
        <w:t>redness outcomes. Ultimately, 21 publications met the inclusion criteria and were incorporated into the final synthesis.</w:t>
      </w:r>
    </w:p>
    <w:p w:rsidR="00BE553F" w:rsidRDefault="00CD794B">
      <w:pPr>
        <w:pStyle w:val="Heading3"/>
        <w:keepNext w:val="0"/>
        <w:keepLines w:val="0"/>
        <w:spacing w:before="280"/>
        <w:jc w:val="both"/>
        <w:rPr>
          <w:b/>
          <w:bCs/>
          <w:color w:val="000000"/>
          <w:sz w:val="24"/>
          <w:szCs w:val="24"/>
        </w:rPr>
      </w:pPr>
      <w:bookmarkStart w:id="1" w:name="_6cv1cgiurdfb" w:colFirst="0" w:colLast="0"/>
      <w:bookmarkEnd w:id="1"/>
      <w:r>
        <w:rPr>
          <w:b/>
          <w:bCs/>
          <w:color w:val="000000"/>
          <w:sz w:val="24"/>
          <w:szCs w:val="24"/>
        </w:rPr>
        <w:lastRenderedPageBreak/>
        <w:t>Study Selection and Included Evidence</w:t>
      </w:r>
    </w:p>
    <w:p w:rsidR="00BE553F" w:rsidRDefault="00CD794B">
      <w:pPr>
        <w:spacing w:before="240" w:after="240"/>
        <w:ind w:firstLine="720"/>
        <w:jc w:val="both"/>
        <w:rPr>
          <w:sz w:val="24"/>
          <w:szCs w:val="24"/>
        </w:rPr>
      </w:pPr>
      <w:r>
        <w:rPr>
          <w:sz w:val="24"/>
          <w:szCs w:val="24"/>
        </w:rPr>
        <w:t>Following screening and eligibility assessment, 21 publications were included in the final synthe</w:t>
      </w:r>
      <w:r>
        <w:rPr>
          <w:sz w:val="24"/>
          <w:szCs w:val="24"/>
        </w:rPr>
        <w:t>sis (Figure 1). These consisted of 8 peer-reviewed academic studies and 13 operational and contextual sources. The academic literature included epidemiologic analyses, outbreak investigations, diagnostic and laboratory capacity reviews, and wildlife survei</w:t>
      </w:r>
      <w:r>
        <w:rPr>
          <w:sz w:val="24"/>
          <w:szCs w:val="24"/>
        </w:rPr>
        <w:t xml:space="preserve">llance studies relevant to </w:t>
      </w:r>
      <w:proofErr w:type="spellStart"/>
      <w:r>
        <w:rPr>
          <w:sz w:val="24"/>
          <w:szCs w:val="24"/>
        </w:rPr>
        <w:t>Nipah</w:t>
      </w:r>
      <w:proofErr w:type="spellEnd"/>
      <w:r>
        <w:rPr>
          <w:sz w:val="24"/>
          <w:szCs w:val="24"/>
        </w:rPr>
        <w:t xml:space="preserve"> virus in the Philippine and regional context. The operational sources comprised government reports, institutional advisories, local health system documents, and reputable media publications, which provided information on su</w:t>
      </w:r>
      <w:r>
        <w:rPr>
          <w:sz w:val="24"/>
          <w:szCs w:val="24"/>
        </w:rPr>
        <w:t xml:space="preserve">rveillance status, preparedness measures, and health system responses not routinely documented in peer-reviewed journals. Together, these sources offered complementary perspectives on </w:t>
      </w:r>
      <w:proofErr w:type="spellStart"/>
      <w:r>
        <w:rPr>
          <w:sz w:val="24"/>
          <w:szCs w:val="24"/>
        </w:rPr>
        <w:t>Nipah</w:t>
      </w:r>
      <w:proofErr w:type="spellEnd"/>
      <w:r>
        <w:rPr>
          <w:sz w:val="24"/>
          <w:szCs w:val="24"/>
        </w:rPr>
        <w:t xml:space="preserve"> virus epidemiology, diagnostics, biosafety, surveillance, and prep</w:t>
      </w:r>
      <w:r>
        <w:rPr>
          <w:sz w:val="24"/>
          <w:szCs w:val="24"/>
        </w:rPr>
        <w:t>aredness.</w:t>
      </w:r>
    </w:p>
    <w:p w:rsidR="00BE553F" w:rsidRDefault="00CD794B">
      <w:pPr>
        <w:spacing w:before="240" w:after="240"/>
        <w:ind w:firstLine="720"/>
        <w:jc w:val="both"/>
        <w:rPr>
          <w:sz w:val="24"/>
          <w:szCs w:val="24"/>
        </w:rPr>
      </w:pPr>
      <w:r>
        <w:rPr>
          <w:sz w:val="24"/>
          <w:szCs w:val="24"/>
        </w:rPr>
        <w:t xml:space="preserve">In accordance with established practices in outbreak preparedness and health systems research, non–peer-reviewed sources were intentionally included to ensure a comprehensive assessment of operational readiness. Key preparedness indicators, such </w:t>
      </w:r>
      <w:r>
        <w:rPr>
          <w:sz w:val="24"/>
          <w:szCs w:val="24"/>
        </w:rPr>
        <w:t>as border health measures, real-time surveillance updates, diagnostic referral pathways, infection prevention policies, and confirmation of the absence of new cases, are often reported first, and sometimes exclusively, through official government advisorie</w:t>
      </w:r>
      <w:r>
        <w:rPr>
          <w:sz w:val="24"/>
          <w:szCs w:val="24"/>
        </w:rPr>
        <w:t>s and national reporting mechanisms. Excluding these sources would have resulted in an incomplete evaluation of national preparedness. To maintain methodological rigor, only materials from recognized government agencies, official health institutions, and e</w:t>
      </w:r>
      <w:r>
        <w:rPr>
          <w:sz w:val="24"/>
          <w:szCs w:val="24"/>
        </w:rPr>
        <w:t>stablished news organizations were included, and these sources were used to contextualize preparedness activities rather than to infer causal epidemiologic relationships.</w:t>
      </w:r>
    </w:p>
    <w:p w:rsidR="00BE553F" w:rsidRDefault="00CD794B">
      <w:pPr>
        <w:spacing w:before="240" w:after="240"/>
        <w:ind w:firstLine="720"/>
        <w:jc w:val="both"/>
        <w:rPr>
          <w:sz w:val="24"/>
          <w:szCs w:val="24"/>
        </w:rPr>
      </w:pPr>
      <w:r>
        <w:rPr>
          <w:sz w:val="24"/>
          <w:szCs w:val="24"/>
        </w:rPr>
        <w:t>For analytical clarity, the included literature was categorized into two evidence str</w:t>
      </w:r>
      <w:r>
        <w:rPr>
          <w:sz w:val="24"/>
          <w:szCs w:val="24"/>
        </w:rPr>
        <w:t xml:space="preserve">eams. Academic evidence (n = 8) comprised peer-reviewed original research and narrative reviews addressing </w:t>
      </w:r>
      <w:proofErr w:type="spellStart"/>
      <w:r>
        <w:rPr>
          <w:sz w:val="24"/>
          <w:szCs w:val="24"/>
        </w:rPr>
        <w:t>Nipah</w:t>
      </w:r>
      <w:proofErr w:type="spellEnd"/>
      <w:r>
        <w:rPr>
          <w:sz w:val="24"/>
          <w:szCs w:val="24"/>
        </w:rPr>
        <w:t xml:space="preserve"> virus epidemiology, outbreak dynamics, diagnostics, laboratory systems, and wildlife reservoirs. Operational evidence (n = 13) included governm</w:t>
      </w:r>
      <w:r>
        <w:rPr>
          <w:sz w:val="24"/>
          <w:szCs w:val="24"/>
        </w:rPr>
        <w:t>ent surveillance reports, health system advisories, institutional capacity-building documents, and credible media publications documenting real-time preparedness activities, border health controls, surveillance outcomes, and policy responses. This dual-str</w:t>
      </w:r>
      <w:r>
        <w:rPr>
          <w:sz w:val="24"/>
          <w:szCs w:val="24"/>
        </w:rPr>
        <w:t>eam approach enabled an integrated assessment of both scientific knowledge and real-world operational readiness, which is essential for evaluating preparedness for high-consequence zoonotic diseases.</w:t>
      </w:r>
    </w:p>
    <w:p w:rsidR="00BE553F" w:rsidRDefault="00BE553F">
      <w:pPr>
        <w:spacing w:before="240" w:after="240"/>
        <w:jc w:val="both"/>
        <w:rPr>
          <w:sz w:val="24"/>
          <w:szCs w:val="24"/>
        </w:rPr>
      </w:pPr>
    </w:p>
    <w:p w:rsidR="00BE553F" w:rsidRDefault="00BE553F">
      <w:pPr>
        <w:spacing w:before="240" w:after="240"/>
        <w:jc w:val="both"/>
        <w:rPr>
          <w:sz w:val="24"/>
          <w:szCs w:val="24"/>
        </w:rPr>
      </w:pPr>
    </w:p>
    <w:p w:rsidR="00BE553F" w:rsidRDefault="00CD794B">
      <w:pPr>
        <w:spacing w:after="80"/>
        <w:jc w:val="both"/>
        <w:rPr>
          <w:b/>
          <w:bCs/>
          <w:sz w:val="24"/>
          <w:szCs w:val="24"/>
        </w:rPr>
      </w:pPr>
      <w:r>
        <w:rPr>
          <w:b/>
          <w:bCs/>
          <w:sz w:val="24"/>
          <w:szCs w:val="24"/>
        </w:rPr>
        <w:lastRenderedPageBreak/>
        <w:t>RESULTS: SYNTHESIS OF RELATED LITERATURE</w:t>
      </w:r>
    </w:p>
    <w:p w:rsidR="00BE553F" w:rsidRDefault="00CD794B">
      <w:pPr>
        <w:spacing w:before="240" w:after="240"/>
        <w:ind w:firstLine="720"/>
        <w:jc w:val="both"/>
        <w:rPr>
          <w:sz w:val="24"/>
          <w:szCs w:val="24"/>
        </w:rPr>
      </w:pPr>
      <w:proofErr w:type="spellStart"/>
      <w:r>
        <w:rPr>
          <w:sz w:val="24"/>
          <w:szCs w:val="24"/>
        </w:rPr>
        <w:t>Horby</w:t>
      </w:r>
      <w:proofErr w:type="spellEnd"/>
      <w:r>
        <w:rPr>
          <w:sz w:val="24"/>
          <w:szCs w:val="24"/>
        </w:rPr>
        <w:t>, Pfeiff</w:t>
      </w:r>
      <w:r>
        <w:rPr>
          <w:sz w:val="24"/>
          <w:szCs w:val="24"/>
        </w:rPr>
        <w:t xml:space="preserve">er, and </w:t>
      </w:r>
      <w:proofErr w:type="spellStart"/>
      <w:r>
        <w:rPr>
          <w:sz w:val="24"/>
          <w:szCs w:val="24"/>
        </w:rPr>
        <w:t>Oshitani</w:t>
      </w:r>
      <w:proofErr w:type="spellEnd"/>
      <w:r>
        <w:rPr>
          <w:sz w:val="24"/>
          <w:szCs w:val="24"/>
        </w:rPr>
        <w:t xml:space="preserve"> (2013) examined prospects for emerging infectious diseases in East and Southeast Asia a decade after the SARS outbreak, providing an important regional context for understanding </w:t>
      </w:r>
      <w:proofErr w:type="spellStart"/>
      <w:r>
        <w:rPr>
          <w:sz w:val="24"/>
          <w:szCs w:val="24"/>
        </w:rPr>
        <w:t>Nipah</w:t>
      </w:r>
      <w:proofErr w:type="spellEnd"/>
      <w:r>
        <w:rPr>
          <w:sz w:val="24"/>
          <w:szCs w:val="24"/>
        </w:rPr>
        <w:t xml:space="preserve"> virus preparedness. Although not focused on </w:t>
      </w:r>
      <w:proofErr w:type="spellStart"/>
      <w:r>
        <w:rPr>
          <w:sz w:val="24"/>
          <w:szCs w:val="24"/>
        </w:rPr>
        <w:t>Nipah</w:t>
      </w:r>
      <w:proofErr w:type="spellEnd"/>
      <w:r>
        <w:rPr>
          <w:sz w:val="24"/>
          <w:szCs w:val="24"/>
        </w:rPr>
        <w:t xml:space="preserve"> virus</w:t>
      </w:r>
      <w:r>
        <w:rPr>
          <w:sz w:val="24"/>
          <w:szCs w:val="24"/>
        </w:rPr>
        <w:t xml:space="preserve"> specifically, their analysis identified the region as a persistent hotspot for zoonotic disease emergence driven by rapid environmental change, agricultural intensification, urbanization, and increasing human–animal interfaces. The authors noted that coun</w:t>
      </w:r>
      <w:r>
        <w:rPr>
          <w:sz w:val="24"/>
          <w:szCs w:val="24"/>
        </w:rPr>
        <w:t>tries in the region had made substantial progress in surveillance and response capacity since SARS, suggesting improvements in laboratory detection and reporting systems. However, they emphasized a major preparedness gap in the lack of sufficiently refined</w:t>
      </w:r>
      <w:r>
        <w:rPr>
          <w:sz w:val="24"/>
          <w:szCs w:val="24"/>
        </w:rPr>
        <w:t xml:space="preserve"> tools and methodologies to assess disease emergence risk across heterogeneous and dynamic settings. This regional perspective underscores the need for pathogen-specific national readiness assessments, including those focused on </w:t>
      </w:r>
      <w:proofErr w:type="spellStart"/>
      <w:r>
        <w:rPr>
          <w:sz w:val="24"/>
          <w:szCs w:val="24"/>
        </w:rPr>
        <w:t>Nipah</w:t>
      </w:r>
      <w:proofErr w:type="spellEnd"/>
      <w:r>
        <w:rPr>
          <w:sz w:val="24"/>
          <w:szCs w:val="24"/>
        </w:rPr>
        <w:t xml:space="preserve"> virus in the Philippi</w:t>
      </w:r>
      <w:r>
        <w:rPr>
          <w:sz w:val="24"/>
          <w:szCs w:val="24"/>
        </w:rPr>
        <w:t>ne context.</w:t>
      </w:r>
    </w:p>
    <w:p w:rsidR="00BE553F" w:rsidRDefault="00CD794B">
      <w:pPr>
        <w:spacing w:before="240" w:after="240"/>
        <w:ind w:firstLine="720"/>
        <w:jc w:val="both"/>
        <w:rPr>
          <w:sz w:val="24"/>
          <w:szCs w:val="24"/>
        </w:rPr>
      </w:pPr>
      <w:r>
        <w:rPr>
          <w:sz w:val="24"/>
          <w:szCs w:val="24"/>
        </w:rPr>
        <w:t xml:space="preserve">Population-level evidence further supports the regional relevance of </w:t>
      </w:r>
      <w:proofErr w:type="spellStart"/>
      <w:r>
        <w:rPr>
          <w:sz w:val="24"/>
          <w:szCs w:val="24"/>
        </w:rPr>
        <w:t>Nipah</w:t>
      </w:r>
      <w:proofErr w:type="spellEnd"/>
      <w:r>
        <w:rPr>
          <w:sz w:val="24"/>
          <w:szCs w:val="24"/>
        </w:rPr>
        <w:t xml:space="preserve"> virus and underscores the importance of preparedness in countries with zoonotic risk. Khan et al. (2024), in a 25-year synthesis of reported outbreaks (1998–2024), descr</w:t>
      </w:r>
      <w:r>
        <w:rPr>
          <w:sz w:val="24"/>
          <w:szCs w:val="24"/>
        </w:rPr>
        <w:t xml:space="preserve">ibed substantial morbidity and mortality across South and Southeast Asia. Within this regional framing, the Philippine Mindanao event (2014) is frequently discussed in the literature as a </w:t>
      </w:r>
      <w:proofErr w:type="spellStart"/>
      <w:r>
        <w:rPr>
          <w:sz w:val="24"/>
          <w:szCs w:val="24"/>
        </w:rPr>
        <w:t>henipavirus</w:t>
      </w:r>
      <w:proofErr w:type="spellEnd"/>
      <w:r>
        <w:rPr>
          <w:sz w:val="24"/>
          <w:szCs w:val="24"/>
        </w:rPr>
        <w:t xml:space="preserve"> outbreak with </w:t>
      </w:r>
      <w:proofErr w:type="spellStart"/>
      <w:r>
        <w:rPr>
          <w:sz w:val="24"/>
          <w:szCs w:val="24"/>
        </w:rPr>
        <w:t>Nipah</w:t>
      </w:r>
      <w:proofErr w:type="spellEnd"/>
      <w:r>
        <w:rPr>
          <w:sz w:val="24"/>
          <w:szCs w:val="24"/>
        </w:rPr>
        <w:t xml:space="preserve"> virus or a </w:t>
      </w:r>
      <w:proofErr w:type="spellStart"/>
      <w:r>
        <w:rPr>
          <w:sz w:val="24"/>
          <w:szCs w:val="24"/>
        </w:rPr>
        <w:t>Nipah</w:t>
      </w:r>
      <w:proofErr w:type="spellEnd"/>
      <w:r>
        <w:rPr>
          <w:sz w:val="24"/>
          <w:szCs w:val="24"/>
        </w:rPr>
        <w:t>-like virus consider</w:t>
      </w:r>
      <w:r>
        <w:rPr>
          <w:sz w:val="24"/>
          <w:szCs w:val="24"/>
        </w:rPr>
        <w:t xml:space="preserve">ed the most plausible etiologic agent based on epidemiologic linkage and available laboratory testing (Ching et al., 2015; Clayton, 2017). Although Khan et al. (2024) did not evaluate laboratory systems or biosafety capacity, such syntheses reinforce that </w:t>
      </w:r>
      <w:r>
        <w:rPr>
          <w:sz w:val="24"/>
          <w:szCs w:val="24"/>
        </w:rPr>
        <w:t>recognition and reporting of high-consequence zoonoses depend on timely diagnostics, strong surveillance, and effective referral mechanisms.</w:t>
      </w:r>
    </w:p>
    <w:p w:rsidR="00BE553F" w:rsidRDefault="00CD794B">
      <w:pPr>
        <w:spacing w:before="240" w:after="240"/>
        <w:ind w:firstLine="720"/>
        <w:jc w:val="both"/>
        <w:rPr>
          <w:sz w:val="24"/>
          <w:szCs w:val="24"/>
          <w:lang w:val="en-US"/>
        </w:rPr>
      </w:pPr>
      <w:r>
        <w:rPr>
          <w:sz w:val="24"/>
          <w:szCs w:val="24"/>
        </w:rPr>
        <w:t xml:space="preserve">According to Ching et al., (2015), The outbreak involved 17 confirmed human cases, including 9 fatalities, </w:t>
      </w:r>
      <w:r>
        <w:rPr>
          <w:sz w:val="24"/>
          <w:szCs w:val="24"/>
        </w:rPr>
        <w:t xml:space="preserve">corresponding to a case-fatality ratio of approximately 53% in Sultan Kudarat and reported findings consistent with infection due to </w:t>
      </w:r>
      <w:proofErr w:type="spellStart"/>
      <w:r>
        <w:rPr>
          <w:sz w:val="24"/>
          <w:szCs w:val="24"/>
        </w:rPr>
        <w:t>Nipah</w:t>
      </w:r>
      <w:proofErr w:type="spellEnd"/>
      <w:r>
        <w:rPr>
          <w:sz w:val="24"/>
          <w:szCs w:val="24"/>
        </w:rPr>
        <w:t xml:space="preserve"> virus or a closely related </w:t>
      </w:r>
      <w:proofErr w:type="spellStart"/>
      <w:r>
        <w:rPr>
          <w:sz w:val="24"/>
          <w:szCs w:val="24"/>
        </w:rPr>
        <w:t>henipavirus</w:t>
      </w:r>
      <w:proofErr w:type="spellEnd"/>
      <w:r>
        <w:rPr>
          <w:sz w:val="24"/>
          <w:szCs w:val="24"/>
        </w:rPr>
        <w:t>. The study documented severe disease among humans and horses, high case fatali</w:t>
      </w:r>
      <w:r>
        <w:rPr>
          <w:sz w:val="24"/>
          <w:szCs w:val="24"/>
        </w:rPr>
        <w:t>ty, and evidence of both horse-to-human and human-to-human transmission. Infection was associated with exposure to infected horses, slaughtering activities, and consumption of undercooked horse meat, with fruit bats identified as the most likely reservoir.</w:t>
      </w:r>
      <w:r>
        <w:rPr>
          <w:sz w:val="24"/>
          <w:szCs w:val="24"/>
        </w:rPr>
        <w:t xml:space="preserve"> Although serologic testing and epidemiologic linkage supported confirmation of infection with </w:t>
      </w:r>
      <w:proofErr w:type="spellStart"/>
      <w:r>
        <w:rPr>
          <w:sz w:val="24"/>
          <w:szCs w:val="24"/>
        </w:rPr>
        <w:t>Nipah</w:t>
      </w:r>
      <w:proofErr w:type="spellEnd"/>
      <w:r>
        <w:rPr>
          <w:sz w:val="24"/>
          <w:szCs w:val="24"/>
        </w:rPr>
        <w:t xml:space="preserve"> virus or a closely related </w:t>
      </w:r>
      <w:proofErr w:type="spellStart"/>
      <w:r>
        <w:rPr>
          <w:sz w:val="24"/>
          <w:szCs w:val="24"/>
        </w:rPr>
        <w:t>henipavirus</w:t>
      </w:r>
      <w:proofErr w:type="spellEnd"/>
      <w:r>
        <w:rPr>
          <w:sz w:val="24"/>
          <w:szCs w:val="24"/>
        </w:rPr>
        <w:t>, details on molecular diagnostic platforms and laboratory tiering were limited. Notably, major biosafety gaps were i</w:t>
      </w:r>
      <w:r>
        <w:rPr>
          <w:sz w:val="24"/>
          <w:szCs w:val="24"/>
        </w:rPr>
        <w:t>dentified, as caregivers used no protective equipment and healthcare workers lacked eye protection, revealing deficiencies in infection prevention and control during the outbreak.</w:t>
      </w:r>
      <w:r>
        <w:rPr>
          <w:sz w:val="24"/>
          <w:szCs w:val="24"/>
          <w:lang w:val="en-US"/>
        </w:rPr>
        <w:t xml:space="preserve"> </w:t>
      </w:r>
      <w:r>
        <w:rPr>
          <w:rFonts w:eastAsia="SimSun"/>
          <w:sz w:val="24"/>
          <w:szCs w:val="24"/>
          <w:highlight w:val="yellow"/>
        </w:rPr>
        <w:t xml:space="preserve">Quantitative facility-level metrics (e.g., proportion of </w:t>
      </w:r>
      <w:r>
        <w:rPr>
          <w:rFonts w:eastAsia="SimSun"/>
          <w:sz w:val="24"/>
          <w:szCs w:val="24"/>
          <w:highlight w:val="yellow"/>
        </w:rPr>
        <w:lastRenderedPageBreak/>
        <w:t>laboratories meetin</w:t>
      </w:r>
      <w:r>
        <w:rPr>
          <w:rFonts w:eastAsia="SimSun"/>
          <w:sz w:val="24"/>
          <w:szCs w:val="24"/>
          <w:highlight w:val="yellow"/>
        </w:rPr>
        <w:t>g BSL-3 specifications) were not consistently reported in publicly available sources and therefore could not be pooled.</w:t>
      </w:r>
    </w:p>
    <w:p w:rsidR="00BE553F" w:rsidRDefault="00CD794B">
      <w:pPr>
        <w:spacing w:before="240" w:after="240"/>
        <w:ind w:firstLine="720"/>
        <w:jc w:val="both"/>
        <w:rPr>
          <w:sz w:val="24"/>
          <w:szCs w:val="24"/>
        </w:rPr>
      </w:pPr>
      <w:r>
        <w:rPr>
          <w:sz w:val="24"/>
          <w:szCs w:val="24"/>
        </w:rPr>
        <w:t xml:space="preserve">These findings align with broader regional observations summarized by Clayton (2017), who reviewed </w:t>
      </w:r>
      <w:proofErr w:type="spellStart"/>
      <w:r>
        <w:rPr>
          <w:sz w:val="24"/>
          <w:szCs w:val="24"/>
        </w:rPr>
        <w:t>Nipah</w:t>
      </w:r>
      <w:proofErr w:type="spellEnd"/>
      <w:r>
        <w:rPr>
          <w:sz w:val="24"/>
          <w:szCs w:val="24"/>
        </w:rPr>
        <w:t xml:space="preserve"> virus transmission dynamics acr</w:t>
      </w:r>
      <w:r>
        <w:rPr>
          <w:sz w:val="24"/>
          <w:szCs w:val="24"/>
        </w:rPr>
        <w:t>oss Malaysia, Singapore, India, Bangladesh, and the Philippines. The review emphasized that human-to-human transmission, particularly during caregiving and healthcare interactions, has played a major role in outbreaks, especially in Bangladesh, and has als</w:t>
      </w:r>
      <w:r>
        <w:rPr>
          <w:sz w:val="24"/>
          <w:szCs w:val="24"/>
        </w:rPr>
        <w:t xml:space="preserve">o occurred in India and the Philippines. While the article did not assess diagnostic infrastructure, </w:t>
      </w:r>
      <w:proofErr w:type="gramStart"/>
      <w:r>
        <w:rPr>
          <w:sz w:val="24"/>
          <w:szCs w:val="24"/>
        </w:rPr>
        <w:t>it</w:t>
      </w:r>
      <w:proofErr w:type="gramEnd"/>
      <w:r>
        <w:rPr>
          <w:sz w:val="24"/>
          <w:szCs w:val="24"/>
        </w:rPr>
        <w:t xml:space="preserve"> highlighted infection control during patient care as a central preparedness challenge, reinforcing the importance of biosafety practices beyond laborato</w:t>
      </w:r>
      <w:r>
        <w:rPr>
          <w:sz w:val="24"/>
          <w:szCs w:val="24"/>
        </w:rPr>
        <w:t>ry settings.</w:t>
      </w:r>
    </w:p>
    <w:p w:rsidR="00BE553F" w:rsidRDefault="00CD794B">
      <w:pPr>
        <w:spacing w:before="240" w:after="240"/>
        <w:ind w:firstLine="720"/>
        <w:jc w:val="both"/>
        <w:rPr>
          <w:sz w:val="24"/>
          <w:szCs w:val="24"/>
        </w:rPr>
      </w:pPr>
      <w:proofErr w:type="spellStart"/>
      <w:r>
        <w:rPr>
          <w:sz w:val="24"/>
          <w:szCs w:val="24"/>
        </w:rPr>
        <w:t>Salvaña</w:t>
      </w:r>
      <w:proofErr w:type="spellEnd"/>
      <w:r>
        <w:rPr>
          <w:sz w:val="24"/>
          <w:szCs w:val="24"/>
        </w:rPr>
        <w:t xml:space="preserve"> (2023) further noted that nucleic acid–based confirmation was limited during the 2014 event, with only a small subset supported by RT-PCR and partial genome sequencing, while the remaining cases were identified through serology and epi</w:t>
      </w:r>
      <w:r>
        <w:rPr>
          <w:sz w:val="24"/>
          <w:szCs w:val="24"/>
        </w:rPr>
        <w:t>demiologic linkage. This observation illustrates both the availability of advanced reference-level diagnostics and limitations in sensitivity, access, and decentralization during outbreak conditions. The commentary again identified biosafety failures among</w:t>
      </w:r>
      <w:r>
        <w:rPr>
          <w:sz w:val="24"/>
          <w:szCs w:val="24"/>
        </w:rPr>
        <w:t xml:space="preserve"> healthcare workers as contributors to secondary transmission, underscoring persistent gaps in frontline infection prevention and control.</w:t>
      </w:r>
      <w:r>
        <w:rPr>
          <w:sz w:val="24"/>
          <w:szCs w:val="24"/>
          <w:lang w:val="en-US"/>
        </w:rPr>
        <w:t xml:space="preserve"> </w:t>
      </w:r>
    </w:p>
    <w:p w:rsidR="00BE553F" w:rsidRDefault="00CD794B">
      <w:pPr>
        <w:spacing w:before="240" w:after="240"/>
        <w:ind w:firstLine="720"/>
        <w:jc w:val="both"/>
        <w:rPr>
          <w:sz w:val="24"/>
          <w:szCs w:val="24"/>
        </w:rPr>
      </w:pPr>
      <w:r>
        <w:rPr>
          <w:sz w:val="24"/>
          <w:szCs w:val="24"/>
        </w:rPr>
        <w:t>Diagnostic readiness and laboratory systems were examined in greater depth by Mazzola and Kelly-</w:t>
      </w:r>
      <w:proofErr w:type="spellStart"/>
      <w:r>
        <w:rPr>
          <w:sz w:val="24"/>
          <w:szCs w:val="24"/>
        </w:rPr>
        <w:t>Cirino</w:t>
      </w:r>
      <w:proofErr w:type="spellEnd"/>
      <w:r>
        <w:rPr>
          <w:sz w:val="24"/>
          <w:szCs w:val="24"/>
        </w:rPr>
        <w:t xml:space="preserve"> (2019), who r</w:t>
      </w:r>
      <w:r>
        <w:rPr>
          <w:sz w:val="24"/>
          <w:szCs w:val="24"/>
        </w:rPr>
        <w:t xml:space="preserve">eviewed </w:t>
      </w:r>
      <w:proofErr w:type="spellStart"/>
      <w:r>
        <w:rPr>
          <w:sz w:val="24"/>
          <w:szCs w:val="24"/>
        </w:rPr>
        <w:t>Nipah</w:t>
      </w:r>
      <w:proofErr w:type="spellEnd"/>
      <w:r>
        <w:rPr>
          <w:sz w:val="24"/>
          <w:szCs w:val="24"/>
        </w:rPr>
        <w:t xml:space="preserve"> virus diagnostics in Southeast Asia. They reported the availability of serologic assays and molecular techniques, including early multiplex panels, but emphasized that these diagnostics remain largely centralized in specialized laboratories. </w:t>
      </w:r>
      <w:r>
        <w:rPr>
          <w:sz w:val="24"/>
          <w:szCs w:val="24"/>
        </w:rPr>
        <w:t>The authors identified critical gaps, including the absence of point-of-care tests, limited access to well-characterized clinical specimens, lack of routine external quality assurance, and incomplete understanding of viral and antibody kinetics. These cons</w:t>
      </w:r>
      <w:r>
        <w:rPr>
          <w:sz w:val="24"/>
          <w:szCs w:val="24"/>
        </w:rPr>
        <w:t>traints limit early detection, surveillance, and validation of diagnostic tools, with direct implications for national preparedness.</w:t>
      </w:r>
    </w:p>
    <w:p w:rsidR="00BE553F" w:rsidRDefault="00CD794B">
      <w:pPr>
        <w:spacing w:before="240" w:after="240"/>
        <w:ind w:firstLine="720"/>
        <w:jc w:val="both"/>
        <w:rPr>
          <w:sz w:val="24"/>
          <w:szCs w:val="24"/>
        </w:rPr>
      </w:pPr>
      <w:r>
        <w:rPr>
          <w:sz w:val="24"/>
          <w:szCs w:val="24"/>
        </w:rPr>
        <w:t xml:space="preserve">Recent efforts in the Philippines demonstrate progress in addressing these gaps. </w:t>
      </w:r>
      <w:proofErr w:type="spellStart"/>
      <w:r>
        <w:rPr>
          <w:sz w:val="24"/>
          <w:szCs w:val="24"/>
        </w:rPr>
        <w:t>Dimaano</w:t>
      </w:r>
      <w:proofErr w:type="spellEnd"/>
      <w:r>
        <w:rPr>
          <w:sz w:val="24"/>
          <w:szCs w:val="24"/>
        </w:rPr>
        <w:t xml:space="preserve"> (2024) documented a national labor</w:t>
      </w:r>
      <w:r>
        <w:rPr>
          <w:sz w:val="24"/>
          <w:szCs w:val="24"/>
        </w:rPr>
        <w:t xml:space="preserve">atory capacity-building initiative led by the Research Institute for Tropical Medicine through its National Reference Laboratory for Special Pathogens. The program trained subnational laboratories in real-time RT-PCR detection of </w:t>
      </w:r>
      <w:proofErr w:type="spellStart"/>
      <w:r>
        <w:rPr>
          <w:sz w:val="24"/>
          <w:szCs w:val="24"/>
        </w:rPr>
        <w:t>Nipah</w:t>
      </w:r>
      <w:proofErr w:type="spellEnd"/>
      <w:r>
        <w:rPr>
          <w:sz w:val="24"/>
          <w:szCs w:val="24"/>
        </w:rPr>
        <w:t xml:space="preserve"> virus, biosafety pre</w:t>
      </w:r>
      <w:r>
        <w:rPr>
          <w:sz w:val="24"/>
          <w:szCs w:val="24"/>
        </w:rPr>
        <w:t xml:space="preserve">cautions, specimen handling, and referral procedures for confirmation and genomic characterization. This initiative represents a significant system strength, indicating advances in decentralized diagnostic capacity, biosafety awareness, and development of </w:t>
      </w:r>
      <w:r>
        <w:rPr>
          <w:sz w:val="24"/>
          <w:szCs w:val="24"/>
        </w:rPr>
        <w:t>a functional referral network under a One Health framework.</w:t>
      </w:r>
    </w:p>
    <w:p w:rsidR="00BE553F" w:rsidRDefault="00CD794B">
      <w:pPr>
        <w:spacing w:before="240" w:after="240"/>
        <w:ind w:firstLine="720"/>
        <w:jc w:val="both"/>
        <w:rPr>
          <w:sz w:val="24"/>
          <w:szCs w:val="24"/>
        </w:rPr>
      </w:pPr>
      <w:r>
        <w:rPr>
          <w:sz w:val="24"/>
          <w:szCs w:val="24"/>
        </w:rPr>
        <w:lastRenderedPageBreak/>
        <w:t xml:space="preserve">Wildlife surveillance findings further reinforce the relevance of preparedness. </w:t>
      </w:r>
      <w:proofErr w:type="spellStart"/>
      <w:r>
        <w:rPr>
          <w:sz w:val="24"/>
          <w:szCs w:val="24"/>
        </w:rPr>
        <w:t>Rekedal</w:t>
      </w:r>
      <w:proofErr w:type="spellEnd"/>
      <w:r>
        <w:rPr>
          <w:sz w:val="24"/>
          <w:szCs w:val="24"/>
        </w:rPr>
        <w:t xml:space="preserve"> et al. (2025) reported serological evidence of </w:t>
      </w:r>
      <w:proofErr w:type="spellStart"/>
      <w:r>
        <w:rPr>
          <w:sz w:val="24"/>
          <w:szCs w:val="24"/>
        </w:rPr>
        <w:t>Nipah</w:t>
      </w:r>
      <w:proofErr w:type="spellEnd"/>
      <w:r>
        <w:rPr>
          <w:sz w:val="24"/>
          <w:szCs w:val="24"/>
        </w:rPr>
        <w:t xml:space="preserve"> virus circulation among flying fox populations in Luzon</w:t>
      </w:r>
      <w:r>
        <w:rPr>
          <w:sz w:val="24"/>
          <w:szCs w:val="24"/>
        </w:rPr>
        <w:t xml:space="preserve">, identifying a measurable seroprevalence and neutralizing antibodies in </w:t>
      </w:r>
      <w:proofErr w:type="spellStart"/>
      <w:r>
        <w:rPr>
          <w:sz w:val="24"/>
          <w:szCs w:val="24"/>
        </w:rPr>
        <w:t>Pteropus</w:t>
      </w:r>
      <w:proofErr w:type="spellEnd"/>
      <w:r>
        <w:rPr>
          <w:sz w:val="24"/>
          <w:szCs w:val="24"/>
        </w:rPr>
        <w:t xml:space="preserve"> species. Although human diagnostic integration and biosafety governance were not examined, the study confirms ongoing zoonotic risk and highlights the importance of linking a</w:t>
      </w:r>
      <w:r>
        <w:rPr>
          <w:sz w:val="24"/>
          <w:szCs w:val="24"/>
        </w:rPr>
        <w:t>nimal surveillance with human health systems.</w:t>
      </w:r>
    </w:p>
    <w:p w:rsidR="00BE553F" w:rsidRDefault="00CD794B">
      <w:pPr>
        <w:spacing w:before="240" w:after="240"/>
        <w:ind w:firstLine="720"/>
        <w:jc w:val="both"/>
        <w:rPr>
          <w:sz w:val="24"/>
          <w:szCs w:val="24"/>
        </w:rPr>
      </w:pPr>
      <w:r>
        <w:rPr>
          <w:sz w:val="24"/>
          <w:szCs w:val="24"/>
        </w:rPr>
        <w:t xml:space="preserve">Between 2023 and 2026, multiple national and subnational reports consistently confirmed the absence of new </w:t>
      </w:r>
      <w:proofErr w:type="spellStart"/>
      <w:r>
        <w:rPr>
          <w:sz w:val="24"/>
          <w:szCs w:val="24"/>
        </w:rPr>
        <w:t>Nipah</w:t>
      </w:r>
      <w:proofErr w:type="spellEnd"/>
      <w:r>
        <w:rPr>
          <w:sz w:val="24"/>
          <w:szCs w:val="24"/>
        </w:rPr>
        <w:t xml:space="preserve"> virus cases in the Philippines since 2014 (</w:t>
      </w:r>
      <w:proofErr w:type="spellStart"/>
      <w:r>
        <w:rPr>
          <w:sz w:val="24"/>
          <w:szCs w:val="24"/>
        </w:rPr>
        <w:t>Relativo</w:t>
      </w:r>
      <w:proofErr w:type="spellEnd"/>
      <w:r>
        <w:rPr>
          <w:sz w:val="24"/>
          <w:szCs w:val="24"/>
        </w:rPr>
        <w:t xml:space="preserve">, 2023; Manila Bulletin, 2023; </w:t>
      </w:r>
      <w:proofErr w:type="spellStart"/>
      <w:r>
        <w:rPr>
          <w:sz w:val="24"/>
          <w:szCs w:val="24"/>
        </w:rPr>
        <w:t>Quismorio</w:t>
      </w:r>
      <w:proofErr w:type="spellEnd"/>
      <w:r>
        <w:rPr>
          <w:sz w:val="24"/>
          <w:szCs w:val="24"/>
        </w:rPr>
        <w:t>, 2023</w:t>
      </w:r>
      <w:r>
        <w:rPr>
          <w:sz w:val="24"/>
          <w:szCs w:val="24"/>
        </w:rPr>
        <w:t xml:space="preserve">; </w:t>
      </w:r>
      <w:proofErr w:type="spellStart"/>
      <w:r>
        <w:rPr>
          <w:sz w:val="24"/>
          <w:szCs w:val="24"/>
        </w:rPr>
        <w:t>Matibag</w:t>
      </w:r>
      <w:proofErr w:type="spellEnd"/>
      <w:r>
        <w:rPr>
          <w:sz w:val="24"/>
          <w:szCs w:val="24"/>
        </w:rPr>
        <w:t xml:space="preserve">, 2026; </w:t>
      </w:r>
      <w:proofErr w:type="spellStart"/>
      <w:r>
        <w:rPr>
          <w:sz w:val="24"/>
          <w:szCs w:val="24"/>
        </w:rPr>
        <w:t>Clores</w:t>
      </w:r>
      <w:proofErr w:type="spellEnd"/>
      <w:r>
        <w:rPr>
          <w:sz w:val="24"/>
          <w:szCs w:val="24"/>
        </w:rPr>
        <w:t xml:space="preserve">, 2026). These reports emphasized sustained surveillance, public risk communication, and strengthened infection prevention policies led by the Department of Health, though most lacked technical detail on laboratory readiness. Border </w:t>
      </w:r>
      <w:r>
        <w:rPr>
          <w:sz w:val="24"/>
          <w:szCs w:val="24"/>
        </w:rPr>
        <w:t>preparedness featured prominently in later reports, which described thermal scanning, trained nursing spotters, e-Travel health declarations, and referral to designated hospitals such as the Research Institute for Tropical Medicine (</w:t>
      </w:r>
      <w:proofErr w:type="spellStart"/>
      <w:r>
        <w:rPr>
          <w:sz w:val="24"/>
          <w:szCs w:val="24"/>
        </w:rPr>
        <w:t>Rocamora</w:t>
      </w:r>
      <w:proofErr w:type="spellEnd"/>
      <w:r>
        <w:rPr>
          <w:sz w:val="24"/>
          <w:szCs w:val="24"/>
        </w:rPr>
        <w:t xml:space="preserve">, 2026; </w:t>
      </w:r>
      <w:proofErr w:type="spellStart"/>
      <w:r>
        <w:rPr>
          <w:sz w:val="24"/>
          <w:szCs w:val="24"/>
        </w:rPr>
        <w:t>Sampang</w:t>
      </w:r>
      <w:proofErr w:type="spellEnd"/>
      <w:r>
        <w:rPr>
          <w:sz w:val="24"/>
          <w:szCs w:val="24"/>
        </w:rPr>
        <w:t>, 2026; Flores, 2026; Xinhua, 2026; GMA Integrated News, 2026). While these measures demonstrate strong border health security and coordination, they provide limited insight into diagnostic turnaround times, laboratory containment capacity, or biosafety go</w:t>
      </w:r>
      <w:r>
        <w:rPr>
          <w:sz w:val="24"/>
          <w:szCs w:val="24"/>
        </w:rPr>
        <w:t>vernance.</w:t>
      </w:r>
    </w:p>
    <w:p w:rsidR="00BE553F" w:rsidRDefault="00CD794B">
      <w:pPr>
        <w:spacing w:before="240" w:after="240"/>
        <w:ind w:firstLine="720"/>
        <w:jc w:val="both"/>
        <w:rPr>
          <w:sz w:val="24"/>
          <w:szCs w:val="24"/>
        </w:rPr>
      </w:pPr>
      <w:r>
        <w:rPr>
          <w:sz w:val="24"/>
          <w:szCs w:val="24"/>
        </w:rPr>
        <w:t>Local-level evidence revealed persistent operational constraints. The City Health Office of Cagayan de Oro (2023) reported that suspected samples must be referred to Manila, with diagnostic turnaround times of one to two weeks, highlighting conti</w:t>
      </w:r>
      <w:r>
        <w:rPr>
          <w:sz w:val="24"/>
          <w:szCs w:val="24"/>
        </w:rPr>
        <w:t>nued centralization of testing and delays in confirmation. Governance-level documents, including advisories from the Philippine Inter-Agency Committee on Zoonoses and the 2026 DOST-PCHRD Call for Proposals, reflect strong intersectoral coordination and pol</w:t>
      </w:r>
      <w:r>
        <w:rPr>
          <w:sz w:val="24"/>
          <w:szCs w:val="24"/>
        </w:rPr>
        <w:t>itical commitment to emerging infectious disease preparedness, but function primarily as policy instruments rather than operational assessments.</w:t>
      </w:r>
    </w:p>
    <w:p w:rsidR="00BE553F" w:rsidRDefault="00CD794B">
      <w:pPr>
        <w:spacing w:before="240" w:after="240"/>
        <w:ind w:firstLine="720"/>
        <w:jc w:val="both"/>
        <w:rPr>
          <w:sz w:val="24"/>
          <w:szCs w:val="24"/>
        </w:rPr>
      </w:pPr>
      <w:r>
        <w:rPr>
          <w:sz w:val="24"/>
          <w:szCs w:val="24"/>
        </w:rPr>
        <w:t xml:space="preserve">Taken together, the literature indicates that the Philippines possesses documented experience with </w:t>
      </w:r>
      <w:proofErr w:type="spellStart"/>
      <w:r>
        <w:rPr>
          <w:sz w:val="24"/>
          <w:szCs w:val="24"/>
        </w:rPr>
        <w:t>Nipah</w:t>
      </w:r>
      <w:proofErr w:type="spellEnd"/>
      <w:r>
        <w:rPr>
          <w:sz w:val="24"/>
          <w:szCs w:val="24"/>
        </w:rPr>
        <w:t xml:space="preserve"> virus </w:t>
      </w:r>
      <w:r>
        <w:rPr>
          <w:sz w:val="24"/>
          <w:szCs w:val="24"/>
        </w:rPr>
        <w:t>transmission, improving laboratory capacity, active surveillance, and robust border health measures. However, persistent gaps remain in decentralized diagnostics, frontline biosafety implementation, specimen referral efficiency, and publicly available tech</w:t>
      </w:r>
      <w:r>
        <w:rPr>
          <w:sz w:val="24"/>
          <w:szCs w:val="24"/>
        </w:rPr>
        <w:t>nical documentation of operational readiness. These findings collectively justify the need for a systematic national gap analysis focusing on laboratory diagnostic capacity, biosafety systems, and specimen referral networks to inform evidence-based prepare</w:t>
      </w:r>
      <w:r>
        <w:rPr>
          <w:sz w:val="24"/>
          <w:szCs w:val="24"/>
        </w:rPr>
        <w:t xml:space="preserve">dness for </w:t>
      </w:r>
      <w:proofErr w:type="spellStart"/>
      <w:r>
        <w:rPr>
          <w:sz w:val="24"/>
          <w:szCs w:val="24"/>
        </w:rPr>
        <w:t>Nipah</w:t>
      </w:r>
      <w:proofErr w:type="spellEnd"/>
      <w:r>
        <w:rPr>
          <w:sz w:val="24"/>
          <w:szCs w:val="24"/>
        </w:rPr>
        <w:t xml:space="preserve"> virus and other high-consequence zoonotic threats.</w:t>
      </w:r>
    </w:p>
    <w:p w:rsidR="00BE553F" w:rsidRDefault="00CD794B">
      <w:pPr>
        <w:spacing w:before="280"/>
        <w:jc w:val="both"/>
        <w:rPr>
          <w:b/>
          <w:bCs/>
          <w:sz w:val="24"/>
          <w:szCs w:val="24"/>
        </w:rPr>
      </w:pPr>
      <w:r>
        <w:rPr>
          <w:b/>
          <w:bCs/>
          <w:sz w:val="24"/>
          <w:szCs w:val="24"/>
        </w:rPr>
        <w:t>DISCUSSION</w:t>
      </w:r>
    </w:p>
    <w:p w:rsidR="00BE553F" w:rsidRDefault="00CD794B">
      <w:pPr>
        <w:spacing w:before="240" w:after="240"/>
        <w:ind w:firstLine="720"/>
        <w:jc w:val="both"/>
        <w:rPr>
          <w:sz w:val="24"/>
          <w:szCs w:val="24"/>
        </w:rPr>
      </w:pPr>
      <w:r>
        <w:rPr>
          <w:sz w:val="24"/>
          <w:szCs w:val="24"/>
        </w:rPr>
        <w:lastRenderedPageBreak/>
        <w:t xml:space="preserve">This national gap analysis provides a structured assessment of </w:t>
      </w:r>
      <w:proofErr w:type="spellStart"/>
      <w:r>
        <w:rPr>
          <w:sz w:val="24"/>
          <w:szCs w:val="24"/>
        </w:rPr>
        <w:t>Nipah</w:t>
      </w:r>
      <w:proofErr w:type="spellEnd"/>
      <w:r>
        <w:rPr>
          <w:sz w:val="24"/>
          <w:szCs w:val="24"/>
        </w:rPr>
        <w:t xml:space="preserve"> virus readiness in the Philippines across three interdependent domains: laboratory diagnostic capacity, biosa</w:t>
      </w:r>
      <w:r>
        <w:rPr>
          <w:sz w:val="24"/>
          <w:szCs w:val="24"/>
        </w:rPr>
        <w:t>fety and biosecurity systems, and specimen referral and transport networks. The synthesis of academic and operational evidence indicates that while the Philippines has made notable progress in surveillance, border health measures, and reference-level diagn</w:t>
      </w:r>
      <w:r>
        <w:rPr>
          <w:sz w:val="24"/>
          <w:szCs w:val="24"/>
        </w:rPr>
        <w:t xml:space="preserve">ostic capability, significant gaps persist that could delay early detection and containment in the event of a future </w:t>
      </w:r>
      <w:proofErr w:type="spellStart"/>
      <w:r>
        <w:rPr>
          <w:sz w:val="24"/>
          <w:szCs w:val="24"/>
        </w:rPr>
        <w:t>Nipah</w:t>
      </w:r>
      <w:proofErr w:type="spellEnd"/>
      <w:r>
        <w:rPr>
          <w:sz w:val="24"/>
          <w:szCs w:val="24"/>
        </w:rPr>
        <w:t xml:space="preserve"> virus spillover.</w:t>
      </w:r>
    </w:p>
    <w:p w:rsidR="00BE553F" w:rsidRDefault="00CD794B">
      <w:pPr>
        <w:spacing w:before="240" w:after="240"/>
        <w:ind w:firstLine="720"/>
        <w:jc w:val="both"/>
        <w:rPr>
          <w:sz w:val="24"/>
          <w:szCs w:val="24"/>
        </w:rPr>
      </w:pPr>
      <w:r>
        <w:rPr>
          <w:sz w:val="24"/>
          <w:szCs w:val="24"/>
        </w:rPr>
        <w:t xml:space="preserve">The findings suggest that the Philippines possesses baseline diagnostic readiness for </w:t>
      </w:r>
      <w:proofErr w:type="spellStart"/>
      <w:r>
        <w:rPr>
          <w:sz w:val="24"/>
          <w:szCs w:val="24"/>
        </w:rPr>
        <w:t>Nipah</w:t>
      </w:r>
      <w:proofErr w:type="spellEnd"/>
      <w:r>
        <w:rPr>
          <w:sz w:val="24"/>
          <w:szCs w:val="24"/>
        </w:rPr>
        <w:t xml:space="preserve"> virus at the national re</w:t>
      </w:r>
      <w:r>
        <w:rPr>
          <w:sz w:val="24"/>
          <w:szCs w:val="24"/>
        </w:rPr>
        <w:t>ference level, particularly through the Research Institute for Tropical Medicine and its National Reference Laboratory for Special Pathogens. Recent capacity-building initiatives, including training of subnational laboratories in real-time RT-PCR detection</w:t>
      </w:r>
      <w:r>
        <w:rPr>
          <w:sz w:val="24"/>
          <w:szCs w:val="24"/>
        </w:rPr>
        <w:t xml:space="preserve"> and specimen handling, represent a major system strength and align with World Health Organization recommendations on integrated laboratory networking and surge capacity for high-consequence pathogens (WHO, 2022; </w:t>
      </w:r>
      <w:proofErr w:type="spellStart"/>
      <w:r>
        <w:rPr>
          <w:sz w:val="24"/>
          <w:szCs w:val="24"/>
        </w:rPr>
        <w:t>Dimaano</w:t>
      </w:r>
      <w:proofErr w:type="spellEnd"/>
      <w:r>
        <w:rPr>
          <w:sz w:val="24"/>
          <w:szCs w:val="24"/>
        </w:rPr>
        <w:t>, 2024). Similar decentralization ef</w:t>
      </w:r>
      <w:r>
        <w:rPr>
          <w:sz w:val="24"/>
          <w:szCs w:val="24"/>
        </w:rPr>
        <w:t>forts have been shown to improve outbreak responsiveness in other Southeast Asian settings (</w:t>
      </w:r>
      <w:proofErr w:type="spellStart"/>
      <w:r>
        <w:rPr>
          <w:sz w:val="24"/>
          <w:szCs w:val="24"/>
        </w:rPr>
        <w:t>Garbuglia</w:t>
      </w:r>
      <w:proofErr w:type="spellEnd"/>
      <w:r>
        <w:rPr>
          <w:sz w:val="24"/>
          <w:szCs w:val="24"/>
        </w:rPr>
        <w:t xml:space="preserve"> et al., 2023; </w:t>
      </w:r>
      <w:proofErr w:type="spellStart"/>
      <w:r>
        <w:rPr>
          <w:sz w:val="24"/>
          <w:szCs w:val="24"/>
        </w:rPr>
        <w:t>Inbanathan</w:t>
      </w:r>
      <w:proofErr w:type="spellEnd"/>
      <w:r>
        <w:rPr>
          <w:sz w:val="24"/>
          <w:szCs w:val="24"/>
        </w:rPr>
        <w:t xml:space="preserve"> et al., 2024).</w:t>
      </w:r>
    </w:p>
    <w:p w:rsidR="00BE553F" w:rsidRDefault="00CD794B">
      <w:pPr>
        <w:spacing w:before="240" w:after="240"/>
        <w:ind w:firstLine="720"/>
        <w:jc w:val="both"/>
        <w:rPr>
          <w:sz w:val="24"/>
          <w:szCs w:val="24"/>
        </w:rPr>
      </w:pPr>
      <w:r>
        <w:rPr>
          <w:sz w:val="24"/>
          <w:szCs w:val="24"/>
        </w:rPr>
        <w:t>However, the literature also highlights continued centralization of confirmatory testing, limited public documenta</w:t>
      </w:r>
      <w:r>
        <w:rPr>
          <w:sz w:val="24"/>
          <w:szCs w:val="24"/>
        </w:rPr>
        <w:t>tion of laboratory tiering, and variable access to molecular diagnostics at peripheral and island-based facilities. Reports of diagnostic turnaround times ranging from one to two weeks for suspected cases referred to Manila underscore operational vulnerabi</w:t>
      </w:r>
      <w:r>
        <w:rPr>
          <w:sz w:val="24"/>
          <w:szCs w:val="24"/>
        </w:rPr>
        <w:t xml:space="preserve">lities related to geography and logistics (City Government of </w:t>
      </w:r>
      <w:proofErr w:type="spellStart"/>
      <w:r>
        <w:rPr>
          <w:sz w:val="24"/>
          <w:szCs w:val="24"/>
        </w:rPr>
        <w:t>Oroquieta</w:t>
      </w:r>
      <w:proofErr w:type="spellEnd"/>
      <w:r>
        <w:rPr>
          <w:sz w:val="24"/>
          <w:szCs w:val="24"/>
        </w:rPr>
        <w:t xml:space="preserve">, 2023). Delayed confirmation has been identified as a critical risk factor for nosocomial transmission and outbreak amplification in previous </w:t>
      </w:r>
      <w:proofErr w:type="spellStart"/>
      <w:r>
        <w:rPr>
          <w:sz w:val="24"/>
          <w:szCs w:val="24"/>
        </w:rPr>
        <w:t>Nipah</w:t>
      </w:r>
      <w:proofErr w:type="spellEnd"/>
      <w:r>
        <w:rPr>
          <w:sz w:val="24"/>
          <w:szCs w:val="24"/>
        </w:rPr>
        <w:t xml:space="preserve"> outbreaks in India and Bangladesh (</w:t>
      </w:r>
      <w:proofErr w:type="spellStart"/>
      <w:r>
        <w:rPr>
          <w:sz w:val="24"/>
          <w:szCs w:val="24"/>
        </w:rPr>
        <w:t>A</w:t>
      </w:r>
      <w:r>
        <w:rPr>
          <w:sz w:val="24"/>
          <w:szCs w:val="24"/>
        </w:rPr>
        <w:t>runkumar</w:t>
      </w:r>
      <w:proofErr w:type="spellEnd"/>
      <w:r>
        <w:rPr>
          <w:sz w:val="24"/>
          <w:szCs w:val="24"/>
        </w:rPr>
        <w:t xml:space="preserve"> et al., 2019; Khan et al., 2024).</w:t>
      </w:r>
    </w:p>
    <w:p w:rsidR="00BE553F" w:rsidRDefault="00CD794B">
      <w:pPr>
        <w:spacing w:before="240" w:after="240"/>
        <w:ind w:firstLine="720"/>
        <w:jc w:val="both"/>
        <w:rPr>
          <w:sz w:val="24"/>
          <w:szCs w:val="24"/>
        </w:rPr>
      </w:pPr>
      <w:r>
        <w:rPr>
          <w:sz w:val="24"/>
          <w:szCs w:val="24"/>
        </w:rPr>
        <w:t>The reliance on serologic testing during the 2014 Philippine outbreak (17 cases, 9 deaths), with limited nucleic acid–based confirmation, illustrates historical constraints in molecular diagnostic access and decen</w:t>
      </w:r>
      <w:r>
        <w:rPr>
          <w:sz w:val="24"/>
          <w:szCs w:val="24"/>
        </w:rPr>
        <w:t xml:space="preserve">tralization (Ching et al., 2015; </w:t>
      </w:r>
      <w:proofErr w:type="spellStart"/>
      <w:r>
        <w:rPr>
          <w:sz w:val="24"/>
          <w:szCs w:val="24"/>
        </w:rPr>
        <w:t>Salvaña</w:t>
      </w:r>
      <w:proofErr w:type="spellEnd"/>
      <w:r>
        <w:rPr>
          <w:sz w:val="24"/>
          <w:szCs w:val="24"/>
        </w:rPr>
        <w:t xml:space="preserve">, 2023). Although advances have been made since then, the absence of point-of-care diagnostics, limited reporting on external quality assurance participation, and unclear integration of wildlife and human diagnostic </w:t>
      </w:r>
      <w:r>
        <w:rPr>
          <w:sz w:val="24"/>
          <w:szCs w:val="24"/>
        </w:rPr>
        <w:t>data remain challenges consistent with broader regional observations (Mazzola &amp; Kelly-</w:t>
      </w:r>
      <w:proofErr w:type="spellStart"/>
      <w:r>
        <w:rPr>
          <w:sz w:val="24"/>
          <w:szCs w:val="24"/>
        </w:rPr>
        <w:t>Cirino</w:t>
      </w:r>
      <w:proofErr w:type="spellEnd"/>
      <w:r>
        <w:rPr>
          <w:sz w:val="24"/>
          <w:szCs w:val="24"/>
        </w:rPr>
        <w:t xml:space="preserve">, 2019; </w:t>
      </w:r>
      <w:proofErr w:type="spellStart"/>
      <w:r>
        <w:rPr>
          <w:sz w:val="24"/>
          <w:szCs w:val="24"/>
        </w:rPr>
        <w:t>Rekedal</w:t>
      </w:r>
      <w:proofErr w:type="spellEnd"/>
      <w:r>
        <w:rPr>
          <w:sz w:val="24"/>
          <w:szCs w:val="24"/>
        </w:rPr>
        <w:t xml:space="preserve"> et al., 2025).</w:t>
      </w:r>
    </w:p>
    <w:p w:rsidR="00BE553F" w:rsidRDefault="00CD794B">
      <w:pPr>
        <w:spacing w:before="240" w:after="240"/>
        <w:ind w:firstLine="720"/>
        <w:jc w:val="both"/>
        <w:rPr>
          <w:sz w:val="24"/>
          <w:szCs w:val="24"/>
        </w:rPr>
      </w:pPr>
      <w:r>
        <w:rPr>
          <w:sz w:val="24"/>
          <w:szCs w:val="24"/>
        </w:rPr>
        <w:t xml:space="preserve">Biosafety and biosecurity emerged as one of the most critical and persistent gaps identified in this review. Evidence from the 2014 </w:t>
      </w:r>
      <w:r>
        <w:rPr>
          <w:sz w:val="24"/>
          <w:szCs w:val="24"/>
        </w:rPr>
        <w:t>outbreak revealed substantial deficiencies in infection prevention and control, including lack of personal protective equipment among caregivers and healthcare workers and inadequate risk awareness during patient care (Ching et al., 2015). Similar biosafet</w:t>
      </w:r>
      <w:r>
        <w:rPr>
          <w:sz w:val="24"/>
          <w:szCs w:val="24"/>
        </w:rPr>
        <w:t xml:space="preserve">y failures have been repeatedly </w:t>
      </w:r>
      <w:r>
        <w:rPr>
          <w:sz w:val="24"/>
          <w:szCs w:val="24"/>
        </w:rPr>
        <w:lastRenderedPageBreak/>
        <w:t xml:space="preserve">implicated in human-to-human transmission of </w:t>
      </w:r>
      <w:proofErr w:type="spellStart"/>
      <w:r>
        <w:rPr>
          <w:sz w:val="24"/>
          <w:szCs w:val="24"/>
        </w:rPr>
        <w:t>Nipah</w:t>
      </w:r>
      <w:proofErr w:type="spellEnd"/>
      <w:r>
        <w:rPr>
          <w:sz w:val="24"/>
          <w:szCs w:val="24"/>
        </w:rPr>
        <w:t xml:space="preserve"> virus in South Asia (Clayton, 2017; Hughes et al., 2009). While national advisories and recent reports emphasize strengthened infection control policies, PPE availability, a</w:t>
      </w:r>
      <w:r>
        <w:rPr>
          <w:sz w:val="24"/>
          <w:szCs w:val="24"/>
        </w:rPr>
        <w:t>nd border screening measures, there remains limited publicly available documentation on laboratory containment infrastructure, routine biosafety audits, waste management validation, and the frequency of simulation-based training for high-consequence pathog</w:t>
      </w:r>
      <w:r>
        <w:rPr>
          <w:sz w:val="24"/>
          <w:szCs w:val="24"/>
        </w:rPr>
        <w:t>ens.</w:t>
      </w:r>
    </w:p>
    <w:p w:rsidR="00BE553F" w:rsidRDefault="00CD794B">
      <w:pPr>
        <w:spacing w:before="240" w:after="240"/>
        <w:ind w:firstLine="720"/>
        <w:jc w:val="both"/>
        <w:rPr>
          <w:sz w:val="24"/>
          <w:szCs w:val="24"/>
        </w:rPr>
      </w:pPr>
      <w:r>
        <w:rPr>
          <w:sz w:val="24"/>
          <w:szCs w:val="24"/>
        </w:rPr>
        <w:t xml:space="preserve">International guidance emphasizes that preparedness for agents such as </w:t>
      </w:r>
      <w:proofErr w:type="spellStart"/>
      <w:r>
        <w:rPr>
          <w:sz w:val="24"/>
          <w:szCs w:val="24"/>
        </w:rPr>
        <w:t>Nipah</w:t>
      </w:r>
      <w:proofErr w:type="spellEnd"/>
      <w:r>
        <w:rPr>
          <w:sz w:val="24"/>
          <w:szCs w:val="24"/>
        </w:rPr>
        <w:t xml:space="preserve"> virus requires not only infrastructure but also sustained competency-based training, incident reporting systems, and governance mechanisms that ensure compliance with biosafe</w:t>
      </w:r>
      <w:r>
        <w:rPr>
          <w:sz w:val="24"/>
          <w:szCs w:val="24"/>
        </w:rPr>
        <w:t>ty protocols (</w:t>
      </w:r>
      <w:proofErr w:type="spellStart"/>
      <w:r>
        <w:rPr>
          <w:sz w:val="24"/>
          <w:szCs w:val="24"/>
        </w:rPr>
        <w:t>Artika</w:t>
      </w:r>
      <w:proofErr w:type="spellEnd"/>
      <w:r>
        <w:rPr>
          <w:sz w:val="24"/>
          <w:szCs w:val="24"/>
        </w:rPr>
        <w:t xml:space="preserve"> &amp; </w:t>
      </w:r>
      <w:proofErr w:type="spellStart"/>
      <w:r>
        <w:rPr>
          <w:sz w:val="24"/>
          <w:szCs w:val="24"/>
        </w:rPr>
        <w:t>Ma’roef</w:t>
      </w:r>
      <w:proofErr w:type="spellEnd"/>
      <w:r>
        <w:rPr>
          <w:sz w:val="24"/>
          <w:szCs w:val="24"/>
        </w:rPr>
        <w:t xml:space="preserve">, 2017; Vaughan, 2022; Chan et al., 2025). The classification of </w:t>
      </w:r>
      <w:proofErr w:type="spellStart"/>
      <w:r>
        <w:rPr>
          <w:sz w:val="24"/>
          <w:szCs w:val="24"/>
        </w:rPr>
        <w:t>Nipah</w:t>
      </w:r>
      <w:proofErr w:type="spellEnd"/>
      <w:r>
        <w:rPr>
          <w:sz w:val="24"/>
          <w:szCs w:val="24"/>
        </w:rPr>
        <w:t xml:space="preserve"> virus as a biosafety level-4 pathogen for live virus handling further complicates preparedness in pre-emergence settings. Although diagnostic work on inact</w:t>
      </w:r>
      <w:r>
        <w:rPr>
          <w:sz w:val="24"/>
          <w:szCs w:val="24"/>
        </w:rPr>
        <w:t>ivated specimens can be conducted under enhanced BSL-2 or BSL-3 conditions, gaps in clarity regarding laboratory authorization, staff credentialing, and escalation pathways may hinder rapid response during suspected events (CDC, 2023; Borges et al., 2025).</w:t>
      </w:r>
    </w:p>
    <w:p w:rsidR="00BE553F" w:rsidRDefault="00CD794B">
      <w:pPr>
        <w:spacing w:before="240" w:after="240"/>
        <w:ind w:firstLine="720"/>
        <w:jc w:val="both"/>
        <w:rPr>
          <w:sz w:val="24"/>
          <w:szCs w:val="24"/>
        </w:rPr>
      </w:pPr>
      <w:r>
        <w:rPr>
          <w:sz w:val="24"/>
          <w:szCs w:val="24"/>
        </w:rPr>
        <w:t xml:space="preserve">The archipelagic geography of the Philippines introduces unique challenges to specimen referral and transport, which emerged as a recurrent theme in the reviewed literature. Centralized confirmatory testing, inter-island transport delays, weather-related </w:t>
      </w:r>
      <w:r>
        <w:rPr>
          <w:sz w:val="24"/>
          <w:szCs w:val="24"/>
        </w:rPr>
        <w:t>disruptions, and cold-chain vulnerabilities can collectively extend diagnostic turnaround times and delay public health action. Comparable challenges have been documented in other geographically fragmented or low-incidence settings, where referral ineffici</w:t>
      </w:r>
      <w:r>
        <w:rPr>
          <w:sz w:val="24"/>
          <w:szCs w:val="24"/>
        </w:rPr>
        <w:t xml:space="preserve">encies undermined outbreak containment despite available diagnostics (Kluge et al., 2018; WHO, 2022). Although the Philippines has demonstrated strong coordination in border health surveillance and inter-agency communication during regional </w:t>
      </w:r>
      <w:proofErr w:type="spellStart"/>
      <w:r>
        <w:rPr>
          <w:sz w:val="24"/>
          <w:szCs w:val="24"/>
        </w:rPr>
        <w:t>Nipah</w:t>
      </w:r>
      <w:proofErr w:type="spellEnd"/>
      <w:r>
        <w:rPr>
          <w:sz w:val="24"/>
          <w:szCs w:val="24"/>
        </w:rPr>
        <w:t xml:space="preserve"> alerts, t</w:t>
      </w:r>
      <w:r>
        <w:rPr>
          <w:sz w:val="24"/>
          <w:szCs w:val="24"/>
        </w:rPr>
        <w:t>echnical details on specimen transport timelines, cold-chain validation, and contingency routing remain limited in the public domain. This lack of transparency constrains objective assessment of system resilience and mirrors broader gaps observed in emergi</w:t>
      </w:r>
      <w:r>
        <w:rPr>
          <w:sz w:val="24"/>
          <w:szCs w:val="24"/>
        </w:rPr>
        <w:t>ng infectious disease preparedness reporting globally (</w:t>
      </w:r>
      <w:proofErr w:type="spellStart"/>
      <w:r>
        <w:rPr>
          <w:sz w:val="24"/>
          <w:szCs w:val="24"/>
        </w:rPr>
        <w:t>Horby</w:t>
      </w:r>
      <w:proofErr w:type="spellEnd"/>
      <w:r>
        <w:rPr>
          <w:sz w:val="24"/>
          <w:szCs w:val="24"/>
        </w:rPr>
        <w:t xml:space="preserve"> et al., 2013; Plowright et al., 2017).</w:t>
      </w:r>
    </w:p>
    <w:p w:rsidR="00BE553F" w:rsidRDefault="00CD794B">
      <w:pPr>
        <w:spacing w:before="240" w:after="240"/>
        <w:ind w:firstLine="720"/>
        <w:jc w:val="both"/>
        <w:rPr>
          <w:sz w:val="24"/>
          <w:szCs w:val="24"/>
        </w:rPr>
      </w:pPr>
      <w:r>
        <w:rPr>
          <w:sz w:val="24"/>
          <w:szCs w:val="24"/>
        </w:rPr>
        <w:t xml:space="preserve">The presence of serologic evidence of </w:t>
      </w:r>
      <w:proofErr w:type="spellStart"/>
      <w:r>
        <w:rPr>
          <w:sz w:val="24"/>
          <w:szCs w:val="24"/>
        </w:rPr>
        <w:t>Nipah</w:t>
      </w:r>
      <w:proofErr w:type="spellEnd"/>
      <w:r>
        <w:rPr>
          <w:sz w:val="24"/>
          <w:szCs w:val="24"/>
        </w:rPr>
        <w:t xml:space="preserve"> virus exposure among Philippine bat populations reinforces the relevance of a One Health approach to preparednes</w:t>
      </w:r>
      <w:r>
        <w:rPr>
          <w:sz w:val="24"/>
          <w:szCs w:val="24"/>
        </w:rPr>
        <w:t xml:space="preserve">s (Kaku et al., 2025; </w:t>
      </w:r>
      <w:proofErr w:type="spellStart"/>
      <w:r>
        <w:rPr>
          <w:sz w:val="24"/>
          <w:szCs w:val="24"/>
        </w:rPr>
        <w:t>Rekedal</w:t>
      </w:r>
      <w:proofErr w:type="spellEnd"/>
      <w:r>
        <w:rPr>
          <w:sz w:val="24"/>
          <w:szCs w:val="24"/>
        </w:rPr>
        <w:t xml:space="preserve"> et al., 2025). While wildlife surveillance studies confirm ongoing zoonotic risk, integration of animal health data with human diagnostic systems appears limited in operational reporting. International experience indicates tha</w:t>
      </w:r>
      <w:r>
        <w:rPr>
          <w:sz w:val="24"/>
          <w:szCs w:val="24"/>
        </w:rPr>
        <w:t xml:space="preserve">t failure to link animal, environmental, and human surveillance delays recognition of spillover events and undermines early warning systems (Plowright et al., 2017; WHO, 2025). Encouragingly, governance-level initiatives and research funding calls reflect </w:t>
      </w:r>
      <w:r>
        <w:rPr>
          <w:sz w:val="24"/>
          <w:szCs w:val="24"/>
        </w:rPr>
        <w:t xml:space="preserve">growing political </w:t>
      </w:r>
      <w:r>
        <w:rPr>
          <w:sz w:val="24"/>
          <w:szCs w:val="24"/>
        </w:rPr>
        <w:lastRenderedPageBreak/>
        <w:t>commitment to emerging infectious disease preparedness in the Philippines, though these instruments primarily function at the policy level and do not substitute for routine, publicly documented assessments of operational readiness.</w:t>
      </w:r>
    </w:p>
    <w:p w:rsidR="00BE553F" w:rsidRDefault="00CD794B">
      <w:pPr>
        <w:spacing w:before="240" w:after="240"/>
        <w:ind w:firstLine="720"/>
        <w:jc w:val="both"/>
        <w:rPr>
          <w:sz w:val="24"/>
          <w:szCs w:val="24"/>
        </w:rPr>
      </w:pPr>
      <w:r>
        <w:rPr>
          <w:sz w:val="24"/>
          <w:szCs w:val="24"/>
        </w:rPr>
        <w:t xml:space="preserve">Taken </w:t>
      </w:r>
      <w:r>
        <w:rPr>
          <w:sz w:val="24"/>
          <w:szCs w:val="24"/>
        </w:rPr>
        <w:t xml:space="preserve">together, the findings indicate that the Philippines has transitioned from minimal to intermediate preparedness for </w:t>
      </w:r>
      <w:proofErr w:type="spellStart"/>
      <w:r>
        <w:rPr>
          <w:sz w:val="24"/>
          <w:szCs w:val="24"/>
        </w:rPr>
        <w:t>Nipah</w:t>
      </w:r>
      <w:proofErr w:type="spellEnd"/>
      <w:r>
        <w:rPr>
          <w:sz w:val="24"/>
          <w:szCs w:val="24"/>
        </w:rPr>
        <w:t xml:space="preserve"> virus since the 2014 outbreak, characterized by improved surveillance, strengthened reference laboratory capacity, and active border h</w:t>
      </w:r>
      <w:r>
        <w:rPr>
          <w:sz w:val="24"/>
          <w:szCs w:val="24"/>
        </w:rPr>
        <w:t>ealth measures. Nonetheless, persistent gaps in decentralized diagnostics, frontline biosafety implementation, specimen referral efficiency, and operational transparency remain. These vulnerabilities are particularly consequential for high-consequence zoon</w:t>
      </w:r>
      <w:r>
        <w:rPr>
          <w:sz w:val="24"/>
          <w:szCs w:val="24"/>
        </w:rPr>
        <w:t>otic pathogens, where early detection and rapid containment are essential to prevent healthcare-associated transmission and societal disruption (Kluge et al., 2018; Chan et al., 2025). The results of this gap analysis underscore the need for sustained inve</w:t>
      </w:r>
      <w:r>
        <w:rPr>
          <w:sz w:val="24"/>
          <w:szCs w:val="24"/>
        </w:rPr>
        <w:t xml:space="preserve">stment in laboratory networking, biosafety governance, and resilient specimen referral systems, not only for </w:t>
      </w:r>
      <w:proofErr w:type="spellStart"/>
      <w:r>
        <w:rPr>
          <w:sz w:val="24"/>
          <w:szCs w:val="24"/>
        </w:rPr>
        <w:t>Nipah</w:t>
      </w:r>
      <w:proofErr w:type="spellEnd"/>
      <w:r>
        <w:rPr>
          <w:sz w:val="24"/>
          <w:szCs w:val="24"/>
        </w:rPr>
        <w:t xml:space="preserve"> virus but also for other emerging zoonoses with pandemic potential.</w:t>
      </w:r>
    </w:p>
    <w:p w:rsidR="00BE553F" w:rsidRDefault="00BE553F">
      <w:pPr>
        <w:spacing w:before="240" w:after="240"/>
        <w:jc w:val="both"/>
        <w:rPr>
          <w:b/>
          <w:bCs/>
          <w:sz w:val="24"/>
          <w:szCs w:val="24"/>
        </w:rPr>
      </w:pPr>
    </w:p>
    <w:p w:rsidR="00BE553F" w:rsidRDefault="00CD794B">
      <w:pPr>
        <w:spacing w:before="240" w:after="240"/>
        <w:jc w:val="both"/>
        <w:rPr>
          <w:b/>
          <w:bCs/>
          <w:sz w:val="24"/>
          <w:szCs w:val="24"/>
        </w:rPr>
      </w:pPr>
      <w:r>
        <w:rPr>
          <w:b/>
          <w:bCs/>
          <w:sz w:val="24"/>
          <w:szCs w:val="24"/>
        </w:rPr>
        <w:t>CONCLUSION</w:t>
      </w:r>
    </w:p>
    <w:p w:rsidR="00BE553F" w:rsidRDefault="00CD794B">
      <w:pPr>
        <w:spacing w:before="240" w:after="240"/>
        <w:ind w:firstLine="720"/>
        <w:jc w:val="both"/>
        <w:rPr>
          <w:sz w:val="24"/>
          <w:szCs w:val="24"/>
        </w:rPr>
      </w:pPr>
      <w:r>
        <w:rPr>
          <w:sz w:val="24"/>
          <w:szCs w:val="24"/>
        </w:rPr>
        <w:t xml:space="preserve">This national gap analysis demonstrates that the Philippines </w:t>
      </w:r>
      <w:r>
        <w:rPr>
          <w:sz w:val="24"/>
          <w:szCs w:val="24"/>
        </w:rPr>
        <w:t xml:space="preserve">has achieved measurable progress in </w:t>
      </w:r>
      <w:proofErr w:type="spellStart"/>
      <w:r>
        <w:rPr>
          <w:sz w:val="24"/>
          <w:szCs w:val="24"/>
        </w:rPr>
        <w:t>Nipah</w:t>
      </w:r>
      <w:proofErr w:type="spellEnd"/>
      <w:r>
        <w:rPr>
          <w:sz w:val="24"/>
          <w:szCs w:val="24"/>
        </w:rPr>
        <w:t xml:space="preserve"> virus preparedness since the 2014 outbreak involving 17 cases and 9 deaths, particularly in surveillance activities, reference-level diagnostic capacity, and border health measures. The presence of trained national</w:t>
      </w:r>
      <w:r>
        <w:rPr>
          <w:sz w:val="24"/>
          <w:szCs w:val="24"/>
        </w:rPr>
        <w:t xml:space="preserve"> laboratories, growing molecular diagnostic capability, and coordinated inter-agency response mechanisms reflects increasing alignment with international frameworks for high-consequence infectious disease preparedness.</w:t>
      </w:r>
    </w:p>
    <w:p w:rsidR="00BE553F" w:rsidRDefault="00CD794B">
      <w:pPr>
        <w:spacing w:before="240" w:after="240"/>
        <w:ind w:firstLine="720"/>
        <w:jc w:val="both"/>
        <w:rPr>
          <w:sz w:val="24"/>
          <w:szCs w:val="24"/>
        </w:rPr>
      </w:pPr>
      <w:r>
        <w:rPr>
          <w:sz w:val="24"/>
          <w:szCs w:val="24"/>
        </w:rPr>
        <w:t>However, the findings also reveal per</w:t>
      </w:r>
      <w:r>
        <w:rPr>
          <w:sz w:val="24"/>
          <w:szCs w:val="24"/>
        </w:rPr>
        <w:t xml:space="preserve">sistent structural and operational gaps that could delay early detection and containment of a future </w:t>
      </w:r>
      <w:proofErr w:type="spellStart"/>
      <w:r>
        <w:rPr>
          <w:sz w:val="24"/>
          <w:szCs w:val="24"/>
        </w:rPr>
        <w:t>Nipah</w:t>
      </w:r>
      <w:proofErr w:type="spellEnd"/>
      <w:r>
        <w:rPr>
          <w:sz w:val="24"/>
          <w:szCs w:val="24"/>
        </w:rPr>
        <w:t xml:space="preserve"> virus event. These include continued centralization of confirmatory diagnostics, uneven access to molecular testing at subnational levels, limited pu</w:t>
      </w:r>
      <w:r>
        <w:rPr>
          <w:sz w:val="24"/>
          <w:szCs w:val="24"/>
        </w:rPr>
        <w:t>blicly documented biosafety governance, and logistical challenges in specimen referral and transport across the country’s archipelagic setting.</w:t>
      </w:r>
      <w:r>
        <w:rPr>
          <w:sz w:val="24"/>
          <w:szCs w:val="24"/>
          <w:highlight w:val="yellow"/>
          <w:lang w:val="en-US"/>
        </w:rPr>
        <w:t xml:space="preserve"> </w:t>
      </w:r>
      <w:r>
        <w:rPr>
          <w:rFonts w:eastAsia="SimSun"/>
          <w:sz w:val="24"/>
          <w:szCs w:val="24"/>
          <w:highlight w:val="yellow"/>
        </w:rPr>
        <w:t>Comparable preparedness patterns have been described in other low-incidence settings in South and Southeast Asia</w:t>
      </w:r>
      <w:r>
        <w:rPr>
          <w:rFonts w:eastAsia="SimSun"/>
          <w:sz w:val="24"/>
          <w:szCs w:val="24"/>
          <w:highlight w:val="yellow"/>
        </w:rPr>
        <w:t>, where confirmatory testing remains centralized and referral logistics shape time-to-confirmation. In these contexts, decentralizing molecular screening with clear escalation to reference laboratories has been used to reduce diagnostic delays while mainta</w:t>
      </w:r>
      <w:r>
        <w:rPr>
          <w:rFonts w:eastAsia="SimSun"/>
          <w:sz w:val="24"/>
          <w:szCs w:val="24"/>
          <w:highlight w:val="yellow"/>
        </w:rPr>
        <w:t>ining biosafety oversight</w:t>
      </w:r>
      <w:r>
        <w:rPr>
          <w:rFonts w:ascii="SimSun" w:eastAsia="SimSun" w:hAnsi="SimSun" w:cs="SimSun"/>
          <w:sz w:val="24"/>
          <w:szCs w:val="24"/>
        </w:rPr>
        <w:t>.</w:t>
      </w:r>
      <w:r>
        <w:rPr>
          <w:sz w:val="24"/>
          <w:szCs w:val="24"/>
        </w:rPr>
        <w:t xml:space="preserve"> Gaps in the operational integration of One Health surveillance further constrain early warning capacity despite documented zoonotic risk.</w:t>
      </w:r>
    </w:p>
    <w:p w:rsidR="00BE553F" w:rsidRDefault="00CD794B">
      <w:pPr>
        <w:spacing w:before="240" w:after="240"/>
        <w:ind w:firstLine="720"/>
        <w:jc w:val="both"/>
        <w:rPr>
          <w:sz w:val="24"/>
          <w:szCs w:val="24"/>
        </w:rPr>
      </w:pPr>
      <w:r>
        <w:rPr>
          <w:sz w:val="24"/>
          <w:szCs w:val="24"/>
        </w:rPr>
        <w:lastRenderedPageBreak/>
        <w:t>Overall, based on a qualitative, benchmark-referenced gap analysis across laboratory diagno</w:t>
      </w:r>
      <w:r>
        <w:rPr>
          <w:sz w:val="24"/>
          <w:szCs w:val="24"/>
        </w:rPr>
        <w:t xml:space="preserve">stics, biosafety systems, and specimen referral networks, the Philippines can be characterized as having intermediate preparedness for </w:t>
      </w:r>
      <w:proofErr w:type="spellStart"/>
      <w:r>
        <w:rPr>
          <w:sz w:val="24"/>
          <w:szCs w:val="24"/>
        </w:rPr>
        <w:t>Nipah</w:t>
      </w:r>
      <w:proofErr w:type="spellEnd"/>
      <w:r>
        <w:rPr>
          <w:sz w:val="24"/>
          <w:szCs w:val="24"/>
        </w:rPr>
        <w:t xml:space="preserve"> virus in a pre-emergence context. Strengthening decentralized laboratory networks, reinforcing biosafety and biosec</w:t>
      </w:r>
      <w:r>
        <w:rPr>
          <w:sz w:val="24"/>
          <w:szCs w:val="24"/>
        </w:rPr>
        <w:t xml:space="preserve">urity systems, and optimizing specimen referral pathways will be essential to improve readiness. Addressing these gaps will not only enhance national capacity to detect and contain </w:t>
      </w:r>
      <w:proofErr w:type="spellStart"/>
      <w:r>
        <w:rPr>
          <w:sz w:val="24"/>
          <w:szCs w:val="24"/>
        </w:rPr>
        <w:t>Nipah</w:t>
      </w:r>
      <w:proofErr w:type="spellEnd"/>
      <w:r>
        <w:rPr>
          <w:sz w:val="24"/>
          <w:szCs w:val="24"/>
        </w:rPr>
        <w:t xml:space="preserve"> virus but will also strengthen preparedness for other emerging zoonot</w:t>
      </w:r>
      <w:r>
        <w:rPr>
          <w:sz w:val="24"/>
          <w:szCs w:val="24"/>
        </w:rPr>
        <w:t xml:space="preserve">ic pathogens with pandemic potential, contributing to broader regional and </w:t>
      </w:r>
      <w:r>
        <w:rPr>
          <w:rFonts w:eastAsia="SimSun"/>
          <w:sz w:val="24"/>
          <w:szCs w:val="24"/>
          <w:highlight w:val="yellow"/>
        </w:rPr>
        <w:t>strengthen national readiness and regional alignment with preparedness expectations for high-consequence zoonoses</w:t>
      </w:r>
      <w:r>
        <w:rPr>
          <w:sz w:val="24"/>
          <w:szCs w:val="24"/>
        </w:rPr>
        <w:t>.</w:t>
      </w:r>
    </w:p>
    <w:p w:rsidR="00BE553F" w:rsidRDefault="00BE553F">
      <w:pPr>
        <w:spacing w:before="240" w:after="240"/>
        <w:jc w:val="both"/>
        <w:rPr>
          <w:sz w:val="24"/>
          <w:szCs w:val="24"/>
        </w:rPr>
      </w:pPr>
    </w:p>
    <w:p w:rsidR="00BE553F" w:rsidRDefault="00CD794B">
      <w:pPr>
        <w:spacing w:before="240" w:after="240"/>
        <w:jc w:val="both"/>
        <w:rPr>
          <w:b/>
          <w:bCs/>
          <w:sz w:val="24"/>
          <w:szCs w:val="24"/>
        </w:rPr>
      </w:pPr>
      <w:r>
        <w:rPr>
          <w:b/>
          <w:bCs/>
          <w:sz w:val="24"/>
          <w:szCs w:val="24"/>
        </w:rPr>
        <w:t>STRENGTHS AND LIMITATIONS</w:t>
      </w:r>
    </w:p>
    <w:p w:rsidR="00BE553F" w:rsidRDefault="00CD794B">
      <w:pPr>
        <w:spacing w:before="240" w:after="240"/>
        <w:ind w:firstLine="720"/>
        <w:jc w:val="both"/>
        <w:rPr>
          <w:sz w:val="24"/>
          <w:szCs w:val="24"/>
        </w:rPr>
      </w:pPr>
      <w:r>
        <w:rPr>
          <w:sz w:val="24"/>
          <w:szCs w:val="24"/>
        </w:rPr>
        <w:t xml:space="preserve">A major strength of this study is its </w:t>
      </w:r>
      <w:r>
        <w:rPr>
          <w:sz w:val="24"/>
          <w:szCs w:val="24"/>
        </w:rPr>
        <w:t>integrated national gap analysis approach, which synthesizes both peer-reviewed academic literature and authoritative operational sources to capture scientific evidence alongside real-world preparedness activities. This dual-stream design allowed assessmen</w:t>
      </w:r>
      <w:r>
        <w:rPr>
          <w:sz w:val="24"/>
          <w:szCs w:val="24"/>
        </w:rPr>
        <w:t>t of laboratory capacity, biosafety systems, and specimen referral networks in a pre-emergence setting where critical preparedness indicators are often documented outside traditional academic publications. The use of PRISMA 2020 guidelines further enhances</w:t>
      </w:r>
      <w:r>
        <w:rPr>
          <w:sz w:val="24"/>
          <w:szCs w:val="24"/>
        </w:rPr>
        <w:t xml:space="preserve"> methodological transparency and reproducibility.</w:t>
      </w:r>
    </w:p>
    <w:p w:rsidR="00BE553F" w:rsidRDefault="00CD794B">
      <w:pPr>
        <w:spacing w:before="240" w:after="240"/>
        <w:ind w:firstLine="720"/>
        <w:jc w:val="both"/>
        <w:rPr>
          <w:sz w:val="24"/>
          <w:szCs w:val="24"/>
        </w:rPr>
      </w:pPr>
      <w:r>
        <w:rPr>
          <w:sz w:val="24"/>
          <w:szCs w:val="24"/>
        </w:rPr>
        <w:t>This study also has limitations. First, the analysis relied on publicly available secondary data, and some operational details, such as laboratory tiering, biosafety audit results, and diagnostic turnaround</w:t>
      </w:r>
      <w:r>
        <w:rPr>
          <w:sz w:val="24"/>
          <w:szCs w:val="24"/>
        </w:rPr>
        <w:t xml:space="preserve"> time metrics, were not consistently reported, limiting the granularity of assessment. Second, heterogeneity in study designs and document types precluded quantitative synthesis or formal risk-of-bias scoring. Finally, reliance on grey literature may intro</w:t>
      </w:r>
      <w:r>
        <w:rPr>
          <w:sz w:val="24"/>
          <w:szCs w:val="24"/>
        </w:rPr>
        <w:t>duce reporting bias; however, this was mitigated by restricting inclusion to materials from recognized government agencies, health institutions, and established media organizations.</w:t>
      </w:r>
    </w:p>
    <w:p w:rsidR="00BE553F" w:rsidRDefault="00CD794B">
      <w:pPr>
        <w:spacing w:before="240" w:after="240"/>
        <w:ind w:firstLine="720"/>
        <w:jc w:val="both"/>
        <w:rPr>
          <w:sz w:val="24"/>
          <w:szCs w:val="24"/>
        </w:rPr>
      </w:pPr>
      <w:r>
        <w:rPr>
          <w:sz w:val="24"/>
          <w:szCs w:val="24"/>
        </w:rPr>
        <w:t>Despite these limitations, the findings provide a solid systems-level asse</w:t>
      </w:r>
      <w:r>
        <w:rPr>
          <w:sz w:val="24"/>
          <w:szCs w:val="24"/>
        </w:rPr>
        <w:t xml:space="preserve">ssment of </w:t>
      </w:r>
      <w:proofErr w:type="spellStart"/>
      <w:r>
        <w:rPr>
          <w:sz w:val="24"/>
          <w:szCs w:val="24"/>
        </w:rPr>
        <w:t>Nipah</w:t>
      </w:r>
      <w:proofErr w:type="spellEnd"/>
      <w:r>
        <w:rPr>
          <w:sz w:val="24"/>
          <w:szCs w:val="24"/>
        </w:rPr>
        <w:t xml:space="preserve"> virus readiness in the Philippines and offer actionable insights to inform national preparedness planning for high-consequence zoonotic diseases.</w:t>
      </w:r>
    </w:p>
    <w:p w:rsidR="00BE553F" w:rsidRDefault="00BE553F">
      <w:pPr>
        <w:spacing w:before="280"/>
        <w:jc w:val="both"/>
        <w:rPr>
          <w:sz w:val="24"/>
          <w:szCs w:val="24"/>
        </w:rPr>
      </w:pPr>
    </w:p>
    <w:p w:rsidR="00BE553F" w:rsidRDefault="00CD794B">
      <w:pPr>
        <w:spacing w:before="280"/>
        <w:jc w:val="both"/>
        <w:rPr>
          <w:b/>
          <w:bCs/>
          <w:sz w:val="24"/>
          <w:szCs w:val="24"/>
        </w:rPr>
      </w:pPr>
      <w:r>
        <w:rPr>
          <w:b/>
          <w:bCs/>
          <w:sz w:val="24"/>
          <w:szCs w:val="24"/>
        </w:rPr>
        <w:t>RECOMMENDATIONS</w:t>
      </w:r>
    </w:p>
    <w:p w:rsidR="00BE553F" w:rsidRDefault="00CD794B">
      <w:pPr>
        <w:spacing w:before="240" w:after="240"/>
        <w:ind w:firstLine="720"/>
        <w:jc w:val="both"/>
        <w:rPr>
          <w:sz w:val="24"/>
          <w:szCs w:val="24"/>
        </w:rPr>
      </w:pPr>
      <w:r>
        <w:rPr>
          <w:sz w:val="24"/>
          <w:szCs w:val="24"/>
        </w:rPr>
        <w:lastRenderedPageBreak/>
        <w:t>Based on the identified gaps in laboratory diagnostic capacity, biosafety and</w:t>
      </w:r>
      <w:r>
        <w:rPr>
          <w:sz w:val="24"/>
          <w:szCs w:val="24"/>
        </w:rPr>
        <w:t xml:space="preserve"> biosecurity systems, and specimen referral networks, the following recommendations are proposed to strengthen </w:t>
      </w:r>
      <w:proofErr w:type="spellStart"/>
      <w:r>
        <w:rPr>
          <w:sz w:val="24"/>
          <w:szCs w:val="24"/>
        </w:rPr>
        <w:t>Nipah</w:t>
      </w:r>
      <w:proofErr w:type="spellEnd"/>
      <w:r>
        <w:rPr>
          <w:sz w:val="24"/>
          <w:szCs w:val="24"/>
        </w:rPr>
        <w:t xml:space="preserve"> virus readiness in the Philippines and enhance preparedness for other high-consequence zoonotic pathogens.</w:t>
      </w:r>
    </w:p>
    <w:p w:rsidR="00BE553F" w:rsidRDefault="00CD794B">
      <w:pPr>
        <w:spacing w:before="240" w:after="240"/>
        <w:ind w:firstLine="720"/>
        <w:jc w:val="both"/>
        <w:rPr>
          <w:sz w:val="24"/>
          <w:szCs w:val="24"/>
        </w:rPr>
      </w:pPr>
      <w:r>
        <w:rPr>
          <w:sz w:val="24"/>
          <w:szCs w:val="24"/>
        </w:rPr>
        <w:t>In the short term, priority shou</w:t>
      </w:r>
      <w:r>
        <w:rPr>
          <w:sz w:val="24"/>
          <w:szCs w:val="24"/>
        </w:rPr>
        <w:t>ld be given to strengthening decentralized diagnostic readiness by expanding access to real-time RT-PCR testing at strategically selected subnational laboratories, particularly in high-risk and geographically isolated regions. Clear national guidance on la</w:t>
      </w:r>
      <w:r>
        <w:rPr>
          <w:sz w:val="24"/>
          <w:szCs w:val="24"/>
        </w:rPr>
        <w:t xml:space="preserve">boratory tiering, referral criteria, and diagnostic escalation pathways for suspected </w:t>
      </w:r>
      <w:proofErr w:type="spellStart"/>
      <w:r>
        <w:rPr>
          <w:sz w:val="24"/>
          <w:szCs w:val="24"/>
        </w:rPr>
        <w:t>Nipah</w:t>
      </w:r>
      <w:proofErr w:type="spellEnd"/>
      <w:r>
        <w:rPr>
          <w:sz w:val="24"/>
          <w:szCs w:val="24"/>
        </w:rPr>
        <w:t xml:space="preserve"> virus cases should be publicly documented and regularly updated. Standardized protocols for specimen packaging, transport, and cold-chain maintenance should be rein</w:t>
      </w:r>
      <w:r>
        <w:rPr>
          <w:sz w:val="24"/>
          <w:szCs w:val="24"/>
        </w:rPr>
        <w:t>forced, with defined turnaround time targets to minimize delays in confirmation. In parallel, routine biosafety refresher training and simulation exercises for healthcare and laboratory personnel should be institutionalized by maximizing existing free or l</w:t>
      </w:r>
      <w:r>
        <w:rPr>
          <w:sz w:val="24"/>
          <w:szCs w:val="24"/>
        </w:rPr>
        <w:t>ow-cost biosafety and biosecurity trainings and workshops offered by national and academic institutions (e.g., university-based public health programs and professional partners), with emphasis on infection prevention and control during suspected high-conse</w:t>
      </w:r>
      <w:r>
        <w:rPr>
          <w:sz w:val="24"/>
          <w:szCs w:val="24"/>
        </w:rPr>
        <w:t>quence pathogen events.</w:t>
      </w:r>
    </w:p>
    <w:p w:rsidR="00BE553F" w:rsidRDefault="00CD794B">
      <w:pPr>
        <w:spacing w:before="240" w:after="240"/>
        <w:ind w:firstLine="720"/>
        <w:jc w:val="both"/>
        <w:rPr>
          <w:sz w:val="24"/>
          <w:szCs w:val="24"/>
        </w:rPr>
      </w:pPr>
      <w:r>
        <w:rPr>
          <w:sz w:val="24"/>
          <w:szCs w:val="24"/>
        </w:rPr>
        <w:t>In the medium term, investments should focus on strengthening biosafety governance and laboratory networking. This includes establishing regular biosafety audits, incident reporting mechanisms, and competency-based certification for</w:t>
      </w:r>
      <w:r>
        <w:rPr>
          <w:sz w:val="24"/>
          <w:szCs w:val="24"/>
        </w:rPr>
        <w:t xml:space="preserve"> personnel handling high-risk specimens. Participation in external quality assurance programs for molecular diagnostics should be expanded and transparently reported. Integration of human, animal, and environmental surveillance data under a functional One </w:t>
      </w:r>
      <w:r>
        <w:rPr>
          <w:sz w:val="24"/>
          <w:szCs w:val="24"/>
        </w:rPr>
        <w:t>Health framework should be enhanced, with formal data-sharing mechanisms between public health, veterinary, and wildlife authorities to support early warning and risk assessment.</w:t>
      </w:r>
    </w:p>
    <w:p w:rsidR="00BE553F" w:rsidRDefault="00CD794B">
      <w:pPr>
        <w:spacing w:before="240" w:after="240"/>
        <w:ind w:firstLine="720"/>
        <w:jc w:val="both"/>
        <w:rPr>
          <w:sz w:val="24"/>
          <w:szCs w:val="24"/>
        </w:rPr>
      </w:pPr>
      <w:r>
        <w:rPr>
          <w:sz w:val="24"/>
          <w:szCs w:val="24"/>
        </w:rPr>
        <w:t>In the long term, national preparedness would benefit from sustained investme</w:t>
      </w:r>
      <w:r>
        <w:rPr>
          <w:sz w:val="24"/>
          <w:szCs w:val="24"/>
        </w:rPr>
        <w:t>nt in resilient laboratory infrastructure, including enhanced BSL-3 capacity where feasible, and contingency planning for surge diagnostic demand during outbreaks. Development of regional reference hubs could reduce reliance on single central facilities an</w:t>
      </w:r>
      <w:r>
        <w:rPr>
          <w:sz w:val="24"/>
          <w:szCs w:val="24"/>
        </w:rPr>
        <w:t>d improve equity in access to diagnostics across the archipelago. Continuous evaluation of specimen referral networks using real-time performance indicators, coupled with climate- and disaster-resilient transport planning, would further strengthen response</w:t>
      </w:r>
      <w:r>
        <w:rPr>
          <w:sz w:val="24"/>
          <w:szCs w:val="24"/>
        </w:rPr>
        <w:t xml:space="preserve"> capacity. Finally, routine national readiness assessments for high-consequence pathogens should be institutionalized and made publicly available to support accountability, continuous improvement, and alignment with International Health Regulations and glo</w:t>
      </w:r>
      <w:r>
        <w:rPr>
          <w:sz w:val="24"/>
          <w:szCs w:val="24"/>
        </w:rPr>
        <w:t>bal health security benchmarks.</w:t>
      </w:r>
    </w:p>
    <w:p w:rsidR="00BE553F" w:rsidRDefault="00CD794B">
      <w:pPr>
        <w:spacing w:before="240" w:after="240"/>
        <w:ind w:firstLine="720"/>
        <w:jc w:val="both"/>
        <w:rPr>
          <w:sz w:val="24"/>
          <w:szCs w:val="24"/>
        </w:rPr>
      </w:pPr>
      <w:r>
        <w:rPr>
          <w:sz w:val="24"/>
          <w:szCs w:val="24"/>
        </w:rPr>
        <w:lastRenderedPageBreak/>
        <w:t xml:space="preserve">Implementing these recommendations would advance the Philippines from intermediate to strengthened preparedness for </w:t>
      </w:r>
      <w:proofErr w:type="spellStart"/>
      <w:r>
        <w:rPr>
          <w:sz w:val="24"/>
          <w:szCs w:val="24"/>
        </w:rPr>
        <w:t>Nipah</w:t>
      </w:r>
      <w:proofErr w:type="spellEnd"/>
      <w:r>
        <w:rPr>
          <w:sz w:val="24"/>
          <w:szCs w:val="24"/>
        </w:rPr>
        <w:t xml:space="preserve"> virus and reinforce national capacity to detect, contain, and respond to emerging zoonotic threats wit</w:t>
      </w:r>
      <w:r>
        <w:rPr>
          <w:sz w:val="24"/>
          <w:szCs w:val="24"/>
        </w:rPr>
        <w:t>h epidemic and pandemic potential.</w:t>
      </w:r>
    </w:p>
    <w:p w:rsidR="00BE553F" w:rsidRDefault="00BE553F">
      <w:pPr>
        <w:spacing w:before="240" w:after="240"/>
        <w:ind w:firstLine="720"/>
        <w:jc w:val="both"/>
        <w:rPr>
          <w:sz w:val="24"/>
          <w:szCs w:val="24"/>
        </w:rPr>
      </w:pPr>
    </w:p>
    <w:p w:rsidR="00BE553F" w:rsidRDefault="00CD794B">
      <w:pPr>
        <w:pStyle w:val="NoSpacing"/>
        <w:rPr>
          <w:rFonts w:ascii="Arial" w:hAnsi="Arial" w:cs="Arial"/>
          <w:highlight w:val="yellow"/>
        </w:rPr>
      </w:pPr>
      <w:bookmarkStart w:id="2" w:name="_Hlk219284361"/>
      <w:bookmarkStart w:id="3" w:name="_Hlk198031404"/>
      <w:r>
        <w:rPr>
          <w:rFonts w:ascii="Arial" w:hAnsi="Arial" w:cs="Arial"/>
          <w:highlight w:val="yellow"/>
        </w:rPr>
        <w:t>Disclaimer (Artificial intelligence)</w:t>
      </w:r>
    </w:p>
    <w:p w:rsidR="00BE553F" w:rsidRDefault="00BE553F">
      <w:pPr>
        <w:pStyle w:val="NoSpacing"/>
        <w:rPr>
          <w:rFonts w:ascii="Arial" w:hAnsi="Arial" w:cs="Arial"/>
          <w:highlight w:val="yellow"/>
        </w:rPr>
      </w:pPr>
    </w:p>
    <w:p w:rsidR="00BE553F" w:rsidRDefault="00CD794B">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COPILOT, etc.) and text-to-image generators have been used during the writing or e</w:t>
      </w:r>
      <w:r>
        <w:rPr>
          <w:rFonts w:ascii="Arial" w:hAnsi="Arial" w:cs="Arial"/>
          <w:highlight w:val="yellow"/>
        </w:rPr>
        <w:t>diting of this manuscript</w:t>
      </w:r>
      <w:bookmarkEnd w:id="2"/>
      <w:r>
        <w:rPr>
          <w:rFonts w:ascii="Arial" w:hAnsi="Arial" w:cs="Arial"/>
          <w:highlight w:val="yellow"/>
        </w:rPr>
        <w:t xml:space="preserve">. </w:t>
      </w:r>
    </w:p>
    <w:bookmarkEnd w:id="3"/>
    <w:p w:rsidR="00BE553F" w:rsidRDefault="00BE553F">
      <w:pPr>
        <w:spacing w:before="240" w:after="240"/>
        <w:ind w:firstLine="720"/>
        <w:jc w:val="both"/>
        <w:rPr>
          <w:sz w:val="24"/>
          <w:szCs w:val="24"/>
        </w:rPr>
      </w:pPr>
    </w:p>
    <w:p w:rsidR="00BE553F" w:rsidRDefault="00CD794B">
      <w:pPr>
        <w:spacing w:after="80"/>
        <w:jc w:val="both"/>
        <w:rPr>
          <w:b/>
          <w:bCs/>
          <w:sz w:val="24"/>
          <w:szCs w:val="24"/>
        </w:rPr>
      </w:pPr>
      <w:r>
        <w:rPr>
          <w:b/>
          <w:bCs/>
          <w:sz w:val="24"/>
          <w:szCs w:val="24"/>
        </w:rPr>
        <w:t>REFERENCES</w:t>
      </w:r>
    </w:p>
    <w:p w:rsidR="00BE553F" w:rsidRDefault="00CD794B">
      <w:pPr>
        <w:spacing w:before="240" w:after="240"/>
        <w:ind w:left="720"/>
        <w:jc w:val="both"/>
        <w:rPr>
          <w:sz w:val="24"/>
          <w:szCs w:val="24"/>
        </w:rPr>
      </w:pPr>
      <w:r>
        <w:rPr>
          <w:rFonts w:ascii="Segoe UI" w:eastAsia="Segoe UI" w:hAnsi="Segoe UI" w:cs="Segoe UI"/>
          <w:color w:val="212121"/>
          <w:sz w:val="24"/>
          <w:szCs w:val="24"/>
          <w:shd w:val="clear" w:color="auto" w:fill="FFFFFF"/>
        </w:rPr>
        <w:t xml:space="preserve">Ang, B. S. P., Lim, T. C. C., &amp; Wang, L. (2018). </w:t>
      </w:r>
      <w:proofErr w:type="spellStart"/>
      <w:r>
        <w:rPr>
          <w:rFonts w:ascii="Segoe UI" w:eastAsia="Segoe UI" w:hAnsi="Segoe UI" w:cs="Segoe UI"/>
          <w:color w:val="212121"/>
          <w:sz w:val="24"/>
          <w:szCs w:val="24"/>
          <w:shd w:val="clear" w:color="auto" w:fill="FFFFFF"/>
        </w:rPr>
        <w:t>Nipah</w:t>
      </w:r>
      <w:proofErr w:type="spellEnd"/>
      <w:r>
        <w:rPr>
          <w:rFonts w:ascii="Segoe UI" w:eastAsia="Segoe UI" w:hAnsi="Segoe UI" w:cs="Segoe UI"/>
          <w:color w:val="212121"/>
          <w:sz w:val="24"/>
          <w:szCs w:val="24"/>
          <w:shd w:val="clear" w:color="auto" w:fill="FFFFFF"/>
        </w:rPr>
        <w:t xml:space="preserve"> Virus Infection.</w:t>
      </w:r>
      <w:r>
        <w:rPr>
          <w:rFonts w:ascii="Segoe UI" w:eastAsia="Segoe UI" w:hAnsi="Segoe UI" w:cs="Segoe UI"/>
          <w:color w:val="212121"/>
          <w:sz w:val="24"/>
          <w:szCs w:val="24"/>
          <w:shd w:val="clear" w:color="auto" w:fill="FFFFFF"/>
        </w:rPr>
        <w:t> </w:t>
      </w:r>
      <w:r>
        <w:rPr>
          <w:rFonts w:ascii="Segoe UI" w:eastAsia="Segoe UI" w:hAnsi="Segoe UI" w:cs="Segoe UI"/>
          <w:i/>
          <w:iCs/>
          <w:color w:val="212121"/>
          <w:sz w:val="24"/>
          <w:szCs w:val="24"/>
          <w:shd w:val="clear" w:color="auto" w:fill="FFFFFF"/>
        </w:rPr>
        <w:t>Journal of clinical microbiology</w:t>
      </w:r>
      <w:r>
        <w:rPr>
          <w:rFonts w:ascii="Segoe UI" w:eastAsia="Segoe UI" w:hAnsi="Segoe UI" w:cs="Segoe UI"/>
          <w:color w:val="212121"/>
          <w:sz w:val="24"/>
          <w:szCs w:val="24"/>
          <w:shd w:val="clear" w:color="auto" w:fill="FFFFFF"/>
        </w:rPr>
        <w:t>, </w:t>
      </w:r>
      <w:r>
        <w:rPr>
          <w:rFonts w:ascii="Segoe UI" w:eastAsia="Segoe UI" w:hAnsi="Segoe UI" w:cs="Segoe UI"/>
          <w:i/>
          <w:iCs/>
          <w:color w:val="212121"/>
          <w:sz w:val="24"/>
          <w:szCs w:val="24"/>
          <w:shd w:val="clear" w:color="auto" w:fill="FFFFFF"/>
        </w:rPr>
        <w:t>56</w:t>
      </w:r>
      <w:r>
        <w:rPr>
          <w:rFonts w:ascii="Segoe UI" w:eastAsia="Segoe UI" w:hAnsi="Segoe UI" w:cs="Segoe UI"/>
          <w:color w:val="212121"/>
          <w:sz w:val="24"/>
          <w:szCs w:val="24"/>
          <w:shd w:val="clear" w:color="auto" w:fill="FFFFFF"/>
        </w:rPr>
        <w:t>(6), e01875-17.</w:t>
      </w:r>
      <w:r>
        <w:rPr>
          <w:rFonts w:ascii="Segoe UI" w:eastAsia="Segoe UI" w:hAnsi="Segoe UI" w:cs="Segoe UI"/>
          <w:color w:val="212121"/>
          <w:sz w:val="24"/>
          <w:szCs w:val="24"/>
          <w:highlight w:val="yellow"/>
          <w:shd w:val="clear" w:color="auto" w:fill="FFFFFF"/>
        </w:rPr>
        <w:t xml:space="preserve"> </w:t>
      </w:r>
      <w:hyperlink r:id="rId8" w:history="1">
        <w:r>
          <w:rPr>
            <w:rStyle w:val="Hyperlink"/>
            <w:rFonts w:ascii="Segoe UI" w:eastAsia="Segoe UI" w:hAnsi="Segoe UI" w:cs="Segoe UI"/>
            <w:sz w:val="24"/>
            <w:szCs w:val="24"/>
            <w:highlight w:val="yellow"/>
            <w:shd w:val="clear" w:color="auto" w:fill="FFFFFF"/>
          </w:rPr>
          <w:t>https://doi.org/10.1128/JCM.01875-17</w:t>
        </w:r>
        <w:r>
          <w:rPr>
            <w:rStyle w:val="Hyperlink"/>
            <w:rFonts w:ascii="Segoe UI" w:eastAsia="Segoe UI" w:hAnsi="Segoe UI" w:cs="Segoe UI"/>
            <w:sz w:val="24"/>
            <w:szCs w:val="24"/>
            <w:highlight w:val="yellow"/>
            <w:shd w:val="clear" w:color="auto" w:fill="FFFFFF"/>
          </w:rPr>
          <w:br/>
        </w:r>
      </w:hyperlink>
      <w:r>
        <w:rPr>
          <w:rFonts w:ascii="Segoe UI" w:eastAsia="Segoe UI" w:hAnsi="Segoe UI" w:cs="Segoe UI"/>
          <w:color w:val="212121"/>
          <w:sz w:val="24"/>
          <w:szCs w:val="24"/>
          <w:shd w:val="clear" w:color="auto" w:fill="FFFFFF"/>
        </w:rPr>
        <w:br/>
      </w:r>
      <w:proofErr w:type="spellStart"/>
      <w:r>
        <w:rPr>
          <w:sz w:val="24"/>
          <w:szCs w:val="24"/>
        </w:rPr>
        <w:t>Artika</w:t>
      </w:r>
      <w:proofErr w:type="spellEnd"/>
      <w:r>
        <w:rPr>
          <w:sz w:val="24"/>
          <w:szCs w:val="24"/>
        </w:rPr>
        <w:t xml:space="preserve"> IM, </w:t>
      </w:r>
      <w:proofErr w:type="spellStart"/>
      <w:r>
        <w:rPr>
          <w:sz w:val="24"/>
          <w:szCs w:val="24"/>
        </w:rPr>
        <w:t>Ma'roef</w:t>
      </w:r>
      <w:proofErr w:type="spellEnd"/>
      <w:r>
        <w:rPr>
          <w:sz w:val="24"/>
          <w:szCs w:val="24"/>
        </w:rPr>
        <w:t xml:space="preserve"> CN. Laboratory biosafety for handling emerging viruses. Asian Pac J Trop Biomed. 2017 May;7(5):483-491. </w:t>
      </w:r>
      <w:proofErr w:type="spellStart"/>
      <w:r>
        <w:rPr>
          <w:sz w:val="24"/>
          <w:szCs w:val="24"/>
        </w:rPr>
        <w:t>doi</w:t>
      </w:r>
      <w:proofErr w:type="spellEnd"/>
      <w:r>
        <w:rPr>
          <w:sz w:val="24"/>
          <w:szCs w:val="24"/>
        </w:rPr>
        <w:t xml:space="preserve">: 10.1016/j.apjtb.2017.01.020. </w:t>
      </w:r>
      <w:proofErr w:type="spellStart"/>
      <w:r>
        <w:rPr>
          <w:sz w:val="24"/>
          <w:szCs w:val="24"/>
        </w:rPr>
        <w:t>Epub</w:t>
      </w:r>
      <w:proofErr w:type="spellEnd"/>
      <w:r>
        <w:rPr>
          <w:sz w:val="24"/>
          <w:szCs w:val="24"/>
        </w:rPr>
        <w:t xml:space="preserve"> 2017 Jan 7. PMID: 32289025; PMCID: PMC7103938.</w:t>
      </w:r>
    </w:p>
    <w:p w:rsidR="00BE553F" w:rsidRDefault="00CD794B">
      <w:pPr>
        <w:spacing w:before="240" w:after="240"/>
        <w:ind w:left="720"/>
        <w:jc w:val="both"/>
        <w:rPr>
          <w:sz w:val="24"/>
          <w:szCs w:val="24"/>
        </w:rPr>
      </w:pPr>
      <w:proofErr w:type="spellStart"/>
      <w:r>
        <w:rPr>
          <w:sz w:val="24"/>
          <w:szCs w:val="24"/>
        </w:rPr>
        <w:t>Arunkumar</w:t>
      </w:r>
      <w:proofErr w:type="spellEnd"/>
      <w:r>
        <w:rPr>
          <w:sz w:val="24"/>
          <w:szCs w:val="24"/>
        </w:rPr>
        <w:t xml:space="preserve"> G, Chandni R, </w:t>
      </w:r>
      <w:proofErr w:type="spellStart"/>
      <w:r>
        <w:rPr>
          <w:sz w:val="24"/>
          <w:szCs w:val="24"/>
        </w:rPr>
        <w:t>Mourya</w:t>
      </w:r>
      <w:proofErr w:type="spellEnd"/>
      <w:r>
        <w:rPr>
          <w:sz w:val="24"/>
          <w:szCs w:val="24"/>
        </w:rPr>
        <w:t xml:space="preserve"> DT, Singh SK, </w:t>
      </w:r>
      <w:proofErr w:type="spellStart"/>
      <w:r>
        <w:rPr>
          <w:sz w:val="24"/>
          <w:szCs w:val="24"/>
        </w:rPr>
        <w:t>Sa</w:t>
      </w:r>
      <w:r>
        <w:rPr>
          <w:sz w:val="24"/>
          <w:szCs w:val="24"/>
        </w:rPr>
        <w:t>danandan</w:t>
      </w:r>
      <w:proofErr w:type="spellEnd"/>
      <w:r>
        <w:rPr>
          <w:sz w:val="24"/>
          <w:szCs w:val="24"/>
        </w:rPr>
        <w:t xml:space="preserve"> R, Sudan P, Bhargava B; </w:t>
      </w:r>
      <w:proofErr w:type="spellStart"/>
      <w:r>
        <w:rPr>
          <w:sz w:val="24"/>
          <w:szCs w:val="24"/>
        </w:rPr>
        <w:t>Nipah</w:t>
      </w:r>
      <w:proofErr w:type="spellEnd"/>
      <w:r>
        <w:rPr>
          <w:sz w:val="24"/>
          <w:szCs w:val="24"/>
        </w:rPr>
        <w:t xml:space="preserve"> Investigators People and Health Study Group. Outbreak Investigation of </w:t>
      </w:r>
      <w:proofErr w:type="spellStart"/>
      <w:r>
        <w:rPr>
          <w:sz w:val="24"/>
          <w:szCs w:val="24"/>
        </w:rPr>
        <w:t>Nipah</w:t>
      </w:r>
      <w:proofErr w:type="spellEnd"/>
      <w:r>
        <w:rPr>
          <w:sz w:val="24"/>
          <w:szCs w:val="24"/>
        </w:rPr>
        <w:t xml:space="preserve"> Virus Disease in Kerala, India, 2018. J Infect Dis. 2019 May 24;219(12):1867-1878. </w:t>
      </w:r>
      <w:proofErr w:type="spellStart"/>
      <w:r>
        <w:rPr>
          <w:sz w:val="24"/>
          <w:szCs w:val="24"/>
        </w:rPr>
        <w:t>doi</w:t>
      </w:r>
      <w:proofErr w:type="spellEnd"/>
      <w:r>
        <w:rPr>
          <w:sz w:val="24"/>
          <w:szCs w:val="24"/>
        </w:rPr>
        <w:t>: 10.1093/</w:t>
      </w:r>
      <w:proofErr w:type="spellStart"/>
      <w:r>
        <w:rPr>
          <w:sz w:val="24"/>
          <w:szCs w:val="24"/>
        </w:rPr>
        <w:t>infdis</w:t>
      </w:r>
      <w:proofErr w:type="spellEnd"/>
      <w:r>
        <w:rPr>
          <w:sz w:val="24"/>
          <w:szCs w:val="24"/>
        </w:rPr>
        <w:t>/jiy612. PMID: 30364984.</w:t>
      </w:r>
    </w:p>
    <w:p w:rsidR="00BE553F" w:rsidRDefault="00CD794B">
      <w:pPr>
        <w:spacing w:before="240" w:after="240"/>
        <w:ind w:left="720"/>
        <w:jc w:val="both"/>
        <w:rPr>
          <w:sz w:val="24"/>
          <w:szCs w:val="24"/>
        </w:rPr>
      </w:pPr>
      <w:r>
        <w:rPr>
          <w:sz w:val="24"/>
          <w:szCs w:val="24"/>
        </w:rPr>
        <w:t>Borges, C. d.</w:t>
      </w:r>
      <w:r>
        <w:rPr>
          <w:sz w:val="24"/>
          <w:szCs w:val="24"/>
        </w:rPr>
        <w:t xml:space="preserve"> S. C., Gonçalves, A. M., Rodrigues, F. A., Lima, T. d. S., </w:t>
      </w:r>
      <w:proofErr w:type="spellStart"/>
      <w:r>
        <w:rPr>
          <w:sz w:val="24"/>
          <w:szCs w:val="24"/>
        </w:rPr>
        <w:t>Nastri</w:t>
      </w:r>
      <w:proofErr w:type="spellEnd"/>
      <w:r>
        <w:rPr>
          <w:sz w:val="24"/>
          <w:szCs w:val="24"/>
        </w:rPr>
        <w:t xml:space="preserve">, A. C. S., Alves, V. A. F., Sotto, M. N., </w:t>
      </w:r>
      <w:proofErr w:type="spellStart"/>
      <w:r>
        <w:rPr>
          <w:sz w:val="24"/>
          <w:szCs w:val="24"/>
        </w:rPr>
        <w:t>Mauad</w:t>
      </w:r>
      <w:proofErr w:type="spellEnd"/>
      <w:r>
        <w:rPr>
          <w:sz w:val="24"/>
          <w:szCs w:val="24"/>
        </w:rPr>
        <w:t xml:space="preserve">, T., Tan, S. H., </w:t>
      </w:r>
      <w:proofErr w:type="spellStart"/>
      <w:r>
        <w:rPr>
          <w:sz w:val="24"/>
          <w:szCs w:val="24"/>
        </w:rPr>
        <w:t>Saldiva</w:t>
      </w:r>
      <w:proofErr w:type="spellEnd"/>
      <w:r>
        <w:rPr>
          <w:sz w:val="24"/>
          <w:szCs w:val="24"/>
        </w:rPr>
        <w:t xml:space="preserve">, P. H. N., Silva, L. F. F., Wong, K. T., </w:t>
      </w:r>
      <w:proofErr w:type="spellStart"/>
      <w:r>
        <w:rPr>
          <w:sz w:val="24"/>
          <w:szCs w:val="24"/>
        </w:rPr>
        <w:t>Dolhnikoff</w:t>
      </w:r>
      <w:proofErr w:type="spellEnd"/>
      <w:r>
        <w:rPr>
          <w:sz w:val="24"/>
          <w:szCs w:val="24"/>
        </w:rPr>
        <w:t>, M., &amp; Duarte-</w:t>
      </w:r>
      <w:proofErr w:type="spellStart"/>
      <w:r>
        <w:rPr>
          <w:sz w:val="24"/>
          <w:szCs w:val="24"/>
        </w:rPr>
        <w:t>Neto</w:t>
      </w:r>
      <w:proofErr w:type="spellEnd"/>
      <w:r>
        <w:rPr>
          <w:sz w:val="24"/>
          <w:szCs w:val="24"/>
        </w:rPr>
        <w:t xml:space="preserve">, A. N. (2025). </w:t>
      </w:r>
      <w:proofErr w:type="spellStart"/>
      <w:r>
        <w:rPr>
          <w:sz w:val="24"/>
          <w:szCs w:val="24"/>
        </w:rPr>
        <w:t>Nipah</w:t>
      </w:r>
      <w:proofErr w:type="spellEnd"/>
      <w:r>
        <w:rPr>
          <w:sz w:val="24"/>
          <w:szCs w:val="24"/>
        </w:rPr>
        <w:t xml:space="preserve"> virus infection: Prepare</w:t>
      </w:r>
      <w:r>
        <w:rPr>
          <w:sz w:val="24"/>
          <w:szCs w:val="24"/>
        </w:rPr>
        <w:t xml:space="preserve">dness for the pathological diagnosis of an emerging </w:t>
      </w:r>
      <w:proofErr w:type="spellStart"/>
      <w:r>
        <w:rPr>
          <w:i/>
          <w:iCs/>
          <w:sz w:val="24"/>
          <w:szCs w:val="24"/>
        </w:rPr>
        <w:t>Paramyxoviridae</w:t>
      </w:r>
      <w:proofErr w:type="spellEnd"/>
      <w:r>
        <w:rPr>
          <w:sz w:val="24"/>
          <w:szCs w:val="24"/>
        </w:rPr>
        <w:t xml:space="preserve"> disease with epidemic potential. </w:t>
      </w:r>
      <w:proofErr w:type="spellStart"/>
      <w:r>
        <w:rPr>
          <w:i/>
          <w:iCs/>
          <w:sz w:val="24"/>
          <w:szCs w:val="24"/>
        </w:rPr>
        <w:t>Revista</w:t>
      </w:r>
      <w:proofErr w:type="spellEnd"/>
      <w:r>
        <w:rPr>
          <w:i/>
          <w:iCs/>
          <w:sz w:val="24"/>
          <w:szCs w:val="24"/>
        </w:rPr>
        <w:t xml:space="preserve"> do Instituto de </w:t>
      </w:r>
      <w:proofErr w:type="spellStart"/>
      <w:r>
        <w:rPr>
          <w:i/>
          <w:iCs/>
          <w:sz w:val="24"/>
          <w:szCs w:val="24"/>
        </w:rPr>
        <w:t>Medicina</w:t>
      </w:r>
      <w:proofErr w:type="spellEnd"/>
      <w:r>
        <w:rPr>
          <w:i/>
          <w:iCs/>
          <w:sz w:val="24"/>
          <w:szCs w:val="24"/>
        </w:rPr>
        <w:t xml:space="preserve"> Tropical de São Paulo, 67</w:t>
      </w:r>
      <w:r>
        <w:rPr>
          <w:sz w:val="24"/>
          <w:szCs w:val="24"/>
        </w:rPr>
        <w:t>, e40. https://doi.org/10.1590/S1678-9946202567040.</w:t>
      </w:r>
    </w:p>
    <w:p w:rsidR="00BE553F" w:rsidRDefault="00CD794B">
      <w:pPr>
        <w:spacing w:before="240" w:after="240"/>
        <w:ind w:left="720"/>
        <w:jc w:val="both"/>
        <w:rPr>
          <w:sz w:val="24"/>
          <w:szCs w:val="24"/>
        </w:rPr>
      </w:pPr>
      <w:proofErr w:type="spellStart"/>
      <w:r>
        <w:rPr>
          <w:sz w:val="24"/>
          <w:szCs w:val="24"/>
        </w:rPr>
        <w:t>Bosano</w:t>
      </w:r>
      <w:proofErr w:type="spellEnd"/>
      <w:r>
        <w:rPr>
          <w:sz w:val="24"/>
          <w:szCs w:val="24"/>
        </w:rPr>
        <w:t xml:space="preserve">, R. (2026, January 29). What are the symptoms of </w:t>
      </w:r>
      <w:proofErr w:type="spellStart"/>
      <w:r>
        <w:rPr>
          <w:sz w:val="24"/>
          <w:szCs w:val="24"/>
        </w:rPr>
        <w:t>Nipah</w:t>
      </w:r>
      <w:proofErr w:type="spellEnd"/>
      <w:r>
        <w:rPr>
          <w:sz w:val="24"/>
          <w:szCs w:val="24"/>
        </w:rPr>
        <w:t xml:space="preserve"> virus and how </w:t>
      </w:r>
      <w:r>
        <w:rPr>
          <w:sz w:val="24"/>
          <w:szCs w:val="24"/>
        </w:rPr>
        <w:t xml:space="preserve">can you protect yourself from it? </w:t>
      </w:r>
      <w:r>
        <w:rPr>
          <w:i/>
          <w:iCs/>
          <w:sz w:val="24"/>
          <w:szCs w:val="24"/>
        </w:rPr>
        <w:t>ABS-CBN News.</w:t>
      </w:r>
      <w:r>
        <w:rPr>
          <w:sz w:val="24"/>
          <w:szCs w:val="24"/>
        </w:rPr>
        <w:t xml:space="preserve"> </w:t>
      </w:r>
      <w:hyperlink r:id="rId9" w:history="1">
        <w:r>
          <w:rPr>
            <w:rStyle w:val="Hyperlink"/>
            <w:color w:val="auto"/>
            <w:sz w:val="24"/>
            <w:szCs w:val="24"/>
            <w:highlight w:val="yellow"/>
          </w:rPr>
          <w:t>https://www.abs-cbn.com/news/health-science/2026/1/29/what-are-symptoms-of-nipah-virus-and-how-can-you-protect-yourself-from-it-1548</w:t>
        </w:r>
      </w:hyperlink>
    </w:p>
    <w:p w:rsidR="00BE553F" w:rsidRDefault="00BE553F">
      <w:pPr>
        <w:spacing w:before="240" w:after="240"/>
        <w:ind w:left="720"/>
        <w:jc w:val="both"/>
        <w:rPr>
          <w:sz w:val="24"/>
          <w:szCs w:val="24"/>
        </w:rPr>
      </w:pPr>
    </w:p>
    <w:p w:rsidR="00BE553F" w:rsidRDefault="00CD794B">
      <w:pPr>
        <w:spacing w:before="240" w:after="240"/>
        <w:ind w:left="720"/>
        <w:jc w:val="both"/>
        <w:rPr>
          <w:sz w:val="24"/>
          <w:szCs w:val="24"/>
          <w:lang w:val="en-US"/>
        </w:rPr>
      </w:pPr>
      <w:r>
        <w:rPr>
          <w:sz w:val="24"/>
          <w:szCs w:val="24"/>
        </w:rPr>
        <w:lastRenderedPageBreak/>
        <w:t xml:space="preserve">Centers for Disease Control and Prevention. (2023). </w:t>
      </w:r>
      <w:proofErr w:type="spellStart"/>
      <w:r>
        <w:rPr>
          <w:i/>
          <w:iCs/>
          <w:sz w:val="24"/>
          <w:szCs w:val="24"/>
        </w:rPr>
        <w:t>Nipah</w:t>
      </w:r>
      <w:proofErr w:type="spellEnd"/>
      <w:r>
        <w:rPr>
          <w:i/>
          <w:iCs/>
          <w:sz w:val="24"/>
          <w:szCs w:val="24"/>
        </w:rPr>
        <w:t xml:space="preserve"> virus (</w:t>
      </w:r>
      <w:proofErr w:type="spellStart"/>
      <w:r>
        <w:rPr>
          <w:i/>
          <w:iCs/>
          <w:sz w:val="24"/>
          <w:szCs w:val="24"/>
        </w:rPr>
        <w:t>NiV</w:t>
      </w:r>
      <w:proofErr w:type="spellEnd"/>
      <w:r>
        <w:rPr>
          <w:i/>
          <w:iCs/>
          <w:sz w:val="24"/>
          <w:szCs w:val="24"/>
        </w:rPr>
        <w:t>)</w:t>
      </w:r>
      <w:r>
        <w:rPr>
          <w:sz w:val="24"/>
          <w:szCs w:val="24"/>
        </w:rPr>
        <w:t>. CDC.</w:t>
      </w:r>
      <w:r>
        <w:rPr>
          <w:sz w:val="24"/>
          <w:szCs w:val="24"/>
          <w:lang w:val="en-US"/>
        </w:rPr>
        <w:t xml:space="preserve"> </w:t>
      </w:r>
      <w:r>
        <w:rPr>
          <w:sz w:val="24"/>
          <w:szCs w:val="24"/>
          <w:highlight w:val="yellow"/>
          <w:lang w:val="en-US"/>
        </w:rPr>
        <w:t>https://www.cdc.gov/nipah-vir</w:t>
      </w:r>
      <w:r>
        <w:rPr>
          <w:sz w:val="24"/>
          <w:szCs w:val="24"/>
          <w:highlight w:val="yellow"/>
          <w:lang w:val="en-US"/>
        </w:rPr>
        <w:t>us/hcp/clinical-overview/index.html</w:t>
      </w:r>
    </w:p>
    <w:p w:rsidR="00BE553F" w:rsidRDefault="00CD794B">
      <w:pPr>
        <w:spacing w:before="240" w:after="240"/>
        <w:ind w:left="720"/>
        <w:jc w:val="both"/>
        <w:rPr>
          <w:sz w:val="24"/>
          <w:szCs w:val="24"/>
        </w:rPr>
      </w:pPr>
      <w:r>
        <w:rPr>
          <w:sz w:val="24"/>
          <w:szCs w:val="24"/>
        </w:rPr>
        <w:t xml:space="preserve">Chan, J., Levine, C. B., </w:t>
      </w:r>
      <w:proofErr w:type="spellStart"/>
      <w:r>
        <w:rPr>
          <w:sz w:val="24"/>
          <w:szCs w:val="24"/>
        </w:rPr>
        <w:t>Herstein</w:t>
      </w:r>
      <w:proofErr w:type="spellEnd"/>
      <w:r>
        <w:rPr>
          <w:sz w:val="24"/>
          <w:szCs w:val="24"/>
        </w:rPr>
        <w:t xml:space="preserve">, J. J., Cloutier, N., Sauer, L., Mehta, A. K....Evans, J. (2025). Preparedness and Response Considerations for High-Consequence Infectious Disease. </w:t>
      </w:r>
      <w:r>
        <w:rPr>
          <w:i/>
          <w:iCs/>
          <w:sz w:val="24"/>
          <w:szCs w:val="24"/>
        </w:rPr>
        <w:t>Emerging Infectious Diseases</w:t>
      </w:r>
      <w:r>
        <w:rPr>
          <w:sz w:val="24"/>
          <w:szCs w:val="24"/>
        </w:rPr>
        <w:t xml:space="preserve">, </w:t>
      </w:r>
      <w:r>
        <w:rPr>
          <w:i/>
          <w:iCs/>
          <w:sz w:val="24"/>
          <w:szCs w:val="24"/>
        </w:rPr>
        <w:t>31</w:t>
      </w:r>
      <w:r>
        <w:rPr>
          <w:sz w:val="24"/>
          <w:szCs w:val="24"/>
        </w:rPr>
        <w:t>(8), 1</w:t>
      </w:r>
      <w:r>
        <w:rPr>
          <w:sz w:val="24"/>
          <w:szCs w:val="24"/>
        </w:rPr>
        <w:t>507-1515. https://doi.org/10.3201/eid3108.250313.</w:t>
      </w:r>
    </w:p>
    <w:p w:rsidR="00BE553F" w:rsidRDefault="00CD794B">
      <w:pPr>
        <w:spacing w:before="240" w:after="240"/>
        <w:ind w:left="720"/>
        <w:jc w:val="both"/>
        <w:rPr>
          <w:sz w:val="24"/>
          <w:szCs w:val="24"/>
        </w:rPr>
      </w:pPr>
      <w:r>
        <w:rPr>
          <w:sz w:val="24"/>
          <w:szCs w:val="24"/>
        </w:rPr>
        <w:t xml:space="preserve">Clayton BA. </w:t>
      </w:r>
      <w:proofErr w:type="spellStart"/>
      <w:r>
        <w:rPr>
          <w:sz w:val="24"/>
          <w:szCs w:val="24"/>
        </w:rPr>
        <w:t>Nipah</w:t>
      </w:r>
      <w:proofErr w:type="spellEnd"/>
      <w:r>
        <w:rPr>
          <w:sz w:val="24"/>
          <w:szCs w:val="24"/>
        </w:rPr>
        <w:t xml:space="preserve"> virus: transmission of a zoonotic paramyxovirus. </w:t>
      </w:r>
      <w:proofErr w:type="spellStart"/>
      <w:r>
        <w:rPr>
          <w:sz w:val="24"/>
          <w:szCs w:val="24"/>
        </w:rPr>
        <w:t>Curr</w:t>
      </w:r>
      <w:proofErr w:type="spellEnd"/>
      <w:r>
        <w:rPr>
          <w:sz w:val="24"/>
          <w:szCs w:val="24"/>
        </w:rPr>
        <w:t xml:space="preserve"> </w:t>
      </w:r>
      <w:proofErr w:type="spellStart"/>
      <w:r>
        <w:rPr>
          <w:sz w:val="24"/>
          <w:szCs w:val="24"/>
        </w:rPr>
        <w:t>Opin</w:t>
      </w:r>
      <w:proofErr w:type="spellEnd"/>
      <w:r>
        <w:rPr>
          <w:sz w:val="24"/>
          <w:szCs w:val="24"/>
        </w:rPr>
        <w:t xml:space="preserve"> </w:t>
      </w:r>
      <w:proofErr w:type="spellStart"/>
      <w:r>
        <w:rPr>
          <w:sz w:val="24"/>
          <w:szCs w:val="24"/>
        </w:rPr>
        <w:t>Virol</w:t>
      </w:r>
      <w:proofErr w:type="spellEnd"/>
      <w:r>
        <w:rPr>
          <w:sz w:val="24"/>
          <w:szCs w:val="24"/>
        </w:rPr>
        <w:t xml:space="preserve">. 2017 </w:t>
      </w:r>
      <w:proofErr w:type="gramStart"/>
      <w:r>
        <w:rPr>
          <w:sz w:val="24"/>
          <w:szCs w:val="24"/>
        </w:rPr>
        <w:t>Feb;22:97</w:t>
      </w:r>
      <w:proofErr w:type="gramEnd"/>
      <w:r>
        <w:rPr>
          <w:sz w:val="24"/>
          <w:szCs w:val="24"/>
        </w:rPr>
        <w:t xml:space="preserve">-104. </w:t>
      </w:r>
      <w:proofErr w:type="spellStart"/>
      <w:r>
        <w:rPr>
          <w:sz w:val="24"/>
          <w:szCs w:val="24"/>
        </w:rPr>
        <w:t>doi</w:t>
      </w:r>
      <w:proofErr w:type="spellEnd"/>
      <w:r>
        <w:rPr>
          <w:sz w:val="24"/>
          <w:szCs w:val="24"/>
        </w:rPr>
        <w:t xml:space="preserve">: 10.1016/j.coviro.2016.12.003. </w:t>
      </w:r>
      <w:proofErr w:type="spellStart"/>
      <w:r>
        <w:rPr>
          <w:sz w:val="24"/>
          <w:szCs w:val="24"/>
        </w:rPr>
        <w:t>Epub</w:t>
      </w:r>
      <w:proofErr w:type="spellEnd"/>
      <w:r>
        <w:rPr>
          <w:sz w:val="24"/>
          <w:szCs w:val="24"/>
        </w:rPr>
        <w:t xml:space="preserve"> 2017 Jan 11. PMID: 28088124.</w:t>
      </w:r>
    </w:p>
    <w:p w:rsidR="00BE553F" w:rsidRDefault="00CD794B">
      <w:pPr>
        <w:spacing w:before="240" w:after="240"/>
        <w:ind w:left="720"/>
        <w:jc w:val="both"/>
        <w:rPr>
          <w:sz w:val="24"/>
          <w:szCs w:val="24"/>
        </w:rPr>
      </w:pPr>
      <w:r>
        <w:rPr>
          <w:sz w:val="24"/>
          <w:szCs w:val="24"/>
        </w:rPr>
        <w:t xml:space="preserve">Ching, P. G., de los Reyes, V., </w:t>
      </w:r>
      <w:proofErr w:type="spellStart"/>
      <w:r>
        <w:rPr>
          <w:sz w:val="24"/>
          <w:szCs w:val="24"/>
        </w:rPr>
        <w:t>Sucaldito</w:t>
      </w:r>
      <w:proofErr w:type="spellEnd"/>
      <w:r>
        <w:rPr>
          <w:sz w:val="24"/>
          <w:szCs w:val="24"/>
        </w:rPr>
        <w:t xml:space="preserve">, M., </w:t>
      </w:r>
      <w:proofErr w:type="spellStart"/>
      <w:r>
        <w:rPr>
          <w:sz w:val="24"/>
          <w:szCs w:val="24"/>
        </w:rPr>
        <w:t>Tayag</w:t>
      </w:r>
      <w:proofErr w:type="spellEnd"/>
      <w:r>
        <w:rPr>
          <w:sz w:val="24"/>
          <w:szCs w:val="24"/>
        </w:rPr>
        <w:t xml:space="preserve">, E., </w:t>
      </w:r>
      <w:proofErr w:type="spellStart"/>
      <w:r>
        <w:rPr>
          <w:sz w:val="24"/>
          <w:szCs w:val="24"/>
        </w:rPr>
        <w:t>Columna-Vingno</w:t>
      </w:r>
      <w:proofErr w:type="spellEnd"/>
      <w:r>
        <w:rPr>
          <w:sz w:val="24"/>
          <w:szCs w:val="24"/>
        </w:rPr>
        <w:t xml:space="preserve">, A., </w:t>
      </w:r>
      <w:proofErr w:type="spellStart"/>
      <w:r>
        <w:rPr>
          <w:sz w:val="24"/>
          <w:szCs w:val="24"/>
        </w:rPr>
        <w:t>Malbas</w:t>
      </w:r>
      <w:proofErr w:type="spellEnd"/>
      <w:r>
        <w:rPr>
          <w:sz w:val="24"/>
          <w:szCs w:val="24"/>
        </w:rPr>
        <w:t>, F. F....</w:t>
      </w:r>
      <w:proofErr w:type="spellStart"/>
      <w:r>
        <w:rPr>
          <w:sz w:val="24"/>
          <w:szCs w:val="24"/>
        </w:rPr>
        <w:t>Foxwell</w:t>
      </w:r>
      <w:proofErr w:type="spellEnd"/>
      <w:r>
        <w:rPr>
          <w:sz w:val="24"/>
          <w:szCs w:val="24"/>
        </w:rPr>
        <w:t xml:space="preserve">, A. (2015). Outbreak of </w:t>
      </w:r>
      <w:proofErr w:type="spellStart"/>
      <w:r>
        <w:rPr>
          <w:sz w:val="24"/>
          <w:szCs w:val="24"/>
        </w:rPr>
        <w:t>Henipavirus</w:t>
      </w:r>
      <w:proofErr w:type="spellEnd"/>
      <w:r>
        <w:rPr>
          <w:sz w:val="24"/>
          <w:szCs w:val="24"/>
        </w:rPr>
        <w:t xml:space="preserve"> Infection, Philippines, 2014. </w:t>
      </w:r>
      <w:r>
        <w:rPr>
          <w:i/>
          <w:iCs/>
          <w:sz w:val="24"/>
          <w:szCs w:val="24"/>
        </w:rPr>
        <w:t>Emerging Infectious Diseases</w:t>
      </w:r>
      <w:r>
        <w:rPr>
          <w:sz w:val="24"/>
          <w:szCs w:val="24"/>
        </w:rPr>
        <w:t xml:space="preserve">, </w:t>
      </w:r>
      <w:r>
        <w:rPr>
          <w:i/>
          <w:iCs/>
          <w:sz w:val="24"/>
          <w:szCs w:val="24"/>
        </w:rPr>
        <w:t>21</w:t>
      </w:r>
      <w:r>
        <w:rPr>
          <w:sz w:val="24"/>
          <w:szCs w:val="24"/>
        </w:rPr>
        <w:t>(2), 328-331. https://doi.org/10.3201/eid2102.141433.</w:t>
      </w:r>
    </w:p>
    <w:p w:rsidR="00BE553F" w:rsidRDefault="00CD794B">
      <w:pPr>
        <w:spacing w:before="240" w:after="240"/>
        <w:ind w:left="720"/>
        <w:jc w:val="both"/>
        <w:rPr>
          <w:sz w:val="24"/>
          <w:szCs w:val="24"/>
          <w:highlight w:val="yellow"/>
        </w:rPr>
      </w:pPr>
      <w:r>
        <w:rPr>
          <w:rFonts w:eastAsia="SimSun"/>
          <w:sz w:val="24"/>
          <w:szCs w:val="24"/>
          <w:highlight w:val="yellow"/>
        </w:rPr>
        <w:t>Ci</w:t>
      </w:r>
      <w:r>
        <w:rPr>
          <w:rFonts w:eastAsia="SimSun"/>
          <w:sz w:val="24"/>
          <w:szCs w:val="24"/>
          <w:highlight w:val="yellow"/>
        </w:rPr>
        <w:t xml:space="preserve">ty Government of </w:t>
      </w:r>
      <w:proofErr w:type="spellStart"/>
      <w:r>
        <w:rPr>
          <w:rFonts w:eastAsia="SimSun"/>
          <w:sz w:val="24"/>
          <w:szCs w:val="24"/>
          <w:highlight w:val="yellow"/>
        </w:rPr>
        <w:t>Oroquieta</w:t>
      </w:r>
      <w:proofErr w:type="spellEnd"/>
      <w:r>
        <w:rPr>
          <w:rFonts w:eastAsia="SimSun"/>
          <w:sz w:val="24"/>
          <w:szCs w:val="24"/>
          <w:highlight w:val="yellow"/>
        </w:rPr>
        <w:t xml:space="preserve">. (2023, October 3). </w:t>
      </w:r>
      <w:r>
        <w:rPr>
          <w:rStyle w:val="Emphasis"/>
          <w:rFonts w:eastAsia="SimSun"/>
          <w:sz w:val="24"/>
          <w:szCs w:val="24"/>
          <w:highlight w:val="yellow"/>
        </w:rPr>
        <w:t xml:space="preserve">CHO: No </w:t>
      </w:r>
      <w:proofErr w:type="spellStart"/>
      <w:r>
        <w:rPr>
          <w:rStyle w:val="Emphasis"/>
          <w:rFonts w:eastAsia="SimSun"/>
          <w:sz w:val="24"/>
          <w:szCs w:val="24"/>
          <w:highlight w:val="yellow"/>
        </w:rPr>
        <w:t>Nipah</w:t>
      </w:r>
      <w:proofErr w:type="spellEnd"/>
      <w:r>
        <w:rPr>
          <w:rStyle w:val="Emphasis"/>
          <w:rFonts w:eastAsia="SimSun"/>
          <w:sz w:val="24"/>
          <w:szCs w:val="24"/>
          <w:highlight w:val="yellow"/>
        </w:rPr>
        <w:t xml:space="preserve"> virus case in Oro; no need to suspend classes</w:t>
      </w:r>
      <w:r>
        <w:rPr>
          <w:rFonts w:eastAsia="SimSun"/>
          <w:sz w:val="24"/>
          <w:szCs w:val="24"/>
          <w:highlight w:val="yellow"/>
        </w:rPr>
        <w:t>. https://oroquietacity.gov.ph/cho-no-nipah-virus-case-in-oro-no-need-to-suspend-classes</w:t>
      </w:r>
    </w:p>
    <w:p w:rsidR="00BE553F" w:rsidRDefault="00CD794B">
      <w:pPr>
        <w:spacing w:before="240" w:after="240"/>
        <w:ind w:left="720"/>
        <w:jc w:val="both"/>
        <w:rPr>
          <w:sz w:val="24"/>
          <w:szCs w:val="24"/>
        </w:rPr>
      </w:pPr>
      <w:proofErr w:type="spellStart"/>
      <w:r>
        <w:rPr>
          <w:sz w:val="24"/>
          <w:szCs w:val="24"/>
        </w:rPr>
        <w:t>Clores</w:t>
      </w:r>
      <w:proofErr w:type="spellEnd"/>
      <w:r>
        <w:rPr>
          <w:sz w:val="24"/>
          <w:szCs w:val="24"/>
        </w:rPr>
        <w:t xml:space="preserve">, K. (2026, January 28). DOH: </w:t>
      </w:r>
      <w:proofErr w:type="spellStart"/>
      <w:r>
        <w:rPr>
          <w:sz w:val="24"/>
          <w:szCs w:val="24"/>
        </w:rPr>
        <w:t>Nipah</w:t>
      </w:r>
      <w:proofErr w:type="spellEnd"/>
      <w:r>
        <w:rPr>
          <w:sz w:val="24"/>
          <w:szCs w:val="24"/>
        </w:rPr>
        <w:t xml:space="preserve"> virus ‘rare,’ not i</w:t>
      </w:r>
      <w:r>
        <w:rPr>
          <w:sz w:val="24"/>
          <w:szCs w:val="24"/>
        </w:rPr>
        <w:t xml:space="preserve">n PH since 2014. </w:t>
      </w:r>
      <w:r>
        <w:rPr>
          <w:i/>
          <w:iCs/>
          <w:sz w:val="24"/>
          <w:szCs w:val="24"/>
        </w:rPr>
        <w:t>INQUIRER.net.</w:t>
      </w:r>
      <w:r>
        <w:rPr>
          <w:sz w:val="24"/>
          <w:szCs w:val="24"/>
        </w:rPr>
        <w:t xml:space="preserve"> </w:t>
      </w:r>
      <w:hyperlink r:id="rId10">
        <w:r>
          <w:rPr>
            <w:sz w:val="24"/>
            <w:szCs w:val="24"/>
          </w:rPr>
          <w:t>https://www.inquirer.net/nipah-virus-rare-not-in-ph-2026</w:t>
        </w:r>
      </w:hyperlink>
    </w:p>
    <w:p w:rsidR="00BE553F" w:rsidRDefault="00CD794B">
      <w:pPr>
        <w:spacing w:before="240" w:after="240"/>
        <w:ind w:left="720"/>
        <w:jc w:val="both"/>
        <w:rPr>
          <w:sz w:val="24"/>
          <w:szCs w:val="24"/>
        </w:rPr>
      </w:pPr>
      <w:r>
        <w:rPr>
          <w:sz w:val="24"/>
          <w:szCs w:val="24"/>
        </w:rPr>
        <w:t xml:space="preserve">Department of Science and Technology – Philippine Council for Health Research and Development. (2026, February 2). </w:t>
      </w:r>
      <w:r>
        <w:rPr>
          <w:i/>
          <w:iCs/>
          <w:sz w:val="24"/>
          <w:szCs w:val="24"/>
        </w:rPr>
        <w:t>Virus found in horses causes human deaths in Southern Philippines</w:t>
      </w:r>
      <w:r>
        <w:rPr>
          <w:sz w:val="24"/>
          <w:szCs w:val="24"/>
        </w:rPr>
        <w:t>.</w:t>
      </w:r>
      <w:hyperlink r:id="rId11">
        <w:r>
          <w:rPr>
            <w:sz w:val="24"/>
            <w:szCs w:val="24"/>
          </w:rPr>
          <w:t xml:space="preserve"> https://www.pchrd.dost.gov.p</w:t>
        </w:r>
        <w:r>
          <w:rPr>
            <w:sz w:val="24"/>
            <w:szCs w:val="24"/>
          </w:rPr>
          <w:t>h</w:t>
        </w:r>
      </w:hyperlink>
    </w:p>
    <w:p w:rsidR="00BE553F" w:rsidRDefault="00CD794B">
      <w:pPr>
        <w:spacing w:before="240" w:after="240"/>
        <w:ind w:left="720"/>
        <w:jc w:val="both"/>
        <w:rPr>
          <w:sz w:val="24"/>
          <w:szCs w:val="24"/>
        </w:rPr>
      </w:pPr>
      <w:r>
        <w:rPr>
          <w:sz w:val="24"/>
          <w:szCs w:val="24"/>
        </w:rPr>
        <w:t xml:space="preserve">Department of Science and Technology – Philippine Council for Health Research and Development. (2026, February 2). </w:t>
      </w:r>
      <w:r>
        <w:rPr>
          <w:i/>
          <w:iCs/>
          <w:sz w:val="24"/>
          <w:szCs w:val="24"/>
        </w:rPr>
        <w:t xml:space="preserve">As of press time, no case positive for </w:t>
      </w:r>
      <w:proofErr w:type="spellStart"/>
      <w:r>
        <w:rPr>
          <w:i/>
          <w:iCs/>
          <w:sz w:val="24"/>
          <w:szCs w:val="24"/>
        </w:rPr>
        <w:t>Nipah</w:t>
      </w:r>
      <w:proofErr w:type="spellEnd"/>
      <w:r>
        <w:rPr>
          <w:i/>
          <w:iCs/>
          <w:sz w:val="24"/>
          <w:szCs w:val="24"/>
        </w:rPr>
        <w:t xml:space="preserve"> virus has been detected in the country</w:t>
      </w:r>
      <w:r>
        <w:rPr>
          <w:sz w:val="24"/>
          <w:szCs w:val="24"/>
        </w:rPr>
        <w:t>.</w:t>
      </w:r>
      <w:hyperlink r:id="rId12">
        <w:r>
          <w:rPr>
            <w:sz w:val="24"/>
            <w:szCs w:val="24"/>
          </w:rPr>
          <w:t xml:space="preserve"> </w:t>
        </w:r>
        <w:r>
          <w:rPr>
            <w:sz w:val="24"/>
            <w:szCs w:val="24"/>
          </w:rPr>
          <w:br/>
        </w:r>
      </w:hyperlink>
      <w:r>
        <w:rPr>
          <w:sz w:val="24"/>
          <w:szCs w:val="24"/>
          <w:highlight w:val="yellow"/>
        </w:rPr>
        <w:t>h</w:t>
      </w:r>
      <w:r>
        <w:rPr>
          <w:sz w:val="24"/>
          <w:szCs w:val="24"/>
          <w:highlight w:val="yellow"/>
        </w:rPr>
        <w:t>ttps://www.rappler.com/newsbreak/fact-check/no-confirmed-nipah-virus-case-philippines-doh/</w:t>
      </w:r>
    </w:p>
    <w:p w:rsidR="00BE553F" w:rsidRDefault="00CD794B">
      <w:pPr>
        <w:spacing w:before="240" w:after="240"/>
        <w:ind w:left="720"/>
        <w:jc w:val="both"/>
        <w:rPr>
          <w:sz w:val="24"/>
          <w:szCs w:val="24"/>
        </w:rPr>
      </w:pPr>
      <w:proofErr w:type="spellStart"/>
      <w:r>
        <w:rPr>
          <w:sz w:val="24"/>
          <w:szCs w:val="24"/>
        </w:rPr>
        <w:t>Dimaano</w:t>
      </w:r>
      <w:proofErr w:type="spellEnd"/>
      <w:r>
        <w:rPr>
          <w:sz w:val="24"/>
          <w:szCs w:val="24"/>
        </w:rPr>
        <w:t xml:space="preserve">, A. A. (2024, February 21). </w:t>
      </w:r>
      <w:r>
        <w:rPr>
          <w:i/>
          <w:iCs/>
          <w:sz w:val="24"/>
          <w:szCs w:val="24"/>
        </w:rPr>
        <w:t xml:space="preserve">Nat’l Reference Lab for Special Pathogens trains sub-national labs on </w:t>
      </w:r>
      <w:proofErr w:type="spellStart"/>
      <w:r>
        <w:rPr>
          <w:i/>
          <w:iCs/>
          <w:sz w:val="24"/>
          <w:szCs w:val="24"/>
        </w:rPr>
        <w:t>Nipah</w:t>
      </w:r>
      <w:proofErr w:type="spellEnd"/>
      <w:r>
        <w:rPr>
          <w:i/>
          <w:iCs/>
          <w:sz w:val="24"/>
          <w:szCs w:val="24"/>
        </w:rPr>
        <w:t xml:space="preserve"> virus detection through RT-PCR at the Southern Philip</w:t>
      </w:r>
      <w:r>
        <w:rPr>
          <w:i/>
          <w:iCs/>
          <w:sz w:val="24"/>
          <w:szCs w:val="24"/>
        </w:rPr>
        <w:t>pines Medical Center</w:t>
      </w:r>
      <w:r>
        <w:rPr>
          <w:sz w:val="24"/>
          <w:szCs w:val="24"/>
        </w:rPr>
        <w:t xml:space="preserve">. Department of Health – Philippines. </w:t>
      </w:r>
      <w:hyperlink r:id="rId13">
        <w:r>
          <w:rPr>
            <w:sz w:val="24"/>
            <w:szCs w:val="24"/>
          </w:rPr>
          <w:t>https://rrld.gov.ph</w:t>
        </w:r>
      </w:hyperlink>
    </w:p>
    <w:p w:rsidR="00BE553F" w:rsidRDefault="00CD794B">
      <w:pPr>
        <w:spacing w:before="240" w:after="240"/>
        <w:ind w:left="720"/>
        <w:jc w:val="both"/>
        <w:rPr>
          <w:sz w:val="24"/>
          <w:szCs w:val="24"/>
        </w:rPr>
      </w:pPr>
      <w:r>
        <w:rPr>
          <w:sz w:val="24"/>
          <w:szCs w:val="24"/>
        </w:rPr>
        <w:t xml:space="preserve">Epstein, J. H., Anthony, S. J., Islam, A., </w:t>
      </w:r>
      <w:r>
        <w:rPr>
          <w:i/>
          <w:iCs/>
          <w:sz w:val="24"/>
          <w:szCs w:val="24"/>
        </w:rPr>
        <w:t>et al.</w:t>
      </w:r>
      <w:r>
        <w:rPr>
          <w:sz w:val="24"/>
          <w:szCs w:val="24"/>
        </w:rPr>
        <w:t xml:space="preserve"> (2020). </w:t>
      </w:r>
      <w:proofErr w:type="spellStart"/>
      <w:r>
        <w:rPr>
          <w:i/>
          <w:iCs/>
          <w:sz w:val="24"/>
          <w:szCs w:val="24"/>
        </w:rPr>
        <w:t>Nipah</w:t>
      </w:r>
      <w:proofErr w:type="spellEnd"/>
      <w:r>
        <w:rPr>
          <w:i/>
          <w:iCs/>
          <w:sz w:val="24"/>
          <w:szCs w:val="24"/>
        </w:rPr>
        <w:t xml:space="preserve"> virus dynamics in bats and implications for spillover to humans</w:t>
      </w:r>
      <w:r>
        <w:rPr>
          <w:sz w:val="24"/>
          <w:szCs w:val="24"/>
        </w:rPr>
        <w:t>. Proceeding</w:t>
      </w:r>
      <w:r>
        <w:rPr>
          <w:sz w:val="24"/>
          <w:szCs w:val="24"/>
        </w:rPr>
        <w:t>s of the National Academy of Sciences of the United States of America, 117(46), 29190–29201.</w:t>
      </w:r>
      <w:hyperlink r:id="rId14">
        <w:r>
          <w:rPr>
            <w:sz w:val="24"/>
            <w:szCs w:val="24"/>
          </w:rPr>
          <w:t xml:space="preserve"> https://doi.org/10.1073/pnas.2000429117</w:t>
        </w:r>
      </w:hyperlink>
    </w:p>
    <w:p w:rsidR="00BE553F" w:rsidRDefault="00CD794B">
      <w:pPr>
        <w:spacing w:before="240" w:after="240"/>
        <w:ind w:left="720"/>
        <w:jc w:val="both"/>
        <w:rPr>
          <w:sz w:val="24"/>
          <w:szCs w:val="24"/>
        </w:rPr>
      </w:pPr>
      <w:r>
        <w:rPr>
          <w:sz w:val="24"/>
          <w:szCs w:val="24"/>
        </w:rPr>
        <w:lastRenderedPageBreak/>
        <w:t xml:space="preserve">Flores, D. N. (2026, January 28). </w:t>
      </w:r>
      <w:r>
        <w:rPr>
          <w:i/>
          <w:iCs/>
          <w:sz w:val="24"/>
          <w:szCs w:val="24"/>
        </w:rPr>
        <w:t>Philippines tightens airport h</w:t>
      </w:r>
      <w:r>
        <w:rPr>
          <w:i/>
          <w:iCs/>
          <w:sz w:val="24"/>
          <w:szCs w:val="24"/>
        </w:rPr>
        <w:t xml:space="preserve">ealth checks amid </w:t>
      </w:r>
      <w:proofErr w:type="spellStart"/>
      <w:r>
        <w:rPr>
          <w:i/>
          <w:iCs/>
          <w:sz w:val="24"/>
          <w:szCs w:val="24"/>
        </w:rPr>
        <w:t>Nipah</w:t>
      </w:r>
      <w:proofErr w:type="spellEnd"/>
      <w:r>
        <w:rPr>
          <w:i/>
          <w:iCs/>
          <w:sz w:val="24"/>
          <w:szCs w:val="24"/>
        </w:rPr>
        <w:t xml:space="preserve"> virus outbreak in India</w:t>
      </w:r>
      <w:r>
        <w:rPr>
          <w:sz w:val="24"/>
          <w:szCs w:val="24"/>
        </w:rPr>
        <w:t xml:space="preserve">. </w:t>
      </w:r>
      <w:r>
        <w:rPr>
          <w:i/>
          <w:iCs/>
          <w:sz w:val="24"/>
          <w:szCs w:val="24"/>
        </w:rPr>
        <w:t>Philstar.com</w:t>
      </w:r>
      <w:r>
        <w:rPr>
          <w:sz w:val="24"/>
          <w:szCs w:val="24"/>
        </w:rPr>
        <w:t>.</w:t>
      </w:r>
      <w:hyperlink r:id="rId15">
        <w:r>
          <w:rPr>
            <w:sz w:val="24"/>
            <w:szCs w:val="24"/>
          </w:rPr>
          <w:t xml:space="preserve"> </w:t>
        </w:r>
        <w:r>
          <w:rPr>
            <w:sz w:val="24"/>
            <w:szCs w:val="24"/>
          </w:rPr>
          <w:br/>
        </w:r>
      </w:hyperlink>
      <w:r>
        <w:rPr>
          <w:sz w:val="24"/>
          <w:szCs w:val="24"/>
          <w:highlight w:val="yellow"/>
        </w:rPr>
        <w:t>https://www.philstar.com/headlines/2026/01/28/2504119/philippines-tightens-airport-health-checks-amid-nipah-virus-outbreak-india</w:t>
      </w:r>
    </w:p>
    <w:p w:rsidR="00BE553F" w:rsidRDefault="00CD794B">
      <w:pPr>
        <w:spacing w:before="240" w:after="240"/>
        <w:ind w:left="720"/>
        <w:jc w:val="both"/>
        <w:rPr>
          <w:sz w:val="24"/>
          <w:szCs w:val="24"/>
        </w:rPr>
      </w:pPr>
      <w:proofErr w:type="spellStart"/>
      <w:r>
        <w:rPr>
          <w:color w:val="1B1B1B"/>
          <w:sz w:val="24"/>
          <w:szCs w:val="24"/>
        </w:rPr>
        <w:t>Ganguly</w:t>
      </w:r>
      <w:proofErr w:type="spellEnd"/>
      <w:r>
        <w:rPr>
          <w:color w:val="1B1B1B"/>
          <w:sz w:val="24"/>
          <w:szCs w:val="24"/>
        </w:rPr>
        <w:t xml:space="preserve"> A, Mahapatr</w:t>
      </w:r>
      <w:r>
        <w:rPr>
          <w:color w:val="1B1B1B"/>
          <w:sz w:val="24"/>
          <w:szCs w:val="24"/>
        </w:rPr>
        <w:t xml:space="preserve">a S, Ray S, Chattopadhyay S, Islam MJ, </w:t>
      </w:r>
      <w:proofErr w:type="spellStart"/>
      <w:r>
        <w:rPr>
          <w:color w:val="1B1B1B"/>
          <w:sz w:val="24"/>
          <w:szCs w:val="24"/>
        </w:rPr>
        <w:t>Garai</w:t>
      </w:r>
      <w:proofErr w:type="spellEnd"/>
      <w:r>
        <w:rPr>
          <w:color w:val="1B1B1B"/>
          <w:sz w:val="24"/>
          <w:szCs w:val="24"/>
        </w:rPr>
        <w:t xml:space="preserve"> S, Dutta TK, </w:t>
      </w:r>
      <w:proofErr w:type="spellStart"/>
      <w:r>
        <w:rPr>
          <w:color w:val="1B1B1B"/>
          <w:sz w:val="24"/>
          <w:szCs w:val="24"/>
        </w:rPr>
        <w:t>Chattaraj</w:t>
      </w:r>
      <w:proofErr w:type="spellEnd"/>
      <w:r>
        <w:rPr>
          <w:color w:val="1B1B1B"/>
          <w:sz w:val="24"/>
          <w:szCs w:val="24"/>
        </w:rPr>
        <w:t xml:space="preserve"> M, </w:t>
      </w:r>
      <w:proofErr w:type="spellStart"/>
      <w:r>
        <w:rPr>
          <w:color w:val="1B1B1B"/>
          <w:sz w:val="24"/>
          <w:szCs w:val="24"/>
        </w:rPr>
        <w:t>Chattaraj</w:t>
      </w:r>
      <w:proofErr w:type="spellEnd"/>
      <w:r>
        <w:rPr>
          <w:color w:val="1B1B1B"/>
          <w:sz w:val="24"/>
          <w:szCs w:val="24"/>
        </w:rPr>
        <w:t xml:space="preserve"> S. The rising threat of </w:t>
      </w:r>
      <w:proofErr w:type="spellStart"/>
      <w:r>
        <w:rPr>
          <w:color w:val="1B1B1B"/>
          <w:sz w:val="24"/>
          <w:szCs w:val="24"/>
        </w:rPr>
        <w:t>Nipah</w:t>
      </w:r>
      <w:proofErr w:type="spellEnd"/>
      <w:r>
        <w:rPr>
          <w:color w:val="1B1B1B"/>
          <w:sz w:val="24"/>
          <w:szCs w:val="24"/>
        </w:rPr>
        <w:t xml:space="preserve"> virus: a highly contagious and deadly zoonotic pathogen. </w:t>
      </w:r>
      <w:proofErr w:type="spellStart"/>
      <w:r>
        <w:rPr>
          <w:color w:val="1B1B1B"/>
          <w:sz w:val="24"/>
          <w:szCs w:val="24"/>
        </w:rPr>
        <w:t>Virol</w:t>
      </w:r>
      <w:proofErr w:type="spellEnd"/>
      <w:r>
        <w:rPr>
          <w:color w:val="1B1B1B"/>
          <w:sz w:val="24"/>
          <w:szCs w:val="24"/>
        </w:rPr>
        <w:t xml:space="preserve"> J. 2025 May 10;22(1):139. </w:t>
      </w:r>
      <w:proofErr w:type="spellStart"/>
      <w:r>
        <w:rPr>
          <w:color w:val="1B1B1B"/>
          <w:sz w:val="24"/>
          <w:szCs w:val="24"/>
        </w:rPr>
        <w:t>doi</w:t>
      </w:r>
      <w:proofErr w:type="spellEnd"/>
      <w:r>
        <w:rPr>
          <w:color w:val="1B1B1B"/>
          <w:sz w:val="24"/>
          <w:szCs w:val="24"/>
        </w:rPr>
        <w:t xml:space="preserve">: 10.1186/s12985-025-02728-4. PMID: 40349023; PMCID: </w:t>
      </w:r>
      <w:r>
        <w:rPr>
          <w:color w:val="1B1B1B"/>
          <w:sz w:val="24"/>
          <w:szCs w:val="24"/>
        </w:rPr>
        <w:t>PMC12066074.</w:t>
      </w:r>
    </w:p>
    <w:p w:rsidR="00BE553F" w:rsidRDefault="00CD794B">
      <w:pPr>
        <w:spacing w:before="240" w:after="240"/>
        <w:ind w:left="720"/>
        <w:jc w:val="both"/>
        <w:rPr>
          <w:sz w:val="24"/>
          <w:szCs w:val="24"/>
        </w:rPr>
      </w:pPr>
      <w:proofErr w:type="spellStart"/>
      <w:r>
        <w:rPr>
          <w:sz w:val="24"/>
          <w:szCs w:val="24"/>
        </w:rPr>
        <w:t>Garbuglia</w:t>
      </w:r>
      <w:proofErr w:type="spellEnd"/>
      <w:r>
        <w:rPr>
          <w:sz w:val="24"/>
          <w:szCs w:val="24"/>
        </w:rPr>
        <w:t xml:space="preserve"> AR, Lapa D, </w:t>
      </w:r>
      <w:proofErr w:type="spellStart"/>
      <w:r>
        <w:rPr>
          <w:sz w:val="24"/>
          <w:szCs w:val="24"/>
        </w:rPr>
        <w:t>Pauciullo</w:t>
      </w:r>
      <w:proofErr w:type="spellEnd"/>
      <w:r>
        <w:rPr>
          <w:sz w:val="24"/>
          <w:szCs w:val="24"/>
        </w:rPr>
        <w:t xml:space="preserve"> S, Raoul H, </w:t>
      </w:r>
      <w:proofErr w:type="spellStart"/>
      <w:r>
        <w:rPr>
          <w:sz w:val="24"/>
          <w:szCs w:val="24"/>
        </w:rPr>
        <w:t>Pannetier</w:t>
      </w:r>
      <w:proofErr w:type="spellEnd"/>
      <w:r>
        <w:rPr>
          <w:sz w:val="24"/>
          <w:szCs w:val="24"/>
        </w:rPr>
        <w:t xml:space="preserve"> D. </w:t>
      </w:r>
      <w:proofErr w:type="spellStart"/>
      <w:r>
        <w:rPr>
          <w:sz w:val="24"/>
          <w:szCs w:val="24"/>
        </w:rPr>
        <w:t>Nipah</w:t>
      </w:r>
      <w:proofErr w:type="spellEnd"/>
      <w:r>
        <w:rPr>
          <w:sz w:val="24"/>
          <w:szCs w:val="24"/>
        </w:rPr>
        <w:t xml:space="preserve"> Virus: An Overview of the Current Status of Diagnostics and Their Role in Preparedness in Endemic Countries. Viruses. 2023 Oct 7;15(10):2062. </w:t>
      </w:r>
      <w:proofErr w:type="spellStart"/>
      <w:r>
        <w:rPr>
          <w:sz w:val="24"/>
          <w:szCs w:val="24"/>
        </w:rPr>
        <w:t>doi</w:t>
      </w:r>
      <w:proofErr w:type="spellEnd"/>
      <w:r>
        <w:rPr>
          <w:sz w:val="24"/>
          <w:szCs w:val="24"/>
        </w:rPr>
        <w:t>: 10.3390/v15102062. PMID: 37896839</w:t>
      </w:r>
      <w:r>
        <w:rPr>
          <w:sz w:val="24"/>
          <w:szCs w:val="24"/>
        </w:rPr>
        <w:t>; PMCID: PMC10612039.</w:t>
      </w:r>
    </w:p>
    <w:p w:rsidR="00476665" w:rsidRDefault="00CD794B">
      <w:pPr>
        <w:spacing w:before="240" w:after="240"/>
        <w:ind w:left="720"/>
        <w:jc w:val="both"/>
        <w:rPr>
          <w:sz w:val="24"/>
          <w:szCs w:val="24"/>
        </w:rPr>
      </w:pPr>
      <w:r>
        <w:rPr>
          <w:sz w:val="24"/>
          <w:szCs w:val="24"/>
        </w:rPr>
        <w:t xml:space="preserve">GMA Integrated News. (2026, February 1). </w:t>
      </w:r>
      <w:r>
        <w:rPr>
          <w:i/>
          <w:iCs/>
          <w:sz w:val="24"/>
          <w:szCs w:val="24"/>
        </w:rPr>
        <w:t xml:space="preserve">DOH assures no active </w:t>
      </w:r>
      <w:proofErr w:type="spellStart"/>
      <w:r>
        <w:rPr>
          <w:i/>
          <w:iCs/>
          <w:sz w:val="24"/>
          <w:szCs w:val="24"/>
        </w:rPr>
        <w:t>Nipah</w:t>
      </w:r>
      <w:proofErr w:type="spellEnd"/>
      <w:r>
        <w:rPr>
          <w:i/>
          <w:iCs/>
          <w:sz w:val="24"/>
          <w:szCs w:val="24"/>
        </w:rPr>
        <w:t xml:space="preserve"> cases in the Philippines; safeguards in place</w:t>
      </w:r>
      <w:r>
        <w:rPr>
          <w:sz w:val="24"/>
          <w:szCs w:val="24"/>
        </w:rPr>
        <w:t>.</w:t>
      </w:r>
      <w:r w:rsidR="00476665">
        <w:rPr>
          <w:sz w:val="24"/>
          <w:szCs w:val="24"/>
        </w:rPr>
        <w:fldChar w:fldCharType="begin"/>
      </w:r>
      <w:r w:rsidR="00476665">
        <w:rPr>
          <w:sz w:val="24"/>
          <w:szCs w:val="24"/>
        </w:rPr>
        <w:instrText xml:space="preserve"> HYPERLINK " </w:instrText>
      </w:r>
      <w:r w:rsidR="00476665">
        <w:rPr>
          <w:sz w:val="24"/>
          <w:szCs w:val="24"/>
        </w:rPr>
        <w:br/>
      </w:r>
      <w:r w:rsidR="00476665">
        <w:rPr>
          <w:sz w:val="24"/>
          <w:szCs w:val="24"/>
          <w:highlight w:val="yellow"/>
        </w:rPr>
        <w:instrText>https://www.gmanetwork.com/news/topstories/nation/974933/doh-assures-no-active-nipah-cases-in-ph-safeguards-in-place/story/</w:instrText>
      </w:r>
    </w:p>
    <w:p w:rsidR="00476665" w:rsidRPr="001A5F33" w:rsidRDefault="00476665">
      <w:pPr>
        <w:spacing w:before="240" w:after="240"/>
        <w:ind w:left="720"/>
        <w:jc w:val="both"/>
        <w:rPr>
          <w:rStyle w:val="Hyperlink"/>
          <w:sz w:val="24"/>
          <w:szCs w:val="24"/>
        </w:rPr>
      </w:pPr>
      <w:r>
        <w:rPr>
          <w:sz w:val="24"/>
          <w:szCs w:val="24"/>
        </w:rPr>
        <w:instrText xml:space="preserve">" </w:instrText>
      </w:r>
      <w:r>
        <w:rPr>
          <w:sz w:val="24"/>
          <w:szCs w:val="24"/>
        </w:rPr>
        <w:fldChar w:fldCharType="separate"/>
      </w:r>
      <w:r w:rsidRPr="001A5F33">
        <w:rPr>
          <w:rStyle w:val="Hyperlink"/>
          <w:sz w:val="24"/>
          <w:szCs w:val="24"/>
        </w:rPr>
        <w:t xml:space="preserve"> </w:t>
      </w:r>
      <w:r w:rsidRPr="001A5F33">
        <w:rPr>
          <w:rStyle w:val="Hyperlink"/>
          <w:sz w:val="24"/>
          <w:szCs w:val="24"/>
        </w:rPr>
        <w:br/>
      </w:r>
      <w:r w:rsidRPr="001A5F33">
        <w:rPr>
          <w:rStyle w:val="Hyperlink"/>
          <w:sz w:val="24"/>
          <w:szCs w:val="24"/>
          <w:highlight w:val="yellow"/>
        </w:rPr>
        <w:t>https://www.gmanetwork.com/news/topstories/nation/974933/doh-assures-no-active-nipah-cases-in-ph-safeguards-in-place/story/</w:t>
      </w:r>
    </w:p>
    <w:p w:rsidR="00BE553F" w:rsidRDefault="00476665">
      <w:pPr>
        <w:spacing w:before="240" w:after="240"/>
        <w:ind w:left="720"/>
        <w:jc w:val="both"/>
        <w:rPr>
          <w:sz w:val="24"/>
          <w:szCs w:val="24"/>
        </w:rPr>
      </w:pPr>
      <w:r>
        <w:rPr>
          <w:sz w:val="24"/>
          <w:szCs w:val="24"/>
        </w:rPr>
        <w:fldChar w:fldCharType="end"/>
      </w:r>
    </w:p>
    <w:p w:rsidR="00BE553F" w:rsidRDefault="00CD794B">
      <w:pPr>
        <w:spacing w:before="240" w:after="240"/>
        <w:ind w:left="720"/>
        <w:jc w:val="both"/>
        <w:rPr>
          <w:sz w:val="24"/>
          <w:szCs w:val="24"/>
        </w:rPr>
      </w:pPr>
      <w:proofErr w:type="spellStart"/>
      <w:r>
        <w:rPr>
          <w:sz w:val="24"/>
          <w:szCs w:val="24"/>
        </w:rPr>
        <w:t>Horby</w:t>
      </w:r>
      <w:proofErr w:type="spellEnd"/>
      <w:r>
        <w:rPr>
          <w:sz w:val="24"/>
          <w:szCs w:val="24"/>
        </w:rPr>
        <w:t xml:space="preserve">, P., Pfeiffer, D., &amp; </w:t>
      </w:r>
      <w:proofErr w:type="spellStart"/>
      <w:r>
        <w:rPr>
          <w:sz w:val="24"/>
          <w:szCs w:val="24"/>
        </w:rPr>
        <w:t>Oshitani</w:t>
      </w:r>
      <w:proofErr w:type="spellEnd"/>
      <w:r>
        <w:rPr>
          <w:sz w:val="24"/>
          <w:szCs w:val="24"/>
        </w:rPr>
        <w:t xml:space="preserve">, H. (2013). Prospects for Emerging Infections in East and Southeast Asia 10 Years after Severe Acute Respiratory Syndrome. </w:t>
      </w:r>
      <w:r>
        <w:rPr>
          <w:i/>
          <w:iCs/>
          <w:sz w:val="24"/>
          <w:szCs w:val="24"/>
        </w:rPr>
        <w:t>Emerging Infectious Diseases</w:t>
      </w:r>
      <w:r>
        <w:rPr>
          <w:sz w:val="24"/>
          <w:szCs w:val="24"/>
        </w:rPr>
        <w:t xml:space="preserve">, </w:t>
      </w:r>
      <w:r>
        <w:rPr>
          <w:i/>
          <w:iCs/>
          <w:sz w:val="24"/>
          <w:szCs w:val="24"/>
        </w:rPr>
        <w:t>19</w:t>
      </w:r>
      <w:r>
        <w:rPr>
          <w:sz w:val="24"/>
          <w:szCs w:val="24"/>
        </w:rPr>
        <w:t>(6), 853-86</w:t>
      </w:r>
      <w:r>
        <w:rPr>
          <w:sz w:val="24"/>
          <w:szCs w:val="24"/>
        </w:rPr>
        <w:t xml:space="preserve">0. </w:t>
      </w:r>
      <w:hyperlink r:id="rId16">
        <w:r>
          <w:rPr>
            <w:sz w:val="24"/>
            <w:szCs w:val="24"/>
          </w:rPr>
          <w:t>https://doi.org/10.3201/eid1906.121783</w:t>
        </w:r>
      </w:hyperlink>
      <w:r>
        <w:rPr>
          <w:sz w:val="24"/>
          <w:szCs w:val="24"/>
        </w:rPr>
        <w:t>.</w:t>
      </w:r>
    </w:p>
    <w:p w:rsidR="00BE553F" w:rsidRDefault="00CD794B">
      <w:pPr>
        <w:spacing w:before="240" w:after="240"/>
        <w:ind w:left="720"/>
        <w:jc w:val="both"/>
        <w:rPr>
          <w:sz w:val="24"/>
          <w:szCs w:val="24"/>
        </w:rPr>
      </w:pPr>
      <w:proofErr w:type="spellStart"/>
      <w:r>
        <w:rPr>
          <w:sz w:val="24"/>
          <w:szCs w:val="24"/>
        </w:rPr>
        <w:t>Inbanathan</w:t>
      </w:r>
      <w:proofErr w:type="spellEnd"/>
      <w:r>
        <w:rPr>
          <w:sz w:val="24"/>
          <w:szCs w:val="24"/>
        </w:rPr>
        <w:t xml:space="preserve"> FY, </w:t>
      </w:r>
      <w:proofErr w:type="spellStart"/>
      <w:r>
        <w:rPr>
          <w:sz w:val="24"/>
          <w:szCs w:val="24"/>
        </w:rPr>
        <w:t>Wijesinghe</w:t>
      </w:r>
      <w:proofErr w:type="spellEnd"/>
      <w:r>
        <w:rPr>
          <w:sz w:val="24"/>
          <w:szCs w:val="24"/>
        </w:rPr>
        <w:t xml:space="preserve"> PR, Naidoo D, Buddha N, Salvador EC, Le KK, Dhawan S, </w:t>
      </w:r>
      <w:proofErr w:type="spellStart"/>
      <w:r>
        <w:rPr>
          <w:sz w:val="24"/>
          <w:szCs w:val="24"/>
        </w:rPr>
        <w:t>Blacksell</w:t>
      </w:r>
      <w:proofErr w:type="spellEnd"/>
      <w:r>
        <w:rPr>
          <w:sz w:val="24"/>
          <w:szCs w:val="24"/>
        </w:rPr>
        <w:t xml:space="preserve"> SD. Assessment of public health laboratory preparedness and respo</w:t>
      </w:r>
      <w:r>
        <w:rPr>
          <w:sz w:val="24"/>
          <w:szCs w:val="24"/>
        </w:rPr>
        <w:t xml:space="preserve">nse in WHO South-East Asia region during the COVID-19 pandemic: lessons learned and future directions. Lancet Reg Health Southeast Asia. 2024 Oct </w:t>
      </w:r>
      <w:proofErr w:type="gramStart"/>
      <w:r>
        <w:rPr>
          <w:sz w:val="24"/>
          <w:szCs w:val="24"/>
        </w:rPr>
        <w:t>19;31:100496</w:t>
      </w:r>
      <w:proofErr w:type="gramEnd"/>
      <w:r>
        <w:rPr>
          <w:sz w:val="24"/>
          <w:szCs w:val="24"/>
        </w:rPr>
        <w:t xml:space="preserve">. </w:t>
      </w:r>
      <w:proofErr w:type="spellStart"/>
      <w:r>
        <w:rPr>
          <w:sz w:val="24"/>
          <w:szCs w:val="24"/>
        </w:rPr>
        <w:t>doi</w:t>
      </w:r>
      <w:proofErr w:type="spellEnd"/>
      <w:r>
        <w:rPr>
          <w:sz w:val="24"/>
          <w:szCs w:val="24"/>
        </w:rPr>
        <w:t>: 10.1016/j.lansea.2024.100496. PMID: 39498204; PMCID: PMC11532963.</w:t>
      </w:r>
    </w:p>
    <w:p w:rsidR="00BE553F" w:rsidRDefault="00CD794B">
      <w:pPr>
        <w:spacing w:before="240" w:after="240"/>
        <w:ind w:left="720"/>
        <w:jc w:val="both"/>
        <w:rPr>
          <w:sz w:val="24"/>
          <w:szCs w:val="24"/>
        </w:rPr>
      </w:pPr>
      <w:r>
        <w:rPr>
          <w:sz w:val="24"/>
          <w:szCs w:val="24"/>
        </w:rPr>
        <w:t xml:space="preserve">James M. Hughes, Mary E. </w:t>
      </w:r>
      <w:r>
        <w:rPr>
          <w:sz w:val="24"/>
          <w:szCs w:val="24"/>
        </w:rPr>
        <w:t xml:space="preserve">Wilson, Stephen P. </w:t>
      </w:r>
      <w:proofErr w:type="spellStart"/>
      <w:r>
        <w:rPr>
          <w:sz w:val="24"/>
          <w:szCs w:val="24"/>
        </w:rPr>
        <w:t>Luby</w:t>
      </w:r>
      <w:proofErr w:type="spellEnd"/>
      <w:r>
        <w:rPr>
          <w:sz w:val="24"/>
          <w:szCs w:val="24"/>
        </w:rPr>
        <w:t xml:space="preserve">, Emily S. Gurley, M. Jahangir Hossain, Transmission of Human Infection with </w:t>
      </w:r>
      <w:proofErr w:type="spellStart"/>
      <w:r>
        <w:rPr>
          <w:sz w:val="24"/>
          <w:szCs w:val="24"/>
        </w:rPr>
        <w:t>Nipah</w:t>
      </w:r>
      <w:proofErr w:type="spellEnd"/>
      <w:r>
        <w:rPr>
          <w:sz w:val="24"/>
          <w:szCs w:val="24"/>
        </w:rPr>
        <w:t xml:space="preserve"> Virus, </w:t>
      </w:r>
      <w:r>
        <w:rPr>
          <w:i/>
          <w:iCs/>
          <w:sz w:val="24"/>
          <w:szCs w:val="24"/>
        </w:rPr>
        <w:t>Clinical Infectious Diseases</w:t>
      </w:r>
      <w:r>
        <w:rPr>
          <w:sz w:val="24"/>
          <w:szCs w:val="24"/>
        </w:rPr>
        <w:t xml:space="preserve">, Volume 49, Issue 11, 1 December 2009, Pages 1743–1748, </w:t>
      </w:r>
      <w:hyperlink r:id="rId17">
        <w:r>
          <w:rPr>
            <w:sz w:val="24"/>
            <w:szCs w:val="24"/>
          </w:rPr>
          <w:t>https://doi</w:t>
        </w:r>
        <w:r>
          <w:rPr>
            <w:sz w:val="24"/>
            <w:szCs w:val="24"/>
          </w:rPr>
          <w:t>.org/10.1086/647951</w:t>
        </w:r>
      </w:hyperlink>
    </w:p>
    <w:p w:rsidR="00BE553F" w:rsidRDefault="00CD794B">
      <w:pPr>
        <w:spacing w:before="240" w:after="240" w:line="312" w:lineRule="auto"/>
        <w:ind w:left="720"/>
        <w:jc w:val="both"/>
        <w:rPr>
          <w:sz w:val="24"/>
          <w:szCs w:val="24"/>
        </w:rPr>
      </w:pPr>
      <w:r>
        <w:rPr>
          <w:sz w:val="24"/>
          <w:szCs w:val="24"/>
        </w:rPr>
        <w:t xml:space="preserve">Kaku, Y., Watanabe, S., </w:t>
      </w:r>
      <w:proofErr w:type="spellStart"/>
      <w:r>
        <w:rPr>
          <w:sz w:val="24"/>
          <w:szCs w:val="24"/>
        </w:rPr>
        <w:t>Masangkay</w:t>
      </w:r>
      <w:proofErr w:type="spellEnd"/>
      <w:r>
        <w:rPr>
          <w:sz w:val="24"/>
          <w:szCs w:val="24"/>
        </w:rPr>
        <w:t xml:space="preserve">, J. S., </w:t>
      </w:r>
      <w:proofErr w:type="spellStart"/>
      <w:r>
        <w:rPr>
          <w:sz w:val="24"/>
          <w:szCs w:val="24"/>
        </w:rPr>
        <w:t>Alviola</w:t>
      </w:r>
      <w:proofErr w:type="spellEnd"/>
      <w:r>
        <w:rPr>
          <w:sz w:val="24"/>
          <w:szCs w:val="24"/>
        </w:rPr>
        <w:t xml:space="preserve">, P., Taniguchi, S., </w:t>
      </w:r>
      <w:proofErr w:type="spellStart"/>
      <w:r>
        <w:rPr>
          <w:sz w:val="24"/>
          <w:szCs w:val="24"/>
        </w:rPr>
        <w:t>Cosico</w:t>
      </w:r>
      <w:proofErr w:type="spellEnd"/>
      <w:r>
        <w:rPr>
          <w:sz w:val="24"/>
          <w:szCs w:val="24"/>
        </w:rPr>
        <w:t>, E....</w:t>
      </w:r>
      <w:proofErr w:type="spellStart"/>
      <w:r>
        <w:rPr>
          <w:sz w:val="24"/>
          <w:szCs w:val="24"/>
        </w:rPr>
        <w:t>Omatsu</w:t>
      </w:r>
      <w:proofErr w:type="spellEnd"/>
      <w:r>
        <w:rPr>
          <w:sz w:val="24"/>
          <w:szCs w:val="24"/>
        </w:rPr>
        <w:t xml:space="preserve">, T. (2025). </w:t>
      </w:r>
      <w:proofErr w:type="spellStart"/>
      <w:r>
        <w:rPr>
          <w:sz w:val="24"/>
          <w:szCs w:val="24"/>
        </w:rPr>
        <w:t>Nipah</w:t>
      </w:r>
      <w:proofErr w:type="spellEnd"/>
      <w:r>
        <w:rPr>
          <w:sz w:val="24"/>
          <w:szCs w:val="24"/>
        </w:rPr>
        <w:t xml:space="preserve"> Virus Antibodies in Bats, the Philippines, 2013–</w:t>
      </w:r>
      <w:r>
        <w:rPr>
          <w:sz w:val="24"/>
          <w:szCs w:val="24"/>
        </w:rPr>
        <w:lastRenderedPageBreak/>
        <w:t xml:space="preserve">2022. </w:t>
      </w:r>
      <w:r>
        <w:rPr>
          <w:i/>
          <w:iCs/>
          <w:sz w:val="24"/>
          <w:szCs w:val="24"/>
        </w:rPr>
        <w:t>Emerging Infectious Diseases</w:t>
      </w:r>
      <w:r>
        <w:rPr>
          <w:sz w:val="24"/>
          <w:szCs w:val="24"/>
        </w:rPr>
        <w:t xml:space="preserve">, </w:t>
      </w:r>
      <w:r>
        <w:rPr>
          <w:i/>
          <w:iCs/>
          <w:sz w:val="24"/>
          <w:szCs w:val="24"/>
        </w:rPr>
        <w:t>31</w:t>
      </w:r>
      <w:r>
        <w:rPr>
          <w:sz w:val="24"/>
          <w:szCs w:val="24"/>
        </w:rPr>
        <w:t>(8), 1670-1673. https://doi.org/10.3201</w:t>
      </w:r>
      <w:r>
        <w:rPr>
          <w:sz w:val="24"/>
          <w:szCs w:val="24"/>
        </w:rPr>
        <w:t>/eid3108.250210.</w:t>
      </w:r>
    </w:p>
    <w:p w:rsidR="00BE553F" w:rsidRDefault="00CD794B">
      <w:pPr>
        <w:spacing w:before="240" w:after="240"/>
        <w:ind w:left="720"/>
        <w:jc w:val="both"/>
        <w:rPr>
          <w:sz w:val="24"/>
          <w:szCs w:val="24"/>
        </w:rPr>
      </w:pPr>
      <w:r>
        <w:rPr>
          <w:sz w:val="24"/>
          <w:szCs w:val="24"/>
        </w:rPr>
        <w:t xml:space="preserve">Khan, S., Akbar, S. M. F., </w:t>
      </w:r>
      <w:proofErr w:type="spellStart"/>
      <w:r>
        <w:rPr>
          <w:sz w:val="24"/>
          <w:szCs w:val="24"/>
        </w:rPr>
        <w:t>Mahtab</w:t>
      </w:r>
      <w:proofErr w:type="spellEnd"/>
      <w:r>
        <w:rPr>
          <w:sz w:val="24"/>
          <w:szCs w:val="24"/>
        </w:rPr>
        <w:t xml:space="preserve">, M. A., Uddin, M. N., Rashid, M. M., </w:t>
      </w:r>
      <w:proofErr w:type="spellStart"/>
      <w:r>
        <w:rPr>
          <w:sz w:val="24"/>
          <w:szCs w:val="24"/>
        </w:rPr>
        <w:t>Yahiro</w:t>
      </w:r>
      <w:proofErr w:type="spellEnd"/>
      <w:r>
        <w:rPr>
          <w:sz w:val="24"/>
          <w:szCs w:val="24"/>
        </w:rPr>
        <w:t xml:space="preserve">, T., Hashimoto, T., </w:t>
      </w:r>
      <w:proofErr w:type="spellStart"/>
      <w:r>
        <w:rPr>
          <w:sz w:val="24"/>
          <w:szCs w:val="24"/>
        </w:rPr>
        <w:t>Kimitsuki</w:t>
      </w:r>
      <w:proofErr w:type="spellEnd"/>
      <w:r>
        <w:rPr>
          <w:sz w:val="24"/>
          <w:szCs w:val="24"/>
        </w:rPr>
        <w:t xml:space="preserve">, K., &amp; </w:t>
      </w:r>
      <w:proofErr w:type="spellStart"/>
      <w:r>
        <w:rPr>
          <w:sz w:val="24"/>
          <w:szCs w:val="24"/>
        </w:rPr>
        <w:t>Nishizono</w:t>
      </w:r>
      <w:proofErr w:type="spellEnd"/>
      <w:r>
        <w:rPr>
          <w:sz w:val="24"/>
          <w:szCs w:val="24"/>
        </w:rPr>
        <w:t xml:space="preserve">, A. (2024). Twenty-five years of </w:t>
      </w:r>
      <w:proofErr w:type="spellStart"/>
      <w:r>
        <w:rPr>
          <w:sz w:val="24"/>
          <w:szCs w:val="24"/>
        </w:rPr>
        <w:t>Nipah</w:t>
      </w:r>
      <w:proofErr w:type="spellEnd"/>
      <w:r>
        <w:rPr>
          <w:sz w:val="24"/>
          <w:szCs w:val="24"/>
        </w:rPr>
        <w:t xml:space="preserve"> outbreaks in Southeast Asia: A persistent threat to global health. </w:t>
      </w:r>
      <w:r>
        <w:rPr>
          <w:i/>
          <w:iCs/>
          <w:sz w:val="24"/>
          <w:szCs w:val="24"/>
        </w:rPr>
        <w:t xml:space="preserve">IJID </w:t>
      </w:r>
      <w:r>
        <w:rPr>
          <w:i/>
          <w:iCs/>
          <w:sz w:val="24"/>
          <w:szCs w:val="24"/>
        </w:rPr>
        <w:t>Regions, 13,</w:t>
      </w:r>
      <w:r>
        <w:rPr>
          <w:sz w:val="24"/>
          <w:szCs w:val="24"/>
        </w:rPr>
        <w:t xml:space="preserve"> 100434.</w:t>
      </w:r>
      <w:hyperlink r:id="rId18">
        <w:r>
          <w:rPr>
            <w:sz w:val="24"/>
            <w:szCs w:val="24"/>
          </w:rPr>
          <w:t xml:space="preserve"> https://doi.org/10.1016/j.ijregi.2024.100434</w:t>
        </w:r>
      </w:hyperlink>
    </w:p>
    <w:p w:rsidR="00BE553F" w:rsidRDefault="00CD794B">
      <w:pPr>
        <w:spacing w:before="240" w:after="240"/>
        <w:ind w:left="720"/>
        <w:jc w:val="both"/>
        <w:rPr>
          <w:sz w:val="24"/>
          <w:szCs w:val="24"/>
        </w:rPr>
      </w:pPr>
      <w:r>
        <w:rPr>
          <w:sz w:val="24"/>
          <w:szCs w:val="24"/>
        </w:rPr>
        <w:t xml:space="preserve">Kluge H, Martín-Moreno JM, </w:t>
      </w:r>
      <w:proofErr w:type="spellStart"/>
      <w:r>
        <w:rPr>
          <w:sz w:val="24"/>
          <w:szCs w:val="24"/>
        </w:rPr>
        <w:t>Emiroglu</w:t>
      </w:r>
      <w:proofErr w:type="spellEnd"/>
      <w:r>
        <w:rPr>
          <w:sz w:val="24"/>
          <w:szCs w:val="24"/>
        </w:rPr>
        <w:t xml:space="preserve"> N, </w:t>
      </w:r>
      <w:proofErr w:type="spellStart"/>
      <w:r>
        <w:rPr>
          <w:sz w:val="24"/>
          <w:szCs w:val="24"/>
        </w:rPr>
        <w:t>Rodier</w:t>
      </w:r>
      <w:proofErr w:type="spellEnd"/>
      <w:r>
        <w:rPr>
          <w:sz w:val="24"/>
          <w:szCs w:val="24"/>
        </w:rPr>
        <w:t xml:space="preserve"> G, Kelley E, </w:t>
      </w:r>
      <w:proofErr w:type="spellStart"/>
      <w:r>
        <w:rPr>
          <w:sz w:val="24"/>
          <w:szCs w:val="24"/>
        </w:rPr>
        <w:t>Vujnovic</w:t>
      </w:r>
      <w:proofErr w:type="spellEnd"/>
      <w:r>
        <w:rPr>
          <w:sz w:val="24"/>
          <w:szCs w:val="24"/>
        </w:rPr>
        <w:t xml:space="preserve"> M, </w:t>
      </w:r>
      <w:proofErr w:type="spellStart"/>
      <w:r>
        <w:rPr>
          <w:sz w:val="24"/>
          <w:szCs w:val="24"/>
        </w:rPr>
        <w:t>Permanand</w:t>
      </w:r>
      <w:proofErr w:type="spellEnd"/>
      <w:r>
        <w:rPr>
          <w:sz w:val="24"/>
          <w:szCs w:val="24"/>
        </w:rPr>
        <w:t xml:space="preserve"> G. Strengthening global health security by em</w:t>
      </w:r>
      <w:r>
        <w:rPr>
          <w:sz w:val="24"/>
          <w:szCs w:val="24"/>
        </w:rPr>
        <w:t>bedding the International Health Regulations requirements into national health systems. BMJ Glob Health. 2018 Jan 20;3(Suppl 1</w:t>
      </w:r>
      <w:proofErr w:type="gramStart"/>
      <w:r>
        <w:rPr>
          <w:sz w:val="24"/>
          <w:szCs w:val="24"/>
        </w:rPr>
        <w:t>):e</w:t>
      </w:r>
      <w:proofErr w:type="gramEnd"/>
      <w:r>
        <w:rPr>
          <w:sz w:val="24"/>
          <w:szCs w:val="24"/>
        </w:rPr>
        <w:t xml:space="preserve">000656. </w:t>
      </w:r>
      <w:proofErr w:type="spellStart"/>
      <w:r>
        <w:rPr>
          <w:sz w:val="24"/>
          <w:szCs w:val="24"/>
        </w:rPr>
        <w:t>doi</w:t>
      </w:r>
      <w:proofErr w:type="spellEnd"/>
      <w:r>
        <w:rPr>
          <w:sz w:val="24"/>
          <w:szCs w:val="24"/>
        </w:rPr>
        <w:t>: 10.1136/bmjgh-2017-000656. PMID: 29379650; PMCID: PMC5783036.</w:t>
      </w:r>
    </w:p>
    <w:p w:rsidR="00BE553F" w:rsidRDefault="00CD794B">
      <w:pPr>
        <w:spacing w:before="240" w:after="240"/>
        <w:ind w:left="720"/>
        <w:jc w:val="both"/>
        <w:rPr>
          <w:sz w:val="24"/>
          <w:szCs w:val="24"/>
          <w:lang w:val="en-US"/>
        </w:rPr>
      </w:pPr>
      <w:r>
        <w:rPr>
          <w:sz w:val="24"/>
          <w:szCs w:val="24"/>
        </w:rPr>
        <w:t xml:space="preserve">Manila Bulletin. (2023, September 22). </w:t>
      </w:r>
      <w:r>
        <w:rPr>
          <w:i/>
          <w:iCs/>
          <w:sz w:val="24"/>
          <w:szCs w:val="24"/>
        </w:rPr>
        <w:t xml:space="preserve">PH remains </w:t>
      </w:r>
      <w:proofErr w:type="spellStart"/>
      <w:r>
        <w:rPr>
          <w:i/>
          <w:iCs/>
          <w:sz w:val="24"/>
          <w:szCs w:val="24"/>
        </w:rPr>
        <w:t>Ni</w:t>
      </w:r>
      <w:r>
        <w:rPr>
          <w:i/>
          <w:iCs/>
          <w:sz w:val="24"/>
          <w:szCs w:val="24"/>
        </w:rPr>
        <w:t>pah</w:t>
      </w:r>
      <w:proofErr w:type="spellEnd"/>
      <w:r>
        <w:rPr>
          <w:i/>
          <w:iCs/>
          <w:sz w:val="24"/>
          <w:szCs w:val="24"/>
        </w:rPr>
        <w:t xml:space="preserve"> virus-free</w:t>
      </w:r>
      <w:r>
        <w:rPr>
          <w:sz w:val="24"/>
          <w:szCs w:val="24"/>
        </w:rPr>
        <w:t>.</w:t>
      </w:r>
      <w:r>
        <w:rPr>
          <w:sz w:val="24"/>
          <w:szCs w:val="24"/>
          <w:lang w:val="en-US"/>
        </w:rPr>
        <w:t xml:space="preserve"> </w:t>
      </w:r>
      <w:r>
        <w:rPr>
          <w:sz w:val="24"/>
          <w:szCs w:val="24"/>
          <w:highlight w:val="yellow"/>
          <w:lang w:val="en-US"/>
        </w:rPr>
        <w:t>https://mb.com.ph/2023/9/22/ph-remains-nipah-virus-free</w:t>
      </w:r>
    </w:p>
    <w:p w:rsidR="00BE553F" w:rsidRDefault="00CD794B">
      <w:pPr>
        <w:spacing w:before="240" w:after="240"/>
        <w:ind w:left="720"/>
        <w:jc w:val="both"/>
        <w:rPr>
          <w:sz w:val="24"/>
          <w:szCs w:val="24"/>
        </w:rPr>
      </w:pPr>
      <w:proofErr w:type="spellStart"/>
      <w:r>
        <w:rPr>
          <w:sz w:val="24"/>
          <w:szCs w:val="24"/>
        </w:rPr>
        <w:t>Matibag</w:t>
      </w:r>
      <w:proofErr w:type="spellEnd"/>
      <w:r>
        <w:rPr>
          <w:sz w:val="24"/>
          <w:szCs w:val="24"/>
        </w:rPr>
        <w:t xml:space="preserve">, S. (2026, January 28). DOH assures preparedness for </w:t>
      </w:r>
      <w:proofErr w:type="spellStart"/>
      <w:r>
        <w:rPr>
          <w:sz w:val="24"/>
          <w:szCs w:val="24"/>
        </w:rPr>
        <w:t>Nipah</w:t>
      </w:r>
      <w:proofErr w:type="spellEnd"/>
      <w:r>
        <w:rPr>
          <w:sz w:val="24"/>
          <w:szCs w:val="24"/>
        </w:rPr>
        <w:t xml:space="preserve"> virus. </w:t>
      </w:r>
      <w:proofErr w:type="spellStart"/>
      <w:r>
        <w:rPr>
          <w:i/>
          <w:iCs/>
          <w:sz w:val="24"/>
          <w:szCs w:val="24"/>
        </w:rPr>
        <w:t>Brigada</w:t>
      </w:r>
      <w:proofErr w:type="spellEnd"/>
      <w:r>
        <w:rPr>
          <w:i/>
          <w:iCs/>
          <w:sz w:val="24"/>
          <w:szCs w:val="24"/>
        </w:rPr>
        <w:t xml:space="preserve"> News Philippines.</w:t>
      </w:r>
      <w:hyperlink r:id="rId19">
        <w:r>
          <w:rPr>
            <w:sz w:val="24"/>
            <w:szCs w:val="24"/>
          </w:rPr>
          <w:t xml:space="preserve"> https://www.brigadanews.ph/doh-assures-preparedness-for-nipah-virus/</w:t>
        </w:r>
      </w:hyperlink>
    </w:p>
    <w:p w:rsidR="00BE553F" w:rsidRDefault="00CD794B">
      <w:pPr>
        <w:spacing w:before="240" w:after="240"/>
        <w:ind w:left="720"/>
        <w:jc w:val="both"/>
        <w:rPr>
          <w:sz w:val="24"/>
          <w:szCs w:val="24"/>
        </w:rPr>
      </w:pPr>
      <w:r>
        <w:rPr>
          <w:sz w:val="24"/>
          <w:szCs w:val="24"/>
        </w:rPr>
        <w:t>Mazzola LT, Kelly-</w:t>
      </w:r>
      <w:proofErr w:type="spellStart"/>
      <w:r>
        <w:rPr>
          <w:sz w:val="24"/>
          <w:szCs w:val="24"/>
        </w:rPr>
        <w:t>Cirino</w:t>
      </w:r>
      <w:proofErr w:type="spellEnd"/>
      <w:r>
        <w:rPr>
          <w:sz w:val="24"/>
          <w:szCs w:val="24"/>
        </w:rPr>
        <w:t xml:space="preserve"> C. Diagnostics for </w:t>
      </w:r>
      <w:proofErr w:type="spellStart"/>
      <w:r>
        <w:rPr>
          <w:sz w:val="24"/>
          <w:szCs w:val="24"/>
        </w:rPr>
        <w:t>Nipah</w:t>
      </w:r>
      <w:proofErr w:type="spellEnd"/>
      <w:r>
        <w:rPr>
          <w:sz w:val="24"/>
          <w:szCs w:val="24"/>
        </w:rPr>
        <w:t xml:space="preserve"> virus: a zoonotic pathogen endemic to Southeast Asia. BMJ Global Health. 2019;</w:t>
      </w:r>
      <w:proofErr w:type="gramStart"/>
      <w:r>
        <w:rPr>
          <w:sz w:val="24"/>
          <w:szCs w:val="24"/>
        </w:rPr>
        <w:t>4:e</w:t>
      </w:r>
      <w:proofErr w:type="gramEnd"/>
      <w:r>
        <w:rPr>
          <w:sz w:val="24"/>
          <w:szCs w:val="24"/>
        </w:rPr>
        <w:t xml:space="preserve">001118. </w:t>
      </w:r>
      <w:hyperlink r:id="rId20">
        <w:r>
          <w:rPr>
            <w:sz w:val="24"/>
            <w:szCs w:val="24"/>
          </w:rPr>
          <w:t>https://doi.org/10.1136/bmjgh-2018-001118</w:t>
        </w:r>
      </w:hyperlink>
    </w:p>
    <w:p w:rsidR="00BE553F" w:rsidRDefault="00CD794B">
      <w:pPr>
        <w:spacing w:before="240" w:after="240"/>
        <w:ind w:left="720"/>
        <w:jc w:val="both"/>
        <w:rPr>
          <w:sz w:val="24"/>
          <w:szCs w:val="24"/>
        </w:rPr>
      </w:pPr>
      <w:r>
        <w:rPr>
          <w:sz w:val="24"/>
          <w:szCs w:val="24"/>
        </w:rPr>
        <w:t xml:space="preserve">Page, M. J., McKenzie, J. E., </w:t>
      </w:r>
      <w:proofErr w:type="spellStart"/>
      <w:r>
        <w:rPr>
          <w:sz w:val="24"/>
          <w:szCs w:val="24"/>
        </w:rPr>
        <w:t>Bossuyt</w:t>
      </w:r>
      <w:proofErr w:type="spellEnd"/>
      <w:r>
        <w:rPr>
          <w:sz w:val="24"/>
          <w:szCs w:val="24"/>
        </w:rPr>
        <w:t xml:space="preserve">, P. M., et al. (2021). The PRISMA 2020 statement: An updated guideline for reporting systematic reviews. </w:t>
      </w:r>
      <w:r>
        <w:rPr>
          <w:i/>
          <w:iCs/>
          <w:sz w:val="24"/>
          <w:szCs w:val="24"/>
        </w:rPr>
        <w:t>BMJ</w:t>
      </w:r>
      <w:r>
        <w:rPr>
          <w:sz w:val="24"/>
          <w:szCs w:val="24"/>
        </w:rPr>
        <w:t>, 372, n71.</w:t>
      </w:r>
      <w:r>
        <w:rPr>
          <w:sz w:val="24"/>
          <w:szCs w:val="24"/>
        </w:rPr>
        <w:br/>
      </w:r>
      <w:hyperlink r:id="rId21">
        <w:r>
          <w:rPr>
            <w:sz w:val="24"/>
            <w:szCs w:val="24"/>
          </w:rPr>
          <w:t>https://doi.org/10.1136/bmj.n71</w:t>
        </w:r>
      </w:hyperlink>
    </w:p>
    <w:p w:rsidR="00BE553F" w:rsidRDefault="00CD794B">
      <w:pPr>
        <w:spacing w:before="240" w:after="240"/>
        <w:ind w:left="720"/>
        <w:jc w:val="both"/>
        <w:rPr>
          <w:sz w:val="24"/>
          <w:szCs w:val="24"/>
        </w:rPr>
      </w:pPr>
      <w:r>
        <w:rPr>
          <w:sz w:val="24"/>
          <w:szCs w:val="24"/>
        </w:rPr>
        <w:t xml:space="preserve">Plowright, R. K., Parrish, C. R., McCallum, H., et al. (2017). Pathways to zoonotic spillover. </w:t>
      </w:r>
      <w:r>
        <w:rPr>
          <w:i/>
          <w:iCs/>
          <w:sz w:val="24"/>
          <w:szCs w:val="24"/>
        </w:rPr>
        <w:t>Nature Reviews Microbiology</w:t>
      </w:r>
      <w:r>
        <w:rPr>
          <w:sz w:val="24"/>
          <w:szCs w:val="24"/>
        </w:rPr>
        <w:t>, 15, 502–510.</w:t>
      </w:r>
      <w:r>
        <w:rPr>
          <w:sz w:val="24"/>
          <w:szCs w:val="24"/>
        </w:rPr>
        <w:br/>
      </w:r>
      <w:hyperlink r:id="rId22">
        <w:r>
          <w:rPr>
            <w:sz w:val="24"/>
            <w:szCs w:val="24"/>
          </w:rPr>
          <w:t>https://doi.org/10.</w:t>
        </w:r>
        <w:r>
          <w:rPr>
            <w:sz w:val="24"/>
            <w:szCs w:val="24"/>
          </w:rPr>
          <w:t>1038/nrmicro.2017.45</w:t>
        </w:r>
      </w:hyperlink>
    </w:p>
    <w:p w:rsidR="00BE553F" w:rsidRDefault="00CD794B">
      <w:pPr>
        <w:spacing w:before="240" w:after="240"/>
        <w:ind w:left="720"/>
        <w:jc w:val="both"/>
        <w:rPr>
          <w:sz w:val="24"/>
          <w:szCs w:val="24"/>
          <w:lang w:val="en-US"/>
        </w:rPr>
      </w:pPr>
      <w:proofErr w:type="spellStart"/>
      <w:r>
        <w:rPr>
          <w:sz w:val="24"/>
          <w:szCs w:val="24"/>
        </w:rPr>
        <w:t>Quismorio</w:t>
      </w:r>
      <w:proofErr w:type="spellEnd"/>
      <w:r>
        <w:rPr>
          <w:sz w:val="24"/>
          <w:szCs w:val="24"/>
        </w:rPr>
        <w:t xml:space="preserve">, E. (2023, September 25). </w:t>
      </w:r>
      <w:r>
        <w:rPr>
          <w:i/>
          <w:iCs/>
          <w:sz w:val="24"/>
          <w:szCs w:val="24"/>
        </w:rPr>
        <w:t xml:space="preserve">Wash your fruits! Ex-DOH chief </w:t>
      </w:r>
      <w:proofErr w:type="spellStart"/>
      <w:r>
        <w:rPr>
          <w:i/>
          <w:iCs/>
          <w:sz w:val="24"/>
          <w:szCs w:val="24"/>
        </w:rPr>
        <w:t>Garin</w:t>
      </w:r>
      <w:proofErr w:type="spellEnd"/>
      <w:r>
        <w:rPr>
          <w:i/>
          <w:iCs/>
          <w:sz w:val="24"/>
          <w:szCs w:val="24"/>
        </w:rPr>
        <w:t xml:space="preserve"> comments on </w:t>
      </w:r>
      <w:proofErr w:type="spellStart"/>
      <w:r>
        <w:rPr>
          <w:i/>
          <w:iCs/>
          <w:sz w:val="24"/>
          <w:szCs w:val="24"/>
        </w:rPr>
        <w:t>Nipah</w:t>
      </w:r>
      <w:proofErr w:type="spellEnd"/>
      <w:r>
        <w:rPr>
          <w:i/>
          <w:iCs/>
          <w:sz w:val="24"/>
          <w:szCs w:val="24"/>
        </w:rPr>
        <w:t xml:space="preserve"> virus concerns</w:t>
      </w:r>
      <w:r>
        <w:rPr>
          <w:sz w:val="24"/>
          <w:szCs w:val="24"/>
        </w:rPr>
        <w:t xml:space="preserve">. </w:t>
      </w:r>
      <w:r>
        <w:rPr>
          <w:i/>
          <w:iCs/>
          <w:sz w:val="24"/>
          <w:szCs w:val="24"/>
        </w:rPr>
        <w:t>Manila Bulletin</w:t>
      </w:r>
      <w:r>
        <w:rPr>
          <w:sz w:val="24"/>
          <w:szCs w:val="24"/>
        </w:rPr>
        <w:t>.</w:t>
      </w:r>
      <w:r>
        <w:rPr>
          <w:sz w:val="24"/>
          <w:szCs w:val="24"/>
          <w:lang w:val="en-US"/>
        </w:rPr>
        <w:t xml:space="preserve"> </w:t>
      </w:r>
      <w:r>
        <w:rPr>
          <w:sz w:val="24"/>
          <w:szCs w:val="24"/>
          <w:highlight w:val="yellow"/>
          <w:lang w:val="en-US"/>
        </w:rPr>
        <w:t>https://mb.com.ph/2023/9/25/wash-your-fruits-ex-doh-chief-garin-comments-on-nipah-virus-concerns</w:t>
      </w:r>
    </w:p>
    <w:p w:rsidR="00BE553F" w:rsidRDefault="00CD794B">
      <w:pPr>
        <w:spacing w:before="240" w:after="240"/>
        <w:ind w:left="720"/>
        <w:jc w:val="both"/>
        <w:rPr>
          <w:sz w:val="24"/>
          <w:szCs w:val="24"/>
        </w:rPr>
      </w:pPr>
      <w:r>
        <w:rPr>
          <w:sz w:val="24"/>
          <w:szCs w:val="24"/>
        </w:rPr>
        <w:t>Ramos, R. L</w:t>
      </w:r>
      <w:r>
        <w:rPr>
          <w:sz w:val="24"/>
          <w:szCs w:val="24"/>
        </w:rPr>
        <w:t xml:space="preserve">., &amp; </w:t>
      </w:r>
      <w:proofErr w:type="spellStart"/>
      <w:r>
        <w:rPr>
          <w:sz w:val="24"/>
          <w:szCs w:val="24"/>
        </w:rPr>
        <w:t>Nemenzo-Calica</w:t>
      </w:r>
      <w:proofErr w:type="spellEnd"/>
      <w:r>
        <w:rPr>
          <w:sz w:val="24"/>
          <w:szCs w:val="24"/>
        </w:rPr>
        <w:t xml:space="preserve">, P. (2025). Flying fox species identification and habitat assessment on </w:t>
      </w:r>
      <w:proofErr w:type="spellStart"/>
      <w:r>
        <w:rPr>
          <w:sz w:val="24"/>
          <w:szCs w:val="24"/>
        </w:rPr>
        <w:t>Luban</w:t>
      </w:r>
      <w:proofErr w:type="spellEnd"/>
      <w:r>
        <w:rPr>
          <w:sz w:val="24"/>
          <w:szCs w:val="24"/>
        </w:rPr>
        <w:t xml:space="preserve"> Island, Philippines: Evidence of ecological shifts and conservation implications. </w:t>
      </w:r>
      <w:r>
        <w:rPr>
          <w:i/>
          <w:iCs/>
          <w:sz w:val="24"/>
          <w:szCs w:val="24"/>
        </w:rPr>
        <w:t>Davao Research Journal, 16</w:t>
      </w:r>
      <w:r>
        <w:rPr>
          <w:sz w:val="24"/>
          <w:szCs w:val="24"/>
        </w:rPr>
        <w:t>(2), 117–129.</w:t>
      </w:r>
      <w:hyperlink r:id="rId23">
        <w:r>
          <w:rPr>
            <w:sz w:val="24"/>
            <w:szCs w:val="24"/>
          </w:rPr>
          <w:t xml:space="preserve"> https://doi.org/10.59120/drj.v16i2.389</w:t>
        </w:r>
      </w:hyperlink>
    </w:p>
    <w:p w:rsidR="00BE553F" w:rsidRDefault="00CD794B">
      <w:pPr>
        <w:spacing w:before="240" w:after="240"/>
        <w:ind w:left="720"/>
        <w:jc w:val="both"/>
        <w:rPr>
          <w:sz w:val="24"/>
          <w:szCs w:val="24"/>
        </w:rPr>
      </w:pPr>
      <w:r>
        <w:rPr>
          <w:color w:val="222222"/>
          <w:sz w:val="24"/>
          <w:szCs w:val="24"/>
        </w:rPr>
        <w:lastRenderedPageBreak/>
        <w:t xml:space="preserve">Rathish B, </w:t>
      </w:r>
      <w:proofErr w:type="spellStart"/>
      <w:r>
        <w:rPr>
          <w:color w:val="222222"/>
          <w:sz w:val="24"/>
          <w:szCs w:val="24"/>
        </w:rPr>
        <w:t>Vaishnani</w:t>
      </w:r>
      <w:proofErr w:type="spellEnd"/>
      <w:r>
        <w:rPr>
          <w:color w:val="222222"/>
          <w:sz w:val="24"/>
          <w:szCs w:val="24"/>
        </w:rPr>
        <w:t xml:space="preserve"> K. </w:t>
      </w:r>
      <w:proofErr w:type="spellStart"/>
      <w:r>
        <w:rPr>
          <w:color w:val="222222"/>
          <w:sz w:val="24"/>
          <w:szCs w:val="24"/>
        </w:rPr>
        <w:t>Nipah</w:t>
      </w:r>
      <w:proofErr w:type="spellEnd"/>
      <w:r>
        <w:rPr>
          <w:color w:val="222222"/>
          <w:sz w:val="24"/>
          <w:szCs w:val="24"/>
        </w:rPr>
        <w:t xml:space="preserve"> Virus. [Updated 2023 Apr 24]. In: </w:t>
      </w:r>
      <w:proofErr w:type="spellStart"/>
      <w:r>
        <w:rPr>
          <w:color w:val="222222"/>
          <w:sz w:val="24"/>
          <w:szCs w:val="24"/>
        </w:rPr>
        <w:t>StatPearls</w:t>
      </w:r>
      <w:proofErr w:type="spellEnd"/>
      <w:r>
        <w:rPr>
          <w:color w:val="222222"/>
          <w:sz w:val="24"/>
          <w:szCs w:val="24"/>
        </w:rPr>
        <w:t xml:space="preserve"> [Internet]. Treasure Island (FL): </w:t>
      </w:r>
      <w:proofErr w:type="spellStart"/>
      <w:r>
        <w:rPr>
          <w:color w:val="222222"/>
          <w:sz w:val="24"/>
          <w:szCs w:val="24"/>
        </w:rPr>
        <w:t>StatPearls</w:t>
      </w:r>
      <w:proofErr w:type="spellEnd"/>
      <w:r>
        <w:rPr>
          <w:color w:val="222222"/>
          <w:sz w:val="24"/>
          <w:szCs w:val="24"/>
        </w:rPr>
        <w:t xml:space="preserve"> Publishing; 2025 Jan-. Available from: https://www.ncbi.nlm.nih.gov/books/N</w:t>
      </w:r>
      <w:r>
        <w:rPr>
          <w:color w:val="222222"/>
          <w:sz w:val="24"/>
          <w:szCs w:val="24"/>
        </w:rPr>
        <w:t>BK570576/</w:t>
      </w:r>
    </w:p>
    <w:p w:rsidR="00BE553F" w:rsidRDefault="00CD794B">
      <w:pPr>
        <w:spacing w:before="240" w:after="240"/>
        <w:ind w:left="720"/>
        <w:jc w:val="both"/>
        <w:rPr>
          <w:sz w:val="24"/>
          <w:szCs w:val="24"/>
        </w:rPr>
      </w:pPr>
      <w:proofErr w:type="spellStart"/>
      <w:r>
        <w:rPr>
          <w:sz w:val="24"/>
          <w:szCs w:val="24"/>
        </w:rPr>
        <w:t>Rekedal</w:t>
      </w:r>
      <w:proofErr w:type="spellEnd"/>
      <w:r>
        <w:rPr>
          <w:sz w:val="24"/>
          <w:szCs w:val="24"/>
        </w:rPr>
        <w:t xml:space="preserve"> MS, </w:t>
      </w:r>
      <w:proofErr w:type="spellStart"/>
      <w:r>
        <w:rPr>
          <w:sz w:val="24"/>
          <w:szCs w:val="24"/>
        </w:rPr>
        <w:t>Noroña</w:t>
      </w:r>
      <w:proofErr w:type="spellEnd"/>
      <w:r>
        <w:rPr>
          <w:sz w:val="24"/>
          <w:szCs w:val="24"/>
        </w:rPr>
        <w:t xml:space="preserve"> MG, Café JAP, Mittal N, Borthwick SA, </w:t>
      </w:r>
      <w:proofErr w:type="spellStart"/>
      <w:r>
        <w:rPr>
          <w:sz w:val="24"/>
          <w:szCs w:val="24"/>
        </w:rPr>
        <w:t>Taray</w:t>
      </w:r>
      <w:proofErr w:type="spellEnd"/>
      <w:r>
        <w:rPr>
          <w:sz w:val="24"/>
          <w:szCs w:val="24"/>
        </w:rPr>
        <w:t xml:space="preserve"> KJ, Garcia JJL, </w:t>
      </w:r>
      <w:proofErr w:type="spellStart"/>
      <w:r>
        <w:rPr>
          <w:sz w:val="24"/>
          <w:szCs w:val="24"/>
        </w:rPr>
        <w:t>Magsanoc</w:t>
      </w:r>
      <w:proofErr w:type="spellEnd"/>
      <w:r>
        <w:rPr>
          <w:sz w:val="24"/>
          <w:szCs w:val="24"/>
        </w:rPr>
        <w:t xml:space="preserve"> SL, Cruz HR, Manzano DJ, Yan L, Low DHW, Hayman DTS, </w:t>
      </w:r>
      <w:proofErr w:type="spellStart"/>
      <w:r>
        <w:rPr>
          <w:sz w:val="24"/>
          <w:szCs w:val="24"/>
        </w:rPr>
        <w:t>Dacuma</w:t>
      </w:r>
      <w:proofErr w:type="spellEnd"/>
      <w:r>
        <w:rPr>
          <w:sz w:val="24"/>
          <w:szCs w:val="24"/>
        </w:rPr>
        <w:t xml:space="preserve"> MG, Demetria C, </w:t>
      </w:r>
      <w:proofErr w:type="spellStart"/>
      <w:r>
        <w:rPr>
          <w:sz w:val="24"/>
          <w:szCs w:val="24"/>
        </w:rPr>
        <w:t>Alviola</w:t>
      </w:r>
      <w:proofErr w:type="spellEnd"/>
      <w:r>
        <w:rPr>
          <w:sz w:val="24"/>
          <w:szCs w:val="24"/>
        </w:rPr>
        <w:t xml:space="preserve"> PA, </w:t>
      </w:r>
      <w:proofErr w:type="spellStart"/>
      <w:r>
        <w:rPr>
          <w:sz w:val="24"/>
          <w:szCs w:val="24"/>
        </w:rPr>
        <w:t>Malbas</w:t>
      </w:r>
      <w:proofErr w:type="spellEnd"/>
      <w:r>
        <w:rPr>
          <w:sz w:val="24"/>
          <w:szCs w:val="24"/>
        </w:rPr>
        <w:t xml:space="preserve"> FF, Smith GJD, Laing ED. Seroprevalence of </w:t>
      </w:r>
      <w:proofErr w:type="spellStart"/>
      <w:r>
        <w:rPr>
          <w:sz w:val="24"/>
          <w:szCs w:val="24"/>
        </w:rPr>
        <w:t>Nipah</w:t>
      </w:r>
      <w:proofErr w:type="spellEnd"/>
      <w:r>
        <w:rPr>
          <w:sz w:val="24"/>
          <w:szCs w:val="24"/>
        </w:rPr>
        <w:t xml:space="preserve"> virus and </w:t>
      </w:r>
      <w:r>
        <w:rPr>
          <w:sz w:val="24"/>
          <w:szCs w:val="24"/>
        </w:rPr>
        <w:t xml:space="preserve">related paramyxoviruses in native frugivorous bats, Luzon, Philippines. </w:t>
      </w:r>
      <w:proofErr w:type="spellStart"/>
      <w:r>
        <w:rPr>
          <w:sz w:val="24"/>
          <w:szCs w:val="24"/>
        </w:rPr>
        <w:t>Emerg</w:t>
      </w:r>
      <w:proofErr w:type="spellEnd"/>
      <w:r>
        <w:rPr>
          <w:sz w:val="24"/>
          <w:szCs w:val="24"/>
        </w:rPr>
        <w:t xml:space="preserve"> Microbes Infect. 2025 Dec;14(1):2555720. </w:t>
      </w:r>
      <w:proofErr w:type="spellStart"/>
      <w:r>
        <w:rPr>
          <w:sz w:val="24"/>
          <w:szCs w:val="24"/>
        </w:rPr>
        <w:t>doi</w:t>
      </w:r>
      <w:proofErr w:type="spellEnd"/>
      <w:r>
        <w:rPr>
          <w:sz w:val="24"/>
          <w:szCs w:val="24"/>
        </w:rPr>
        <w:t xml:space="preserve">: 10.1080/22221751.2025.2555720. </w:t>
      </w:r>
      <w:proofErr w:type="spellStart"/>
      <w:r>
        <w:rPr>
          <w:sz w:val="24"/>
          <w:szCs w:val="24"/>
        </w:rPr>
        <w:t>Epub</w:t>
      </w:r>
      <w:proofErr w:type="spellEnd"/>
      <w:r>
        <w:rPr>
          <w:sz w:val="24"/>
          <w:szCs w:val="24"/>
        </w:rPr>
        <w:t xml:space="preserve"> 2025 Sep 29. PMID: 41024321; PMCID: PMC12481536.</w:t>
      </w:r>
    </w:p>
    <w:p w:rsidR="00BE553F" w:rsidRDefault="00CD794B">
      <w:pPr>
        <w:spacing w:before="240" w:after="240"/>
        <w:ind w:left="720"/>
        <w:jc w:val="both"/>
        <w:rPr>
          <w:sz w:val="24"/>
          <w:szCs w:val="24"/>
        </w:rPr>
      </w:pPr>
      <w:proofErr w:type="spellStart"/>
      <w:r>
        <w:rPr>
          <w:sz w:val="24"/>
          <w:szCs w:val="24"/>
        </w:rPr>
        <w:t>Relativo</w:t>
      </w:r>
      <w:proofErr w:type="spellEnd"/>
      <w:r>
        <w:rPr>
          <w:sz w:val="24"/>
          <w:szCs w:val="24"/>
        </w:rPr>
        <w:t xml:space="preserve">, J. (2023, September 23). </w:t>
      </w:r>
      <w:r>
        <w:rPr>
          <w:i/>
          <w:iCs/>
          <w:sz w:val="24"/>
          <w:szCs w:val="24"/>
        </w:rPr>
        <w:t>DOH clarifie</w:t>
      </w:r>
      <w:r>
        <w:rPr>
          <w:i/>
          <w:iCs/>
          <w:sz w:val="24"/>
          <w:szCs w:val="24"/>
        </w:rPr>
        <w:t xml:space="preserve">s: Still no new </w:t>
      </w:r>
      <w:proofErr w:type="spellStart"/>
      <w:r>
        <w:rPr>
          <w:i/>
          <w:iCs/>
          <w:sz w:val="24"/>
          <w:szCs w:val="24"/>
        </w:rPr>
        <w:t>Henipavirus</w:t>
      </w:r>
      <w:proofErr w:type="spellEnd"/>
      <w:r>
        <w:rPr>
          <w:i/>
          <w:iCs/>
          <w:sz w:val="24"/>
          <w:szCs w:val="24"/>
        </w:rPr>
        <w:t xml:space="preserve"> cases in the Philippines</w:t>
      </w:r>
      <w:r>
        <w:rPr>
          <w:sz w:val="24"/>
          <w:szCs w:val="24"/>
        </w:rPr>
        <w:t>. Philstar.com. https://www.philstar.com/headlines/2023/09/23/DOH-clarifies-still-no-new-Henipavirus-cases</w:t>
      </w:r>
    </w:p>
    <w:p w:rsidR="00BE553F" w:rsidRDefault="00CD794B">
      <w:pPr>
        <w:spacing w:before="240" w:after="240"/>
        <w:ind w:left="720"/>
        <w:jc w:val="both"/>
        <w:rPr>
          <w:sz w:val="24"/>
          <w:szCs w:val="24"/>
        </w:rPr>
      </w:pPr>
      <w:proofErr w:type="spellStart"/>
      <w:r>
        <w:rPr>
          <w:sz w:val="24"/>
          <w:szCs w:val="24"/>
        </w:rPr>
        <w:t>Rocamora</w:t>
      </w:r>
      <w:proofErr w:type="spellEnd"/>
      <w:r>
        <w:rPr>
          <w:sz w:val="24"/>
          <w:szCs w:val="24"/>
        </w:rPr>
        <w:t xml:space="preserve">, J. A. L. (2026, January 31). </w:t>
      </w:r>
      <w:r>
        <w:rPr>
          <w:i/>
          <w:iCs/>
          <w:sz w:val="24"/>
          <w:szCs w:val="24"/>
        </w:rPr>
        <w:t xml:space="preserve">Border surveillance regular sans </w:t>
      </w:r>
      <w:proofErr w:type="spellStart"/>
      <w:r>
        <w:rPr>
          <w:i/>
          <w:iCs/>
          <w:sz w:val="24"/>
          <w:szCs w:val="24"/>
        </w:rPr>
        <w:t>Nipah</w:t>
      </w:r>
      <w:proofErr w:type="spellEnd"/>
      <w:r>
        <w:rPr>
          <w:i/>
          <w:iCs/>
          <w:sz w:val="24"/>
          <w:szCs w:val="24"/>
        </w:rPr>
        <w:t xml:space="preserve"> virus threat—DOH</w:t>
      </w:r>
      <w:r>
        <w:rPr>
          <w:sz w:val="24"/>
          <w:szCs w:val="24"/>
        </w:rPr>
        <w:t xml:space="preserve">. </w:t>
      </w:r>
      <w:r>
        <w:rPr>
          <w:i/>
          <w:iCs/>
          <w:sz w:val="24"/>
          <w:szCs w:val="24"/>
        </w:rPr>
        <w:t>P</w:t>
      </w:r>
      <w:r>
        <w:rPr>
          <w:i/>
          <w:iCs/>
          <w:sz w:val="24"/>
          <w:szCs w:val="24"/>
        </w:rPr>
        <w:t>hilippine News Agency</w:t>
      </w:r>
      <w:r>
        <w:rPr>
          <w:sz w:val="24"/>
          <w:szCs w:val="24"/>
        </w:rPr>
        <w:t>.</w:t>
      </w:r>
      <w:hyperlink r:id="rId24">
        <w:r>
          <w:rPr>
            <w:sz w:val="24"/>
            <w:szCs w:val="24"/>
          </w:rPr>
          <w:t xml:space="preserve"> https://www.pna.gov.ph/articles/1268113</w:t>
        </w:r>
      </w:hyperlink>
    </w:p>
    <w:p w:rsidR="00BE553F" w:rsidRDefault="00CD794B">
      <w:pPr>
        <w:spacing w:before="240" w:after="240"/>
        <w:ind w:left="720"/>
        <w:jc w:val="both"/>
        <w:rPr>
          <w:sz w:val="24"/>
          <w:szCs w:val="24"/>
          <w:lang w:val="en-US"/>
        </w:rPr>
      </w:pPr>
      <w:proofErr w:type="spellStart"/>
      <w:r>
        <w:rPr>
          <w:sz w:val="24"/>
          <w:szCs w:val="24"/>
        </w:rPr>
        <w:t>Sampang</w:t>
      </w:r>
      <w:proofErr w:type="spellEnd"/>
      <w:r>
        <w:rPr>
          <w:sz w:val="24"/>
          <w:szCs w:val="24"/>
        </w:rPr>
        <w:t xml:space="preserve">, D. (2026, January 31). </w:t>
      </w:r>
      <w:r>
        <w:rPr>
          <w:i/>
          <w:iCs/>
          <w:sz w:val="24"/>
          <w:szCs w:val="24"/>
        </w:rPr>
        <w:t xml:space="preserve">Bureau of Quarantine: No </w:t>
      </w:r>
      <w:proofErr w:type="spellStart"/>
      <w:r>
        <w:rPr>
          <w:i/>
          <w:iCs/>
          <w:sz w:val="24"/>
          <w:szCs w:val="24"/>
        </w:rPr>
        <w:t>Nipah</w:t>
      </w:r>
      <w:proofErr w:type="spellEnd"/>
      <w:r>
        <w:rPr>
          <w:i/>
          <w:iCs/>
          <w:sz w:val="24"/>
          <w:szCs w:val="24"/>
        </w:rPr>
        <w:t xml:space="preserve"> virus case detected in PH so far</w:t>
      </w:r>
      <w:r>
        <w:rPr>
          <w:sz w:val="24"/>
          <w:szCs w:val="24"/>
        </w:rPr>
        <w:t>. INQUIRER.net.</w:t>
      </w:r>
      <w:r>
        <w:rPr>
          <w:sz w:val="24"/>
          <w:szCs w:val="24"/>
          <w:lang w:val="en-US"/>
        </w:rPr>
        <w:t xml:space="preserve"> </w:t>
      </w:r>
      <w:r>
        <w:rPr>
          <w:sz w:val="24"/>
          <w:szCs w:val="24"/>
          <w:lang w:val="en-US"/>
        </w:rPr>
        <w:br/>
      </w:r>
      <w:r>
        <w:rPr>
          <w:sz w:val="24"/>
          <w:szCs w:val="24"/>
          <w:highlight w:val="yellow"/>
          <w:lang w:val="en-US"/>
        </w:rPr>
        <w:t>https://newsinfo.inquirer.net/2175529/bureau-of-quarantine-no-nipah-virus-case-detected-in-ph-so-far</w:t>
      </w:r>
    </w:p>
    <w:p w:rsidR="00BE553F" w:rsidRDefault="00CD794B">
      <w:pPr>
        <w:spacing w:before="240" w:after="240"/>
        <w:ind w:left="720" w:hanging="720"/>
        <w:jc w:val="both"/>
        <w:rPr>
          <w:sz w:val="24"/>
          <w:szCs w:val="24"/>
        </w:rPr>
      </w:pPr>
      <w:proofErr w:type="spellStart"/>
      <w:r>
        <w:rPr>
          <w:sz w:val="24"/>
          <w:szCs w:val="24"/>
        </w:rPr>
        <w:t>Salvaña</w:t>
      </w:r>
      <w:proofErr w:type="spellEnd"/>
      <w:r>
        <w:rPr>
          <w:sz w:val="24"/>
          <w:szCs w:val="24"/>
        </w:rPr>
        <w:t xml:space="preserve">, E. (2023, October 5). </w:t>
      </w:r>
      <w:proofErr w:type="spellStart"/>
      <w:r>
        <w:rPr>
          <w:i/>
          <w:iCs/>
          <w:sz w:val="24"/>
          <w:szCs w:val="24"/>
        </w:rPr>
        <w:t>Nipah</w:t>
      </w:r>
      <w:proofErr w:type="spellEnd"/>
      <w:r>
        <w:rPr>
          <w:i/>
          <w:iCs/>
          <w:sz w:val="24"/>
          <w:szCs w:val="24"/>
        </w:rPr>
        <w:t xml:space="preserve"> virus and future pandemics - are we in trouble again?</w:t>
      </w:r>
      <w:r>
        <w:rPr>
          <w:sz w:val="24"/>
          <w:szCs w:val="24"/>
        </w:rPr>
        <w:t xml:space="preserve"> </w:t>
      </w:r>
      <w:r>
        <w:rPr>
          <w:i/>
          <w:iCs/>
          <w:sz w:val="24"/>
          <w:szCs w:val="24"/>
        </w:rPr>
        <w:t>Manila Bulletin</w:t>
      </w:r>
      <w:r>
        <w:rPr>
          <w:sz w:val="24"/>
          <w:szCs w:val="24"/>
        </w:rPr>
        <w:t>.</w:t>
      </w:r>
      <w:r>
        <w:rPr>
          <w:sz w:val="24"/>
          <w:szCs w:val="24"/>
        </w:rPr>
        <w:br/>
      </w:r>
      <w:r>
        <w:rPr>
          <w:sz w:val="24"/>
          <w:szCs w:val="24"/>
          <w:highlight w:val="yellow"/>
        </w:rPr>
        <w:t>https://mb.com.ph/2023/10/5/nipah-virus-and-fut</w:t>
      </w:r>
      <w:r>
        <w:rPr>
          <w:sz w:val="24"/>
          <w:szCs w:val="24"/>
          <w:highlight w:val="yellow"/>
        </w:rPr>
        <w:t>ure-pandemics-are-we-in-trouble-again</w:t>
      </w:r>
    </w:p>
    <w:p w:rsidR="00BE553F" w:rsidRDefault="00CD794B">
      <w:pPr>
        <w:spacing w:before="240" w:after="240"/>
        <w:ind w:left="720" w:hanging="720"/>
        <w:jc w:val="both"/>
        <w:rPr>
          <w:color w:val="1B1B1B"/>
          <w:sz w:val="24"/>
          <w:szCs w:val="24"/>
        </w:rPr>
      </w:pPr>
      <w:r>
        <w:rPr>
          <w:color w:val="1B1B1B"/>
          <w:sz w:val="24"/>
          <w:szCs w:val="24"/>
        </w:rPr>
        <w:t xml:space="preserve">Singh RK, </w:t>
      </w:r>
      <w:proofErr w:type="spellStart"/>
      <w:r>
        <w:rPr>
          <w:color w:val="1B1B1B"/>
          <w:sz w:val="24"/>
          <w:szCs w:val="24"/>
        </w:rPr>
        <w:t>Dhama</w:t>
      </w:r>
      <w:proofErr w:type="spellEnd"/>
      <w:r>
        <w:rPr>
          <w:color w:val="1B1B1B"/>
          <w:sz w:val="24"/>
          <w:szCs w:val="24"/>
        </w:rPr>
        <w:t xml:space="preserve"> K, Chakraborty S, Tiwari R, </w:t>
      </w:r>
      <w:proofErr w:type="spellStart"/>
      <w:r>
        <w:rPr>
          <w:color w:val="1B1B1B"/>
          <w:sz w:val="24"/>
          <w:szCs w:val="24"/>
        </w:rPr>
        <w:t>Natesan</w:t>
      </w:r>
      <w:proofErr w:type="spellEnd"/>
      <w:r>
        <w:rPr>
          <w:color w:val="1B1B1B"/>
          <w:sz w:val="24"/>
          <w:szCs w:val="24"/>
        </w:rPr>
        <w:t xml:space="preserve"> S, </w:t>
      </w:r>
      <w:proofErr w:type="spellStart"/>
      <w:r>
        <w:rPr>
          <w:color w:val="1B1B1B"/>
          <w:sz w:val="24"/>
          <w:szCs w:val="24"/>
        </w:rPr>
        <w:t>Khandia</w:t>
      </w:r>
      <w:proofErr w:type="spellEnd"/>
      <w:r>
        <w:rPr>
          <w:color w:val="1B1B1B"/>
          <w:sz w:val="24"/>
          <w:szCs w:val="24"/>
        </w:rPr>
        <w:t xml:space="preserve"> R, Munjal A, Vora KS, </w:t>
      </w:r>
      <w:proofErr w:type="spellStart"/>
      <w:r>
        <w:rPr>
          <w:color w:val="1B1B1B"/>
          <w:sz w:val="24"/>
          <w:szCs w:val="24"/>
        </w:rPr>
        <w:t>Latheef</w:t>
      </w:r>
      <w:proofErr w:type="spellEnd"/>
      <w:r>
        <w:rPr>
          <w:color w:val="1B1B1B"/>
          <w:sz w:val="24"/>
          <w:szCs w:val="24"/>
        </w:rPr>
        <w:t xml:space="preserve"> SK, Karthik K, Singh Malik Y, Singh R, </w:t>
      </w:r>
      <w:proofErr w:type="spellStart"/>
      <w:r>
        <w:rPr>
          <w:color w:val="1B1B1B"/>
          <w:sz w:val="24"/>
          <w:szCs w:val="24"/>
        </w:rPr>
        <w:t>Chaicumpa</w:t>
      </w:r>
      <w:proofErr w:type="spellEnd"/>
      <w:r>
        <w:rPr>
          <w:color w:val="1B1B1B"/>
          <w:sz w:val="24"/>
          <w:szCs w:val="24"/>
        </w:rPr>
        <w:t xml:space="preserve"> W, </w:t>
      </w:r>
      <w:proofErr w:type="spellStart"/>
      <w:r>
        <w:rPr>
          <w:color w:val="1B1B1B"/>
          <w:sz w:val="24"/>
          <w:szCs w:val="24"/>
        </w:rPr>
        <w:t>Mourya</w:t>
      </w:r>
      <w:proofErr w:type="spellEnd"/>
      <w:r>
        <w:rPr>
          <w:color w:val="1B1B1B"/>
          <w:sz w:val="24"/>
          <w:szCs w:val="24"/>
        </w:rPr>
        <w:t xml:space="preserve"> DT. </w:t>
      </w:r>
      <w:proofErr w:type="spellStart"/>
      <w:r>
        <w:rPr>
          <w:color w:val="1B1B1B"/>
          <w:sz w:val="24"/>
          <w:szCs w:val="24"/>
        </w:rPr>
        <w:t>Nipah</w:t>
      </w:r>
      <w:proofErr w:type="spellEnd"/>
      <w:r>
        <w:rPr>
          <w:color w:val="1B1B1B"/>
          <w:sz w:val="24"/>
          <w:szCs w:val="24"/>
        </w:rPr>
        <w:t xml:space="preserve"> virus: epidemiology, pathology, immunobiology and advanc</w:t>
      </w:r>
      <w:r>
        <w:rPr>
          <w:color w:val="1B1B1B"/>
          <w:sz w:val="24"/>
          <w:szCs w:val="24"/>
        </w:rPr>
        <w:t xml:space="preserve">es in diagnosis, vaccine designing and control strategies - a comprehensive review. Vet Q. 2019 Dec;39(1):26-55. </w:t>
      </w:r>
      <w:proofErr w:type="spellStart"/>
      <w:r>
        <w:rPr>
          <w:color w:val="1B1B1B"/>
          <w:sz w:val="24"/>
          <w:szCs w:val="24"/>
        </w:rPr>
        <w:t>doi</w:t>
      </w:r>
      <w:proofErr w:type="spellEnd"/>
      <w:r>
        <w:rPr>
          <w:color w:val="1B1B1B"/>
          <w:sz w:val="24"/>
          <w:szCs w:val="24"/>
        </w:rPr>
        <w:t>: 10.1080/01652176.2019.1580827. PMID: 31006350; PMCID: PMC6830995.</w:t>
      </w:r>
    </w:p>
    <w:p w:rsidR="00BE553F" w:rsidRDefault="00CD794B">
      <w:pPr>
        <w:spacing w:before="240" w:after="240"/>
        <w:ind w:left="720" w:hanging="720"/>
        <w:jc w:val="both"/>
        <w:rPr>
          <w:color w:val="1B1B1B"/>
          <w:sz w:val="24"/>
          <w:szCs w:val="24"/>
          <w:highlight w:val="yellow"/>
        </w:rPr>
      </w:pPr>
      <w:proofErr w:type="spellStart"/>
      <w:r>
        <w:rPr>
          <w:rFonts w:ascii="SimSun" w:eastAsia="SimSun" w:hAnsi="SimSun" w:cs="SimSun"/>
          <w:sz w:val="24"/>
          <w:szCs w:val="24"/>
          <w:highlight w:val="yellow"/>
        </w:rPr>
        <w:t>Ukoaka</w:t>
      </w:r>
      <w:proofErr w:type="spellEnd"/>
      <w:r>
        <w:rPr>
          <w:rFonts w:ascii="SimSun" w:eastAsia="SimSun" w:hAnsi="SimSun" w:cs="SimSun"/>
          <w:sz w:val="24"/>
          <w:szCs w:val="24"/>
          <w:highlight w:val="yellow"/>
        </w:rPr>
        <w:t xml:space="preserve">, B. M., </w:t>
      </w:r>
      <w:proofErr w:type="spellStart"/>
      <w:r>
        <w:rPr>
          <w:rFonts w:ascii="SimSun" w:eastAsia="SimSun" w:hAnsi="SimSun" w:cs="SimSun"/>
          <w:sz w:val="24"/>
          <w:szCs w:val="24"/>
          <w:highlight w:val="yellow"/>
        </w:rPr>
        <w:t>Okesanya</w:t>
      </w:r>
      <w:proofErr w:type="spellEnd"/>
      <w:r>
        <w:rPr>
          <w:rFonts w:ascii="SimSun" w:eastAsia="SimSun" w:hAnsi="SimSun" w:cs="SimSun"/>
          <w:sz w:val="24"/>
          <w:szCs w:val="24"/>
          <w:highlight w:val="yellow"/>
        </w:rPr>
        <w:t xml:space="preserve">, O. J., Daniel, F. M., Ahmed, M. M., </w:t>
      </w:r>
      <w:proofErr w:type="spellStart"/>
      <w:r>
        <w:rPr>
          <w:rFonts w:ascii="SimSun" w:eastAsia="SimSun" w:hAnsi="SimSun" w:cs="SimSun"/>
          <w:sz w:val="24"/>
          <w:szCs w:val="24"/>
          <w:highlight w:val="yellow"/>
        </w:rPr>
        <w:t>Udam</w:t>
      </w:r>
      <w:proofErr w:type="spellEnd"/>
      <w:r>
        <w:rPr>
          <w:rFonts w:ascii="SimSun" w:eastAsia="SimSun" w:hAnsi="SimSun" w:cs="SimSun"/>
          <w:sz w:val="24"/>
          <w:szCs w:val="24"/>
          <w:highlight w:val="yellow"/>
        </w:rPr>
        <w:t>, N. G.</w:t>
      </w:r>
      <w:r>
        <w:rPr>
          <w:rFonts w:ascii="SimSun" w:eastAsia="SimSun" w:hAnsi="SimSun" w:cs="SimSun"/>
          <w:sz w:val="24"/>
          <w:szCs w:val="24"/>
          <w:highlight w:val="yellow"/>
        </w:rPr>
        <w:t xml:space="preserve">, </w:t>
      </w:r>
      <w:proofErr w:type="spellStart"/>
      <w:r>
        <w:rPr>
          <w:rFonts w:ascii="SimSun" w:eastAsia="SimSun" w:hAnsi="SimSun" w:cs="SimSun"/>
          <w:sz w:val="24"/>
          <w:szCs w:val="24"/>
          <w:highlight w:val="yellow"/>
        </w:rPr>
        <w:t>Wagwula</w:t>
      </w:r>
      <w:proofErr w:type="spellEnd"/>
      <w:r>
        <w:rPr>
          <w:rFonts w:ascii="SimSun" w:eastAsia="SimSun" w:hAnsi="SimSun" w:cs="SimSun"/>
          <w:sz w:val="24"/>
          <w:szCs w:val="24"/>
          <w:highlight w:val="yellow"/>
        </w:rPr>
        <w:t xml:space="preserve">, P. M., Adigun, O. A., Udoh, R. A., Peter, I. G., &amp; Lawal, H. (2024). Updated WHO list of emerging pathogens for a potential future pandemic: Implications for public health and global preparedness. </w:t>
      </w:r>
      <w:r>
        <w:rPr>
          <w:rStyle w:val="Emphasis"/>
          <w:rFonts w:ascii="SimSun" w:eastAsia="SimSun" w:hAnsi="SimSun" w:cs="SimSun"/>
          <w:sz w:val="24"/>
          <w:szCs w:val="24"/>
          <w:highlight w:val="yellow"/>
        </w:rPr>
        <w:t xml:space="preserve">Le </w:t>
      </w:r>
      <w:proofErr w:type="spellStart"/>
      <w:r>
        <w:rPr>
          <w:rStyle w:val="Emphasis"/>
          <w:rFonts w:ascii="SimSun" w:eastAsia="SimSun" w:hAnsi="SimSun" w:cs="SimSun"/>
          <w:sz w:val="24"/>
          <w:szCs w:val="24"/>
          <w:highlight w:val="yellow"/>
        </w:rPr>
        <w:lastRenderedPageBreak/>
        <w:t>Infezioni</w:t>
      </w:r>
      <w:proofErr w:type="spellEnd"/>
      <w:r>
        <w:rPr>
          <w:rStyle w:val="Emphasis"/>
          <w:rFonts w:ascii="SimSun" w:eastAsia="SimSun" w:hAnsi="SimSun" w:cs="SimSun"/>
          <w:sz w:val="24"/>
          <w:szCs w:val="24"/>
          <w:highlight w:val="yellow"/>
        </w:rPr>
        <w:t xml:space="preserve"> in </w:t>
      </w:r>
      <w:proofErr w:type="spellStart"/>
      <w:r>
        <w:rPr>
          <w:rStyle w:val="Emphasis"/>
          <w:rFonts w:ascii="SimSun" w:eastAsia="SimSun" w:hAnsi="SimSun" w:cs="SimSun"/>
          <w:sz w:val="24"/>
          <w:szCs w:val="24"/>
          <w:highlight w:val="yellow"/>
        </w:rPr>
        <w:t>Medicina</w:t>
      </w:r>
      <w:proofErr w:type="spellEnd"/>
      <w:r>
        <w:rPr>
          <w:rStyle w:val="Emphasis"/>
          <w:rFonts w:ascii="SimSun" w:eastAsia="SimSun" w:hAnsi="SimSun" w:cs="SimSun"/>
          <w:sz w:val="24"/>
          <w:szCs w:val="24"/>
          <w:highlight w:val="yellow"/>
        </w:rPr>
        <w:t>, 32</w:t>
      </w:r>
      <w:r>
        <w:rPr>
          <w:rFonts w:ascii="SimSun" w:eastAsia="SimSun" w:hAnsi="SimSun" w:cs="SimSun"/>
          <w:sz w:val="24"/>
          <w:szCs w:val="24"/>
          <w:highlight w:val="yellow"/>
        </w:rPr>
        <w:t xml:space="preserve">(4), 463–477. </w:t>
      </w:r>
      <w:hyperlink r:id="rId25" w:tgtFrame="_new" w:history="1">
        <w:r>
          <w:rPr>
            <w:rStyle w:val="Hyperlink"/>
            <w:rFonts w:ascii="SimSun" w:eastAsia="SimSun" w:hAnsi="SimSun" w:cs="SimSun"/>
            <w:sz w:val="24"/>
            <w:szCs w:val="24"/>
            <w:highlight w:val="yellow"/>
          </w:rPr>
          <w:t>https://doi.org/10.53854/liim-3204-5</w:t>
        </w:r>
      </w:hyperlink>
    </w:p>
    <w:p w:rsidR="00BE553F" w:rsidRDefault="00CD794B">
      <w:pPr>
        <w:spacing w:before="240" w:after="240"/>
        <w:ind w:left="720"/>
        <w:jc w:val="both"/>
        <w:rPr>
          <w:sz w:val="24"/>
          <w:szCs w:val="24"/>
        </w:rPr>
      </w:pPr>
      <w:r>
        <w:rPr>
          <w:sz w:val="24"/>
          <w:szCs w:val="24"/>
        </w:rPr>
        <w:t xml:space="preserve">Vaughan, C. (2022, June 27). How does one study a deadly virus? Carefully. </w:t>
      </w:r>
      <w:r>
        <w:rPr>
          <w:i/>
          <w:iCs/>
          <w:sz w:val="24"/>
          <w:szCs w:val="24"/>
        </w:rPr>
        <w:t>Stanford Medicine News Center.</w:t>
      </w:r>
      <w:r>
        <w:rPr>
          <w:sz w:val="24"/>
          <w:szCs w:val="24"/>
        </w:rPr>
        <w:t xml:space="preserve"> </w:t>
      </w:r>
      <w:hyperlink r:id="rId26">
        <w:r>
          <w:rPr>
            <w:sz w:val="24"/>
            <w:szCs w:val="24"/>
          </w:rPr>
          <w:t>https://mednews.stanford.edu/news-center/articles/how-does-one-study-a-deadly-virus</w:t>
        </w:r>
      </w:hyperlink>
    </w:p>
    <w:p w:rsidR="00BE553F" w:rsidRDefault="00CD794B">
      <w:pPr>
        <w:spacing w:before="240" w:after="240"/>
        <w:ind w:left="720"/>
        <w:jc w:val="both"/>
        <w:rPr>
          <w:sz w:val="24"/>
          <w:szCs w:val="24"/>
        </w:rPr>
      </w:pPr>
      <w:r>
        <w:rPr>
          <w:sz w:val="24"/>
          <w:szCs w:val="24"/>
        </w:rPr>
        <w:t xml:space="preserve">Villanueva, R. (2026, January 29). DOH allays public fears on </w:t>
      </w:r>
      <w:proofErr w:type="spellStart"/>
      <w:r>
        <w:rPr>
          <w:sz w:val="24"/>
          <w:szCs w:val="24"/>
        </w:rPr>
        <w:t>Nipah</w:t>
      </w:r>
      <w:proofErr w:type="spellEnd"/>
      <w:r>
        <w:rPr>
          <w:sz w:val="24"/>
          <w:szCs w:val="24"/>
        </w:rPr>
        <w:t xml:space="preserve"> virus. </w:t>
      </w:r>
      <w:r>
        <w:rPr>
          <w:i/>
          <w:iCs/>
          <w:sz w:val="24"/>
          <w:szCs w:val="24"/>
        </w:rPr>
        <w:t>The Philippine Star.</w:t>
      </w:r>
      <w:hyperlink r:id="rId27">
        <w:r>
          <w:rPr>
            <w:sz w:val="24"/>
            <w:szCs w:val="24"/>
          </w:rPr>
          <w:t xml:space="preserve"> https://www.philstar.com/headlines/2026/01/29/2504238/doh-allays-public-fears-nipah-virus</w:t>
        </w:r>
      </w:hyperlink>
    </w:p>
    <w:p w:rsidR="00BE553F" w:rsidRDefault="00CD794B">
      <w:pPr>
        <w:spacing w:before="240" w:after="240"/>
        <w:ind w:left="720" w:hanging="720"/>
        <w:jc w:val="both"/>
        <w:rPr>
          <w:sz w:val="24"/>
          <w:szCs w:val="24"/>
        </w:rPr>
      </w:pPr>
      <w:bookmarkStart w:id="4" w:name="_GoBack"/>
      <w:r>
        <w:rPr>
          <w:sz w:val="24"/>
          <w:szCs w:val="24"/>
        </w:rPr>
        <w:t xml:space="preserve">World Health Organization. (2022). </w:t>
      </w:r>
      <w:r>
        <w:rPr>
          <w:i/>
          <w:iCs/>
          <w:sz w:val="24"/>
          <w:szCs w:val="24"/>
        </w:rPr>
        <w:t>South-East Asia regional roadmap for diagnostic pre</w:t>
      </w:r>
      <w:r>
        <w:rPr>
          <w:i/>
          <w:iCs/>
          <w:sz w:val="24"/>
          <w:szCs w:val="24"/>
        </w:rPr>
        <w:t>paredness, integrated laboratory networking and genomic surveillance (2023–2027)</w:t>
      </w:r>
      <w:r>
        <w:rPr>
          <w:sz w:val="24"/>
          <w:szCs w:val="24"/>
        </w:rPr>
        <w:t>.</w:t>
      </w:r>
      <w:r>
        <w:rPr>
          <w:sz w:val="24"/>
          <w:szCs w:val="24"/>
          <w:lang w:val="en-US"/>
        </w:rPr>
        <w:t xml:space="preserve"> </w:t>
      </w:r>
      <w:r>
        <w:rPr>
          <w:sz w:val="24"/>
          <w:szCs w:val="24"/>
          <w:highlight w:val="yellow"/>
        </w:rPr>
        <w:t>https://cdn.who.int/media/docs/default-source/searo/whe/978-92-9020-994-2.pdf?sfvrsn=fa5a2c07_1</w:t>
      </w:r>
    </w:p>
    <w:bookmarkEnd w:id="4"/>
    <w:p w:rsidR="00BE553F" w:rsidRDefault="00CD794B">
      <w:pPr>
        <w:spacing w:before="240" w:after="240"/>
        <w:ind w:left="720"/>
        <w:jc w:val="both"/>
        <w:rPr>
          <w:sz w:val="24"/>
          <w:szCs w:val="24"/>
        </w:rPr>
      </w:pPr>
      <w:r>
        <w:rPr>
          <w:sz w:val="24"/>
          <w:szCs w:val="24"/>
        </w:rPr>
        <w:t xml:space="preserve">World Health Organization. (2025, August 6). </w:t>
      </w:r>
      <w:proofErr w:type="spellStart"/>
      <w:r>
        <w:rPr>
          <w:i/>
          <w:iCs/>
          <w:sz w:val="24"/>
          <w:szCs w:val="24"/>
        </w:rPr>
        <w:t>Nipah</w:t>
      </w:r>
      <w:proofErr w:type="spellEnd"/>
      <w:r>
        <w:rPr>
          <w:i/>
          <w:iCs/>
          <w:sz w:val="24"/>
          <w:szCs w:val="24"/>
        </w:rPr>
        <w:t xml:space="preserve"> virus infection – India.</w:t>
      </w:r>
      <w:hyperlink r:id="rId28">
        <w:r>
          <w:rPr>
            <w:sz w:val="24"/>
            <w:szCs w:val="24"/>
          </w:rPr>
          <w:t xml:space="preserve"> https://www.who.int/emergencies/disease-outbreak-news/item/2025-DON577</w:t>
        </w:r>
      </w:hyperlink>
    </w:p>
    <w:p w:rsidR="00BE553F" w:rsidRDefault="00CD794B">
      <w:pPr>
        <w:spacing w:before="240" w:after="240"/>
        <w:ind w:left="720"/>
        <w:jc w:val="both"/>
        <w:rPr>
          <w:sz w:val="24"/>
          <w:szCs w:val="24"/>
        </w:rPr>
      </w:pPr>
      <w:r>
        <w:rPr>
          <w:sz w:val="24"/>
          <w:szCs w:val="24"/>
        </w:rPr>
        <w:t xml:space="preserve">World Health Organization. (2026, January 29). </w:t>
      </w:r>
      <w:proofErr w:type="spellStart"/>
      <w:r>
        <w:rPr>
          <w:i/>
          <w:iCs/>
          <w:sz w:val="24"/>
          <w:szCs w:val="24"/>
        </w:rPr>
        <w:t>Nipah</w:t>
      </w:r>
      <w:proofErr w:type="spellEnd"/>
      <w:r>
        <w:rPr>
          <w:i/>
          <w:iCs/>
          <w:sz w:val="24"/>
          <w:szCs w:val="24"/>
        </w:rPr>
        <w:t xml:space="preserve"> virus</w:t>
      </w:r>
      <w:r>
        <w:rPr>
          <w:sz w:val="24"/>
          <w:szCs w:val="24"/>
        </w:rPr>
        <w:t>.</w:t>
      </w:r>
      <w:hyperlink r:id="rId29">
        <w:r>
          <w:rPr>
            <w:sz w:val="24"/>
            <w:szCs w:val="24"/>
          </w:rPr>
          <w:t xml:space="preserve"> https://www.who.int/news-room/fact-sheets/detail/nipah-virus</w:t>
        </w:r>
      </w:hyperlink>
    </w:p>
    <w:p w:rsidR="00BE553F" w:rsidRDefault="00CD794B">
      <w:pPr>
        <w:spacing w:before="240" w:after="240"/>
        <w:ind w:left="720"/>
        <w:jc w:val="both"/>
        <w:rPr>
          <w:sz w:val="24"/>
          <w:szCs w:val="24"/>
        </w:rPr>
      </w:pPr>
      <w:r>
        <w:rPr>
          <w:sz w:val="24"/>
          <w:szCs w:val="24"/>
        </w:rPr>
        <w:t xml:space="preserve">Xinhua News Agency. (2026, January 28). </w:t>
      </w:r>
      <w:r>
        <w:rPr>
          <w:i/>
          <w:iCs/>
          <w:sz w:val="24"/>
          <w:szCs w:val="24"/>
        </w:rPr>
        <w:t xml:space="preserve">Philippines urges vigilance vs. </w:t>
      </w:r>
      <w:proofErr w:type="spellStart"/>
      <w:r>
        <w:rPr>
          <w:i/>
          <w:iCs/>
          <w:sz w:val="24"/>
          <w:szCs w:val="24"/>
        </w:rPr>
        <w:t>Nipah</w:t>
      </w:r>
      <w:proofErr w:type="spellEnd"/>
      <w:r>
        <w:rPr>
          <w:i/>
          <w:iCs/>
          <w:sz w:val="24"/>
          <w:szCs w:val="24"/>
        </w:rPr>
        <w:t xml:space="preserve"> virus, says country prepared to prevent infection</w:t>
      </w:r>
      <w:r>
        <w:rPr>
          <w:sz w:val="24"/>
          <w:szCs w:val="24"/>
        </w:rPr>
        <w:t>.</w:t>
      </w:r>
      <w:hyperlink r:id="rId30">
        <w:r>
          <w:rPr>
            <w:sz w:val="24"/>
            <w:szCs w:val="24"/>
          </w:rPr>
          <w:t xml:space="preserve"> https://english.news.cn</w:t>
        </w:r>
      </w:hyperlink>
    </w:p>
    <w:p w:rsidR="00BE553F" w:rsidRDefault="00BE553F">
      <w:pPr>
        <w:spacing w:before="240" w:after="240"/>
        <w:jc w:val="both"/>
        <w:rPr>
          <w:sz w:val="24"/>
          <w:szCs w:val="24"/>
        </w:rPr>
      </w:pPr>
    </w:p>
    <w:p w:rsidR="00BE553F" w:rsidRDefault="00BE553F">
      <w:pPr>
        <w:jc w:val="both"/>
        <w:rPr>
          <w:sz w:val="24"/>
          <w:szCs w:val="24"/>
        </w:rPr>
      </w:pPr>
    </w:p>
    <w:sectPr w:rsidR="00BE553F">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794B" w:rsidRDefault="00CD794B">
      <w:pPr>
        <w:spacing w:line="240" w:lineRule="auto"/>
      </w:pPr>
      <w:r>
        <w:separator/>
      </w:r>
    </w:p>
  </w:endnote>
  <w:endnote w:type="continuationSeparator" w:id="0">
    <w:p w:rsidR="00CD794B" w:rsidRDefault="00CD79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00EB40E6-77D1-4203-B9B9-C51C587C8565}"/>
    <w:embedItalic r:id="rId2" w:subsetted="1" w:fontKey="{C27F898B-0BB2-426D-98C6-E733AC2C495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F29A1A2-8985-4679-8891-314A14A21EB4}"/>
  </w:font>
  <w:font w:name="Segoe UI">
    <w:panose1 w:val="020B0502040204020203"/>
    <w:charset w:val="00"/>
    <w:family w:val="swiss"/>
    <w:pitch w:val="variable"/>
    <w:sig w:usb0="E4002EFF" w:usb1="C000E47F" w:usb2="00000009" w:usb3="00000000" w:csb0="000001FF" w:csb1="00000000"/>
    <w:embedRegular r:id="rId4" w:fontKey="{2937A279-158C-464B-B4B7-FBD132E2F3E5}"/>
    <w:embedItalic r:id="rId5" w:fontKey="{49828790-BF84-4D18-88CC-B2C968BADB39}"/>
  </w:font>
  <w:font w:name="Calibri">
    <w:panose1 w:val="020F0502020204030204"/>
    <w:charset w:val="00"/>
    <w:family w:val="swiss"/>
    <w:pitch w:val="variable"/>
    <w:sig w:usb0="E4002EFF" w:usb1="C000247B" w:usb2="00000009" w:usb3="00000000" w:csb0="000001FF" w:csb1="00000000"/>
    <w:embedRegular r:id="rId6" w:fontKey="{F7D49D40-280E-4192-9E18-FCBC235C0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53F" w:rsidRDefault="00BE5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53F" w:rsidRDefault="00BE5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53F" w:rsidRDefault="00BE5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794B" w:rsidRDefault="00CD794B">
      <w:r>
        <w:separator/>
      </w:r>
    </w:p>
  </w:footnote>
  <w:footnote w:type="continuationSeparator" w:id="0">
    <w:p w:rsidR="00CD794B" w:rsidRDefault="00CD7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53F" w:rsidRDefault="00CD794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53F" w:rsidRDefault="00CD794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4144;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53F" w:rsidRDefault="00CD794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6192;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C00DB"/>
    <w:multiLevelType w:val="multilevel"/>
    <w:tmpl w:val="25AC00DB"/>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AA1"/>
    <w:rsid w:val="00303A72"/>
    <w:rsid w:val="00476665"/>
    <w:rsid w:val="006828FC"/>
    <w:rsid w:val="00702109"/>
    <w:rsid w:val="00971F1B"/>
    <w:rsid w:val="009E7427"/>
    <w:rsid w:val="00B72AA1"/>
    <w:rsid w:val="00BE553F"/>
    <w:rsid w:val="00CD794B"/>
    <w:rsid w:val="00F06F56"/>
    <w:rsid w:val="00FF7E41"/>
    <w:rsid w:val="0AF74F2D"/>
    <w:rsid w:val="1A894D94"/>
    <w:rsid w:val="2823256C"/>
    <w:rsid w:val="4A875B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FB1184B"/>
  <w15:docId w15:val="{F93EE486-D41C-4BAA-8FA2-6F23F19B9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rFonts w:ascii="Arial" w:eastAsia="Arial" w:hAnsi="Arial" w:cs="Arial"/>
      <w:sz w:val="22"/>
      <w:szCs w:val="22"/>
      <w:lang w:val="en" w:eastAsia="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476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rrld.gov.ph" TargetMode="External"/><Relationship Id="rId18" Type="http://schemas.openxmlformats.org/officeDocument/2006/relationships/hyperlink" Target="https://doi.org/10.1016/j.ijregi.2024.100434" TargetMode="External"/><Relationship Id="rId26" Type="http://schemas.openxmlformats.org/officeDocument/2006/relationships/hyperlink" Target="https://mednews.stanford.edu/news-center/articles/how-does-one-study-a-deadly-virus" TargetMode="External"/><Relationship Id="rId21" Type="http://schemas.openxmlformats.org/officeDocument/2006/relationships/hyperlink" Target="https://doi.org/10.1136/bmj.n71"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chrd.dost.gov.ph" TargetMode="External"/><Relationship Id="rId17" Type="http://schemas.openxmlformats.org/officeDocument/2006/relationships/hyperlink" Target="https://doi.org/10.1086/647951" TargetMode="External"/><Relationship Id="rId25" Type="http://schemas.openxmlformats.org/officeDocument/2006/relationships/hyperlink" Target="https://doi.org/10.53854/liim-3204-5"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201/eid1906.121783" TargetMode="External"/><Relationship Id="rId20" Type="http://schemas.openxmlformats.org/officeDocument/2006/relationships/hyperlink" Target="https://doi.org/10.1136/bmjgh-2018-001118" TargetMode="External"/><Relationship Id="rId29" Type="http://schemas.openxmlformats.org/officeDocument/2006/relationships/hyperlink" Target="https://www.who.int/news-room/fact-sheets/detail/nipah-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chrd.dost.gov.ph" TargetMode="External"/><Relationship Id="rId24" Type="http://schemas.openxmlformats.org/officeDocument/2006/relationships/hyperlink" Target="https://www.pna.gov.ph/articles/126811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hilstar.com" TargetMode="External"/><Relationship Id="rId23" Type="http://schemas.openxmlformats.org/officeDocument/2006/relationships/hyperlink" Target="https://doi.org/10.59120/drj.v16i2.389" TargetMode="External"/><Relationship Id="rId28" Type="http://schemas.openxmlformats.org/officeDocument/2006/relationships/hyperlink" Target="https://www.who.int/emergencies/disease-outbreak-news/item/2025-DON577" TargetMode="External"/><Relationship Id="rId36" Type="http://schemas.openxmlformats.org/officeDocument/2006/relationships/footer" Target="footer3.xml"/><Relationship Id="rId10" Type="http://schemas.openxmlformats.org/officeDocument/2006/relationships/hyperlink" Target="https://www.inquirer.net/nipah-virus-rare-not-in-ph-2026" TargetMode="External"/><Relationship Id="rId19" Type="http://schemas.openxmlformats.org/officeDocument/2006/relationships/hyperlink" Target="https://www.brigadanews.ph/doh-assures-preparedness-for-nipah-viru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bs-cbn.com/news/health-science/2026/1/29/what-are-symptoms-of-nipah-virus-and-how-can-you-protect-yourself-from-it-1548" TargetMode="External"/><Relationship Id="rId14" Type="http://schemas.openxmlformats.org/officeDocument/2006/relationships/hyperlink" Target="https://doi.org/10.1073/pnas.2000429117" TargetMode="External"/><Relationship Id="rId22" Type="http://schemas.openxmlformats.org/officeDocument/2006/relationships/hyperlink" Target="https://doi.org/10.1038/nrmicro.2017.45" TargetMode="External"/><Relationship Id="rId27" Type="http://schemas.openxmlformats.org/officeDocument/2006/relationships/hyperlink" Target="https://www.philstar.com/headlines/2026/01/29/2504238/doh-allays-public-fears-nipah-virus" TargetMode="External"/><Relationship Id="rId30" Type="http://schemas.openxmlformats.org/officeDocument/2006/relationships/hyperlink" Target="https://english.news.cn" TargetMode="External"/><Relationship Id="rId35" Type="http://schemas.openxmlformats.org/officeDocument/2006/relationships/header" Target="header3.xml"/><Relationship Id="rId8" Type="http://schemas.openxmlformats.org/officeDocument/2006/relationships/hyperlink" Target="https://doi.org/10.1128/JCM.01875-17"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23</Pages>
  <Words>8576</Words>
  <Characters>48885</Characters>
  <Application>Microsoft Office Word</Application>
  <DocSecurity>0</DocSecurity>
  <Lines>407</Lines>
  <Paragraphs>114</Paragraphs>
  <ScaleCrop>false</ScaleCrop>
  <Company/>
  <LinksUpToDate>false</LinksUpToDate>
  <CharactersWithSpaces>57347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1022</cp:lastModifiedBy>
  <cp:revision>6</cp:revision>
  <dcterms:created xsi:type="dcterms:W3CDTF">2026-02-13T07:25:00Z</dcterms:created>
  <dcterms:modified xsi:type="dcterms:W3CDTF">2026-02-20T06:55:00Z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407D6BEE4C9B42B1BD336A1BF57AFEDD_12</vt:lpwstr>
  </property>
</Properties>
</file>