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5076C" w14:textId="127CBF2C" w:rsidR="003073A8" w:rsidRPr="00C1550D" w:rsidRDefault="130C97F4" w:rsidP="00C1550D">
      <w:pPr>
        <w:jc w:val="right"/>
        <w:rPr>
          <w:rFonts w:ascii="Arial" w:eastAsia="Arial" w:hAnsi="Arial" w:cs="Arial"/>
          <w:b/>
          <w:bCs/>
          <w:sz w:val="40"/>
          <w:szCs w:val="40"/>
        </w:rPr>
      </w:pPr>
      <w:r w:rsidRPr="04186D8C">
        <w:rPr>
          <w:rFonts w:ascii="Arial" w:eastAsia="Arial" w:hAnsi="Arial" w:cs="Arial"/>
          <w:b/>
          <w:bCs/>
          <w:sz w:val="40"/>
          <w:szCs w:val="40"/>
        </w:rPr>
        <w:t xml:space="preserve">A </w:t>
      </w:r>
      <w:r w:rsidR="00A84880">
        <w:rPr>
          <w:rFonts w:ascii="Arial" w:eastAsia="Arial" w:hAnsi="Arial" w:cs="Arial"/>
          <w:b/>
          <w:bCs/>
          <w:sz w:val="40"/>
          <w:szCs w:val="40"/>
        </w:rPr>
        <w:t xml:space="preserve">Severe </w:t>
      </w:r>
      <w:r w:rsidRPr="04186D8C">
        <w:rPr>
          <w:rFonts w:ascii="Arial" w:eastAsia="Arial" w:hAnsi="Arial" w:cs="Arial"/>
          <w:b/>
          <w:bCs/>
          <w:sz w:val="40"/>
          <w:szCs w:val="40"/>
        </w:rPr>
        <w:t>Case of Drug Reaction with Eosinophilia and Systemic Symptoms After Sequential Cephalosporin and Vancomycin Exposure</w:t>
      </w:r>
      <w:r w:rsidR="00A263BC">
        <w:br w:type="page"/>
      </w:r>
    </w:p>
    <w:p w14:paraId="2F94EA27" w14:textId="2158503E" w:rsidR="130C97F4" w:rsidRPr="00C1550D" w:rsidRDefault="130C97F4" w:rsidP="04186D8C">
      <w:r w:rsidRPr="04186D8C">
        <w:rPr>
          <w:rFonts w:ascii="Arial" w:eastAsia="Arial" w:hAnsi="Arial" w:cs="Arial"/>
          <w:b/>
          <w:bCs/>
        </w:rPr>
        <w:lastRenderedPageBreak/>
        <w:t>A</w:t>
      </w:r>
      <w:r w:rsidR="6E91B058" w:rsidRPr="04186D8C">
        <w:rPr>
          <w:rFonts w:ascii="Arial" w:eastAsia="Arial" w:hAnsi="Arial" w:cs="Arial"/>
          <w:b/>
          <w:bCs/>
        </w:rPr>
        <w:t>BSTRACT</w:t>
      </w:r>
    </w:p>
    <w:p w14:paraId="65283E68" w14:textId="1171DBE5" w:rsidR="0B5E80EE" w:rsidRDefault="0B5E80EE" w:rsidP="04186D8C">
      <w:pPr>
        <w:rPr>
          <w:rFonts w:ascii="Arial" w:eastAsia="Arial" w:hAnsi="Arial" w:cs="Arial"/>
        </w:rPr>
      </w:pPr>
      <w:r w:rsidRPr="04186D8C">
        <w:rPr>
          <w:rFonts w:ascii="Arial" w:eastAsia="Arial" w:hAnsi="Arial" w:cs="Arial"/>
          <w:b/>
          <w:bCs/>
        </w:rPr>
        <w:t>Aims:</w:t>
      </w:r>
      <w:r w:rsidRPr="04186D8C">
        <w:rPr>
          <w:rFonts w:ascii="Arial" w:eastAsia="Arial" w:hAnsi="Arial" w:cs="Arial"/>
        </w:rPr>
        <w:t xml:space="preserve"> To describe a severe case of Drug Reaction with Eosinophilia and Systemic Symptoms (DRESS) associated with sequential cephalosporin and vancomycin exposure, and to highlight the diagnostic challenges and hematologic and thromboembolic complications encountered during the clinical course.</w:t>
      </w:r>
      <w:bookmarkStart w:id="0" w:name="_GoBack"/>
      <w:bookmarkEnd w:id="0"/>
      <w:r>
        <w:br/>
      </w:r>
      <w:r w:rsidRPr="04186D8C">
        <w:rPr>
          <w:rFonts w:ascii="Arial" w:eastAsia="Arial" w:hAnsi="Arial" w:cs="Arial"/>
          <w:b/>
          <w:bCs/>
        </w:rPr>
        <w:t>Place and Duration of Study:</w:t>
      </w:r>
      <w:r w:rsidRPr="04186D8C">
        <w:rPr>
          <w:rFonts w:ascii="Arial" w:eastAsia="Arial" w:hAnsi="Arial" w:cs="Arial"/>
        </w:rPr>
        <w:t xml:space="preserve"> Central Maine Medical Center, Lewiston, Maine, USA; September </w:t>
      </w:r>
      <w:r w:rsidR="00D846EB">
        <w:rPr>
          <w:rFonts w:ascii="Arial" w:eastAsia="Arial" w:hAnsi="Arial" w:cs="Arial"/>
        </w:rPr>
        <w:t>2025</w:t>
      </w:r>
      <w:r w:rsidRPr="04186D8C">
        <w:rPr>
          <w:rFonts w:ascii="Arial" w:eastAsia="Arial" w:hAnsi="Arial" w:cs="Arial"/>
        </w:rPr>
        <w:t xml:space="preserve"> to November </w:t>
      </w:r>
      <w:r w:rsidR="00D846EB">
        <w:rPr>
          <w:rFonts w:ascii="Arial" w:eastAsia="Arial" w:hAnsi="Arial" w:cs="Arial"/>
        </w:rPr>
        <w:t>2025</w:t>
      </w:r>
      <w:r w:rsidRPr="04186D8C">
        <w:rPr>
          <w:rFonts w:ascii="Arial" w:eastAsia="Arial" w:hAnsi="Arial" w:cs="Arial"/>
        </w:rPr>
        <w:t>.</w:t>
      </w:r>
      <w:r>
        <w:br/>
      </w:r>
      <w:r w:rsidRPr="04186D8C">
        <w:rPr>
          <w:rFonts w:ascii="Arial" w:eastAsia="Arial" w:hAnsi="Arial" w:cs="Arial"/>
          <w:b/>
          <w:bCs/>
        </w:rPr>
        <w:t xml:space="preserve">Methodology: </w:t>
      </w:r>
      <w:r w:rsidR="001A463D" w:rsidRPr="001A463D">
        <w:rPr>
          <w:rFonts w:ascii="Arial" w:hAnsi="Arial" w:cs="Arial"/>
          <w:color w:val="000000"/>
        </w:rPr>
        <w:t xml:space="preserve">Clinical data were obtained through detailed review of the patient’s medical records, including medication timeline, laboratory trends, imaging studies, histopathology reports, and clinical response to therapeutic interventions. Serial eosinophil percentages and absolute neutrophil counts were analyzed in relation to antibiotic exposure and treatment milestones. Diagnostic probability was assessed using the </w:t>
      </w:r>
      <w:proofErr w:type="spellStart"/>
      <w:r w:rsidR="001A463D" w:rsidRPr="001A463D">
        <w:rPr>
          <w:rFonts w:ascii="Arial" w:hAnsi="Arial" w:cs="Arial"/>
          <w:color w:val="000000"/>
        </w:rPr>
        <w:t>RegiSCAR</w:t>
      </w:r>
      <w:proofErr w:type="spellEnd"/>
      <w:r w:rsidR="001A463D" w:rsidRPr="001A463D">
        <w:rPr>
          <w:rFonts w:ascii="Arial" w:hAnsi="Arial" w:cs="Arial"/>
          <w:color w:val="000000"/>
        </w:rPr>
        <w:t xml:space="preserve"> scoring system, and drug causality was evaluated using the World Health Organization–Uppsala Monitoring Centre (WHO–UMC) causality assessment method.</w:t>
      </w:r>
      <w:r>
        <w:br/>
      </w:r>
      <w:r w:rsidRPr="04186D8C">
        <w:rPr>
          <w:rFonts w:ascii="Arial" w:eastAsia="Arial" w:hAnsi="Arial" w:cs="Arial"/>
          <w:b/>
          <w:bCs/>
        </w:rPr>
        <w:t>Results:</w:t>
      </w:r>
      <w:r w:rsidRPr="04186D8C">
        <w:rPr>
          <w:rFonts w:ascii="Arial" w:eastAsia="Arial" w:hAnsi="Arial" w:cs="Arial"/>
        </w:rPr>
        <w:t xml:space="preserve"> A 45-year-old woman with transfusion-dependent chronic anemia, cognitive delay, and chronic kidney disease developed a progressive morbilliform rash, facial edema, marked eosinophilia, and profound neutropenia following prolonged exposure to intravenous ceftriaxone and oral cefdinir for a complicated urinary tract infection secondary to an obstructive renal stone. Brief exposure to vancomycin was followed by rapid clinical worsening, raising concern for immunologic amplification of an evolving hypersensitivity reaction. Her course was further complicated by acute deep vein thrombosis and pulmonary embolism. Skin biopsy demonstrated findings consistent with a drug-induced hypersensitivity reaction. Initiation of systemic corticosteroids resulted in rapid improvement in both cutaneous and hematologic abnormalities.</w:t>
      </w:r>
      <w:r>
        <w:br/>
      </w:r>
      <w:r w:rsidR="70BE619C" w:rsidRPr="04186D8C">
        <w:rPr>
          <w:rFonts w:ascii="Arial" w:eastAsia="Arial" w:hAnsi="Arial" w:cs="Arial"/>
          <w:b/>
          <w:bCs/>
        </w:rPr>
        <w:t>Discussion:</w:t>
      </w:r>
      <w:r w:rsidRPr="04186D8C">
        <w:rPr>
          <w:rFonts w:ascii="Arial" w:eastAsia="Arial" w:hAnsi="Arial" w:cs="Arial"/>
          <w:b/>
          <w:bCs/>
        </w:rPr>
        <w:t xml:space="preserve"> </w:t>
      </w:r>
      <w:r w:rsidR="00B301E9" w:rsidRPr="00B301E9">
        <w:rPr>
          <w:rFonts w:ascii="Arial" w:eastAsia="Arial" w:hAnsi="Arial" w:cs="Arial"/>
        </w:rPr>
        <w:t>This case underscores the importance of early recognition of DRESS in patients receiving sequential antibiotic therapy. The clinical timeline supports cephalosporins as the likely primary sensitizing agents, with vancomycin acting as a potential immunologic accelerator. Concurrent exposure to two cell wall synthesis inhibitors may also have contributed to immune activation in this case. Both cephalosporins and vancomycin target bacterial cell wall formation but are independently associated with severe delayed hypersensitivity reactions. Sequential exposure may increase antigenic stimulation and immune dysregulation in susceptible individuals, potentially contributing to clinical severity. Prompt initiation of systemic corticosteroids may be critical in reversing severe hematologic and systemic complications.</w:t>
      </w:r>
    </w:p>
    <w:p w14:paraId="1E6FEA9F" w14:textId="2D602381" w:rsidR="04186D8C" w:rsidRDefault="04186D8C" w:rsidP="04186D8C">
      <w:pPr>
        <w:rPr>
          <w:rFonts w:ascii="Arial" w:eastAsia="Arial" w:hAnsi="Arial" w:cs="Arial"/>
        </w:rPr>
      </w:pPr>
    </w:p>
    <w:p w14:paraId="72243F25" w14:textId="1B30FD40" w:rsidR="04186D8C" w:rsidRDefault="04186D8C" w:rsidP="04186D8C">
      <w:pPr>
        <w:rPr>
          <w:rFonts w:ascii="Arial" w:eastAsia="Arial" w:hAnsi="Arial" w:cs="Arial"/>
        </w:rPr>
      </w:pPr>
    </w:p>
    <w:p w14:paraId="2F286C63" w14:textId="2BF21FA8" w:rsidR="04186D8C" w:rsidRDefault="04186D8C" w:rsidP="04186D8C">
      <w:pPr>
        <w:rPr>
          <w:rFonts w:ascii="Arial" w:eastAsia="Arial" w:hAnsi="Arial" w:cs="Arial"/>
        </w:rPr>
      </w:pPr>
    </w:p>
    <w:p w14:paraId="28493302" w14:textId="25B638DF" w:rsidR="04186D8C" w:rsidRDefault="04186D8C" w:rsidP="04186D8C">
      <w:pPr>
        <w:rPr>
          <w:rFonts w:ascii="Arial" w:eastAsia="Arial" w:hAnsi="Arial" w:cs="Arial"/>
        </w:rPr>
      </w:pPr>
    </w:p>
    <w:p w14:paraId="1DD95DF8" w14:textId="3CA01B65" w:rsidR="04186D8C" w:rsidRDefault="04186D8C" w:rsidP="04186D8C">
      <w:pPr>
        <w:rPr>
          <w:rFonts w:ascii="Arial" w:eastAsia="Arial" w:hAnsi="Arial" w:cs="Arial"/>
        </w:rPr>
      </w:pPr>
    </w:p>
    <w:p w14:paraId="262B68BA" w14:textId="7A4D1CC6" w:rsidR="0B5E80EE" w:rsidRDefault="0B5E80EE" w:rsidP="04186D8C">
      <w:pPr>
        <w:rPr>
          <w:rFonts w:ascii="Arial" w:eastAsia="Arial" w:hAnsi="Arial" w:cs="Arial"/>
          <w:i/>
          <w:iCs/>
          <w:sz w:val="20"/>
          <w:szCs w:val="20"/>
        </w:rPr>
      </w:pPr>
      <w:r w:rsidRPr="04186D8C">
        <w:rPr>
          <w:rFonts w:ascii="Arial" w:eastAsia="Arial" w:hAnsi="Arial" w:cs="Arial"/>
          <w:i/>
          <w:iCs/>
          <w:sz w:val="20"/>
          <w:szCs w:val="20"/>
        </w:rPr>
        <w:lastRenderedPageBreak/>
        <w:t>Keywords: DRESS syndrome; drug hypersensitivity; eosinophilia; cefdinir; vancomycin; antibiotic adverse reaction</w:t>
      </w:r>
    </w:p>
    <w:p w14:paraId="6EAC013F" w14:textId="162206C8" w:rsidR="0B5E80EE" w:rsidRDefault="0B5E80EE" w:rsidP="04186D8C">
      <w:pPr>
        <w:spacing w:before="210" w:after="210"/>
        <w:rPr>
          <w:rFonts w:ascii="Arial" w:eastAsia="Arial" w:hAnsi="Arial" w:cs="Arial"/>
          <w:b/>
          <w:bCs/>
        </w:rPr>
      </w:pPr>
      <w:r w:rsidRPr="04186D8C">
        <w:rPr>
          <w:rFonts w:ascii="Arial" w:eastAsia="Arial" w:hAnsi="Arial" w:cs="Arial"/>
          <w:b/>
          <w:bCs/>
        </w:rPr>
        <w:t>1. INTRODUCTION</w:t>
      </w:r>
    </w:p>
    <w:p w14:paraId="610DD515" w14:textId="5FC221DB" w:rsidR="0B5E80EE" w:rsidRDefault="0048568D" w:rsidP="04186D8C">
      <w:pPr>
        <w:spacing w:before="240" w:after="360"/>
        <w:rPr>
          <w:rFonts w:ascii="Arial" w:eastAsia="Arial" w:hAnsi="Arial" w:cs="Arial"/>
        </w:rPr>
      </w:pPr>
      <w:r w:rsidRPr="0048568D">
        <w:rPr>
          <w:rFonts w:ascii="Arial" w:hAnsi="Arial" w:cs="Arial"/>
        </w:rPr>
        <w:t xml:space="preserve">Drug-induced hypersensitivity reactions pose a significant clinical challenge due to their unpredictable nature and potential to impact multiple organ systems. </w:t>
      </w:r>
      <w:r w:rsidR="00A84880">
        <w:rPr>
          <w:rFonts w:ascii="Arial" w:hAnsi="Arial" w:cs="Arial"/>
        </w:rPr>
        <w:t>Drug Reaction with Eosinophilia and Systemic Symptoms (DRESS) is a rare yet potentially life-threatening delayed hypersensitivity reaction that manifests as cutaneous eruptions, hematologic abnormalities, and, in severe cases, multiorgan involvement</w:t>
      </w:r>
      <w:r w:rsidRPr="0048568D">
        <w:rPr>
          <w:rFonts w:ascii="Arial" w:hAnsi="Arial" w:cs="Arial"/>
        </w:rPr>
        <w:t>. Notably, DRESS has been associated with reported mortality rates of 10–20%,</w:t>
      </w:r>
      <w:r w:rsidR="00240CA7">
        <w:rPr>
          <w:rFonts w:ascii="Arial" w:hAnsi="Arial" w:cs="Arial"/>
        </w:rPr>
        <w:t xml:space="preserve"> </w:t>
      </w:r>
      <w:r w:rsidRPr="0048568D">
        <w:rPr>
          <w:rFonts w:ascii="Arial" w:hAnsi="Arial" w:cs="Arial"/>
        </w:rPr>
        <w:t xml:space="preserve">necessitating systemic corticosteroid therapy </w:t>
      </w:r>
      <w:r w:rsidR="00303DF2">
        <w:rPr>
          <w:rFonts w:ascii="Arial" w:hAnsi="Arial" w:cs="Arial"/>
        </w:rPr>
        <w:t>[1]</w:t>
      </w:r>
      <w:r w:rsidR="001377CE">
        <w:rPr>
          <w:rFonts w:ascii="Arial" w:hAnsi="Arial" w:cs="Arial"/>
        </w:rPr>
        <w:t>,</w:t>
      </w:r>
      <w:r w:rsidR="00755158">
        <w:rPr>
          <w:rFonts w:ascii="Arial" w:hAnsi="Arial" w:cs="Arial"/>
        </w:rPr>
        <w:t>[2]</w:t>
      </w:r>
      <w:r w:rsidRPr="0048568D">
        <w:rPr>
          <w:rFonts w:ascii="Arial" w:hAnsi="Arial" w:cs="Arial"/>
        </w:rPr>
        <w:t>.</w:t>
      </w:r>
      <w:r>
        <w:t xml:space="preserve"> </w:t>
      </w:r>
      <w:r w:rsidR="0B5E80EE">
        <w:br/>
      </w:r>
      <w:r w:rsidR="0B5E80EE" w:rsidRPr="04186D8C">
        <w:rPr>
          <w:rFonts w:ascii="Arial" w:eastAsia="Arial" w:hAnsi="Arial" w:cs="Arial"/>
        </w:rPr>
        <w:t xml:space="preserve"> </w:t>
      </w:r>
      <w:r w:rsidR="0B5E80EE">
        <w:br/>
      </w:r>
      <w:r w:rsidR="000C55DE" w:rsidRPr="000C55DE">
        <w:rPr>
          <w:rFonts w:ascii="Arial" w:hAnsi="Arial" w:cs="Arial"/>
        </w:rPr>
        <w:t>In contrast to immediate immunoglobulin E-mediated hypersensitivity reactions, DRESS</w:t>
      </w:r>
      <w:r w:rsidR="001377CE">
        <w:rPr>
          <w:rFonts w:ascii="Arial" w:hAnsi="Arial" w:cs="Arial"/>
        </w:rPr>
        <w:t xml:space="preserve"> </w:t>
      </w:r>
      <w:r w:rsidR="000C55DE" w:rsidRPr="000C55DE">
        <w:rPr>
          <w:rFonts w:ascii="Arial" w:hAnsi="Arial" w:cs="Arial"/>
        </w:rPr>
        <w:t>is believed to involve drug-specific T-cell activation, cytokine dysregulation, and prolonged immune system activation. Interleukin-5 plays a central role in eosinophil proliferation, activation, and survival, while interferon-gamma contributes to systemic inflammation and end-organ involvement. Viral reactivation, particularly of human herpesvirus-6 and cytomegalovirus, has also been implicated in the pathogenesis of severe and protracted cases.</w:t>
      </w:r>
      <w:r w:rsidR="00862CDC">
        <w:rPr>
          <w:rFonts w:ascii="Arial" w:hAnsi="Arial" w:cs="Arial"/>
        </w:rPr>
        <w:t>[1]</w:t>
      </w:r>
      <w:r w:rsidR="000C55DE" w:rsidRPr="000C55DE">
        <w:rPr>
          <w:rFonts w:ascii="Arial" w:hAnsi="Arial" w:cs="Arial"/>
        </w:rPr>
        <w:t>.</w:t>
      </w:r>
      <w:r w:rsidR="0B5E80EE">
        <w:br/>
      </w:r>
      <w:r w:rsidR="0B5E80EE" w:rsidRPr="04186D8C">
        <w:rPr>
          <w:rFonts w:ascii="Arial" w:eastAsia="Arial" w:hAnsi="Arial" w:cs="Arial"/>
        </w:rPr>
        <w:t xml:space="preserve"> </w:t>
      </w:r>
      <w:r w:rsidR="0B5E80EE">
        <w:br/>
      </w:r>
      <w:r w:rsidR="00BA3F67" w:rsidRPr="00BA3F67">
        <w:rPr>
          <w:rFonts w:ascii="Arial" w:hAnsi="Arial" w:cs="Arial"/>
        </w:rPr>
        <w:t xml:space="preserve">Historically, anticonvulsant medications have been the most frequently reported triggers of DRESS. However, emerging evidence suggests that antibiotics, including beta-lactams and glycopeptides such as vancomycin, are increasingly recognized as causative or exacerbating agents, particularly in hospitalized and medically complex patient populations. </w:t>
      </w:r>
      <w:r w:rsidR="00755158">
        <w:rPr>
          <w:rFonts w:ascii="Arial" w:hAnsi="Arial" w:cs="Arial"/>
        </w:rPr>
        <w:t>[2]</w:t>
      </w:r>
      <w:r w:rsidR="002E58D6">
        <w:rPr>
          <w:rFonts w:ascii="Arial" w:hAnsi="Arial" w:cs="Arial"/>
        </w:rPr>
        <w:t>,</w:t>
      </w:r>
      <w:r w:rsidR="00BA3F67" w:rsidRPr="00BA3F67">
        <w:rPr>
          <w:rFonts w:ascii="Arial" w:hAnsi="Arial" w:cs="Arial"/>
        </w:rPr>
        <w:t xml:space="preserve"> </w:t>
      </w:r>
      <w:r w:rsidR="0000190E">
        <w:rPr>
          <w:rFonts w:ascii="Arial" w:hAnsi="Arial" w:cs="Arial"/>
        </w:rPr>
        <w:t>[3]</w:t>
      </w:r>
      <w:r w:rsidR="00BA3F67" w:rsidRPr="00BA3F67">
        <w:rPr>
          <w:rFonts w:ascii="Arial" w:hAnsi="Arial" w:cs="Arial"/>
        </w:rPr>
        <w:t>.</w:t>
      </w:r>
      <w:r w:rsidR="0B5E80EE">
        <w:br/>
      </w:r>
      <w:r w:rsidR="0B5E80EE" w:rsidRPr="04186D8C">
        <w:rPr>
          <w:rFonts w:ascii="Arial" w:eastAsia="Arial" w:hAnsi="Arial" w:cs="Arial"/>
        </w:rPr>
        <w:t xml:space="preserve"> </w:t>
      </w:r>
      <w:r w:rsidR="0B5E80EE">
        <w:br/>
      </w:r>
      <w:r w:rsidR="0B5E80EE" w:rsidRPr="04186D8C">
        <w:rPr>
          <w:rFonts w:ascii="Arial" w:eastAsia="Arial" w:hAnsi="Arial" w:cs="Arial"/>
        </w:rPr>
        <w:t xml:space="preserve">Diagnosis remains challenging due to the delayed onset of symptoms, which typically occurs two to eight weeks after initial drug exposure, and the nonspecific nature of early clinical findings that may mimic infection, sepsis, or dermatologic conditions. Laboratory abnormalities including eosinophilia, leukocyte dyscrasias, and evidence of organ dysfunction are central to diagnosis and classification, most commonly using the </w:t>
      </w:r>
      <w:r w:rsidR="00AA5C86" w:rsidRPr="00210D67">
        <w:rPr>
          <w:rFonts w:ascii="Arial" w:hAnsi="Arial" w:cs="Arial"/>
          <w:color w:val="000000"/>
        </w:rPr>
        <w:t>Registry of Severe Cutaneous Adverse Reactions (</w:t>
      </w:r>
      <w:proofErr w:type="spellStart"/>
      <w:r w:rsidR="00AA5C86" w:rsidRPr="00210D67">
        <w:rPr>
          <w:rFonts w:ascii="Arial" w:hAnsi="Arial" w:cs="Arial"/>
          <w:color w:val="000000"/>
        </w:rPr>
        <w:t>RegiSCAR</w:t>
      </w:r>
      <w:proofErr w:type="spellEnd"/>
      <w:r w:rsidR="00AA5C86" w:rsidRPr="00210D67">
        <w:rPr>
          <w:rFonts w:ascii="Arial" w:hAnsi="Arial" w:cs="Arial"/>
          <w:color w:val="000000"/>
        </w:rPr>
        <w:t>)</w:t>
      </w:r>
      <w:r w:rsidR="0B5E80EE" w:rsidRPr="04186D8C">
        <w:rPr>
          <w:rFonts w:ascii="Arial" w:eastAsia="Arial" w:hAnsi="Arial" w:cs="Arial"/>
        </w:rPr>
        <w:t xml:space="preserve"> scoring system</w:t>
      </w:r>
      <w:r w:rsidR="00210D67" w:rsidRPr="00210D67">
        <w:rPr>
          <w:rFonts w:ascii="Arial" w:hAnsi="Arial" w:cs="Arial"/>
          <w:color w:val="000000"/>
        </w:rPr>
        <w:t xml:space="preserve"> </w:t>
      </w:r>
      <w:r w:rsidR="007E5A0F">
        <w:rPr>
          <w:rFonts w:ascii="Arial" w:hAnsi="Arial" w:cs="Arial"/>
          <w:color w:val="000000"/>
        </w:rPr>
        <w:t>[4]</w:t>
      </w:r>
      <w:r w:rsidR="00210D67" w:rsidRPr="00210D67">
        <w:rPr>
          <w:rFonts w:ascii="Arial" w:hAnsi="Arial" w:cs="Arial"/>
          <w:color w:val="000000"/>
        </w:rPr>
        <w:t xml:space="preserve"> </w:t>
      </w:r>
      <w:r w:rsidR="00373F8F">
        <w:rPr>
          <w:rFonts w:ascii="Arial" w:hAnsi="Arial" w:cs="Arial"/>
          <w:color w:val="000000"/>
        </w:rPr>
        <w:t>[7]</w:t>
      </w:r>
      <w:r w:rsidR="00210D67" w:rsidRPr="00210D67">
        <w:rPr>
          <w:rFonts w:ascii="Arial" w:hAnsi="Arial" w:cs="Arial"/>
          <w:color w:val="000000"/>
        </w:rPr>
        <w:t xml:space="preserve">. </w:t>
      </w:r>
      <w:proofErr w:type="spellStart"/>
      <w:r w:rsidR="00210D67" w:rsidRPr="00210D67">
        <w:rPr>
          <w:rFonts w:ascii="Arial" w:hAnsi="Arial" w:cs="Arial"/>
          <w:color w:val="000000"/>
        </w:rPr>
        <w:t>RegiSCAR</w:t>
      </w:r>
      <w:proofErr w:type="spellEnd"/>
      <w:r w:rsidR="00210D67" w:rsidRPr="00210D67">
        <w:rPr>
          <w:rFonts w:ascii="Arial" w:hAnsi="Arial" w:cs="Arial"/>
          <w:color w:val="000000"/>
        </w:rPr>
        <w:t xml:space="preserve"> incorporates key clinical and laboratory features including fever ≥38.5°C, lymphadenopathy at two or more sites, hematologic abnormalities such as eosinophilia or atypical lymphocytes, extent and morphology of skin involvement with supportive biopsy findings, internal organ involvement, and prolonged disease duration greater than 15 days. Individual features are weighted and summed to generate a total score that classifies cases as no case, possible, probable, or definite DRESS (</w:t>
      </w:r>
      <w:r w:rsidR="007E5A0F">
        <w:rPr>
          <w:rFonts w:ascii="Arial" w:hAnsi="Arial" w:cs="Arial"/>
          <w:color w:val="000000"/>
        </w:rPr>
        <w:t>[4]</w:t>
      </w:r>
      <w:r w:rsidR="00210D67" w:rsidRPr="00210D67">
        <w:rPr>
          <w:rFonts w:ascii="Arial" w:hAnsi="Arial" w:cs="Arial"/>
          <w:color w:val="000000"/>
        </w:rPr>
        <w:t xml:space="preserve">; </w:t>
      </w:r>
      <w:r w:rsidR="00373F8F">
        <w:rPr>
          <w:rFonts w:ascii="Arial" w:hAnsi="Arial" w:cs="Arial"/>
          <w:color w:val="000000"/>
        </w:rPr>
        <w:t>[6]</w:t>
      </w:r>
      <w:r w:rsidR="00210D67" w:rsidRPr="00210D67">
        <w:rPr>
          <w:rFonts w:ascii="Arial" w:hAnsi="Arial" w:cs="Arial"/>
          <w:color w:val="000000"/>
        </w:rPr>
        <w:t>).</w:t>
      </w:r>
      <w:r w:rsidR="0B5E80EE">
        <w:br/>
      </w:r>
      <w:r w:rsidR="0B5E80EE" w:rsidRPr="04186D8C">
        <w:rPr>
          <w:rFonts w:ascii="Arial" w:eastAsia="Arial" w:hAnsi="Arial" w:cs="Arial"/>
        </w:rPr>
        <w:t xml:space="preserve"> </w:t>
      </w:r>
      <w:r w:rsidR="0B5E80EE">
        <w:br/>
      </w:r>
      <w:r w:rsidR="0B5E80EE" w:rsidRPr="04186D8C">
        <w:rPr>
          <w:rFonts w:ascii="Arial" w:eastAsia="Arial" w:hAnsi="Arial" w:cs="Arial"/>
        </w:rPr>
        <w:t>This report describes biphasic presentation of DRESS following sequential exposure to cefdinir and vancomycin, complicated by profound eosinophilia, acute neutropenia, and thromboembolic events. The case highlights the importance of early recognition and immunomodulatory therapy in patients receiving overlapping or sequential antibiotic treatment.</w:t>
      </w:r>
    </w:p>
    <w:p w14:paraId="095217E8" w14:textId="76164750" w:rsidR="04186D8C" w:rsidRDefault="04186D8C" w:rsidP="04186D8C">
      <w:pPr>
        <w:spacing w:before="210" w:after="210"/>
        <w:rPr>
          <w:rFonts w:ascii="Arial" w:eastAsia="Arial" w:hAnsi="Arial" w:cs="Arial"/>
          <w:b/>
          <w:bCs/>
        </w:rPr>
      </w:pPr>
    </w:p>
    <w:p w14:paraId="6C0D0699" w14:textId="421E4DDF" w:rsidR="0B5E80EE" w:rsidRDefault="0B5E80EE" w:rsidP="04186D8C">
      <w:pPr>
        <w:spacing w:before="210" w:after="210"/>
        <w:rPr>
          <w:rFonts w:ascii="Arial" w:eastAsia="Arial" w:hAnsi="Arial" w:cs="Arial"/>
          <w:b/>
          <w:bCs/>
        </w:rPr>
      </w:pPr>
      <w:r w:rsidRPr="04186D8C">
        <w:rPr>
          <w:rFonts w:ascii="Arial" w:eastAsia="Arial" w:hAnsi="Arial" w:cs="Arial"/>
          <w:b/>
          <w:bCs/>
        </w:rPr>
        <w:t>2. C</w:t>
      </w:r>
      <w:r w:rsidR="46C0D274" w:rsidRPr="04186D8C">
        <w:rPr>
          <w:rFonts w:ascii="Arial" w:eastAsia="Arial" w:hAnsi="Arial" w:cs="Arial"/>
          <w:b/>
          <w:bCs/>
        </w:rPr>
        <w:t>ASE PRESENTATION</w:t>
      </w:r>
    </w:p>
    <w:p w14:paraId="672A6659" w14:textId="33382974" w:rsidR="003073A8" w:rsidRDefault="0B5E80EE" w:rsidP="00FD39EB">
      <w:pPr>
        <w:spacing w:before="240" w:after="150"/>
        <w:rPr>
          <w:rFonts w:ascii="Arial" w:eastAsia="Arial" w:hAnsi="Arial" w:cs="Arial"/>
        </w:rPr>
      </w:pPr>
      <w:r w:rsidRPr="04186D8C">
        <w:rPr>
          <w:rFonts w:ascii="Arial" w:eastAsia="Arial" w:hAnsi="Arial" w:cs="Arial"/>
        </w:rPr>
        <w:t xml:space="preserve">A 45-year-old woman with a history of transfusion-dependent chronic anemia, cognitive delay, and chronic kidney disease status post ureteral stent placement presented to Central Maine Medical Center on 29 October </w:t>
      </w:r>
      <w:r w:rsidR="00D846EB">
        <w:rPr>
          <w:rFonts w:ascii="Arial" w:eastAsia="Arial" w:hAnsi="Arial" w:cs="Arial"/>
        </w:rPr>
        <w:t>2025</w:t>
      </w:r>
      <w:r w:rsidRPr="04186D8C">
        <w:rPr>
          <w:rFonts w:ascii="Arial" w:eastAsia="Arial" w:hAnsi="Arial" w:cs="Arial"/>
        </w:rPr>
        <w:t xml:space="preserve"> with worsening rash, facial edema, and abnormal laboratory findings. One month prior, on 27 September </w:t>
      </w:r>
      <w:r w:rsidR="00D846EB">
        <w:rPr>
          <w:rFonts w:ascii="Arial" w:eastAsia="Arial" w:hAnsi="Arial" w:cs="Arial"/>
        </w:rPr>
        <w:t>2025</w:t>
      </w:r>
      <w:r w:rsidRPr="04186D8C">
        <w:rPr>
          <w:rFonts w:ascii="Arial" w:eastAsia="Arial" w:hAnsi="Arial" w:cs="Arial"/>
        </w:rPr>
        <w:t xml:space="preserve">, she was diagnosed with a urinary tract infection secondary to an obstructing infected renal stone and was treated with a ten-day course of intravenous ceftriaxone at an outside facility. On 10 October </w:t>
      </w:r>
      <w:r w:rsidR="00D846EB">
        <w:rPr>
          <w:rFonts w:ascii="Arial" w:eastAsia="Arial" w:hAnsi="Arial" w:cs="Arial"/>
        </w:rPr>
        <w:t>2025</w:t>
      </w:r>
      <w:r w:rsidRPr="04186D8C">
        <w:rPr>
          <w:rFonts w:ascii="Arial" w:eastAsia="Arial" w:hAnsi="Arial" w:cs="Arial"/>
        </w:rPr>
        <w:t>, she was transitioned to oral cefdinir, which she continued as an outpatient.</w:t>
      </w:r>
      <w:r>
        <w:br/>
      </w:r>
      <w:r w:rsidRPr="04186D8C">
        <w:rPr>
          <w:rFonts w:ascii="Arial" w:eastAsia="Arial" w:hAnsi="Arial" w:cs="Arial"/>
        </w:rPr>
        <w:t xml:space="preserve"> </w:t>
      </w:r>
      <w:r>
        <w:br/>
      </w:r>
      <w:r w:rsidRPr="04186D8C">
        <w:rPr>
          <w:rFonts w:ascii="Arial" w:eastAsia="Arial" w:hAnsi="Arial" w:cs="Arial"/>
        </w:rPr>
        <w:t>During cefdinir therapy, the patient developed a subtle erythematous rash on her lower back shortly after receiving a blood transfusion for chronic anemia. Over the following days, the eruption gradually extended across her trunk. In the 48 hours preceding hospital admission, the rash spread to her face and extremities, and she developed progressive facial swelling and generalized edema.</w:t>
      </w:r>
      <w:r>
        <w:br/>
      </w:r>
      <w:r w:rsidRPr="04186D8C">
        <w:rPr>
          <w:rFonts w:ascii="Arial" w:eastAsia="Arial" w:hAnsi="Arial" w:cs="Arial"/>
        </w:rPr>
        <w:t xml:space="preserve"> </w:t>
      </w:r>
      <w:r>
        <w:br/>
      </w:r>
      <w:r w:rsidRPr="04186D8C">
        <w:rPr>
          <w:rFonts w:ascii="Arial" w:eastAsia="Arial" w:hAnsi="Arial" w:cs="Arial"/>
        </w:rPr>
        <w:t xml:space="preserve">On admission, the patient was febrile and hemodynamically stable. Physical examination revealed marked periorbital and facial edema and a widespread morbilliform eruption involving the trunk and all extremities. Oral cefdinir was discontinued. She was briefly restarted on intravenous ceftriaxone for presumed complicated urinary tract infection; however, due to concern for a cephalosporin-associated drug reaction, ceftriaxone was discontinued the same day and intravenous vancomycin was initiated. Within 24 hours of vancomycin administration, the patient experienced further worsening of the rash and facial edema, prompting discontinuation of vancomycin on 30 October </w:t>
      </w:r>
      <w:r w:rsidR="00D846EB">
        <w:rPr>
          <w:rFonts w:ascii="Arial" w:eastAsia="Arial" w:hAnsi="Arial" w:cs="Arial"/>
        </w:rPr>
        <w:t>2025</w:t>
      </w:r>
      <w:r w:rsidRPr="04186D8C">
        <w:rPr>
          <w:rFonts w:ascii="Arial" w:eastAsia="Arial" w:hAnsi="Arial" w:cs="Arial"/>
        </w:rPr>
        <w:t>. Ciprofloxacin was initiated for treatment of concurrent pyogenic osteomyelitis and continued throughout the remainder of the hospitalization.</w:t>
      </w:r>
      <w:r>
        <w:br/>
      </w:r>
      <w:r w:rsidRPr="04186D8C">
        <w:rPr>
          <w:rFonts w:ascii="Arial" w:eastAsia="Arial" w:hAnsi="Arial" w:cs="Arial"/>
        </w:rPr>
        <w:t xml:space="preserve"> </w:t>
      </w:r>
      <w:r>
        <w:br/>
      </w:r>
      <w:r w:rsidRPr="04186D8C">
        <w:rPr>
          <w:rFonts w:ascii="Arial" w:eastAsia="Arial" w:hAnsi="Arial" w:cs="Arial"/>
        </w:rPr>
        <w:t>Initial laboratory evaluation demonstrated progressive eosinophilia and declining neutrophil counts. The eosinophil percentage increased from 14 percent on admission to a peak of 57 percent on 4 November 202</w:t>
      </w:r>
      <w:r w:rsidR="00FF5A63">
        <w:rPr>
          <w:rFonts w:ascii="Arial" w:eastAsia="Arial" w:hAnsi="Arial" w:cs="Arial"/>
        </w:rPr>
        <w:t>5</w:t>
      </w:r>
      <w:r w:rsidRPr="04186D8C">
        <w:rPr>
          <w:rFonts w:ascii="Arial" w:eastAsia="Arial" w:hAnsi="Arial" w:cs="Arial"/>
        </w:rPr>
        <w:t>. Concurrently, the absolute neutrophil count declined from 3.6 ×10³ per microliter to a nadir of 0.1 ×10³ per microliter. An initial punch biopsy performed on 31 October 202</w:t>
      </w:r>
      <w:r w:rsidR="00FF5A63">
        <w:rPr>
          <w:rFonts w:ascii="Arial" w:eastAsia="Arial" w:hAnsi="Arial" w:cs="Arial"/>
        </w:rPr>
        <w:t>5</w:t>
      </w:r>
      <w:r w:rsidRPr="04186D8C">
        <w:rPr>
          <w:rFonts w:ascii="Arial" w:eastAsia="Arial" w:hAnsi="Arial" w:cs="Arial"/>
        </w:rPr>
        <w:t xml:space="preserve"> was nondiagnostic.</w:t>
      </w:r>
      <w:r>
        <w:br/>
      </w:r>
      <w:r w:rsidRPr="04186D8C">
        <w:rPr>
          <w:rFonts w:ascii="Arial" w:eastAsia="Arial" w:hAnsi="Arial" w:cs="Arial"/>
        </w:rPr>
        <w:t xml:space="preserve"> </w:t>
      </w:r>
      <w:r>
        <w:br/>
      </w:r>
      <w:r w:rsidRPr="04186D8C">
        <w:rPr>
          <w:rFonts w:ascii="Arial" w:eastAsia="Arial" w:hAnsi="Arial" w:cs="Arial"/>
        </w:rPr>
        <w:t xml:space="preserve">On 5 November </w:t>
      </w:r>
      <w:r w:rsidR="00D846EB">
        <w:rPr>
          <w:rFonts w:ascii="Arial" w:eastAsia="Arial" w:hAnsi="Arial" w:cs="Arial"/>
        </w:rPr>
        <w:t>2025</w:t>
      </w:r>
      <w:r w:rsidRPr="04186D8C">
        <w:rPr>
          <w:rFonts w:ascii="Arial" w:eastAsia="Arial" w:hAnsi="Arial" w:cs="Arial"/>
        </w:rPr>
        <w:t xml:space="preserve">, Doppler ultrasound of the lower extremities revealed acute deep vein thrombosis involving the mid to distal femoral and popliteal veins. On 6 November </w:t>
      </w:r>
      <w:r w:rsidR="00D846EB">
        <w:rPr>
          <w:rFonts w:ascii="Arial" w:eastAsia="Arial" w:hAnsi="Arial" w:cs="Arial"/>
        </w:rPr>
        <w:t>2025</w:t>
      </w:r>
      <w:r w:rsidRPr="04186D8C">
        <w:rPr>
          <w:rFonts w:ascii="Arial" w:eastAsia="Arial" w:hAnsi="Arial" w:cs="Arial"/>
        </w:rPr>
        <w:t>, computed tomography pulmonary angiography demonstrated a right lower lobe pulmonary embolism and a left lower lobe subsegmental pulmonary embolism, along with bilateral axillary lymphadenopathy. A repeat punch biopsy performed on 6 November 202</w:t>
      </w:r>
      <w:r w:rsidR="00FF5A63">
        <w:rPr>
          <w:rFonts w:ascii="Arial" w:eastAsia="Arial" w:hAnsi="Arial" w:cs="Arial"/>
        </w:rPr>
        <w:t>5</w:t>
      </w:r>
      <w:r w:rsidRPr="04186D8C">
        <w:rPr>
          <w:rFonts w:ascii="Arial" w:eastAsia="Arial" w:hAnsi="Arial" w:cs="Arial"/>
        </w:rPr>
        <w:t xml:space="preserve"> demonstrated focal interface dermatitis with scattered eosinophils and interstitial histiocytes, findings favoring a drug-induced hypersensitivity reaction.</w:t>
      </w:r>
      <w:r w:rsidR="006442B2">
        <w:rPr>
          <w:rFonts w:ascii="Arial" w:eastAsia="Arial" w:hAnsi="Arial" w:cs="Arial"/>
        </w:rPr>
        <w:t xml:space="preserve"> </w:t>
      </w:r>
      <w:r w:rsidR="006442B2" w:rsidRPr="006442B2">
        <w:rPr>
          <w:rFonts w:ascii="Arial" w:hAnsi="Arial" w:cs="Arial"/>
          <w:color w:val="000000"/>
        </w:rPr>
        <w:t xml:space="preserve">Using the </w:t>
      </w:r>
      <w:proofErr w:type="spellStart"/>
      <w:r w:rsidR="006442B2" w:rsidRPr="006442B2">
        <w:rPr>
          <w:rFonts w:ascii="Arial" w:hAnsi="Arial" w:cs="Arial"/>
          <w:color w:val="000000"/>
        </w:rPr>
        <w:t>RegiSCAR</w:t>
      </w:r>
      <w:proofErr w:type="spellEnd"/>
      <w:r w:rsidR="006442B2" w:rsidRPr="006442B2">
        <w:rPr>
          <w:rFonts w:ascii="Arial" w:hAnsi="Arial" w:cs="Arial"/>
          <w:color w:val="000000"/>
        </w:rPr>
        <w:t xml:space="preserve"> scoring system, the patient achieved a score of 10, consistent with a definite diagnosis of DRESS, depending on classification of systemic thromboembolic </w:t>
      </w:r>
      <w:r w:rsidR="006442B2" w:rsidRPr="006442B2">
        <w:rPr>
          <w:rFonts w:ascii="Arial" w:hAnsi="Arial" w:cs="Arial"/>
          <w:color w:val="000000"/>
        </w:rPr>
        <w:lastRenderedPageBreak/>
        <w:t>involvement as internal organ involvement.</w:t>
      </w:r>
      <w:r>
        <w:br/>
      </w:r>
      <w:r w:rsidRPr="04186D8C">
        <w:rPr>
          <w:rFonts w:ascii="Arial" w:eastAsia="Arial" w:hAnsi="Arial" w:cs="Arial"/>
        </w:rPr>
        <w:t xml:space="preserve"> </w:t>
      </w:r>
      <w:r>
        <w:br/>
      </w:r>
      <w:r w:rsidRPr="04186D8C">
        <w:rPr>
          <w:rFonts w:ascii="Arial" w:eastAsia="Arial" w:hAnsi="Arial" w:cs="Arial"/>
        </w:rPr>
        <w:t xml:space="preserve">Systemic corticosteroid therapy with oral prednisone was initiated on 6 November </w:t>
      </w:r>
      <w:r w:rsidR="00D846EB">
        <w:rPr>
          <w:rFonts w:ascii="Arial" w:eastAsia="Arial" w:hAnsi="Arial" w:cs="Arial"/>
        </w:rPr>
        <w:t>2025</w:t>
      </w:r>
      <w:r w:rsidRPr="04186D8C">
        <w:rPr>
          <w:rFonts w:ascii="Arial" w:eastAsia="Arial" w:hAnsi="Arial" w:cs="Arial"/>
        </w:rPr>
        <w:t xml:space="preserve">. Over the ensuing days, the patient’s cutaneous findings and systemic symptoms improved. The eosinophil percentage declined to 1 percent by 12 November </w:t>
      </w:r>
      <w:r w:rsidR="00D846EB">
        <w:rPr>
          <w:rFonts w:ascii="Arial" w:eastAsia="Arial" w:hAnsi="Arial" w:cs="Arial"/>
        </w:rPr>
        <w:t>2025</w:t>
      </w:r>
      <w:r w:rsidRPr="04186D8C">
        <w:rPr>
          <w:rFonts w:ascii="Arial" w:eastAsia="Arial" w:hAnsi="Arial" w:cs="Arial"/>
        </w:rPr>
        <w:t xml:space="preserve">, and the absolute neutrophil count recovered to greater than 20 ×10³ per microliter by the time of discharge on 14 November </w:t>
      </w:r>
      <w:r w:rsidR="00D846EB">
        <w:rPr>
          <w:rFonts w:ascii="Arial" w:eastAsia="Arial" w:hAnsi="Arial" w:cs="Arial"/>
        </w:rPr>
        <w:t>2025</w:t>
      </w:r>
      <w:r w:rsidRPr="04186D8C">
        <w:rPr>
          <w:rFonts w:ascii="Arial" w:eastAsia="Arial" w:hAnsi="Arial" w:cs="Arial"/>
        </w:rPr>
        <w:t>.</w:t>
      </w:r>
      <w:r w:rsidR="04186D8C">
        <w:rPr>
          <w:noProof/>
        </w:rPr>
        <w:drawing>
          <wp:inline distT="0" distB="0" distL="0" distR="0" wp14:anchorId="0F770860" wp14:editId="0B5D3CEC">
            <wp:extent cx="54864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d_clinical_course.png"/>
                    <pic:cNvPicPr/>
                  </pic:nvPicPr>
                  <pic:blipFill>
                    <a:blip r:embed="rId8"/>
                    <a:stretch>
                      <a:fillRect/>
                    </a:stretch>
                  </pic:blipFill>
                  <pic:spPr>
                    <a:xfrm>
                      <a:off x="0" y="0"/>
                      <a:ext cx="5486400" cy="2743200"/>
                    </a:xfrm>
                    <a:prstGeom prst="rect">
                      <a:avLst/>
                    </a:prstGeom>
                  </pic:spPr>
                </pic:pic>
              </a:graphicData>
            </a:graphic>
          </wp:inline>
        </w:drawing>
      </w:r>
    </w:p>
    <w:p w14:paraId="140D08C5" w14:textId="169460D4" w:rsidR="003073A8" w:rsidRDefault="002721DE" w:rsidP="009E270D">
      <w:pPr>
        <w:spacing w:before="195" w:after="195"/>
        <w:rPr>
          <w:rFonts w:ascii="Arial" w:eastAsia="Arial" w:hAnsi="Arial" w:cs="Arial"/>
        </w:rPr>
      </w:pPr>
      <w:r>
        <w:rPr>
          <w:rFonts w:ascii="Arial" w:eastAsia="Arial" w:hAnsi="Arial" w:cs="Arial"/>
          <w:b/>
          <w:bCs/>
          <w:noProof/>
        </w:rPr>
        <mc:AlternateContent>
          <mc:Choice Requires="wps">
            <w:drawing>
              <wp:anchor distT="0" distB="0" distL="114300" distR="114300" simplePos="0" relativeHeight="251663360" behindDoc="0" locked="0" layoutInCell="1" allowOverlap="1" wp14:anchorId="056CE8E2" wp14:editId="60735B6E">
                <wp:simplePos x="0" y="0"/>
                <wp:positionH relativeFrom="column">
                  <wp:posOffset>791112</wp:posOffset>
                </wp:positionH>
                <wp:positionV relativeFrom="paragraph">
                  <wp:posOffset>465455</wp:posOffset>
                </wp:positionV>
                <wp:extent cx="261816" cy="0"/>
                <wp:effectExtent l="38100" t="63500" r="55880" b="63500"/>
                <wp:wrapNone/>
                <wp:docPr id="118464974" name="Straight Connector 2"/>
                <wp:cNvGraphicFramePr/>
                <a:graphic xmlns:a="http://schemas.openxmlformats.org/drawingml/2006/main">
                  <a:graphicData uri="http://schemas.microsoft.com/office/word/2010/wordprocessingShape">
                    <wps:wsp>
                      <wps:cNvCnPr/>
                      <wps:spPr>
                        <a:xfrm>
                          <a:off x="0" y="0"/>
                          <a:ext cx="261816" cy="0"/>
                        </a:xfrm>
                        <a:prstGeom prst="line">
                          <a:avLst/>
                        </a:prstGeom>
                        <a:ln w="19050">
                          <a:prstDash val="sysDot"/>
                          <a:headEnd type="diamond"/>
                          <a:tailEnd type="diamond"/>
                        </a:ln>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6FAFD6D"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36.65pt" to="82.9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" strokecolor="#4f81bd [3204]" strokeweight="1.5pt">
                <v:stroke dashstyle="1 1" startarrow="diamond" endarrow="diamond"/>
                <v:shadow on="t" color="black" opacity="0" origin=",.5" offset="0,.55556mm"/>
              </v:line>
            </w:pict>
          </mc:Fallback>
        </mc:AlternateContent>
      </w:r>
      <w:r w:rsidR="00100316">
        <w:rPr>
          <w:rFonts w:ascii="Arial" w:eastAsia="Arial" w:hAnsi="Arial" w:cs="Arial"/>
          <w:b/>
          <w:bCs/>
          <w:noProof/>
        </w:rPr>
        <mc:AlternateContent>
          <mc:Choice Requires="wps">
            <w:drawing>
              <wp:anchor distT="0" distB="0" distL="114300" distR="114300" simplePos="0" relativeHeight="251657216" behindDoc="0" locked="0" layoutInCell="1" allowOverlap="1" wp14:anchorId="6EE90510" wp14:editId="277EBEDB">
                <wp:simplePos x="0" y="0"/>
                <wp:positionH relativeFrom="column">
                  <wp:posOffset>2724883</wp:posOffset>
                </wp:positionH>
                <wp:positionV relativeFrom="paragraph">
                  <wp:posOffset>292784</wp:posOffset>
                </wp:positionV>
                <wp:extent cx="218245" cy="0"/>
                <wp:effectExtent l="50800" t="63500" r="48895" b="63500"/>
                <wp:wrapNone/>
                <wp:docPr id="562828103" name="Straight Connector 1"/>
                <wp:cNvGraphicFramePr/>
                <a:graphic xmlns:a="http://schemas.openxmlformats.org/drawingml/2006/main">
                  <a:graphicData uri="http://schemas.microsoft.com/office/word/2010/wordprocessingShape">
                    <wps:wsp>
                      <wps:cNvCnPr/>
                      <wps:spPr>
                        <a:xfrm>
                          <a:off x="0" y="0"/>
                          <a:ext cx="218245" cy="0"/>
                        </a:xfrm>
                        <a:prstGeom prst="line">
                          <a:avLst/>
                        </a:prstGeom>
                        <a:ln w="19050">
                          <a:headEnd type="oval"/>
                          <a:tailEnd type="oval"/>
                        </a:ln>
                        <a:effectLst>
                          <a:outerShdw blurRad="40000" dist="20000" dir="5400000" rotWithShape="0">
                            <a:srgbClr val="000000">
                              <a:alpha val="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35012CD"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55pt,23.05pt" to="231.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" strokecolor="#4f81bd [3204]" strokeweight="1.5pt">
                <v:stroke startarrow="oval" endarrow="oval"/>
                <v:shadow on="t" color="black" opacity="0" origin=",.5" offset="0,.55556mm"/>
              </v:line>
            </w:pict>
          </mc:Fallback>
        </mc:AlternateContent>
      </w:r>
      <w:r w:rsidR="33AD3198" w:rsidRPr="783E2F39">
        <w:rPr>
          <w:rFonts w:ascii="Arial" w:eastAsia="Arial" w:hAnsi="Arial" w:cs="Arial"/>
          <w:b/>
          <w:bCs/>
        </w:rPr>
        <w:t xml:space="preserve">Fig 1. </w:t>
      </w:r>
      <w:r w:rsidR="005149DA" w:rsidRPr="04186D8C">
        <w:rPr>
          <w:rFonts w:ascii="Arial" w:eastAsia="Arial" w:hAnsi="Arial" w:cs="Arial"/>
          <w:b/>
          <w:bCs/>
        </w:rPr>
        <w:t>Clinical course of Drug Reaction with Eosinophilia and Systemic Symptoms (DRESS).</w:t>
      </w:r>
      <w:r w:rsidR="005149DA">
        <w:rPr>
          <w:rFonts w:ascii="Arial" w:eastAsia="Arial" w:hAnsi="Arial" w:cs="Arial"/>
          <w:b/>
          <w:bCs/>
        </w:rPr>
        <w:t xml:space="preserve"> </w:t>
      </w:r>
      <w:r w:rsidR="7D4A8E0C" w:rsidRPr="783E2F39">
        <w:rPr>
          <w:rFonts w:ascii="Arial" w:eastAsia="Arial" w:hAnsi="Arial" w:cs="Arial"/>
        </w:rPr>
        <w:t>Eosinophil percentage (solid line</w:t>
      </w:r>
      <w:r w:rsidR="00453AEE">
        <w:rPr>
          <w:rFonts w:ascii="Arial" w:eastAsia="Arial" w:hAnsi="Arial" w:cs="Arial"/>
        </w:rPr>
        <w:t xml:space="preserve">       </w:t>
      </w:r>
      <w:proofErr w:type="gramStart"/>
      <w:r w:rsidR="00453AEE">
        <w:rPr>
          <w:rFonts w:ascii="Arial" w:eastAsia="Arial" w:hAnsi="Arial" w:cs="Arial"/>
        </w:rPr>
        <w:t xml:space="preserve"> </w:t>
      </w:r>
      <w:r w:rsidR="00F35E2E">
        <w:rPr>
          <w:rFonts w:ascii="Arial" w:eastAsia="Arial" w:hAnsi="Arial" w:cs="Arial"/>
        </w:rPr>
        <w:t xml:space="preserve"> </w:t>
      </w:r>
      <w:r w:rsidR="7D4A8E0C" w:rsidRPr="783E2F39">
        <w:rPr>
          <w:rFonts w:ascii="Arial" w:eastAsia="Arial" w:hAnsi="Arial" w:cs="Arial"/>
        </w:rPr>
        <w:t>)</w:t>
      </w:r>
      <w:proofErr w:type="gramEnd"/>
      <w:r w:rsidR="7D4A8E0C" w:rsidRPr="783E2F39">
        <w:rPr>
          <w:rFonts w:ascii="Arial" w:eastAsia="Arial" w:hAnsi="Arial" w:cs="Arial"/>
        </w:rPr>
        <w:t xml:space="preserve"> and absolute neutrophil count (ANC; </w:t>
      </w:r>
      <w:r w:rsidR="00580FDC">
        <w:rPr>
          <w:rFonts w:ascii="Arial" w:eastAsia="Arial" w:hAnsi="Arial" w:cs="Arial"/>
        </w:rPr>
        <w:t xml:space="preserve">    </w:t>
      </w:r>
      <w:r w:rsidR="7D4A8E0C" w:rsidRPr="783E2F39">
        <w:rPr>
          <w:rFonts w:ascii="Arial" w:eastAsia="Arial" w:hAnsi="Arial" w:cs="Arial"/>
        </w:rPr>
        <w:t>dashed line</w:t>
      </w:r>
      <w:r w:rsidR="00F35E2E">
        <w:rPr>
          <w:rFonts w:ascii="Arial" w:eastAsia="Arial" w:hAnsi="Arial" w:cs="Arial"/>
        </w:rPr>
        <w:t xml:space="preserve"> </w:t>
      </w:r>
      <w:r w:rsidR="00453AEE">
        <w:rPr>
          <w:rFonts w:ascii="Arial" w:eastAsia="Arial" w:hAnsi="Arial" w:cs="Arial"/>
        </w:rPr>
        <w:t xml:space="preserve">      </w:t>
      </w:r>
      <w:r>
        <w:rPr>
          <w:rFonts w:ascii="Arial" w:eastAsia="Arial" w:hAnsi="Arial" w:cs="Arial"/>
        </w:rPr>
        <w:t xml:space="preserve">  </w:t>
      </w:r>
      <w:r w:rsidR="0065204A">
        <w:rPr>
          <w:rFonts w:ascii="Arial" w:eastAsia="Arial" w:hAnsi="Arial" w:cs="Arial"/>
        </w:rPr>
        <w:t xml:space="preserve"> </w:t>
      </w:r>
      <w:r w:rsidR="7D4A8E0C" w:rsidRPr="783E2F39">
        <w:rPr>
          <w:rFonts w:ascii="Arial" w:eastAsia="Arial" w:hAnsi="Arial" w:cs="Arial"/>
        </w:rPr>
        <w:t>) are shown over time. Vertical markers indicate key clinical events, including hospital admission and cessation of cefdinir, brief vancomycin exposure, diagnosis of deep vein thrombosis by Doppler ultrasound, pulmonary embolism by computed tomography angiography, and initiation of systemic corticosteroids. A biphasic pattern with peak eosinophilia and nadir ANC preceded rapid hematologic recovery following prednisone initiation.</w:t>
      </w:r>
    </w:p>
    <w:p w14:paraId="0BAC608D" w14:textId="77777777" w:rsidR="00C639ED" w:rsidRDefault="00C639ED" w:rsidP="009E270D">
      <w:pPr>
        <w:spacing w:before="195" w:after="195"/>
        <w:rPr>
          <w:rFonts w:ascii="Arial" w:eastAsia="Arial" w:hAnsi="Arial" w:cs="Arial"/>
          <w:b/>
          <w:bCs/>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76"/>
        <w:gridCol w:w="2875"/>
        <w:gridCol w:w="2873"/>
      </w:tblGrid>
      <w:tr w:rsidR="6F1584C9" w14:paraId="794C1229" w14:textId="77777777" w:rsidTr="6F1584C9">
        <w:trPr>
          <w:trHeight w:val="300"/>
        </w:trPr>
        <w:tc>
          <w:tcPr>
            <w:tcW w:w="2880" w:type="dxa"/>
            <w:tcMar>
              <w:left w:w="105" w:type="dxa"/>
              <w:right w:w="105" w:type="dxa"/>
            </w:tcMar>
            <w:vAlign w:val="center"/>
          </w:tcPr>
          <w:p w14:paraId="3F7BA690" w14:textId="11D85A31" w:rsidR="6F1584C9" w:rsidRDefault="6F1584C9" w:rsidP="6F1584C9">
            <w:pPr>
              <w:rPr>
                <w:rFonts w:ascii="Cambria" w:eastAsia="Cambria" w:hAnsi="Cambria" w:cs="Cambria"/>
              </w:rPr>
            </w:pPr>
            <w:r w:rsidRPr="6F1584C9">
              <w:rPr>
                <w:rFonts w:ascii="Cambria" w:eastAsia="Cambria" w:hAnsi="Cambria" w:cs="Cambria"/>
              </w:rPr>
              <w:t>Clinical Feature</w:t>
            </w:r>
          </w:p>
        </w:tc>
        <w:tc>
          <w:tcPr>
            <w:tcW w:w="2880" w:type="dxa"/>
            <w:tcMar>
              <w:left w:w="105" w:type="dxa"/>
              <w:right w:w="105" w:type="dxa"/>
            </w:tcMar>
            <w:vAlign w:val="center"/>
          </w:tcPr>
          <w:p w14:paraId="2A4CF9F6" w14:textId="7EE10DDE" w:rsidR="6F1584C9" w:rsidRDefault="6F1584C9" w:rsidP="6F1584C9">
            <w:pPr>
              <w:rPr>
                <w:rFonts w:ascii="Cambria" w:eastAsia="Cambria" w:hAnsi="Cambria" w:cs="Cambria"/>
              </w:rPr>
            </w:pPr>
            <w:r w:rsidRPr="6F1584C9">
              <w:rPr>
                <w:rFonts w:ascii="Cambria" w:eastAsia="Cambria" w:hAnsi="Cambria" w:cs="Cambria"/>
              </w:rPr>
              <w:t>Criteria</w:t>
            </w:r>
          </w:p>
        </w:tc>
        <w:tc>
          <w:tcPr>
            <w:tcW w:w="2880" w:type="dxa"/>
            <w:tcMar>
              <w:left w:w="105" w:type="dxa"/>
              <w:right w:w="105" w:type="dxa"/>
            </w:tcMar>
            <w:vAlign w:val="center"/>
          </w:tcPr>
          <w:p w14:paraId="1937262D" w14:textId="3AF6A02E" w:rsidR="6F1584C9" w:rsidRDefault="6F1584C9" w:rsidP="6F1584C9">
            <w:pPr>
              <w:rPr>
                <w:rFonts w:ascii="Cambria" w:eastAsia="Cambria" w:hAnsi="Cambria" w:cs="Cambria"/>
              </w:rPr>
            </w:pPr>
            <w:r w:rsidRPr="6F1584C9">
              <w:rPr>
                <w:rFonts w:ascii="Cambria" w:eastAsia="Cambria" w:hAnsi="Cambria" w:cs="Cambria"/>
              </w:rPr>
              <w:t>Score</w:t>
            </w:r>
          </w:p>
        </w:tc>
      </w:tr>
      <w:tr w:rsidR="6F1584C9" w14:paraId="3352F9BA" w14:textId="77777777" w:rsidTr="6F1584C9">
        <w:trPr>
          <w:trHeight w:val="300"/>
        </w:trPr>
        <w:tc>
          <w:tcPr>
            <w:tcW w:w="2880" w:type="dxa"/>
            <w:tcMar>
              <w:left w:w="105" w:type="dxa"/>
              <w:right w:w="105" w:type="dxa"/>
            </w:tcMar>
            <w:vAlign w:val="center"/>
          </w:tcPr>
          <w:p w14:paraId="5CAEAA50" w14:textId="052DC25C" w:rsidR="6F1584C9" w:rsidRDefault="6F1584C9" w:rsidP="6F1584C9">
            <w:pPr>
              <w:rPr>
                <w:rFonts w:ascii="Cambria" w:eastAsia="Cambria" w:hAnsi="Cambria" w:cs="Cambria"/>
              </w:rPr>
            </w:pPr>
            <w:r w:rsidRPr="6F1584C9">
              <w:rPr>
                <w:rFonts w:ascii="Cambria" w:eastAsia="Cambria" w:hAnsi="Cambria" w:cs="Cambria"/>
              </w:rPr>
              <w:t>Fever ≥ 38.5°C</w:t>
            </w:r>
          </w:p>
        </w:tc>
        <w:tc>
          <w:tcPr>
            <w:tcW w:w="2880" w:type="dxa"/>
            <w:tcMar>
              <w:left w:w="105" w:type="dxa"/>
              <w:right w:w="105" w:type="dxa"/>
            </w:tcMar>
            <w:vAlign w:val="center"/>
          </w:tcPr>
          <w:p w14:paraId="219A65EE" w14:textId="2BB9C145" w:rsidR="6F1584C9" w:rsidRDefault="6F1584C9" w:rsidP="6F1584C9">
            <w:pPr>
              <w:rPr>
                <w:rFonts w:ascii="Cambria" w:eastAsia="Cambria" w:hAnsi="Cambria" w:cs="Cambria"/>
              </w:rPr>
            </w:pPr>
            <w:r w:rsidRPr="6F1584C9">
              <w:rPr>
                <w:rFonts w:ascii="Cambria" w:eastAsia="Cambria" w:hAnsi="Cambria" w:cs="Cambria"/>
              </w:rPr>
              <w:t>Present / Absent</w:t>
            </w:r>
          </w:p>
        </w:tc>
        <w:tc>
          <w:tcPr>
            <w:tcW w:w="2880" w:type="dxa"/>
            <w:tcMar>
              <w:left w:w="105" w:type="dxa"/>
              <w:right w:w="105" w:type="dxa"/>
            </w:tcMar>
            <w:vAlign w:val="center"/>
          </w:tcPr>
          <w:p w14:paraId="7047D80C" w14:textId="3F66C1AB" w:rsidR="6F1584C9" w:rsidRDefault="6F1584C9" w:rsidP="6F1584C9">
            <w:pPr>
              <w:rPr>
                <w:rFonts w:ascii="Cambria" w:eastAsia="Cambria" w:hAnsi="Cambria" w:cs="Cambria"/>
              </w:rPr>
            </w:pPr>
            <w:r w:rsidRPr="6F1584C9">
              <w:rPr>
                <w:rFonts w:ascii="Cambria" w:eastAsia="Cambria" w:hAnsi="Cambria" w:cs="Cambria"/>
              </w:rPr>
              <w:t>+1 / 0</w:t>
            </w:r>
          </w:p>
        </w:tc>
      </w:tr>
      <w:tr w:rsidR="6F1584C9" w14:paraId="4FD188B3" w14:textId="77777777" w:rsidTr="6F1584C9">
        <w:trPr>
          <w:trHeight w:val="300"/>
        </w:trPr>
        <w:tc>
          <w:tcPr>
            <w:tcW w:w="2880" w:type="dxa"/>
            <w:tcMar>
              <w:left w:w="105" w:type="dxa"/>
              <w:right w:w="105" w:type="dxa"/>
            </w:tcMar>
            <w:vAlign w:val="center"/>
          </w:tcPr>
          <w:p w14:paraId="71387889" w14:textId="18FA49CE" w:rsidR="6F1584C9" w:rsidRDefault="6F1584C9" w:rsidP="6F1584C9">
            <w:pPr>
              <w:rPr>
                <w:rFonts w:ascii="Cambria" w:eastAsia="Cambria" w:hAnsi="Cambria" w:cs="Cambria"/>
              </w:rPr>
            </w:pPr>
            <w:r w:rsidRPr="6F1584C9">
              <w:rPr>
                <w:rFonts w:ascii="Cambria" w:eastAsia="Cambria" w:hAnsi="Cambria" w:cs="Cambria"/>
              </w:rPr>
              <w:t>Enlarged lymph nodes</w:t>
            </w:r>
          </w:p>
        </w:tc>
        <w:tc>
          <w:tcPr>
            <w:tcW w:w="2880" w:type="dxa"/>
            <w:tcMar>
              <w:left w:w="105" w:type="dxa"/>
              <w:right w:w="105" w:type="dxa"/>
            </w:tcMar>
            <w:vAlign w:val="center"/>
          </w:tcPr>
          <w:p w14:paraId="3A976277" w14:textId="1F3EA55E" w:rsidR="6F1584C9" w:rsidRDefault="6F1584C9" w:rsidP="6F1584C9">
            <w:pPr>
              <w:rPr>
                <w:rFonts w:ascii="Cambria" w:eastAsia="Cambria" w:hAnsi="Cambria" w:cs="Cambria"/>
              </w:rPr>
            </w:pPr>
            <w:r w:rsidRPr="6F1584C9">
              <w:rPr>
                <w:rFonts w:ascii="Cambria" w:eastAsia="Cambria" w:hAnsi="Cambria" w:cs="Cambria"/>
              </w:rPr>
              <w:t>≥2 sites, ≥1 cm</w:t>
            </w:r>
          </w:p>
        </w:tc>
        <w:tc>
          <w:tcPr>
            <w:tcW w:w="2880" w:type="dxa"/>
            <w:tcMar>
              <w:left w:w="105" w:type="dxa"/>
              <w:right w:w="105" w:type="dxa"/>
            </w:tcMar>
            <w:vAlign w:val="center"/>
          </w:tcPr>
          <w:p w14:paraId="27E000E0" w14:textId="6DAC1523" w:rsidR="6F1584C9" w:rsidRDefault="6F1584C9" w:rsidP="6F1584C9">
            <w:pPr>
              <w:rPr>
                <w:rFonts w:ascii="Cambria" w:eastAsia="Cambria" w:hAnsi="Cambria" w:cs="Cambria"/>
              </w:rPr>
            </w:pPr>
            <w:r w:rsidRPr="6F1584C9">
              <w:rPr>
                <w:rFonts w:ascii="Cambria" w:eastAsia="Cambria" w:hAnsi="Cambria" w:cs="Cambria"/>
              </w:rPr>
              <w:t>+1</w:t>
            </w:r>
          </w:p>
        </w:tc>
      </w:tr>
      <w:tr w:rsidR="6F1584C9" w14:paraId="3FD41D08" w14:textId="77777777" w:rsidTr="6F1584C9">
        <w:trPr>
          <w:trHeight w:val="300"/>
        </w:trPr>
        <w:tc>
          <w:tcPr>
            <w:tcW w:w="2880" w:type="dxa"/>
            <w:tcMar>
              <w:left w:w="105" w:type="dxa"/>
              <w:right w:w="105" w:type="dxa"/>
            </w:tcMar>
            <w:vAlign w:val="center"/>
          </w:tcPr>
          <w:p w14:paraId="65623BF1" w14:textId="6D9B280C" w:rsidR="6F1584C9" w:rsidRDefault="6F1584C9" w:rsidP="6F1584C9">
            <w:pPr>
              <w:rPr>
                <w:rFonts w:ascii="Cambria" w:eastAsia="Cambria" w:hAnsi="Cambria" w:cs="Cambria"/>
              </w:rPr>
            </w:pPr>
            <w:r w:rsidRPr="6F1584C9">
              <w:rPr>
                <w:rFonts w:ascii="Cambria" w:eastAsia="Cambria" w:hAnsi="Cambria" w:cs="Cambria"/>
              </w:rPr>
              <w:t>Eosinophilia</w:t>
            </w:r>
          </w:p>
        </w:tc>
        <w:tc>
          <w:tcPr>
            <w:tcW w:w="2880" w:type="dxa"/>
            <w:tcMar>
              <w:left w:w="105" w:type="dxa"/>
              <w:right w:w="105" w:type="dxa"/>
            </w:tcMar>
            <w:vAlign w:val="center"/>
          </w:tcPr>
          <w:p w14:paraId="01338DBB" w14:textId="6E039461" w:rsidR="6F1584C9" w:rsidRDefault="6F1584C9" w:rsidP="6F1584C9">
            <w:pPr>
              <w:rPr>
                <w:rFonts w:ascii="Cambria" w:eastAsia="Cambria" w:hAnsi="Cambria" w:cs="Cambria"/>
              </w:rPr>
            </w:pPr>
            <w:r w:rsidRPr="6F1584C9">
              <w:rPr>
                <w:rFonts w:ascii="Cambria" w:eastAsia="Cambria" w:hAnsi="Cambria" w:cs="Cambria"/>
              </w:rPr>
              <w:t>700–1,499/µL or ≥10% / ≥1,500/µL or ≥20%</w:t>
            </w:r>
          </w:p>
        </w:tc>
        <w:tc>
          <w:tcPr>
            <w:tcW w:w="2880" w:type="dxa"/>
            <w:tcMar>
              <w:left w:w="105" w:type="dxa"/>
              <w:right w:w="105" w:type="dxa"/>
            </w:tcMar>
            <w:vAlign w:val="center"/>
          </w:tcPr>
          <w:p w14:paraId="0DA3C393" w14:textId="38C19D2D" w:rsidR="6F1584C9" w:rsidRDefault="6F1584C9" w:rsidP="6F1584C9">
            <w:pPr>
              <w:rPr>
                <w:rFonts w:ascii="Cambria" w:eastAsia="Cambria" w:hAnsi="Cambria" w:cs="Cambria"/>
              </w:rPr>
            </w:pPr>
            <w:r w:rsidRPr="6F1584C9">
              <w:rPr>
                <w:rFonts w:ascii="Cambria" w:eastAsia="Cambria" w:hAnsi="Cambria" w:cs="Cambria"/>
              </w:rPr>
              <w:t>+2</w:t>
            </w:r>
          </w:p>
        </w:tc>
      </w:tr>
      <w:tr w:rsidR="6F1584C9" w14:paraId="176A85BA" w14:textId="77777777" w:rsidTr="6F1584C9">
        <w:trPr>
          <w:trHeight w:val="300"/>
        </w:trPr>
        <w:tc>
          <w:tcPr>
            <w:tcW w:w="2880" w:type="dxa"/>
            <w:tcMar>
              <w:left w:w="105" w:type="dxa"/>
              <w:right w:w="105" w:type="dxa"/>
            </w:tcMar>
            <w:vAlign w:val="center"/>
          </w:tcPr>
          <w:p w14:paraId="5E5FEFA6" w14:textId="725D5DB5" w:rsidR="6F1584C9" w:rsidRDefault="6F1584C9" w:rsidP="6F1584C9">
            <w:pPr>
              <w:rPr>
                <w:rFonts w:ascii="Cambria" w:eastAsia="Cambria" w:hAnsi="Cambria" w:cs="Cambria"/>
              </w:rPr>
            </w:pPr>
            <w:r w:rsidRPr="6F1584C9">
              <w:rPr>
                <w:rFonts w:ascii="Cambria" w:eastAsia="Cambria" w:hAnsi="Cambria" w:cs="Cambria"/>
              </w:rPr>
              <w:t>Atypical lymphocytes</w:t>
            </w:r>
          </w:p>
        </w:tc>
        <w:tc>
          <w:tcPr>
            <w:tcW w:w="2880" w:type="dxa"/>
            <w:tcMar>
              <w:left w:w="105" w:type="dxa"/>
              <w:right w:w="105" w:type="dxa"/>
            </w:tcMar>
            <w:vAlign w:val="center"/>
          </w:tcPr>
          <w:p w14:paraId="69E94F84" w14:textId="3ADC92CE" w:rsidR="6F1584C9" w:rsidRDefault="6F1584C9" w:rsidP="6F1584C9">
            <w:pPr>
              <w:rPr>
                <w:rFonts w:ascii="Cambria" w:eastAsia="Cambria" w:hAnsi="Cambria" w:cs="Cambria"/>
              </w:rPr>
            </w:pPr>
            <w:r w:rsidRPr="6F1584C9">
              <w:rPr>
                <w:rFonts w:ascii="Cambria" w:eastAsia="Cambria" w:hAnsi="Cambria" w:cs="Cambria"/>
              </w:rPr>
              <w:t>Present</w:t>
            </w:r>
          </w:p>
        </w:tc>
        <w:tc>
          <w:tcPr>
            <w:tcW w:w="2880" w:type="dxa"/>
            <w:tcMar>
              <w:left w:w="105" w:type="dxa"/>
              <w:right w:w="105" w:type="dxa"/>
            </w:tcMar>
            <w:vAlign w:val="center"/>
          </w:tcPr>
          <w:p w14:paraId="6E5D6DC3" w14:textId="3FCA9870" w:rsidR="6F1584C9" w:rsidRDefault="6F1584C9" w:rsidP="6F1584C9">
            <w:pPr>
              <w:rPr>
                <w:rFonts w:ascii="Cambria" w:eastAsia="Cambria" w:hAnsi="Cambria" w:cs="Cambria"/>
              </w:rPr>
            </w:pPr>
            <w:r w:rsidRPr="6F1584C9">
              <w:rPr>
                <w:rFonts w:ascii="Cambria" w:eastAsia="Cambria" w:hAnsi="Cambria" w:cs="Cambria"/>
              </w:rPr>
              <w:t>+1</w:t>
            </w:r>
          </w:p>
        </w:tc>
      </w:tr>
      <w:tr w:rsidR="6F1584C9" w14:paraId="62DF20EC" w14:textId="77777777" w:rsidTr="6F1584C9">
        <w:trPr>
          <w:trHeight w:val="300"/>
        </w:trPr>
        <w:tc>
          <w:tcPr>
            <w:tcW w:w="2880" w:type="dxa"/>
            <w:tcMar>
              <w:left w:w="105" w:type="dxa"/>
              <w:right w:w="105" w:type="dxa"/>
            </w:tcMar>
            <w:vAlign w:val="center"/>
          </w:tcPr>
          <w:p w14:paraId="7686D241" w14:textId="19C16EDA" w:rsidR="6F1584C9" w:rsidRDefault="6F1584C9" w:rsidP="6F1584C9">
            <w:pPr>
              <w:rPr>
                <w:rFonts w:ascii="Cambria" w:eastAsia="Cambria" w:hAnsi="Cambria" w:cs="Cambria"/>
              </w:rPr>
            </w:pPr>
            <w:r w:rsidRPr="6F1584C9">
              <w:rPr>
                <w:rFonts w:ascii="Cambria" w:eastAsia="Cambria" w:hAnsi="Cambria" w:cs="Cambria"/>
              </w:rPr>
              <w:t>Skin involvement</w:t>
            </w:r>
          </w:p>
        </w:tc>
        <w:tc>
          <w:tcPr>
            <w:tcW w:w="2880" w:type="dxa"/>
            <w:tcMar>
              <w:left w:w="105" w:type="dxa"/>
              <w:right w:w="105" w:type="dxa"/>
            </w:tcMar>
            <w:vAlign w:val="center"/>
          </w:tcPr>
          <w:p w14:paraId="757BD2D2" w14:textId="4662C033" w:rsidR="6F1584C9" w:rsidRDefault="6F1584C9" w:rsidP="6F1584C9">
            <w:pPr>
              <w:rPr>
                <w:rFonts w:ascii="Cambria" w:eastAsia="Cambria" w:hAnsi="Cambria" w:cs="Cambria"/>
              </w:rPr>
            </w:pPr>
            <w:r w:rsidRPr="6F1584C9">
              <w:rPr>
                <w:rFonts w:ascii="Cambria" w:eastAsia="Cambria" w:hAnsi="Cambria" w:cs="Cambria"/>
              </w:rPr>
              <w:t>&gt;50% body surface area</w:t>
            </w:r>
          </w:p>
        </w:tc>
        <w:tc>
          <w:tcPr>
            <w:tcW w:w="2880" w:type="dxa"/>
            <w:tcMar>
              <w:left w:w="105" w:type="dxa"/>
              <w:right w:w="105" w:type="dxa"/>
            </w:tcMar>
            <w:vAlign w:val="center"/>
          </w:tcPr>
          <w:p w14:paraId="4191F8BD" w14:textId="56BBF3AC" w:rsidR="6F1584C9" w:rsidRDefault="6F1584C9" w:rsidP="6F1584C9">
            <w:pPr>
              <w:rPr>
                <w:rFonts w:ascii="Cambria" w:eastAsia="Cambria" w:hAnsi="Cambria" w:cs="Cambria"/>
              </w:rPr>
            </w:pPr>
            <w:r w:rsidRPr="6F1584C9">
              <w:rPr>
                <w:rFonts w:ascii="Cambria" w:eastAsia="Cambria" w:hAnsi="Cambria" w:cs="Cambria"/>
              </w:rPr>
              <w:t>+1</w:t>
            </w:r>
          </w:p>
        </w:tc>
      </w:tr>
      <w:tr w:rsidR="6F1584C9" w14:paraId="291FB55C" w14:textId="77777777" w:rsidTr="6F1584C9">
        <w:trPr>
          <w:trHeight w:val="300"/>
        </w:trPr>
        <w:tc>
          <w:tcPr>
            <w:tcW w:w="2880" w:type="dxa"/>
            <w:tcMar>
              <w:left w:w="105" w:type="dxa"/>
              <w:right w:w="105" w:type="dxa"/>
            </w:tcMar>
            <w:vAlign w:val="center"/>
          </w:tcPr>
          <w:p w14:paraId="25BB14EA" w14:textId="02248A5B" w:rsidR="6F1584C9" w:rsidRDefault="6F1584C9" w:rsidP="6F1584C9">
            <w:pPr>
              <w:rPr>
                <w:rFonts w:ascii="Cambria" w:eastAsia="Cambria" w:hAnsi="Cambria" w:cs="Cambria"/>
              </w:rPr>
            </w:pPr>
            <w:r w:rsidRPr="6F1584C9">
              <w:rPr>
                <w:rFonts w:ascii="Cambria" w:eastAsia="Cambria" w:hAnsi="Cambria" w:cs="Cambria"/>
              </w:rPr>
              <w:t>Skin biopsy</w:t>
            </w:r>
          </w:p>
        </w:tc>
        <w:tc>
          <w:tcPr>
            <w:tcW w:w="2880" w:type="dxa"/>
            <w:tcMar>
              <w:left w:w="105" w:type="dxa"/>
              <w:right w:w="105" w:type="dxa"/>
            </w:tcMar>
            <w:vAlign w:val="center"/>
          </w:tcPr>
          <w:p w14:paraId="528DB2A5" w14:textId="1DDDCF40" w:rsidR="6F1584C9" w:rsidRDefault="6F1584C9" w:rsidP="6F1584C9">
            <w:pPr>
              <w:rPr>
                <w:rFonts w:ascii="Cambria" w:eastAsia="Cambria" w:hAnsi="Cambria" w:cs="Cambria"/>
              </w:rPr>
            </w:pPr>
            <w:r w:rsidRPr="6F1584C9">
              <w:rPr>
                <w:rFonts w:ascii="Cambria" w:eastAsia="Cambria" w:hAnsi="Cambria" w:cs="Cambria"/>
              </w:rPr>
              <w:t>Suggestive of DRESS</w:t>
            </w:r>
          </w:p>
        </w:tc>
        <w:tc>
          <w:tcPr>
            <w:tcW w:w="2880" w:type="dxa"/>
            <w:tcMar>
              <w:left w:w="105" w:type="dxa"/>
              <w:right w:w="105" w:type="dxa"/>
            </w:tcMar>
            <w:vAlign w:val="center"/>
          </w:tcPr>
          <w:p w14:paraId="14685EFB" w14:textId="56C08307" w:rsidR="6F1584C9" w:rsidRDefault="6F1584C9" w:rsidP="6F1584C9">
            <w:pPr>
              <w:rPr>
                <w:rFonts w:ascii="Cambria" w:eastAsia="Cambria" w:hAnsi="Cambria" w:cs="Cambria"/>
              </w:rPr>
            </w:pPr>
            <w:r w:rsidRPr="6F1584C9">
              <w:rPr>
                <w:rFonts w:ascii="Cambria" w:eastAsia="Cambria" w:hAnsi="Cambria" w:cs="Cambria"/>
              </w:rPr>
              <w:t>+1</w:t>
            </w:r>
          </w:p>
        </w:tc>
      </w:tr>
      <w:tr w:rsidR="6F1584C9" w14:paraId="3CA2BC84" w14:textId="77777777" w:rsidTr="6F1584C9">
        <w:trPr>
          <w:trHeight w:val="300"/>
        </w:trPr>
        <w:tc>
          <w:tcPr>
            <w:tcW w:w="2880" w:type="dxa"/>
            <w:tcMar>
              <w:left w:w="105" w:type="dxa"/>
              <w:right w:w="105" w:type="dxa"/>
            </w:tcMar>
            <w:vAlign w:val="center"/>
          </w:tcPr>
          <w:p w14:paraId="28D967AA" w14:textId="1CB49A82" w:rsidR="6F1584C9" w:rsidRDefault="6F1584C9" w:rsidP="6F1584C9">
            <w:pPr>
              <w:rPr>
                <w:rFonts w:ascii="Cambria" w:eastAsia="Cambria" w:hAnsi="Cambria" w:cs="Cambria"/>
              </w:rPr>
            </w:pPr>
            <w:r w:rsidRPr="6F1584C9">
              <w:rPr>
                <w:rFonts w:ascii="Cambria" w:eastAsia="Cambria" w:hAnsi="Cambria" w:cs="Cambria"/>
              </w:rPr>
              <w:t>Internal organ involvement</w:t>
            </w:r>
          </w:p>
        </w:tc>
        <w:tc>
          <w:tcPr>
            <w:tcW w:w="2880" w:type="dxa"/>
            <w:tcMar>
              <w:left w:w="105" w:type="dxa"/>
              <w:right w:w="105" w:type="dxa"/>
            </w:tcMar>
            <w:vAlign w:val="center"/>
          </w:tcPr>
          <w:p w14:paraId="6C699382" w14:textId="78C7ACF3" w:rsidR="6F1584C9" w:rsidRDefault="6F1584C9" w:rsidP="6F1584C9">
            <w:pPr>
              <w:rPr>
                <w:rFonts w:ascii="Cambria" w:eastAsia="Cambria" w:hAnsi="Cambria" w:cs="Cambria"/>
              </w:rPr>
            </w:pPr>
            <w:r w:rsidRPr="6F1584C9">
              <w:rPr>
                <w:rFonts w:ascii="Cambria" w:eastAsia="Cambria" w:hAnsi="Cambria" w:cs="Cambria"/>
              </w:rPr>
              <w:t>Liver, kidney, lung, heart, pancreas</w:t>
            </w:r>
          </w:p>
        </w:tc>
        <w:tc>
          <w:tcPr>
            <w:tcW w:w="2880" w:type="dxa"/>
            <w:tcMar>
              <w:left w:w="105" w:type="dxa"/>
              <w:right w:w="105" w:type="dxa"/>
            </w:tcMar>
            <w:vAlign w:val="center"/>
          </w:tcPr>
          <w:p w14:paraId="6CA4CD09" w14:textId="07375570" w:rsidR="6F1584C9" w:rsidRDefault="6F1584C9" w:rsidP="6F1584C9">
            <w:pPr>
              <w:rPr>
                <w:rFonts w:ascii="Cambria" w:eastAsia="Cambria" w:hAnsi="Cambria" w:cs="Cambria"/>
              </w:rPr>
            </w:pPr>
            <w:r w:rsidRPr="6F1584C9">
              <w:rPr>
                <w:rFonts w:ascii="Cambria" w:eastAsia="Cambria" w:hAnsi="Cambria" w:cs="Cambria"/>
              </w:rPr>
              <w:t>+1</w:t>
            </w:r>
          </w:p>
        </w:tc>
      </w:tr>
      <w:tr w:rsidR="6F1584C9" w14:paraId="66B7CE8F" w14:textId="77777777" w:rsidTr="6F1584C9">
        <w:trPr>
          <w:trHeight w:val="300"/>
        </w:trPr>
        <w:tc>
          <w:tcPr>
            <w:tcW w:w="2880" w:type="dxa"/>
            <w:tcMar>
              <w:left w:w="105" w:type="dxa"/>
              <w:right w:w="105" w:type="dxa"/>
            </w:tcMar>
            <w:vAlign w:val="center"/>
          </w:tcPr>
          <w:p w14:paraId="5AC8F778" w14:textId="5D9DAF76" w:rsidR="6F1584C9" w:rsidRDefault="6F1584C9" w:rsidP="6F1584C9">
            <w:pPr>
              <w:rPr>
                <w:rFonts w:ascii="Cambria" w:eastAsia="Cambria" w:hAnsi="Cambria" w:cs="Cambria"/>
              </w:rPr>
            </w:pPr>
            <w:r w:rsidRPr="6F1584C9">
              <w:rPr>
                <w:rFonts w:ascii="Cambria" w:eastAsia="Cambria" w:hAnsi="Cambria" w:cs="Cambria"/>
              </w:rPr>
              <w:t>Resolution ≥15 days</w:t>
            </w:r>
          </w:p>
        </w:tc>
        <w:tc>
          <w:tcPr>
            <w:tcW w:w="2880" w:type="dxa"/>
            <w:tcMar>
              <w:left w:w="105" w:type="dxa"/>
              <w:right w:w="105" w:type="dxa"/>
            </w:tcMar>
            <w:vAlign w:val="center"/>
          </w:tcPr>
          <w:p w14:paraId="2676C7F3" w14:textId="2D2E2D89" w:rsidR="6F1584C9" w:rsidRDefault="6F1584C9" w:rsidP="6F1584C9">
            <w:pPr>
              <w:rPr>
                <w:rFonts w:ascii="Cambria" w:eastAsia="Cambria" w:hAnsi="Cambria" w:cs="Cambria"/>
              </w:rPr>
            </w:pPr>
            <w:r w:rsidRPr="6F1584C9">
              <w:rPr>
                <w:rFonts w:ascii="Cambria" w:eastAsia="Cambria" w:hAnsi="Cambria" w:cs="Cambria"/>
              </w:rPr>
              <w:t>Yes</w:t>
            </w:r>
          </w:p>
        </w:tc>
        <w:tc>
          <w:tcPr>
            <w:tcW w:w="2880" w:type="dxa"/>
            <w:tcMar>
              <w:left w:w="105" w:type="dxa"/>
              <w:right w:w="105" w:type="dxa"/>
            </w:tcMar>
            <w:vAlign w:val="center"/>
          </w:tcPr>
          <w:p w14:paraId="078245DE" w14:textId="24B2370D" w:rsidR="6F1584C9" w:rsidRDefault="6F1584C9" w:rsidP="6F1584C9">
            <w:pPr>
              <w:rPr>
                <w:rFonts w:ascii="Cambria" w:eastAsia="Cambria" w:hAnsi="Cambria" w:cs="Cambria"/>
              </w:rPr>
            </w:pPr>
            <w:r w:rsidRPr="6F1584C9">
              <w:rPr>
                <w:rFonts w:ascii="Cambria" w:eastAsia="Cambria" w:hAnsi="Cambria" w:cs="Cambria"/>
              </w:rPr>
              <w:t>+1</w:t>
            </w:r>
          </w:p>
        </w:tc>
      </w:tr>
      <w:tr w:rsidR="6F1584C9" w14:paraId="682B654A" w14:textId="77777777" w:rsidTr="6F1584C9">
        <w:trPr>
          <w:trHeight w:val="300"/>
        </w:trPr>
        <w:tc>
          <w:tcPr>
            <w:tcW w:w="2880" w:type="dxa"/>
            <w:tcMar>
              <w:left w:w="105" w:type="dxa"/>
              <w:right w:w="105" w:type="dxa"/>
            </w:tcMar>
            <w:vAlign w:val="center"/>
          </w:tcPr>
          <w:p w14:paraId="323EDDF8" w14:textId="43A4F2ED" w:rsidR="6F1584C9" w:rsidRDefault="6F1584C9" w:rsidP="6F1584C9">
            <w:pPr>
              <w:rPr>
                <w:rFonts w:ascii="Cambria" w:eastAsia="Cambria" w:hAnsi="Cambria" w:cs="Cambria"/>
              </w:rPr>
            </w:pPr>
            <w:r w:rsidRPr="6F1584C9">
              <w:rPr>
                <w:rFonts w:ascii="Cambria" w:eastAsia="Cambria" w:hAnsi="Cambria" w:cs="Cambria"/>
              </w:rPr>
              <w:lastRenderedPageBreak/>
              <w:t>Other causes excluded</w:t>
            </w:r>
          </w:p>
        </w:tc>
        <w:tc>
          <w:tcPr>
            <w:tcW w:w="2880" w:type="dxa"/>
            <w:tcMar>
              <w:left w:w="105" w:type="dxa"/>
              <w:right w:w="105" w:type="dxa"/>
            </w:tcMar>
            <w:vAlign w:val="center"/>
          </w:tcPr>
          <w:p w14:paraId="146C0210" w14:textId="67FDC557" w:rsidR="6F1584C9" w:rsidRDefault="6F1584C9" w:rsidP="6F1584C9">
            <w:pPr>
              <w:rPr>
                <w:rFonts w:ascii="Cambria" w:eastAsia="Cambria" w:hAnsi="Cambria" w:cs="Cambria"/>
              </w:rPr>
            </w:pPr>
            <w:r w:rsidRPr="6F1584C9">
              <w:rPr>
                <w:rFonts w:ascii="Cambria" w:eastAsia="Cambria" w:hAnsi="Cambria" w:cs="Cambria"/>
              </w:rPr>
              <w:t>Yes</w:t>
            </w:r>
          </w:p>
        </w:tc>
        <w:tc>
          <w:tcPr>
            <w:tcW w:w="2880" w:type="dxa"/>
            <w:tcMar>
              <w:left w:w="105" w:type="dxa"/>
              <w:right w:w="105" w:type="dxa"/>
            </w:tcMar>
            <w:vAlign w:val="center"/>
          </w:tcPr>
          <w:p w14:paraId="549D1ACC" w14:textId="67E6FD08" w:rsidR="6F1584C9" w:rsidRDefault="6F1584C9" w:rsidP="6F1584C9">
            <w:pPr>
              <w:rPr>
                <w:rFonts w:ascii="Cambria" w:eastAsia="Cambria" w:hAnsi="Cambria" w:cs="Cambria"/>
              </w:rPr>
            </w:pPr>
            <w:r w:rsidRPr="6F1584C9">
              <w:rPr>
                <w:rFonts w:ascii="Cambria" w:eastAsia="Cambria" w:hAnsi="Cambria" w:cs="Cambria"/>
              </w:rPr>
              <w:t>+1</w:t>
            </w:r>
          </w:p>
        </w:tc>
      </w:tr>
      <w:tr w:rsidR="003C57EE" w14:paraId="1BB6DAF7" w14:textId="77777777" w:rsidTr="6F1584C9">
        <w:trPr>
          <w:trHeight w:val="300"/>
        </w:trPr>
        <w:tc>
          <w:tcPr>
            <w:tcW w:w="2880" w:type="dxa"/>
            <w:tcMar>
              <w:left w:w="105" w:type="dxa"/>
              <w:right w:w="105" w:type="dxa"/>
            </w:tcMar>
            <w:vAlign w:val="center"/>
          </w:tcPr>
          <w:p w14:paraId="7D9030D6" w14:textId="20BEBDBA" w:rsidR="003C57EE" w:rsidRPr="6F1584C9" w:rsidRDefault="003C57EE" w:rsidP="6F1584C9">
            <w:pPr>
              <w:rPr>
                <w:rFonts w:ascii="Cambria" w:eastAsia="Cambria" w:hAnsi="Cambria" w:cs="Cambria"/>
              </w:rPr>
            </w:pPr>
            <w:r>
              <w:rPr>
                <w:rFonts w:ascii="Cambria" w:eastAsia="Cambria" w:hAnsi="Cambria" w:cs="Cambria"/>
              </w:rPr>
              <w:t>Total Score</w:t>
            </w:r>
          </w:p>
        </w:tc>
        <w:tc>
          <w:tcPr>
            <w:tcW w:w="2880" w:type="dxa"/>
            <w:tcMar>
              <w:left w:w="105" w:type="dxa"/>
              <w:right w:w="105" w:type="dxa"/>
            </w:tcMar>
            <w:vAlign w:val="center"/>
          </w:tcPr>
          <w:p w14:paraId="1FAE8552" w14:textId="77777777" w:rsidR="003C57EE" w:rsidRPr="6F1584C9" w:rsidRDefault="003C57EE" w:rsidP="6F1584C9">
            <w:pPr>
              <w:rPr>
                <w:rFonts w:ascii="Cambria" w:eastAsia="Cambria" w:hAnsi="Cambria" w:cs="Cambria"/>
              </w:rPr>
            </w:pPr>
          </w:p>
        </w:tc>
        <w:tc>
          <w:tcPr>
            <w:tcW w:w="2880" w:type="dxa"/>
            <w:tcMar>
              <w:left w:w="105" w:type="dxa"/>
              <w:right w:w="105" w:type="dxa"/>
            </w:tcMar>
            <w:vAlign w:val="center"/>
          </w:tcPr>
          <w:p w14:paraId="053D4CC5" w14:textId="5CDC6C85" w:rsidR="003C57EE" w:rsidRPr="6F1584C9" w:rsidRDefault="004754D9" w:rsidP="6F1584C9">
            <w:pPr>
              <w:rPr>
                <w:rFonts w:ascii="Cambria" w:eastAsia="Cambria" w:hAnsi="Cambria" w:cs="Cambria"/>
              </w:rPr>
            </w:pPr>
            <w:r>
              <w:rPr>
                <w:rFonts w:ascii="Cambria" w:eastAsia="Cambria" w:hAnsi="Cambria" w:cs="Cambria"/>
              </w:rPr>
              <w:t>=10</w:t>
            </w:r>
          </w:p>
        </w:tc>
      </w:tr>
    </w:tbl>
    <w:p w14:paraId="4A34257D" w14:textId="77777777" w:rsidR="00E26810" w:rsidRDefault="009E270D" w:rsidP="00E26810">
      <w:pPr>
        <w:spacing w:after="0"/>
        <w:rPr>
          <w:rFonts w:ascii="Arial" w:hAnsi="Arial" w:cs="Arial"/>
          <w:b/>
          <w:bCs/>
        </w:rPr>
      </w:pPr>
      <w:r w:rsidRPr="00E26810">
        <w:rPr>
          <w:rFonts w:ascii="Arial" w:hAnsi="Arial" w:cs="Arial"/>
          <w:b/>
          <w:bCs/>
        </w:rPr>
        <w:t xml:space="preserve">Table 1. </w:t>
      </w:r>
      <w:proofErr w:type="spellStart"/>
      <w:r w:rsidRPr="00E26810">
        <w:rPr>
          <w:rFonts w:ascii="Arial" w:hAnsi="Arial" w:cs="Arial"/>
          <w:b/>
          <w:bCs/>
        </w:rPr>
        <w:t>RegiSCAR</w:t>
      </w:r>
      <w:proofErr w:type="spellEnd"/>
      <w:r w:rsidRPr="00E26810">
        <w:rPr>
          <w:rFonts w:ascii="Arial" w:hAnsi="Arial" w:cs="Arial"/>
          <w:b/>
          <w:bCs/>
        </w:rPr>
        <w:t xml:space="preserve"> Scoring System for DRESS Syndrome</w:t>
      </w:r>
    </w:p>
    <w:p w14:paraId="11315CE9" w14:textId="51301EB4" w:rsidR="000C7079" w:rsidRPr="000C7079" w:rsidRDefault="000C7079" w:rsidP="00E26810">
      <w:pPr>
        <w:spacing w:after="0"/>
        <w:rPr>
          <w:rFonts w:ascii="Cambria" w:eastAsia="Cambria" w:hAnsi="Cambria" w:cs="Cambria"/>
        </w:rPr>
      </w:pPr>
      <w:proofErr w:type="spellStart"/>
      <w:r w:rsidRPr="6F1584C9">
        <w:rPr>
          <w:rFonts w:ascii="Cambria" w:eastAsia="Cambria" w:hAnsi="Cambria" w:cs="Cambria"/>
        </w:rPr>
        <w:t>RegiSCAR</w:t>
      </w:r>
      <w:proofErr w:type="spellEnd"/>
      <w:r w:rsidRPr="6F1584C9">
        <w:rPr>
          <w:rFonts w:ascii="Cambria" w:eastAsia="Cambria" w:hAnsi="Cambria" w:cs="Cambria"/>
        </w:rPr>
        <w:t xml:space="preserve"> interpretation: Final score &lt;2 = no case; 2–3 = possible case; 4–5 = probable case; ≥6 = definite case.</w:t>
      </w:r>
    </w:p>
    <w:p w14:paraId="563B0E8C" w14:textId="6326B6EB" w:rsidR="00E26810" w:rsidRDefault="00E26810" w:rsidP="00E26810">
      <w:pPr>
        <w:spacing w:after="0"/>
        <w:rPr>
          <w:rFonts w:ascii="Arial" w:hAnsi="Arial" w:cs="Arial"/>
          <w:color w:val="000000"/>
        </w:rPr>
      </w:pPr>
      <w:r w:rsidRPr="00E26810">
        <w:rPr>
          <w:rFonts w:ascii="Arial" w:hAnsi="Arial" w:cs="Arial"/>
          <w:color w:val="000000"/>
        </w:rPr>
        <w:t xml:space="preserve">In the present case, </w:t>
      </w:r>
      <w:proofErr w:type="spellStart"/>
      <w:r w:rsidRPr="00E26810">
        <w:rPr>
          <w:rFonts w:ascii="Arial" w:hAnsi="Arial" w:cs="Arial"/>
          <w:color w:val="000000"/>
        </w:rPr>
        <w:t>RegiSCAR</w:t>
      </w:r>
      <w:proofErr w:type="spellEnd"/>
      <w:r w:rsidRPr="00E26810">
        <w:rPr>
          <w:rFonts w:ascii="Arial" w:hAnsi="Arial" w:cs="Arial"/>
          <w:color w:val="000000"/>
        </w:rPr>
        <w:t xml:space="preserve"> component scoring included fever (+1), lymphadenopathy (+1), eosinophilia ≥20% (+2), atypical lymphocytes (+1), skin involvement &gt;50% body surface area (+1), biopsy suggestive of drug reaction (+1), systemic involvement (+1), prolonged clinical course greater than 15 days (+1), and exclusion of alternative causes (+1), yielding a total score of 10, consistent with a definite case of DRESS.</w:t>
      </w:r>
      <w:r w:rsidR="00527007" w:rsidRPr="00527007">
        <w:rPr>
          <w:rFonts w:ascii="-webkit-standard" w:hAnsi="-webkit-standard"/>
          <w:color w:val="000000"/>
          <w:sz w:val="27"/>
          <w:szCs w:val="27"/>
        </w:rPr>
        <w:t xml:space="preserve"> </w:t>
      </w:r>
      <w:r w:rsidR="00527007" w:rsidRPr="00527007">
        <w:rPr>
          <w:rFonts w:ascii="Arial" w:hAnsi="Arial" w:cs="Arial"/>
          <w:color w:val="000000"/>
        </w:rPr>
        <w:t>(</w:t>
      </w:r>
      <w:r w:rsidR="007E5A0F">
        <w:rPr>
          <w:rFonts w:ascii="Arial" w:hAnsi="Arial" w:cs="Arial"/>
          <w:color w:val="000000"/>
        </w:rPr>
        <w:t>[4]</w:t>
      </w:r>
      <w:r w:rsidR="00527007" w:rsidRPr="00527007">
        <w:rPr>
          <w:rFonts w:ascii="Arial" w:hAnsi="Arial" w:cs="Arial"/>
          <w:color w:val="000000"/>
        </w:rPr>
        <w:t xml:space="preserve">; </w:t>
      </w:r>
      <w:r w:rsidR="00373F8F">
        <w:rPr>
          <w:rFonts w:ascii="Arial" w:hAnsi="Arial" w:cs="Arial"/>
          <w:color w:val="000000"/>
        </w:rPr>
        <w:t>[6]</w:t>
      </w:r>
      <w:r w:rsidR="00527007" w:rsidRPr="00527007">
        <w:rPr>
          <w:rFonts w:ascii="Arial" w:hAnsi="Arial" w:cs="Arial"/>
          <w:color w:val="000000"/>
        </w:rPr>
        <w:t>)</w:t>
      </w:r>
    </w:p>
    <w:p w14:paraId="014EC9AE" w14:textId="77777777" w:rsidR="00E26810" w:rsidRPr="00E26810" w:rsidRDefault="00E26810" w:rsidP="00E26810">
      <w:pPr>
        <w:spacing w:after="0"/>
        <w:rPr>
          <w:b/>
          <w:bCs/>
        </w:rPr>
      </w:pPr>
    </w:p>
    <w:p w14:paraId="24A6C670" w14:textId="5D4CA4C6" w:rsidR="003073A8" w:rsidRDefault="04186D8C" w:rsidP="04186D8C">
      <w:pPr>
        <w:rPr>
          <w:rFonts w:ascii="Arial" w:eastAsia="Arial" w:hAnsi="Arial" w:cs="Arial"/>
          <w:b/>
          <w:bCs/>
        </w:rPr>
      </w:pPr>
      <w:r w:rsidRPr="04186D8C">
        <w:rPr>
          <w:rFonts w:ascii="Arial" w:eastAsia="Arial" w:hAnsi="Arial" w:cs="Arial"/>
          <w:b/>
          <w:bCs/>
        </w:rPr>
        <w:t>3. DISCUSSION</w:t>
      </w:r>
      <w:r w:rsidR="00F3187D">
        <w:rPr>
          <w:rFonts w:ascii="Arial" w:eastAsia="Arial" w:hAnsi="Arial" w:cs="Arial"/>
          <w:b/>
          <w:bCs/>
        </w:rPr>
        <w:t xml:space="preserve"> and CONCLUSION</w:t>
      </w:r>
    </w:p>
    <w:p w14:paraId="5DA163CE" w14:textId="144FDA6E" w:rsidR="00D3331B" w:rsidRPr="000071A0" w:rsidRDefault="003F0FEA" w:rsidP="00D3331B">
      <w:pPr>
        <w:pStyle w:val="isselectedend"/>
        <w:rPr>
          <w:rFonts w:ascii="Arial" w:hAnsi="Arial" w:cs="Arial"/>
          <w:color w:val="000000"/>
          <w:sz w:val="22"/>
          <w:szCs w:val="22"/>
        </w:rPr>
      </w:pPr>
      <w:r>
        <w:rPr>
          <w:rFonts w:ascii="Arial" w:hAnsi="Arial" w:cs="Arial"/>
          <w:color w:val="000000"/>
          <w:sz w:val="22"/>
          <w:szCs w:val="22"/>
        </w:rPr>
        <w:t xml:space="preserve">DRESS syndrome is a T-cell-mediated delayed hypersensitivity reaction characterized by well-defined cytokine-driven eosinophilic and systemic manifestations. These cytokines facilitate eosinophil expansion, activation, and prolonged survival, thereby contributing to tissue injury in the skin, hematopoietic system, and internal organs </w:t>
      </w:r>
      <w:r w:rsidR="00862CDC">
        <w:rPr>
          <w:rFonts w:ascii="Arial" w:hAnsi="Arial" w:cs="Arial"/>
          <w:color w:val="000000"/>
          <w:sz w:val="22"/>
          <w:szCs w:val="22"/>
        </w:rPr>
        <w:t>[1]</w:t>
      </w:r>
      <w:r>
        <w:rPr>
          <w:rFonts w:ascii="Arial" w:hAnsi="Arial" w:cs="Arial"/>
          <w:color w:val="000000"/>
          <w:sz w:val="22"/>
          <w:szCs w:val="22"/>
        </w:rPr>
        <w:t>.</w:t>
      </w:r>
    </w:p>
    <w:p w14:paraId="137EC6FB" w14:textId="77777777" w:rsidR="00D3331B" w:rsidRPr="000071A0" w:rsidRDefault="00D3331B" w:rsidP="00D3331B">
      <w:pPr>
        <w:pStyle w:val="isselectedend"/>
        <w:rPr>
          <w:rFonts w:ascii="Arial" w:hAnsi="Arial" w:cs="Arial"/>
          <w:color w:val="000000"/>
          <w:sz w:val="22"/>
          <w:szCs w:val="22"/>
        </w:rPr>
      </w:pPr>
      <w:r w:rsidRPr="000071A0">
        <w:rPr>
          <w:rFonts w:ascii="Arial" w:hAnsi="Arial" w:cs="Arial"/>
          <w:color w:val="000000"/>
          <w:sz w:val="22"/>
          <w:szCs w:val="22"/>
        </w:rPr>
        <w:t>In this case, the timeline supports cefdinir as the primary sensitizing agent, given the development of symptoms within the classic two-to-eight-week latency period associated with DRESS. The rapid clinical deterioration following brief vancomycin exposure suggests an immunologic amplification effect in a previously sensitized host, rather than primary induction of DRESS.</w:t>
      </w:r>
    </w:p>
    <w:p w14:paraId="01A4494E" w14:textId="276ED12A" w:rsidR="00D3331B" w:rsidRPr="000071A0" w:rsidRDefault="00D3331B" w:rsidP="00D3331B">
      <w:pPr>
        <w:pStyle w:val="isselectedend"/>
        <w:rPr>
          <w:rFonts w:ascii="Arial" w:hAnsi="Arial" w:cs="Arial"/>
          <w:color w:val="000000"/>
          <w:sz w:val="22"/>
          <w:szCs w:val="22"/>
        </w:rPr>
      </w:pPr>
      <w:r w:rsidRPr="000071A0">
        <w:rPr>
          <w:rFonts w:ascii="Arial" w:hAnsi="Arial" w:cs="Arial"/>
          <w:color w:val="000000"/>
          <w:sz w:val="22"/>
          <w:szCs w:val="22"/>
        </w:rPr>
        <w:t xml:space="preserve">Concurrent exposure to multiple antibiotics independently associated with delayed hypersensitivity reactions may contribute to increased immune activation in susceptible individuals. Both cephalosporins and vancomycin are recognized triggers of DRESS, and sequential exposure may increase antigenic stimulation and immune dysregulation, potentially contributing to greater clinical severity </w:t>
      </w:r>
      <w:r w:rsidR="00755158">
        <w:rPr>
          <w:rFonts w:ascii="Arial" w:hAnsi="Arial" w:cs="Arial"/>
          <w:color w:val="000000"/>
          <w:sz w:val="22"/>
          <w:szCs w:val="22"/>
        </w:rPr>
        <w:t>[2]</w:t>
      </w:r>
      <w:r w:rsidR="00276408">
        <w:rPr>
          <w:rFonts w:ascii="Arial" w:hAnsi="Arial" w:cs="Arial"/>
          <w:color w:val="000000"/>
          <w:sz w:val="22"/>
          <w:szCs w:val="22"/>
        </w:rPr>
        <w:t>,</w:t>
      </w:r>
      <w:r w:rsidRPr="000071A0">
        <w:rPr>
          <w:rFonts w:ascii="Arial" w:hAnsi="Arial" w:cs="Arial"/>
          <w:color w:val="000000"/>
          <w:sz w:val="22"/>
          <w:szCs w:val="22"/>
        </w:rPr>
        <w:t xml:space="preserve"> </w:t>
      </w:r>
      <w:r w:rsidR="00303DF2">
        <w:rPr>
          <w:rFonts w:ascii="Arial" w:hAnsi="Arial" w:cs="Arial"/>
          <w:color w:val="000000"/>
          <w:sz w:val="22"/>
          <w:szCs w:val="22"/>
        </w:rPr>
        <w:t>[1]</w:t>
      </w:r>
      <w:r w:rsidRPr="000071A0">
        <w:rPr>
          <w:rFonts w:ascii="Arial" w:hAnsi="Arial" w:cs="Arial"/>
          <w:color w:val="000000"/>
          <w:sz w:val="22"/>
          <w:szCs w:val="22"/>
        </w:rPr>
        <w:t>.</w:t>
      </w:r>
    </w:p>
    <w:p w14:paraId="169CD8B4" w14:textId="0055EF68" w:rsidR="00D3331B" w:rsidRPr="000071A0" w:rsidRDefault="00D3331B" w:rsidP="00D3331B">
      <w:pPr>
        <w:pStyle w:val="isselectedend"/>
        <w:rPr>
          <w:rFonts w:ascii="Arial" w:hAnsi="Arial" w:cs="Arial"/>
          <w:color w:val="000000"/>
          <w:sz w:val="22"/>
          <w:szCs w:val="22"/>
        </w:rPr>
      </w:pPr>
      <w:r w:rsidRPr="000071A0">
        <w:rPr>
          <w:rFonts w:ascii="Arial" w:hAnsi="Arial" w:cs="Arial"/>
          <w:color w:val="000000"/>
          <w:sz w:val="22"/>
          <w:szCs w:val="22"/>
        </w:rPr>
        <w:t xml:space="preserve">Using the World Health Organization–Uppsala Monitoring Centre (WHO–UMC) causality assessment system, the relationship between cephalosporin exposure and the adverse reaction was classified as probable based on timing, known association, exclusion of alternative causes, and improvement after withdrawal </w:t>
      </w:r>
      <w:r w:rsidR="008F0B79">
        <w:rPr>
          <w:rFonts w:ascii="Arial" w:hAnsi="Arial" w:cs="Arial"/>
          <w:color w:val="000000"/>
          <w:sz w:val="22"/>
          <w:szCs w:val="22"/>
        </w:rPr>
        <w:t>[5]</w:t>
      </w:r>
      <w:r w:rsidRPr="000071A0">
        <w:rPr>
          <w:rFonts w:ascii="Arial" w:hAnsi="Arial" w:cs="Arial"/>
          <w:color w:val="000000"/>
          <w:sz w:val="22"/>
          <w:szCs w:val="22"/>
        </w:rPr>
        <w:t>.</w:t>
      </w:r>
      <w:r w:rsidR="00E86025" w:rsidRPr="00E86025">
        <w:rPr>
          <w:rFonts w:ascii="-webkit-standard" w:hAnsi="-webkit-standard"/>
          <w:color w:val="000000"/>
          <w:sz w:val="27"/>
          <w:szCs w:val="27"/>
        </w:rPr>
        <w:t xml:space="preserve"> </w:t>
      </w:r>
      <w:r w:rsidR="002A171F" w:rsidRPr="002A171F">
        <w:rPr>
          <w:rFonts w:ascii="Arial" w:hAnsi="Arial" w:cs="Arial"/>
          <w:color w:val="000000"/>
          <w:sz w:val="22"/>
          <w:szCs w:val="22"/>
        </w:rPr>
        <w:t>Although the patient received a recent blood transfusion, typical transfusion reactions most commonly present with acute fever, chills, urticaria, pruritus, or hemodynamic changes occurring during or shortly after transfusion, rather than delayed eosinophilic multisystem hypersensitivity with progressive hematologic abnormalities and biopsy-supported drug reaction. The delayed onset, marked eosinophilia, characteristic rash progression, and response to medication withdrawal in this case are more consistent with antibiotic-associated DRESS than transfusion-related reaction</w:t>
      </w:r>
      <w:r w:rsidR="002A171F" w:rsidRPr="002A171F">
        <w:rPr>
          <w:rStyle w:val="apple-converted-space"/>
          <w:rFonts w:ascii="Arial" w:hAnsi="Arial" w:cs="Arial"/>
          <w:color w:val="000000"/>
          <w:sz w:val="22"/>
          <w:szCs w:val="22"/>
        </w:rPr>
        <w:t> </w:t>
      </w:r>
      <w:r w:rsidR="002A171F" w:rsidRPr="002A171F">
        <w:rPr>
          <w:rStyle w:val="text-token-text-primary"/>
          <w:rFonts w:ascii="Arial" w:hAnsi="Arial" w:cs="Arial"/>
          <w:color w:val="000000"/>
          <w:sz w:val="22"/>
          <w:szCs w:val="22"/>
        </w:rPr>
        <w:t>[9]</w:t>
      </w:r>
      <w:r w:rsidR="002A171F" w:rsidRPr="002A171F">
        <w:rPr>
          <w:rFonts w:ascii="Arial" w:hAnsi="Arial" w:cs="Arial"/>
          <w:color w:val="000000"/>
          <w:sz w:val="22"/>
          <w:szCs w:val="22"/>
        </w:rPr>
        <w:t>.</w:t>
      </w:r>
    </w:p>
    <w:p w14:paraId="1A32410B" w14:textId="61049483" w:rsidR="00D3331B" w:rsidRPr="000071A0" w:rsidRDefault="0048759C" w:rsidP="00D3331B">
      <w:pPr>
        <w:pStyle w:val="isselectedend"/>
        <w:rPr>
          <w:rFonts w:ascii="Arial" w:hAnsi="Arial" w:cs="Arial"/>
          <w:color w:val="000000"/>
          <w:sz w:val="22"/>
          <w:szCs w:val="22"/>
        </w:rPr>
      </w:pPr>
      <w:r>
        <w:rPr>
          <w:rFonts w:ascii="Arial" w:hAnsi="Arial" w:cs="Arial"/>
          <w:color w:val="000000"/>
          <w:sz w:val="22"/>
          <w:szCs w:val="22"/>
        </w:rPr>
        <w:t xml:space="preserve">Thromboembolic complications persist as a rare occurrence in DRESS, although they have been reported in association with pronounced eosinophilia. </w:t>
      </w:r>
      <w:r w:rsidR="00F41B7E" w:rsidRPr="00F41B7E">
        <w:rPr>
          <w:rFonts w:ascii="Arial" w:hAnsi="Arial" w:cs="Arial"/>
          <w:color w:val="000000"/>
          <w:sz w:val="22"/>
          <w:szCs w:val="22"/>
        </w:rPr>
        <w:t xml:space="preserve">Published literature suggests that thrombotic events are uncommon in DRESS and are described primarily in case reports and small series, typically in association with marked eosinophilia and systemic inflammation </w:t>
      </w:r>
      <w:r w:rsidR="00862CDC">
        <w:rPr>
          <w:rFonts w:ascii="Arial" w:hAnsi="Arial" w:cs="Arial"/>
          <w:color w:val="000000"/>
          <w:sz w:val="22"/>
          <w:szCs w:val="22"/>
        </w:rPr>
        <w:t>[1]</w:t>
      </w:r>
      <w:r w:rsidR="00F41B7E" w:rsidRPr="00F41B7E">
        <w:rPr>
          <w:rFonts w:ascii="Arial" w:hAnsi="Arial" w:cs="Arial"/>
          <w:color w:val="000000"/>
          <w:sz w:val="22"/>
          <w:szCs w:val="22"/>
        </w:rPr>
        <w:t>.</w:t>
      </w:r>
      <w:r w:rsidR="00D8312A">
        <w:rPr>
          <w:rFonts w:ascii="Arial" w:hAnsi="Arial" w:cs="Arial"/>
          <w:color w:val="000000"/>
          <w:sz w:val="22"/>
          <w:szCs w:val="22"/>
        </w:rPr>
        <w:t xml:space="preserve"> </w:t>
      </w:r>
      <w:r>
        <w:rPr>
          <w:rFonts w:ascii="Arial" w:hAnsi="Arial" w:cs="Arial"/>
          <w:color w:val="000000"/>
          <w:sz w:val="22"/>
          <w:szCs w:val="22"/>
        </w:rPr>
        <w:t xml:space="preserve">Proposed mechanisms encompass eosinophil-mediated </w:t>
      </w:r>
      <w:r>
        <w:rPr>
          <w:rFonts w:ascii="Arial" w:hAnsi="Arial" w:cs="Arial"/>
          <w:color w:val="000000"/>
          <w:sz w:val="22"/>
          <w:szCs w:val="22"/>
        </w:rPr>
        <w:lastRenderedPageBreak/>
        <w:t xml:space="preserve">endothelial injury, release of cytotoxic granule proteins, and systemic inflammation resulting in a hypercoagulable state </w:t>
      </w:r>
      <w:r w:rsidR="00862CDC">
        <w:rPr>
          <w:rFonts w:ascii="Arial" w:hAnsi="Arial" w:cs="Arial"/>
          <w:color w:val="000000"/>
          <w:sz w:val="22"/>
          <w:szCs w:val="22"/>
        </w:rPr>
        <w:t>[1]</w:t>
      </w:r>
      <w:r>
        <w:rPr>
          <w:rFonts w:ascii="Arial" w:hAnsi="Arial" w:cs="Arial"/>
          <w:color w:val="000000"/>
          <w:sz w:val="22"/>
          <w:szCs w:val="22"/>
        </w:rPr>
        <w:t>. In this patient, venous thrombosis and pulmonary embolism manifested at the peak of eosinophilia, suggesting a contributory role of the inflammatory and eosinophilic milieu.</w:t>
      </w:r>
    </w:p>
    <w:p w14:paraId="3B9C68B2" w14:textId="36A7A2F5" w:rsidR="003073A8" w:rsidRDefault="00D3331B" w:rsidP="00D3331B">
      <w:pPr>
        <w:pStyle w:val="NormalWeb"/>
        <w:rPr>
          <w:rFonts w:ascii="Arial" w:hAnsi="Arial" w:cs="Arial"/>
          <w:color w:val="000000"/>
          <w:sz w:val="22"/>
          <w:szCs w:val="22"/>
        </w:rPr>
      </w:pPr>
      <w:r w:rsidRPr="000071A0">
        <w:rPr>
          <w:rFonts w:ascii="Arial" w:hAnsi="Arial" w:cs="Arial"/>
          <w:color w:val="000000"/>
          <w:sz w:val="22"/>
          <w:szCs w:val="22"/>
        </w:rPr>
        <w:t xml:space="preserve">Systemic corticosteroids remain the cornerstone of therapy for DRESS, particularly in </w:t>
      </w:r>
      <w:r w:rsidR="000E5DF6">
        <w:rPr>
          <w:rFonts w:ascii="Arial" w:hAnsi="Arial" w:cs="Arial"/>
          <w:color w:val="000000"/>
          <w:sz w:val="22"/>
          <w:szCs w:val="22"/>
        </w:rPr>
        <w:t xml:space="preserve">more severe </w:t>
      </w:r>
      <w:r w:rsidRPr="000071A0">
        <w:rPr>
          <w:rFonts w:ascii="Arial" w:hAnsi="Arial" w:cs="Arial"/>
          <w:color w:val="000000"/>
          <w:sz w:val="22"/>
          <w:szCs w:val="22"/>
        </w:rPr>
        <w:t xml:space="preserve">cases with hematologic or internal organ involvement. Suppression of T cell activation and inhibition of interleukin 5 driven eosinophil survival provide a mechanistic explanation for the rapid improvement in both eosinophilia and neutropenia observed following initiation of prednisone in this patient </w:t>
      </w:r>
      <w:r w:rsidR="0000190E">
        <w:rPr>
          <w:rFonts w:ascii="Arial" w:hAnsi="Arial" w:cs="Arial"/>
          <w:color w:val="000000"/>
          <w:sz w:val="22"/>
          <w:szCs w:val="22"/>
        </w:rPr>
        <w:t>[3]</w:t>
      </w:r>
      <w:r w:rsidR="00276408">
        <w:rPr>
          <w:rFonts w:ascii="Arial" w:hAnsi="Arial" w:cs="Arial"/>
          <w:color w:val="000000"/>
          <w:sz w:val="22"/>
          <w:szCs w:val="22"/>
        </w:rPr>
        <w:t>,</w:t>
      </w:r>
      <w:r w:rsidRPr="000071A0">
        <w:rPr>
          <w:rFonts w:ascii="Arial" w:hAnsi="Arial" w:cs="Arial"/>
          <w:color w:val="000000"/>
          <w:sz w:val="22"/>
          <w:szCs w:val="22"/>
        </w:rPr>
        <w:t xml:space="preserve"> </w:t>
      </w:r>
      <w:r w:rsidR="00303DF2">
        <w:rPr>
          <w:rFonts w:ascii="Arial" w:hAnsi="Arial" w:cs="Arial"/>
          <w:color w:val="000000"/>
          <w:sz w:val="22"/>
          <w:szCs w:val="22"/>
        </w:rPr>
        <w:t>[1]</w:t>
      </w:r>
      <w:r w:rsidRPr="000071A0">
        <w:rPr>
          <w:rFonts w:ascii="Arial" w:hAnsi="Arial" w:cs="Arial"/>
          <w:color w:val="000000"/>
          <w:sz w:val="22"/>
          <w:szCs w:val="22"/>
        </w:rPr>
        <w:t>.</w:t>
      </w:r>
    </w:p>
    <w:p w14:paraId="02B31D42" w14:textId="72673374" w:rsidR="000C1DB3" w:rsidRPr="000C1DB3" w:rsidRDefault="000C1DB3" w:rsidP="00D3331B">
      <w:pPr>
        <w:pStyle w:val="NormalWeb"/>
        <w:rPr>
          <w:rFonts w:ascii="Arial" w:hAnsi="Arial" w:cs="Arial"/>
          <w:color w:val="000000"/>
          <w:sz w:val="22"/>
          <w:szCs w:val="22"/>
        </w:rPr>
      </w:pPr>
      <w:r w:rsidRPr="000C1DB3">
        <w:rPr>
          <w:rFonts w:ascii="Arial" w:hAnsi="Arial" w:cs="Arial"/>
          <w:color w:val="000000"/>
          <w:sz w:val="22"/>
          <w:szCs w:val="22"/>
        </w:rPr>
        <w:t>Viral reactivation, particularly cytomegalovirus, has been associated with more severe presentations of DRESS and worse clinical outcomes. Severity scoring models incorporating CMV reactivation have been proposed to help risk-stratify patients and predict complications in drug-induced hypersensitivity syndromes</w:t>
      </w:r>
      <w:r w:rsidRPr="000C1DB3">
        <w:rPr>
          <w:rStyle w:val="apple-converted-space"/>
          <w:rFonts w:ascii="Arial" w:hAnsi="Arial" w:cs="Arial"/>
          <w:color w:val="000000"/>
          <w:sz w:val="22"/>
          <w:szCs w:val="22"/>
        </w:rPr>
        <w:t> </w:t>
      </w:r>
      <w:r w:rsidRPr="000C1DB3">
        <w:rPr>
          <w:rStyle w:val="text-token-text-primary"/>
          <w:rFonts w:ascii="Arial" w:hAnsi="Arial" w:cs="Arial"/>
          <w:color w:val="000000"/>
          <w:sz w:val="22"/>
          <w:szCs w:val="22"/>
        </w:rPr>
        <w:t>[8]</w:t>
      </w:r>
      <w:r w:rsidRPr="000C1DB3">
        <w:rPr>
          <w:rFonts w:ascii="Arial" w:hAnsi="Arial" w:cs="Arial"/>
          <w:color w:val="000000"/>
          <w:sz w:val="22"/>
          <w:szCs w:val="22"/>
        </w:rPr>
        <w:t>. In the present case, CMV reactivation was considered in the differential evaluation given the patient’s systemic findings, although clinical and laboratory data did not support active CMV disease.</w:t>
      </w:r>
    </w:p>
    <w:p w14:paraId="6CC27FC2" w14:textId="1B5FBFF8" w:rsidR="4B9685AB" w:rsidRDefault="4B9685AB" w:rsidP="04186D8C">
      <w:pPr>
        <w:rPr>
          <w:rFonts w:ascii="Arial" w:eastAsia="Arial" w:hAnsi="Arial" w:cs="Arial"/>
          <w:b/>
          <w:bCs/>
        </w:rPr>
      </w:pPr>
      <w:r w:rsidRPr="04186D8C">
        <w:rPr>
          <w:rFonts w:ascii="Arial" w:eastAsia="Arial" w:hAnsi="Arial" w:cs="Arial"/>
          <w:b/>
          <w:bCs/>
        </w:rPr>
        <w:t>CONSENT</w:t>
      </w:r>
    </w:p>
    <w:p w14:paraId="2E36B317" w14:textId="77777777" w:rsidR="003073A8" w:rsidRDefault="04186D8C" w:rsidP="04186D8C">
      <w:pPr>
        <w:rPr>
          <w:rFonts w:ascii="Arial" w:eastAsia="Arial" w:hAnsi="Arial" w:cs="Arial"/>
        </w:rPr>
      </w:pPr>
      <w:r w:rsidRPr="04186D8C">
        <w:rPr>
          <w:rFonts w:ascii="Arial" w:eastAsia="Arial" w:hAnsi="Arial" w:cs="Arial"/>
        </w:rPr>
        <w:t>Verbal informed consent was obtained from the patient for publication of this case report and accompanying clinical images. Written consent is in process.</w:t>
      </w:r>
    </w:p>
    <w:p w14:paraId="6AAD320B" w14:textId="6872C27A" w:rsidR="7D24E26F" w:rsidRDefault="7D24E26F" w:rsidP="04186D8C">
      <w:pPr>
        <w:rPr>
          <w:rFonts w:ascii="Arial" w:eastAsia="Arial" w:hAnsi="Arial" w:cs="Arial"/>
          <w:b/>
          <w:bCs/>
        </w:rPr>
      </w:pPr>
      <w:r w:rsidRPr="04186D8C">
        <w:rPr>
          <w:rFonts w:ascii="Arial" w:eastAsia="Arial" w:hAnsi="Arial" w:cs="Arial"/>
          <w:b/>
          <w:bCs/>
        </w:rPr>
        <w:t>AUTHOR CONTRIBUT</w:t>
      </w:r>
      <w:r w:rsidR="00EB74E0">
        <w:rPr>
          <w:rFonts w:ascii="Arial" w:eastAsia="Arial" w:hAnsi="Arial" w:cs="Arial"/>
          <w:b/>
          <w:bCs/>
        </w:rPr>
        <w:t>I</w:t>
      </w:r>
      <w:r w:rsidRPr="04186D8C">
        <w:rPr>
          <w:rFonts w:ascii="Arial" w:eastAsia="Arial" w:hAnsi="Arial" w:cs="Arial"/>
          <w:b/>
          <w:bCs/>
        </w:rPr>
        <w:t>ONS</w:t>
      </w:r>
    </w:p>
    <w:p w14:paraId="7B13E2F6" w14:textId="23343FFA" w:rsidR="003073A8" w:rsidRDefault="130C97F4" w:rsidP="04186D8C">
      <w:pPr>
        <w:rPr>
          <w:rFonts w:ascii="Arial" w:eastAsia="Arial" w:hAnsi="Arial" w:cs="Arial"/>
        </w:rPr>
      </w:pPr>
      <w:r w:rsidRPr="04186D8C">
        <w:rPr>
          <w:rFonts w:ascii="Arial" w:eastAsia="Arial" w:hAnsi="Arial" w:cs="Arial"/>
        </w:rPr>
        <w:t>Mary Kanzler contributed to data collection, literature review, manuscript drafting, and final approval of the submitted version. Dr. Katie Stokem provided clinical oversight, editorial review, and final manuscript approval.</w:t>
      </w:r>
    </w:p>
    <w:p w14:paraId="2C703474" w14:textId="0235AE46" w:rsidR="59732165" w:rsidRDefault="59732165" w:rsidP="04186D8C">
      <w:pPr>
        <w:rPr>
          <w:rFonts w:ascii="Arial" w:eastAsia="Arial" w:hAnsi="Arial" w:cs="Arial"/>
          <w:b/>
          <w:bCs/>
        </w:rPr>
      </w:pPr>
      <w:r w:rsidRPr="04186D8C">
        <w:rPr>
          <w:rFonts w:ascii="Arial" w:eastAsia="Arial" w:hAnsi="Arial" w:cs="Arial"/>
          <w:b/>
          <w:bCs/>
        </w:rPr>
        <w:t>ACKNOWLEDGEMENTS</w:t>
      </w:r>
    </w:p>
    <w:p w14:paraId="5013BB8D" w14:textId="13DACB90" w:rsidR="003073A8" w:rsidRDefault="04186D8C" w:rsidP="04186D8C">
      <w:pPr>
        <w:rPr>
          <w:rFonts w:ascii="Arial" w:eastAsia="Arial" w:hAnsi="Arial" w:cs="Arial"/>
        </w:rPr>
      </w:pPr>
      <w:r w:rsidRPr="04186D8C">
        <w:rPr>
          <w:rFonts w:ascii="Arial" w:eastAsia="Arial" w:hAnsi="Arial" w:cs="Arial"/>
        </w:rPr>
        <w:t>The authors thank the Department of Internal Medicine and the Infectious Disease service at Central Maine Medical Center for their clinical guidance and support.</w:t>
      </w:r>
    </w:p>
    <w:p w14:paraId="4BC01EC4" w14:textId="24691BAC" w:rsidR="00396EC4" w:rsidRDefault="00396EC4" w:rsidP="04186D8C">
      <w:pPr>
        <w:rPr>
          <w:rFonts w:ascii="Arial" w:eastAsia="Arial" w:hAnsi="Arial" w:cs="Arial"/>
        </w:rPr>
      </w:pPr>
    </w:p>
    <w:p w14:paraId="061D6E6F" w14:textId="77777777" w:rsidR="00396EC4" w:rsidRPr="00A171E2" w:rsidRDefault="00396EC4" w:rsidP="00396EC4">
      <w:pPr>
        <w:pStyle w:val="NoSpacing"/>
        <w:rPr>
          <w:rFonts w:ascii="Arial" w:hAnsi="Arial" w:cs="Arial"/>
          <w:b/>
          <w:highlight w:val="yellow"/>
        </w:rPr>
      </w:pPr>
      <w:bookmarkStart w:id="1" w:name="_Hlk198031404"/>
      <w:r w:rsidRPr="00A171E2">
        <w:rPr>
          <w:rFonts w:ascii="Arial" w:hAnsi="Arial" w:cs="Arial"/>
          <w:b/>
          <w:highlight w:val="yellow"/>
        </w:rPr>
        <w:t>Disclaimer (Artificial intelligence)</w:t>
      </w:r>
    </w:p>
    <w:p w14:paraId="322255B1" w14:textId="77777777" w:rsidR="00396EC4" w:rsidRPr="00005ED1" w:rsidRDefault="00396EC4" w:rsidP="00396EC4">
      <w:pPr>
        <w:pStyle w:val="NoSpacing"/>
        <w:rPr>
          <w:rFonts w:ascii="Arial" w:hAnsi="Arial" w:cs="Arial"/>
          <w:highlight w:val="yellow"/>
        </w:rPr>
      </w:pPr>
    </w:p>
    <w:p w14:paraId="6A3E3812" w14:textId="77777777" w:rsidR="00396EC4" w:rsidRPr="00005ED1" w:rsidRDefault="00396EC4" w:rsidP="00396EC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6FFA0365" w14:textId="77777777" w:rsidR="00396EC4" w:rsidRDefault="00396EC4" w:rsidP="00396EC4">
      <w:pPr>
        <w:pStyle w:val="NoSpacing"/>
        <w:rPr>
          <w:rFonts w:ascii="Arial" w:hAnsi="Arial" w:cs="Arial"/>
        </w:rPr>
      </w:pPr>
    </w:p>
    <w:p w14:paraId="6561395E" w14:textId="77777777" w:rsidR="00396EC4" w:rsidRDefault="00396EC4" w:rsidP="00396EC4">
      <w:pPr>
        <w:pStyle w:val="NoSpacing"/>
        <w:rPr>
          <w:rFonts w:ascii="Arial" w:hAnsi="Arial" w:cs="Arial"/>
        </w:rPr>
      </w:pPr>
    </w:p>
    <w:p w14:paraId="5DE2B8C4" w14:textId="77777777" w:rsidR="00396EC4" w:rsidRPr="00005ED1" w:rsidRDefault="00396EC4" w:rsidP="00396EC4">
      <w:pPr>
        <w:pStyle w:val="NoSpacing"/>
        <w:rPr>
          <w:rFonts w:ascii="Arial" w:hAnsi="Arial" w:cs="Arial"/>
        </w:rPr>
      </w:pPr>
    </w:p>
    <w:p w14:paraId="6F57607C" w14:textId="77777777" w:rsidR="00396EC4" w:rsidRDefault="00396EC4" w:rsidP="04186D8C">
      <w:pPr>
        <w:rPr>
          <w:rFonts w:ascii="Arial" w:eastAsia="Arial" w:hAnsi="Arial" w:cs="Arial"/>
        </w:rPr>
      </w:pPr>
    </w:p>
    <w:p w14:paraId="1F9CB363" w14:textId="7B861DF4" w:rsidR="4601C4C0" w:rsidRDefault="4601C4C0" w:rsidP="04186D8C">
      <w:pPr>
        <w:rPr>
          <w:rFonts w:ascii="Arial" w:eastAsia="Arial" w:hAnsi="Arial" w:cs="Arial"/>
          <w:b/>
          <w:bCs/>
        </w:rPr>
      </w:pPr>
      <w:r w:rsidRPr="04186D8C">
        <w:rPr>
          <w:rFonts w:ascii="Arial" w:eastAsia="Arial" w:hAnsi="Arial" w:cs="Arial"/>
          <w:b/>
          <w:bCs/>
        </w:rPr>
        <w:t>REFERENCES</w:t>
      </w:r>
    </w:p>
    <w:p w14:paraId="172BC893" w14:textId="1DADACFB" w:rsidR="00C03A46" w:rsidRPr="00C03A46" w:rsidRDefault="00C03A46" w:rsidP="00C03A46">
      <w:pPr>
        <w:pStyle w:val="NormalWeb"/>
        <w:numPr>
          <w:ilvl w:val="0"/>
          <w:numId w:val="10"/>
        </w:numPr>
        <w:rPr>
          <w:rFonts w:ascii="Arial" w:hAnsi="Arial" w:cs="Arial"/>
          <w:sz w:val="22"/>
          <w:szCs w:val="22"/>
        </w:rPr>
      </w:pPr>
      <w:r w:rsidRPr="00C03A46">
        <w:rPr>
          <w:rFonts w:ascii="Arial" w:hAnsi="Arial" w:cs="Arial"/>
          <w:sz w:val="22"/>
          <w:szCs w:val="22"/>
        </w:rPr>
        <w:lastRenderedPageBreak/>
        <w:t xml:space="preserve">Chen CB, Yang CW, Wen YH, et al. Advances in understanding of the pathogenesis and therapeutic strategies of DRESS/DIHS. Front Med. </w:t>
      </w:r>
      <w:proofErr w:type="gramStart"/>
      <w:r w:rsidRPr="00C03A46">
        <w:rPr>
          <w:rFonts w:ascii="Arial" w:hAnsi="Arial" w:cs="Arial"/>
          <w:sz w:val="22"/>
          <w:szCs w:val="22"/>
        </w:rPr>
        <w:t>2023;10:1187937</w:t>
      </w:r>
      <w:proofErr w:type="gramEnd"/>
      <w:r w:rsidRPr="00C03A46">
        <w:rPr>
          <w:rFonts w:ascii="Arial" w:hAnsi="Arial" w:cs="Arial"/>
          <w:sz w:val="22"/>
          <w:szCs w:val="22"/>
        </w:rPr>
        <w:t>. doi:10.3389/fmed.2023.1187937</w:t>
      </w:r>
    </w:p>
    <w:p w14:paraId="05BA7517" w14:textId="22EA4AFF" w:rsidR="00C03A46" w:rsidRPr="00C03A46" w:rsidRDefault="00C03A46" w:rsidP="00C03A46">
      <w:pPr>
        <w:pStyle w:val="NormalWeb"/>
        <w:numPr>
          <w:ilvl w:val="0"/>
          <w:numId w:val="10"/>
        </w:numPr>
        <w:rPr>
          <w:rFonts w:ascii="Arial" w:hAnsi="Arial" w:cs="Arial"/>
          <w:sz w:val="22"/>
          <w:szCs w:val="22"/>
        </w:rPr>
      </w:pPr>
      <w:proofErr w:type="spellStart"/>
      <w:r w:rsidRPr="00C03A46">
        <w:rPr>
          <w:rFonts w:ascii="Arial" w:hAnsi="Arial" w:cs="Arial"/>
          <w:sz w:val="22"/>
          <w:szCs w:val="22"/>
        </w:rPr>
        <w:t>Sharifzadeh</w:t>
      </w:r>
      <w:proofErr w:type="spellEnd"/>
      <w:r w:rsidRPr="00C03A46">
        <w:rPr>
          <w:rFonts w:ascii="Arial" w:hAnsi="Arial" w:cs="Arial"/>
          <w:sz w:val="22"/>
          <w:szCs w:val="22"/>
        </w:rPr>
        <w:t xml:space="preserve"> S, </w:t>
      </w:r>
      <w:proofErr w:type="spellStart"/>
      <w:r w:rsidRPr="00C03A46">
        <w:rPr>
          <w:rFonts w:ascii="Arial" w:hAnsi="Arial" w:cs="Arial"/>
          <w:sz w:val="22"/>
          <w:szCs w:val="22"/>
        </w:rPr>
        <w:t>Mohammadpour</w:t>
      </w:r>
      <w:proofErr w:type="spellEnd"/>
      <w:r w:rsidRPr="00C03A46">
        <w:rPr>
          <w:rFonts w:ascii="Arial" w:hAnsi="Arial" w:cs="Arial"/>
          <w:sz w:val="22"/>
          <w:szCs w:val="22"/>
        </w:rPr>
        <w:t xml:space="preserve"> AH, </w:t>
      </w:r>
      <w:proofErr w:type="spellStart"/>
      <w:r w:rsidRPr="00C03A46">
        <w:rPr>
          <w:rFonts w:ascii="Arial" w:hAnsi="Arial" w:cs="Arial"/>
          <w:sz w:val="22"/>
          <w:szCs w:val="22"/>
        </w:rPr>
        <w:t>Tavanaee</w:t>
      </w:r>
      <w:proofErr w:type="spellEnd"/>
      <w:r w:rsidRPr="00C03A46">
        <w:rPr>
          <w:rFonts w:ascii="Arial" w:hAnsi="Arial" w:cs="Arial"/>
          <w:sz w:val="22"/>
          <w:szCs w:val="22"/>
        </w:rPr>
        <w:t xml:space="preserve"> A, </w:t>
      </w:r>
      <w:proofErr w:type="spellStart"/>
      <w:r w:rsidRPr="00C03A46">
        <w:rPr>
          <w:rFonts w:ascii="Arial" w:hAnsi="Arial" w:cs="Arial"/>
          <w:sz w:val="22"/>
          <w:szCs w:val="22"/>
        </w:rPr>
        <w:t>Elyasi</w:t>
      </w:r>
      <w:proofErr w:type="spellEnd"/>
      <w:r w:rsidRPr="00C03A46">
        <w:rPr>
          <w:rFonts w:ascii="Arial" w:hAnsi="Arial" w:cs="Arial"/>
          <w:sz w:val="22"/>
          <w:szCs w:val="22"/>
        </w:rPr>
        <w:t xml:space="preserve"> S. Antibacterial antibiotic-induced DRESS syndrome: A literature review. Eur J Clin </w:t>
      </w:r>
      <w:proofErr w:type="spellStart"/>
      <w:r w:rsidRPr="00C03A46">
        <w:rPr>
          <w:rFonts w:ascii="Arial" w:hAnsi="Arial" w:cs="Arial"/>
          <w:sz w:val="22"/>
          <w:szCs w:val="22"/>
        </w:rPr>
        <w:t>Pharmacol</w:t>
      </w:r>
      <w:proofErr w:type="spellEnd"/>
      <w:r w:rsidRPr="00C03A46">
        <w:rPr>
          <w:rFonts w:ascii="Arial" w:hAnsi="Arial" w:cs="Arial"/>
          <w:sz w:val="22"/>
          <w:szCs w:val="22"/>
        </w:rPr>
        <w:t xml:space="preserve">. </w:t>
      </w:r>
      <w:proofErr w:type="gramStart"/>
      <w:r w:rsidRPr="00C03A46">
        <w:rPr>
          <w:rFonts w:ascii="Arial" w:hAnsi="Arial" w:cs="Arial"/>
          <w:sz w:val="22"/>
          <w:szCs w:val="22"/>
        </w:rPr>
        <w:t>2021;77:275</w:t>
      </w:r>
      <w:proofErr w:type="gramEnd"/>
      <w:r w:rsidRPr="00C03A46">
        <w:rPr>
          <w:rFonts w:ascii="Arial" w:hAnsi="Arial" w:cs="Arial"/>
          <w:sz w:val="22"/>
          <w:szCs w:val="22"/>
        </w:rPr>
        <w:t>–289. doi:10.1007/s00228-020-03020-2</w:t>
      </w:r>
    </w:p>
    <w:p w14:paraId="5D2AA3FC" w14:textId="114BD03D" w:rsidR="00C03A46" w:rsidRPr="00C03A46" w:rsidRDefault="00C03A46" w:rsidP="00C03A46">
      <w:pPr>
        <w:pStyle w:val="NormalWeb"/>
        <w:numPr>
          <w:ilvl w:val="0"/>
          <w:numId w:val="10"/>
        </w:numPr>
        <w:rPr>
          <w:rFonts w:ascii="Arial" w:hAnsi="Arial" w:cs="Arial"/>
          <w:sz w:val="22"/>
          <w:szCs w:val="22"/>
        </w:rPr>
      </w:pPr>
      <w:r w:rsidRPr="00C03A46">
        <w:rPr>
          <w:rFonts w:ascii="Arial" w:hAnsi="Arial" w:cs="Arial"/>
          <w:sz w:val="22"/>
          <w:szCs w:val="22"/>
        </w:rPr>
        <w:t xml:space="preserve">Blumenthal KG, et al. Drug Reaction </w:t>
      </w:r>
      <w:proofErr w:type="gramStart"/>
      <w:r w:rsidRPr="00C03A46">
        <w:rPr>
          <w:rFonts w:ascii="Arial" w:hAnsi="Arial" w:cs="Arial"/>
          <w:sz w:val="22"/>
          <w:szCs w:val="22"/>
        </w:rPr>
        <w:t>With</w:t>
      </w:r>
      <w:proofErr w:type="gramEnd"/>
      <w:r w:rsidRPr="00C03A46">
        <w:rPr>
          <w:rFonts w:ascii="Arial" w:hAnsi="Arial" w:cs="Arial"/>
          <w:sz w:val="22"/>
          <w:szCs w:val="22"/>
        </w:rPr>
        <w:t xml:space="preserve"> Eosinophilia and Systemic Symptoms (DRESS) syndrome. J Am </w:t>
      </w:r>
      <w:proofErr w:type="spellStart"/>
      <w:r w:rsidRPr="00C03A46">
        <w:rPr>
          <w:rFonts w:ascii="Arial" w:hAnsi="Arial" w:cs="Arial"/>
          <w:sz w:val="22"/>
          <w:szCs w:val="22"/>
        </w:rPr>
        <w:t>Acad</w:t>
      </w:r>
      <w:proofErr w:type="spellEnd"/>
      <w:r w:rsidRPr="00C03A46">
        <w:rPr>
          <w:rFonts w:ascii="Arial" w:hAnsi="Arial" w:cs="Arial"/>
          <w:sz w:val="22"/>
          <w:szCs w:val="22"/>
        </w:rPr>
        <w:t xml:space="preserve"> Dermatol. 2024. Available from:</w:t>
      </w:r>
      <w:r w:rsidRPr="00C03A46">
        <w:rPr>
          <w:rStyle w:val="apple-converted-space"/>
          <w:rFonts w:ascii="Arial" w:hAnsi="Arial" w:cs="Arial"/>
          <w:sz w:val="22"/>
          <w:szCs w:val="22"/>
        </w:rPr>
        <w:t> </w:t>
      </w:r>
      <w:hyperlink r:id="rId9" w:tgtFrame="_new" w:history="1">
        <w:r w:rsidRPr="00C03A46">
          <w:rPr>
            <w:rStyle w:val="Hyperlink"/>
            <w:rFonts w:ascii="Arial" w:hAnsi="Arial" w:cs="Arial"/>
            <w:sz w:val="22"/>
            <w:szCs w:val="22"/>
          </w:rPr>
          <w:t>https://www.ncbi.nlm.nih.gov/pmc/articles/PMC10863630/</w:t>
        </w:r>
      </w:hyperlink>
    </w:p>
    <w:p w14:paraId="47E1CFF7" w14:textId="24805F19" w:rsidR="00C03A46" w:rsidRPr="00C03A46" w:rsidRDefault="00C03A46" w:rsidP="00C03A46">
      <w:pPr>
        <w:pStyle w:val="NormalWeb"/>
        <w:numPr>
          <w:ilvl w:val="0"/>
          <w:numId w:val="10"/>
        </w:numPr>
        <w:rPr>
          <w:rFonts w:ascii="Arial" w:hAnsi="Arial" w:cs="Arial"/>
          <w:sz w:val="22"/>
          <w:szCs w:val="22"/>
        </w:rPr>
      </w:pPr>
      <w:proofErr w:type="spellStart"/>
      <w:r w:rsidRPr="00C03A46">
        <w:rPr>
          <w:rFonts w:ascii="Arial" w:hAnsi="Arial" w:cs="Arial"/>
          <w:sz w:val="22"/>
          <w:szCs w:val="22"/>
        </w:rPr>
        <w:t>Kardaun</w:t>
      </w:r>
      <w:proofErr w:type="spellEnd"/>
      <w:r w:rsidRPr="00C03A46">
        <w:rPr>
          <w:rFonts w:ascii="Arial" w:hAnsi="Arial" w:cs="Arial"/>
          <w:sz w:val="22"/>
          <w:szCs w:val="22"/>
        </w:rPr>
        <w:t xml:space="preserve"> SH, </w:t>
      </w:r>
      <w:proofErr w:type="spellStart"/>
      <w:r w:rsidRPr="00C03A46">
        <w:rPr>
          <w:rFonts w:ascii="Arial" w:hAnsi="Arial" w:cs="Arial"/>
          <w:sz w:val="22"/>
          <w:szCs w:val="22"/>
        </w:rPr>
        <w:t>Sidoroff</w:t>
      </w:r>
      <w:proofErr w:type="spellEnd"/>
      <w:r w:rsidRPr="00C03A46">
        <w:rPr>
          <w:rFonts w:ascii="Arial" w:hAnsi="Arial" w:cs="Arial"/>
          <w:sz w:val="22"/>
          <w:szCs w:val="22"/>
        </w:rPr>
        <w:t xml:space="preserve"> A, </w:t>
      </w:r>
      <w:proofErr w:type="spellStart"/>
      <w:r w:rsidRPr="00C03A46">
        <w:rPr>
          <w:rFonts w:ascii="Arial" w:hAnsi="Arial" w:cs="Arial"/>
          <w:sz w:val="22"/>
          <w:szCs w:val="22"/>
        </w:rPr>
        <w:t>Valeyrie-Allanore</w:t>
      </w:r>
      <w:proofErr w:type="spellEnd"/>
      <w:r w:rsidRPr="00C03A46">
        <w:rPr>
          <w:rFonts w:ascii="Arial" w:hAnsi="Arial" w:cs="Arial"/>
          <w:sz w:val="22"/>
          <w:szCs w:val="22"/>
        </w:rPr>
        <w:t xml:space="preserve"> L, et al. Variability in the clinical pattern of cutaneous side-effects of drugs with systemic symptoms: Does a DRESS syndrome really exist? Br J Dermatol. </w:t>
      </w:r>
      <w:proofErr w:type="gramStart"/>
      <w:r w:rsidRPr="00C03A46">
        <w:rPr>
          <w:rFonts w:ascii="Arial" w:hAnsi="Arial" w:cs="Arial"/>
          <w:sz w:val="22"/>
          <w:szCs w:val="22"/>
        </w:rPr>
        <w:t>2007;156:609</w:t>
      </w:r>
      <w:proofErr w:type="gramEnd"/>
      <w:r w:rsidRPr="00C03A46">
        <w:rPr>
          <w:rFonts w:ascii="Arial" w:hAnsi="Arial" w:cs="Arial"/>
          <w:sz w:val="22"/>
          <w:szCs w:val="22"/>
        </w:rPr>
        <w:t>–611. doi:10.1111/j.1365-2133.</w:t>
      </w:r>
      <w:proofErr w:type="gramStart"/>
      <w:r w:rsidRPr="00C03A46">
        <w:rPr>
          <w:rFonts w:ascii="Arial" w:hAnsi="Arial" w:cs="Arial"/>
          <w:sz w:val="22"/>
          <w:szCs w:val="22"/>
        </w:rPr>
        <w:t>2007.07730.x</w:t>
      </w:r>
      <w:proofErr w:type="gramEnd"/>
    </w:p>
    <w:p w14:paraId="3CF41344" w14:textId="6BCCF8A1" w:rsidR="00C03A46" w:rsidRPr="00C03A46" w:rsidRDefault="00C03A46" w:rsidP="00C03A46">
      <w:pPr>
        <w:pStyle w:val="NormalWeb"/>
        <w:numPr>
          <w:ilvl w:val="0"/>
          <w:numId w:val="10"/>
        </w:numPr>
        <w:rPr>
          <w:rFonts w:ascii="Arial" w:hAnsi="Arial" w:cs="Arial"/>
          <w:sz w:val="22"/>
          <w:szCs w:val="22"/>
        </w:rPr>
      </w:pPr>
      <w:r w:rsidRPr="00C03A46">
        <w:rPr>
          <w:rFonts w:ascii="Arial" w:hAnsi="Arial" w:cs="Arial"/>
          <w:sz w:val="22"/>
          <w:szCs w:val="22"/>
        </w:rPr>
        <w:t>WHO–UMC. The use of the WHO–UMC system for standardized case causality assessment. Uppsala Monitoring Centre; 2018. Available from:</w:t>
      </w:r>
      <w:r w:rsidRPr="00C03A46">
        <w:rPr>
          <w:rStyle w:val="apple-converted-space"/>
          <w:rFonts w:ascii="Arial" w:hAnsi="Arial" w:cs="Arial"/>
          <w:sz w:val="22"/>
          <w:szCs w:val="22"/>
        </w:rPr>
        <w:t> </w:t>
      </w:r>
      <w:r w:rsidRPr="00C03A46">
        <w:rPr>
          <w:rFonts w:ascii="Arial" w:hAnsi="Arial" w:cs="Arial"/>
          <w:sz w:val="22"/>
          <w:szCs w:val="22"/>
        </w:rPr>
        <w:t>https://who-umc.org/media/164200/who-umc-causality-assessment_new-logo.pdf</w:t>
      </w:r>
    </w:p>
    <w:p w14:paraId="7A93FE0D" w14:textId="316B1B52" w:rsidR="00C03A46" w:rsidRPr="00C03A46" w:rsidRDefault="00C03A46" w:rsidP="00C03A46">
      <w:pPr>
        <w:pStyle w:val="NormalWeb"/>
        <w:numPr>
          <w:ilvl w:val="0"/>
          <w:numId w:val="10"/>
        </w:numPr>
        <w:rPr>
          <w:rFonts w:ascii="Arial" w:hAnsi="Arial" w:cs="Arial"/>
          <w:sz w:val="22"/>
          <w:szCs w:val="22"/>
        </w:rPr>
      </w:pPr>
      <w:proofErr w:type="spellStart"/>
      <w:r w:rsidRPr="00C03A46">
        <w:rPr>
          <w:rFonts w:ascii="Arial" w:hAnsi="Arial" w:cs="Arial"/>
          <w:sz w:val="22"/>
          <w:szCs w:val="22"/>
        </w:rPr>
        <w:t>Kardaun</w:t>
      </w:r>
      <w:proofErr w:type="spellEnd"/>
      <w:r w:rsidRPr="00C03A46">
        <w:rPr>
          <w:rFonts w:ascii="Arial" w:hAnsi="Arial" w:cs="Arial"/>
          <w:sz w:val="22"/>
          <w:szCs w:val="22"/>
        </w:rPr>
        <w:t xml:space="preserve"> SH, </w:t>
      </w:r>
      <w:proofErr w:type="spellStart"/>
      <w:r w:rsidRPr="00C03A46">
        <w:rPr>
          <w:rFonts w:ascii="Arial" w:hAnsi="Arial" w:cs="Arial"/>
          <w:sz w:val="22"/>
          <w:szCs w:val="22"/>
        </w:rPr>
        <w:t>Sekula</w:t>
      </w:r>
      <w:proofErr w:type="spellEnd"/>
      <w:r w:rsidRPr="00C03A46">
        <w:rPr>
          <w:rFonts w:ascii="Arial" w:hAnsi="Arial" w:cs="Arial"/>
          <w:sz w:val="22"/>
          <w:szCs w:val="22"/>
        </w:rPr>
        <w:t xml:space="preserve"> P, </w:t>
      </w:r>
      <w:proofErr w:type="spellStart"/>
      <w:r w:rsidRPr="00C03A46">
        <w:rPr>
          <w:rFonts w:ascii="Arial" w:hAnsi="Arial" w:cs="Arial"/>
          <w:sz w:val="22"/>
          <w:szCs w:val="22"/>
        </w:rPr>
        <w:t>Valeyrie-Allanore</w:t>
      </w:r>
      <w:proofErr w:type="spellEnd"/>
      <w:r w:rsidRPr="00C03A46">
        <w:rPr>
          <w:rFonts w:ascii="Arial" w:hAnsi="Arial" w:cs="Arial"/>
          <w:sz w:val="22"/>
          <w:szCs w:val="22"/>
        </w:rPr>
        <w:t xml:space="preserve"> L, et al. Drug reaction with eosinophilia and systemic symptoms (DRESS): Results from the prospective </w:t>
      </w:r>
      <w:proofErr w:type="spellStart"/>
      <w:r w:rsidRPr="00C03A46">
        <w:rPr>
          <w:rFonts w:ascii="Arial" w:hAnsi="Arial" w:cs="Arial"/>
          <w:sz w:val="22"/>
          <w:szCs w:val="22"/>
        </w:rPr>
        <w:t>RegiSCAR</w:t>
      </w:r>
      <w:proofErr w:type="spellEnd"/>
      <w:r w:rsidRPr="00C03A46">
        <w:rPr>
          <w:rFonts w:ascii="Arial" w:hAnsi="Arial" w:cs="Arial"/>
          <w:sz w:val="22"/>
          <w:szCs w:val="22"/>
        </w:rPr>
        <w:t xml:space="preserve"> study. Br J Dermatol. </w:t>
      </w:r>
      <w:proofErr w:type="gramStart"/>
      <w:r w:rsidRPr="00C03A46">
        <w:rPr>
          <w:rFonts w:ascii="Arial" w:hAnsi="Arial" w:cs="Arial"/>
          <w:sz w:val="22"/>
          <w:szCs w:val="22"/>
        </w:rPr>
        <w:t>2014;169:1071</w:t>
      </w:r>
      <w:proofErr w:type="gramEnd"/>
      <w:r w:rsidRPr="00C03A46">
        <w:rPr>
          <w:rFonts w:ascii="Arial" w:hAnsi="Arial" w:cs="Arial"/>
          <w:sz w:val="22"/>
          <w:szCs w:val="22"/>
        </w:rPr>
        <w:t>–1080.</w:t>
      </w:r>
    </w:p>
    <w:p w14:paraId="1A863D93" w14:textId="7503E2BE" w:rsidR="00C03A46" w:rsidRPr="00C03A46" w:rsidRDefault="00C03A46" w:rsidP="00C03A46">
      <w:pPr>
        <w:pStyle w:val="NormalWeb"/>
        <w:numPr>
          <w:ilvl w:val="0"/>
          <w:numId w:val="10"/>
        </w:numPr>
        <w:rPr>
          <w:rFonts w:ascii="Arial" w:hAnsi="Arial" w:cs="Arial"/>
          <w:sz w:val="22"/>
          <w:szCs w:val="22"/>
        </w:rPr>
      </w:pPr>
      <w:r w:rsidRPr="00C03A46">
        <w:rPr>
          <w:rFonts w:ascii="Arial" w:hAnsi="Arial" w:cs="Arial"/>
          <w:sz w:val="22"/>
          <w:szCs w:val="22"/>
        </w:rPr>
        <w:t>Calle RA, et al. Advances in DRESS diagnosis and management. Front Med. 2023.</w:t>
      </w:r>
    </w:p>
    <w:p w14:paraId="1B4B823F" w14:textId="77777777" w:rsidR="002952CF" w:rsidRPr="002952CF" w:rsidRDefault="00C03A46" w:rsidP="6F1584C9">
      <w:pPr>
        <w:pStyle w:val="NormalWeb"/>
        <w:numPr>
          <w:ilvl w:val="0"/>
          <w:numId w:val="10"/>
        </w:numPr>
        <w:rPr>
          <w:rFonts w:ascii="Arial" w:hAnsi="Arial" w:cs="Arial"/>
          <w:sz w:val="22"/>
          <w:szCs w:val="22"/>
        </w:rPr>
      </w:pPr>
      <w:r w:rsidRPr="00C03A46">
        <w:rPr>
          <w:rFonts w:ascii="Arial" w:hAnsi="Arial" w:cs="Arial"/>
          <w:sz w:val="22"/>
          <w:szCs w:val="22"/>
        </w:rPr>
        <w:t xml:space="preserve">Mizukawa Y, Hirahara K, Kano Y, </w:t>
      </w:r>
      <w:proofErr w:type="spellStart"/>
      <w:r w:rsidRPr="00C03A46">
        <w:rPr>
          <w:rFonts w:ascii="Arial" w:hAnsi="Arial" w:cs="Arial"/>
          <w:sz w:val="22"/>
          <w:szCs w:val="22"/>
        </w:rPr>
        <w:t>Shiohara</w:t>
      </w:r>
      <w:proofErr w:type="spellEnd"/>
      <w:r w:rsidRPr="00C03A46">
        <w:rPr>
          <w:rFonts w:ascii="Arial" w:hAnsi="Arial" w:cs="Arial"/>
          <w:sz w:val="22"/>
          <w:szCs w:val="22"/>
        </w:rPr>
        <w:t xml:space="preserve"> T. Drug-induced hypersensitivity syndrome/drug reaction with eosinophilia and systemic symptoms severity score: A useful tool for assessing disease severity and predicting fatal cytomegalovirus </w:t>
      </w:r>
      <w:r w:rsidRPr="002952CF">
        <w:rPr>
          <w:rFonts w:ascii="Arial" w:hAnsi="Arial" w:cs="Arial"/>
          <w:sz w:val="22"/>
          <w:szCs w:val="22"/>
        </w:rPr>
        <w:t xml:space="preserve">disease. J Am </w:t>
      </w:r>
      <w:proofErr w:type="spellStart"/>
      <w:r w:rsidRPr="002952CF">
        <w:rPr>
          <w:rFonts w:ascii="Arial" w:hAnsi="Arial" w:cs="Arial"/>
          <w:sz w:val="22"/>
          <w:szCs w:val="22"/>
        </w:rPr>
        <w:t>Acad</w:t>
      </w:r>
      <w:proofErr w:type="spellEnd"/>
      <w:r w:rsidRPr="002952CF">
        <w:rPr>
          <w:rFonts w:ascii="Arial" w:hAnsi="Arial" w:cs="Arial"/>
          <w:sz w:val="22"/>
          <w:szCs w:val="22"/>
        </w:rPr>
        <w:t xml:space="preserve"> Dermatol. </w:t>
      </w:r>
      <w:proofErr w:type="gramStart"/>
      <w:r w:rsidRPr="002952CF">
        <w:rPr>
          <w:rFonts w:ascii="Arial" w:hAnsi="Arial" w:cs="Arial"/>
          <w:sz w:val="22"/>
          <w:szCs w:val="22"/>
        </w:rPr>
        <w:t>2019;80:670</w:t>
      </w:r>
      <w:proofErr w:type="gramEnd"/>
      <w:r w:rsidRPr="002952CF">
        <w:rPr>
          <w:rFonts w:ascii="Arial" w:hAnsi="Arial" w:cs="Arial"/>
          <w:sz w:val="22"/>
          <w:szCs w:val="22"/>
        </w:rPr>
        <w:t>–678.</w:t>
      </w:r>
    </w:p>
    <w:p w14:paraId="5DFC8323" w14:textId="45FD2399" w:rsidR="6F1584C9" w:rsidRPr="002952CF" w:rsidRDefault="002952CF" w:rsidP="6F1584C9">
      <w:pPr>
        <w:pStyle w:val="NormalWeb"/>
        <w:numPr>
          <w:ilvl w:val="0"/>
          <w:numId w:val="10"/>
        </w:numPr>
        <w:rPr>
          <w:rFonts w:ascii="Arial" w:hAnsi="Arial" w:cs="Arial"/>
          <w:sz w:val="22"/>
          <w:szCs w:val="22"/>
        </w:rPr>
      </w:pPr>
      <w:proofErr w:type="spellStart"/>
      <w:r w:rsidRPr="002952CF">
        <w:rPr>
          <w:rFonts w:ascii="Arial" w:eastAsia="Arial" w:hAnsi="Arial" w:cs="Arial"/>
          <w:sz w:val="22"/>
          <w:szCs w:val="22"/>
        </w:rPr>
        <w:t>Suddock</w:t>
      </w:r>
      <w:proofErr w:type="spellEnd"/>
      <w:r w:rsidRPr="002952CF">
        <w:rPr>
          <w:rFonts w:ascii="Arial" w:eastAsia="Arial" w:hAnsi="Arial" w:cs="Arial"/>
          <w:sz w:val="22"/>
          <w:szCs w:val="22"/>
        </w:rPr>
        <w:t xml:space="preserve"> JT, Crookston KP. Transfusion Reactions. </w:t>
      </w:r>
      <w:proofErr w:type="spellStart"/>
      <w:r w:rsidRPr="002952CF">
        <w:rPr>
          <w:rFonts w:ascii="Arial" w:eastAsia="Arial" w:hAnsi="Arial" w:cs="Arial"/>
          <w:sz w:val="22"/>
          <w:szCs w:val="22"/>
        </w:rPr>
        <w:t>StatPearls</w:t>
      </w:r>
      <w:proofErr w:type="spellEnd"/>
      <w:r w:rsidRPr="002952CF">
        <w:rPr>
          <w:rFonts w:ascii="Arial" w:eastAsia="Arial" w:hAnsi="Arial" w:cs="Arial"/>
          <w:sz w:val="22"/>
          <w:szCs w:val="22"/>
        </w:rPr>
        <w:t xml:space="preserve"> [Internet]. Treasure Island (FL): </w:t>
      </w:r>
      <w:proofErr w:type="spellStart"/>
      <w:r w:rsidRPr="002952CF">
        <w:rPr>
          <w:rFonts w:ascii="Arial" w:eastAsia="Arial" w:hAnsi="Arial" w:cs="Arial"/>
          <w:sz w:val="22"/>
          <w:szCs w:val="22"/>
        </w:rPr>
        <w:t>StatPearls</w:t>
      </w:r>
      <w:proofErr w:type="spellEnd"/>
      <w:r w:rsidRPr="002952CF">
        <w:rPr>
          <w:rFonts w:ascii="Arial" w:eastAsia="Arial" w:hAnsi="Arial" w:cs="Arial"/>
          <w:sz w:val="22"/>
          <w:szCs w:val="22"/>
        </w:rPr>
        <w:t xml:space="preserve"> Publishing; 2023. Available from: https://www.ncbi.nlm.nih.gov/books/NBK482202/</w:t>
      </w:r>
    </w:p>
    <w:sectPr w:rsidR="6F1584C9" w:rsidRPr="002952CF"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40F18" w14:textId="77777777" w:rsidR="009B396D" w:rsidRDefault="009B396D">
      <w:pPr>
        <w:spacing w:after="0" w:line="240" w:lineRule="auto"/>
      </w:pPr>
      <w:r>
        <w:separator/>
      </w:r>
    </w:p>
  </w:endnote>
  <w:endnote w:type="continuationSeparator" w:id="0">
    <w:p w14:paraId="25E55485" w14:textId="77777777" w:rsidR="009B396D" w:rsidRDefault="009B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6C0D" w14:textId="26F1AB94" w:rsidR="130C97F4" w:rsidRDefault="130C97F4" w:rsidP="130C9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6946A" w14:textId="77777777" w:rsidR="009B396D" w:rsidRDefault="009B396D">
      <w:pPr>
        <w:spacing w:after="0" w:line="240" w:lineRule="auto"/>
      </w:pPr>
      <w:r>
        <w:separator/>
      </w:r>
    </w:p>
  </w:footnote>
  <w:footnote w:type="continuationSeparator" w:id="0">
    <w:p w14:paraId="3DCDB794" w14:textId="77777777" w:rsidR="009B396D" w:rsidRDefault="009B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2880"/>
      <w:gridCol w:w="2880"/>
      <w:gridCol w:w="2880"/>
    </w:tblGrid>
    <w:tr w:rsidR="130C97F4" w14:paraId="5B6DF9C2" w14:textId="77777777" w:rsidTr="130C97F4">
      <w:trPr>
        <w:trHeight w:val="300"/>
      </w:trPr>
      <w:tc>
        <w:tcPr>
          <w:tcW w:w="2880" w:type="dxa"/>
        </w:tcPr>
        <w:p w14:paraId="34C45500" w14:textId="79EDE73E" w:rsidR="130C97F4" w:rsidRDefault="130C97F4" w:rsidP="130C97F4">
          <w:pPr>
            <w:pStyle w:val="Header"/>
            <w:ind w:left="-115"/>
          </w:pPr>
        </w:p>
      </w:tc>
      <w:tc>
        <w:tcPr>
          <w:tcW w:w="2880" w:type="dxa"/>
        </w:tcPr>
        <w:p w14:paraId="29B38A28" w14:textId="3BBE63F1" w:rsidR="130C97F4" w:rsidRDefault="130C97F4" w:rsidP="130C97F4">
          <w:pPr>
            <w:pStyle w:val="Header"/>
            <w:jc w:val="center"/>
          </w:pPr>
        </w:p>
      </w:tc>
      <w:tc>
        <w:tcPr>
          <w:tcW w:w="2880" w:type="dxa"/>
        </w:tcPr>
        <w:p w14:paraId="31FD1DA3" w14:textId="0DE941E9" w:rsidR="130C97F4" w:rsidRDefault="130C97F4" w:rsidP="130C97F4">
          <w:pPr>
            <w:pStyle w:val="Header"/>
            <w:ind w:right="-115"/>
            <w:jc w:val="right"/>
          </w:pPr>
        </w:p>
      </w:tc>
    </w:tr>
  </w:tbl>
  <w:p w14:paraId="11F4DC1F" w14:textId="6EE1A382" w:rsidR="130C97F4" w:rsidRDefault="130C97F4" w:rsidP="130C9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2A5DEC"/>
    <w:multiLevelType w:val="hybridMultilevel"/>
    <w:tmpl w:val="C9984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617A"/>
    <w:multiLevelType w:val="hybridMultilevel"/>
    <w:tmpl w:val="3A80A180"/>
    <w:lvl w:ilvl="0" w:tplc="D7C429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90E"/>
    <w:rsid w:val="000071A0"/>
    <w:rsid w:val="00034616"/>
    <w:rsid w:val="00036452"/>
    <w:rsid w:val="000442CB"/>
    <w:rsid w:val="0006063C"/>
    <w:rsid w:val="00070DAC"/>
    <w:rsid w:val="000A3EE3"/>
    <w:rsid w:val="000C1DB3"/>
    <w:rsid w:val="000C55DE"/>
    <w:rsid w:val="000C7079"/>
    <w:rsid w:val="000E08B4"/>
    <w:rsid w:val="000E5DF6"/>
    <w:rsid w:val="00100316"/>
    <w:rsid w:val="001130CD"/>
    <w:rsid w:val="00120565"/>
    <w:rsid w:val="001377CE"/>
    <w:rsid w:val="0015074B"/>
    <w:rsid w:val="00171881"/>
    <w:rsid w:val="00172DAC"/>
    <w:rsid w:val="001951D9"/>
    <w:rsid w:val="00196921"/>
    <w:rsid w:val="001A28EC"/>
    <w:rsid w:val="001A463D"/>
    <w:rsid w:val="00210D67"/>
    <w:rsid w:val="00240A58"/>
    <w:rsid w:val="00240CA7"/>
    <w:rsid w:val="00251352"/>
    <w:rsid w:val="00272146"/>
    <w:rsid w:val="002721DE"/>
    <w:rsid w:val="00276408"/>
    <w:rsid w:val="002952CF"/>
    <w:rsid w:val="0029639D"/>
    <w:rsid w:val="002A171F"/>
    <w:rsid w:val="002C7845"/>
    <w:rsid w:val="002E58D6"/>
    <w:rsid w:val="00303DF2"/>
    <w:rsid w:val="003073A8"/>
    <w:rsid w:val="00311223"/>
    <w:rsid w:val="0032355F"/>
    <w:rsid w:val="00326F90"/>
    <w:rsid w:val="00373F8F"/>
    <w:rsid w:val="00396EC4"/>
    <w:rsid w:val="003C33A4"/>
    <w:rsid w:val="003C57EE"/>
    <w:rsid w:val="003D3E4B"/>
    <w:rsid w:val="003E0A1E"/>
    <w:rsid w:val="003F0FEA"/>
    <w:rsid w:val="0040150D"/>
    <w:rsid w:val="0043347C"/>
    <w:rsid w:val="00453AEE"/>
    <w:rsid w:val="0047486C"/>
    <w:rsid w:val="004754D9"/>
    <w:rsid w:val="0048568D"/>
    <w:rsid w:val="0048759C"/>
    <w:rsid w:val="004D6621"/>
    <w:rsid w:val="004E0519"/>
    <w:rsid w:val="005004FC"/>
    <w:rsid w:val="0051280D"/>
    <w:rsid w:val="005149DA"/>
    <w:rsid w:val="00527007"/>
    <w:rsid w:val="00571E7A"/>
    <w:rsid w:val="00580FDC"/>
    <w:rsid w:val="005B229F"/>
    <w:rsid w:val="005B2E03"/>
    <w:rsid w:val="005C22A0"/>
    <w:rsid w:val="00620AA2"/>
    <w:rsid w:val="00637010"/>
    <w:rsid w:val="006442B2"/>
    <w:rsid w:val="0065204A"/>
    <w:rsid w:val="00662538"/>
    <w:rsid w:val="006A26A2"/>
    <w:rsid w:val="006B27BD"/>
    <w:rsid w:val="007031B2"/>
    <w:rsid w:val="00724475"/>
    <w:rsid w:val="00727760"/>
    <w:rsid w:val="0075144E"/>
    <w:rsid w:val="00755158"/>
    <w:rsid w:val="007846DE"/>
    <w:rsid w:val="00785221"/>
    <w:rsid w:val="007E255E"/>
    <w:rsid w:val="007E5A0F"/>
    <w:rsid w:val="007F361F"/>
    <w:rsid w:val="0082651F"/>
    <w:rsid w:val="00862CDC"/>
    <w:rsid w:val="008748FA"/>
    <w:rsid w:val="00875F05"/>
    <w:rsid w:val="00877751"/>
    <w:rsid w:val="00890618"/>
    <w:rsid w:val="008A53BE"/>
    <w:rsid w:val="008C4E09"/>
    <w:rsid w:val="008C4E4A"/>
    <w:rsid w:val="008D1984"/>
    <w:rsid w:val="008F0B79"/>
    <w:rsid w:val="009007D5"/>
    <w:rsid w:val="0092698C"/>
    <w:rsid w:val="00961433"/>
    <w:rsid w:val="00977B24"/>
    <w:rsid w:val="00980B7C"/>
    <w:rsid w:val="009901D8"/>
    <w:rsid w:val="009B396D"/>
    <w:rsid w:val="009E270D"/>
    <w:rsid w:val="009F7D04"/>
    <w:rsid w:val="00A171E2"/>
    <w:rsid w:val="00A25B8F"/>
    <w:rsid w:val="00A263BC"/>
    <w:rsid w:val="00A62FB0"/>
    <w:rsid w:val="00A83F41"/>
    <w:rsid w:val="00A84880"/>
    <w:rsid w:val="00AA1D8D"/>
    <w:rsid w:val="00AA5C86"/>
    <w:rsid w:val="00AF2FAF"/>
    <w:rsid w:val="00B14A8B"/>
    <w:rsid w:val="00B301E9"/>
    <w:rsid w:val="00B47730"/>
    <w:rsid w:val="00B65426"/>
    <w:rsid w:val="00B7353A"/>
    <w:rsid w:val="00B82697"/>
    <w:rsid w:val="00BA3F67"/>
    <w:rsid w:val="00BB6CC6"/>
    <w:rsid w:val="00BF5D24"/>
    <w:rsid w:val="00C03A46"/>
    <w:rsid w:val="00C06089"/>
    <w:rsid w:val="00C101E3"/>
    <w:rsid w:val="00C1550D"/>
    <w:rsid w:val="00C639ED"/>
    <w:rsid w:val="00CAA53D"/>
    <w:rsid w:val="00CB0664"/>
    <w:rsid w:val="00CC6360"/>
    <w:rsid w:val="00CE29F9"/>
    <w:rsid w:val="00D05C36"/>
    <w:rsid w:val="00D3331B"/>
    <w:rsid w:val="00D66A24"/>
    <w:rsid w:val="00D8122D"/>
    <w:rsid w:val="00D82A8E"/>
    <w:rsid w:val="00D8312A"/>
    <w:rsid w:val="00D846EB"/>
    <w:rsid w:val="00DB0841"/>
    <w:rsid w:val="00E02C5B"/>
    <w:rsid w:val="00E12F77"/>
    <w:rsid w:val="00E26810"/>
    <w:rsid w:val="00E40EFC"/>
    <w:rsid w:val="00E46A45"/>
    <w:rsid w:val="00E5514F"/>
    <w:rsid w:val="00E86025"/>
    <w:rsid w:val="00EB74E0"/>
    <w:rsid w:val="00F3187D"/>
    <w:rsid w:val="00F35E2E"/>
    <w:rsid w:val="00F41B7E"/>
    <w:rsid w:val="00FA4B55"/>
    <w:rsid w:val="00FB3F26"/>
    <w:rsid w:val="00FC693F"/>
    <w:rsid w:val="00FD0299"/>
    <w:rsid w:val="00FD39EB"/>
    <w:rsid w:val="00FF5A63"/>
    <w:rsid w:val="00FF7D05"/>
    <w:rsid w:val="04186D8C"/>
    <w:rsid w:val="0A0469A1"/>
    <w:rsid w:val="0B5E80EE"/>
    <w:rsid w:val="0BB19265"/>
    <w:rsid w:val="0F83B0AC"/>
    <w:rsid w:val="130C97F4"/>
    <w:rsid w:val="1354DA44"/>
    <w:rsid w:val="16A8D6FC"/>
    <w:rsid w:val="181981F3"/>
    <w:rsid w:val="1B905C82"/>
    <w:rsid w:val="1BA5A086"/>
    <w:rsid w:val="22A62A96"/>
    <w:rsid w:val="260CE8C3"/>
    <w:rsid w:val="262FF9FD"/>
    <w:rsid w:val="2681845D"/>
    <w:rsid w:val="2704F162"/>
    <w:rsid w:val="2B9161FE"/>
    <w:rsid w:val="2C551A68"/>
    <w:rsid w:val="2EC9E3A7"/>
    <w:rsid w:val="309B5D31"/>
    <w:rsid w:val="30DBEDCD"/>
    <w:rsid w:val="32D9C930"/>
    <w:rsid w:val="33AD3198"/>
    <w:rsid w:val="35DA065A"/>
    <w:rsid w:val="374BF1C8"/>
    <w:rsid w:val="37582CD3"/>
    <w:rsid w:val="382452A1"/>
    <w:rsid w:val="390CB399"/>
    <w:rsid w:val="3CE5F1A8"/>
    <w:rsid w:val="3EB0848E"/>
    <w:rsid w:val="4601C4C0"/>
    <w:rsid w:val="46B5120C"/>
    <w:rsid w:val="46C0D274"/>
    <w:rsid w:val="4943DB13"/>
    <w:rsid w:val="4B9685AB"/>
    <w:rsid w:val="4CFB05A6"/>
    <w:rsid w:val="506B1F3A"/>
    <w:rsid w:val="5082135C"/>
    <w:rsid w:val="514B8EB1"/>
    <w:rsid w:val="525BE54D"/>
    <w:rsid w:val="53EEF29A"/>
    <w:rsid w:val="578773C8"/>
    <w:rsid w:val="59732165"/>
    <w:rsid w:val="5FDDDCCC"/>
    <w:rsid w:val="5FDFE0AF"/>
    <w:rsid w:val="61FE9929"/>
    <w:rsid w:val="6711ABF7"/>
    <w:rsid w:val="6835024A"/>
    <w:rsid w:val="68AFE9E9"/>
    <w:rsid w:val="6B35BD22"/>
    <w:rsid w:val="6E91B058"/>
    <w:rsid w:val="6F1584C9"/>
    <w:rsid w:val="70BE619C"/>
    <w:rsid w:val="72715841"/>
    <w:rsid w:val="77D556F3"/>
    <w:rsid w:val="783E2F39"/>
    <w:rsid w:val="798034D7"/>
    <w:rsid w:val="7A713F4B"/>
    <w:rsid w:val="7D24E26F"/>
    <w:rsid w:val="7D4A8E0C"/>
    <w:rsid w:val="7DC24A13"/>
    <w:rsid w:val="7F48D551"/>
    <w:rsid w:val="7F568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18C2516-7AFA-4348-B6AD-8E27FDB8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6F1584C9"/>
    <w:rPr>
      <w:color w:val="0000FF"/>
      <w:u w:val="single"/>
    </w:rPr>
  </w:style>
  <w:style w:type="paragraph" w:styleId="FootnoteText">
    <w:name w:val="footnote text"/>
    <w:basedOn w:val="Normal"/>
    <w:link w:val="FootnoteTextChar"/>
    <w:uiPriority w:val="99"/>
    <w:semiHidden/>
    <w:unhideWhenUsed/>
    <w:rsid w:val="007E25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55E"/>
    <w:rPr>
      <w:sz w:val="20"/>
      <w:szCs w:val="20"/>
    </w:rPr>
  </w:style>
  <w:style w:type="character" w:styleId="FootnoteReference">
    <w:name w:val="footnote reference"/>
    <w:basedOn w:val="DefaultParagraphFont"/>
    <w:uiPriority w:val="99"/>
    <w:semiHidden/>
    <w:unhideWhenUsed/>
    <w:rsid w:val="007E255E"/>
    <w:rPr>
      <w:vertAlign w:val="superscript"/>
    </w:rPr>
  </w:style>
  <w:style w:type="character" w:customStyle="1" w:styleId="apple-converted-space">
    <w:name w:val="apple-converted-space"/>
    <w:basedOn w:val="DefaultParagraphFont"/>
    <w:rsid w:val="00D82A8E"/>
  </w:style>
  <w:style w:type="paragraph" w:styleId="EndnoteText">
    <w:name w:val="endnote text"/>
    <w:basedOn w:val="Normal"/>
    <w:link w:val="EndnoteTextChar"/>
    <w:uiPriority w:val="99"/>
    <w:semiHidden/>
    <w:unhideWhenUsed/>
    <w:rsid w:val="0019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6921"/>
    <w:rPr>
      <w:sz w:val="20"/>
      <w:szCs w:val="20"/>
    </w:rPr>
  </w:style>
  <w:style w:type="character" w:styleId="EndnoteReference">
    <w:name w:val="endnote reference"/>
    <w:basedOn w:val="DefaultParagraphFont"/>
    <w:uiPriority w:val="99"/>
    <w:semiHidden/>
    <w:unhideWhenUsed/>
    <w:rsid w:val="00196921"/>
    <w:rPr>
      <w:vertAlign w:val="superscript"/>
    </w:rPr>
  </w:style>
  <w:style w:type="character" w:styleId="UnresolvedMention">
    <w:name w:val="Unresolved Mention"/>
    <w:basedOn w:val="DefaultParagraphFont"/>
    <w:uiPriority w:val="99"/>
    <w:semiHidden/>
    <w:unhideWhenUsed/>
    <w:rsid w:val="00961433"/>
    <w:rPr>
      <w:color w:val="605E5C"/>
      <w:shd w:val="clear" w:color="auto" w:fill="E1DFDD"/>
    </w:rPr>
  </w:style>
  <w:style w:type="paragraph" w:styleId="NormalWeb">
    <w:name w:val="Normal (Web)"/>
    <w:basedOn w:val="Normal"/>
    <w:uiPriority w:val="99"/>
    <w:unhideWhenUsed/>
    <w:rsid w:val="00875F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D33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0C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535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mc/articles/PMC10863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Che23</b:Tag>
    <b:SourceType>JournalArticle</b:SourceType>
    <b:Guid>{9FFD0CE7-102F-184D-8019-1F877078B7E8}</b:Guid>
    <b:Title>Advances in understanding of the pathogenesis and therapeutic strategies of DRESS/DIHS.</b:Title>
    <b:Year>2023</b:Year>
    <b:Author>
      <b:Author>
        <b:NameList>
          <b:Person>
            <b:Last>Chen CB</b:Last>
            <b:First>Yang</b:First>
            <b:Middle>CW, Wen YH, et al. Advances in understanding of the pathogenesis and therapeutic strategies of DRESS/DIHS. Front Med. 2023</b:Middle>
          </b:Person>
          <b:Person>
            <b:Last>https://doi.org/10.3389/fmed.2023.1187937</b:Last>
            <b:First>10:1187937.</b:First>
          </b:Person>
        </b:NameList>
      </b:Author>
    </b:Author>
    <b:JournalName>Front Med.</b:JournalName>
    <b:Pages>10:11879837</b:Pages>
    <b:RefOrder>1</b:RefOrder>
  </b:Source>
</b:Sources>
</file>

<file path=customXml/itemProps1.xml><?xml version="1.0" encoding="utf-8"?>
<ds:datastoreItem xmlns:ds="http://schemas.openxmlformats.org/officeDocument/2006/customXml" ds:itemID="{BF6C8F1A-B222-41D2-B1B3-0564BAF9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2567</Words>
  <Characters>14638</Characters>
  <Application>Microsoft Office Word</Application>
  <DocSecurity>0</DocSecurity>
  <Lines>121</Lines>
  <Paragraphs>34</Paragraphs>
  <ScaleCrop>false</ScaleCrop>
  <Manager/>
  <Company/>
  <LinksUpToDate>false</LinksUpToDate>
  <CharactersWithSpaces>17171</CharactersWithSpaces>
  <SharedDoc>false</SharedDoc>
  <HyperlinkBase/>
  <HLinks>
    <vt:vector size="6" baseType="variant">
      <vt:variant>
        <vt:i4>6094878</vt:i4>
      </vt:variant>
      <vt:variant>
        <vt:i4>0</vt:i4>
      </vt:variant>
      <vt:variant>
        <vt:i4>0</vt:i4>
      </vt:variant>
      <vt:variant>
        <vt:i4>5</vt:i4>
      </vt:variant>
      <vt:variant>
        <vt:lpwstr>https://doi.org/10.1111/j.1365-2133.2007.07730.x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139</cp:revision>
  <cp:lastPrinted>2026-02-10T15:35:00Z</cp:lastPrinted>
  <dcterms:created xsi:type="dcterms:W3CDTF">2013-12-24T02:15:00Z</dcterms:created>
  <dcterms:modified xsi:type="dcterms:W3CDTF">2026-02-13T12:46:00Z</dcterms:modified>
  <cp:category/>
</cp:coreProperties>
</file>