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B11988" w:rsidRDefault="00B11988" w:rsidP="00B11988">
      <w:pPr>
        <w:pStyle w:val="Author"/>
        <w:spacing w:line="240" w:lineRule="auto"/>
        <w:jc w:val="center"/>
        <w:rPr>
          <w:rFonts w:ascii="Arial" w:hAnsi="Arial" w:cs="Arial"/>
          <w:bCs/>
          <w:iCs/>
          <w:kern w:val="28"/>
          <w:sz w:val="36"/>
        </w:rPr>
      </w:pPr>
      <w:r>
        <w:rPr>
          <w:rFonts w:ascii="Arial" w:hAnsi="Arial" w:cs="Arial"/>
          <w:bCs/>
          <w:iCs/>
          <w:kern w:val="28"/>
          <w:sz w:val="36"/>
        </w:rPr>
        <w:t>PRIM</w:t>
      </w:r>
      <w:r w:rsidR="00E37A81" w:rsidRPr="00E37A81">
        <w:rPr>
          <w:rFonts w:ascii="Arial" w:hAnsi="Arial" w:cs="Arial"/>
          <w:bCs/>
          <w:iCs/>
          <w:kern w:val="28"/>
          <w:sz w:val="36"/>
        </w:rPr>
        <w:t>A</w:t>
      </w:r>
      <w:r>
        <w:rPr>
          <w:rFonts w:ascii="Arial" w:hAnsi="Arial" w:cs="Arial"/>
          <w:bCs/>
          <w:iCs/>
          <w:kern w:val="28"/>
          <w:sz w:val="36"/>
        </w:rPr>
        <w:t>RY AMENORRHEA WITH AUTOIMMUNE THYROIDITIS IN AN ADOLESCENT FEMALE</w:t>
      </w:r>
      <w:r w:rsidR="0063114B">
        <w:rPr>
          <w:rFonts w:ascii="Arial" w:hAnsi="Arial" w:cs="Arial"/>
          <w:bCs/>
          <w:iCs/>
          <w:kern w:val="28"/>
          <w:sz w:val="36"/>
        </w:rPr>
        <w:t>:</w:t>
      </w:r>
      <w:r>
        <w:rPr>
          <w:rFonts w:ascii="Arial" w:hAnsi="Arial" w:cs="Arial"/>
          <w:bCs/>
          <w:iCs/>
          <w:kern w:val="28"/>
          <w:sz w:val="36"/>
        </w:rPr>
        <w:t xml:space="preserve"> A SUSPECTED</w:t>
      </w:r>
      <w:r w:rsidR="00E37A81" w:rsidRPr="00E37A81">
        <w:rPr>
          <w:rFonts w:ascii="Arial" w:hAnsi="Arial" w:cs="Arial"/>
          <w:bCs/>
          <w:iCs/>
          <w:kern w:val="28"/>
          <w:sz w:val="36"/>
        </w:rPr>
        <w:t xml:space="preserve"> TURNER’S SYNDROME</w:t>
      </w:r>
      <w:r>
        <w:rPr>
          <w:rFonts w:ascii="Arial" w:hAnsi="Arial" w:cs="Arial"/>
          <w:bCs/>
          <w:iCs/>
          <w:kern w:val="28"/>
          <w:sz w:val="36"/>
        </w:rPr>
        <w:t xml:space="preserve"> </w:t>
      </w:r>
    </w:p>
    <w:p w:rsidR="002C57D2" w:rsidRPr="00FB3A86" w:rsidRDefault="002C57D2" w:rsidP="00441B6F">
      <w:pPr>
        <w:pStyle w:val="Affiliation"/>
        <w:spacing w:after="0" w:line="240" w:lineRule="auto"/>
        <w:jc w:val="both"/>
        <w:rPr>
          <w:rFonts w:ascii="Arial" w:hAnsi="Arial" w:cs="Arial"/>
        </w:rPr>
      </w:pPr>
    </w:p>
    <w:p w:rsidR="00B01FCD" w:rsidRPr="00FB3A86" w:rsidRDefault="007C2BD2" w:rsidP="00441B6F">
      <w:pPr>
        <w:pStyle w:val="Copyright"/>
        <w:spacing w:after="0" w:line="240" w:lineRule="auto"/>
        <w:jc w:val="both"/>
        <w:rPr>
          <w:rFonts w:ascii="Arial" w:hAnsi="Arial" w:cs="Arial"/>
        </w:rPr>
        <w:sectPr w:rsidR="00B01FCD" w:rsidRPr="00FB3A86" w:rsidSect="00050246">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r w:rsidR="00E37A81">
        <w:rPr>
          <w:rFonts w:ascii="Arial" w:hAnsi="Arial" w:cs="Arial"/>
        </w:rPr>
        <w:t xml:space="preserve"> </w:t>
      </w:r>
    </w:p>
    <w:p w:rsidR="00E827A1" w:rsidRPr="00E827A1" w:rsidRDefault="00E827A1" w:rsidP="00E827A1">
      <w:pPr>
        <w:pStyle w:val="NormalWeb"/>
        <w:jc w:val="both"/>
        <w:rPr>
          <w:rFonts w:ascii="Arial" w:hAnsi="Arial" w:cs="Arial"/>
          <w:sz w:val="20"/>
          <w:szCs w:val="20"/>
        </w:rPr>
      </w:pPr>
      <w:r w:rsidRPr="00E827A1">
        <w:rPr>
          <w:rStyle w:val="Strong"/>
          <w:rFonts w:ascii="Arial" w:hAnsi="Arial" w:cs="Arial"/>
          <w:sz w:val="20"/>
          <w:szCs w:val="20"/>
        </w:rPr>
        <w:t>Introduction:</w:t>
      </w:r>
      <w:r w:rsidRPr="00E827A1">
        <w:rPr>
          <w:rFonts w:ascii="Arial" w:hAnsi="Arial" w:cs="Arial"/>
          <w:sz w:val="20"/>
          <w:szCs w:val="20"/>
        </w:rPr>
        <w:br/>
        <w:t>Turner syndrome is a chromosomal disorder caused by partial or complete absence of one X chromosome and is commonly associated with short stature, gonadal dysgenesis, and endocrine abnormalities. Primary amenorrhea is a frequent presenting feature in adolescent females. Individuals with Turner syndrome are also at increased risk of developing autoimmune disorders, particularly autoimmune thyroid disease. Early recognition is essential to prevent long-term complications and ensure appropriate management.</w:t>
      </w:r>
    </w:p>
    <w:p w:rsidR="00E827A1" w:rsidRPr="00E827A1" w:rsidRDefault="00E827A1" w:rsidP="00E827A1">
      <w:pPr>
        <w:pStyle w:val="NormalWeb"/>
        <w:jc w:val="both"/>
        <w:rPr>
          <w:rFonts w:ascii="Arial" w:hAnsi="Arial" w:cs="Arial"/>
          <w:sz w:val="20"/>
          <w:szCs w:val="20"/>
        </w:rPr>
      </w:pPr>
      <w:r>
        <w:rPr>
          <w:rStyle w:val="Strong"/>
          <w:rFonts w:ascii="Arial" w:hAnsi="Arial" w:cs="Arial"/>
          <w:sz w:val="20"/>
          <w:szCs w:val="20"/>
        </w:rPr>
        <w:t xml:space="preserve">Case </w:t>
      </w:r>
      <w:r w:rsidRPr="00E827A1">
        <w:rPr>
          <w:rStyle w:val="Strong"/>
          <w:rFonts w:ascii="Arial" w:hAnsi="Arial" w:cs="Arial"/>
          <w:sz w:val="20"/>
          <w:szCs w:val="20"/>
        </w:rPr>
        <w:t>Presentation:</w:t>
      </w:r>
      <w:r w:rsidRPr="00E827A1">
        <w:rPr>
          <w:rFonts w:ascii="Arial" w:hAnsi="Arial" w:cs="Arial"/>
          <w:sz w:val="20"/>
          <w:szCs w:val="20"/>
        </w:rPr>
        <w:br/>
        <w:t>A 17-year-old adolescent female presented with cough, fever, decreased appetite, and facial puffiness, along with a history of primary amenorrhea. Clinical evaluation and laboratory investigations revealed anemia, inflammatory markers elevation, gonadal hormone abnormalities, and thyroid dysfunction. Imaging studies demonstrated absence of the uterus, and ultrasonography of the neck was suggestive of Hashimoto’s thyroiditis. Based on the clinical, hormonal, and radiological findings, a diagnosis of suspected Turner syndrome was considered. Karyotyping was advised for definitive confirmation during the next follow-up visit.</w:t>
      </w:r>
    </w:p>
    <w:p w:rsidR="00E827A1" w:rsidRPr="00E827A1" w:rsidRDefault="00E827A1" w:rsidP="00E827A1">
      <w:pPr>
        <w:pStyle w:val="NormalWeb"/>
        <w:jc w:val="both"/>
        <w:rPr>
          <w:rFonts w:ascii="Arial" w:hAnsi="Arial" w:cs="Arial"/>
          <w:sz w:val="20"/>
          <w:szCs w:val="20"/>
        </w:rPr>
      </w:pPr>
      <w:r w:rsidRPr="00E827A1">
        <w:rPr>
          <w:rStyle w:val="Strong"/>
          <w:rFonts w:ascii="Arial" w:hAnsi="Arial" w:cs="Arial"/>
          <w:sz w:val="20"/>
          <w:szCs w:val="20"/>
        </w:rPr>
        <w:t>Discussion:</w:t>
      </w:r>
      <w:r w:rsidRPr="00E827A1">
        <w:rPr>
          <w:rFonts w:ascii="Arial" w:hAnsi="Arial" w:cs="Arial"/>
          <w:sz w:val="20"/>
          <w:szCs w:val="20"/>
        </w:rPr>
        <w:br/>
        <w:t>Primary amenorrhea with absent uterus and associated autoimmune thyroiditis strongly suggests Turner syndrome. Autoimmune thyroid disease is the most common autoimmune condition associated with Turner syndrome, attributed to X-chromosome haploinsufficiency and immune dysregulation. Delayed diagnosis, especially in patients lacking classic phenotypic features, is common and may lead to missed opportunities for early hormonal intervention and surveillance of comorbidities.</w:t>
      </w:r>
    </w:p>
    <w:p w:rsidR="00E827A1" w:rsidRPr="00E827A1" w:rsidRDefault="00E827A1" w:rsidP="00E827A1">
      <w:pPr>
        <w:pStyle w:val="NormalWeb"/>
        <w:jc w:val="both"/>
        <w:rPr>
          <w:rFonts w:ascii="Arial" w:hAnsi="Arial" w:cs="Arial"/>
          <w:sz w:val="20"/>
          <w:szCs w:val="20"/>
        </w:rPr>
      </w:pPr>
      <w:r w:rsidRPr="00E827A1">
        <w:rPr>
          <w:rStyle w:val="Strong"/>
          <w:rFonts w:ascii="Arial" w:hAnsi="Arial" w:cs="Arial"/>
          <w:sz w:val="20"/>
          <w:szCs w:val="20"/>
        </w:rPr>
        <w:t>Conclusion:</w:t>
      </w:r>
      <w:r w:rsidRPr="00E827A1">
        <w:rPr>
          <w:rFonts w:ascii="Arial" w:hAnsi="Arial" w:cs="Arial"/>
          <w:sz w:val="20"/>
          <w:szCs w:val="20"/>
        </w:rPr>
        <w:br/>
        <w:t>This case emphasizes the need to consider Turner syndrome in adolescent females presenting with primary amenorrhea and autoimmune thyroid disease, even in the absence of classical physical features. Early clinical suspicion, timely cytogenetic evaluation, and a multidisciplinary approach are crucial for optimal management and improved quality of life.</w:t>
      </w:r>
    </w:p>
    <w:p w:rsidR="00E827A1" w:rsidRPr="00E827A1" w:rsidRDefault="00E827A1" w:rsidP="00E827A1">
      <w:pPr>
        <w:pStyle w:val="NormalWeb"/>
        <w:rPr>
          <w:rFonts w:ascii="Arial" w:hAnsi="Arial" w:cs="Arial"/>
          <w:i/>
          <w:sz w:val="20"/>
          <w:szCs w:val="20"/>
        </w:rPr>
      </w:pPr>
      <w:proofErr w:type="spellStart"/>
      <w:proofErr w:type="gramStart"/>
      <w:r w:rsidRPr="00E827A1">
        <w:rPr>
          <w:rStyle w:val="Strong"/>
          <w:rFonts w:ascii="Arial" w:hAnsi="Arial" w:cs="Arial"/>
          <w:i/>
          <w:sz w:val="20"/>
          <w:szCs w:val="20"/>
        </w:rPr>
        <w:t>Keywords:</w:t>
      </w:r>
      <w:r w:rsidRPr="00E827A1">
        <w:rPr>
          <w:rFonts w:ascii="Arial" w:hAnsi="Arial" w:cs="Arial"/>
          <w:i/>
          <w:sz w:val="20"/>
          <w:szCs w:val="20"/>
        </w:rPr>
        <w:t>Turner</w:t>
      </w:r>
      <w:proofErr w:type="spellEnd"/>
      <w:proofErr w:type="gramEnd"/>
      <w:r w:rsidRPr="00E827A1">
        <w:rPr>
          <w:rFonts w:ascii="Arial" w:hAnsi="Arial" w:cs="Arial"/>
          <w:i/>
          <w:sz w:val="20"/>
          <w:szCs w:val="20"/>
        </w:rPr>
        <w:t xml:space="preserve"> syndrome; Primary amenorrhea; Autoimmune thyroiditis; Hashimoto’s thyroiditis; Adolescent female; Gonadal dysgenesis</w:t>
      </w:r>
    </w:p>
    <w:p w:rsidR="00E827A1" w:rsidRDefault="00E827A1" w:rsidP="00441B6F">
      <w:pPr>
        <w:pStyle w:val="AbstHead"/>
        <w:spacing w:after="0"/>
        <w:jc w:val="both"/>
        <w:rPr>
          <w:rFonts w:ascii="Arial" w:hAnsi="Arial" w:cs="Arial"/>
        </w:rPr>
      </w:pPr>
    </w:p>
    <w:p w:rsidR="00790ADA" w:rsidRDefault="00790ADA" w:rsidP="00441B6F">
      <w:pPr>
        <w:pStyle w:val="Body"/>
        <w:spacing w:after="0"/>
        <w:rPr>
          <w:rFonts w:ascii="Arial" w:hAnsi="Arial" w:cs="Arial"/>
          <w:i/>
        </w:rPr>
      </w:pPr>
    </w:p>
    <w:p w:rsidR="003C71DB" w:rsidRDefault="003C71DB"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E37A81">
        <w:rPr>
          <w:rFonts w:ascii="Arial" w:hAnsi="Arial" w:cs="Arial"/>
        </w:rPr>
        <w:t xml:space="preserve"> </w:t>
      </w:r>
    </w:p>
    <w:p w:rsidR="00E37A81" w:rsidRDefault="00E37A81" w:rsidP="00441B6F">
      <w:pPr>
        <w:pStyle w:val="Body"/>
        <w:spacing w:after="0"/>
        <w:rPr>
          <w:rFonts w:ascii="Arial" w:hAnsi="Arial" w:cs="Arial"/>
        </w:rPr>
      </w:pPr>
    </w:p>
    <w:p w:rsidR="00E37A81" w:rsidRPr="00E37A81" w:rsidRDefault="007C2BD2" w:rsidP="00E37A81">
      <w:pPr>
        <w:pStyle w:val="Body"/>
        <w:rPr>
          <w:rFonts w:ascii="Arial" w:hAnsi="Arial" w:cs="Arial"/>
        </w:rPr>
      </w:pPr>
      <w:r>
        <w:rPr>
          <w:rFonts w:ascii="Arial" w:hAnsi="Arial" w:cs="Arial"/>
        </w:rPr>
        <w:t>“</w:t>
      </w:r>
      <w:r w:rsidR="00E37A81" w:rsidRPr="00E37A81">
        <w:rPr>
          <w:rFonts w:ascii="Arial" w:hAnsi="Arial" w:cs="Arial"/>
        </w:rPr>
        <w:t xml:space="preserve">Turner syndrome is a rare condition characterized by female hypergonadotropic hypogonadism, infertility, short stature, endocrine and metabolic disorders, an increased risk of autoimmune disease, as well as other medical conditions such as </w:t>
      </w:r>
      <w:r w:rsidR="00B11988">
        <w:rPr>
          <w:rFonts w:ascii="Arial" w:hAnsi="Arial" w:cs="Arial"/>
        </w:rPr>
        <w:t>`</w:t>
      </w:r>
      <w:r w:rsidR="00E37A81" w:rsidRPr="00E37A81">
        <w:rPr>
          <w:rFonts w:ascii="Arial" w:hAnsi="Arial" w:cs="Arial"/>
        </w:rPr>
        <w:t xml:space="preserve">cardiovascular disease, The condition, which is associated with a completely or partially missing X chromosome, was first described ~100 years ago by three independent clinicians, </w:t>
      </w:r>
      <w:proofErr w:type="spellStart"/>
      <w:r w:rsidR="00E37A81" w:rsidRPr="00E37A81">
        <w:rPr>
          <w:rFonts w:ascii="Arial" w:hAnsi="Arial" w:cs="Arial"/>
        </w:rPr>
        <w:t>Seresevskij</w:t>
      </w:r>
      <w:proofErr w:type="spellEnd"/>
      <w:r w:rsidR="00E37A81" w:rsidRPr="00E37A81">
        <w:rPr>
          <w:rFonts w:ascii="Arial" w:hAnsi="Arial" w:cs="Arial"/>
        </w:rPr>
        <w:t>, Ullrich and Turner</w:t>
      </w:r>
      <w:r>
        <w:rPr>
          <w:rFonts w:ascii="Arial" w:hAnsi="Arial" w:cs="Arial"/>
        </w:rPr>
        <w:t>”</w:t>
      </w:r>
      <w:r w:rsidR="00E37A81" w:rsidRPr="00E37A81">
        <w:rPr>
          <w:rFonts w:ascii="Arial" w:hAnsi="Arial" w:cs="Arial"/>
        </w:rPr>
        <w:t>.</w:t>
      </w:r>
      <w:r w:rsidR="00E37A81" w:rsidRPr="00E37A81">
        <w:rPr>
          <w:rFonts w:ascii="Arial" w:hAnsi="Arial" w:cs="Arial"/>
          <w:vertAlign w:val="superscript"/>
        </w:rPr>
        <w:t>[1]</w:t>
      </w:r>
      <w:r w:rsidR="00E37A81" w:rsidRPr="00E37A81">
        <w:rPr>
          <w:rFonts w:ascii="Arial" w:hAnsi="Arial" w:cs="Arial"/>
        </w:rPr>
        <w:t xml:space="preserve"> </w:t>
      </w:r>
      <w:r>
        <w:rPr>
          <w:rFonts w:ascii="Arial" w:hAnsi="Arial" w:cs="Arial"/>
        </w:rPr>
        <w:t>“</w:t>
      </w:r>
      <w:r w:rsidR="00E37A81" w:rsidRPr="00E37A81">
        <w:rPr>
          <w:rFonts w:ascii="Arial" w:hAnsi="Arial" w:cs="Arial"/>
        </w:rPr>
        <w:t>TS is primarily caused by the complete or partial loss of one X chromosome, with the most common karyotype being 45</w:t>
      </w:r>
      <w:r>
        <w:rPr>
          <w:rFonts w:ascii="Arial" w:hAnsi="Arial" w:cs="Arial"/>
        </w:rPr>
        <w:t>”</w:t>
      </w:r>
      <w:r w:rsidR="00E37A81" w:rsidRPr="00E37A81">
        <w:rPr>
          <w:rFonts w:ascii="Arial" w:hAnsi="Arial" w:cs="Arial"/>
        </w:rPr>
        <w:t>.</w:t>
      </w:r>
      <w:r w:rsidR="00E37A81" w:rsidRPr="00E37A81">
        <w:rPr>
          <w:rFonts w:ascii="Arial" w:hAnsi="Arial" w:cs="Arial"/>
          <w:vertAlign w:val="superscript"/>
        </w:rPr>
        <w:t>[2]</w:t>
      </w:r>
    </w:p>
    <w:p w:rsidR="00E37A81" w:rsidRPr="00E37A81" w:rsidRDefault="00E37A81" w:rsidP="00E37A81">
      <w:pPr>
        <w:pStyle w:val="Body"/>
        <w:rPr>
          <w:rFonts w:ascii="Arial" w:hAnsi="Arial" w:cs="Arial"/>
        </w:rPr>
      </w:pPr>
    </w:p>
    <w:p w:rsidR="00E37A81" w:rsidRPr="00E37A81" w:rsidRDefault="00E37A81" w:rsidP="00E37A81">
      <w:pPr>
        <w:pStyle w:val="Body"/>
        <w:rPr>
          <w:rFonts w:ascii="Arial" w:hAnsi="Arial" w:cs="Arial"/>
          <w:b/>
        </w:rPr>
      </w:pPr>
      <w:r w:rsidRPr="00E37A81">
        <w:rPr>
          <w:rFonts w:ascii="Arial" w:hAnsi="Arial" w:cs="Arial"/>
          <w:b/>
        </w:rPr>
        <w:t>Epidemiology-</w:t>
      </w:r>
    </w:p>
    <w:p w:rsidR="00E37A81" w:rsidRPr="00E37A81" w:rsidRDefault="00E37A81" w:rsidP="00E37A81">
      <w:pPr>
        <w:pStyle w:val="Body"/>
        <w:rPr>
          <w:rFonts w:ascii="Arial" w:hAnsi="Arial" w:cs="Arial"/>
        </w:rPr>
      </w:pPr>
      <w:r w:rsidRPr="00E37A81">
        <w:rPr>
          <w:rFonts w:ascii="Arial" w:hAnsi="Arial" w:cs="Arial"/>
        </w:rPr>
        <w:t xml:space="preserve">It is the only viable monosomy syndrome in humans, with an incidence of approximately 1 in 4,000 to 1 in 2,500 live female </w:t>
      </w:r>
      <w:proofErr w:type="gramStart"/>
      <w:r w:rsidRPr="00E37A81">
        <w:rPr>
          <w:rFonts w:ascii="Arial" w:hAnsi="Arial" w:cs="Arial"/>
        </w:rPr>
        <w:t>births.</w:t>
      </w:r>
      <w:r w:rsidRPr="00E37A81">
        <w:rPr>
          <w:rFonts w:ascii="Arial" w:hAnsi="Arial" w:cs="Arial"/>
          <w:vertAlign w:val="superscript"/>
        </w:rPr>
        <w:t>[</w:t>
      </w:r>
      <w:proofErr w:type="gramEnd"/>
      <w:r w:rsidRPr="00E37A81">
        <w:rPr>
          <w:rFonts w:ascii="Arial" w:hAnsi="Arial" w:cs="Arial"/>
          <w:vertAlign w:val="superscript"/>
        </w:rPr>
        <w:t>2]</w:t>
      </w:r>
    </w:p>
    <w:p w:rsidR="00E37A81" w:rsidRPr="00E37A81" w:rsidRDefault="00E37A81" w:rsidP="00E37A81">
      <w:pPr>
        <w:pStyle w:val="Body"/>
        <w:rPr>
          <w:rFonts w:ascii="Arial" w:hAnsi="Arial" w:cs="Arial"/>
        </w:rPr>
      </w:pPr>
    </w:p>
    <w:p w:rsidR="00E37A81" w:rsidRPr="00E37A81" w:rsidRDefault="00E37A81" w:rsidP="00E37A81">
      <w:pPr>
        <w:pStyle w:val="Body"/>
        <w:rPr>
          <w:rFonts w:ascii="Arial" w:hAnsi="Arial" w:cs="Arial"/>
          <w:b/>
        </w:rPr>
      </w:pPr>
      <w:r w:rsidRPr="00E37A81">
        <w:rPr>
          <w:rFonts w:ascii="Arial" w:hAnsi="Arial" w:cs="Arial"/>
          <w:b/>
        </w:rPr>
        <w:t>Etiology–</w:t>
      </w:r>
    </w:p>
    <w:p w:rsidR="00E37A81" w:rsidRPr="00E37A81" w:rsidRDefault="00E37A81" w:rsidP="00E37A81">
      <w:pPr>
        <w:pStyle w:val="Body"/>
        <w:rPr>
          <w:rFonts w:ascii="Arial" w:hAnsi="Arial" w:cs="Arial"/>
        </w:rPr>
      </w:pPr>
      <w:r w:rsidRPr="00E37A81">
        <w:rPr>
          <w:rFonts w:ascii="Arial" w:hAnsi="Arial" w:cs="Arial"/>
        </w:rPr>
        <w:t>Turner syndrome is caused by complete or partial absence of one X chromosome in a phenotypic female, leading to abnormal growth and gonadal development.</w:t>
      </w:r>
    </w:p>
    <w:p w:rsidR="00E37A81" w:rsidRPr="00E37A81" w:rsidRDefault="00E37A81" w:rsidP="00E37A81">
      <w:pPr>
        <w:pStyle w:val="Body"/>
        <w:rPr>
          <w:rFonts w:ascii="Arial" w:hAnsi="Arial" w:cs="Arial"/>
        </w:rPr>
      </w:pPr>
      <w:r w:rsidRPr="00E37A81">
        <w:rPr>
          <w:rFonts w:ascii="Arial" w:hAnsi="Arial" w:cs="Arial"/>
        </w:rPr>
        <w:t>Main etiological factors:</w:t>
      </w:r>
    </w:p>
    <w:p w:rsidR="00E37A81" w:rsidRPr="00E37A81" w:rsidRDefault="00E37A81" w:rsidP="00E37A81">
      <w:pPr>
        <w:pStyle w:val="Body"/>
        <w:numPr>
          <w:ilvl w:val="0"/>
          <w:numId w:val="31"/>
        </w:numPr>
        <w:rPr>
          <w:rFonts w:ascii="Arial" w:hAnsi="Arial" w:cs="Arial"/>
        </w:rPr>
      </w:pPr>
      <w:r w:rsidRPr="00E37A81">
        <w:rPr>
          <w:rFonts w:ascii="Arial" w:hAnsi="Arial" w:cs="Arial"/>
        </w:rPr>
        <w:t>Chromosomal nondisjunction- During meiosis or early mitosis (sporadic, not inherited)</w:t>
      </w:r>
    </w:p>
    <w:p w:rsidR="00E37A81" w:rsidRPr="00E37A81" w:rsidRDefault="00E37A81" w:rsidP="00E37A81">
      <w:pPr>
        <w:pStyle w:val="Body"/>
        <w:numPr>
          <w:ilvl w:val="0"/>
          <w:numId w:val="31"/>
        </w:numPr>
        <w:rPr>
          <w:rFonts w:ascii="Arial" w:hAnsi="Arial" w:cs="Arial"/>
        </w:rPr>
      </w:pPr>
      <w:r>
        <w:rPr>
          <w:rFonts w:ascii="Arial" w:hAnsi="Arial" w:cs="Arial"/>
        </w:rPr>
        <w:t>Cytogenetic abnormalities- Monosomy X (</w:t>
      </w:r>
      <w:proofErr w:type="gramStart"/>
      <w:r>
        <w:rPr>
          <w:rFonts w:ascii="Arial" w:hAnsi="Arial" w:cs="Arial"/>
        </w:rPr>
        <w:t>45,X</w:t>
      </w:r>
      <w:proofErr w:type="gramEnd"/>
      <w:r>
        <w:rPr>
          <w:rFonts w:ascii="Arial" w:hAnsi="Arial" w:cs="Arial"/>
        </w:rPr>
        <w:t xml:space="preserve">) – most common, </w:t>
      </w:r>
      <w:r w:rsidRPr="00E37A81">
        <w:rPr>
          <w:rFonts w:ascii="Arial" w:hAnsi="Arial" w:cs="Arial"/>
        </w:rPr>
        <w:t>Mosaicism (</w:t>
      </w:r>
      <w:r>
        <w:rPr>
          <w:rFonts w:ascii="Arial" w:hAnsi="Arial" w:cs="Arial"/>
        </w:rPr>
        <w:t xml:space="preserve">e.g., 45,X/46,XX or 45,X/46,XY) and </w:t>
      </w:r>
      <w:r w:rsidRPr="00E37A81">
        <w:rPr>
          <w:rFonts w:ascii="Arial" w:hAnsi="Arial" w:cs="Arial"/>
        </w:rPr>
        <w:t>Structural abnormalities of the X chromosome</w:t>
      </w:r>
    </w:p>
    <w:p w:rsidR="00E37A81" w:rsidRPr="00E37A81" w:rsidRDefault="00E37A81" w:rsidP="00E37A81">
      <w:pPr>
        <w:pStyle w:val="Body"/>
        <w:numPr>
          <w:ilvl w:val="0"/>
          <w:numId w:val="31"/>
        </w:numPr>
        <w:rPr>
          <w:rFonts w:ascii="Arial" w:hAnsi="Arial" w:cs="Arial"/>
        </w:rPr>
      </w:pPr>
      <w:r>
        <w:rPr>
          <w:rFonts w:ascii="Arial" w:hAnsi="Arial" w:cs="Arial"/>
        </w:rPr>
        <w:t xml:space="preserve">Gene haploinsufficiency- </w:t>
      </w:r>
      <w:r w:rsidRPr="00E37A81">
        <w:rPr>
          <w:rFonts w:ascii="Arial" w:hAnsi="Arial" w:cs="Arial"/>
        </w:rPr>
        <w:t>Loss of g</w:t>
      </w:r>
      <w:r>
        <w:rPr>
          <w:rFonts w:ascii="Arial" w:hAnsi="Arial" w:cs="Arial"/>
        </w:rPr>
        <w:t xml:space="preserve">enes that escape X-inactivation, </w:t>
      </w:r>
      <w:r w:rsidRPr="00E37A81">
        <w:rPr>
          <w:rFonts w:ascii="Arial" w:hAnsi="Arial" w:cs="Arial"/>
        </w:rPr>
        <w:t>Especially SHOX gene (Xp22) → short stature and skeletal abnormalities</w:t>
      </w:r>
    </w:p>
    <w:p w:rsidR="00E37A81" w:rsidRPr="00E37A81" w:rsidRDefault="00E37A81" w:rsidP="00E37A81">
      <w:pPr>
        <w:pStyle w:val="Body"/>
        <w:numPr>
          <w:ilvl w:val="0"/>
          <w:numId w:val="31"/>
        </w:numPr>
        <w:rPr>
          <w:rFonts w:ascii="Arial" w:hAnsi="Arial" w:cs="Arial"/>
        </w:rPr>
      </w:pPr>
      <w:r>
        <w:rPr>
          <w:rFonts w:ascii="Arial" w:hAnsi="Arial" w:cs="Arial"/>
        </w:rPr>
        <w:t xml:space="preserve">Ovarian determinant gene loss- </w:t>
      </w:r>
      <w:r w:rsidRPr="00E37A81">
        <w:rPr>
          <w:rFonts w:ascii="Arial" w:hAnsi="Arial" w:cs="Arial"/>
        </w:rPr>
        <w:t>Deletions involving POF1 (Xq26–q28) and POF2 (Xq13.3–q21.1)</w:t>
      </w:r>
      <w:r>
        <w:rPr>
          <w:rFonts w:ascii="Arial" w:hAnsi="Arial" w:cs="Arial"/>
        </w:rPr>
        <w:t xml:space="preserve">, </w:t>
      </w:r>
      <w:r w:rsidRPr="00E37A81">
        <w:rPr>
          <w:rFonts w:ascii="Arial" w:hAnsi="Arial" w:cs="Arial"/>
        </w:rPr>
        <w:t xml:space="preserve">Disruption of genes such as FMR1 and BMP15 → leads to gonadal failure and primary amenorrhea </w:t>
      </w:r>
      <w:r w:rsidRPr="00E37A81">
        <w:rPr>
          <w:rFonts w:ascii="Arial" w:hAnsi="Arial" w:cs="Arial"/>
          <w:vertAlign w:val="superscript"/>
        </w:rPr>
        <w:t>[3]</w:t>
      </w:r>
    </w:p>
    <w:p w:rsidR="00E37A81" w:rsidRPr="00E37A81" w:rsidRDefault="00E37A81" w:rsidP="00E37A81">
      <w:pPr>
        <w:pStyle w:val="Body"/>
        <w:rPr>
          <w:rFonts w:ascii="Arial" w:hAnsi="Arial" w:cs="Arial"/>
          <w:b/>
        </w:rPr>
      </w:pPr>
    </w:p>
    <w:p w:rsidR="00E37A81" w:rsidRPr="00E37A81" w:rsidRDefault="00E37A81" w:rsidP="00E37A81">
      <w:pPr>
        <w:pStyle w:val="Body"/>
        <w:rPr>
          <w:rFonts w:ascii="Arial" w:hAnsi="Arial" w:cs="Arial"/>
          <w:b/>
          <w:vertAlign w:val="superscript"/>
        </w:rPr>
      </w:pPr>
      <w:r w:rsidRPr="00E37A81">
        <w:rPr>
          <w:rFonts w:ascii="Arial" w:hAnsi="Arial" w:cs="Arial"/>
          <w:b/>
        </w:rPr>
        <w:t>Pathophysiology</w:t>
      </w:r>
      <w:proofErr w:type="gramStart"/>
      <w:r w:rsidRPr="00E37A81">
        <w:rPr>
          <w:rFonts w:ascii="Arial" w:hAnsi="Arial" w:cs="Arial"/>
          <w:b/>
        </w:rPr>
        <w:t>–</w:t>
      </w:r>
      <w:r w:rsidRPr="00E37A81">
        <w:rPr>
          <w:rFonts w:ascii="Arial" w:hAnsi="Arial" w:cs="Arial"/>
          <w:b/>
          <w:vertAlign w:val="superscript"/>
        </w:rPr>
        <w:t>[</w:t>
      </w:r>
      <w:proofErr w:type="gramEnd"/>
      <w:r w:rsidRPr="00E37A81">
        <w:rPr>
          <w:rFonts w:ascii="Arial" w:hAnsi="Arial" w:cs="Arial"/>
          <w:b/>
          <w:vertAlign w:val="superscript"/>
        </w:rPr>
        <w:t>1]</w:t>
      </w:r>
    </w:p>
    <w:p w:rsidR="00E37A81" w:rsidRDefault="00E37A81" w:rsidP="00E37A81">
      <w:pPr>
        <w:pStyle w:val="Body"/>
        <w:jc w:val="center"/>
        <w:rPr>
          <w:rFonts w:ascii="Arial" w:hAnsi="Arial" w:cs="Arial"/>
        </w:rPr>
      </w:pPr>
      <w:r w:rsidRPr="00E37A81">
        <w:rPr>
          <w:rFonts w:ascii="Arial" w:hAnsi="Arial" w:cs="Arial"/>
          <w:noProof/>
        </w:rPr>
        <w:drawing>
          <wp:inline distT="0" distB="0" distL="0" distR="0">
            <wp:extent cx="5202517" cy="3696020"/>
            <wp:effectExtent l="19050" t="0" r="0" b="0"/>
            <wp:docPr id="3" name="Picture 1" descr="WhatsApp Image 2026-01-04 at 15.37.57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1-04 at 15.37.57 (1).jpeg"/>
                    <pic:cNvPicPr/>
                  </pic:nvPicPr>
                  <pic:blipFill>
                    <a:blip r:embed="rId12" cstate="print">
                      <a:lum/>
                    </a:blip>
                    <a:srcRect t="3918"/>
                    <a:stretch>
                      <a:fillRect/>
                    </a:stretch>
                  </pic:blipFill>
                  <pic:spPr>
                    <a:xfrm>
                      <a:off x="0" y="0"/>
                      <a:ext cx="5212080" cy="3702813"/>
                    </a:xfrm>
                    <a:prstGeom prst="rect">
                      <a:avLst/>
                    </a:prstGeom>
                  </pic:spPr>
                </pic:pic>
              </a:graphicData>
            </a:graphic>
          </wp:inline>
        </w:drawing>
      </w:r>
    </w:p>
    <w:p w:rsidR="00E37A81" w:rsidRPr="00E37A81" w:rsidRDefault="00E37A81" w:rsidP="00E37A81">
      <w:pPr>
        <w:pStyle w:val="Body"/>
        <w:jc w:val="center"/>
        <w:rPr>
          <w:rFonts w:ascii="Arial" w:hAnsi="Arial" w:cs="Arial"/>
          <w:b/>
        </w:rPr>
      </w:pPr>
      <w:r w:rsidRPr="00E37A81">
        <w:rPr>
          <w:rFonts w:ascii="Arial" w:hAnsi="Arial" w:cs="Arial"/>
          <w:b/>
        </w:rPr>
        <w:t xml:space="preserve">Fig 01 – Pathophysiology of Turner’s Syndrome </w:t>
      </w:r>
    </w:p>
    <w:p w:rsidR="00E37A81" w:rsidRPr="00E37A81" w:rsidRDefault="00E37A81" w:rsidP="00E37A81">
      <w:pPr>
        <w:pStyle w:val="Body"/>
        <w:rPr>
          <w:rFonts w:ascii="Arial" w:hAnsi="Arial" w:cs="Arial"/>
          <w:b/>
        </w:rPr>
      </w:pPr>
      <w:r w:rsidRPr="00E37A81">
        <w:rPr>
          <w:rFonts w:ascii="Arial" w:hAnsi="Arial" w:cs="Arial"/>
          <w:b/>
        </w:rPr>
        <w:lastRenderedPageBreak/>
        <w:t xml:space="preserve">Clinical </w:t>
      </w:r>
      <w:proofErr w:type="gramStart"/>
      <w:r w:rsidRPr="00E37A81">
        <w:rPr>
          <w:rFonts w:ascii="Arial" w:hAnsi="Arial" w:cs="Arial"/>
          <w:b/>
        </w:rPr>
        <w:t>manifestation</w:t>
      </w:r>
      <w:r w:rsidRPr="00E37A81">
        <w:rPr>
          <w:rFonts w:ascii="Arial" w:hAnsi="Arial" w:cs="Arial"/>
          <w:b/>
          <w:vertAlign w:val="superscript"/>
        </w:rPr>
        <w:t>[</w:t>
      </w:r>
      <w:proofErr w:type="gramEnd"/>
      <w:r w:rsidRPr="00E37A81">
        <w:rPr>
          <w:rFonts w:ascii="Arial" w:hAnsi="Arial" w:cs="Arial"/>
          <w:b/>
          <w:vertAlign w:val="superscript"/>
        </w:rPr>
        <w:t xml:space="preserve">4] </w:t>
      </w:r>
      <w:r w:rsidRPr="00E37A81">
        <w:rPr>
          <w:rFonts w:ascii="Arial" w:hAnsi="Arial" w:cs="Arial"/>
          <w:b/>
        </w:rPr>
        <w:t>–</w:t>
      </w:r>
    </w:p>
    <w:p w:rsidR="00E37A81" w:rsidRPr="00E37A81" w:rsidRDefault="003C71DB" w:rsidP="00E37A81">
      <w:pPr>
        <w:pStyle w:val="Body"/>
        <w:jc w:val="center"/>
        <w:rPr>
          <w:rFonts w:ascii="Arial" w:hAnsi="Arial" w:cs="Arial"/>
        </w:rPr>
      </w:pPr>
      <w:r>
        <w:rPr>
          <w:rFonts w:ascii="Arial" w:hAnsi="Arial" w:cs="Arial"/>
          <w:noProof/>
        </w:rPr>
        <w:t xml:space="preserve"> </w:t>
      </w:r>
      <w:r w:rsidR="00E37A81" w:rsidRPr="00E37A81">
        <w:rPr>
          <w:rFonts w:ascii="Arial" w:hAnsi="Arial" w:cs="Arial"/>
          <w:noProof/>
        </w:rPr>
        <w:drawing>
          <wp:inline distT="0" distB="0" distL="0" distR="0">
            <wp:extent cx="5479225" cy="3618297"/>
            <wp:effectExtent l="19050" t="0" r="7175" b="0"/>
            <wp:docPr id="4" name="Picture 0" descr="WhatsApp Image 2026-01-04 at 14.48.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1-04 at 14.48.10.jpeg"/>
                    <pic:cNvPicPr/>
                  </pic:nvPicPr>
                  <pic:blipFill>
                    <a:blip r:embed="rId13" cstate="print"/>
                    <a:stretch>
                      <a:fillRect/>
                    </a:stretch>
                  </pic:blipFill>
                  <pic:spPr>
                    <a:xfrm>
                      <a:off x="0" y="0"/>
                      <a:ext cx="5479225" cy="3618297"/>
                    </a:xfrm>
                    <a:prstGeom prst="rect">
                      <a:avLst/>
                    </a:prstGeom>
                  </pic:spPr>
                </pic:pic>
              </a:graphicData>
            </a:graphic>
          </wp:inline>
        </w:drawing>
      </w:r>
    </w:p>
    <w:p w:rsidR="00E37A81" w:rsidRDefault="00E37A81" w:rsidP="00E37A81">
      <w:pPr>
        <w:pStyle w:val="Body"/>
        <w:jc w:val="center"/>
        <w:rPr>
          <w:rFonts w:ascii="Arial" w:hAnsi="Arial" w:cs="Arial"/>
          <w:b/>
        </w:rPr>
      </w:pPr>
      <w:r w:rsidRPr="00E37A81">
        <w:rPr>
          <w:rFonts w:ascii="Arial" w:hAnsi="Arial" w:cs="Arial"/>
          <w:b/>
        </w:rPr>
        <w:t>Fig 02 - Clinical</w:t>
      </w:r>
      <w:r>
        <w:rPr>
          <w:rFonts w:ascii="Arial" w:hAnsi="Arial" w:cs="Arial"/>
          <w:b/>
        </w:rPr>
        <w:t xml:space="preserve"> manifestation</w:t>
      </w:r>
      <w:r w:rsidRPr="00E37A81">
        <w:rPr>
          <w:rFonts w:ascii="Arial" w:hAnsi="Arial" w:cs="Arial"/>
          <w:b/>
        </w:rPr>
        <w:t xml:space="preserve"> of Turner’s Syndrome </w:t>
      </w:r>
    </w:p>
    <w:p w:rsidR="00E37A81" w:rsidRPr="00E37A81" w:rsidRDefault="00E37A81" w:rsidP="00E37A81">
      <w:pPr>
        <w:pStyle w:val="Body"/>
        <w:jc w:val="center"/>
        <w:rPr>
          <w:rFonts w:ascii="Arial" w:hAnsi="Arial" w:cs="Arial"/>
          <w:b/>
        </w:rPr>
      </w:pPr>
    </w:p>
    <w:p w:rsidR="00E37A81" w:rsidRPr="00E37A81" w:rsidRDefault="00E37A81" w:rsidP="00E37A81">
      <w:pPr>
        <w:pStyle w:val="Body"/>
        <w:rPr>
          <w:rFonts w:ascii="Arial" w:hAnsi="Arial" w:cs="Arial"/>
          <w:b/>
        </w:rPr>
      </w:pPr>
      <w:r w:rsidRPr="00E37A81">
        <w:rPr>
          <w:rFonts w:ascii="Arial" w:hAnsi="Arial" w:cs="Arial"/>
          <w:b/>
        </w:rPr>
        <w:t>Diagnosis–</w:t>
      </w:r>
    </w:p>
    <w:p w:rsidR="00E37A81" w:rsidRPr="00E37A81" w:rsidRDefault="00E37A81" w:rsidP="00E37A81">
      <w:pPr>
        <w:pStyle w:val="Body"/>
        <w:numPr>
          <w:ilvl w:val="0"/>
          <w:numId w:val="36"/>
        </w:numPr>
        <w:rPr>
          <w:rFonts w:ascii="Arial" w:hAnsi="Arial" w:cs="Arial"/>
        </w:rPr>
      </w:pPr>
      <w:r w:rsidRPr="00E37A81">
        <w:rPr>
          <w:rFonts w:ascii="Arial" w:hAnsi="Arial" w:cs="Arial"/>
        </w:rPr>
        <w:t>Cytogenetic confirmation</w:t>
      </w:r>
      <w:r>
        <w:rPr>
          <w:rFonts w:ascii="Arial" w:hAnsi="Arial" w:cs="Arial"/>
        </w:rPr>
        <w:t xml:space="preserve">- </w:t>
      </w:r>
      <w:r w:rsidRPr="00E37A81">
        <w:rPr>
          <w:rFonts w:ascii="Arial" w:hAnsi="Arial" w:cs="Arial"/>
        </w:rPr>
        <w:t>Presence of complete or partial loss of one X chromosome</w:t>
      </w:r>
      <w:r>
        <w:rPr>
          <w:rFonts w:ascii="Arial" w:hAnsi="Arial" w:cs="Arial"/>
        </w:rPr>
        <w:t xml:space="preserve">, </w:t>
      </w:r>
      <w:r w:rsidRPr="00E37A81">
        <w:rPr>
          <w:rFonts w:ascii="Arial" w:hAnsi="Arial" w:cs="Arial"/>
        </w:rPr>
        <w:t>Confirmed by karyotype analysis</w:t>
      </w:r>
      <w:r>
        <w:rPr>
          <w:rFonts w:ascii="Arial" w:hAnsi="Arial" w:cs="Arial"/>
        </w:rPr>
        <w:t>, Common karyotypes [</w:t>
      </w:r>
      <w:proofErr w:type="gramStart"/>
      <w:r>
        <w:rPr>
          <w:rFonts w:ascii="Arial" w:hAnsi="Arial" w:cs="Arial"/>
        </w:rPr>
        <w:t>45,X</w:t>
      </w:r>
      <w:proofErr w:type="gramEnd"/>
      <w:r>
        <w:rPr>
          <w:rFonts w:ascii="Arial" w:hAnsi="Arial" w:cs="Arial"/>
        </w:rPr>
        <w:t xml:space="preserve"> (monosomy X), </w:t>
      </w:r>
      <w:r w:rsidRPr="00E37A81">
        <w:rPr>
          <w:rFonts w:ascii="Arial" w:hAnsi="Arial" w:cs="Arial"/>
        </w:rPr>
        <w:t>Mosaicism (</w:t>
      </w:r>
      <w:r>
        <w:rPr>
          <w:rFonts w:ascii="Arial" w:hAnsi="Arial" w:cs="Arial"/>
        </w:rPr>
        <w:t xml:space="preserve">e.g., 45,X/46,XX or 45,X/46,XY)and </w:t>
      </w:r>
      <w:r w:rsidRPr="00E37A81">
        <w:rPr>
          <w:rFonts w:ascii="Arial" w:hAnsi="Arial" w:cs="Arial"/>
        </w:rPr>
        <w:t xml:space="preserve">Structural abnormalities (ring X, isochromosome X, </w:t>
      </w:r>
      <w:proofErr w:type="spellStart"/>
      <w:r w:rsidRPr="00E37A81">
        <w:rPr>
          <w:rFonts w:ascii="Arial" w:hAnsi="Arial" w:cs="Arial"/>
        </w:rPr>
        <w:t>Xp</w:t>
      </w:r>
      <w:proofErr w:type="spellEnd"/>
      <w:r w:rsidRPr="00E37A81">
        <w:rPr>
          <w:rFonts w:ascii="Arial" w:hAnsi="Arial" w:cs="Arial"/>
        </w:rPr>
        <w:t xml:space="preserve"> or </w:t>
      </w:r>
      <w:proofErr w:type="spellStart"/>
      <w:r w:rsidRPr="00E37A81">
        <w:rPr>
          <w:rFonts w:ascii="Arial" w:hAnsi="Arial" w:cs="Arial"/>
        </w:rPr>
        <w:t>Xq</w:t>
      </w:r>
      <w:proofErr w:type="spellEnd"/>
      <w:r w:rsidRPr="00E37A81">
        <w:rPr>
          <w:rFonts w:ascii="Arial" w:hAnsi="Arial" w:cs="Arial"/>
        </w:rPr>
        <w:t xml:space="preserve"> deletions)</w:t>
      </w:r>
      <w:r>
        <w:rPr>
          <w:rFonts w:ascii="Arial" w:hAnsi="Arial" w:cs="Arial"/>
        </w:rPr>
        <w:t xml:space="preserve">], </w:t>
      </w:r>
      <w:r w:rsidRPr="00E37A81">
        <w:rPr>
          <w:rFonts w:ascii="Arial" w:hAnsi="Arial" w:cs="Arial"/>
        </w:rPr>
        <w:t>At least 30 metaphase cells should be analyzed</w:t>
      </w:r>
      <w:r>
        <w:rPr>
          <w:rFonts w:ascii="Arial" w:hAnsi="Arial" w:cs="Arial"/>
        </w:rPr>
        <w:t xml:space="preserve">, </w:t>
      </w:r>
      <w:r w:rsidRPr="00E37A81">
        <w:rPr>
          <w:rFonts w:ascii="Arial" w:hAnsi="Arial" w:cs="Arial"/>
        </w:rPr>
        <w:t>Buccal smear is insufficient</w:t>
      </w:r>
      <w:r>
        <w:rPr>
          <w:rFonts w:ascii="Arial" w:hAnsi="Arial" w:cs="Arial"/>
        </w:rPr>
        <w:t xml:space="preserve"> and </w:t>
      </w:r>
      <w:r w:rsidRPr="00E37A81">
        <w:rPr>
          <w:rFonts w:ascii="Arial" w:hAnsi="Arial" w:cs="Arial"/>
        </w:rPr>
        <w:t xml:space="preserve">If karyotype is normal but suspicion remains </w:t>
      </w:r>
      <w:r>
        <w:rPr>
          <w:rFonts w:ascii="Arial" w:hAnsi="Arial" w:cs="Arial"/>
        </w:rPr>
        <w:t xml:space="preserve">→ FISH for low-level mosaicism </w:t>
      </w:r>
    </w:p>
    <w:p w:rsidR="00E37A81" w:rsidRPr="00E37A81" w:rsidRDefault="00E37A81" w:rsidP="00E37A81">
      <w:pPr>
        <w:pStyle w:val="Body"/>
        <w:numPr>
          <w:ilvl w:val="0"/>
          <w:numId w:val="35"/>
        </w:numPr>
        <w:rPr>
          <w:rFonts w:ascii="Arial" w:hAnsi="Arial" w:cs="Arial"/>
        </w:rPr>
      </w:pPr>
      <w:r w:rsidRPr="00E37A81">
        <w:rPr>
          <w:rFonts w:ascii="Arial" w:hAnsi="Arial" w:cs="Arial"/>
        </w:rPr>
        <w:t>Phenotypic features consistent with Turner syndrome- Short stature</w:t>
      </w:r>
      <w:r>
        <w:rPr>
          <w:rFonts w:ascii="Arial" w:hAnsi="Arial" w:cs="Arial"/>
        </w:rPr>
        <w:t xml:space="preserve">, </w:t>
      </w:r>
      <w:r w:rsidRPr="00E37A81">
        <w:rPr>
          <w:rFonts w:ascii="Arial" w:hAnsi="Arial" w:cs="Arial"/>
        </w:rPr>
        <w:t>Gonadal dysgenesis or ovarian insufficiency</w:t>
      </w:r>
      <w:r>
        <w:rPr>
          <w:rFonts w:ascii="Arial" w:hAnsi="Arial" w:cs="Arial"/>
        </w:rPr>
        <w:t xml:space="preserve">, </w:t>
      </w:r>
      <w:r w:rsidRPr="00E37A81">
        <w:rPr>
          <w:rFonts w:ascii="Arial" w:hAnsi="Arial" w:cs="Arial"/>
        </w:rPr>
        <w:t>Female phenotype (males should never be diagnosed with TS)</w:t>
      </w:r>
      <w:r>
        <w:rPr>
          <w:rFonts w:ascii="Arial" w:hAnsi="Arial" w:cs="Arial"/>
        </w:rPr>
        <w:t xml:space="preserve">, </w:t>
      </w:r>
      <w:r w:rsidRPr="00E37A81">
        <w:rPr>
          <w:rFonts w:ascii="Arial" w:hAnsi="Arial" w:cs="Arial"/>
        </w:rPr>
        <w:t xml:space="preserve">May present </w:t>
      </w:r>
      <w:proofErr w:type="spellStart"/>
      <w:proofErr w:type="gramStart"/>
      <w:r w:rsidRPr="00E37A81">
        <w:rPr>
          <w:rFonts w:ascii="Arial" w:hAnsi="Arial" w:cs="Arial"/>
        </w:rPr>
        <w:t>as:Neonatal</w:t>
      </w:r>
      <w:proofErr w:type="spellEnd"/>
      <w:proofErr w:type="gramEnd"/>
      <w:r w:rsidRPr="00E37A81">
        <w:rPr>
          <w:rFonts w:ascii="Arial" w:hAnsi="Arial" w:cs="Arial"/>
        </w:rPr>
        <w:t xml:space="preserve"> lymphedema, webbed neck, Childhood short stature, Adolescent primary amenorrhea or pubertal delay.</w:t>
      </w:r>
    </w:p>
    <w:p w:rsidR="00E37A81" w:rsidRDefault="00E37A81" w:rsidP="00E37A81">
      <w:pPr>
        <w:pStyle w:val="Body"/>
        <w:numPr>
          <w:ilvl w:val="0"/>
          <w:numId w:val="35"/>
        </w:numPr>
        <w:rPr>
          <w:rFonts w:ascii="Arial" w:hAnsi="Arial" w:cs="Arial"/>
        </w:rPr>
      </w:pPr>
      <w:r w:rsidRPr="00E37A81">
        <w:rPr>
          <w:rFonts w:ascii="Arial" w:hAnsi="Arial" w:cs="Arial"/>
        </w:rPr>
        <w:t>Special diagnostic considerations</w:t>
      </w:r>
      <w:r>
        <w:rPr>
          <w:rFonts w:ascii="Arial" w:hAnsi="Arial" w:cs="Arial"/>
        </w:rPr>
        <w:t xml:space="preserve">- </w:t>
      </w:r>
      <w:r w:rsidRPr="00E37A81">
        <w:rPr>
          <w:rFonts w:ascii="Arial" w:hAnsi="Arial" w:cs="Arial"/>
        </w:rPr>
        <w:t>If Y chromosome material is suspected → perform FISH or DNA studies</w:t>
      </w:r>
      <w:r>
        <w:rPr>
          <w:rFonts w:ascii="Arial" w:hAnsi="Arial" w:cs="Arial"/>
        </w:rPr>
        <w:t xml:space="preserve"> and </w:t>
      </w:r>
      <w:r w:rsidRPr="00E37A81">
        <w:rPr>
          <w:rFonts w:ascii="Arial" w:hAnsi="Arial" w:cs="Arial"/>
        </w:rPr>
        <w:t xml:space="preserve">Presence of Y material carries a risk of </w:t>
      </w:r>
      <w:proofErr w:type="spellStart"/>
      <w:r w:rsidRPr="00E37A81">
        <w:rPr>
          <w:rFonts w:ascii="Arial" w:hAnsi="Arial" w:cs="Arial"/>
        </w:rPr>
        <w:t>gonadoblastoma</w:t>
      </w:r>
      <w:proofErr w:type="spellEnd"/>
      <w:r w:rsidRPr="00E37A81">
        <w:rPr>
          <w:rFonts w:ascii="Arial" w:hAnsi="Arial" w:cs="Arial"/>
        </w:rPr>
        <w:t xml:space="preserve"> (~12%), requiring prophylactic </w:t>
      </w:r>
      <w:proofErr w:type="gramStart"/>
      <w:r w:rsidRPr="00E37A81">
        <w:rPr>
          <w:rFonts w:ascii="Arial" w:hAnsi="Arial" w:cs="Arial"/>
        </w:rPr>
        <w:t>gonadectomy.</w:t>
      </w:r>
      <w:r w:rsidRPr="00E37A81">
        <w:rPr>
          <w:rFonts w:ascii="Arial" w:hAnsi="Arial" w:cs="Arial"/>
          <w:vertAlign w:val="superscript"/>
        </w:rPr>
        <w:t>[</w:t>
      </w:r>
      <w:proofErr w:type="gramEnd"/>
      <w:r w:rsidRPr="00E37A81">
        <w:rPr>
          <w:rFonts w:ascii="Arial" w:hAnsi="Arial" w:cs="Arial"/>
          <w:vertAlign w:val="superscript"/>
        </w:rPr>
        <w:t>5]</w:t>
      </w:r>
    </w:p>
    <w:p w:rsidR="00A90CE3" w:rsidRDefault="00A90CE3" w:rsidP="00A90CE3">
      <w:pPr>
        <w:pStyle w:val="Body"/>
        <w:rPr>
          <w:rFonts w:ascii="Arial" w:hAnsi="Arial" w:cs="Arial"/>
          <w:b/>
        </w:rPr>
      </w:pPr>
      <w:r w:rsidRPr="00A90CE3">
        <w:rPr>
          <w:rFonts w:ascii="Arial" w:hAnsi="Arial" w:cs="Arial"/>
          <w:b/>
        </w:rPr>
        <w:t>Complications of Turner’s syndrome</w:t>
      </w:r>
      <w:r>
        <w:rPr>
          <w:rFonts w:ascii="Arial" w:hAnsi="Arial" w:cs="Arial"/>
          <w:b/>
        </w:rPr>
        <w:t>-</w:t>
      </w:r>
    </w:p>
    <w:p w:rsidR="003C71DB" w:rsidRDefault="00A90CE3" w:rsidP="003C71DB">
      <w:pPr>
        <w:pStyle w:val="Body"/>
        <w:jc w:val="center"/>
        <w:rPr>
          <w:rFonts w:ascii="Arial" w:hAnsi="Arial" w:cs="Arial"/>
          <w:b/>
        </w:rPr>
      </w:pPr>
      <w:r>
        <w:rPr>
          <w:rFonts w:ascii="Arial" w:hAnsi="Arial" w:cs="Arial"/>
          <w:b/>
          <w:noProof/>
        </w:rPr>
        <w:drawing>
          <wp:inline distT="0" distB="0" distL="0" distR="0">
            <wp:extent cx="4622106" cy="1329337"/>
            <wp:effectExtent l="19050" t="0" r="7044" b="0"/>
            <wp:docPr id="1" name="Picture 0" descr="WhatsApp Image 2026-01-30 at 18.20.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1-30 at 18.20.37.jpeg"/>
                    <pic:cNvPicPr/>
                  </pic:nvPicPr>
                  <pic:blipFill>
                    <a:blip r:embed="rId14" cstate="print"/>
                    <a:stretch>
                      <a:fillRect/>
                    </a:stretch>
                  </pic:blipFill>
                  <pic:spPr>
                    <a:xfrm>
                      <a:off x="0" y="0"/>
                      <a:ext cx="4634665" cy="1332949"/>
                    </a:xfrm>
                    <a:prstGeom prst="rect">
                      <a:avLst/>
                    </a:prstGeom>
                  </pic:spPr>
                </pic:pic>
              </a:graphicData>
            </a:graphic>
          </wp:inline>
        </w:drawing>
      </w:r>
    </w:p>
    <w:p w:rsidR="00A90CE3" w:rsidRDefault="00A90CE3" w:rsidP="003C71DB">
      <w:pPr>
        <w:pStyle w:val="Body"/>
        <w:jc w:val="center"/>
        <w:rPr>
          <w:rFonts w:ascii="Arial" w:hAnsi="Arial" w:cs="Arial"/>
          <w:b/>
        </w:rPr>
      </w:pPr>
      <w:r>
        <w:rPr>
          <w:rFonts w:ascii="Arial" w:hAnsi="Arial" w:cs="Arial"/>
          <w:b/>
        </w:rPr>
        <w:t>Fig 03 – Complications of Turner’s syndrome</w:t>
      </w:r>
    </w:p>
    <w:p w:rsidR="003C71DB" w:rsidRDefault="00E37A81" w:rsidP="003C71DB">
      <w:pPr>
        <w:pStyle w:val="Body"/>
        <w:jc w:val="left"/>
        <w:rPr>
          <w:rFonts w:ascii="Arial" w:hAnsi="Arial" w:cs="Arial"/>
          <w:b/>
        </w:rPr>
      </w:pPr>
      <w:r w:rsidRPr="00E37A81">
        <w:rPr>
          <w:rFonts w:ascii="Arial" w:hAnsi="Arial" w:cs="Arial"/>
          <w:b/>
        </w:rPr>
        <w:lastRenderedPageBreak/>
        <w:t xml:space="preserve">Treatment– </w:t>
      </w:r>
    </w:p>
    <w:p w:rsidR="000966C6" w:rsidRPr="000966C6" w:rsidRDefault="007C2BD2" w:rsidP="000966C6">
      <w:pPr>
        <w:pStyle w:val="Body"/>
        <w:jc w:val="left"/>
        <w:rPr>
          <w:rFonts w:ascii="Arial" w:hAnsi="Arial" w:cs="Arial"/>
          <w:vertAlign w:val="superscript"/>
        </w:rPr>
      </w:pPr>
      <w:r>
        <w:rPr>
          <w:rFonts w:ascii="Arial" w:hAnsi="Arial" w:cs="Arial"/>
        </w:rPr>
        <w:t>“</w:t>
      </w:r>
      <w:r w:rsidR="003C71DB" w:rsidRPr="003C71DB">
        <w:rPr>
          <w:rFonts w:ascii="Arial" w:hAnsi="Arial" w:cs="Arial"/>
        </w:rPr>
        <w:t>Patients with TS therefore require a</w:t>
      </w:r>
      <w:r w:rsidR="003C71DB">
        <w:rPr>
          <w:rFonts w:ascii="Arial" w:hAnsi="Arial" w:cs="Arial"/>
          <w:b/>
        </w:rPr>
        <w:t xml:space="preserve"> </w:t>
      </w:r>
      <w:r w:rsidR="003C71DB" w:rsidRPr="003C71DB">
        <w:rPr>
          <w:rFonts w:ascii="Arial" w:hAnsi="Arial" w:cs="Arial"/>
        </w:rPr>
        <w:t>multidisciplinary approach with a team including endocrinologists, gynecologists,</w:t>
      </w:r>
      <w:r w:rsidR="003C71DB">
        <w:rPr>
          <w:rFonts w:ascii="Arial" w:hAnsi="Arial" w:cs="Arial"/>
          <w:b/>
        </w:rPr>
        <w:t xml:space="preserve"> </w:t>
      </w:r>
      <w:r w:rsidR="003C71DB" w:rsidRPr="003C71DB">
        <w:rPr>
          <w:rFonts w:ascii="Arial" w:hAnsi="Arial" w:cs="Arial"/>
        </w:rPr>
        <w:t>cardiologists, otolary</w:t>
      </w:r>
      <w:r w:rsidR="003C71DB">
        <w:rPr>
          <w:rFonts w:ascii="Arial" w:hAnsi="Arial" w:cs="Arial"/>
        </w:rPr>
        <w:t>ngologists and psychologists</w:t>
      </w:r>
      <w:r w:rsidR="003C71DB" w:rsidRPr="003C71DB">
        <w:rPr>
          <w:rFonts w:ascii="Arial" w:hAnsi="Arial" w:cs="Arial"/>
        </w:rPr>
        <w:t>. Almost all patients require</w:t>
      </w:r>
      <w:r w:rsidR="003C71DB">
        <w:rPr>
          <w:rFonts w:ascii="Arial" w:hAnsi="Arial" w:cs="Arial"/>
          <w:b/>
        </w:rPr>
        <w:t xml:space="preserve"> </w:t>
      </w:r>
      <w:r w:rsidR="003C71DB" w:rsidRPr="003C71DB">
        <w:rPr>
          <w:rFonts w:ascii="Arial" w:hAnsi="Arial" w:cs="Arial"/>
        </w:rPr>
        <w:t>hormonal replacement therapy (HRT) to maintain satisfactory sex development and</w:t>
      </w:r>
      <w:r w:rsidR="003C71DB">
        <w:rPr>
          <w:rFonts w:ascii="Arial" w:hAnsi="Arial" w:cs="Arial"/>
          <w:b/>
        </w:rPr>
        <w:t xml:space="preserve"> </w:t>
      </w:r>
      <w:r w:rsidR="003C71DB" w:rsidRPr="003C71DB">
        <w:rPr>
          <w:rFonts w:ascii="Arial" w:hAnsi="Arial" w:cs="Arial"/>
        </w:rPr>
        <w:t>bone healt</w:t>
      </w:r>
      <w:r w:rsidR="003C71DB">
        <w:rPr>
          <w:rFonts w:ascii="Arial" w:hAnsi="Arial" w:cs="Arial"/>
        </w:rPr>
        <w:t>h</w:t>
      </w:r>
      <w:r w:rsidR="003C71DB" w:rsidRPr="003C71DB">
        <w:rPr>
          <w:rFonts w:ascii="Arial" w:hAnsi="Arial" w:cs="Arial"/>
        </w:rPr>
        <w:t>. Key issues encountered in adulthood, such as infertility, should be</w:t>
      </w:r>
      <w:r w:rsidR="003C71DB">
        <w:rPr>
          <w:rFonts w:ascii="Arial" w:hAnsi="Arial" w:cs="Arial"/>
          <w:b/>
        </w:rPr>
        <w:t xml:space="preserve"> </w:t>
      </w:r>
      <w:r w:rsidR="003C71DB" w:rsidRPr="003C71DB">
        <w:rPr>
          <w:rFonts w:ascii="Arial" w:hAnsi="Arial" w:cs="Arial"/>
        </w:rPr>
        <w:t>taken into consideration much earlier in life, to prepare the TS patient for further</w:t>
      </w:r>
      <w:r w:rsidR="003C71DB">
        <w:rPr>
          <w:rFonts w:ascii="Arial" w:hAnsi="Arial" w:cs="Arial"/>
          <w:b/>
        </w:rPr>
        <w:t xml:space="preserve"> </w:t>
      </w:r>
      <w:r w:rsidR="003C71DB" w:rsidRPr="003C71DB">
        <w:rPr>
          <w:rFonts w:ascii="Arial" w:hAnsi="Arial" w:cs="Arial"/>
        </w:rPr>
        <w:t>consequences and consider early strategies for fertility preservation</w:t>
      </w:r>
      <w:r>
        <w:rPr>
          <w:rFonts w:ascii="Arial" w:hAnsi="Arial" w:cs="Arial"/>
        </w:rPr>
        <w:t>”</w:t>
      </w:r>
      <w:bookmarkStart w:id="0" w:name="_GoBack"/>
      <w:bookmarkEnd w:id="0"/>
      <w:r w:rsidR="003C71DB">
        <w:rPr>
          <w:rFonts w:ascii="Arial" w:hAnsi="Arial" w:cs="Arial"/>
        </w:rPr>
        <w:t>.</w:t>
      </w:r>
      <w:r w:rsidR="003C71DB" w:rsidRPr="003C71DB">
        <w:rPr>
          <w:rFonts w:ascii="Arial" w:hAnsi="Arial" w:cs="Arial"/>
          <w:vertAlign w:val="superscript"/>
        </w:rPr>
        <w:t>[</w:t>
      </w:r>
      <w:r w:rsidR="003C71DB">
        <w:rPr>
          <w:rFonts w:ascii="Arial" w:hAnsi="Arial" w:cs="Arial"/>
          <w:vertAlign w:val="superscript"/>
        </w:rPr>
        <w:t>7]</w:t>
      </w:r>
    </w:p>
    <w:p w:rsidR="000966C6" w:rsidRPr="000966C6" w:rsidRDefault="000966C6" w:rsidP="000966C6">
      <w:pPr>
        <w:pStyle w:val="Body"/>
        <w:rPr>
          <w:rFonts w:ascii="Arial" w:hAnsi="Arial" w:cs="Arial"/>
        </w:rPr>
      </w:pPr>
      <w:r w:rsidRPr="00E37A81">
        <w:rPr>
          <w:rFonts w:ascii="Arial" w:hAnsi="Arial" w:cs="Arial"/>
        </w:rPr>
        <w:t>TS is a multifaceted condition that affects multiple organ systems in females, necessitating a multidisciplinary approach to patient care</w:t>
      </w:r>
      <w:r>
        <w:rPr>
          <w:rFonts w:ascii="Arial" w:hAnsi="Arial" w:cs="Arial"/>
        </w:rPr>
        <w:t>-</w:t>
      </w:r>
    </w:p>
    <w:p w:rsidR="00E37A81" w:rsidRPr="00E37A81" w:rsidRDefault="00E37A81" w:rsidP="00E37A81">
      <w:pPr>
        <w:pStyle w:val="Body"/>
        <w:numPr>
          <w:ilvl w:val="0"/>
          <w:numId w:val="39"/>
        </w:numPr>
        <w:rPr>
          <w:rFonts w:ascii="Arial" w:hAnsi="Arial" w:cs="Arial"/>
        </w:rPr>
      </w:pPr>
      <w:r>
        <w:rPr>
          <w:rFonts w:ascii="Arial" w:hAnsi="Arial" w:cs="Arial"/>
        </w:rPr>
        <w:t xml:space="preserve">Growth Promotion- </w:t>
      </w:r>
      <w:r w:rsidRPr="00E37A81">
        <w:rPr>
          <w:rFonts w:ascii="Arial" w:hAnsi="Arial" w:cs="Arial"/>
        </w:rPr>
        <w:t xml:space="preserve">Growth Hormone (GH) therapy- Started in early childhood when growth failure is </w:t>
      </w:r>
      <w:proofErr w:type="spellStart"/>
      <w:r w:rsidRPr="00E37A81">
        <w:rPr>
          <w:rFonts w:ascii="Arial" w:hAnsi="Arial" w:cs="Arial"/>
        </w:rPr>
        <w:t>evidentand</w:t>
      </w:r>
      <w:proofErr w:type="spellEnd"/>
      <w:r w:rsidRPr="00E37A81">
        <w:rPr>
          <w:rFonts w:ascii="Arial" w:hAnsi="Arial" w:cs="Arial"/>
        </w:rPr>
        <w:t xml:space="preserve"> improves growth velocity and increases final adult height</w:t>
      </w:r>
    </w:p>
    <w:p w:rsidR="00E37A81" w:rsidRPr="00E37A81" w:rsidRDefault="00E37A81" w:rsidP="00E37A81">
      <w:pPr>
        <w:pStyle w:val="Body"/>
        <w:numPr>
          <w:ilvl w:val="0"/>
          <w:numId w:val="39"/>
        </w:numPr>
        <w:rPr>
          <w:rFonts w:ascii="Arial" w:hAnsi="Arial" w:cs="Arial"/>
        </w:rPr>
      </w:pPr>
      <w:r w:rsidRPr="00E37A81">
        <w:rPr>
          <w:rFonts w:ascii="Arial" w:hAnsi="Arial" w:cs="Arial"/>
        </w:rPr>
        <w:t>Pub</w:t>
      </w:r>
      <w:r>
        <w:rPr>
          <w:rFonts w:ascii="Arial" w:hAnsi="Arial" w:cs="Arial"/>
        </w:rPr>
        <w:t xml:space="preserve">erty Induction &amp; Maintenance- </w:t>
      </w:r>
      <w:r w:rsidRPr="00E37A81">
        <w:rPr>
          <w:rFonts w:ascii="Arial" w:hAnsi="Arial" w:cs="Arial"/>
        </w:rPr>
        <w:t>Estrogen replacement therapy- Initiated around 11–12 years of age and induces secondary sexual character</w:t>
      </w:r>
      <w:r>
        <w:rPr>
          <w:rFonts w:ascii="Arial" w:hAnsi="Arial" w:cs="Arial"/>
        </w:rPr>
        <w:t xml:space="preserve">istics and pubertal development, </w:t>
      </w:r>
      <w:r w:rsidRPr="00E37A81">
        <w:rPr>
          <w:rFonts w:ascii="Arial" w:hAnsi="Arial" w:cs="Arial"/>
        </w:rPr>
        <w:t>Progesterone- Added after estrogen-induced uterine development or onset of breakthrough bleeding and maintains regular menstrual cycles</w:t>
      </w:r>
    </w:p>
    <w:p w:rsidR="00E37A81" w:rsidRPr="00E37A81" w:rsidRDefault="00E37A81" w:rsidP="00E37A81">
      <w:pPr>
        <w:pStyle w:val="Body"/>
        <w:numPr>
          <w:ilvl w:val="0"/>
          <w:numId w:val="39"/>
        </w:numPr>
        <w:rPr>
          <w:rFonts w:ascii="Arial" w:hAnsi="Arial" w:cs="Arial"/>
        </w:rPr>
      </w:pPr>
      <w:r>
        <w:rPr>
          <w:rFonts w:ascii="Arial" w:hAnsi="Arial" w:cs="Arial"/>
        </w:rPr>
        <w:t xml:space="preserve">Gonadal &amp; Fertility Management- </w:t>
      </w:r>
      <w:r w:rsidRPr="00E37A81">
        <w:rPr>
          <w:rFonts w:ascii="Arial" w:hAnsi="Arial" w:cs="Arial"/>
        </w:rPr>
        <w:t>Mos</w:t>
      </w:r>
      <w:r>
        <w:rPr>
          <w:rFonts w:ascii="Arial" w:hAnsi="Arial" w:cs="Arial"/>
        </w:rPr>
        <w:t xml:space="preserve">t patients have ovarian failure and </w:t>
      </w:r>
      <w:r w:rsidRPr="00E37A81">
        <w:rPr>
          <w:rFonts w:ascii="Arial" w:hAnsi="Arial" w:cs="Arial"/>
        </w:rPr>
        <w:t>Fertility options</w:t>
      </w:r>
    </w:p>
    <w:p w:rsidR="00E37A81" w:rsidRPr="00E37A81" w:rsidRDefault="00E37A81" w:rsidP="00E37A81">
      <w:pPr>
        <w:pStyle w:val="Body"/>
        <w:numPr>
          <w:ilvl w:val="0"/>
          <w:numId w:val="39"/>
        </w:numPr>
        <w:rPr>
          <w:rFonts w:ascii="Arial" w:hAnsi="Arial" w:cs="Arial"/>
        </w:rPr>
      </w:pPr>
      <w:r>
        <w:rPr>
          <w:rFonts w:ascii="Arial" w:hAnsi="Arial" w:cs="Arial"/>
        </w:rPr>
        <w:t xml:space="preserve">Prevention of Osteoporosis- Adequate estrogen replacement, </w:t>
      </w:r>
      <w:r w:rsidRPr="00E37A81">
        <w:rPr>
          <w:rFonts w:ascii="Arial" w:hAnsi="Arial" w:cs="Arial"/>
        </w:rPr>
        <w:t>Calciu</w:t>
      </w:r>
      <w:r>
        <w:rPr>
          <w:rFonts w:ascii="Arial" w:hAnsi="Arial" w:cs="Arial"/>
        </w:rPr>
        <w:t xml:space="preserve">m and vitamin D supplementation and </w:t>
      </w:r>
      <w:r w:rsidRPr="00E37A81">
        <w:rPr>
          <w:rFonts w:ascii="Arial" w:hAnsi="Arial" w:cs="Arial"/>
        </w:rPr>
        <w:t>Weight-bearing exercises</w:t>
      </w:r>
    </w:p>
    <w:p w:rsidR="00E37A81" w:rsidRPr="00E37A81" w:rsidRDefault="00E37A81" w:rsidP="00E37A81">
      <w:pPr>
        <w:pStyle w:val="Body"/>
        <w:numPr>
          <w:ilvl w:val="0"/>
          <w:numId w:val="39"/>
        </w:numPr>
        <w:rPr>
          <w:rFonts w:ascii="Arial" w:hAnsi="Arial" w:cs="Arial"/>
        </w:rPr>
      </w:pPr>
      <w:r w:rsidRPr="00E37A81">
        <w:rPr>
          <w:rFonts w:ascii="Arial" w:hAnsi="Arial" w:cs="Arial"/>
        </w:rPr>
        <w:t>Mana</w:t>
      </w:r>
      <w:r>
        <w:rPr>
          <w:rFonts w:ascii="Arial" w:hAnsi="Arial" w:cs="Arial"/>
        </w:rPr>
        <w:t xml:space="preserve">gement of Associated Conditions- </w:t>
      </w:r>
      <w:r w:rsidRPr="00E37A81">
        <w:rPr>
          <w:rFonts w:ascii="Arial" w:hAnsi="Arial" w:cs="Arial"/>
        </w:rPr>
        <w:t>Cardiac anomalies</w:t>
      </w:r>
      <w:r>
        <w:rPr>
          <w:rFonts w:ascii="Arial" w:hAnsi="Arial" w:cs="Arial"/>
        </w:rPr>
        <w:t xml:space="preserve"> → regular cardiology follow-up, </w:t>
      </w:r>
      <w:r w:rsidRPr="00E37A81">
        <w:rPr>
          <w:rFonts w:ascii="Arial" w:hAnsi="Arial" w:cs="Arial"/>
        </w:rPr>
        <w:t>Ren</w:t>
      </w:r>
      <w:r>
        <w:rPr>
          <w:rFonts w:ascii="Arial" w:hAnsi="Arial" w:cs="Arial"/>
        </w:rPr>
        <w:t xml:space="preserve">al anomalies → renal evaluation, </w:t>
      </w:r>
      <w:r w:rsidRPr="00E37A81">
        <w:rPr>
          <w:rFonts w:ascii="Arial" w:hAnsi="Arial" w:cs="Arial"/>
        </w:rPr>
        <w:t>Thyroid disord</w:t>
      </w:r>
      <w:r>
        <w:rPr>
          <w:rFonts w:ascii="Arial" w:hAnsi="Arial" w:cs="Arial"/>
        </w:rPr>
        <w:t xml:space="preserve">ers → regular thyroid screening, </w:t>
      </w:r>
      <w:r w:rsidRPr="00E37A81">
        <w:rPr>
          <w:rFonts w:ascii="Arial" w:hAnsi="Arial" w:cs="Arial"/>
        </w:rPr>
        <w:t>Hearing and vision</w:t>
      </w:r>
      <w:r>
        <w:rPr>
          <w:rFonts w:ascii="Arial" w:hAnsi="Arial" w:cs="Arial"/>
        </w:rPr>
        <w:t xml:space="preserve"> problems → periodic assessment and </w:t>
      </w:r>
      <w:r w:rsidRPr="00E37A81">
        <w:rPr>
          <w:rFonts w:ascii="Arial" w:hAnsi="Arial" w:cs="Arial"/>
        </w:rPr>
        <w:t>Metabolic issues (obesity, diabetes, hypertension) → lifestyle modification and medical management</w:t>
      </w:r>
    </w:p>
    <w:p w:rsidR="003C71DB" w:rsidRPr="003C71DB" w:rsidRDefault="00E37A81" w:rsidP="003C71DB">
      <w:pPr>
        <w:pStyle w:val="Body"/>
        <w:numPr>
          <w:ilvl w:val="0"/>
          <w:numId w:val="39"/>
        </w:numPr>
        <w:rPr>
          <w:rFonts w:ascii="Arial" w:hAnsi="Arial" w:cs="Arial"/>
        </w:rPr>
      </w:pPr>
      <w:r>
        <w:rPr>
          <w:rFonts w:ascii="Arial" w:hAnsi="Arial" w:cs="Arial"/>
        </w:rPr>
        <w:t xml:space="preserve">Psychosocial Support- </w:t>
      </w:r>
      <w:r w:rsidRPr="00E37A81">
        <w:rPr>
          <w:rFonts w:ascii="Arial" w:hAnsi="Arial" w:cs="Arial"/>
        </w:rPr>
        <w:t>Educat</w:t>
      </w:r>
      <w:r>
        <w:rPr>
          <w:rFonts w:ascii="Arial" w:hAnsi="Arial" w:cs="Arial"/>
        </w:rPr>
        <w:t xml:space="preserve">ional and psychological support and </w:t>
      </w:r>
      <w:r w:rsidRPr="00E37A81">
        <w:rPr>
          <w:rFonts w:ascii="Arial" w:hAnsi="Arial" w:cs="Arial"/>
        </w:rPr>
        <w:t xml:space="preserve">Counseling for self-esteem, social skills, and transition to adult care </w:t>
      </w:r>
      <w:r w:rsidR="003C71DB">
        <w:rPr>
          <w:rFonts w:ascii="Arial" w:hAnsi="Arial" w:cs="Arial"/>
          <w:vertAlign w:val="superscript"/>
        </w:rPr>
        <w:t>[8</w:t>
      </w:r>
      <w:r w:rsidRPr="00E37A81">
        <w:rPr>
          <w:rFonts w:ascii="Arial" w:hAnsi="Arial" w:cs="Arial"/>
          <w:vertAlign w:val="superscript"/>
        </w:rPr>
        <w:t>]</w:t>
      </w:r>
    </w:p>
    <w:p w:rsidR="003C71DB" w:rsidRPr="003C71DB" w:rsidRDefault="003C71DB" w:rsidP="003C71DB">
      <w:pPr>
        <w:pStyle w:val="Body"/>
        <w:rPr>
          <w:rFonts w:ascii="Arial" w:hAnsi="Arial" w:cs="Arial"/>
        </w:rPr>
      </w:pPr>
      <w:r w:rsidRPr="003C71DB">
        <w:rPr>
          <w:rFonts w:ascii="Arial" w:hAnsi="Arial" w:cs="Arial"/>
          <w:b/>
          <w:bCs/>
        </w:rPr>
        <w:t>Clinical practice guidelines for turner’s syndrome.</w:t>
      </w:r>
    </w:p>
    <w:p w:rsidR="003C71DB" w:rsidRPr="003C71DB" w:rsidRDefault="003C71DB" w:rsidP="003C71DB">
      <w:pPr>
        <w:numPr>
          <w:ilvl w:val="0"/>
          <w:numId w:val="45"/>
        </w:numPr>
        <w:spacing w:before="100" w:beforeAutospacing="1" w:after="100" w:afterAutospacing="1"/>
        <w:rPr>
          <w:rFonts w:ascii="Arial" w:hAnsi="Arial" w:cs="Arial"/>
        </w:rPr>
      </w:pPr>
      <w:r w:rsidRPr="003C71DB">
        <w:rPr>
          <w:rFonts w:ascii="Arial" w:hAnsi="Arial" w:cs="Arial"/>
          <w:b/>
          <w:bCs/>
        </w:rPr>
        <w:t>Diagnosis &amp; genetics:</w:t>
      </w:r>
      <w:r w:rsidRPr="003C71DB">
        <w:rPr>
          <w:rFonts w:ascii="Arial" w:hAnsi="Arial" w:cs="Arial"/>
        </w:rPr>
        <w:br/>
        <w:t>Diagnose Turner syndrome (TS) in phenotypic females with complete or partial absence of one X chromosome and typical clinical features. Test females with suggestive signs. Perform gonadectomy if Y-chromosome material is present.</w:t>
      </w:r>
    </w:p>
    <w:p w:rsidR="003C71DB" w:rsidRPr="003C71DB" w:rsidRDefault="003C71DB" w:rsidP="003C71DB">
      <w:pPr>
        <w:numPr>
          <w:ilvl w:val="0"/>
          <w:numId w:val="45"/>
        </w:numPr>
        <w:spacing w:before="100" w:beforeAutospacing="1" w:after="100" w:afterAutospacing="1"/>
        <w:rPr>
          <w:rFonts w:ascii="Arial" w:hAnsi="Arial" w:cs="Arial"/>
        </w:rPr>
      </w:pPr>
      <w:r w:rsidRPr="003C71DB">
        <w:rPr>
          <w:rFonts w:ascii="Arial" w:hAnsi="Arial" w:cs="Arial"/>
          <w:b/>
          <w:bCs/>
        </w:rPr>
        <w:t>Growth &amp; puberty:</w:t>
      </w:r>
      <w:r w:rsidRPr="003C71DB">
        <w:rPr>
          <w:rFonts w:ascii="Arial" w:hAnsi="Arial" w:cs="Arial"/>
        </w:rPr>
        <w:br/>
        <w:t>Start growth hormone (GH) early (ideally 4–6 years). Use standard GH dosing, adjust by growth response and IGF-I. Begin estrogen replacement at 11–12 years, increase gradually; add progesterone after breakthrough bleeding or 2 years of estrogen.</w:t>
      </w:r>
    </w:p>
    <w:p w:rsidR="003C71DB" w:rsidRPr="003C71DB" w:rsidRDefault="003C71DB" w:rsidP="003C71DB">
      <w:pPr>
        <w:numPr>
          <w:ilvl w:val="0"/>
          <w:numId w:val="45"/>
        </w:numPr>
        <w:spacing w:before="100" w:beforeAutospacing="1" w:after="100" w:afterAutospacing="1"/>
        <w:rPr>
          <w:rFonts w:ascii="Arial" w:hAnsi="Arial" w:cs="Arial"/>
        </w:rPr>
      </w:pPr>
      <w:r w:rsidRPr="003C71DB">
        <w:rPr>
          <w:rFonts w:ascii="Arial" w:hAnsi="Arial" w:cs="Arial"/>
          <w:b/>
          <w:bCs/>
        </w:rPr>
        <w:t>Fertility &amp; pregnancy:</w:t>
      </w:r>
      <w:r w:rsidRPr="003C71DB">
        <w:rPr>
          <w:rFonts w:ascii="Arial" w:hAnsi="Arial" w:cs="Arial"/>
        </w:rPr>
        <w:br/>
        <w:t>Counsel early about reduced fertility. Consider fertility preservation in selected patients. Pregnancy requires strict cardiovascular screening and multidisciplinary care; avoid pregnancy in women with high aortic risk.</w:t>
      </w:r>
    </w:p>
    <w:p w:rsidR="003C71DB" w:rsidRPr="003C71DB" w:rsidRDefault="003C71DB" w:rsidP="003C71DB">
      <w:pPr>
        <w:numPr>
          <w:ilvl w:val="0"/>
          <w:numId w:val="45"/>
        </w:numPr>
        <w:spacing w:before="100" w:beforeAutospacing="1" w:after="100" w:afterAutospacing="1"/>
        <w:rPr>
          <w:rFonts w:ascii="Arial" w:hAnsi="Arial" w:cs="Arial"/>
        </w:rPr>
      </w:pPr>
      <w:r w:rsidRPr="003C71DB">
        <w:rPr>
          <w:rFonts w:ascii="Arial" w:hAnsi="Arial" w:cs="Arial"/>
          <w:b/>
          <w:bCs/>
        </w:rPr>
        <w:t>Cardiovascular health:</w:t>
      </w:r>
      <w:r w:rsidRPr="003C71DB">
        <w:rPr>
          <w:rFonts w:ascii="Arial" w:hAnsi="Arial" w:cs="Arial"/>
        </w:rPr>
        <w:br/>
        <w:t>Perform cardiac imaging (TTE/CMR) at diagnosis and periodically thereafter. Monitor aortic size lifelong. Manage hypertension aggressively and restrict high-risk sports in those with aortic dilatation.</w:t>
      </w:r>
    </w:p>
    <w:p w:rsidR="003C71DB" w:rsidRPr="003C71DB" w:rsidRDefault="003C71DB" w:rsidP="003C71DB">
      <w:pPr>
        <w:numPr>
          <w:ilvl w:val="0"/>
          <w:numId w:val="45"/>
        </w:numPr>
        <w:spacing w:before="100" w:beforeAutospacing="1" w:after="100" w:afterAutospacing="1"/>
        <w:rPr>
          <w:rFonts w:ascii="Arial" w:hAnsi="Arial" w:cs="Arial"/>
        </w:rPr>
      </w:pPr>
      <w:r w:rsidRPr="003C71DB">
        <w:rPr>
          <w:rFonts w:ascii="Arial" w:hAnsi="Arial" w:cs="Arial"/>
          <w:b/>
          <w:bCs/>
        </w:rPr>
        <w:t>Transition to adult care:</w:t>
      </w:r>
      <w:r w:rsidRPr="003C71DB">
        <w:rPr>
          <w:rFonts w:ascii="Arial" w:hAnsi="Arial" w:cs="Arial"/>
        </w:rPr>
        <w:br/>
        <w:t>Use a planned, staged transition from pediatric to adult services beginning in adolescence, with coordinated pediatric–adult teams.</w:t>
      </w:r>
    </w:p>
    <w:p w:rsidR="003C71DB" w:rsidRPr="003C71DB" w:rsidRDefault="003C71DB" w:rsidP="003C71DB">
      <w:pPr>
        <w:numPr>
          <w:ilvl w:val="0"/>
          <w:numId w:val="45"/>
        </w:numPr>
        <w:spacing w:before="100" w:beforeAutospacing="1" w:after="100" w:afterAutospacing="1"/>
        <w:rPr>
          <w:rFonts w:ascii="Arial" w:hAnsi="Arial" w:cs="Arial"/>
        </w:rPr>
      </w:pPr>
      <w:r w:rsidRPr="003C71DB">
        <w:rPr>
          <w:rFonts w:ascii="Arial" w:hAnsi="Arial" w:cs="Arial"/>
          <w:b/>
          <w:bCs/>
        </w:rPr>
        <w:t>Lifelong surveillance:</w:t>
      </w:r>
      <w:r w:rsidRPr="003C71DB">
        <w:rPr>
          <w:rFonts w:ascii="Arial" w:hAnsi="Arial" w:cs="Arial"/>
        </w:rPr>
        <w:br/>
        <w:t>Regular monitoring for hearing loss, thyroid disease, diabetes, dyslipidemia, liver and renal disease, bone health, celiac disease, and psychosocial issues. Care should be delivered through specialist multidisciplinary clinics.</w:t>
      </w:r>
    </w:p>
    <w:p w:rsidR="00A90CE3" w:rsidRPr="003C71DB" w:rsidRDefault="003C71DB" w:rsidP="00A90CE3">
      <w:pPr>
        <w:numPr>
          <w:ilvl w:val="0"/>
          <w:numId w:val="45"/>
        </w:numPr>
        <w:spacing w:before="100" w:beforeAutospacing="1" w:after="100" w:afterAutospacing="1"/>
        <w:rPr>
          <w:rFonts w:ascii="Arial" w:hAnsi="Arial" w:cs="Arial"/>
        </w:rPr>
      </w:pPr>
      <w:r w:rsidRPr="003C71DB">
        <w:rPr>
          <w:rFonts w:ascii="Arial" w:hAnsi="Arial" w:cs="Arial"/>
          <w:b/>
          <w:bCs/>
        </w:rPr>
        <w:t>Neurocognitive &amp; psychosocial care:</w:t>
      </w:r>
      <w:r w:rsidRPr="003C71DB">
        <w:rPr>
          <w:rFonts w:ascii="Arial" w:hAnsi="Arial" w:cs="Arial"/>
        </w:rPr>
        <w:br/>
        <w:t>Integrate psychological assessment and support, ensure educational/vocational accommodations, and support h</w:t>
      </w:r>
      <w:r>
        <w:rPr>
          <w:rFonts w:ascii="Arial" w:hAnsi="Arial" w:cs="Arial"/>
        </w:rPr>
        <w:t xml:space="preserve">ealthy psychosocial </w:t>
      </w:r>
      <w:proofErr w:type="gramStart"/>
      <w:r>
        <w:rPr>
          <w:rFonts w:ascii="Arial" w:hAnsi="Arial" w:cs="Arial"/>
        </w:rPr>
        <w:t>development</w:t>
      </w:r>
      <w:r w:rsidRPr="003C71DB">
        <w:rPr>
          <w:rFonts w:ascii="Arial" w:hAnsi="Arial" w:cs="Arial"/>
          <w:vertAlign w:val="superscript"/>
        </w:rPr>
        <w:t>[</w:t>
      </w:r>
      <w:proofErr w:type="gramEnd"/>
      <w:r w:rsidRPr="003C71DB">
        <w:rPr>
          <w:rFonts w:ascii="Arial" w:hAnsi="Arial" w:cs="Arial"/>
          <w:vertAlign w:val="superscript"/>
        </w:rPr>
        <w:t>9]</w:t>
      </w:r>
    </w:p>
    <w:p w:rsidR="00790ADA" w:rsidRPr="003C71DB" w:rsidRDefault="00790ADA" w:rsidP="00441B6F">
      <w:pPr>
        <w:pStyle w:val="Body"/>
        <w:spacing w:after="0"/>
        <w:rPr>
          <w:rFonts w:ascii="Arial" w:hAnsi="Arial" w:cs="Arial"/>
        </w:rPr>
      </w:pPr>
    </w:p>
    <w:p w:rsidR="00790ADA" w:rsidRPr="00FB3A86" w:rsidRDefault="00902823" w:rsidP="00441B6F">
      <w:pPr>
        <w:pStyle w:val="AbstHead"/>
        <w:spacing w:after="0"/>
        <w:jc w:val="both"/>
        <w:rPr>
          <w:rFonts w:ascii="Arial" w:hAnsi="Arial" w:cs="Arial"/>
        </w:rPr>
      </w:pPr>
      <w:r>
        <w:rPr>
          <w:rFonts w:ascii="Arial" w:hAnsi="Arial" w:cs="Arial"/>
        </w:rPr>
        <w:lastRenderedPageBreak/>
        <w:t>2.</w:t>
      </w:r>
      <w:r w:rsidR="00E37A81" w:rsidRPr="00E37A81">
        <w:t xml:space="preserve"> </w:t>
      </w:r>
      <w:r w:rsidR="00E37A81">
        <w:rPr>
          <w:rFonts w:ascii="Arial" w:hAnsi="Arial" w:cs="Arial"/>
        </w:rPr>
        <w:t>CASE PRESENTATION-</w:t>
      </w:r>
    </w:p>
    <w:p w:rsidR="00E37A81" w:rsidRPr="00E37A81" w:rsidRDefault="00E37A81" w:rsidP="00E37A81">
      <w:pPr>
        <w:pStyle w:val="Body"/>
        <w:rPr>
          <w:rFonts w:ascii="Arial" w:eastAsia="Calibri" w:hAnsi="Arial" w:cs="Arial"/>
          <w:szCs w:val="22"/>
        </w:rPr>
      </w:pPr>
      <w:r w:rsidRPr="00E37A81">
        <w:rPr>
          <w:rFonts w:ascii="Arial" w:eastAsia="Calibri" w:hAnsi="Arial" w:cs="Arial"/>
          <w:szCs w:val="22"/>
        </w:rPr>
        <w:t xml:space="preserve">A 17-year-old female patient was admitted to </w:t>
      </w:r>
      <w:proofErr w:type="spellStart"/>
      <w:r w:rsidRPr="00E37A81">
        <w:rPr>
          <w:rFonts w:ascii="Arial" w:eastAsia="Calibri" w:hAnsi="Arial" w:cs="Arial"/>
          <w:szCs w:val="22"/>
        </w:rPr>
        <w:t>vijayanagara</w:t>
      </w:r>
      <w:proofErr w:type="spellEnd"/>
      <w:r w:rsidRPr="00E37A81">
        <w:rPr>
          <w:rFonts w:ascii="Arial" w:eastAsia="Calibri" w:hAnsi="Arial" w:cs="Arial"/>
          <w:szCs w:val="22"/>
        </w:rPr>
        <w:t xml:space="preserve"> institute of medical science (VIMS), </w:t>
      </w:r>
      <w:proofErr w:type="spellStart"/>
      <w:r w:rsidRPr="00E37A81">
        <w:rPr>
          <w:rFonts w:ascii="Arial" w:eastAsia="Calibri" w:hAnsi="Arial" w:cs="Arial"/>
          <w:szCs w:val="22"/>
        </w:rPr>
        <w:t>Ballari</w:t>
      </w:r>
      <w:proofErr w:type="spellEnd"/>
      <w:r w:rsidRPr="00E37A81">
        <w:rPr>
          <w:rFonts w:ascii="Arial" w:eastAsia="Calibri" w:hAnsi="Arial" w:cs="Arial"/>
          <w:szCs w:val="22"/>
        </w:rPr>
        <w:t xml:space="preserve"> (Karnataka) with chief complaints of cough with expectoration </w:t>
      </w:r>
      <w:proofErr w:type="gramStart"/>
      <w:r w:rsidRPr="00E37A81">
        <w:rPr>
          <w:rFonts w:ascii="Arial" w:eastAsia="Calibri" w:hAnsi="Arial" w:cs="Arial"/>
          <w:szCs w:val="22"/>
        </w:rPr>
        <w:t>since</w:t>
      </w:r>
      <w:proofErr w:type="gramEnd"/>
      <w:r w:rsidRPr="00E37A81">
        <w:rPr>
          <w:rFonts w:ascii="Arial" w:eastAsia="Calibri" w:hAnsi="Arial" w:cs="Arial"/>
          <w:szCs w:val="22"/>
        </w:rPr>
        <w:t xml:space="preserve"> 15 days, fever since 15 days – mild to moderate grade and raise of temperature in the evening, decreased appetite since 15 days and facial puffiness since 5 days. </w:t>
      </w:r>
    </w:p>
    <w:p w:rsidR="00E37A81" w:rsidRPr="00E37A81" w:rsidRDefault="00E37A81" w:rsidP="00E37A81">
      <w:pPr>
        <w:pStyle w:val="Body"/>
        <w:rPr>
          <w:rFonts w:ascii="Arial" w:eastAsia="Calibri" w:hAnsi="Arial" w:cs="Arial"/>
          <w:szCs w:val="22"/>
        </w:rPr>
      </w:pPr>
      <w:r>
        <w:rPr>
          <w:rFonts w:ascii="Arial" w:eastAsia="Calibri" w:hAnsi="Arial" w:cs="Arial"/>
          <w:szCs w:val="22"/>
        </w:rPr>
        <w:t>Social history</w:t>
      </w:r>
      <w:r w:rsidRPr="00E37A81">
        <w:rPr>
          <w:rFonts w:ascii="Arial" w:eastAsia="Calibri" w:hAnsi="Arial" w:cs="Arial"/>
          <w:szCs w:val="22"/>
        </w:rPr>
        <w:t xml:space="preserve"> – No habits.</w:t>
      </w:r>
    </w:p>
    <w:p w:rsidR="00E37A81" w:rsidRPr="00E37A81" w:rsidRDefault="00E37A81" w:rsidP="00E37A81">
      <w:pPr>
        <w:pStyle w:val="Body"/>
        <w:rPr>
          <w:rFonts w:ascii="Arial" w:eastAsia="Calibri" w:hAnsi="Arial" w:cs="Arial"/>
          <w:szCs w:val="22"/>
        </w:rPr>
      </w:pPr>
      <w:r>
        <w:rPr>
          <w:rFonts w:ascii="Arial" w:eastAsia="Calibri" w:hAnsi="Arial" w:cs="Arial"/>
          <w:szCs w:val="22"/>
        </w:rPr>
        <w:t>Past history</w:t>
      </w:r>
      <w:r w:rsidRPr="00E37A81">
        <w:rPr>
          <w:rFonts w:ascii="Arial" w:eastAsia="Calibri" w:hAnsi="Arial" w:cs="Arial"/>
          <w:szCs w:val="22"/>
        </w:rPr>
        <w:t xml:space="preserve"> – H/O Primary Amenorrhea</w:t>
      </w:r>
      <w:r>
        <w:rPr>
          <w:rFonts w:ascii="Arial" w:eastAsia="Calibri" w:hAnsi="Arial" w:cs="Arial"/>
          <w:szCs w:val="22"/>
        </w:rPr>
        <w:t xml:space="preserve"> </w:t>
      </w:r>
      <w:proofErr w:type="gramStart"/>
      <w:r>
        <w:rPr>
          <w:rFonts w:ascii="Arial" w:eastAsia="Calibri" w:hAnsi="Arial" w:cs="Arial"/>
          <w:szCs w:val="22"/>
        </w:rPr>
        <w:t xml:space="preserve">and  </w:t>
      </w:r>
      <w:r w:rsidRPr="00E37A81">
        <w:rPr>
          <w:rFonts w:ascii="Arial" w:eastAsia="Calibri" w:hAnsi="Arial" w:cs="Arial"/>
          <w:szCs w:val="22"/>
        </w:rPr>
        <w:t>K</w:t>
      </w:r>
      <w:proofErr w:type="gramEnd"/>
      <w:r w:rsidRPr="00E37A81">
        <w:rPr>
          <w:rFonts w:ascii="Arial" w:eastAsia="Calibri" w:hAnsi="Arial" w:cs="Arial"/>
          <w:szCs w:val="22"/>
        </w:rPr>
        <w:t>/C/O Admission for similar complaints 1 year back.</w:t>
      </w:r>
    </w:p>
    <w:p w:rsidR="00E37A81" w:rsidRDefault="00E37A81" w:rsidP="00E37A81">
      <w:pPr>
        <w:pStyle w:val="Body"/>
        <w:spacing w:after="0"/>
        <w:rPr>
          <w:rFonts w:ascii="Arial" w:eastAsia="Calibri" w:hAnsi="Arial" w:cs="Arial"/>
          <w:szCs w:val="22"/>
        </w:rPr>
      </w:pPr>
      <w:proofErr w:type="gramStart"/>
      <w:r>
        <w:rPr>
          <w:rFonts w:ascii="Arial" w:eastAsia="Calibri" w:hAnsi="Arial" w:cs="Arial"/>
          <w:szCs w:val="22"/>
        </w:rPr>
        <w:t>Family  history</w:t>
      </w:r>
      <w:proofErr w:type="gramEnd"/>
      <w:r w:rsidRPr="00E37A81">
        <w:rPr>
          <w:rFonts w:ascii="Arial" w:eastAsia="Calibri" w:hAnsi="Arial" w:cs="Arial"/>
          <w:szCs w:val="22"/>
        </w:rPr>
        <w:t xml:space="preserve"> – Nothing significant.</w:t>
      </w:r>
    </w:p>
    <w:p w:rsidR="00E37A81" w:rsidRPr="00E37A81" w:rsidRDefault="00E37A81" w:rsidP="00E37A81">
      <w:pPr>
        <w:pStyle w:val="Body"/>
        <w:rPr>
          <w:rFonts w:ascii="Arial" w:eastAsia="Calibri" w:hAnsi="Arial" w:cs="Arial"/>
          <w:szCs w:val="22"/>
        </w:rPr>
      </w:pPr>
      <w:r w:rsidRPr="00E37A81">
        <w:rPr>
          <w:rFonts w:ascii="Arial" w:eastAsia="Calibri" w:hAnsi="Arial" w:cs="Arial"/>
          <w:szCs w:val="22"/>
        </w:rPr>
        <w:t>On Examination -</w:t>
      </w:r>
    </w:p>
    <w:p w:rsidR="00E37A81" w:rsidRDefault="00E37A81" w:rsidP="00E37A81">
      <w:pPr>
        <w:pStyle w:val="Body"/>
        <w:spacing w:after="0"/>
        <w:rPr>
          <w:rFonts w:ascii="Arial" w:eastAsia="Calibri" w:hAnsi="Arial" w:cs="Arial"/>
          <w:szCs w:val="22"/>
        </w:rPr>
      </w:pPr>
      <w:r w:rsidRPr="00E37A81">
        <w:rPr>
          <w:rFonts w:ascii="Arial" w:eastAsia="Calibri" w:hAnsi="Arial" w:cs="Arial"/>
          <w:szCs w:val="22"/>
        </w:rPr>
        <w:t>The patient’s blood pressure was recorded at 90/60</w:t>
      </w:r>
      <w:r>
        <w:rPr>
          <w:rFonts w:ascii="Arial" w:eastAsia="Calibri" w:hAnsi="Arial" w:cs="Arial"/>
          <w:szCs w:val="22"/>
        </w:rPr>
        <w:t xml:space="preserve"> mmHg, and the pulse rate was 130</w:t>
      </w:r>
      <w:r w:rsidRPr="00E37A81">
        <w:rPr>
          <w:rFonts w:ascii="Arial" w:eastAsia="Calibri" w:hAnsi="Arial" w:cs="Arial"/>
          <w:szCs w:val="22"/>
        </w:rPr>
        <w:t xml:space="preserve"> beats per </w:t>
      </w:r>
      <w:r>
        <w:rPr>
          <w:rFonts w:ascii="Arial" w:eastAsia="Calibri" w:hAnsi="Arial" w:cs="Arial"/>
          <w:szCs w:val="22"/>
        </w:rPr>
        <w:t>minute. Oxygen saturation was 90</w:t>
      </w:r>
      <w:r w:rsidRPr="00E37A81">
        <w:rPr>
          <w:rFonts w:ascii="Arial" w:eastAsia="Calibri" w:hAnsi="Arial" w:cs="Arial"/>
          <w:szCs w:val="22"/>
        </w:rPr>
        <w:t>% on room air. The r</w:t>
      </w:r>
      <w:r>
        <w:rPr>
          <w:rFonts w:ascii="Arial" w:eastAsia="Calibri" w:hAnsi="Arial" w:cs="Arial"/>
          <w:szCs w:val="22"/>
        </w:rPr>
        <w:t>andom blood glucose level was 118</w:t>
      </w:r>
      <w:r w:rsidRPr="00E37A81">
        <w:rPr>
          <w:rFonts w:ascii="Arial" w:eastAsia="Calibri" w:hAnsi="Arial" w:cs="Arial"/>
          <w:szCs w:val="22"/>
        </w:rPr>
        <w:t xml:space="preserve"> mg/dL. The patient was conscious and oriented. On respiratory examination, bilateral normal vesicular breath sounds were present. Cardiovascular examination revealed normal S1 and S2 heart sounds. Per abdominal examination showed a soft and non-tender abdomen.</w:t>
      </w:r>
    </w:p>
    <w:p w:rsidR="00E37A81" w:rsidRDefault="00E37A81" w:rsidP="00E37A81">
      <w:pPr>
        <w:pStyle w:val="Body"/>
        <w:rPr>
          <w:rFonts w:ascii="Arial" w:hAnsi="Arial" w:cs="Arial"/>
          <w:b/>
        </w:rPr>
      </w:pPr>
    </w:p>
    <w:p w:rsidR="00E37A81" w:rsidRPr="00BE7EDE" w:rsidRDefault="00E37A81" w:rsidP="00E37A81">
      <w:pPr>
        <w:pStyle w:val="Body"/>
        <w:rPr>
          <w:rFonts w:ascii="Arial" w:hAnsi="Arial" w:cs="Arial"/>
          <w:b/>
        </w:rPr>
      </w:pPr>
    </w:p>
    <w:tbl>
      <w:tblPr>
        <w:tblStyle w:val="TableGrid"/>
        <w:tblW w:w="10349"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4"/>
        <w:gridCol w:w="1301"/>
        <w:gridCol w:w="1333"/>
        <w:gridCol w:w="1301"/>
        <w:gridCol w:w="3200"/>
      </w:tblGrid>
      <w:tr w:rsidR="00E37A81" w:rsidTr="00E37A81">
        <w:tc>
          <w:tcPr>
            <w:tcW w:w="3214" w:type="dxa"/>
            <w:tcBorders>
              <w:bottom w:val="single" w:sz="4" w:space="0" w:color="auto"/>
            </w:tcBorders>
          </w:tcPr>
          <w:p w:rsidR="00E37A81" w:rsidRPr="00E37A81" w:rsidRDefault="00E37A81" w:rsidP="00465D6B">
            <w:pPr>
              <w:pStyle w:val="NormalWeb"/>
              <w:spacing w:line="360" w:lineRule="auto"/>
              <w:jc w:val="both"/>
              <w:rPr>
                <w:rFonts w:ascii="Arial" w:eastAsiaTheme="minorHAnsi" w:hAnsi="Arial" w:cs="Arial"/>
                <w:b/>
                <w:color w:val="000000" w:themeColor="text1"/>
                <w:sz w:val="20"/>
                <w:szCs w:val="20"/>
                <w:lang w:val="en-GB"/>
              </w:rPr>
            </w:pPr>
            <w:r w:rsidRPr="00E37A81">
              <w:rPr>
                <w:rFonts w:ascii="Arial" w:eastAsiaTheme="minorHAnsi" w:hAnsi="Arial" w:cs="Arial"/>
                <w:b/>
                <w:color w:val="000000" w:themeColor="text1"/>
                <w:sz w:val="20"/>
                <w:szCs w:val="20"/>
                <w:lang w:val="en-GB"/>
              </w:rPr>
              <w:t>PARAMETERS</w:t>
            </w:r>
          </w:p>
        </w:tc>
        <w:tc>
          <w:tcPr>
            <w:tcW w:w="1301" w:type="dxa"/>
            <w:tcBorders>
              <w:bottom w:val="single" w:sz="4" w:space="0" w:color="auto"/>
            </w:tcBorders>
          </w:tcPr>
          <w:p w:rsidR="00E37A81" w:rsidRPr="00E37A81" w:rsidRDefault="00E37A81" w:rsidP="00465D6B">
            <w:pPr>
              <w:pStyle w:val="NormalWeb"/>
              <w:spacing w:line="360" w:lineRule="auto"/>
              <w:jc w:val="both"/>
              <w:rPr>
                <w:rFonts w:ascii="Arial" w:eastAsiaTheme="minorHAnsi" w:hAnsi="Arial" w:cs="Arial"/>
                <w:b/>
                <w:color w:val="000000" w:themeColor="text1"/>
                <w:sz w:val="20"/>
                <w:szCs w:val="20"/>
                <w:lang w:val="en-GB"/>
              </w:rPr>
            </w:pPr>
            <w:r w:rsidRPr="00E37A81">
              <w:rPr>
                <w:rFonts w:ascii="Arial" w:eastAsiaTheme="minorHAnsi" w:hAnsi="Arial" w:cs="Arial"/>
                <w:b/>
                <w:color w:val="000000" w:themeColor="text1"/>
                <w:sz w:val="20"/>
                <w:szCs w:val="20"/>
                <w:lang w:val="en-GB"/>
              </w:rPr>
              <w:t>RESULT (23-12-25)</w:t>
            </w:r>
          </w:p>
        </w:tc>
        <w:tc>
          <w:tcPr>
            <w:tcW w:w="1333" w:type="dxa"/>
            <w:tcBorders>
              <w:bottom w:val="single" w:sz="4" w:space="0" w:color="auto"/>
            </w:tcBorders>
          </w:tcPr>
          <w:p w:rsidR="00E37A81" w:rsidRPr="00E37A81" w:rsidRDefault="00E37A81" w:rsidP="00465D6B">
            <w:pPr>
              <w:pStyle w:val="NormalWeb"/>
              <w:spacing w:line="360" w:lineRule="auto"/>
              <w:jc w:val="both"/>
              <w:rPr>
                <w:rFonts w:ascii="Arial" w:eastAsiaTheme="minorHAnsi" w:hAnsi="Arial" w:cs="Arial"/>
                <w:b/>
                <w:color w:val="000000" w:themeColor="text1"/>
                <w:sz w:val="20"/>
                <w:szCs w:val="20"/>
                <w:lang w:val="en-GB"/>
              </w:rPr>
            </w:pPr>
            <w:r w:rsidRPr="00E37A81">
              <w:rPr>
                <w:rFonts w:ascii="Arial" w:eastAsiaTheme="minorHAnsi" w:hAnsi="Arial" w:cs="Arial"/>
                <w:b/>
                <w:color w:val="000000" w:themeColor="text1"/>
                <w:sz w:val="20"/>
                <w:szCs w:val="20"/>
                <w:lang w:val="en-GB"/>
              </w:rPr>
              <w:t>RESULT (24-12-25)</w:t>
            </w:r>
          </w:p>
        </w:tc>
        <w:tc>
          <w:tcPr>
            <w:tcW w:w="1301" w:type="dxa"/>
            <w:tcBorders>
              <w:bottom w:val="single" w:sz="4" w:space="0" w:color="auto"/>
            </w:tcBorders>
          </w:tcPr>
          <w:p w:rsidR="00E37A81" w:rsidRPr="00E37A81" w:rsidRDefault="00E37A81" w:rsidP="00465D6B">
            <w:pPr>
              <w:pStyle w:val="NormalWeb"/>
              <w:spacing w:line="360" w:lineRule="auto"/>
              <w:jc w:val="both"/>
              <w:rPr>
                <w:rFonts w:ascii="Arial" w:eastAsiaTheme="minorHAnsi" w:hAnsi="Arial" w:cs="Arial"/>
                <w:b/>
                <w:color w:val="000000" w:themeColor="text1"/>
                <w:sz w:val="20"/>
                <w:szCs w:val="20"/>
                <w:lang w:val="en-GB"/>
              </w:rPr>
            </w:pPr>
            <w:r w:rsidRPr="00E37A81">
              <w:rPr>
                <w:rFonts w:ascii="Arial" w:eastAsiaTheme="minorHAnsi" w:hAnsi="Arial" w:cs="Arial"/>
                <w:b/>
                <w:color w:val="000000" w:themeColor="text1"/>
                <w:sz w:val="20"/>
                <w:szCs w:val="20"/>
                <w:lang w:val="en-GB"/>
              </w:rPr>
              <w:t>RESULT (25-12-25)</w:t>
            </w:r>
          </w:p>
        </w:tc>
        <w:tc>
          <w:tcPr>
            <w:tcW w:w="3200" w:type="dxa"/>
            <w:tcBorders>
              <w:bottom w:val="single" w:sz="4" w:space="0" w:color="auto"/>
            </w:tcBorders>
          </w:tcPr>
          <w:p w:rsidR="00E37A81" w:rsidRPr="00E37A81" w:rsidRDefault="00E37A81" w:rsidP="00465D6B">
            <w:pPr>
              <w:pStyle w:val="NormalWeb"/>
              <w:spacing w:line="360" w:lineRule="auto"/>
              <w:jc w:val="both"/>
              <w:rPr>
                <w:rFonts w:ascii="Arial" w:eastAsiaTheme="minorHAnsi" w:hAnsi="Arial" w:cs="Arial"/>
                <w:b/>
                <w:color w:val="000000" w:themeColor="text1"/>
                <w:sz w:val="20"/>
                <w:szCs w:val="20"/>
                <w:lang w:val="en-GB"/>
              </w:rPr>
            </w:pPr>
            <w:r w:rsidRPr="00E37A81">
              <w:rPr>
                <w:rFonts w:ascii="Arial" w:eastAsiaTheme="minorHAnsi" w:hAnsi="Arial" w:cs="Arial"/>
                <w:b/>
                <w:color w:val="000000" w:themeColor="text1"/>
                <w:sz w:val="20"/>
                <w:szCs w:val="20"/>
                <w:lang w:val="en-GB"/>
              </w:rPr>
              <w:t>REFERENCE RANGE</w:t>
            </w:r>
          </w:p>
        </w:tc>
      </w:tr>
      <w:tr w:rsidR="00E37A81" w:rsidTr="00E37A81">
        <w:tc>
          <w:tcPr>
            <w:tcW w:w="3214" w:type="dxa"/>
            <w:tcBorders>
              <w:top w:val="single" w:sz="4" w:space="0" w:color="auto"/>
            </w:tcBorders>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Haemoglobin</w:t>
            </w:r>
          </w:p>
        </w:tc>
        <w:tc>
          <w:tcPr>
            <w:tcW w:w="1301" w:type="dxa"/>
            <w:tcBorders>
              <w:top w:val="single" w:sz="4" w:space="0" w:color="auto"/>
            </w:tcBorders>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7.8</w:t>
            </w:r>
          </w:p>
        </w:tc>
        <w:tc>
          <w:tcPr>
            <w:tcW w:w="1333" w:type="dxa"/>
            <w:tcBorders>
              <w:top w:val="single" w:sz="4" w:space="0" w:color="auto"/>
            </w:tcBorders>
          </w:tcPr>
          <w:p w:rsidR="00E37A81" w:rsidRPr="00E37A81" w:rsidRDefault="00E37A81" w:rsidP="00E37A81">
            <w:pPr>
              <w:pStyle w:val="NormalWeb"/>
              <w:spacing w:line="360" w:lineRule="auto"/>
              <w:jc w:val="both"/>
              <w:rPr>
                <w:rFonts w:ascii="Arial" w:eastAsiaTheme="minorHAnsi" w:hAnsi="Arial" w:cs="Arial"/>
                <w:color w:val="000000" w:themeColor="text1"/>
                <w:sz w:val="20"/>
                <w:szCs w:val="20"/>
                <w:lang w:val="en-GB"/>
              </w:rPr>
            </w:pPr>
          </w:p>
        </w:tc>
        <w:tc>
          <w:tcPr>
            <w:tcW w:w="1301" w:type="dxa"/>
            <w:tcBorders>
              <w:top w:val="single" w:sz="4" w:space="0" w:color="auto"/>
            </w:tcBorders>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3200" w:type="dxa"/>
            <w:tcBorders>
              <w:top w:val="single" w:sz="4" w:space="0" w:color="auto"/>
            </w:tcBorders>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13-18gm/dl</w:t>
            </w:r>
          </w:p>
        </w:tc>
      </w:tr>
      <w:tr w:rsidR="00E37A81" w:rsidTr="00E37A81">
        <w:tc>
          <w:tcPr>
            <w:tcW w:w="3214"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WBC</w:t>
            </w: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11410</w:t>
            </w:r>
          </w:p>
        </w:tc>
        <w:tc>
          <w:tcPr>
            <w:tcW w:w="1333"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3200"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4000-11000 cells/</w:t>
            </w:r>
            <w:proofErr w:type="spellStart"/>
            <w:r w:rsidRPr="00E37A81">
              <w:rPr>
                <w:rFonts w:ascii="Arial" w:eastAsiaTheme="minorHAnsi" w:hAnsi="Arial" w:cs="Arial"/>
                <w:color w:val="000000" w:themeColor="text1"/>
                <w:sz w:val="20"/>
                <w:szCs w:val="20"/>
                <w:lang w:val="en-GB"/>
              </w:rPr>
              <w:t>cumm</w:t>
            </w:r>
            <w:proofErr w:type="spellEnd"/>
          </w:p>
        </w:tc>
      </w:tr>
      <w:tr w:rsidR="00E37A81" w:rsidTr="00E37A81">
        <w:tc>
          <w:tcPr>
            <w:tcW w:w="3214"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Platelet</w:t>
            </w: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5.39</w:t>
            </w:r>
          </w:p>
        </w:tc>
        <w:tc>
          <w:tcPr>
            <w:tcW w:w="1333"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3200"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1.5-4.5 lacs/</w:t>
            </w:r>
            <w:proofErr w:type="spellStart"/>
            <w:r w:rsidRPr="00E37A81">
              <w:rPr>
                <w:rFonts w:ascii="Arial" w:eastAsiaTheme="minorHAnsi" w:hAnsi="Arial" w:cs="Arial"/>
                <w:color w:val="000000" w:themeColor="text1"/>
                <w:sz w:val="20"/>
                <w:szCs w:val="20"/>
                <w:lang w:val="en-GB"/>
              </w:rPr>
              <w:t>cumm</w:t>
            </w:r>
            <w:proofErr w:type="spellEnd"/>
          </w:p>
        </w:tc>
      </w:tr>
      <w:tr w:rsidR="00E37A81" w:rsidTr="00E37A81">
        <w:tc>
          <w:tcPr>
            <w:tcW w:w="3214"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Blood Urea</w:t>
            </w: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20</w:t>
            </w:r>
          </w:p>
        </w:tc>
        <w:tc>
          <w:tcPr>
            <w:tcW w:w="1333"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3200"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15-45mg/dl</w:t>
            </w:r>
          </w:p>
        </w:tc>
      </w:tr>
      <w:tr w:rsidR="00E37A81" w:rsidTr="00E37A81">
        <w:tc>
          <w:tcPr>
            <w:tcW w:w="3214"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Serum creatinine</w:t>
            </w: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0.7</w:t>
            </w:r>
          </w:p>
        </w:tc>
        <w:tc>
          <w:tcPr>
            <w:tcW w:w="1333"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3200"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0.7-1.4mg/dl</w:t>
            </w:r>
          </w:p>
        </w:tc>
      </w:tr>
      <w:tr w:rsidR="00E37A81" w:rsidTr="00E37A81">
        <w:tc>
          <w:tcPr>
            <w:tcW w:w="3214" w:type="dxa"/>
            <w:tcBorders>
              <w:top w:val="nil"/>
            </w:tcBorders>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Total bilirubin</w:t>
            </w:r>
          </w:p>
        </w:tc>
        <w:tc>
          <w:tcPr>
            <w:tcW w:w="1301" w:type="dxa"/>
            <w:tcBorders>
              <w:top w:val="nil"/>
            </w:tcBorders>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2634" w:type="dxa"/>
            <w:gridSpan w:val="2"/>
            <w:tcBorders>
              <w:top w:val="nil"/>
            </w:tcBorders>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0.6</w:t>
            </w:r>
          </w:p>
        </w:tc>
        <w:tc>
          <w:tcPr>
            <w:tcW w:w="3200" w:type="dxa"/>
            <w:tcBorders>
              <w:top w:val="nil"/>
            </w:tcBorders>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0.1-1 mg/dl</w:t>
            </w:r>
          </w:p>
        </w:tc>
      </w:tr>
      <w:tr w:rsidR="00E37A81" w:rsidTr="00E37A81">
        <w:tc>
          <w:tcPr>
            <w:tcW w:w="3214" w:type="dxa"/>
          </w:tcPr>
          <w:p w:rsidR="00E37A81" w:rsidRPr="00E37A81" w:rsidRDefault="00E37A81" w:rsidP="00465D6B">
            <w:pPr>
              <w:pStyle w:val="NormalWeb"/>
              <w:tabs>
                <w:tab w:val="right" w:pos="2304"/>
              </w:tabs>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SGPT/ALT</w:t>
            </w: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1333"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17</w:t>
            </w: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3200"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0-35 U/L</w:t>
            </w:r>
          </w:p>
        </w:tc>
      </w:tr>
      <w:tr w:rsidR="00E37A81" w:rsidTr="00E37A81">
        <w:tc>
          <w:tcPr>
            <w:tcW w:w="3214" w:type="dxa"/>
            <w:tcBorders>
              <w:top w:val="nil"/>
            </w:tcBorders>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SGOT/AST</w:t>
            </w:r>
          </w:p>
        </w:tc>
        <w:tc>
          <w:tcPr>
            <w:tcW w:w="1301" w:type="dxa"/>
            <w:tcBorders>
              <w:top w:val="nil"/>
            </w:tcBorders>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1333" w:type="dxa"/>
            <w:tcBorders>
              <w:top w:val="nil"/>
            </w:tcBorders>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27</w:t>
            </w:r>
          </w:p>
        </w:tc>
        <w:tc>
          <w:tcPr>
            <w:tcW w:w="1301" w:type="dxa"/>
            <w:tcBorders>
              <w:top w:val="nil"/>
            </w:tcBorders>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3200" w:type="dxa"/>
            <w:tcBorders>
              <w:top w:val="nil"/>
            </w:tcBorders>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0-35 U/L</w:t>
            </w:r>
          </w:p>
        </w:tc>
      </w:tr>
      <w:tr w:rsidR="00E37A81" w:rsidTr="00E37A81">
        <w:tc>
          <w:tcPr>
            <w:tcW w:w="3214"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Alkaline Phosphatase (ALP)</w:t>
            </w: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1333"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233</w:t>
            </w: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3200"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30-120 U/L</w:t>
            </w:r>
          </w:p>
        </w:tc>
      </w:tr>
      <w:tr w:rsidR="00E37A81" w:rsidTr="00E37A81">
        <w:tc>
          <w:tcPr>
            <w:tcW w:w="3214"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Total protein</w:t>
            </w: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1333"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7.1</w:t>
            </w: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3200"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6-8.3 g/dl</w:t>
            </w:r>
          </w:p>
        </w:tc>
      </w:tr>
      <w:tr w:rsidR="00E37A81" w:rsidTr="00E37A81">
        <w:tc>
          <w:tcPr>
            <w:tcW w:w="3214"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Albumin</w:t>
            </w: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1333"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3.5</w:t>
            </w: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3200"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3.2-5.4 g/dl</w:t>
            </w:r>
          </w:p>
        </w:tc>
      </w:tr>
      <w:tr w:rsidR="00E37A81" w:rsidTr="00E37A81">
        <w:tc>
          <w:tcPr>
            <w:tcW w:w="3214"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CRP</w:t>
            </w: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76.4</w:t>
            </w:r>
          </w:p>
        </w:tc>
        <w:tc>
          <w:tcPr>
            <w:tcW w:w="1333"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3200"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0-6 mg/dl</w:t>
            </w:r>
          </w:p>
        </w:tc>
      </w:tr>
      <w:tr w:rsidR="00E37A81" w:rsidTr="00E37A81">
        <w:tc>
          <w:tcPr>
            <w:tcW w:w="3214"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roofErr w:type="gramStart"/>
            <w:r w:rsidRPr="00E37A81">
              <w:rPr>
                <w:rFonts w:ascii="Arial" w:eastAsiaTheme="minorHAnsi" w:hAnsi="Arial" w:cs="Arial"/>
                <w:color w:val="000000" w:themeColor="text1"/>
                <w:sz w:val="20"/>
                <w:szCs w:val="20"/>
                <w:lang w:val="en-GB"/>
              </w:rPr>
              <w:t>FSH  (</w:t>
            </w:r>
            <w:proofErr w:type="gramEnd"/>
            <w:r w:rsidRPr="00E37A81">
              <w:rPr>
                <w:rFonts w:ascii="Arial" w:eastAsiaTheme="minorHAnsi" w:hAnsi="Arial" w:cs="Arial"/>
                <w:color w:val="000000" w:themeColor="text1"/>
                <w:sz w:val="20"/>
                <w:szCs w:val="20"/>
                <w:lang w:val="en-GB"/>
              </w:rPr>
              <w:t>Follicle Stimulating Hormone)</w:t>
            </w: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1333"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1.99</w:t>
            </w:r>
          </w:p>
        </w:tc>
        <w:tc>
          <w:tcPr>
            <w:tcW w:w="3200"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4-10 IU/mL</w:t>
            </w:r>
          </w:p>
        </w:tc>
      </w:tr>
      <w:tr w:rsidR="00E37A81" w:rsidTr="00E37A81">
        <w:tc>
          <w:tcPr>
            <w:tcW w:w="3214"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LH (Luteinizing Hormone)</w:t>
            </w: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1333"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0.43</w:t>
            </w:r>
          </w:p>
        </w:tc>
        <w:tc>
          <w:tcPr>
            <w:tcW w:w="3200"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2-12 IU/mL</w:t>
            </w:r>
          </w:p>
        </w:tc>
      </w:tr>
      <w:tr w:rsidR="00E37A81" w:rsidTr="00E37A81">
        <w:tc>
          <w:tcPr>
            <w:tcW w:w="3214"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Cortisol</w:t>
            </w: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1333"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25.1</w:t>
            </w:r>
          </w:p>
        </w:tc>
        <w:tc>
          <w:tcPr>
            <w:tcW w:w="3200"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5-25 microgram/dl</w:t>
            </w:r>
          </w:p>
        </w:tc>
      </w:tr>
      <w:tr w:rsidR="00E37A81" w:rsidTr="00E37A81">
        <w:tc>
          <w:tcPr>
            <w:tcW w:w="3214"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vertAlign w:val="subscript"/>
                <w:lang w:val="en-GB"/>
              </w:rPr>
            </w:pPr>
            <w:r w:rsidRPr="00E37A81">
              <w:rPr>
                <w:rFonts w:ascii="Arial" w:eastAsiaTheme="minorHAnsi" w:hAnsi="Arial" w:cs="Arial"/>
                <w:color w:val="000000" w:themeColor="text1"/>
                <w:sz w:val="20"/>
                <w:szCs w:val="20"/>
                <w:lang w:val="en-GB"/>
              </w:rPr>
              <w:t>FT</w:t>
            </w:r>
            <w:r w:rsidRPr="00E37A81">
              <w:rPr>
                <w:rFonts w:ascii="Arial" w:eastAsiaTheme="minorHAnsi" w:hAnsi="Arial" w:cs="Arial"/>
                <w:color w:val="000000" w:themeColor="text1"/>
                <w:sz w:val="20"/>
                <w:szCs w:val="20"/>
                <w:vertAlign w:val="subscript"/>
                <w:lang w:val="en-GB"/>
              </w:rPr>
              <w:t>3</w:t>
            </w: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1333"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2.28</w:t>
            </w:r>
          </w:p>
        </w:tc>
        <w:tc>
          <w:tcPr>
            <w:tcW w:w="3200"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 xml:space="preserve">2.0-4.4 </w:t>
            </w:r>
            <w:proofErr w:type="spellStart"/>
            <w:r w:rsidRPr="00E37A81">
              <w:rPr>
                <w:rFonts w:ascii="Arial" w:eastAsiaTheme="minorHAnsi" w:hAnsi="Arial" w:cs="Arial"/>
                <w:color w:val="000000" w:themeColor="text1"/>
                <w:sz w:val="20"/>
                <w:szCs w:val="20"/>
                <w:lang w:val="en-GB"/>
              </w:rPr>
              <w:t>pg</w:t>
            </w:r>
            <w:proofErr w:type="spellEnd"/>
            <w:r w:rsidRPr="00E37A81">
              <w:rPr>
                <w:rFonts w:ascii="Arial" w:eastAsiaTheme="minorHAnsi" w:hAnsi="Arial" w:cs="Arial"/>
                <w:color w:val="000000" w:themeColor="text1"/>
                <w:sz w:val="20"/>
                <w:szCs w:val="20"/>
                <w:lang w:val="en-GB"/>
              </w:rPr>
              <w:t>/ml</w:t>
            </w:r>
          </w:p>
        </w:tc>
      </w:tr>
      <w:tr w:rsidR="00E37A81" w:rsidTr="00E37A81">
        <w:tc>
          <w:tcPr>
            <w:tcW w:w="3214"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TSH</w:t>
            </w: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1333"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1.81</w:t>
            </w:r>
          </w:p>
        </w:tc>
        <w:tc>
          <w:tcPr>
            <w:tcW w:w="3200"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 xml:space="preserve">0.4-4.0 </w:t>
            </w:r>
            <w:proofErr w:type="spellStart"/>
            <w:r w:rsidRPr="00E37A81">
              <w:rPr>
                <w:rFonts w:ascii="Arial" w:eastAsiaTheme="minorHAnsi" w:hAnsi="Arial" w:cs="Arial"/>
                <w:color w:val="000000" w:themeColor="text1"/>
                <w:sz w:val="20"/>
                <w:szCs w:val="20"/>
                <w:lang w:val="en-GB"/>
              </w:rPr>
              <w:t>mIU</w:t>
            </w:r>
            <w:proofErr w:type="spellEnd"/>
            <w:r w:rsidRPr="00E37A81">
              <w:rPr>
                <w:rFonts w:ascii="Arial" w:eastAsiaTheme="minorHAnsi" w:hAnsi="Arial" w:cs="Arial"/>
                <w:color w:val="000000" w:themeColor="text1"/>
                <w:sz w:val="20"/>
                <w:szCs w:val="20"/>
                <w:lang w:val="en-GB"/>
              </w:rPr>
              <w:t>/L</w:t>
            </w:r>
          </w:p>
        </w:tc>
      </w:tr>
      <w:tr w:rsidR="00E37A81" w:rsidTr="00E37A81">
        <w:tc>
          <w:tcPr>
            <w:tcW w:w="3214"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vertAlign w:val="subscript"/>
                <w:lang w:val="en-GB"/>
              </w:rPr>
            </w:pPr>
            <w:r w:rsidRPr="00E37A81">
              <w:rPr>
                <w:rFonts w:ascii="Arial" w:eastAsiaTheme="minorHAnsi" w:hAnsi="Arial" w:cs="Arial"/>
                <w:color w:val="000000" w:themeColor="text1"/>
                <w:sz w:val="20"/>
                <w:szCs w:val="20"/>
                <w:lang w:val="en-GB"/>
              </w:rPr>
              <w:t>FT</w:t>
            </w:r>
            <w:r w:rsidRPr="00E37A81">
              <w:rPr>
                <w:rFonts w:ascii="Arial" w:eastAsiaTheme="minorHAnsi" w:hAnsi="Arial" w:cs="Arial"/>
                <w:color w:val="000000" w:themeColor="text1"/>
                <w:sz w:val="20"/>
                <w:szCs w:val="20"/>
                <w:vertAlign w:val="subscript"/>
                <w:lang w:val="en-GB"/>
              </w:rPr>
              <w:t>4</w:t>
            </w: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1333"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0.67</w:t>
            </w:r>
          </w:p>
        </w:tc>
        <w:tc>
          <w:tcPr>
            <w:tcW w:w="3200"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0.8-1.8 ng/dl</w:t>
            </w:r>
          </w:p>
        </w:tc>
      </w:tr>
      <w:tr w:rsidR="00E37A81" w:rsidTr="00E37A81">
        <w:tc>
          <w:tcPr>
            <w:tcW w:w="3214"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 xml:space="preserve">Urine albumin </w:t>
            </w: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Traces</w:t>
            </w:r>
          </w:p>
        </w:tc>
        <w:tc>
          <w:tcPr>
            <w:tcW w:w="1333"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3200"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r>
      <w:tr w:rsidR="00E37A81" w:rsidTr="00E37A81">
        <w:tc>
          <w:tcPr>
            <w:tcW w:w="3214"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Urine microscopy</w:t>
            </w: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1-2 pus cells</w:t>
            </w:r>
          </w:p>
        </w:tc>
        <w:tc>
          <w:tcPr>
            <w:tcW w:w="1333"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3200"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r>
      <w:tr w:rsidR="00E37A81" w:rsidTr="00E37A81">
        <w:tc>
          <w:tcPr>
            <w:tcW w:w="3214"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 xml:space="preserve">LDH </w:t>
            </w: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680</w:t>
            </w:r>
          </w:p>
        </w:tc>
        <w:tc>
          <w:tcPr>
            <w:tcW w:w="1333"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3200"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140-280 U/L</w:t>
            </w:r>
          </w:p>
        </w:tc>
      </w:tr>
      <w:tr w:rsidR="00E37A81" w:rsidTr="00E37A81">
        <w:tc>
          <w:tcPr>
            <w:tcW w:w="3214"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Serum folic acid</w:t>
            </w: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8.46</w:t>
            </w:r>
          </w:p>
        </w:tc>
        <w:tc>
          <w:tcPr>
            <w:tcW w:w="1333"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3200"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2.5-20 ng/ml</w:t>
            </w:r>
          </w:p>
        </w:tc>
      </w:tr>
      <w:tr w:rsidR="00E37A81" w:rsidTr="00E37A81">
        <w:tc>
          <w:tcPr>
            <w:tcW w:w="3214"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lastRenderedPageBreak/>
              <w:t>Serum ferritin</w:t>
            </w: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2455</w:t>
            </w:r>
          </w:p>
        </w:tc>
        <w:tc>
          <w:tcPr>
            <w:tcW w:w="1333"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1301"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3200" w:type="dxa"/>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11-307 ng/ml</w:t>
            </w:r>
          </w:p>
        </w:tc>
      </w:tr>
      <w:tr w:rsidR="00E37A81" w:rsidTr="00E37A81">
        <w:tc>
          <w:tcPr>
            <w:tcW w:w="3214" w:type="dxa"/>
            <w:tcBorders>
              <w:bottom w:val="single" w:sz="4" w:space="0" w:color="auto"/>
            </w:tcBorders>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Vitamin B</w:t>
            </w:r>
            <w:r w:rsidRPr="00E37A81">
              <w:rPr>
                <w:rFonts w:ascii="Arial" w:eastAsiaTheme="minorHAnsi" w:hAnsi="Arial" w:cs="Arial"/>
                <w:color w:val="000000" w:themeColor="text1"/>
                <w:sz w:val="20"/>
                <w:szCs w:val="20"/>
                <w:vertAlign w:val="subscript"/>
                <w:lang w:val="en-GB"/>
              </w:rPr>
              <w:t>12</w:t>
            </w:r>
          </w:p>
        </w:tc>
        <w:tc>
          <w:tcPr>
            <w:tcW w:w="1301" w:type="dxa"/>
            <w:tcBorders>
              <w:bottom w:val="single" w:sz="4" w:space="0" w:color="auto"/>
            </w:tcBorders>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523</w:t>
            </w:r>
          </w:p>
        </w:tc>
        <w:tc>
          <w:tcPr>
            <w:tcW w:w="1333" w:type="dxa"/>
            <w:tcBorders>
              <w:bottom w:val="single" w:sz="4" w:space="0" w:color="auto"/>
            </w:tcBorders>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1301" w:type="dxa"/>
            <w:tcBorders>
              <w:bottom w:val="single" w:sz="4" w:space="0" w:color="auto"/>
            </w:tcBorders>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p>
        </w:tc>
        <w:tc>
          <w:tcPr>
            <w:tcW w:w="3200" w:type="dxa"/>
            <w:tcBorders>
              <w:bottom w:val="single" w:sz="4" w:space="0" w:color="auto"/>
            </w:tcBorders>
          </w:tcPr>
          <w:p w:rsidR="00E37A81" w:rsidRPr="00E37A81" w:rsidRDefault="00E37A81" w:rsidP="00465D6B">
            <w:pPr>
              <w:pStyle w:val="NormalWeb"/>
              <w:spacing w:line="360" w:lineRule="auto"/>
              <w:jc w:val="both"/>
              <w:rPr>
                <w:rFonts w:ascii="Arial" w:eastAsiaTheme="minorHAnsi" w:hAnsi="Arial" w:cs="Arial"/>
                <w:color w:val="000000" w:themeColor="text1"/>
                <w:sz w:val="20"/>
                <w:szCs w:val="20"/>
                <w:lang w:val="en-GB"/>
              </w:rPr>
            </w:pPr>
            <w:r w:rsidRPr="00E37A81">
              <w:rPr>
                <w:rFonts w:ascii="Arial" w:eastAsiaTheme="minorHAnsi" w:hAnsi="Arial" w:cs="Arial"/>
                <w:color w:val="000000" w:themeColor="text1"/>
                <w:sz w:val="20"/>
                <w:szCs w:val="20"/>
                <w:lang w:val="en-GB"/>
              </w:rPr>
              <w:t xml:space="preserve">211-911 </w:t>
            </w:r>
            <w:proofErr w:type="spellStart"/>
            <w:r w:rsidRPr="00E37A81">
              <w:rPr>
                <w:rFonts w:ascii="Arial" w:eastAsiaTheme="minorHAnsi" w:hAnsi="Arial" w:cs="Arial"/>
                <w:color w:val="000000" w:themeColor="text1"/>
                <w:sz w:val="20"/>
                <w:szCs w:val="20"/>
                <w:lang w:val="en-GB"/>
              </w:rPr>
              <w:t>pg</w:t>
            </w:r>
            <w:proofErr w:type="spellEnd"/>
            <w:r w:rsidRPr="00E37A81">
              <w:rPr>
                <w:rFonts w:ascii="Arial" w:eastAsiaTheme="minorHAnsi" w:hAnsi="Arial" w:cs="Arial"/>
                <w:color w:val="000000" w:themeColor="text1"/>
                <w:sz w:val="20"/>
                <w:szCs w:val="20"/>
                <w:lang w:val="en-GB"/>
              </w:rPr>
              <w:t>/ml</w:t>
            </w:r>
          </w:p>
        </w:tc>
      </w:tr>
    </w:tbl>
    <w:p w:rsidR="00E37A81" w:rsidRDefault="00E37A81" w:rsidP="00E37A81">
      <w:pPr>
        <w:pStyle w:val="Body"/>
        <w:jc w:val="center"/>
        <w:rPr>
          <w:rFonts w:ascii="Arial" w:hAnsi="Arial" w:cs="Arial"/>
          <w:b/>
        </w:rPr>
      </w:pPr>
      <w:r>
        <w:rPr>
          <w:rFonts w:ascii="Arial" w:hAnsi="Arial" w:cs="Arial"/>
          <w:b/>
        </w:rPr>
        <w:t>Table 1. Laboratory examination of the patient</w:t>
      </w:r>
    </w:p>
    <w:p w:rsidR="00E37A81" w:rsidRPr="00E37A81" w:rsidRDefault="00E37A81" w:rsidP="00E37A81">
      <w:pPr>
        <w:pStyle w:val="Body"/>
        <w:numPr>
          <w:ilvl w:val="0"/>
          <w:numId w:val="40"/>
        </w:numPr>
        <w:rPr>
          <w:rFonts w:ascii="Arial" w:hAnsi="Arial" w:cs="Arial"/>
          <w:b/>
        </w:rPr>
      </w:pPr>
      <w:r w:rsidRPr="00E37A81">
        <w:rPr>
          <w:rFonts w:ascii="Arial" w:hAnsi="Arial" w:cs="Arial"/>
          <w:b/>
        </w:rPr>
        <w:t>Other investigations –</w:t>
      </w:r>
      <w:r>
        <w:rPr>
          <w:rFonts w:ascii="Arial" w:hAnsi="Arial" w:cs="Arial"/>
          <w:b/>
        </w:rPr>
        <w:t xml:space="preserve"> </w:t>
      </w:r>
      <w:r w:rsidRPr="00E37A81">
        <w:rPr>
          <w:rFonts w:ascii="Arial" w:hAnsi="Arial" w:cs="Arial"/>
        </w:rPr>
        <w:t xml:space="preserve">Chest X – </w:t>
      </w:r>
      <w:proofErr w:type="gramStart"/>
      <w:r w:rsidRPr="00E37A81">
        <w:rPr>
          <w:rFonts w:ascii="Arial" w:hAnsi="Arial" w:cs="Arial"/>
        </w:rPr>
        <w:t>ray :</w:t>
      </w:r>
      <w:proofErr w:type="gramEnd"/>
      <w:r w:rsidRPr="00E37A81">
        <w:rPr>
          <w:rFonts w:ascii="Arial" w:hAnsi="Arial" w:cs="Arial"/>
        </w:rPr>
        <w:t>- B/L Non-homogenous opacities, USG abdomen &amp; pelvis :- Uterus absent, Peripheral smear study :- Microcytic Hypochromic and USG neck :- Hashimoto’s Thyroiditis.</w:t>
      </w:r>
    </w:p>
    <w:p w:rsidR="00E37A81" w:rsidRPr="00E37A81" w:rsidRDefault="00E37A81" w:rsidP="00E37A81">
      <w:pPr>
        <w:pStyle w:val="Body"/>
        <w:ind w:left="720"/>
        <w:rPr>
          <w:rFonts w:ascii="Arial" w:hAnsi="Arial" w:cs="Arial"/>
          <w:b/>
        </w:rPr>
      </w:pPr>
    </w:p>
    <w:tbl>
      <w:tblPr>
        <w:tblStyle w:val="TableGrid"/>
        <w:tblW w:w="1031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0"/>
        <w:gridCol w:w="3573"/>
        <w:gridCol w:w="1417"/>
        <w:gridCol w:w="1208"/>
        <w:gridCol w:w="3186"/>
      </w:tblGrid>
      <w:tr w:rsidR="00E37A81" w:rsidTr="00E37A81">
        <w:trPr>
          <w:trHeight w:val="468"/>
        </w:trPr>
        <w:tc>
          <w:tcPr>
            <w:tcW w:w="930" w:type="dxa"/>
            <w:tcBorders>
              <w:bottom w:val="single" w:sz="4" w:space="0" w:color="auto"/>
            </w:tcBorders>
          </w:tcPr>
          <w:p w:rsidR="00E37A81" w:rsidRPr="00E37A81" w:rsidRDefault="00E37A81" w:rsidP="00465D6B">
            <w:pPr>
              <w:pStyle w:val="NormalWeb"/>
              <w:spacing w:line="360" w:lineRule="auto"/>
              <w:jc w:val="both"/>
              <w:rPr>
                <w:rFonts w:ascii="Arial" w:hAnsi="Arial" w:cs="Arial"/>
                <w:b/>
                <w:color w:val="000000" w:themeColor="text1"/>
                <w:sz w:val="20"/>
                <w:szCs w:val="20"/>
              </w:rPr>
            </w:pPr>
            <w:r w:rsidRPr="00E37A81">
              <w:rPr>
                <w:rFonts w:ascii="Arial" w:hAnsi="Arial" w:cs="Arial"/>
                <w:b/>
                <w:color w:val="000000" w:themeColor="text1"/>
                <w:sz w:val="20"/>
                <w:szCs w:val="20"/>
              </w:rPr>
              <w:t>SL.NO</w:t>
            </w:r>
          </w:p>
        </w:tc>
        <w:tc>
          <w:tcPr>
            <w:tcW w:w="3573" w:type="dxa"/>
            <w:tcBorders>
              <w:bottom w:val="single" w:sz="4" w:space="0" w:color="auto"/>
            </w:tcBorders>
          </w:tcPr>
          <w:p w:rsidR="00E37A81" w:rsidRPr="00E37A81" w:rsidRDefault="00E37A81" w:rsidP="00465D6B">
            <w:pPr>
              <w:pStyle w:val="NormalWeb"/>
              <w:spacing w:line="360" w:lineRule="auto"/>
              <w:jc w:val="both"/>
              <w:rPr>
                <w:rFonts w:ascii="Arial" w:hAnsi="Arial" w:cs="Arial"/>
                <w:b/>
                <w:color w:val="000000" w:themeColor="text1"/>
                <w:sz w:val="20"/>
                <w:szCs w:val="20"/>
              </w:rPr>
            </w:pPr>
            <w:r w:rsidRPr="00E37A81">
              <w:rPr>
                <w:rFonts w:ascii="Arial" w:hAnsi="Arial" w:cs="Arial"/>
                <w:b/>
                <w:color w:val="000000" w:themeColor="text1"/>
                <w:sz w:val="20"/>
                <w:szCs w:val="20"/>
              </w:rPr>
              <w:t>NAME OF MEDICATIONS</w:t>
            </w:r>
          </w:p>
        </w:tc>
        <w:tc>
          <w:tcPr>
            <w:tcW w:w="1417" w:type="dxa"/>
            <w:tcBorders>
              <w:bottom w:val="single" w:sz="4" w:space="0" w:color="auto"/>
            </w:tcBorders>
          </w:tcPr>
          <w:p w:rsidR="00E37A81" w:rsidRPr="00E37A81" w:rsidRDefault="00E37A81" w:rsidP="00465D6B">
            <w:pPr>
              <w:pStyle w:val="NormalWeb"/>
              <w:spacing w:line="360" w:lineRule="auto"/>
              <w:jc w:val="both"/>
              <w:rPr>
                <w:rFonts w:ascii="Arial" w:hAnsi="Arial" w:cs="Arial"/>
                <w:b/>
                <w:color w:val="000000" w:themeColor="text1"/>
                <w:sz w:val="20"/>
                <w:szCs w:val="20"/>
              </w:rPr>
            </w:pPr>
            <w:r w:rsidRPr="00E37A81">
              <w:rPr>
                <w:rFonts w:ascii="Arial" w:hAnsi="Arial" w:cs="Arial"/>
                <w:b/>
                <w:color w:val="000000" w:themeColor="text1"/>
                <w:sz w:val="20"/>
                <w:szCs w:val="20"/>
              </w:rPr>
              <w:t>DOSE</w:t>
            </w:r>
          </w:p>
        </w:tc>
        <w:tc>
          <w:tcPr>
            <w:tcW w:w="1208" w:type="dxa"/>
            <w:tcBorders>
              <w:bottom w:val="single" w:sz="4" w:space="0" w:color="auto"/>
            </w:tcBorders>
          </w:tcPr>
          <w:p w:rsidR="00E37A81" w:rsidRPr="00E37A81" w:rsidRDefault="00E37A81" w:rsidP="00465D6B">
            <w:pPr>
              <w:pStyle w:val="NormalWeb"/>
              <w:spacing w:line="360" w:lineRule="auto"/>
              <w:jc w:val="both"/>
              <w:rPr>
                <w:rFonts w:ascii="Arial" w:hAnsi="Arial" w:cs="Arial"/>
                <w:b/>
                <w:color w:val="000000" w:themeColor="text1"/>
                <w:sz w:val="20"/>
                <w:szCs w:val="20"/>
              </w:rPr>
            </w:pPr>
            <w:r w:rsidRPr="00E37A81">
              <w:rPr>
                <w:rFonts w:ascii="Arial" w:hAnsi="Arial" w:cs="Arial"/>
                <w:b/>
                <w:color w:val="000000" w:themeColor="text1"/>
                <w:sz w:val="20"/>
                <w:szCs w:val="20"/>
              </w:rPr>
              <w:t>ROUTE</w:t>
            </w:r>
          </w:p>
        </w:tc>
        <w:tc>
          <w:tcPr>
            <w:tcW w:w="3186" w:type="dxa"/>
            <w:tcBorders>
              <w:bottom w:val="single" w:sz="4" w:space="0" w:color="auto"/>
            </w:tcBorders>
          </w:tcPr>
          <w:p w:rsidR="00E37A81" w:rsidRPr="00E37A81" w:rsidRDefault="00E37A81" w:rsidP="00465D6B">
            <w:pPr>
              <w:pStyle w:val="NormalWeb"/>
              <w:spacing w:line="360" w:lineRule="auto"/>
              <w:jc w:val="both"/>
              <w:rPr>
                <w:rFonts w:ascii="Arial" w:hAnsi="Arial" w:cs="Arial"/>
                <w:b/>
                <w:color w:val="000000" w:themeColor="text1"/>
                <w:sz w:val="20"/>
                <w:szCs w:val="20"/>
              </w:rPr>
            </w:pPr>
            <w:r w:rsidRPr="00E37A81">
              <w:rPr>
                <w:rFonts w:ascii="Arial" w:hAnsi="Arial" w:cs="Arial"/>
                <w:b/>
                <w:color w:val="000000" w:themeColor="text1"/>
                <w:sz w:val="20"/>
                <w:szCs w:val="20"/>
              </w:rPr>
              <w:t>FREQUENCY</w:t>
            </w:r>
          </w:p>
        </w:tc>
      </w:tr>
      <w:tr w:rsidR="00E37A81" w:rsidTr="00E37A81">
        <w:trPr>
          <w:trHeight w:val="468"/>
        </w:trPr>
        <w:tc>
          <w:tcPr>
            <w:tcW w:w="930" w:type="dxa"/>
            <w:tcBorders>
              <w:top w:val="single" w:sz="4" w:space="0" w:color="auto"/>
            </w:tcBorders>
          </w:tcPr>
          <w:p w:rsidR="00E37A81" w:rsidRPr="00E37A81" w:rsidRDefault="00E37A81" w:rsidP="00465D6B">
            <w:pPr>
              <w:pStyle w:val="NormalWeb"/>
              <w:jc w:val="both"/>
              <w:rPr>
                <w:rFonts w:ascii="Arial" w:hAnsi="Arial" w:cs="Arial"/>
                <w:color w:val="000000" w:themeColor="text1"/>
                <w:sz w:val="20"/>
                <w:szCs w:val="20"/>
              </w:rPr>
            </w:pPr>
            <w:r w:rsidRPr="00E37A81">
              <w:rPr>
                <w:rFonts w:ascii="Arial" w:hAnsi="Arial" w:cs="Arial"/>
                <w:color w:val="000000" w:themeColor="text1"/>
                <w:sz w:val="20"/>
                <w:szCs w:val="20"/>
              </w:rPr>
              <w:t>01</w:t>
            </w:r>
          </w:p>
        </w:tc>
        <w:tc>
          <w:tcPr>
            <w:tcW w:w="3573" w:type="dxa"/>
            <w:tcBorders>
              <w:top w:val="single" w:sz="4" w:space="0" w:color="auto"/>
            </w:tcBorders>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 xml:space="preserve">INJ. CEFTRIAXONE </w:t>
            </w:r>
          </w:p>
        </w:tc>
        <w:tc>
          <w:tcPr>
            <w:tcW w:w="1417" w:type="dxa"/>
            <w:tcBorders>
              <w:top w:val="single" w:sz="4" w:space="0" w:color="auto"/>
            </w:tcBorders>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1 gm</w:t>
            </w:r>
          </w:p>
        </w:tc>
        <w:tc>
          <w:tcPr>
            <w:tcW w:w="1208" w:type="dxa"/>
            <w:tcBorders>
              <w:top w:val="single" w:sz="4" w:space="0" w:color="auto"/>
            </w:tcBorders>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IV</w:t>
            </w:r>
          </w:p>
        </w:tc>
        <w:tc>
          <w:tcPr>
            <w:tcW w:w="3186" w:type="dxa"/>
            <w:tcBorders>
              <w:top w:val="single" w:sz="4" w:space="0" w:color="auto"/>
            </w:tcBorders>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BID FOR 3 DAYS</w:t>
            </w:r>
          </w:p>
        </w:tc>
      </w:tr>
      <w:tr w:rsidR="00E37A81" w:rsidTr="00E37A81">
        <w:trPr>
          <w:trHeight w:val="468"/>
        </w:trPr>
        <w:tc>
          <w:tcPr>
            <w:tcW w:w="930"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02</w:t>
            </w:r>
          </w:p>
        </w:tc>
        <w:tc>
          <w:tcPr>
            <w:tcW w:w="3573"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INJ. PANTOPRAZOLE</w:t>
            </w:r>
          </w:p>
        </w:tc>
        <w:tc>
          <w:tcPr>
            <w:tcW w:w="1417"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40 mg</w:t>
            </w:r>
          </w:p>
        </w:tc>
        <w:tc>
          <w:tcPr>
            <w:tcW w:w="1208"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IV</w:t>
            </w:r>
          </w:p>
        </w:tc>
        <w:tc>
          <w:tcPr>
            <w:tcW w:w="3186"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OD FOR 3 DAYS</w:t>
            </w:r>
          </w:p>
        </w:tc>
      </w:tr>
      <w:tr w:rsidR="00E37A81" w:rsidTr="00E37A81">
        <w:trPr>
          <w:trHeight w:val="468"/>
        </w:trPr>
        <w:tc>
          <w:tcPr>
            <w:tcW w:w="930"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03</w:t>
            </w:r>
          </w:p>
        </w:tc>
        <w:tc>
          <w:tcPr>
            <w:tcW w:w="3573"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INJ. ONDANSETRON</w:t>
            </w:r>
          </w:p>
        </w:tc>
        <w:tc>
          <w:tcPr>
            <w:tcW w:w="1417"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4 mg</w:t>
            </w:r>
          </w:p>
        </w:tc>
        <w:tc>
          <w:tcPr>
            <w:tcW w:w="1208"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IV</w:t>
            </w:r>
          </w:p>
        </w:tc>
        <w:tc>
          <w:tcPr>
            <w:tcW w:w="3186"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BID FOR 3 DAYS</w:t>
            </w:r>
          </w:p>
        </w:tc>
      </w:tr>
      <w:tr w:rsidR="00E37A81" w:rsidTr="00E37A81">
        <w:trPr>
          <w:trHeight w:val="488"/>
        </w:trPr>
        <w:tc>
          <w:tcPr>
            <w:tcW w:w="930"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04</w:t>
            </w:r>
          </w:p>
        </w:tc>
        <w:tc>
          <w:tcPr>
            <w:tcW w:w="3573"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INJ. PARACETAMOL</w:t>
            </w:r>
          </w:p>
        </w:tc>
        <w:tc>
          <w:tcPr>
            <w:tcW w:w="1417"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100 ml</w:t>
            </w:r>
          </w:p>
        </w:tc>
        <w:tc>
          <w:tcPr>
            <w:tcW w:w="1208"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IV</w:t>
            </w:r>
          </w:p>
        </w:tc>
        <w:tc>
          <w:tcPr>
            <w:tcW w:w="3186"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TID FOR 3 DAYS</w:t>
            </w:r>
          </w:p>
        </w:tc>
      </w:tr>
      <w:tr w:rsidR="00E37A81" w:rsidTr="00E37A81">
        <w:trPr>
          <w:trHeight w:val="468"/>
        </w:trPr>
        <w:tc>
          <w:tcPr>
            <w:tcW w:w="930"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05</w:t>
            </w:r>
          </w:p>
        </w:tc>
        <w:tc>
          <w:tcPr>
            <w:tcW w:w="3573"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 xml:space="preserve">TAB. DOXYCYCLINE </w:t>
            </w:r>
          </w:p>
        </w:tc>
        <w:tc>
          <w:tcPr>
            <w:tcW w:w="1417"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100 mg</w:t>
            </w:r>
          </w:p>
        </w:tc>
        <w:tc>
          <w:tcPr>
            <w:tcW w:w="1208"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PO</w:t>
            </w:r>
          </w:p>
        </w:tc>
        <w:tc>
          <w:tcPr>
            <w:tcW w:w="3186"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BID FOR 3 DAYS</w:t>
            </w:r>
          </w:p>
        </w:tc>
      </w:tr>
      <w:tr w:rsidR="00E37A81" w:rsidTr="00E37A81">
        <w:trPr>
          <w:trHeight w:val="468"/>
        </w:trPr>
        <w:tc>
          <w:tcPr>
            <w:tcW w:w="930"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06</w:t>
            </w:r>
          </w:p>
        </w:tc>
        <w:tc>
          <w:tcPr>
            <w:tcW w:w="3573"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TAB. IRON FOLIC ACID</w:t>
            </w:r>
          </w:p>
        </w:tc>
        <w:tc>
          <w:tcPr>
            <w:tcW w:w="1417"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333 mg</w:t>
            </w:r>
          </w:p>
        </w:tc>
        <w:tc>
          <w:tcPr>
            <w:tcW w:w="1208"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PO</w:t>
            </w:r>
          </w:p>
        </w:tc>
        <w:tc>
          <w:tcPr>
            <w:tcW w:w="3186"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BID FOR 3 DAYS</w:t>
            </w:r>
          </w:p>
        </w:tc>
      </w:tr>
      <w:tr w:rsidR="00E37A81" w:rsidTr="00E37A81">
        <w:trPr>
          <w:trHeight w:val="468"/>
        </w:trPr>
        <w:tc>
          <w:tcPr>
            <w:tcW w:w="930"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07</w:t>
            </w:r>
          </w:p>
        </w:tc>
        <w:tc>
          <w:tcPr>
            <w:tcW w:w="3573"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TAB. FOLIC ACID</w:t>
            </w:r>
          </w:p>
        </w:tc>
        <w:tc>
          <w:tcPr>
            <w:tcW w:w="1417"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5 mg</w:t>
            </w:r>
          </w:p>
        </w:tc>
        <w:tc>
          <w:tcPr>
            <w:tcW w:w="1208"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PO</w:t>
            </w:r>
          </w:p>
        </w:tc>
        <w:tc>
          <w:tcPr>
            <w:tcW w:w="3186"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OD FOR 3 DAYS</w:t>
            </w:r>
          </w:p>
        </w:tc>
      </w:tr>
      <w:tr w:rsidR="00E37A81" w:rsidTr="00E37A81">
        <w:trPr>
          <w:trHeight w:val="468"/>
        </w:trPr>
        <w:tc>
          <w:tcPr>
            <w:tcW w:w="930"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08</w:t>
            </w:r>
          </w:p>
        </w:tc>
        <w:tc>
          <w:tcPr>
            <w:tcW w:w="3573"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INJ. MULTIVITAMIN</w:t>
            </w:r>
          </w:p>
        </w:tc>
        <w:tc>
          <w:tcPr>
            <w:tcW w:w="1417"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1 PINT NS</w:t>
            </w:r>
          </w:p>
        </w:tc>
        <w:tc>
          <w:tcPr>
            <w:tcW w:w="1208"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IV</w:t>
            </w:r>
          </w:p>
        </w:tc>
        <w:tc>
          <w:tcPr>
            <w:tcW w:w="3186" w:type="dxa"/>
          </w:tcPr>
          <w:p w:rsidR="00E37A81" w:rsidRPr="00E37A81" w:rsidRDefault="00E37A81" w:rsidP="00465D6B">
            <w:pPr>
              <w:pStyle w:val="NormalWeb"/>
              <w:spacing w:line="360" w:lineRule="auto"/>
              <w:jc w:val="both"/>
              <w:rPr>
                <w:rFonts w:ascii="Arial" w:hAnsi="Arial" w:cs="Arial"/>
                <w:color w:val="000000" w:themeColor="text1"/>
                <w:sz w:val="20"/>
                <w:szCs w:val="20"/>
              </w:rPr>
            </w:pPr>
            <w:r w:rsidRPr="00E37A81">
              <w:rPr>
                <w:rFonts w:ascii="Arial" w:hAnsi="Arial" w:cs="Arial"/>
                <w:color w:val="000000" w:themeColor="text1"/>
                <w:sz w:val="20"/>
                <w:szCs w:val="20"/>
              </w:rPr>
              <w:t>OD ON 3</w:t>
            </w:r>
            <w:r w:rsidRPr="00E37A81">
              <w:rPr>
                <w:rFonts w:ascii="Arial" w:hAnsi="Arial" w:cs="Arial"/>
                <w:color w:val="000000" w:themeColor="text1"/>
                <w:sz w:val="20"/>
                <w:szCs w:val="20"/>
                <w:vertAlign w:val="superscript"/>
              </w:rPr>
              <w:t>rd</w:t>
            </w:r>
            <w:r w:rsidRPr="00E37A81">
              <w:rPr>
                <w:rFonts w:ascii="Arial" w:hAnsi="Arial" w:cs="Arial"/>
                <w:color w:val="000000" w:themeColor="text1"/>
                <w:sz w:val="20"/>
                <w:szCs w:val="20"/>
              </w:rPr>
              <w:t xml:space="preserve"> DAY</w:t>
            </w:r>
          </w:p>
        </w:tc>
      </w:tr>
    </w:tbl>
    <w:p w:rsidR="00E37A81" w:rsidRPr="006A7624" w:rsidRDefault="00E37A81" w:rsidP="00E37A81">
      <w:pPr>
        <w:pStyle w:val="Body"/>
        <w:jc w:val="center"/>
        <w:rPr>
          <w:rFonts w:ascii="Arial" w:hAnsi="Arial" w:cs="Arial"/>
          <w:b/>
        </w:rPr>
      </w:pPr>
      <w:r w:rsidRPr="006A7624">
        <w:rPr>
          <w:rFonts w:ascii="Arial" w:hAnsi="Arial" w:cs="Arial"/>
          <w:b/>
        </w:rPr>
        <w:t>Table 2. Treatment regimen in hospital</w:t>
      </w:r>
    </w:p>
    <w:p w:rsidR="00E37A81" w:rsidRPr="00BE7EDE" w:rsidRDefault="00E37A81" w:rsidP="00E37A81">
      <w:pPr>
        <w:pStyle w:val="Body"/>
        <w:jc w:val="left"/>
        <w:rPr>
          <w:rFonts w:ascii="Arial" w:hAnsi="Arial" w:cs="Arial"/>
          <w:b/>
        </w:rPr>
      </w:pPr>
    </w:p>
    <w:p w:rsidR="00E37A81" w:rsidRDefault="00E37A81" w:rsidP="00E37A81">
      <w:pPr>
        <w:pStyle w:val="Body"/>
        <w:spacing w:after="0"/>
        <w:rPr>
          <w:rFonts w:ascii="Arial" w:eastAsia="Calibri" w:hAnsi="Arial" w:cs="Arial"/>
          <w:szCs w:val="22"/>
        </w:rPr>
      </w:pPr>
    </w:p>
    <w:p w:rsidR="00790ADA" w:rsidRDefault="00000F8F" w:rsidP="00441B6F">
      <w:pPr>
        <w:pStyle w:val="Head1"/>
        <w:spacing w:after="0"/>
        <w:jc w:val="both"/>
        <w:rPr>
          <w:rFonts w:ascii="Arial" w:hAnsi="Arial" w:cs="Arial"/>
        </w:rPr>
      </w:pPr>
      <w:r>
        <w:rPr>
          <w:rFonts w:ascii="Arial" w:hAnsi="Arial" w:cs="Arial"/>
        </w:rPr>
        <w:t>3</w:t>
      </w:r>
      <w:r w:rsidR="00E37A81">
        <w:rPr>
          <w:rFonts w:ascii="Arial" w:hAnsi="Arial" w:cs="Arial"/>
        </w:rPr>
        <w:t xml:space="preserve">. </w:t>
      </w:r>
      <w:r>
        <w:rPr>
          <w:rFonts w:ascii="Arial" w:hAnsi="Arial" w:cs="Arial"/>
        </w:rPr>
        <w:t>discussion</w:t>
      </w:r>
    </w:p>
    <w:p w:rsidR="00656106" w:rsidRPr="00656106" w:rsidRDefault="00656106" w:rsidP="00656106">
      <w:pPr>
        <w:pStyle w:val="NormalWeb"/>
        <w:jc w:val="both"/>
        <w:rPr>
          <w:rFonts w:ascii="Arial" w:hAnsi="Arial" w:cs="Arial"/>
          <w:sz w:val="20"/>
          <w:szCs w:val="20"/>
        </w:rPr>
      </w:pPr>
      <w:r w:rsidRPr="00656106">
        <w:rPr>
          <w:rFonts w:ascii="Arial" w:hAnsi="Arial" w:cs="Arial"/>
          <w:sz w:val="20"/>
          <w:szCs w:val="20"/>
        </w:rPr>
        <w:t xml:space="preserve">Turner syndrome (TS) is a chromosomal disorder characterized by partial or complete monosomy of one X chromosome and presents with a wide spectrum of clinical manifestations involving growth, gonadal development, endocrine function, and autoimmunity. Primary amenorrhea is one of the most common presenting features in adolescent females with TS, often prompting further endocrine and genetic evaluation. </w:t>
      </w:r>
    </w:p>
    <w:p w:rsidR="00656106" w:rsidRPr="00656106" w:rsidRDefault="00656106" w:rsidP="00656106">
      <w:pPr>
        <w:pStyle w:val="NormalWeb"/>
        <w:jc w:val="both"/>
        <w:rPr>
          <w:rStyle w:val="Strong"/>
          <w:rFonts w:ascii="Arial" w:hAnsi="Arial" w:cs="Arial"/>
          <w:b w:val="0"/>
          <w:sz w:val="20"/>
          <w:szCs w:val="20"/>
        </w:rPr>
      </w:pPr>
      <w:r w:rsidRPr="00656106">
        <w:rPr>
          <w:rFonts w:ascii="Arial" w:hAnsi="Arial" w:cs="Arial"/>
          <w:sz w:val="20"/>
          <w:szCs w:val="20"/>
        </w:rPr>
        <w:t>In the present case, a 17-year-old female presented with long-standing primary amenorrhea along with recurrent infections and features suggestive of autoimmune thyroid disease, raising a strong clinical suspicion of Turner syndrome. The absence of the uterus on ultrasonography, along with hypogonadotropic findings (low FSH and LH levels), indicates gonadal dysgenesis, a hallmark feature of TS.</w:t>
      </w:r>
      <w:r w:rsidRPr="00656106">
        <w:rPr>
          <w:rStyle w:val="Strong"/>
          <w:rFonts w:ascii="Arial" w:hAnsi="Arial" w:cs="Arial"/>
          <w:b w:val="0"/>
          <w:sz w:val="20"/>
          <w:szCs w:val="20"/>
        </w:rPr>
        <w:t xml:space="preserve"> Cytogenetic confirmation is essential for the definitive diagnosis of Turner syndrome. In the present case, karyotyping analysis was advised to the patient during the current admission and planned for the next follow-up visit to confirm the suspected chromosomal abnormality and to assess for possible mosaicism. </w:t>
      </w:r>
    </w:p>
    <w:p w:rsidR="00656106" w:rsidRPr="00656106" w:rsidRDefault="00656106" w:rsidP="00656106">
      <w:pPr>
        <w:pStyle w:val="NormalWeb"/>
        <w:jc w:val="both"/>
        <w:rPr>
          <w:rFonts w:ascii="Arial" w:hAnsi="Arial" w:cs="Arial"/>
          <w:sz w:val="20"/>
          <w:szCs w:val="20"/>
        </w:rPr>
      </w:pPr>
      <w:r w:rsidRPr="00656106">
        <w:rPr>
          <w:rFonts w:ascii="Arial" w:hAnsi="Arial" w:cs="Arial"/>
          <w:sz w:val="20"/>
          <w:szCs w:val="20"/>
        </w:rPr>
        <w:t>Although hypergonadotropic hypogonadism is classically described in Turner syndrome, hormonal patterns may vary depending on age, mosaicism, and residual ovarian function. Delayed recognition of TS is common, especially in adolescents who present primarily with amenorrhea rather than overt dysmorphic features or short stature, as seen in this patient. This emphasizes the need for a high index of suspicion in females with unexplained primary amenorrhea.</w:t>
      </w:r>
    </w:p>
    <w:p w:rsidR="00656106" w:rsidRPr="00656106" w:rsidRDefault="00656106" w:rsidP="00656106">
      <w:pPr>
        <w:pStyle w:val="NormalWeb"/>
        <w:jc w:val="both"/>
        <w:rPr>
          <w:rFonts w:ascii="Arial" w:hAnsi="Arial" w:cs="Arial"/>
          <w:sz w:val="20"/>
          <w:szCs w:val="20"/>
        </w:rPr>
      </w:pPr>
      <w:r w:rsidRPr="00656106">
        <w:rPr>
          <w:rFonts w:ascii="Arial" w:hAnsi="Arial" w:cs="Arial"/>
          <w:sz w:val="20"/>
          <w:szCs w:val="20"/>
        </w:rPr>
        <w:t xml:space="preserve">A notable finding in this case is the coexistence of autoimmune thyroiditis (Hashimoto’s thyroiditis), demonstrated by ultrasonographic findings and altered thyroid hormone levels (low FT4 with normal TSH). Autoimmune disorders are significantly more prevalent in individuals with Turner syndrome compared to the general population. </w:t>
      </w:r>
      <w:proofErr w:type="spellStart"/>
      <w:r w:rsidRPr="00656106">
        <w:rPr>
          <w:rFonts w:ascii="Arial" w:hAnsi="Arial" w:cs="Arial"/>
          <w:sz w:val="20"/>
          <w:szCs w:val="20"/>
        </w:rPr>
        <w:t>Lleo</w:t>
      </w:r>
      <w:proofErr w:type="spellEnd"/>
      <w:r w:rsidRPr="00656106">
        <w:rPr>
          <w:rFonts w:ascii="Arial" w:hAnsi="Arial" w:cs="Arial"/>
          <w:sz w:val="20"/>
          <w:szCs w:val="20"/>
        </w:rPr>
        <w:t xml:space="preserve"> et al. (2012) reported that autoimmune thyroid disease is the most frequent autoimmune condition associated with TS, affecting up to 30–50% of patients, with Hashimoto’s thyroiditis being more common than Graves’ disease. The findings in our patient </w:t>
      </w:r>
      <w:r w:rsidRPr="00656106">
        <w:rPr>
          <w:rFonts w:ascii="Arial" w:hAnsi="Arial" w:cs="Arial"/>
          <w:sz w:val="20"/>
          <w:szCs w:val="20"/>
        </w:rPr>
        <w:lastRenderedPageBreak/>
        <w:t>are consistent with this observation, supporting the strong association between Turner syndrome and thyroid autoimmunity.</w:t>
      </w:r>
    </w:p>
    <w:p w:rsidR="00656106" w:rsidRPr="00656106" w:rsidRDefault="00656106" w:rsidP="00656106">
      <w:pPr>
        <w:pStyle w:val="NormalWeb"/>
        <w:jc w:val="both"/>
        <w:rPr>
          <w:rFonts w:ascii="Arial" w:hAnsi="Arial" w:cs="Arial"/>
          <w:sz w:val="20"/>
          <w:szCs w:val="20"/>
        </w:rPr>
      </w:pPr>
      <w:r w:rsidRPr="00656106">
        <w:rPr>
          <w:rFonts w:ascii="Arial" w:hAnsi="Arial" w:cs="Arial"/>
          <w:sz w:val="20"/>
          <w:szCs w:val="20"/>
        </w:rPr>
        <w:t xml:space="preserve">When compared with the study by </w:t>
      </w:r>
      <w:proofErr w:type="spellStart"/>
      <w:r w:rsidRPr="00656106">
        <w:rPr>
          <w:rFonts w:ascii="Arial" w:hAnsi="Arial" w:cs="Arial"/>
          <w:sz w:val="20"/>
          <w:szCs w:val="20"/>
        </w:rPr>
        <w:t>Lleo</w:t>
      </w:r>
      <w:proofErr w:type="spellEnd"/>
      <w:r w:rsidRPr="00656106">
        <w:rPr>
          <w:rFonts w:ascii="Arial" w:hAnsi="Arial" w:cs="Arial"/>
          <w:sz w:val="20"/>
          <w:szCs w:val="20"/>
        </w:rPr>
        <w:t xml:space="preserve"> et al., our case mirrors the reported increased susceptibility to autoimmune diseases due to X-chromosome haploinsufficiency and immune dysregulation. The loss of immune-regulatory genes located on the X chromosome is thought to impair central and peripheral immune tolerance, predisposing TS patients to autoimmune conditions. Similar to previously reported cases, our patient did not initially present with overt hypothyroid symptoms, highlighting the importance of routine thyroid screening in suspected or confirmed Turner syndrome cases.</w:t>
      </w:r>
    </w:p>
    <w:p w:rsidR="00656106" w:rsidRPr="00656106" w:rsidRDefault="00656106" w:rsidP="00656106">
      <w:pPr>
        <w:pStyle w:val="NormalWeb"/>
        <w:jc w:val="both"/>
        <w:rPr>
          <w:rFonts w:ascii="Arial" w:hAnsi="Arial" w:cs="Arial"/>
          <w:sz w:val="20"/>
          <w:szCs w:val="20"/>
        </w:rPr>
      </w:pPr>
      <w:r w:rsidRPr="00656106">
        <w:rPr>
          <w:rFonts w:ascii="Arial" w:hAnsi="Arial" w:cs="Arial"/>
          <w:sz w:val="20"/>
          <w:szCs w:val="20"/>
        </w:rPr>
        <w:t>In addition to endocrine abnormalities, the patient exhibited anemia with microcytic hypochromic blood picture and markedly elevated serum ferritin levels, likely reflecting anemia of inflammation in the setting of an acute infective process. Elevated CRP and LDH further support an ongoing inflammatory state. Recurrent infections, as noted in this patient’s history, have also been reported in Turner syndrome, possibly related to immune dysregulation.</w:t>
      </w:r>
    </w:p>
    <w:p w:rsidR="00656106" w:rsidRPr="00656106" w:rsidRDefault="00656106" w:rsidP="00656106">
      <w:pPr>
        <w:pStyle w:val="NormalWeb"/>
        <w:jc w:val="both"/>
        <w:rPr>
          <w:rFonts w:ascii="Arial" w:hAnsi="Arial" w:cs="Arial"/>
          <w:sz w:val="20"/>
          <w:szCs w:val="20"/>
        </w:rPr>
      </w:pPr>
      <w:r w:rsidRPr="00656106">
        <w:rPr>
          <w:rFonts w:ascii="Arial" w:hAnsi="Arial" w:cs="Arial"/>
          <w:sz w:val="20"/>
          <w:szCs w:val="20"/>
        </w:rPr>
        <w:t>Early diagnosis of Turner syndrome is critical for timely initiation of growth hormone therapy, estrogen replacement, and monitoring for associated comorbidities such as cardiovascular anomalies, metabolic disorders, osteoporosis, and autoimmune diseases. In the present case, delayed diagnosis resulted in missed opportunities for early growth and pubertal induction. This aligns with literature emphasizing that many Turner syndrome patients without classic phenotypic features are diagnosed late during adolescence.</w:t>
      </w:r>
    </w:p>
    <w:p w:rsidR="00656106" w:rsidRPr="00656106" w:rsidRDefault="00656106" w:rsidP="00656106">
      <w:pPr>
        <w:pStyle w:val="NormalWeb"/>
        <w:jc w:val="both"/>
        <w:rPr>
          <w:rFonts w:ascii="Arial" w:hAnsi="Arial" w:cs="Arial"/>
          <w:sz w:val="20"/>
          <w:szCs w:val="20"/>
        </w:rPr>
      </w:pPr>
      <w:r w:rsidRPr="00656106">
        <w:rPr>
          <w:rFonts w:ascii="Arial" w:hAnsi="Arial" w:cs="Arial"/>
          <w:sz w:val="20"/>
          <w:szCs w:val="20"/>
        </w:rPr>
        <w:t>Overall, this case highlights the clinical heterogeneity of Turner syndrome and reinforces the importance of considering TS in adolescent females presenting with primary amenorrhea and autoimmune thyroiditis. Early cytogenetic evaluation, multidisciplinary management, and long-term follow-up are essential to improve clinical outcomes and quality of life in such patients.</w:t>
      </w:r>
    </w:p>
    <w:p w:rsidR="00656106" w:rsidRPr="00656106" w:rsidRDefault="00656106" w:rsidP="00656106">
      <w:pPr>
        <w:pStyle w:val="Head1"/>
        <w:spacing w:after="0"/>
        <w:jc w:val="both"/>
        <w:rPr>
          <w:rFonts w:ascii="Arial" w:hAnsi="Arial" w:cs="Arial"/>
          <w:b w:val="0"/>
          <w:sz w:val="20"/>
        </w:rPr>
      </w:pPr>
    </w:p>
    <w:p w:rsidR="00790ADA" w:rsidRPr="00656106" w:rsidRDefault="00790ADA" w:rsidP="00656106">
      <w:pPr>
        <w:pStyle w:val="Body"/>
        <w:spacing w:after="0"/>
        <w:rPr>
          <w:rFonts w:ascii="Arial" w:hAnsi="Arial" w:cs="Arial"/>
        </w:rPr>
      </w:pPr>
    </w:p>
    <w:p w:rsidR="00790ADA"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9648BF" w:rsidRPr="009648BF" w:rsidRDefault="009648BF" w:rsidP="009648BF">
      <w:pPr>
        <w:pStyle w:val="NormalWeb"/>
        <w:jc w:val="both"/>
        <w:rPr>
          <w:rFonts w:ascii="Arial" w:hAnsi="Arial" w:cs="Arial"/>
          <w:sz w:val="20"/>
          <w:szCs w:val="20"/>
        </w:rPr>
      </w:pPr>
      <w:r w:rsidRPr="009648BF">
        <w:rPr>
          <w:rFonts w:ascii="Arial" w:hAnsi="Arial" w:cs="Arial"/>
          <w:sz w:val="20"/>
          <w:szCs w:val="20"/>
        </w:rPr>
        <w:t>This case highlights the importance of considering Turner syndrome in adolescent females presenting with primary amenorrhea, even in the absence of classic phenotypic features. The coexistence of autoimmune thyroiditis in this patient further supports the well-established association between Turner syndrome and autoimmune disorders. Clinical findings such as absent uterus on imaging, gonadal dysfunction, and thyroid abnormalities strongly pointed toward a suspected diagnosis of Turner syndrome.</w:t>
      </w:r>
    </w:p>
    <w:p w:rsidR="009648BF" w:rsidRPr="009648BF" w:rsidRDefault="009648BF" w:rsidP="009648BF">
      <w:pPr>
        <w:pStyle w:val="NormalWeb"/>
        <w:jc w:val="both"/>
        <w:rPr>
          <w:rFonts w:ascii="Arial" w:hAnsi="Arial" w:cs="Arial"/>
          <w:sz w:val="20"/>
          <w:szCs w:val="20"/>
        </w:rPr>
      </w:pPr>
      <w:r w:rsidRPr="009648BF">
        <w:rPr>
          <w:rFonts w:ascii="Arial" w:hAnsi="Arial" w:cs="Arial"/>
          <w:sz w:val="20"/>
          <w:szCs w:val="20"/>
        </w:rPr>
        <w:t>Although cytogenetic confirmation could not be performed during the current hospital admission, karyotyping was advised for the subsequent follow-up visit to establish a definitive diagnosis and assess for possible mosaicism. This case underscores the challenges of delayed diagnosis and limited access to genetic testing in routine clinical practice.</w:t>
      </w:r>
    </w:p>
    <w:p w:rsidR="009648BF" w:rsidRPr="009648BF" w:rsidRDefault="009648BF" w:rsidP="009648BF">
      <w:pPr>
        <w:pStyle w:val="NormalWeb"/>
        <w:jc w:val="both"/>
        <w:rPr>
          <w:rFonts w:ascii="Arial" w:hAnsi="Arial" w:cs="Arial"/>
          <w:sz w:val="20"/>
          <w:szCs w:val="20"/>
        </w:rPr>
      </w:pPr>
      <w:r w:rsidRPr="009648BF">
        <w:rPr>
          <w:rFonts w:ascii="Arial" w:hAnsi="Arial" w:cs="Arial"/>
          <w:sz w:val="20"/>
          <w:szCs w:val="20"/>
        </w:rPr>
        <w:t>Early recognition of Turner syndrome is crucial to enable timely hormonal replacement therapy, appropriate screening for associated comorbidities, and multidisciplinary management. Increased awareness among clinicians regarding atypical presentations can facilitate early diagnosis, improve long-term health outcomes, and enhance quality of life in affected individuals.</w:t>
      </w:r>
    </w:p>
    <w:p w:rsidR="009648BF" w:rsidRPr="00FB3A86" w:rsidRDefault="009648BF" w:rsidP="00441B6F">
      <w:pPr>
        <w:pStyle w:val="ConcHead"/>
        <w:spacing w:after="0"/>
        <w:jc w:val="both"/>
        <w:rPr>
          <w:rFonts w:ascii="Arial" w:hAnsi="Arial" w:cs="Arial"/>
        </w:rPr>
      </w:pPr>
    </w:p>
    <w:p w:rsidR="00E37A81" w:rsidRDefault="00E37A81" w:rsidP="00441B6F">
      <w:pPr>
        <w:pStyle w:val="Body"/>
        <w:spacing w:after="0"/>
        <w:rPr>
          <w:rFonts w:ascii="Arial" w:hAnsi="Arial" w:cs="Arial"/>
        </w:rPr>
      </w:pPr>
    </w:p>
    <w:p w:rsidR="00E37A81" w:rsidRDefault="00E37A81" w:rsidP="00E37A81">
      <w:pPr>
        <w:pStyle w:val="Body"/>
        <w:spacing w:after="0"/>
        <w:rPr>
          <w:rFonts w:ascii="Arial" w:hAnsi="Arial" w:cs="Arial"/>
          <w:b/>
          <w:sz w:val="22"/>
          <w:szCs w:val="22"/>
        </w:rPr>
      </w:pPr>
      <w:r w:rsidRPr="00270213">
        <w:rPr>
          <w:rFonts w:ascii="Arial" w:hAnsi="Arial" w:cs="Arial"/>
          <w:b/>
          <w:sz w:val="22"/>
          <w:szCs w:val="22"/>
        </w:rPr>
        <w:t>CONSENT</w:t>
      </w:r>
    </w:p>
    <w:p w:rsidR="00E37A81" w:rsidRDefault="007B1B2D" w:rsidP="00E37A81">
      <w:pPr>
        <w:pStyle w:val="Body"/>
        <w:spacing w:after="0"/>
        <w:rPr>
          <w:rFonts w:ascii="Arial" w:hAnsi="Arial" w:cs="Arial"/>
        </w:rPr>
      </w:pPr>
      <w:r w:rsidRPr="007B1B2D">
        <w:rPr>
          <w:rFonts w:ascii="Arial" w:hAnsi="Arial" w:cs="Arial"/>
        </w:rPr>
        <w:t>As per international standards, parental written consent has been collected and preserved by the author(s).</w:t>
      </w:r>
    </w:p>
    <w:p w:rsidR="00E37A81" w:rsidRDefault="00E37A81" w:rsidP="00E37A81">
      <w:pPr>
        <w:pStyle w:val="Body"/>
        <w:spacing w:after="0"/>
        <w:rPr>
          <w:rFonts w:ascii="Arial" w:hAnsi="Arial" w:cs="Arial"/>
        </w:rPr>
      </w:pPr>
    </w:p>
    <w:p w:rsidR="00E37A81" w:rsidRPr="00270213" w:rsidRDefault="00E37A81" w:rsidP="00E37A81">
      <w:pPr>
        <w:pStyle w:val="Body"/>
        <w:spacing w:after="0"/>
        <w:rPr>
          <w:rFonts w:ascii="Arial" w:hAnsi="Arial" w:cs="Arial"/>
          <w:b/>
          <w:sz w:val="22"/>
          <w:szCs w:val="22"/>
        </w:rPr>
      </w:pPr>
      <w:r w:rsidRPr="00270213">
        <w:rPr>
          <w:rFonts w:ascii="Arial" w:hAnsi="Arial" w:cs="Arial"/>
          <w:b/>
          <w:sz w:val="22"/>
          <w:szCs w:val="22"/>
        </w:rPr>
        <w:t>DISCLAIMER (ARTIFICIAL INTELLIGENCE)</w:t>
      </w:r>
    </w:p>
    <w:p w:rsidR="00E37A81" w:rsidRDefault="00E37A81" w:rsidP="00E37A81">
      <w:pPr>
        <w:pStyle w:val="Body"/>
        <w:spacing w:after="0"/>
        <w:rPr>
          <w:rFonts w:ascii="Arial" w:hAnsi="Arial" w:cs="Arial"/>
        </w:rPr>
      </w:pPr>
      <w:r>
        <w:rPr>
          <w:rFonts w:ascii="Arial" w:hAnsi="Arial" w:cs="Arial"/>
        </w:rPr>
        <w:t>Author(s) hereby declare that NO generative AI technologies such as Large Language Models (</w:t>
      </w:r>
      <w:proofErr w:type="spellStart"/>
      <w:r>
        <w:rPr>
          <w:rFonts w:ascii="Arial" w:hAnsi="Arial" w:cs="Arial"/>
        </w:rPr>
        <w:t>ChatGPT</w:t>
      </w:r>
      <w:proofErr w:type="spellEnd"/>
      <w:r>
        <w:rPr>
          <w:rFonts w:ascii="Arial" w:hAnsi="Arial" w:cs="Arial"/>
        </w:rPr>
        <w:t xml:space="preserve">, COPILOT, </w:t>
      </w:r>
      <w:proofErr w:type="spellStart"/>
      <w:r>
        <w:rPr>
          <w:rFonts w:ascii="Arial" w:hAnsi="Arial" w:cs="Arial"/>
        </w:rPr>
        <w:t>etc</w:t>
      </w:r>
      <w:proofErr w:type="spellEnd"/>
      <w:r>
        <w:rPr>
          <w:rFonts w:ascii="Arial" w:hAnsi="Arial" w:cs="Arial"/>
        </w:rPr>
        <w:t>) and text-to-image generators have been used during writing or editing of this manuscript.</w:t>
      </w:r>
    </w:p>
    <w:p w:rsidR="00E37A81" w:rsidRDefault="00E37A81" w:rsidP="00E37A81">
      <w:pPr>
        <w:pStyle w:val="Body"/>
        <w:spacing w:after="0"/>
        <w:rPr>
          <w:rFonts w:ascii="Arial" w:hAnsi="Arial" w:cs="Arial"/>
        </w:rPr>
      </w:pPr>
    </w:p>
    <w:p w:rsidR="00E37A81" w:rsidRDefault="00E37A81" w:rsidP="00E37A81">
      <w:pPr>
        <w:pStyle w:val="Body"/>
        <w:spacing w:after="0"/>
        <w:rPr>
          <w:rFonts w:ascii="Arial" w:hAnsi="Arial" w:cs="Arial"/>
          <w:b/>
          <w:sz w:val="22"/>
          <w:szCs w:val="22"/>
        </w:rPr>
      </w:pPr>
      <w:r w:rsidRPr="00BC0DE6">
        <w:rPr>
          <w:rFonts w:ascii="Arial" w:hAnsi="Arial" w:cs="Arial"/>
          <w:b/>
          <w:sz w:val="22"/>
          <w:szCs w:val="22"/>
        </w:rPr>
        <w:t>COMPETING INTERESTS</w:t>
      </w:r>
    </w:p>
    <w:p w:rsidR="00E37A81" w:rsidRDefault="00E37A81" w:rsidP="00E37A81">
      <w:pPr>
        <w:pStyle w:val="Body"/>
        <w:spacing w:after="0"/>
        <w:rPr>
          <w:rFonts w:ascii="Arial" w:hAnsi="Arial" w:cs="Arial"/>
        </w:rPr>
      </w:pPr>
      <w:r>
        <w:rPr>
          <w:rFonts w:ascii="Arial" w:hAnsi="Arial" w:cs="Arial"/>
        </w:rPr>
        <w:t>Authors have declared that no competing interests exists.</w:t>
      </w:r>
    </w:p>
    <w:p w:rsidR="008E0249" w:rsidRDefault="008E0249" w:rsidP="00E37A81">
      <w:pPr>
        <w:pStyle w:val="Body"/>
        <w:spacing w:after="0"/>
        <w:rPr>
          <w:rFonts w:ascii="Arial" w:hAnsi="Arial" w:cs="Arial"/>
        </w:rPr>
      </w:pPr>
    </w:p>
    <w:p w:rsidR="008E0249" w:rsidRDefault="008E0249" w:rsidP="008E0249"/>
    <w:p w:rsidR="008E0249" w:rsidRDefault="008E0249" w:rsidP="008E0249"/>
    <w:p w:rsidR="008E0249" w:rsidRDefault="008E0249" w:rsidP="00E37A81">
      <w:pPr>
        <w:pStyle w:val="Body"/>
        <w:spacing w:after="0"/>
        <w:rPr>
          <w:rFonts w:ascii="Arial" w:hAnsi="Arial" w:cs="Arial"/>
        </w:rPr>
      </w:pPr>
    </w:p>
    <w:p w:rsidR="00790ADA" w:rsidRPr="00FB3A86" w:rsidRDefault="00E37A81" w:rsidP="00441B6F">
      <w:pPr>
        <w:pStyle w:val="Body"/>
        <w:spacing w:after="0"/>
        <w:rPr>
          <w:rFonts w:ascii="Arial" w:hAnsi="Arial" w:cs="Arial"/>
        </w:rPr>
      </w:pPr>
      <w:r w:rsidRPr="00FB3A86">
        <w:rPr>
          <w:rFonts w:ascii="Arial" w:hAnsi="Arial" w:cs="Arial"/>
        </w:rPr>
        <w:t xml:space="preserve"> </w:t>
      </w:r>
    </w:p>
    <w:p w:rsidR="00E37A81" w:rsidRPr="00E37A81" w:rsidRDefault="00B01FCD" w:rsidP="00E37A81">
      <w:pPr>
        <w:pStyle w:val="ReferHead"/>
        <w:spacing w:after="0"/>
        <w:jc w:val="both"/>
        <w:rPr>
          <w:rFonts w:ascii="Arial" w:hAnsi="Arial" w:cs="Arial"/>
        </w:rPr>
      </w:pPr>
      <w:r w:rsidRPr="00FB3A86">
        <w:rPr>
          <w:rFonts w:ascii="Arial" w:hAnsi="Arial" w:cs="Arial"/>
        </w:rPr>
        <w:t>References</w:t>
      </w:r>
    </w:p>
    <w:p w:rsidR="00E37A81" w:rsidRDefault="00E37A81" w:rsidP="00E37A81">
      <w:pPr>
        <w:pStyle w:val="Body"/>
        <w:numPr>
          <w:ilvl w:val="0"/>
          <w:numId w:val="43"/>
        </w:numPr>
      </w:pPr>
      <w:proofErr w:type="spellStart"/>
      <w:r>
        <w:t>Gravholt</w:t>
      </w:r>
      <w:proofErr w:type="spellEnd"/>
      <w:r>
        <w:t xml:space="preserve"> CH, </w:t>
      </w:r>
      <w:proofErr w:type="spellStart"/>
      <w:r>
        <w:t>Viuff</w:t>
      </w:r>
      <w:proofErr w:type="spellEnd"/>
      <w:r>
        <w:t xml:space="preserve"> MH, Brun S, </w:t>
      </w:r>
      <w:proofErr w:type="spellStart"/>
      <w:r>
        <w:t>Stochholm</w:t>
      </w:r>
      <w:proofErr w:type="spellEnd"/>
      <w:r>
        <w:t xml:space="preserve"> K, Andersen NH. Turner syndrome: mechanisms and management. Nat Rev Endocrinol. 2019;15(10):601–614.</w:t>
      </w:r>
    </w:p>
    <w:p w:rsidR="00E37A81" w:rsidRDefault="00E37A81" w:rsidP="00E37A81">
      <w:pPr>
        <w:pStyle w:val="Body"/>
        <w:numPr>
          <w:ilvl w:val="0"/>
          <w:numId w:val="43"/>
        </w:numPr>
      </w:pPr>
      <w:r>
        <w:t xml:space="preserve">Ding F, Xu J, </w:t>
      </w:r>
      <w:proofErr w:type="spellStart"/>
      <w:r>
        <w:t>Xiong</w:t>
      </w:r>
      <w:proofErr w:type="spellEnd"/>
      <w:r>
        <w:t xml:space="preserve"> J, Li Q, Cheng Z, Deng L. Epidemiological analysis of Turner syndrome in children aged 0–14 years: global, regional, and national perspectives (1990–2021). Front Endocrinol (Lausanne). </w:t>
      </w:r>
      <w:proofErr w:type="gramStart"/>
      <w:r>
        <w:t>2025;16:1552300</w:t>
      </w:r>
      <w:proofErr w:type="gramEnd"/>
      <w:r>
        <w:t>.</w:t>
      </w:r>
    </w:p>
    <w:p w:rsidR="00E37A81" w:rsidRDefault="00E37A81" w:rsidP="00E37A81">
      <w:pPr>
        <w:pStyle w:val="Body"/>
        <w:numPr>
          <w:ilvl w:val="0"/>
          <w:numId w:val="43"/>
        </w:numPr>
      </w:pPr>
      <w:r>
        <w:t>Zhong Q, Layman LC. Genetic considerations in the patient with Turner syndrome—</w:t>
      </w:r>
      <w:proofErr w:type="gramStart"/>
      <w:r>
        <w:t>45,X</w:t>
      </w:r>
      <w:proofErr w:type="gramEnd"/>
      <w:r>
        <w:t xml:space="preserve"> with or without mosaicism. </w:t>
      </w:r>
      <w:proofErr w:type="spellStart"/>
      <w:r>
        <w:t>Fertil</w:t>
      </w:r>
      <w:proofErr w:type="spellEnd"/>
      <w:r>
        <w:t xml:space="preserve"> </w:t>
      </w:r>
      <w:proofErr w:type="spellStart"/>
      <w:r>
        <w:t>Steril</w:t>
      </w:r>
      <w:proofErr w:type="spellEnd"/>
      <w:r>
        <w:t>. 2012;98(4):775–779.</w:t>
      </w:r>
    </w:p>
    <w:p w:rsidR="00E37A81" w:rsidRDefault="00E37A81" w:rsidP="00E37A81">
      <w:pPr>
        <w:pStyle w:val="Body"/>
        <w:numPr>
          <w:ilvl w:val="0"/>
          <w:numId w:val="43"/>
        </w:numPr>
      </w:pPr>
      <w:proofErr w:type="spellStart"/>
      <w:r>
        <w:t>Lleo</w:t>
      </w:r>
      <w:proofErr w:type="spellEnd"/>
      <w:r>
        <w:t xml:space="preserve"> A, Moroni L, </w:t>
      </w:r>
      <w:proofErr w:type="spellStart"/>
      <w:r>
        <w:t>Caliari</w:t>
      </w:r>
      <w:proofErr w:type="spellEnd"/>
      <w:r>
        <w:t xml:space="preserve"> L, </w:t>
      </w:r>
      <w:proofErr w:type="spellStart"/>
      <w:r>
        <w:t>Invernizzi</w:t>
      </w:r>
      <w:proofErr w:type="spellEnd"/>
      <w:r>
        <w:t xml:space="preserve"> P. Autoimmunity and Turner’s syndrome. </w:t>
      </w:r>
      <w:proofErr w:type="spellStart"/>
      <w:r>
        <w:t>Autoimmun</w:t>
      </w:r>
      <w:proofErr w:type="spellEnd"/>
      <w:r>
        <w:t xml:space="preserve"> Rev. 2012;11(8</w:t>
      </w:r>
      <w:proofErr w:type="gramStart"/>
      <w:r>
        <w:t>):A</w:t>
      </w:r>
      <w:proofErr w:type="gramEnd"/>
      <w:r>
        <w:t xml:space="preserve">538–A543. </w:t>
      </w:r>
      <w:proofErr w:type="gramStart"/>
      <w:r>
        <w:t>doi:10.1016/j.autrev</w:t>
      </w:r>
      <w:proofErr w:type="gramEnd"/>
      <w:r>
        <w:t>.2011.11.015.</w:t>
      </w:r>
    </w:p>
    <w:p w:rsidR="00E37A81" w:rsidRDefault="00E37A81" w:rsidP="00E37A81">
      <w:pPr>
        <w:pStyle w:val="Body"/>
        <w:numPr>
          <w:ilvl w:val="0"/>
          <w:numId w:val="43"/>
        </w:numPr>
      </w:pPr>
      <w:proofErr w:type="spellStart"/>
      <w:r>
        <w:t>Loscalzo</w:t>
      </w:r>
      <w:proofErr w:type="spellEnd"/>
      <w:r>
        <w:t xml:space="preserve"> ML. Turner syndrome. </w:t>
      </w:r>
      <w:proofErr w:type="spellStart"/>
      <w:r>
        <w:t>Pediatr</w:t>
      </w:r>
      <w:proofErr w:type="spellEnd"/>
      <w:r>
        <w:t xml:space="preserve"> Rev. 2008;29(7):219–227.</w:t>
      </w:r>
    </w:p>
    <w:p w:rsidR="00A90CE3" w:rsidRDefault="00A90CE3" w:rsidP="00E37A81">
      <w:pPr>
        <w:pStyle w:val="Body"/>
        <w:numPr>
          <w:ilvl w:val="0"/>
          <w:numId w:val="43"/>
        </w:numPr>
      </w:pPr>
      <w:proofErr w:type="spellStart"/>
      <w:r>
        <w:t>Sakakibara</w:t>
      </w:r>
      <w:proofErr w:type="spellEnd"/>
      <w:r>
        <w:t xml:space="preserve"> H. Transition of women with Turner syndrome from pediatrics to adult health care: current situation and associated problems. </w:t>
      </w:r>
      <w:r w:rsidRPr="003C71DB">
        <w:rPr>
          <w:rStyle w:val="Strong"/>
          <w:b w:val="0"/>
        </w:rPr>
        <w:t xml:space="preserve">Front </w:t>
      </w:r>
      <w:proofErr w:type="spellStart"/>
      <w:r w:rsidRPr="003C71DB">
        <w:rPr>
          <w:rStyle w:val="Strong"/>
          <w:b w:val="0"/>
        </w:rPr>
        <w:t>Pediatr</w:t>
      </w:r>
      <w:proofErr w:type="spellEnd"/>
      <w:r>
        <w:rPr>
          <w:rStyle w:val="Strong"/>
        </w:rPr>
        <w:t>.</w:t>
      </w:r>
      <w:r>
        <w:t xml:space="preserve"> </w:t>
      </w:r>
      <w:proofErr w:type="gramStart"/>
      <w:r>
        <w:t>2017;5:28</w:t>
      </w:r>
      <w:proofErr w:type="gramEnd"/>
      <w:r>
        <w:t>.</w:t>
      </w:r>
    </w:p>
    <w:p w:rsidR="003C71DB" w:rsidRPr="003C71DB" w:rsidRDefault="003C71DB" w:rsidP="00E37A81">
      <w:pPr>
        <w:pStyle w:val="Body"/>
        <w:numPr>
          <w:ilvl w:val="0"/>
          <w:numId w:val="43"/>
        </w:numPr>
        <w:rPr>
          <w:b/>
        </w:rPr>
      </w:pPr>
      <w:proofErr w:type="spellStart"/>
      <w:r>
        <w:t>Więcek</w:t>
      </w:r>
      <w:proofErr w:type="spellEnd"/>
      <w:r>
        <w:t xml:space="preserve"> M, Donaldson M, </w:t>
      </w:r>
      <w:proofErr w:type="spellStart"/>
      <w:r>
        <w:t>Gawlik-Starzyk</w:t>
      </w:r>
      <w:proofErr w:type="spellEnd"/>
      <w:r>
        <w:t xml:space="preserve"> A. Editorial: Transition to adulthood in Turner syndrom</w:t>
      </w:r>
      <w:r w:rsidRPr="003C71DB">
        <w:t>e.</w:t>
      </w:r>
      <w:r w:rsidRPr="003C71DB">
        <w:rPr>
          <w:b/>
        </w:rPr>
        <w:t xml:space="preserve"> </w:t>
      </w:r>
      <w:r w:rsidRPr="003C71DB">
        <w:rPr>
          <w:rStyle w:val="Strong"/>
          <w:b w:val="0"/>
        </w:rPr>
        <w:t>Front Endocrinol (Lausanne).</w:t>
      </w:r>
      <w:r w:rsidRPr="003C71DB">
        <w:rPr>
          <w:b/>
        </w:rPr>
        <w:t xml:space="preserve"> </w:t>
      </w:r>
      <w:proofErr w:type="gramStart"/>
      <w:r w:rsidRPr="003C71DB">
        <w:t>2024;15:1431972</w:t>
      </w:r>
      <w:proofErr w:type="gramEnd"/>
      <w:r w:rsidRPr="003C71DB">
        <w:t>.</w:t>
      </w:r>
    </w:p>
    <w:p w:rsidR="00B01FCD" w:rsidRDefault="00E37A81" w:rsidP="00E37A81">
      <w:pPr>
        <w:pStyle w:val="Body"/>
        <w:numPr>
          <w:ilvl w:val="0"/>
          <w:numId w:val="43"/>
        </w:numPr>
      </w:pPr>
      <w:r>
        <w:t xml:space="preserve">Khan N, Farooqui A, Ishrat R. Turner syndrome: where are we? </w:t>
      </w:r>
      <w:proofErr w:type="spellStart"/>
      <w:r>
        <w:t>Orphanet</w:t>
      </w:r>
      <w:proofErr w:type="spellEnd"/>
      <w:r>
        <w:t xml:space="preserve"> J Rare Dis. </w:t>
      </w:r>
      <w:proofErr w:type="gramStart"/>
      <w:r>
        <w:t>2024;19:314</w:t>
      </w:r>
      <w:proofErr w:type="gramEnd"/>
      <w:r>
        <w:t xml:space="preserve">. </w:t>
      </w:r>
    </w:p>
    <w:p w:rsidR="003C71DB" w:rsidRDefault="003C71DB" w:rsidP="00E37A81">
      <w:pPr>
        <w:pStyle w:val="Body"/>
        <w:numPr>
          <w:ilvl w:val="0"/>
          <w:numId w:val="43"/>
        </w:numPr>
      </w:pPr>
      <w:proofErr w:type="spellStart"/>
      <w:r>
        <w:t>Gravholt</w:t>
      </w:r>
      <w:proofErr w:type="spellEnd"/>
      <w:r>
        <w:t xml:space="preserve"> CH, Andersen NH, Co</w:t>
      </w:r>
      <w:r w:rsidRPr="003C71DB">
        <w:t xml:space="preserve">nway GS, </w:t>
      </w:r>
      <w:proofErr w:type="spellStart"/>
      <w:r w:rsidRPr="003C71DB">
        <w:t>Dekkers</w:t>
      </w:r>
      <w:proofErr w:type="spellEnd"/>
      <w:r w:rsidRPr="003C71DB">
        <w:t xml:space="preserve"> OM, </w:t>
      </w:r>
      <w:proofErr w:type="spellStart"/>
      <w:r w:rsidRPr="003C71DB">
        <w:t>Geffner</w:t>
      </w:r>
      <w:proofErr w:type="spellEnd"/>
      <w:r w:rsidRPr="003C71DB">
        <w:t xml:space="preserve"> ME, Klein KO, et al.; Turner Syndrome Study Group. Clinical practice guidelines for the care of girls and women with Turner syndrome: proceedings from the 2016 Cincinnati International Turner Syndrome Meeting. </w:t>
      </w:r>
      <w:r w:rsidRPr="003C71DB">
        <w:rPr>
          <w:rStyle w:val="Strong"/>
          <w:b w:val="0"/>
        </w:rPr>
        <w:t>Eur J Endocrinol.</w:t>
      </w:r>
      <w:r w:rsidRPr="003C71DB">
        <w:rPr>
          <w:b/>
        </w:rPr>
        <w:t xml:space="preserve"> </w:t>
      </w:r>
      <w:r w:rsidRPr="003C71DB">
        <w:t>2017;177(3</w:t>
      </w:r>
      <w:proofErr w:type="gramStart"/>
      <w:r w:rsidRPr="003C71DB">
        <w:t>):G</w:t>
      </w:r>
      <w:proofErr w:type="gramEnd"/>
      <w:r w:rsidRPr="003C71DB">
        <w:t>1–G70.</w:t>
      </w:r>
    </w:p>
    <w:p w:rsidR="003C71DB" w:rsidRDefault="003C71DB" w:rsidP="00E37A81">
      <w:pPr>
        <w:pStyle w:val="Body"/>
        <w:numPr>
          <w:ilvl w:val="0"/>
          <w:numId w:val="43"/>
        </w:numPr>
      </w:pPr>
      <w:r w:rsidRPr="003C71DB">
        <w:t>Wolff DJ, Van Dyke DL, Powell CM; ACMG Laboratory Quality Assurance Committee Working Group. Laboratory guideline for Turner syndrome. Genet Med. 2010;12(1):52–55</w:t>
      </w:r>
      <w:r>
        <w:t>.</w:t>
      </w:r>
    </w:p>
    <w:p w:rsidR="003C71DB" w:rsidRPr="003C71DB" w:rsidRDefault="003C71DB" w:rsidP="00E37A81">
      <w:pPr>
        <w:pStyle w:val="Body"/>
        <w:numPr>
          <w:ilvl w:val="0"/>
          <w:numId w:val="43"/>
        </w:numPr>
      </w:pPr>
      <w:r w:rsidRPr="003C71DB">
        <w:t xml:space="preserve">Aversa T, De </w:t>
      </w:r>
      <w:proofErr w:type="spellStart"/>
      <w:r w:rsidRPr="003C71DB">
        <w:t>Sanctis</w:t>
      </w:r>
      <w:proofErr w:type="spellEnd"/>
      <w:r w:rsidRPr="003C71DB">
        <w:t xml:space="preserve"> L, </w:t>
      </w:r>
      <w:proofErr w:type="spellStart"/>
      <w:r w:rsidRPr="003C71DB">
        <w:t>Faienza</w:t>
      </w:r>
      <w:proofErr w:type="spellEnd"/>
      <w:r w:rsidRPr="003C71DB">
        <w:t xml:space="preserve"> MF, </w:t>
      </w:r>
      <w:proofErr w:type="spellStart"/>
      <w:r w:rsidRPr="003C71DB">
        <w:t>Gambineri</w:t>
      </w:r>
      <w:proofErr w:type="spellEnd"/>
      <w:r w:rsidRPr="003C71DB">
        <w:t xml:space="preserve"> A, </w:t>
      </w:r>
      <w:proofErr w:type="spellStart"/>
      <w:r w:rsidRPr="003C71DB">
        <w:t>Balducci</w:t>
      </w:r>
      <w:proofErr w:type="spellEnd"/>
      <w:r w:rsidRPr="003C71DB">
        <w:t xml:space="preserve"> A, </w:t>
      </w:r>
      <w:proofErr w:type="spellStart"/>
      <w:r w:rsidRPr="003C71DB">
        <w:t>D’Aprile</w:t>
      </w:r>
      <w:proofErr w:type="spellEnd"/>
      <w:r w:rsidRPr="003C71DB">
        <w:t xml:space="preserve"> R, et al. Transition from pediatric to adult care in patients with Turner syndrome in Italy: a consensus statement by the TRAMITI project. J Endocrinol Invest. 2024;47(7):1585–1598.</w:t>
      </w:r>
    </w:p>
    <w:sectPr w:rsidR="003C71DB" w:rsidRPr="003C71DB" w:rsidSect="00050246">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3EC8" w:rsidRDefault="00393EC8" w:rsidP="00C37E61">
      <w:r>
        <w:separator/>
      </w:r>
    </w:p>
  </w:endnote>
  <w:endnote w:type="continuationSeparator" w:id="0">
    <w:p w:rsidR="00393EC8" w:rsidRDefault="00393EC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3EC8" w:rsidRDefault="00393EC8" w:rsidP="00C37E61">
      <w:r>
        <w:separator/>
      </w:r>
    </w:p>
  </w:footnote>
  <w:footnote w:type="continuationSeparator" w:id="0">
    <w:p w:rsidR="00393EC8" w:rsidRDefault="00393EC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246" w:rsidRDefault="007C2B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35879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246" w:rsidRDefault="007C2B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35879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7C2BD2"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35879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246" w:rsidRDefault="007C2B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35880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246" w:rsidRDefault="007C2B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35880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246" w:rsidRDefault="007C2B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35879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E06516"/>
    <w:multiLevelType w:val="hybridMultilevel"/>
    <w:tmpl w:val="9AEE3BFC"/>
    <w:lvl w:ilvl="0" w:tplc="871A636C">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B637A77"/>
    <w:multiLevelType w:val="hybridMultilevel"/>
    <w:tmpl w:val="F3E2F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0565D77"/>
    <w:multiLevelType w:val="hybridMultilevel"/>
    <w:tmpl w:val="DCCCF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A4F05D2"/>
    <w:multiLevelType w:val="hybridMultilevel"/>
    <w:tmpl w:val="D364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02E32A0"/>
    <w:multiLevelType w:val="hybridMultilevel"/>
    <w:tmpl w:val="AD005A70"/>
    <w:lvl w:ilvl="0" w:tplc="EA64BC4A">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740414"/>
    <w:multiLevelType w:val="hybridMultilevel"/>
    <w:tmpl w:val="58E6F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B0D539C"/>
    <w:multiLevelType w:val="multilevel"/>
    <w:tmpl w:val="BCEE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CFD07FB"/>
    <w:multiLevelType w:val="hybridMultilevel"/>
    <w:tmpl w:val="96DA9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A26D1F"/>
    <w:multiLevelType w:val="hybridMultilevel"/>
    <w:tmpl w:val="0F02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4FAB2151"/>
    <w:multiLevelType w:val="hybridMultilevel"/>
    <w:tmpl w:val="3CFC0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077DC3"/>
    <w:multiLevelType w:val="hybridMultilevel"/>
    <w:tmpl w:val="F13AC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5F4B10ED"/>
    <w:multiLevelType w:val="hybridMultilevel"/>
    <w:tmpl w:val="29C24C6C"/>
    <w:lvl w:ilvl="0" w:tplc="88AEDF8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6DEB2059"/>
    <w:multiLevelType w:val="hybridMultilevel"/>
    <w:tmpl w:val="5A201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7" w15:restartNumberingAfterBreak="0">
    <w:nsid w:val="75434E21"/>
    <w:multiLevelType w:val="hybridMultilevel"/>
    <w:tmpl w:val="A63AB1B0"/>
    <w:lvl w:ilvl="0" w:tplc="984AB2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5926BB"/>
    <w:multiLevelType w:val="hybridMultilevel"/>
    <w:tmpl w:val="B754C82A"/>
    <w:lvl w:ilvl="0" w:tplc="57F25B1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4"/>
  </w:num>
  <w:num w:numId="3">
    <w:abstractNumId w:val="3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8"/>
  </w:num>
  <w:num w:numId="7">
    <w:abstractNumId w:val="2"/>
  </w:num>
  <w:num w:numId="8">
    <w:abstractNumId w:val="19"/>
  </w:num>
  <w:num w:numId="9">
    <w:abstractNumId w:val="40"/>
  </w:num>
  <w:num w:numId="10">
    <w:abstractNumId w:val="3"/>
  </w:num>
  <w:num w:numId="11">
    <w:abstractNumId w:val="30"/>
  </w:num>
  <w:num w:numId="12">
    <w:abstractNumId w:val="4"/>
  </w:num>
  <w:num w:numId="13">
    <w:abstractNumId w:val="28"/>
  </w:num>
  <w:num w:numId="14">
    <w:abstractNumId w:val="12"/>
  </w:num>
  <w:num w:numId="15">
    <w:abstractNumId w:val="34"/>
  </w:num>
  <w:num w:numId="16">
    <w:abstractNumId w:val="6"/>
  </w:num>
  <w:num w:numId="17">
    <w:abstractNumId w:val="35"/>
  </w:num>
  <w:num w:numId="18">
    <w:abstractNumId w:val="21"/>
  </w:num>
  <w:num w:numId="19">
    <w:abstractNumId w:val="43"/>
  </w:num>
  <w:num w:numId="20">
    <w:abstractNumId w:val="17"/>
  </w:num>
  <w:num w:numId="21">
    <w:abstractNumId w:val="14"/>
  </w:num>
  <w:num w:numId="22">
    <w:abstractNumId w:val="20"/>
  </w:num>
  <w:num w:numId="23">
    <w:abstractNumId w:val="32"/>
  </w:num>
  <w:num w:numId="24">
    <w:abstractNumId w:val="41"/>
  </w:num>
  <w:num w:numId="25">
    <w:abstractNumId w:val="5"/>
  </w:num>
  <w:num w:numId="26">
    <w:abstractNumId w:val="26"/>
  </w:num>
  <w:num w:numId="27">
    <w:abstractNumId w:val="33"/>
  </w:num>
  <w:num w:numId="28">
    <w:abstractNumId w:val="42"/>
  </w:num>
  <w:num w:numId="29">
    <w:abstractNumId w:val="39"/>
  </w:num>
  <w:num w:numId="30">
    <w:abstractNumId w:val="15"/>
  </w:num>
  <w:num w:numId="31">
    <w:abstractNumId w:val="7"/>
  </w:num>
  <w:num w:numId="32">
    <w:abstractNumId w:val="29"/>
  </w:num>
  <w:num w:numId="33">
    <w:abstractNumId w:val="31"/>
  </w:num>
  <w:num w:numId="34">
    <w:abstractNumId w:val="38"/>
  </w:num>
  <w:num w:numId="35">
    <w:abstractNumId w:val="23"/>
  </w:num>
  <w:num w:numId="36">
    <w:abstractNumId w:val="9"/>
  </w:num>
  <w:num w:numId="37">
    <w:abstractNumId w:val="11"/>
  </w:num>
  <w:num w:numId="38">
    <w:abstractNumId w:val="1"/>
  </w:num>
  <w:num w:numId="39">
    <w:abstractNumId w:val="27"/>
  </w:num>
  <w:num w:numId="40">
    <w:abstractNumId w:val="22"/>
  </w:num>
  <w:num w:numId="41">
    <w:abstractNumId w:val="25"/>
  </w:num>
  <w:num w:numId="42">
    <w:abstractNumId w:val="13"/>
  </w:num>
  <w:num w:numId="43">
    <w:abstractNumId w:val="16"/>
  </w:num>
  <w:num w:numId="44">
    <w:abstractNumId w:val="37"/>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0246"/>
    <w:rsid w:val="000966C6"/>
    <w:rsid w:val="000A47FA"/>
    <w:rsid w:val="000A65D3"/>
    <w:rsid w:val="000B1E33"/>
    <w:rsid w:val="000D689F"/>
    <w:rsid w:val="000E7B7B"/>
    <w:rsid w:val="000E7D62"/>
    <w:rsid w:val="00103357"/>
    <w:rsid w:val="00123C9F"/>
    <w:rsid w:val="00126190"/>
    <w:rsid w:val="00130F17"/>
    <w:rsid w:val="001320BF"/>
    <w:rsid w:val="001401F4"/>
    <w:rsid w:val="00163BC4"/>
    <w:rsid w:val="00174989"/>
    <w:rsid w:val="00191062"/>
    <w:rsid w:val="00192B72"/>
    <w:rsid w:val="001A29D8"/>
    <w:rsid w:val="001A5CAA"/>
    <w:rsid w:val="001B0427"/>
    <w:rsid w:val="001C317D"/>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51B6F"/>
    <w:rsid w:val="00371FB6"/>
    <w:rsid w:val="003763C1"/>
    <w:rsid w:val="00376BBE"/>
    <w:rsid w:val="0039224F"/>
    <w:rsid w:val="00393EC8"/>
    <w:rsid w:val="003A43A4"/>
    <w:rsid w:val="003A7E18"/>
    <w:rsid w:val="003C4C86"/>
    <w:rsid w:val="003C6258"/>
    <w:rsid w:val="003C71DB"/>
    <w:rsid w:val="003D5D99"/>
    <w:rsid w:val="003E2904"/>
    <w:rsid w:val="00401927"/>
    <w:rsid w:val="0041027F"/>
    <w:rsid w:val="00412475"/>
    <w:rsid w:val="00423789"/>
    <w:rsid w:val="00440F43"/>
    <w:rsid w:val="00441B6F"/>
    <w:rsid w:val="00446221"/>
    <w:rsid w:val="00450E62"/>
    <w:rsid w:val="004539DB"/>
    <w:rsid w:val="00471A80"/>
    <w:rsid w:val="004C23AF"/>
    <w:rsid w:val="004D305E"/>
    <w:rsid w:val="004D4277"/>
    <w:rsid w:val="004F2013"/>
    <w:rsid w:val="00502516"/>
    <w:rsid w:val="00505F06"/>
    <w:rsid w:val="00506828"/>
    <w:rsid w:val="0053056E"/>
    <w:rsid w:val="00554FDA"/>
    <w:rsid w:val="005C784C"/>
    <w:rsid w:val="005D17F6"/>
    <w:rsid w:val="005E5539"/>
    <w:rsid w:val="00602BF5"/>
    <w:rsid w:val="00617FDD"/>
    <w:rsid w:val="0063114B"/>
    <w:rsid w:val="00633614"/>
    <w:rsid w:val="00633F68"/>
    <w:rsid w:val="00636EB2"/>
    <w:rsid w:val="006375B8"/>
    <w:rsid w:val="0065280A"/>
    <w:rsid w:val="00656106"/>
    <w:rsid w:val="0066510A"/>
    <w:rsid w:val="00673F9F"/>
    <w:rsid w:val="00686953"/>
    <w:rsid w:val="00687DEA"/>
    <w:rsid w:val="00687E67"/>
    <w:rsid w:val="006967F7"/>
    <w:rsid w:val="006A250C"/>
    <w:rsid w:val="006A2D90"/>
    <w:rsid w:val="006B21D3"/>
    <w:rsid w:val="006B57D0"/>
    <w:rsid w:val="006D30FF"/>
    <w:rsid w:val="006D6940"/>
    <w:rsid w:val="006E665E"/>
    <w:rsid w:val="006F11EC"/>
    <w:rsid w:val="0070082C"/>
    <w:rsid w:val="007369E6"/>
    <w:rsid w:val="00746E59"/>
    <w:rsid w:val="00754C9A"/>
    <w:rsid w:val="0075599A"/>
    <w:rsid w:val="00761D52"/>
    <w:rsid w:val="0077749E"/>
    <w:rsid w:val="00790ADA"/>
    <w:rsid w:val="007B1B2D"/>
    <w:rsid w:val="007C2BD2"/>
    <w:rsid w:val="007D2288"/>
    <w:rsid w:val="007E088F"/>
    <w:rsid w:val="007E5F5C"/>
    <w:rsid w:val="007F7B32"/>
    <w:rsid w:val="00804BC2"/>
    <w:rsid w:val="0081431A"/>
    <w:rsid w:val="0083216F"/>
    <w:rsid w:val="00860000"/>
    <w:rsid w:val="00863BD3"/>
    <w:rsid w:val="008641ED"/>
    <w:rsid w:val="00866D66"/>
    <w:rsid w:val="008671C6"/>
    <w:rsid w:val="00875803"/>
    <w:rsid w:val="008B459E"/>
    <w:rsid w:val="008D3566"/>
    <w:rsid w:val="008E0249"/>
    <w:rsid w:val="008E13AE"/>
    <w:rsid w:val="008E1506"/>
    <w:rsid w:val="008E710C"/>
    <w:rsid w:val="008F69D6"/>
    <w:rsid w:val="00902823"/>
    <w:rsid w:val="00915CA6"/>
    <w:rsid w:val="00927834"/>
    <w:rsid w:val="009500A6"/>
    <w:rsid w:val="00957C18"/>
    <w:rsid w:val="009648BF"/>
    <w:rsid w:val="009659BA"/>
    <w:rsid w:val="00983040"/>
    <w:rsid w:val="009B3FB9"/>
    <w:rsid w:val="009B55EE"/>
    <w:rsid w:val="009C2465"/>
    <w:rsid w:val="009D17D9"/>
    <w:rsid w:val="009D35A0"/>
    <w:rsid w:val="009D7EB7"/>
    <w:rsid w:val="009E048A"/>
    <w:rsid w:val="009E08E9"/>
    <w:rsid w:val="009E3DB9"/>
    <w:rsid w:val="009E6E35"/>
    <w:rsid w:val="009F0EDA"/>
    <w:rsid w:val="009F57DA"/>
    <w:rsid w:val="00A03B96"/>
    <w:rsid w:val="00A05B19"/>
    <w:rsid w:val="00A1134E"/>
    <w:rsid w:val="00A24E7E"/>
    <w:rsid w:val="00A258C3"/>
    <w:rsid w:val="00A347C0"/>
    <w:rsid w:val="00A51431"/>
    <w:rsid w:val="00A539AD"/>
    <w:rsid w:val="00A90CE3"/>
    <w:rsid w:val="00A94063"/>
    <w:rsid w:val="00AA6219"/>
    <w:rsid w:val="00AA74E0"/>
    <w:rsid w:val="00AB703F"/>
    <w:rsid w:val="00AC6BB8"/>
    <w:rsid w:val="00AE008F"/>
    <w:rsid w:val="00B01FCD"/>
    <w:rsid w:val="00B11988"/>
    <w:rsid w:val="00B1776C"/>
    <w:rsid w:val="00B4274A"/>
    <w:rsid w:val="00B52583"/>
    <w:rsid w:val="00B52896"/>
    <w:rsid w:val="00B95236"/>
    <w:rsid w:val="00B96BD9"/>
    <w:rsid w:val="00BA1B01"/>
    <w:rsid w:val="00BA2641"/>
    <w:rsid w:val="00BB37AA"/>
    <w:rsid w:val="00BC53A0"/>
    <w:rsid w:val="00BD72DF"/>
    <w:rsid w:val="00BE1AEF"/>
    <w:rsid w:val="00BE62AD"/>
    <w:rsid w:val="00BF121F"/>
    <w:rsid w:val="00BF1F80"/>
    <w:rsid w:val="00C166EF"/>
    <w:rsid w:val="00C17EB0"/>
    <w:rsid w:val="00C27F5F"/>
    <w:rsid w:val="00C30A0F"/>
    <w:rsid w:val="00C37E61"/>
    <w:rsid w:val="00C43535"/>
    <w:rsid w:val="00C70F1B"/>
    <w:rsid w:val="00C71A47"/>
    <w:rsid w:val="00C7464C"/>
    <w:rsid w:val="00C85588"/>
    <w:rsid w:val="00CC08C8"/>
    <w:rsid w:val="00CD6755"/>
    <w:rsid w:val="00CD6856"/>
    <w:rsid w:val="00CE0089"/>
    <w:rsid w:val="00CE793C"/>
    <w:rsid w:val="00CF193C"/>
    <w:rsid w:val="00D173F1"/>
    <w:rsid w:val="00D45E37"/>
    <w:rsid w:val="00D74CB0"/>
    <w:rsid w:val="00D8295D"/>
    <w:rsid w:val="00DC2A65"/>
    <w:rsid w:val="00DE15F0"/>
    <w:rsid w:val="00DE5663"/>
    <w:rsid w:val="00DE78AA"/>
    <w:rsid w:val="00E053D0"/>
    <w:rsid w:val="00E15994"/>
    <w:rsid w:val="00E3114E"/>
    <w:rsid w:val="00E31A70"/>
    <w:rsid w:val="00E35B02"/>
    <w:rsid w:val="00E37A81"/>
    <w:rsid w:val="00E66496"/>
    <w:rsid w:val="00E66B35"/>
    <w:rsid w:val="00E66E10"/>
    <w:rsid w:val="00E769F6"/>
    <w:rsid w:val="00E827A1"/>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B7609"/>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_x0000_s1026"/>
      </o:rules>
    </o:shapelayout>
  </w:shapeDefaults>
  <w:decimalSymbol w:val="."/>
  <w:listSeparator w:val=","/>
  <w14:docId w14:val="5D83072B"/>
  <w15:docId w15:val="{14D28920-F4E5-4538-8443-C1E251CB8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37A81"/>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E37A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3748043">
      <w:bodyDiv w:val="1"/>
      <w:marLeft w:val="0"/>
      <w:marRight w:val="0"/>
      <w:marTop w:val="0"/>
      <w:marBottom w:val="0"/>
      <w:divBdr>
        <w:top w:val="none" w:sz="0" w:space="0" w:color="auto"/>
        <w:left w:val="none" w:sz="0" w:space="0" w:color="auto"/>
        <w:bottom w:val="none" w:sz="0" w:space="0" w:color="auto"/>
        <w:right w:val="none" w:sz="0" w:space="0" w:color="auto"/>
      </w:divBdr>
    </w:div>
    <w:div w:id="12204596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387281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23575112">
      <w:bodyDiv w:val="1"/>
      <w:marLeft w:val="0"/>
      <w:marRight w:val="0"/>
      <w:marTop w:val="0"/>
      <w:marBottom w:val="0"/>
      <w:divBdr>
        <w:top w:val="none" w:sz="0" w:space="0" w:color="auto"/>
        <w:left w:val="none" w:sz="0" w:space="0" w:color="auto"/>
        <w:bottom w:val="none" w:sz="0" w:space="0" w:color="auto"/>
        <w:right w:val="none" w:sz="0" w:space="0" w:color="auto"/>
      </w:divBdr>
      <w:divsChild>
        <w:div w:id="1671640193">
          <w:marLeft w:val="0"/>
          <w:marRight w:val="0"/>
          <w:marTop w:val="0"/>
          <w:marBottom w:val="0"/>
          <w:divBdr>
            <w:top w:val="none" w:sz="0" w:space="0" w:color="auto"/>
            <w:left w:val="none" w:sz="0" w:space="0" w:color="auto"/>
            <w:bottom w:val="none" w:sz="0" w:space="0" w:color="auto"/>
            <w:right w:val="none" w:sz="0" w:space="0" w:color="auto"/>
          </w:divBdr>
          <w:divsChild>
            <w:div w:id="1786656824">
              <w:marLeft w:val="0"/>
              <w:marRight w:val="0"/>
              <w:marTop w:val="0"/>
              <w:marBottom w:val="0"/>
              <w:divBdr>
                <w:top w:val="none" w:sz="0" w:space="0" w:color="auto"/>
                <w:left w:val="none" w:sz="0" w:space="0" w:color="auto"/>
                <w:bottom w:val="none" w:sz="0" w:space="0" w:color="auto"/>
                <w:right w:val="none" w:sz="0" w:space="0" w:color="auto"/>
              </w:divBdr>
              <w:divsChild>
                <w:div w:id="136384209">
                  <w:marLeft w:val="0"/>
                  <w:marRight w:val="0"/>
                  <w:marTop w:val="0"/>
                  <w:marBottom w:val="0"/>
                  <w:divBdr>
                    <w:top w:val="none" w:sz="0" w:space="0" w:color="auto"/>
                    <w:left w:val="none" w:sz="0" w:space="0" w:color="auto"/>
                    <w:bottom w:val="none" w:sz="0" w:space="0" w:color="auto"/>
                    <w:right w:val="none" w:sz="0" w:space="0" w:color="auto"/>
                  </w:divBdr>
                  <w:divsChild>
                    <w:div w:id="1477335080">
                      <w:marLeft w:val="0"/>
                      <w:marRight w:val="0"/>
                      <w:marTop w:val="0"/>
                      <w:marBottom w:val="0"/>
                      <w:divBdr>
                        <w:top w:val="none" w:sz="0" w:space="0" w:color="auto"/>
                        <w:left w:val="none" w:sz="0" w:space="0" w:color="auto"/>
                        <w:bottom w:val="none" w:sz="0" w:space="0" w:color="auto"/>
                        <w:right w:val="none" w:sz="0" w:space="0" w:color="auto"/>
                      </w:divBdr>
                      <w:divsChild>
                        <w:div w:id="944117560">
                          <w:marLeft w:val="0"/>
                          <w:marRight w:val="0"/>
                          <w:marTop w:val="0"/>
                          <w:marBottom w:val="0"/>
                          <w:divBdr>
                            <w:top w:val="none" w:sz="0" w:space="0" w:color="auto"/>
                            <w:left w:val="none" w:sz="0" w:space="0" w:color="auto"/>
                            <w:bottom w:val="none" w:sz="0" w:space="0" w:color="auto"/>
                            <w:right w:val="none" w:sz="0" w:space="0" w:color="auto"/>
                          </w:divBdr>
                          <w:divsChild>
                            <w:div w:id="194426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730547">
          <w:marLeft w:val="0"/>
          <w:marRight w:val="0"/>
          <w:marTop w:val="0"/>
          <w:marBottom w:val="0"/>
          <w:divBdr>
            <w:top w:val="none" w:sz="0" w:space="0" w:color="auto"/>
            <w:left w:val="none" w:sz="0" w:space="0" w:color="auto"/>
            <w:bottom w:val="none" w:sz="0" w:space="0" w:color="auto"/>
            <w:right w:val="none" w:sz="0" w:space="0" w:color="auto"/>
          </w:divBdr>
          <w:divsChild>
            <w:div w:id="1569727512">
              <w:marLeft w:val="0"/>
              <w:marRight w:val="0"/>
              <w:marTop w:val="0"/>
              <w:marBottom w:val="0"/>
              <w:divBdr>
                <w:top w:val="none" w:sz="0" w:space="0" w:color="auto"/>
                <w:left w:val="none" w:sz="0" w:space="0" w:color="auto"/>
                <w:bottom w:val="none" w:sz="0" w:space="0" w:color="auto"/>
                <w:right w:val="none" w:sz="0" w:space="0" w:color="auto"/>
              </w:divBdr>
              <w:divsChild>
                <w:div w:id="1067609208">
                  <w:marLeft w:val="0"/>
                  <w:marRight w:val="0"/>
                  <w:marTop w:val="0"/>
                  <w:marBottom w:val="0"/>
                  <w:divBdr>
                    <w:top w:val="none" w:sz="0" w:space="0" w:color="auto"/>
                    <w:left w:val="none" w:sz="0" w:space="0" w:color="auto"/>
                    <w:bottom w:val="none" w:sz="0" w:space="0" w:color="auto"/>
                    <w:right w:val="none" w:sz="0" w:space="0" w:color="auto"/>
                  </w:divBdr>
                  <w:divsChild>
                    <w:div w:id="1893228419">
                      <w:marLeft w:val="0"/>
                      <w:marRight w:val="0"/>
                      <w:marTop w:val="0"/>
                      <w:marBottom w:val="0"/>
                      <w:divBdr>
                        <w:top w:val="none" w:sz="0" w:space="0" w:color="auto"/>
                        <w:left w:val="none" w:sz="0" w:space="0" w:color="auto"/>
                        <w:bottom w:val="none" w:sz="0" w:space="0" w:color="auto"/>
                        <w:right w:val="none" w:sz="0" w:space="0" w:color="auto"/>
                      </w:divBdr>
                      <w:divsChild>
                        <w:div w:id="1282230650">
                          <w:marLeft w:val="0"/>
                          <w:marRight w:val="0"/>
                          <w:marTop w:val="0"/>
                          <w:marBottom w:val="0"/>
                          <w:divBdr>
                            <w:top w:val="none" w:sz="0" w:space="0" w:color="auto"/>
                            <w:left w:val="none" w:sz="0" w:space="0" w:color="auto"/>
                            <w:bottom w:val="none" w:sz="0" w:space="0" w:color="auto"/>
                            <w:right w:val="none" w:sz="0" w:space="0" w:color="auto"/>
                          </w:divBdr>
                          <w:divsChild>
                            <w:div w:id="1687556419">
                              <w:marLeft w:val="0"/>
                              <w:marRight w:val="0"/>
                              <w:marTop w:val="0"/>
                              <w:marBottom w:val="0"/>
                              <w:divBdr>
                                <w:top w:val="none" w:sz="0" w:space="0" w:color="auto"/>
                                <w:left w:val="none" w:sz="0" w:space="0" w:color="auto"/>
                                <w:bottom w:val="none" w:sz="0" w:space="0" w:color="auto"/>
                                <w:right w:val="none" w:sz="0" w:space="0" w:color="auto"/>
                              </w:divBdr>
                              <w:divsChild>
                                <w:div w:id="105277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A8D3A-3B99-4987-871F-442A62CB3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343</TotalTime>
  <Pages>8</Pages>
  <Words>2798</Words>
  <Characters>15953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18714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26</cp:revision>
  <cp:lastPrinted>1999-07-06T11:00:00Z</cp:lastPrinted>
  <dcterms:created xsi:type="dcterms:W3CDTF">2014-10-25T14:34:00Z</dcterms:created>
  <dcterms:modified xsi:type="dcterms:W3CDTF">2026-02-04T04:38:00Z</dcterms:modified>
</cp:coreProperties>
</file>