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7098E" w14:textId="4038F9B5" w:rsidR="005A32B8" w:rsidRDefault="005A32B8" w:rsidP="00FB5FBB">
      <w:pPr>
        <w:spacing w:before="240"/>
        <w:jc w:val="center"/>
        <w:rPr>
          <w:rFonts w:ascii="Times New Roman" w:hAnsi="Times New Roman" w:cs="Times New Roman"/>
          <w:b/>
          <w:bCs/>
          <w:sz w:val="24"/>
          <w:szCs w:val="24"/>
        </w:rPr>
      </w:pPr>
      <w:r w:rsidRPr="005A32B8">
        <w:rPr>
          <w:rFonts w:ascii="Times New Roman" w:hAnsi="Times New Roman" w:cs="Times New Roman"/>
          <w:b/>
          <w:bCs/>
          <w:sz w:val="24"/>
          <w:szCs w:val="24"/>
        </w:rPr>
        <w:t xml:space="preserve">Employment Generation as a Direct-Use Ecosystem Service of </w:t>
      </w:r>
      <w:proofErr w:type="spellStart"/>
      <w:r w:rsidRPr="005A32B8">
        <w:rPr>
          <w:rFonts w:ascii="Times New Roman" w:hAnsi="Times New Roman" w:cs="Times New Roman"/>
          <w:b/>
          <w:bCs/>
          <w:sz w:val="24"/>
          <w:szCs w:val="24"/>
        </w:rPr>
        <w:t>Kawal</w:t>
      </w:r>
      <w:proofErr w:type="spellEnd"/>
      <w:r w:rsidRPr="005A32B8">
        <w:rPr>
          <w:rFonts w:ascii="Times New Roman" w:hAnsi="Times New Roman" w:cs="Times New Roman"/>
          <w:b/>
          <w:bCs/>
          <w:sz w:val="24"/>
          <w:szCs w:val="24"/>
        </w:rPr>
        <w:t xml:space="preserve"> Tiger Reserve, Telangana, India</w:t>
      </w:r>
    </w:p>
    <w:p w14:paraId="72DC2B67" w14:textId="77777777" w:rsidR="00C170FC" w:rsidRDefault="00C170FC" w:rsidP="00FB5FBB">
      <w:pPr>
        <w:spacing w:before="240"/>
        <w:jc w:val="both"/>
        <w:rPr>
          <w:rFonts w:ascii="Times New Roman" w:hAnsi="Times New Roman" w:cs="Times New Roman"/>
          <w:b/>
          <w:bCs/>
          <w:sz w:val="24"/>
          <w:szCs w:val="24"/>
        </w:rPr>
      </w:pPr>
    </w:p>
    <w:p w14:paraId="2F319DEB" w14:textId="77777777" w:rsidR="00D36BE2" w:rsidRPr="00D36BE2" w:rsidRDefault="00D36BE2" w:rsidP="00D36BE2">
      <w:pPr>
        <w:spacing w:before="240"/>
        <w:jc w:val="both"/>
        <w:rPr>
          <w:rFonts w:ascii="Times New Roman" w:hAnsi="Times New Roman" w:cs="Times New Roman"/>
          <w:b/>
          <w:bCs/>
          <w:sz w:val="24"/>
          <w:szCs w:val="24"/>
        </w:rPr>
      </w:pPr>
      <w:r w:rsidRPr="00D36BE2">
        <w:rPr>
          <w:rFonts w:ascii="Times New Roman" w:hAnsi="Times New Roman" w:cs="Times New Roman"/>
          <w:b/>
          <w:bCs/>
          <w:sz w:val="24"/>
          <w:szCs w:val="24"/>
        </w:rPr>
        <w:t xml:space="preserve">Aims: </w:t>
      </w:r>
      <w:r w:rsidRPr="00D36BE2">
        <w:rPr>
          <w:rFonts w:ascii="Times New Roman" w:hAnsi="Times New Roman" w:cs="Times New Roman"/>
          <w:sz w:val="24"/>
          <w:szCs w:val="24"/>
        </w:rPr>
        <w:t xml:space="preserve">The present study assessed employment generation as a measurable direct-use ecosystem service of the </w:t>
      </w:r>
      <w:proofErr w:type="spellStart"/>
      <w:r w:rsidRPr="00D36BE2">
        <w:rPr>
          <w:rFonts w:ascii="Times New Roman" w:hAnsi="Times New Roman" w:cs="Times New Roman"/>
          <w:sz w:val="24"/>
          <w:szCs w:val="24"/>
        </w:rPr>
        <w:t>Kawal</w:t>
      </w:r>
      <w:proofErr w:type="spellEnd"/>
      <w:r w:rsidRPr="00D36BE2">
        <w:rPr>
          <w:rFonts w:ascii="Times New Roman" w:hAnsi="Times New Roman" w:cs="Times New Roman"/>
          <w:sz w:val="24"/>
          <w:szCs w:val="24"/>
        </w:rPr>
        <w:t xml:space="preserve"> Tiger Reserve (KTR), Telangana, India, and examined its contribution to local livelihoods, conservation effectiveness, and policy-relevant sustainable forest management.</w:t>
      </w:r>
    </w:p>
    <w:p w14:paraId="1D840861" w14:textId="77777777" w:rsidR="00D36BE2" w:rsidRPr="00D36BE2" w:rsidRDefault="00D36BE2" w:rsidP="00D36BE2">
      <w:pPr>
        <w:spacing w:before="240"/>
        <w:jc w:val="both"/>
        <w:rPr>
          <w:rFonts w:ascii="Times New Roman" w:hAnsi="Times New Roman" w:cs="Times New Roman"/>
          <w:b/>
          <w:bCs/>
          <w:sz w:val="24"/>
          <w:szCs w:val="24"/>
        </w:rPr>
      </w:pPr>
      <w:r w:rsidRPr="00D36BE2">
        <w:rPr>
          <w:rFonts w:ascii="Times New Roman" w:hAnsi="Times New Roman" w:cs="Times New Roman"/>
          <w:b/>
          <w:bCs/>
          <w:sz w:val="24"/>
          <w:szCs w:val="24"/>
        </w:rPr>
        <w:t xml:space="preserve">Study Design: </w:t>
      </w:r>
      <w:r w:rsidRPr="00D36BE2">
        <w:rPr>
          <w:rFonts w:ascii="Times New Roman" w:hAnsi="Times New Roman" w:cs="Times New Roman"/>
          <w:sz w:val="24"/>
          <w:szCs w:val="24"/>
        </w:rPr>
        <w:t>Descriptive cross-sectional study integrating quantitative records analysis with systematic field validation.</w:t>
      </w:r>
    </w:p>
    <w:p w14:paraId="6D423A11" w14:textId="77777777" w:rsidR="00D36BE2" w:rsidRPr="00D36BE2" w:rsidRDefault="00D36BE2" w:rsidP="00D36BE2">
      <w:pPr>
        <w:spacing w:before="240"/>
        <w:jc w:val="both"/>
        <w:rPr>
          <w:rFonts w:ascii="Times New Roman" w:hAnsi="Times New Roman" w:cs="Times New Roman"/>
          <w:sz w:val="24"/>
          <w:szCs w:val="24"/>
        </w:rPr>
      </w:pPr>
      <w:r w:rsidRPr="00D36BE2">
        <w:rPr>
          <w:rFonts w:ascii="Times New Roman" w:hAnsi="Times New Roman" w:cs="Times New Roman"/>
          <w:b/>
          <w:bCs/>
          <w:sz w:val="24"/>
          <w:szCs w:val="24"/>
        </w:rPr>
        <w:t xml:space="preserve">Place and Duration of Study: </w:t>
      </w:r>
      <w:r w:rsidRPr="00D36BE2">
        <w:rPr>
          <w:rFonts w:ascii="Times New Roman" w:hAnsi="Times New Roman" w:cs="Times New Roman"/>
          <w:sz w:val="24"/>
          <w:szCs w:val="24"/>
        </w:rPr>
        <w:t xml:space="preserve">The study was conducted across the </w:t>
      </w:r>
      <w:proofErr w:type="spellStart"/>
      <w:r w:rsidRPr="00D36BE2">
        <w:rPr>
          <w:rFonts w:ascii="Times New Roman" w:hAnsi="Times New Roman" w:cs="Times New Roman"/>
          <w:sz w:val="24"/>
          <w:szCs w:val="24"/>
        </w:rPr>
        <w:t>Asifabad</w:t>
      </w:r>
      <w:proofErr w:type="spellEnd"/>
      <w:r w:rsidRPr="00D36BE2">
        <w:rPr>
          <w:rFonts w:ascii="Times New Roman" w:hAnsi="Times New Roman" w:cs="Times New Roman"/>
          <w:sz w:val="24"/>
          <w:szCs w:val="24"/>
        </w:rPr>
        <w:t xml:space="preserve">, </w:t>
      </w:r>
      <w:proofErr w:type="spellStart"/>
      <w:r w:rsidRPr="00D36BE2">
        <w:rPr>
          <w:rFonts w:ascii="Times New Roman" w:hAnsi="Times New Roman" w:cs="Times New Roman"/>
          <w:sz w:val="24"/>
          <w:szCs w:val="24"/>
        </w:rPr>
        <w:t>Jannaram</w:t>
      </w:r>
      <w:proofErr w:type="spellEnd"/>
      <w:r w:rsidRPr="00D36BE2">
        <w:rPr>
          <w:rFonts w:ascii="Times New Roman" w:hAnsi="Times New Roman" w:cs="Times New Roman"/>
          <w:sz w:val="24"/>
          <w:szCs w:val="24"/>
        </w:rPr>
        <w:t xml:space="preserve">, </w:t>
      </w:r>
      <w:proofErr w:type="spellStart"/>
      <w:r w:rsidRPr="00D36BE2">
        <w:rPr>
          <w:rFonts w:ascii="Times New Roman" w:hAnsi="Times New Roman" w:cs="Times New Roman"/>
          <w:sz w:val="24"/>
          <w:szCs w:val="24"/>
        </w:rPr>
        <w:t>Khanapur</w:t>
      </w:r>
      <w:proofErr w:type="spellEnd"/>
      <w:r w:rsidRPr="00D36BE2">
        <w:rPr>
          <w:rFonts w:ascii="Times New Roman" w:hAnsi="Times New Roman" w:cs="Times New Roman"/>
          <w:sz w:val="24"/>
          <w:szCs w:val="24"/>
        </w:rPr>
        <w:t xml:space="preserve">, and </w:t>
      </w:r>
      <w:proofErr w:type="spellStart"/>
      <w:r w:rsidRPr="00D36BE2">
        <w:rPr>
          <w:rFonts w:ascii="Times New Roman" w:hAnsi="Times New Roman" w:cs="Times New Roman"/>
          <w:sz w:val="24"/>
          <w:szCs w:val="24"/>
        </w:rPr>
        <w:t>Utnoor</w:t>
      </w:r>
      <w:proofErr w:type="spellEnd"/>
      <w:r w:rsidRPr="00D36BE2">
        <w:rPr>
          <w:rFonts w:ascii="Times New Roman" w:hAnsi="Times New Roman" w:cs="Times New Roman"/>
          <w:sz w:val="24"/>
          <w:szCs w:val="24"/>
        </w:rPr>
        <w:t xml:space="preserve"> FDPT forest divisions of </w:t>
      </w:r>
      <w:proofErr w:type="spellStart"/>
      <w:r w:rsidRPr="00D36BE2">
        <w:rPr>
          <w:rFonts w:ascii="Times New Roman" w:hAnsi="Times New Roman" w:cs="Times New Roman"/>
          <w:sz w:val="24"/>
          <w:szCs w:val="24"/>
        </w:rPr>
        <w:t>Kawal</w:t>
      </w:r>
      <w:proofErr w:type="spellEnd"/>
      <w:r w:rsidRPr="00D36BE2">
        <w:rPr>
          <w:rFonts w:ascii="Times New Roman" w:hAnsi="Times New Roman" w:cs="Times New Roman"/>
          <w:sz w:val="24"/>
          <w:szCs w:val="24"/>
        </w:rPr>
        <w:t xml:space="preserve"> Tiger Reserve, Telangana, India, during 2023–2025.</w:t>
      </w:r>
    </w:p>
    <w:p w14:paraId="20BA8D4C" w14:textId="77777777" w:rsidR="00D36BE2" w:rsidRPr="00D36BE2" w:rsidRDefault="00D36BE2" w:rsidP="00D36BE2">
      <w:pPr>
        <w:spacing w:before="240"/>
        <w:jc w:val="both"/>
        <w:rPr>
          <w:rFonts w:ascii="Times New Roman" w:hAnsi="Times New Roman" w:cs="Times New Roman"/>
          <w:sz w:val="24"/>
          <w:szCs w:val="24"/>
        </w:rPr>
      </w:pPr>
      <w:r w:rsidRPr="00D36BE2">
        <w:rPr>
          <w:rFonts w:ascii="Times New Roman" w:hAnsi="Times New Roman" w:cs="Times New Roman"/>
          <w:b/>
          <w:bCs/>
          <w:sz w:val="24"/>
          <w:szCs w:val="24"/>
        </w:rPr>
        <w:t xml:space="preserve">Methodology: </w:t>
      </w:r>
      <w:r w:rsidRPr="00D36BE2">
        <w:rPr>
          <w:rFonts w:ascii="Times New Roman" w:hAnsi="Times New Roman" w:cs="Times New Roman"/>
          <w:sz w:val="24"/>
          <w:szCs w:val="24"/>
        </w:rPr>
        <w:t>Employment data were compiled through comprehensive examination of Telangana Forest Department administrative records covering all four forest divisions. To ensure methodological robustness, record-based data were cross-verified through structured field visits, interactions with divisional forest officers, range officials, and triangulation of employment registers. Employment positions were systematically classified into functional categories: forest protection and patrolling, anti-poaching operations, wildlife monitoring, administrative and technical services, vehicle operations, and ecotourism services. Descriptive statistical analysis was performed to quantify division-wise and category-wise employment distribution and to assess its spatial and socio-economic significance.</w:t>
      </w:r>
    </w:p>
    <w:p w14:paraId="2FCB5E79" w14:textId="2F1AFF15" w:rsidR="00D36BE2" w:rsidRPr="00D36BE2" w:rsidRDefault="00D36BE2" w:rsidP="00D36BE2">
      <w:pPr>
        <w:spacing w:before="240"/>
        <w:jc w:val="both"/>
        <w:rPr>
          <w:rFonts w:ascii="Times New Roman" w:hAnsi="Times New Roman" w:cs="Times New Roman"/>
          <w:b/>
          <w:bCs/>
          <w:sz w:val="24"/>
          <w:szCs w:val="24"/>
        </w:rPr>
      </w:pPr>
      <w:r w:rsidRPr="00D36BE2">
        <w:rPr>
          <w:rFonts w:ascii="Times New Roman" w:hAnsi="Times New Roman" w:cs="Times New Roman"/>
          <w:b/>
          <w:bCs/>
          <w:sz w:val="24"/>
          <w:szCs w:val="24"/>
        </w:rPr>
        <w:t xml:space="preserve">Results: </w:t>
      </w:r>
      <w:proofErr w:type="spellStart"/>
      <w:r w:rsidRPr="00D36BE2">
        <w:rPr>
          <w:rFonts w:ascii="Times New Roman" w:hAnsi="Times New Roman" w:cs="Times New Roman"/>
          <w:sz w:val="24"/>
          <w:szCs w:val="24"/>
        </w:rPr>
        <w:t>Kawal</w:t>
      </w:r>
      <w:proofErr w:type="spellEnd"/>
      <w:r w:rsidRPr="00D36BE2">
        <w:rPr>
          <w:rFonts w:ascii="Times New Roman" w:hAnsi="Times New Roman" w:cs="Times New Roman"/>
          <w:sz w:val="24"/>
          <w:szCs w:val="24"/>
        </w:rPr>
        <w:t xml:space="preserve"> Tiger Reserve generated direct employment for 239 individuals. Division-wise distribution revealed that </w:t>
      </w:r>
      <w:proofErr w:type="spellStart"/>
      <w:r w:rsidRPr="00D36BE2">
        <w:rPr>
          <w:rFonts w:ascii="Times New Roman" w:hAnsi="Times New Roman" w:cs="Times New Roman"/>
          <w:sz w:val="24"/>
          <w:szCs w:val="24"/>
        </w:rPr>
        <w:t>Khanapur</w:t>
      </w:r>
      <w:proofErr w:type="spellEnd"/>
      <w:r w:rsidRPr="00D36BE2">
        <w:rPr>
          <w:rFonts w:ascii="Times New Roman" w:hAnsi="Times New Roman" w:cs="Times New Roman"/>
          <w:sz w:val="24"/>
          <w:szCs w:val="24"/>
        </w:rPr>
        <w:t xml:space="preserve"> Division contributed the highest share (n = 92; 38.49%), followed by </w:t>
      </w:r>
      <w:proofErr w:type="spellStart"/>
      <w:r w:rsidRPr="00D36BE2">
        <w:rPr>
          <w:rFonts w:ascii="Times New Roman" w:hAnsi="Times New Roman" w:cs="Times New Roman"/>
          <w:sz w:val="24"/>
          <w:szCs w:val="24"/>
        </w:rPr>
        <w:t>Jannaram</w:t>
      </w:r>
      <w:proofErr w:type="spellEnd"/>
      <w:r w:rsidRPr="00D36BE2">
        <w:rPr>
          <w:rFonts w:ascii="Times New Roman" w:hAnsi="Times New Roman" w:cs="Times New Roman"/>
          <w:sz w:val="24"/>
          <w:szCs w:val="24"/>
        </w:rPr>
        <w:t xml:space="preserve"> (n = 75; 31.38%), </w:t>
      </w:r>
      <w:proofErr w:type="spellStart"/>
      <w:r w:rsidRPr="00D36BE2">
        <w:rPr>
          <w:rFonts w:ascii="Times New Roman" w:hAnsi="Times New Roman" w:cs="Times New Roman"/>
          <w:sz w:val="24"/>
          <w:szCs w:val="24"/>
        </w:rPr>
        <w:t>Utnoor</w:t>
      </w:r>
      <w:proofErr w:type="spellEnd"/>
      <w:r w:rsidRPr="00D36BE2">
        <w:rPr>
          <w:rFonts w:ascii="Times New Roman" w:hAnsi="Times New Roman" w:cs="Times New Roman"/>
          <w:sz w:val="24"/>
          <w:szCs w:val="24"/>
        </w:rPr>
        <w:t xml:space="preserve"> FDPT (n = 43; 17.99%), and </w:t>
      </w:r>
      <w:proofErr w:type="spellStart"/>
      <w:r w:rsidRPr="00D36BE2">
        <w:rPr>
          <w:rFonts w:ascii="Times New Roman" w:hAnsi="Times New Roman" w:cs="Times New Roman"/>
          <w:sz w:val="24"/>
          <w:szCs w:val="24"/>
        </w:rPr>
        <w:t>Asifabad</w:t>
      </w:r>
      <w:proofErr w:type="spellEnd"/>
      <w:r w:rsidRPr="00D36BE2">
        <w:rPr>
          <w:rFonts w:ascii="Times New Roman" w:hAnsi="Times New Roman" w:cs="Times New Roman"/>
          <w:sz w:val="24"/>
          <w:szCs w:val="24"/>
        </w:rPr>
        <w:t xml:space="preserve"> (n = 29; 12.13%). Employment structure was strongly labor-intensive, with base camp watchers constituting the majority (n = 163; 68.20%). Other employment categories included animal trackers (n = 10; 4.18%), anti-poaching squad members (n = 10; 4.18%), drivers including safari and rescue vehicle drivers (n = 22; 9.21%), data entry operators (n = 16; 6.69%), check-post staff (n = 9; 3.77%), and smaller numbers in technical and support roles such as TCF employees, DPOs, DRC cartmen, and gate watchers. A substantial proportion of these positions were filled by local and forest-dependent community members, demonstrating strong conservation–livelihood integration.</w:t>
      </w:r>
    </w:p>
    <w:p w14:paraId="27F414D6" w14:textId="77777777" w:rsidR="00D36BE2" w:rsidRPr="00D36BE2" w:rsidRDefault="00D36BE2" w:rsidP="00D36BE2">
      <w:pPr>
        <w:spacing w:before="240"/>
        <w:jc w:val="both"/>
        <w:rPr>
          <w:rFonts w:ascii="Times New Roman" w:hAnsi="Times New Roman" w:cs="Times New Roman"/>
          <w:b/>
          <w:bCs/>
          <w:sz w:val="24"/>
          <w:szCs w:val="24"/>
        </w:rPr>
      </w:pPr>
      <w:r w:rsidRPr="00D36BE2">
        <w:rPr>
          <w:rFonts w:ascii="Times New Roman" w:hAnsi="Times New Roman" w:cs="Times New Roman"/>
          <w:b/>
          <w:bCs/>
          <w:sz w:val="24"/>
          <w:szCs w:val="24"/>
        </w:rPr>
        <w:t xml:space="preserve">Conclusion: </w:t>
      </w:r>
      <w:r w:rsidRPr="00D36BE2">
        <w:rPr>
          <w:rFonts w:ascii="Times New Roman" w:hAnsi="Times New Roman" w:cs="Times New Roman"/>
          <w:sz w:val="24"/>
          <w:szCs w:val="24"/>
        </w:rPr>
        <w:t xml:space="preserve">Employment generation constitutes a significant and quantifiable socio-economic benefit of </w:t>
      </w:r>
      <w:proofErr w:type="spellStart"/>
      <w:r w:rsidRPr="00D36BE2">
        <w:rPr>
          <w:rFonts w:ascii="Times New Roman" w:hAnsi="Times New Roman" w:cs="Times New Roman"/>
          <w:sz w:val="24"/>
          <w:szCs w:val="24"/>
        </w:rPr>
        <w:t>Kawal</w:t>
      </w:r>
      <w:proofErr w:type="spellEnd"/>
      <w:r w:rsidRPr="00D36BE2">
        <w:rPr>
          <w:rFonts w:ascii="Times New Roman" w:hAnsi="Times New Roman" w:cs="Times New Roman"/>
          <w:sz w:val="24"/>
          <w:szCs w:val="24"/>
        </w:rPr>
        <w:t xml:space="preserve"> Tiger Reserve. By providing 239 direct livelihood opportunities, the reserve reduces dependence on extractive forest practices, strengthens community stewardship, and </w:t>
      </w:r>
      <w:r w:rsidRPr="00D36BE2">
        <w:rPr>
          <w:rFonts w:ascii="Times New Roman" w:hAnsi="Times New Roman" w:cs="Times New Roman"/>
          <w:sz w:val="24"/>
          <w:szCs w:val="24"/>
        </w:rPr>
        <w:lastRenderedPageBreak/>
        <w:t>enhances conservation compliance. Scientifically, the study contributes to the growing discourse on ecosystem service valuation by operationalizing employment as a tangible direct-use service within protected areas. From a policy perspective, the findings support integrating employment metrics into protected area performance evaluation frameworks to promote inclusive, conservation-linked rural development and sustainable forest governance.</w:t>
      </w:r>
    </w:p>
    <w:p w14:paraId="1BF0E4FC" w14:textId="55FA77DF" w:rsidR="00BA6AB6" w:rsidRPr="00BA6AB6" w:rsidRDefault="00BA6AB6" w:rsidP="00FB5FBB">
      <w:pPr>
        <w:spacing w:before="240"/>
        <w:jc w:val="both"/>
        <w:rPr>
          <w:rFonts w:ascii="Times New Roman" w:hAnsi="Times New Roman" w:cs="Times New Roman"/>
          <w:sz w:val="24"/>
          <w:szCs w:val="24"/>
        </w:rPr>
      </w:pPr>
      <w:r w:rsidRPr="00BA6AB6">
        <w:rPr>
          <w:rFonts w:ascii="Times New Roman" w:hAnsi="Times New Roman" w:cs="Times New Roman"/>
          <w:b/>
          <w:bCs/>
          <w:sz w:val="24"/>
          <w:szCs w:val="24"/>
        </w:rPr>
        <w:t>Keywords:</w:t>
      </w:r>
      <w:r w:rsidRPr="00BA6AB6">
        <w:rPr>
          <w:rFonts w:ascii="Times New Roman" w:hAnsi="Times New Roman" w:cs="Times New Roman"/>
          <w:sz w:val="24"/>
          <w:szCs w:val="24"/>
        </w:rPr>
        <w:t xml:space="preserve"> </w:t>
      </w:r>
      <w:proofErr w:type="spellStart"/>
      <w:r w:rsidRPr="00BA6AB6">
        <w:rPr>
          <w:rFonts w:ascii="Times New Roman" w:hAnsi="Times New Roman" w:cs="Times New Roman"/>
          <w:i/>
          <w:iCs/>
          <w:sz w:val="24"/>
          <w:szCs w:val="24"/>
        </w:rPr>
        <w:t>Kawal</w:t>
      </w:r>
      <w:proofErr w:type="spellEnd"/>
      <w:r w:rsidRPr="00BA6AB6">
        <w:rPr>
          <w:rFonts w:ascii="Times New Roman" w:hAnsi="Times New Roman" w:cs="Times New Roman"/>
          <w:i/>
          <w:iCs/>
          <w:sz w:val="24"/>
          <w:szCs w:val="24"/>
        </w:rPr>
        <w:t xml:space="preserve"> Tiger Reserve; employment generation; ecosystem services; conservation livelihoods; forest-dependent communities</w:t>
      </w:r>
      <w:r w:rsidRPr="00BA6AB6">
        <w:rPr>
          <w:rFonts w:ascii="Times New Roman" w:hAnsi="Times New Roman" w:cs="Times New Roman"/>
          <w:sz w:val="24"/>
          <w:szCs w:val="24"/>
        </w:rPr>
        <w:t>.</w:t>
      </w:r>
    </w:p>
    <w:p w14:paraId="37223568" w14:textId="77777777" w:rsidR="00BA6AB6" w:rsidRPr="00BA6AB6" w:rsidRDefault="00BA6AB6" w:rsidP="00FB5FBB">
      <w:pPr>
        <w:spacing w:before="240"/>
        <w:jc w:val="both"/>
        <w:rPr>
          <w:rFonts w:ascii="Times New Roman" w:hAnsi="Times New Roman" w:cs="Times New Roman"/>
          <w:sz w:val="24"/>
          <w:szCs w:val="24"/>
        </w:rPr>
      </w:pPr>
    </w:p>
    <w:p w14:paraId="529D646A" w14:textId="19F3C03A" w:rsidR="00600EEC" w:rsidRDefault="00600EEC" w:rsidP="00FB5FBB">
      <w:pPr>
        <w:spacing w:before="240"/>
        <w:jc w:val="both"/>
        <w:rPr>
          <w:rFonts w:ascii="Times New Roman" w:hAnsi="Times New Roman" w:cs="Times New Roman"/>
          <w:b/>
          <w:bCs/>
          <w:sz w:val="24"/>
          <w:szCs w:val="24"/>
        </w:rPr>
      </w:pPr>
      <w:r>
        <w:rPr>
          <w:rFonts w:ascii="Times New Roman" w:hAnsi="Times New Roman" w:cs="Times New Roman"/>
          <w:b/>
          <w:bCs/>
          <w:sz w:val="24"/>
          <w:szCs w:val="24"/>
        </w:rPr>
        <w:t>1. Introduction:</w:t>
      </w:r>
    </w:p>
    <w:p w14:paraId="5B76FB10" w14:textId="77777777" w:rsidR="00E05F1F" w:rsidRPr="00580402" w:rsidRDefault="00E05F1F" w:rsidP="00E05F1F">
      <w:pPr>
        <w:jc w:val="both"/>
        <w:rPr>
          <w:rFonts w:ascii="Times New Roman" w:hAnsi="Times New Roman" w:cs="Times New Roman"/>
          <w:sz w:val="24"/>
          <w:szCs w:val="24"/>
        </w:rPr>
      </w:pPr>
      <w:r w:rsidRPr="00580402">
        <w:rPr>
          <w:rFonts w:ascii="Times New Roman" w:hAnsi="Times New Roman" w:cs="Times New Roman"/>
          <w:sz w:val="24"/>
          <w:szCs w:val="24"/>
        </w:rPr>
        <w:t>Protected areas (PAs) and national parks represent institutionalized mechanisms for conserving biological diversity and maintaining ecological integrity. While early conservation initiatives were largely motivated by aesthetic appreciation of nature, conservation has since evolved into a global environmental imperative, with nations collectively responsible for safeguarding biodiversity and ensuring planetary sustainability (</w:t>
      </w:r>
      <w:proofErr w:type="spellStart"/>
      <w:r w:rsidRPr="00580402">
        <w:rPr>
          <w:rFonts w:ascii="Times New Roman" w:hAnsi="Times New Roman" w:cs="Times New Roman"/>
          <w:sz w:val="24"/>
          <w:szCs w:val="24"/>
        </w:rPr>
        <w:t>Pujar</w:t>
      </w:r>
      <w:proofErr w:type="spellEnd"/>
      <w:r w:rsidRPr="00580402">
        <w:rPr>
          <w:rFonts w:ascii="Times New Roman" w:hAnsi="Times New Roman" w:cs="Times New Roman"/>
          <w:sz w:val="24"/>
          <w:szCs w:val="24"/>
        </w:rPr>
        <w:t xml:space="preserve"> and Mishra, 2025; Singh and Singh, 2004). Although protected areas have contributed significantly to biodiversity protection under the fortress conservation model, this approach has often imposed social and economic costs on marginalized rural communities, leading to their exclusion from conservation benefits and decision-making processes (Rai </w:t>
      </w:r>
      <w:r w:rsidRPr="00580402">
        <w:rPr>
          <w:rFonts w:ascii="Times New Roman" w:hAnsi="Times New Roman" w:cs="Times New Roman"/>
          <w:i/>
          <w:iCs/>
          <w:sz w:val="24"/>
          <w:szCs w:val="24"/>
        </w:rPr>
        <w:t>et al.,</w:t>
      </w:r>
      <w:r w:rsidRPr="00580402">
        <w:rPr>
          <w:rFonts w:ascii="Times New Roman" w:hAnsi="Times New Roman" w:cs="Times New Roman"/>
          <w:sz w:val="24"/>
          <w:szCs w:val="24"/>
        </w:rPr>
        <w:t xml:space="preserve"> 2021).</w:t>
      </w:r>
    </w:p>
    <w:p w14:paraId="7E8A7C5C" w14:textId="77777777" w:rsidR="00E05F1F" w:rsidRPr="00580402" w:rsidRDefault="00E05F1F" w:rsidP="00E05F1F">
      <w:pPr>
        <w:jc w:val="both"/>
        <w:rPr>
          <w:rFonts w:ascii="Times New Roman" w:hAnsi="Times New Roman" w:cs="Times New Roman"/>
          <w:sz w:val="24"/>
          <w:szCs w:val="24"/>
        </w:rPr>
      </w:pPr>
      <w:r w:rsidRPr="00580402">
        <w:rPr>
          <w:rFonts w:ascii="Times New Roman" w:hAnsi="Times New Roman" w:cs="Times New Roman"/>
          <w:sz w:val="24"/>
          <w:szCs w:val="24"/>
        </w:rPr>
        <w:t>In recent decades, conservation discourse has increasingly shifted toward integrative approaches that recognize the interdependence between ecological sustainability and socio-economic well-being. Protected areas are now expected not only to conserve biodiversity but also to support human well-being through livelihood diversification, income generation, and employment opportunities (</w:t>
      </w:r>
      <w:proofErr w:type="spellStart"/>
      <w:r w:rsidRPr="00580402">
        <w:rPr>
          <w:rFonts w:ascii="Times New Roman" w:hAnsi="Times New Roman" w:cs="Times New Roman"/>
          <w:sz w:val="24"/>
          <w:szCs w:val="24"/>
        </w:rPr>
        <w:t>Pujar</w:t>
      </w:r>
      <w:proofErr w:type="spellEnd"/>
      <w:r w:rsidRPr="00580402">
        <w:rPr>
          <w:rFonts w:ascii="Times New Roman" w:hAnsi="Times New Roman" w:cs="Times New Roman"/>
          <w:sz w:val="24"/>
          <w:szCs w:val="24"/>
        </w:rPr>
        <w:t xml:space="preserve"> and Mishra, 2020; Pullin </w:t>
      </w:r>
      <w:r w:rsidRPr="00580402">
        <w:rPr>
          <w:rFonts w:ascii="Times New Roman" w:hAnsi="Times New Roman" w:cs="Times New Roman"/>
          <w:i/>
          <w:iCs/>
          <w:sz w:val="24"/>
          <w:szCs w:val="24"/>
        </w:rPr>
        <w:t>et al.,</w:t>
      </w:r>
      <w:r w:rsidRPr="00580402">
        <w:rPr>
          <w:rFonts w:ascii="Times New Roman" w:hAnsi="Times New Roman" w:cs="Times New Roman"/>
          <w:sz w:val="24"/>
          <w:szCs w:val="24"/>
        </w:rPr>
        <w:t xml:space="preserve"> 2013). Within this framework, conservation-linked employment has emerged as a tangible direct-use ecosystem service that connects biodiversity governance with local development objectives.</w:t>
      </w:r>
    </w:p>
    <w:p w14:paraId="21D1D6AD" w14:textId="77777777" w:rsidR="00E05F1F" w:rsidRPr="00580402" w:rsidRDefault="00E05F1F" w:rsidP="00E05F1F">
      <w:pPr>
        <w:jc w:val="both"/>
        <w:rPr>
          <w:rFonts w:ascii="Times New Roman" w:hAnsi="Times New Roman" w:cs="Times New Roman"/>
          <w:sz w:val="24"/>
          <w:szCs w:val="24"/>
        </w:rPr>
      </w:pPr>
      <w:r w:rsidRPr="00580402">
        <w:rPr>
          <w:rFonts w:ascii="Times New Roman" w:hAnsi="Times New Roman" w:cs="Times New Roman"/>
          <w:sz w:val="24"/>
          <w:szCs w:val="24"/>
        </w:rPr>
        <w:t xml:space="preserve">Globally, national parks and tiger reserves generate employment across multiple functional domains, including forest protection, wildlife monitoring, habitat management, ecotourism operations, and administrative support (Kumar </w:t>
      </w:r>
      <w:r w:rsidRPr="00580402">
        <w:rPr>
          <w:rFonts w:ascii="Times New Roman" w:hAnsi="Times New Roman" w:cs="Times New Roman"/>
          <w:i/>
          <w:iCs/>
          <w:sz w:val="24"/>
          <w:szCs w:val="24"/>
        </w:rPr>
        <w:t>et al.,</w:t>
      </w:r>
      <w:r w:rsidRPr="00580402">
        <w:rPr>
          <w:rFonts w:ascii="Times New Roman" w:hAnsi="Times New Roman" w:cs="Times New Roman"/>
          <w:sz w:val="24"/>
          <w:szCs w:val="24"/>
        </w:rPr>
        <w:t xml:space="preserve"> 2020). These opportunities are particularly significant in developing countries, where protected areas are frequently located in remote regions characterized by limited alternative livelihood options. In such contexts, conservation-related employment can play a critical role in reducing resource dependence and fostering local support for biodiversity protection (Leung </w:t>
      </w:r>
      <w:r w:rsidRPr="00580402">
        <w:rPr>
          <w:rFonts w:ascii="Times New Roman" w:hAnsi="Times New Roman" w:cs="Times New Roman"/>
          <w:i/>
          <w:iCs/>
          <w:sz w:val="24"/>
          <w:szCs w:val="24"/>
        </w:rPr>
        <w:t>et al.,</w:t>
      </w:r>
      <w:r w:rsidRPr="00580402">
        <w:rPr>
          <w:rFonts w:ascii="Times New Roman" w:hAnsi="Times New Roman" w:cs="Times New Roman"/>
          <w:sz w:val="24"/>
          <w:szCs w:val="24"/>
        </w:rPr>
        <w:t xml:space="preserve"> 2018).</w:t>
      </w:r>
    </w:p>
    <w:p w14:paraId="0A256B11" w14:textId="77777777" w:rsidR="00E05F1F" w:rsidRPr="00580402" w:rsidRDefault="00E05F1F" w:rsidP="00E05F1F">
      <w:pPr>
        <w:jc w:val="both"/>
        <w:rPr>
          <w:rFonts w:ascii="Times New Roman" w:hAnsi="Times New Roman" w:cs="Times New Roman"/>
          <w:sz w:val="24"/>
          <w:szCs w:val="24"/>
        </w:rPr>
      </w:pPr>
      <w:r w:rsidRPr="00580402">
        <w:rPr>
          <w:rFonts w:ascii="Times New Roman" w:hAnsi="Times New Roman" w:cs="Times New Roman"/>
          <w:sz w:val="24"/>
          <w:szCs w:val="24"/>
        </w:rPr>
        <w:t xml:space="preserve">In India, tiger reserves constitute one of the most intensively managed categories of protected areas, requiring substantial human </w:t>
      </w:r>
      <w:proofErr w:type="spellStart"/>
      <w:r w:rsidRPr="00580402">
        <w:rPr>
          <w:rFonts w:ascii="Times New Roman" w:hAnsi="Times New Roman" w:cs="Times New Roman"/>
          <w:sz w:val="24"/>
          <w:szCs w:val="24"/>
        </w:rPr>
        <w:t>labour</w:t>
      </w:r>
      <w:proofErr w:type="spellEnd"/>
      <w:r w:rsidRPr="00580402">
        <w:rPr>
          <w:rFonts w:ascii="Times New Roman" w:hAnsi="Times New Roman" w:cs="Times New Roman"/>
          <w:sz w:val="24"/>
          <w:szCs w:val="24"/>
        </w:rPr>
        <w:t xml:space="preserve"> for patrolling, anti-poaching operations, fire control, wildlife monitoring, and visitor management (Prakash, 2022). Historically, conservation policies have been criticized for restricting access to forest resources and constraining the livelihoods of </w:t>
      </w:r>
      <w:r w:rsidRPr="00580402">
        <w:rPr>
          <w:rFonts w:ascii="Times New Roman" w:hAnsi="Times New Roman" w:cs="Times New Roman"/>
          <w:sz w:val="24"/>
          <w:szCs w:val="24"/>
        </w:rPr>
        <w:lastRenderedPageBreak/>
        <w:t xml:space="preserve">forest-dependent communities (Yadav </w:t>
      </w:r>
      <w:r w:rsidRPr="00580402">
        <w:rPr>
          <w:rFonts w:ascii="Times New Roman" w:hAnsi="Times New Roman" w:cs="Times New Roman"/>
          <w:i/>
          <w:iCs/>
          <w:sz w:val="24"/>
          <w:szCs w:val="24"/>
        </w:rPr>
        <w:t>et al.,</w:t>
      </w:r>
      <w:r w:rsidRPr="00580402">
        <w:rPr>
          <w:rFonts w:ascii="Times New Roman" w:hAnsi="Times New Roman" w:cs="Times New Roman"/>
          <w:sz w:val="24"/>
          <w:szCs w:val="24"/>
        </w:rPr>
        <w:t xml:space="preserve"> 2023). Consequently, contemporary conservation strategies increasingly emphasize livelihood integration, recognizing that long-term conservation success depends on sustained community participation and institutional trust (Ward </w:t>
      </w:r>
      <w:r w:rsidRPr="00580402">
        <w:rPr>
          <w:rFonts w:ascii="Times New Roman" w:hAnsi="Times New Roman" w:cs="Times New Roman"/>
          <w:i/>
          <w:iCs/>
          <w:sz w:val="24"/>
          <w:szCs w:val="24"/>
        </w:rPr>
        <w:t xml:space="preserve">et al., </w:t>
      </w:r>
      <w:r w:rsidRPr="00580402">
        <w:rPr>
          <w:rFonts w:ascii="Times New Roman" w:hAnsi="Times New Roman" w:cs="Times New Roman"/>
          <w:sz w:val="24"/>
          <w:szCs w:val="24"/>
        </w:rPr>
        <w:t>2018). Employment generation through protected area management has therefore become an important mechanism for reducing dependence on extractive forest use while strengthening conservation compliance.</w:t>
      </w:r>
    </w:p>
    <w:p w14:paraId="588911D6" w14:textId="77777777" w:rsidR="00E05F1F" w:rsidRPr="00580402" w:rsidRDefault="00E05F1F" w:rsidP="00E05F1F">
      <w:pPr>
        <w:jc w:val="both"/>
        <w:rPr>
          <w:rFonts w:ascii="Times New Roman" w:hAnsi="Times New Roman" w:cs="Times New Roman"/>
          <w:sz w:val="24"/>
          <w:szCs w:val="24"/>
        </w:rPr>
      </w:pPr>
      <w:r w:rsidRPr="00580402">
        <w:rPr>
          <w:rFonts w:ascii="Times New Roman" w:hAnsi="Times New Roman" w:cs="Times New Roman"/>
          <w:sz w:val="24"/>
          <w:szCs w:val="24"/>
        </w:rPr>
        <w:t>Despite growing recognition of conservation-linked employment as a socio-economic benefit of protected areas, significant knowledge gaps persist. Existing studies in India have predominantly focused on tourism-generated employment or broad livelihood impacts, often at aggregated scales. There remains limited empirical research that systematically quantifies direct conservation-linked employment generated through tiger reserve management, examines its functional composition, and analyzes its spatial distribution across administrative divisions. Furthermore, employment has rarely been explicitly framed and operationalized as a measurable direct-use ecosystem service within protected area governance frameworks.</w:t>
      </w:r>
    </w:p>
    <w:p w14:paraId="1D7E3475" w14:textId="77777777" w:rsidR="00E05F1F" w:rsidRPr="00580402" w:rsidRDefault="00E05F1F" w:rsidP="00E05F1F">
      <w:pPr>
        <w:jc w:val="both"/>
        <w:rPr>
          <w:rFonts w:ascii="Times New Roman" w:hAnsi="Times New Roman" w:cs="Times New Roman"/>
          <w:sz w:val="24"/>
          <w:szCs w:val="24"/>
        </w:rPr>
      </w:pPr>
      <w:r w:rsidRPr="00580402">
        <w:rPr>
          <w:rFonts w:ascii="Times New Roman" w:hAnsi="Times New Roman" w:cs="Times New Roman"/>
          <w:sz w:val="24"/>
          <w:szCs w:val="24"/>
        </w:rPr>
        <w:t xml:space="preserve">Addressing this gap is essential for developing a more comprehensive understanding of how protected areas contribute simultaneously to biodiversity conservation and rural development. The </w:t>
      </w:r>
      <w:proofErr w:type="spellStart"/>
      <w:r w:rsidRPr="00580402">
        <w:rPr>
          <w:rFonts w:ascii="Times New Roman" w:hAnsi="Times New Roman" w:cs="Times New Roman"/>
          <w:sz w:val="24"/>
          <w:szCs w:val="24"/>
        </w:rPr>
        <w:t>Kawal</w:t>
      </w:r>
      <w:proofErr w:type="spellEnd"/>
      <w:r w:rsidRPr="00580402">
        <w:rPr>
          <w:rFonts w:ascii="Times New Roman" w:hAnsi="Times New Roman" w:cs="Times New Roman"/>
          <w:sz w:val="24"/>
          <w:szCs w:val="24"/>
        </w:rPr>
        <w:t xml:space="preserve"> Tiger Reserve (KTR) in Telangana offers an important case study for examining these interlinkages. Located in the Central Indian Deccan Plateau and inhabited by forest-dependent tribal communities, KTR presents a socio-ecological context where livelihood security and conservation effectiveness are closely intertwined.</w:t>
      </w:r>
    </w:p>
    <w:p w14:paraId="0DAF2DB2" w14:textId="77777777" w:rsidR="00E05F1F" w:rsidRPr="00580402" w:rsidRDefault="00E05F1F" w:rsidP="00E05F1F">
      <w:pPr>
        <w:jc w:val="both"/>
        <w:rPr>
          <w:rFonts w:ascii="Times New Roman" w:hAnsi="Times New Roman" w:cs="Times New Roman"/>
          <w:sz w:val="24"/>
          <w:szCs w:val="24"/>
        </w:rPr>
      </w:pPr>
      <w:r w:rsidRPr="00580402">
        <w:rPr>
          <w:rFonts w:ascii="Times New Roman" w:hAnsi="Times New Roman" w:cs="Times New Roman"/>
          <w:sz w:val="24"/>
          <w:szCs w:val="24"/>
        </w:rPr>
        <w:t xml:space="preserve">Against this backdrop, the present study evaluates employment generation as a direct-use ecosystem service of </w:t>
      </w:r>
      <w:proofErr w:type="spellStart"/>
      <w:r w:rsidRPr="00580402">
        <w:rPr>
          <w:rFonts w:ascii="Times New Roman" w:hAnsi="Times New Roman" w:cs="Times New Roman"/>
          <w:sz w:val="24"/>
          <w:szCs w:val="24"/>
        </w:rPr>
        <w:t>Kawal</w:t>
      </w:r>
      <w:proofErr w:type="spellEnd"/>
      <w:r w:rsidRPr="00580402">
        <w:rPr>
          <w:rFonts w:ascii="Times New Roman" w:hAnsi="Times New Roman" w:cs="Times New Roman"/>
          <w:sz w:val="24"/>
          <w:szCs w:val="24"/>
        </w:rPr>
        <w:t xml:space="preserve"> Tiger Reserve by quantifying its magnitude, analyzing its structural composition, and assessing its distribution across forest divisions. By situating employment within the ecosystem services and sustainable livelihoods frameworks, the study contributes to a more nuanced understanding of protected areas as socio-ecological systems that integrate conservation objectives with local livelihood support.</w:t>
      </w:r>
    </w:p>
    <w:p w14:paraId="1D518F03" w14:textId="788129DC" w:rsidR="00D5176E" w:rsidRPr="00E24BDA" w:rsidRDefault="00A971AF" w:rsidP="00FB5FBB">
      <w:pPr>
        <w:spacing w:before="240"/>
        <w:jc w:val="both"/>
        <w:rPr>
          <w:rFonts w:ascii="Times New Roman" w:hAnsi="Times New Roman" w:cs="Times New Roman"/>
          <w:b/>
          <w:bCs/>
          <w:sz w:val="24"/>
          <w:szCs w:val="24"/>
        </w:rPr>
      </w:pPr>
      <w:r w:rsidRPr="00E24BDA">
        <w:rPr>
          <w:rFonts w:ascii="Times New Roman" w:hAnsi="Times New Roman" w:cs="Times New Roman"/>
          <w:b/>
          <w:bCs/>
          <w:sz w:val="24"/>
          <w:szCs w:val="24"/>
        </w:rPr>
        <w:t>2. Materials and Methods:</w:t>
      </w:r>
    </w:p>
    <w:p w14:paraId="2EBA7128" w14:textId="145E4FC7" w:rsidR="00A971AF" w:rsidRPr="00E24BDA" w:rsidRDefault="00A971AF" w:rsidP="00FB5FBB">
      <w:pPr>
        <w:spacing w:before="240"/>
        <w:jc w:val="both"/>
        <w:rPr>
          <w:rFonts w:ascii="Times New Roman" w:hAnsi="Times New Roman" w:cs="Times New Roman"/>
          <w:b/>
          <w:bCs/>
          <w:sz w:val="24"/>
          <w:szCs w:val="24"/>
        </w:rPr>
      </w:pPr>
      <w:r w:rsidRPr="00E24BDA">
        <w:rPr>
          <w:rFonts w:ascii="Times New Roman" w:hAnsi="Times New Roman" w:cs="Times New Roman"/>
          <w:b/>
          <w:bCs/>
          <w:sz w:val="24"/>
          <w:szCs w:val="24"/>
        </w:rPr>
        <w:t>2.1 Study area:</w:t>
      </w:r>
    </w:p>
    <w:p w14:paraId="46DD889D" w14:textId="67F2225A" w:rsidR="00A971AF" w:rsidRPr="00A971AF" w:rsidRDefault="00A971AF" w:rsidP="00FB5FBB">
      <w:pPr>
        <w:spacing w:before="240"/>
        <w:jc w:val="both"/>
        <w:rPr>
          <w:rFonts w:ascii="Times New Roman" w:hAnsi="Times New Roman" w:cs="Times New Roman"/>
          <w:sz w:val="24"/>
          <w:szCs w:val="24"/>
        </w:rPr>
      </w:pPr>
      <w:r w:rsidRPr="00A971AF">
        <w:rPr>
          <w:rFonts w:ascii="Times New Roman" w:hAnsi="Times New Roman" w:cs="Times New Roman"/>
          <w:sz w:val="24"/>
          <w:szCs w:val="24"/>
        </w:rPr>
        <w:t xml:space="preserve">The present study was conducted in the </w:t>
      </w:r>
      <w:proofErr w:type="spellStart"/>
      <w:r w:rsidRPr="00A971AF">
        <w:rPr>
          <w:rFonts w:ascii="Times New Roman" w:hAnsi="Times New Roman" w:cs="Times New Roman"/>
          <w:sz w:val="24"/>
          <w:szCs w:val="24"/>
        </w:rPr>
        <w:t>Kawal</w:t>
      </w:r>
      <w:proofErr w:type="spellEnd"/>
      <w:r w:rsidRPr="00A971AF">
        <w:rPr>
          <w:rFonts w:ascii="Times New Roman" w:hAnsi="Times New Roman" w:cs="Times New Roman"/>
          <w:sz w:val="24"/>
          <w:szCs w:val="24"/>
        </w:rPr>
        <w:t xml:space="preserve"> Tiger Reserve (KTR), situated in the northern part of Telangana State on the Central Indian Deccan Plateau. The reserve extends across the districts of </w:t>
      </w:r>
      <w:proofErr w:type="spellStart"/>
      <w:r w:rsidRPr="00A971AF">
        <w:rPr>
          <w:rFonts w:ascii="Times New Roman" w:hAnsi="Times New Roman" w:cs="Times New Roman"/>
          <w:sz w:val="24"/>
          <w:szCs w:val="24"/>
        </w:rPr>
        <w:t>Mancherial</w:t>
      </w:r>
      <w:proofErr w:type="spellEnd"/>
      <w:r w:rsidRPr="00A971AF">
        <w:rPr>
          <w:rFonts w:ascii="Times New Roman" w:hAnsi="Times New Roman" w:cs="Times New Roman"/>
          <w:sz w:val="24"/>
          <w:szCs w:val="24"/>
        </w:rPr>
        <w:t xml:space="preserve">, </w:t>
      </w:r>
      <w:proofErr w:type="spellStart"/>
      <w:r w:rsidRPr="00A971AF">
        <w:rPr>
          <w:rFonts w:ascii="Times New Roman" w:hAnsi="Times New Roman" w:cs="Times New Roman"/>
          <w:sz w:val="24"/>
          <w:szCs w:val="24"/>
        </w:rPr>
        <w:t>Komaram</w:t>
      </w:r>
      <w:proofErr w:type="spellEnd"/>
      <w:r w:rsidRPr="00A971AF">
        <w:rPr>
          <w:rFonts w:ascii="Times New Roman" w:hAnsi="Times New Roman" w:cs="Times New Roman"/>
          <w:sz w:val="24"/>
          <w:szCs w:val="24"/>
        </w:rPr>
        <w:t xml:space="preserve"> </w:t>
      </w:r>
      <w:proofErr w:type="spellStart"/>
      <w:r w:rsidRPr="00A971AF">
        <w:rPr>
          <w:rFonts w:ascii="Times New Roman" w:hAnsi="Times New Roman" w:cs="Times New Roman"/>
          <w:sz w:val="24"/>
          <w:szCs w:val="24"/>
        </w:rPr>
        <w:t>Bheem</w:t>
      </w:r>
      <w:proofErr w:type="spellEnd"/>
      <w:r w:rsidRPr="00A971AF">
        <w:rPr>
          <w:rFonts w:ascii="Times New Roman" w:hAnsi="Times New Roman" w:cs="Times New Roman"/>
          <w:sz w:val="24"/>
          <w:szCs w:val="24"/>
        </w:rPr>
        <w:t>–</w:t>
      </w:r>
      <w:proofErr w:type="spellStart"/>
      <w:r w:rsidRPr="00A971AF">
        <w:rPr>
          <w:rFonts w:ascii="Times New Roman" w:hAnsi="Times New Roman" w:cs="Times New Roman"/>
          <w:sz w:val="24"/>
          <w:szCs w:val="24"/>
        </w:rPr>
        <w:t>Asifabad</w:t>
      </w:r>
      <w:proofErr w:type="spellEnd"/>
      <w:r w:rsidRPr="00A971AF">
        <w:rPr>
          <w:rFonts w:ascii="Times New Roman" w:hAnsi="Times New Roman" w:cs="Times New Roman"/>
          <w:sz w:val="24"/>
          <w:szCs w:val="24"/>
        </w:rPr>
        <w:t xml:space="preserve">, Nirmal, and Adilabad. </w:t>
      </w:r>
      <w:proofErr w:type="spellStart"/>
      <w:r w:rsidRPr="00A971AF">
        <w:rPr>
          <w:rFonts w:ascii="Times New Roman" w:hAnsi="Times New Roman" w:cs="Times New Roman"/>
          <w:sz w:val="24"/>
          <w:szCs w:val="24"/>
        </w:rPr>
        <w:t>Kawal</w:t>
      </w:r>
      <w:proofErr w:type="spellEnd"/>
      <w:r w:rsidRPr="00A971AF">
        <w:rPr>
          <w:rFonts w:ascii="Times New Roman" w:hAnsi="Times New Roman" w:cs="Times New Roman"/>
          <w:sz w:val="24"/>
          <w:szCs w:val="24"/>
        </w:rPr>
        <w:t xml:space="preserve"> Tiger Reserve covers a total geographical area of 2015.44 km², comprising a core area of 892.23 km² and a buffer area of 1123.21 km². Administratively, the reserve is divided into four forest divisions, namely </w:t>
      </w:r>
      <w:proofErr w:type="spellStart"/>
      <w:r w:rsidRPr="00A971AF">
        <w:rPr>
          <w:rFonts w:ascii="Times New Roman" w:hAnsi="Times New Roman" w:cs="Times New Roman"/>
          <w:sz w:val="24"/>
          <w:szCs w:val="24"/>
        </w:rPr>
        <w:t>Asifabad</w:t>
      </w:r>
      <w:proofErr w:type="spellEnd"/>
      <w:r w:rsidRPr="00A971AF">
        <w:rPr>
          <w:rFonts w:ascii="Times New Roman" w:hAnsi="Times New Roman" w:cs="Times New Roman"/>
          <w:sz w:val="24"/>
          <w:szCs w:val="24"/>
        </w:rPr>
        <w:t xml:space="preserve">, </w:t>
      </w:r>
      <w:proofErr w:type="spellStart"/>
      <w:r w:rsidRPr="00A971AF">
        <w:rPr>
          <w:rFonts w:ascii="Times New Roman" w:hAnsi="Times New Roman" w:cs="Times New Roman"/>
          <w:sz w:val="24"/>
          <w:szCs w:val="24"/>
        </w:rPr>
        <w:t>Jannaram</w:t>
      </w:r>
      <w:proofErr w:type="spellEnd"/>
      <w:r w:rsidRPr="00A971AF">
        <w:rPr>
          <w:rFonts w:ascii="Times New Roman" w:hAnsi="Times New Roman" w:cs="Times New Roman"/>
          <w:sz w:val="24"/>
          <w:szCs w:val="24"/>
        </w:rPr>
        <w:t xml:space="preserve">, </w:t>
      </w:r>
      <w:proofErr w:type="spellStart"/>
      <w:r w:rsidRPr="00A971AF">
        <w:rPr>
          <w:rFonts w:ascii="Times New Roman" w:hAnsi="Times New Roman" w:cs="Times New Roman"/>
          <w:sz w:val="24"/>
          <w:szCs w:val="24"/>
        </w:rPr>
        <w:t>Khanapur</w:t>
      </w:r>
      <w:proofErr w:type="spellEnd"/>
      <w:r w:rsidRPr="00A971AF">
        <w:rPr>
          <w:rFonts w:ascii="Times New Roman" w:hAnsi="Times New Roman" w:cs="Times New Roman"/>
          <w:sz w:val="24"/>
          <w:szCs w:val="24"/>
        </w:rPr>
        <w:t xml:space="preserve">, and </w:t>
      </w:r>
      <w:proofErr w:type="spellStart"/>
      <w:r w:rsidRPr="00A971AF">
        <w:rPr>
          <w:rFonts w:ascii="Times New Roman" w:hAnsi="Times New Roman" w:cs="Times New Roman"/>
          <w:sz w:val="24"/>
          <w:szCs w:val="24"/>
        </w:rPr>
        <w:t>Utnoor</w:t>
      </w:r>
      <w:proofErr w:type="spellEnd"/>
      <w:r w:rsidRPr="00A971AF">
        <w:rPr>
          <w:rFonts w:ascii="Times New Roman" w:hAnsi="Times New Roman" w:cs="Times New Roman"/>
          <w:sz w:val="24"/>
          <w:szCs w:val="24"/>
        </w:rPr>
        <w:t xml:space="preserve"> FDPT</w:t>
      </w:r>
      <w:r w:rsidRPr="00E24BDA">
        <w:rPr>
          <w:rFonts w:ascii="Times New Roman" w:hAnsi="Times New Roman" w:cs="Times New Roman"/>
          <w:sz w:val="24"/>
          <w:szCs w:val="24"/>
        </w:rPr>
        <w:t xml:space="preserve"> (Fig. 1)</w:t>
      </w:r>
      <w:r w:rsidRPr="00A971AF">
        <w:rPr>
          <w:rFonts w:ascii="Times New Roman" w:hAnsi="Times New Roman" w:cs="Times New Roman"/>
          <w:sz w:val="24"/>
          <w:szCs w:val="24"/>
        </w:rPr>
        <w:t>.</w:t>
      </w:r>
    </w:p>
    <w:p w14:paraId="3BCECFC5" w14:textId="1E817D58" w:rsidR="00A971AF" w:rsidRPr="00E24BDA" w:rsidRDefault="00A971AF" w:rsidP="00FB5FBB">
      <w:pPr>
        <w:spacing w:before="240"/>
        <w:jc w:val="both"/>
        <w:rPr>
          <w:rFonts w:ascii="Times New Roman" w:hAnsi="Times New Roman" w:cs="Times New Roman"/>
          <w:sz w:val="24"/>
          <w:szCs w:val="24"/>
        </w:rPr>
      </w:pPr>
      <w:proofErr w:type="spellStart"/>
      <w:r w:rsidRPr="00A971AF">
        <w:rPr>
          <w:rFonts w:ascii="Times New Roman" w:hAnsi="Times New Roman" w:cs="Times New Roman"/>
          <w:sz w:val="24"/>
          <w:szCs w:val="24"/>
        </w:rPr>
        <w:t>Physiographically</w:t>
      </w:r>
      <w:proofErr w:type="spellEnd"/>
      <w:r w:rsidRPr="00A971AF">
        <w:rPr>
          <w:rFonts w:ascii="Times New Roman" w:hAnsi="Times New Roman" w:cs="Times New Roman"/>
          <w:sz w:val="24"/>
          <w:szCs w:val="24"/>
        </w:rPr>
        <w:t xml:space="preserve">, KTR is </w:t>
      </w:r>
      <w:r w:rsidR="00E24BDA" w:rsidRPr="00A971AF">
        <w:rPr>
          <w:rFonts w:ascii="Times New Roman" w:hAnsi="Times New Roman" w:cs="Times New Roman"/>
          <w:sz w:val="24"/>
          <w:szCs w:val="24"/>
        </w:rPr>
        <w:t>characterized</w:t>
      </w:r>
      <w:r w:rsidRPr="00A971AF">
        <w:rPr>
          <w:rFonts w:ascii="Times New Roman" w:hAnsi="Times New Roman" w:cs="Times New Roman"/>
          <w:sz w:val="24"/>
          <w:szCs w:val="24"/>
        </w:rPr>
        <w:t xml:space="preserve"> by an undulating landscape with gentle hills, plateaus, valleys, and seasonal streams. The reserve forms an important part of the Godavari River </w:t>
      </w:r>
      <w:r w:rsidRPr="00A971AF">
        <w:rPr>
          <w:rFonts w:ascii="Times New Roman" w:hAnsi="Times New Roman" w:cs="Times New Roman"/>
          <w:sz w:val="24"/>
          <w:szCs w:val="24"/>
        </w:rPr>
        <w:lastRenderedPageBreak/>
        <w:t xml:space="preserve">catchment system, being drained by major tributaries such as the </w:t>
      </w:r>
      <w:proofErr w:type="spellStart"/>
      <w:r w:rsidRPr="00A971AF">
        <w:rPr>
          <w:rFonts w:ascii="Times New Roman" w:hAnsi="Times New Roman" w:cs="Times New Roman"/>
          <w:sz w:val="24"/>
          <w:szCs w:val="24"/>
        </w:rPr>
        <w:t>Peddavagu</w:t>
      </w:r>
      <w:proofErr w:type="spellEnd"/>
      <w:r w:rsidRPr="00A971AF">
        <w:rPr>
          <w:rFonts w:ascii="Times New Roman" w:hAnsi="Times New Roman" w:cs="Times New Roman"/>
          <w:sz w:val="24"/>
          <w:szCs w:val="24"/>
        </w:rPr>
        <w:t xml:space="preserve"> and </w:t>
      </w:r>
      <w:proofErr w:type="spellStart"/>
      <w:r w:rsidRPr="00A971AF">
        <w:rPr>
          <w:rFonts w:ascii="Times New Roman" w:hAnsi="Times New Roman" w:cs="Times New Roman"/>
          <w:sz w:val="24"/>
          <w:szCs w:val="24"/>
        </w:rPr>
        <w:t>Pranahita</w:t>
      </w:r>
      <w:proofErr w:type="spellEnd"/>
      <w:r w:rsidRPr="00A971AF">
        <w:rPr>
          <w:rFonts w:ascii="Times New Roman" w:hAnsi="Times New Roman" w:cs="Times New Roman"/>
          <w:sz w:val="24"/>
          <w:szCs w:val="24"/>
        </w:rPr>
        <w:t xml:space="preserve"> rivers. This diverse terrain and hydrological network support rich biodiversity, making </w:t>
      </w:r>
      <w:proofErr w:type="spellStart"/>
      <w:r w:rsidRPr="00A971AF">
        <w:rPr>
          <w:rFonts w:ascii="Times New Roman" w:hAnsi="Times New Roman" w:cs="Times New Roman"/>
          <w:sz w:val="24"/>
          <w:szCs w:val="24"/>
        </w:rPr>
        <w:t>Kawal</w:t>
      </w:r>
      <w:proofErr w:type="spellEnd"/>
      <w:r w:rsidRPr="00A971AF">
        <w:rPr>
          <w:rFonts w:ascii="Times New Roman" w:hAnsi="Times New Roman" w:cs="Times New Roman"/>
          <w:sz w:val="24"/>
          <w:szCs w:val="24"/>
        </w:rPr>
        <w:t xml:space="preserve"> Tiger Reserve one of the ecologically significant landscapes of the region.</w:t>
      </w:r>
    </w:p>
    <w:p w14:paraId="0BCC7C34" w14:textId="34CB1618" w:rsidR="00A971AF" w:rsidRPr="00A971AF" w:rsidRDefault="00A971AF" w:rsidP="00FB5FBB">
      <w:pPr>
        <w:spacing w:before="240"/>
        <w:jc w:val="both"/>
        <w:rPr>
          <w:rFonts w:ascii="Times New Roman" w:hAnsi="Times New Roman" w:cs="Times New Roman"/>
          <w:sz w:val="24"/>
          <w:szCs w:val="24"/>
        </w:rPr>
      </w:pPr>
      <w:r w:rsidRPr="00A971AF">
        <w:rPr>
          <w:rFonts w:ascii="Times New Roman" w:hAnsi="Times New Roman" w:cs="Times New Roman"/>
          <w:sz w:val="24"/>
          <w:szCs w:val="24"/>
        </w:rPr>
        <w:t xml:space="preserve">Socio-economically, the </w:t>
      </w:r>
      <w:proofErr w:type="spellStart"/>
      <w:r w:rsidRPr="00A971AF">
        <w:rPr>
          <w:rFonts w:ascii="Times New Roman" w:hAnsi="Times New Roman" w:cs="Times New Roman"/>
          <w:sz w:val="24"/>
          <w:szCs w:val="24"/>
        </w:rPr>
        <w:t>Kawal</w:t>
      </w:r>
      <w:proofErr w:type="spellEnd"/>
      <w:r w:rsidRPr="00A971AF">
        <w:rPr>
          <w:rFonts w:ascii="Times New Roman" w:hAnsi="Times New Roman" w:cs="Times New Roman"/>
          <w:sz w:val="24"/>
          <w:szCs w:val="24"/>
        </w:rPr>
        <w:t xml:space="preserve"> Tiger Reserve (KTR) is inhabited by a considerable population of forest-dependent communities, with a significant presence of indigenous tribal groups such as the </w:t>
      </w:r>
      <w:proofErr w:type="spellStart"/>
      <w:r w:rsidRPr="00A971AF">
        <w:rPr>
          <w:rFonts w:ascii="Times New Roman" w:hAnsi="Times New Roman" w:cs="Times New Roman"/>
          <w:sz w:val="24"/>
          <w:szCs w:val="24"/>
        </w:rPr>
        <w:t>Gonds</w:t>
      </w:r>
      <w:proofErr w:type="spellEnd"/>
      <w:r w:rsidRPr="00A971AF">
        <w:rPr>
          <w:rFonts w:ascii="Times New Roman" w:hAnsi="Times New Roman" w:cs="Times New Roman"/>
          <w:sz w:val="24"/>
          <w:szCs w:val="24"/>
        </w:rPr>
        <w:t xml:space="preserve">, </w:t>
      </w:r>
      <w:proofErr w:type="spellStart"/>
      <w:r w:rsidRPr="00A971AF">
        <w:rPr>
          <w:rFonts w:ascii="Times New Roman" w:hAnsi="Times New Roman" w:cs="Times New Roman"/>
          <w:sz w:val="24"/>
          <w:szCs w:val="24"/>
        </w:rPr>
        <w:t>Kolams</w:t>
      </w:r>
      <w:proofErr w:type="spellEnd"/>
      <w:r w:rsidRPr="00A971AF">
        <w:rPr>
          <w:rFonts w:ascii="Times New Roman" w:hAnsi="Times New Roman" w:cs="Times New Roman"/>
          <w:sz w:val="24"/>
          <w:szCs w:val="24"/>
        </w:rPr>
        <w:t xml:space="preserve">, </w:t>
      </w:r>
      <w:proofErr w:type="spellStart"/>
      <w:r w:rsidRPr="00A971AF">
        <w:rPr>
          <w:rFonts w:ascii="Times New Roman" w:hAnsi="Times New Roman" w:cs="Times New Roman"/>
          <w:sz w:val="24"/>
          <w:szCs w:val="24"/>
        </w:rPr>
        <w:t>Naikpods</w:t>
      </w:r>
      <w:proofErr w:type="spellEnd"/>
      <w:r w:rsidRPr="00A971AF">
        <w:rPr>
          <w:rFonts w:ascii="Times New Roman" w:hAnsi="Times New Roman" w:cs="Times New Roman"/>
          <w:sz w:val="24"/>
          <w:szCs w:val="24"/>
        </w:rPr>
        <w:t xml:space="preserve">, and </w:t>
      </w:r>
      <w:proofErr w:type="spellStart"/>
      <w:r w:rsidRPr="00E24BDA">
        <w:rPr>
          <w:rFonts w:ascii="Times New Roman" w:hAnsi="Times New Roman" w:cs="Times New Roman"/>
          <w:sz w:val="24"/>
          <w:szCs w:val="24"/>
        </w:rPr>
        <w:t>Lambadas</w:t>
      </w:r>
      <w:proofErr w:type="spellEnd"/>
      <w:r w:rsidRPr="00E24BDA">
        <w:rPr>
          <w:rFonts w:ascii="Times New Roman" w:hAnsi="Times New Roman" w:cs="Times New Roman"/>
          <w:sz w:val="24"/>
          <w:szCs w:val="24"/>
        </w:rPr>
        <w:t>.</w:t>
      </w:r>
      <w:r w:rsidRPr="00A971AF">
        <w:rPr>
          <w:rFonts w:ascii="Times New Roman" w:hAnsi="Times New Roman" w:cs="Times New Roman"/>
          <w:sz w:val="24"/>
          <w:szCs w:val="24"/>
        </w:rPr>
        <w:t xml:space="preserve"> These communities have traditionally relied on forest resources for their subsistence and livelihoods, primarily through the collection of non-timber forest products (NTFPs), subsistence agriculture, wage </w:t>
      </w:r>
      <w:r w:rsidR="004066A7" w:rsidRPr="00A971AF">
        <w:rPr>
          <w:rFonts w:ascii="Times New Roman" w:hAnsi="Times New Roman" w:cs="Times New Roman"/>
          <w:sz w:val="24"/>
          <w:szCs w:val="24"/>
        </w:rPr>
        <w:t>labor</w:t>
      </w:r>
      <w:r w:rsidRPr="00A971AF">
        <w:rPr>
          <w:rFonts w:ascii="Times New Roman" w:hAnsi="Times New Roman" w:cs="Times New Roman"/>
          <w:sz w:val="24"/>
          <w:szCs w:val="24"/>
        </w:rPr>
        <w:t>, and seasonal employment.</w:t>
      </w:r>
    </w:p>
    <w:p w14:paraId="3EC57B02" w14:textId="77777777" w:rsidR="00A971AF" w:rsidRPr="00E24BDA" w:rsidRDefault="00A971AF" w:rsidP="00FB5FBB">
      <w:pPr>
        <w:spacing w:before="240"/>
        <w:jc w:val="both"/>
        <w:rPr>
          <w:rFonts w:ascii="Times New Roman" w:hAnsi="Times New Roman" w:cs="Times New Roman"/>
          <w:sz w:val="24"/>
          <w:szCs w:val="24"/>
        </w:rPr>
      </w:pPr>
      <w:r w:rsidRPr="00A971AF">
        <w:rPr>
          <w:rFonts w:ascii="Times New Roman" w:hAnsi="Times New Roman" w:cs="Times New Roman"/>
          <w:sz w:val="24"/>
          <w:szCs w:val="24"/>
        </w:rPr>
        <w:t xml:space="preserve">Limited access to productive agricultural land, low household income levels, and high dependence on government welfare and public employment schemes characterize the socio-economic conditions of the region. As a result, conservation-linked employment opportunities, including those generated through forest protection, eco-development initiatives, and protected area management activities, play a crucial role in supporting local livelihoods. Such employment not only contributes significantly to household income security but also helps in reducing anthropogenic pressure on forest resources, thereby strengthening community participation in conservation efforts within the </w:t>
      </w:r>
      <w:proofErr w:type="spellStart"/>
      <w:r w:rsidRPr="00A971AF">
        <w:rPr>
          <w:rFonts w:ascii="Times New Roman" w:hAnsi="Times New Roman" w:cs="Times New Roman"/>
          <w:sz w:val="24"/>
          <w:szCs w:val="24"/>
        </w:rPr>
        <w:t>Kawal</w:t>
      </w:r>
      <w:proofErr w:type="spellEnd"/>
      <w:r w:rsidRPr="00A971AF">
        <w:rPr>
          <w:rFonts w:ascii="Times New Roman" w:hAnsi="Times New Roman" w:cs="Times New Roman"/>
          <w:sz w:val="24"/>
          <w:szCs w:val="24"/>
        </w:rPr>
        <w:t xml:space="preserve"> Tiger Reserve.</w:t>
      </w:r>
    </w:p>
    <w:p w14:paraId="78824428" w14:textId="77FC80D7" w:rsidR="00A971AF" w:rsidRPr="00E24BDA" w:rsidRDefault="00A971AF" w:rsidP="00FB5FBB">
      <w:pPr>
        <w:spacing w:before="240"/>
        <w:jc w:val="both"/>
        <w:rPr>
          <w:rFonts w:ascii="Times New Roman" w:hAnsi="Times New Roman" w:cs="Times New Roman"/>
          <w:b/>
          <w:bCs/>
          <w:sz w:val="24"/>
          <w:szCs w:val="24"/>
        </w:rPr>
      </w:pPr>
      <w:r w:rsidRPr="00E24BDA">
        <w:rPr>
          <w:rFonts w:ascii="Times New Roman" w:hAnsi="Times New Roman" w:cs="Times New Roman"/>
          <w:b/>
          <w:bCs/>
          <w:sz w:val="24"/>
          <w:szCs w:val="24"/>
        </w:rPr>
        <w:t>2.2. Methodology</w:t>
      </w:r>
    </w:p>
    <w:p w14:paraId="147F37AD" w14:textId="2EB08ED5" w:rsidR="00A971AF" w:rsidRPr="00A971AF" w:rsidRDefault="00A971AF" w:rsidP="00FB5FBB">
      <w:pPr>
        <w:spacing w:before="240"/>
        <w:jc w:val="both"/>
        <w:rPr>
          <w:rFonts w:ascii="Times New Roman" w:hAnsi="Times New Roman" w:cs="Times New Roman"/>
          <w:sz w:val="24"/>
          <w:szCs w:val="24"/>
        </w:rPr>
      </w:pPr>
      <w:r w:rsidRPr="00A971AF">
        <w:rPr>
          <w:rFonts w:ascii="Times New Roman" w:hAnsi="Times New Roman" w:cs="Times New Roman"/>
          <w:sz w:val="24"/>
          <w:szCs w:val="24"/>
        </w:rPr>
        <w:t xml:space="preserve">Employment generation in the </w:t>
      </w:r>
      <w:proofErr w:type="spellStart"/>
      <w:r w:rsidRPr="00A971AF">
        <w:rPr>
          <w:rFonts w:ascii="Times New Roman" w:hAnsi="Times New Roman" w:cs="Times New Roman"/>
          <w:sz w:val="24"/>
          <w:szCs w:val="24"/>
        </w:rPr>
        <w:t>Kawal</w:t>
      </w:r>
      <w:proofErr w:type="spellEnd"/>
      <w:r w:rsidRPr="00A971AF">
        <w:rPr>
          <w:rFonts w:ascii="Times New Roman" w:hAnsi="Times New Roman" w:cs="Times New Roman"/>
          <w:sz w:val="24"/>
          <w:szCs w:val="24"/>
        </w:rPr>
        <w:t xml:space="preserve"> Tiger Reserve (KTR) was assessed using a structured institutional survey and records-based analysis within the Telangana Forest Department for the period 2023–2025. Given the finite and well-defined nature of sanctioned conservation-related positions in the reserve, a complete enumeration approach was adopted. Employment data were compiled from official </w:t>
      </w:r>
      <w:r w:rsidRPr="00E24BDA">
        <w:rPr>
          <w:rFonts w:ascii="Times New Roman" w:hAnsi="Times New Roman" w:cs="Times New Roman"/>
          <w:sz w:val="24"/>
          <w:szCs w:val="24"/>
        </w:rPr>
        <w:t>records of forest department</w:t>
      </w:r>
      <w:r w:rsidRPr="00A971AF">
        <w:rPr>
          <w:rFonts w:ascii="Times New Roman" w:hAnsi="Times New Roman" w:cs="Times New Roman"/>
          <w:sz w:val="24"/>
          <w:szCs w:val="24"/>
        </w:rPr>
        <w:t>.</w:t>
      </w:r>
    </w:p>
    <w:p w14:paraId="6F879E8B" w14:textId="1D570A8A" w:rsidR="00A971AF" w:rsidRPr="00A971AF" w:rsidRDefault="00A971AF" w:rsidP="00FB5FBB">
      <w:pPr>
        <w:spacing w:before="240"/>
        <w:jc w:val="both"/>
        <w:rPr>
          <w:rFonts w:ascii="Times New Roman" w:hAnsi="Times New Roman" w:cs="Times New Roman"/>
          <w:sz w:val="24"/>
          <w:szCs w:val="24"/>
        </w:rPr>
      </w:pPr>
      <w:r w:rsidRPr="00A971AF">
        <w:rPr>
          <w:rFonts w:ascii="Times New Roman" w:hAnsi="Times New Roman" w:cs="Times New Roman"/>
          <w:sz w:val="24"/>
          <w:szCs w:val="24"/>
        </w:rPr>
        <w:t>Information on the number of employees, cadre, functional role</w:t>
      </w:r>
      <w:r w:rsidRPr="00E24BDA">
        <w:rPr>
          <w:rFonts w:ascii="Times New Roman" w:hAnsi="Times New Roman" w:cs="Times New Roman"/>
          <w:sz w:val="24"/>
          <w:szCs w:val="24"/>
        </w:rPr>
        <w:t xml:space="preserve"> </w:t>
      </w:r>
      <w:r w:rsidRPr="00A971AF">
        <w:rPr>
          <w:rFonts w:ascii="Times New Roman" w:hAnsi="Times New Roman" w:cs="Times New Roman"/>
          <w:sz w:val="24"/>
          <w:szCs w:val="24"/>
        </w:rPr>
        <w:t xml:space="preserve">was collected using a structured questionnaire. Employment opportunities were </w:t>
      </w:r>
      <w:r w:rsidRPr="00E24BDA">
        <w:rPr>
          <w:rFonts w:ascii="Times New Roman" w:hAnsi="Times New Roman" w:cs="Times New Roman"/>
          <w:sz w:val="24"/>
          <w:szCs w:val="24"/>
        </w:rPr>
        <w:t>categorized</w:t>
      </w:r>
      <w:r w:rsidRPr="00A971AF">
        <w:rPr>
          <w:rFonts w:ascii="Times New Roman" w:hAnsi="Times New Roman" w:cs="Times New Roman"/>
          <w:sz w:val="24"/>
          <w:szCs w:val="24"/>
        </w:rPr>
        <w:t xml:space="preserve"> into forest protection and patrolling, fire prevention and control, wildlife rescue and monitoring, administrative and technical support, vehicle operation and logistics, and ecotourism-related services, with particular emphasis on positions accessible to local and forest-fringe communities. This approach enabled a comprehensive assessment of conservation-linked employment generated through protected area management in </w:t>
      </w:r>
      <w:proofErr w:type="spellStart"/>
      <w:r w:rsidRPr="00A971AF">
        <w:rPr>
          <w:rFonts w:ascii="Times New Roman" w:hAnsi="Times New Roman" w:cs="Times New Roman"/>
          <w:sz w:val="24"/>
          <w:szCs w:val="24"/>
        </w:rPr>
        <w:t>Kawal</w:t>
      </w:r>
      <w:proofErr w:type="spellEnd"/>
      <w:r w:rsidRPr="00A971AF">
        <w:rPr>
          <w:rFonts w:ascii="Times New Roman" w:hAnsi="Times New Roman" w:cs="Times New Roman"/>
          <w:sz w:val="24"/>
          <w:szCs w:val="24"/>
        </w:rPr>
        <w:t xml:space="preserve"> Tiger Reserve, consistent with methodologies adopted in similar protected area studies (Verma et al., 2019; </w:t>
      </w:r>
      <w:proofErr w:type="spellStart"/>
      <w:r w:rsidRPr="00A971AF">
        <w:rPr>
          <w:rFonts w:ascii="Times New Roman" w:hAnsi="Times New Roman" w:cs="Times New Roman"/>
          <w:sz w:val="24"/>
          <w:szCs w:val="24"/>
        </w:rPr>
        <w:t>Soman</w:t>
      </w:r>
      <w:proofErr w:type="spellEnd"/>
      <w:r w:rsidRPr="00A971AF">
        <w:rPr>
          <w:rFonts w:ascii="Times New Roman" w:hAnsi="Times New Roman" w:cs="Times New Roman"/>
          <w:sz w:val="24"/>
          <w:szCs w:val="24"/>
        </w:rPr>
        <w:t>, 2022).</w:t>
      </w:r>
    </w:p>
    <w:p w14:paraId="4DAE01DE" w14:textId="251418C2" w:rsidR="00A971AF" w:rsidRPr="00E24BDA" w:rsidRDefault="00A971AF" w:rsidP="00FB5FBB">
      <w:pPr>
        <w:spacing w:before="240"/>
        <w:jc w:val="both"/>
        <w:rPr>
          <w:rFonts w:ascii="Times New Roman" w:hAnsi="Times New Roman" w:cs="Times New Roman"/>
          <w:b/>
          <w:bCs/>
          <w:sz w:val="24"/>
          <w:szCs w:val="24"/>
        </w:rPr>
      </w:pPr>
      <w:r w:rsidRPr="00E24BDA">
        <w:rPr>
          <w:rFonts w:ascii="Times New Roman" w:hAnsi="Times New Roman" w:cs="Times New Roman"/>
          <w:b/>
          <w:bCs/>
          <w:sz w:val="24"/>
          <w:szCs w:val="24"/>
        </w:rPr>
        <w:t>2.3. Analysis</w:t>
      </w:r>
    </w:p>
    <w:p w14:paraId="3DE06EE4" w14:textId="0AE40074" w:rsidR="00E24BDA" w:rsidRDefault="00E24BDA" w:rsidP="00FB5FBB">
      <w:pPr>
        <w:spacing w:before="240"/>
        <w:jc w:val="both"/>
        <w:rPr>
          <w:rFonts w:ascii="Times New Roman" w:hAnsi="Times New Roman" w:cs="Times New Roman"/>
          <w:sz w:val="24"/>
          <w:szCs w:val="24"/>
        </w:rPr>
      </w:pPr>
      <w:r w:rsidRPr="00E24BDA">
        <w:rPr>
          <w:rFonts w:ascii="Times New Roman" w:hAnsi="Times New Roman" w:cs="Times New Roman"/>
          <w:sz w:val="24"/>
          <w:szCs w:val="24"/>
        </w:rPr>
        <w:t xml:space="preserve">Data were analyzed using descriptive statistical techniques, including percentage share and division-wise comparison of employment categories. The distribution of employment was examined across the administrative divisions of </w:t>
      </w:r>
      <w:proofErr w:type="spellStart"/>
      <w:r w:rsidRPr="00E24BDA">
        <w:rPr>
          <w:rFonts w:ascii="Times New Roman" w:hAnsi="Times New Roman" w:cs="Times New Roman"/>
          <w:sz w:val="24"/>
          <w:szCs w:val="24"/>
        </w:rPr>
        <w:t>Kawal</w:t>
      </w:r>
      <w:proofErr w:type="spellEnd"/>
      <w:r w:rsidRPr="00E24BDA">
        <w:rPr>
          <w:rFonts w:ascii="Times New Roman" w:hAnsi="Times New Roman" w:cs="Times New Roman"/>
          <w:sz w:val="24"/>
          <w:szCs w:val="24"/>
        </w:rPr>
        <w:t xml:space="preserve"> Tiger Reserve and across different functional roles to assess spatial variation in conservation-linked employment and its livelihood </w:t>
      </w:r>
      <w:r w:rsidRPr="00E24BDA">
        <w:rPr>
          <w:rFonts w:ascii="Times New Roman" w:hAnsi="Times New Roman" w:cs="Times New Roman"/>
          <w:sz w:val="24"/>
          <w:szCs w:val="24"/>
        </w:rPr>
        <w:lastRenderedPageBreak/>
        <w:t>significance for local and forest-fringe communities. The results were systematically compiled and presented in appropriate tabular formats to facilitate clear interpretation and comparison.</w:t>
      </w:r>
    </w:p>
    <w:p w14:paraId="4A7DDCD0" w14:textId="598CFBD1" w:rsidR="00E24BDA" w:rsidRDefault="00E24BDA" w:rsidP="00FB5FBB">
      <w:pPr>
        <w:spacing w:before="240"/>
        <w:jc w:val="both"/>
        <w:rPr>
          <w:rFonts w:ascii="Times New Roman" w:hAnsi="Times New Roman" w:cs="Times New Roman"/>
          <w:sz w:val="24"/>
          <w:szCs w:val="24"/>
        </w:rPr>
      </w:pPr>
      <w:r w:rsidRPr="00BE37C5">
        <w:rPr>
          <w:noProof/>
          <w:sz w:val="26"/>
          <w:szCs w:val="26"/>
        </w:rPr>
        <w:drawing>
          <wp:inline distT="0" distB="0" distL="0" distR="0" wp14:anchorId="10A55C1E" wp14:editId="6B4A620C">
            <wp:extent cx="5943600" cy="4084199"/>
            <wp:effectExtent l="19050" t="19050" r="19050" b="12065"/>
            <wp:docPr id="5" name="Content Placeholder 4" descr="A map of the state of india&#10;&#10;AI-generated content may be incorrect.">
              <a:extLst xmlns:a="http://schemas.openxmlformats.org/drawingml/2006/main">
                <a:ext uri="{FF2B5EF4-FFF2-40B4-BE49-F238E27FC236}">
                  <a16:creationId xmlns:a16="http://schemas.microsoft.com/office/drawing/2014/main" id="{297B39D3-B9D6-2C4B-849B-3CD084320FA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map of the state of india&#10;&#10;AI-generated content may be incorrect.">
                      <a:extLst>
                        <a:ext uri="{FF2B5EF4-FFF2-40B4-BE49-F238E27FC236}">
                          <a16:creationId xmlns:a16="http://schemas.microsoft.com/office/drawing/2014/main" id="{297B39D3-B9D6-2C4B-849B-3CD084320FA9}"/>
                        </a:ext>
                      </a:extLst>
                    </pic:cNvPr>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4084199"/>
                    </a:xfrm>
                    <a:prstGeom prst="rect">
                      <a:avLst/>
                    </a:prstGeom>
                    <a:ln>
                      <a:solidFill>
                        <a:schemeClr val="tx1"/>
                      </a:solidFill>
                    </a:ln>
                  </pic:spPr>
                </pic:pic>
              </a:graphicData>
            </a:graphic>
          </wp:inline>
        </w:drawing>
      </w:r>
    </w:p>
    <w:p w14:paraId="38707B83" w14:textId="6528FE9B" w:rsidR="00E24BDA" w:rsidRPr="00E24BDA" w:rsidRDefault="00E24BDA" w:rsidP="00FB5FBB">
      <w:pPr>
        <w:spacing w:before="240"/>
        <w:jc w:val="center"/>
        <w:rPr>
          <w:rFonts w:ascii="Times New Roman" w:hAnsi="Times New Roman" w:cs="Times New Roman"/>
          <w:sz w:val="24"/>
          <w:szCs w:val="24"/>
        </w:rPr>
      </w:pPr>
      <w:bookmarkStart w:id="0" w:name="_GoBack"/>
      <w:r w:rsidRPr="00E24BDA">
        <w:rPr>
          <w:rFonts w:ascii="Times New Roman" w:hAnsi="Times New Roman" w:cs="Times New Roman"/>
          <w:sz w:val="24"/>
          <w:szCs w:val="24"/>
        </w:rPr>
        <w:t>Fig</w:t>
      </w:r>
      <w:bookmarkEnd w:id="0"/>
      <w:r w:rsidRPr="00E24BDA">
        <w:rPr>
          <w:rFonts w:ascii="Times New Roman" w:hAnsi="Times New Roman" w:cs="Times New Roman"/>
          <w:sz w:val="24"/>
          <w:szCs w:val="24"/>
        </w:rPr>
        <w:t xml:space="preserve">.1. Location Map of </w:t>
      </w:r>
      <w:proofErr w:type="spellStart"/>
      <w:r>
        <w:rPr>
          <w:rFonts w:ascii="Times New Roman" w:hAnsi="Times New Roman" w:cs="Times New Roman"/>
          <w:sz w:val="24"/>
          <w:szCs w:val="24"/>
        </w:rPr>
        <w:t>Kawal</w:t>
      </w:r>
      <w:proofErr w:type="spellEnd"/>
      <w:r>
        <w:rPr>
          <w:rFonts w:ascii="Times New Roman" w:hAnsi="Times New Roman" w:cs="Times New Roman"/>
          <w:sz w:val="24"/>
          <w:szCs w:val="24"/>
        </w:rPr>
        <w:t xml:space="preserve"> </w:t>
      </w:r>
      <w:r w:rsidRPr="00E24BDA">
        <w:rPr>
          <w:rFonts w:ascii="Times New Roman" w:hAnsi="Times New Roman" w:cs="Times New Roman"/>
          <w:sz w:val="24"/>
          <w:szCs w:val="24"/>
        </w:rPr>
        <w:t>Tiger Reserve (Study Area)</w:t>
      </w:r>
    </w:p>
    <w:p w14:paraId="2734FCFC" w14:textId="293B5B65" w:rsidR="00C45777" w:rsidRPr="0097402F" w:rsidRDefault="00C45777" w:rsidP="00FB5FBB">
      <w:pPr>
        <w:spacing w:before="240"/>
        <w:jc w:val="both"/>
        <w:rPr>
          <w:rFonts w:ascii="Times New Roman" w:hAnsi="Times New Roman" w:cs="Times New Roman"/>
          <w:b/>
          <w:bCs/>
          <w:sz w:val="24"/>
          <w:szCs w:val="24"/>
        </w:rPr>
      </w:pPr>
      <w:r w:rsidRPr="0097402F">
        <w:rPr>
          <w:rFonts w:ascii="Times New Roman" w:hAnsi="Times New Roman" w:cs="Times New Roman"/>
          <w:b/>
          <w:bCs/>
          <w:sz w:val="24"/>
          <w:szCs w:val="24"/>
        </w:rPr>
        <w:t xml:space="preserve">3. Results and </w:t>
      </w:r>
      <w:r w:rsidR="0097402F">
        <w:rPr>
          <w:rFonts w:ascii="Times New Roman" w:hAnsi="Times New Roman" w:cs="Times New Roman"/>
          <w:b/>
          <w:bCs/>
          <w:sz w:val="24"/>
          <w:szCs w:val="24"/>
        </w:rPr>
        <w:t>D</w:t>
      </w:r>
      <w:r w:rsidRPr="0097402F">
        <w:rPr>
          <w:rFonts w:ascii="Times New Roman" w:hAnsi="Times New Roman" w:cs="Times New Roman"/>
          <w:b/>
          <w:bCs/>
          <w:sz w:val="24"/>
          <w:szCs w:val="24"/>
        </w:rPr>
        <w:t>iscussion</w:t>
      </w:r>
    </w:p>
    <w:p w14:paraId="0809FFF3" w14:textId="329FC772" w:rsidR="0097402F" w:rsidRPr="0097402F" w:rsidRDefault="0097402F" w:rsidP="00FB5FBB">
      <w:pPr>
        <w:spacing w:before="240"/>
        <w:jc w:val="both"/>
        <w:rPr>
          <w:rFonts w:ascii="Times New Roman" w:hAnsi="Times New Roman" w:cs="Times New Roman"/>
          <w:b/>
          <w:bCs/>
          <w:sz w:val="24"/>
          <w:szCs w:val="24"/>
        </w:rPr>
      </w:pPr>
      <w:r>
        <w:rPr>
          <w:rFonts w:ascii="Times New Roman" w:hAnsi="Times New Roman" w:cs="Times New Roman"/>
          <w:b/>
          <w:bCs/>
          <w:sz w:val="24"/>
          <w:szCs w:val="24"/>
        </w:rPr>
        <w:t>3</w:t>
      </w:r>
      <w:r w:rsidRPr="0097402F">
        <w:rPr>
          <w:rFonts w:ascii="Times New Roman" w:hAnsi="Times New Roman" w:cs="Times New Roman"/>
          <w:b/>
          <w:bCs/>
          <w:sz w:val="24"/>
          <w:szCs w:val="24"/>
        </w:rPr>
        <w:t xml:space="preserve">.1 Employment Generation as a Direct-Use Ecosystem Service in </w:t>
      </w:r>
      <w:proofErr w:type="spellStart"/>
      <w:r w:rsidRPr="0097402F">
        <w:rPr>
          <w:rFonts w:ascii="Times New Roman" w:hAnsi="Times New Roman" w:cs="Times New Roman"/>
          <w:b/>
          <w:bCs/>
          <w:sz w:val="24"/>
          <w:szCs w:val="24"/>
        </w:rPr>
        <w:t>Kawal</w:t>
      </w:r>
      <w:proofErr w:type="spellEnd"/>
      <w:r w:rsidRPr="0097402F">
        <w:rPr>
          <w:rFonts w:ascii="Times New Roman" w:hAnsi="Times New Roman" w:cs="Times New Roman"/>
          <w:b/>
          <w:bCs/>
          <w:sz w:val="24"/>
          <w:szCs w:val="24"/>
        </w:rPr>
        <w:t xml:space="preserve"> Tiger Reserve</w:t>
      </w:r>
    </w:p>
    <w:p w14:paraId="02ACCC72" w14:textId="71D5E170" w:rsidR="0097402F" w:rsidRPr="0097402F" w:rsidRDefault="0097402F" w:rsidP="00FB5FBB">
      <w:pPr>
        <w:spacing w:before="240"/>
        <w:jc w:val="both"/>
        <w:rPr>
          <w:rFonts w:ascii="Times New Roman" w:hAnsi="Times New Roman" w:cs="Times New Roman"/>
          <w:sz w:val="24"/>
          <w:szCs w:val="24"/>
        </w:rPr>
      </w:pPr>
      <w:r w:rsidRPr="0097402F">
        <w:rPr>
          <w:rFonts w:ascii="Times New Roman" w:hAnsi="Times New Roman" w:cs="Times New Roman"/>
          <w:sz w:val="24"/>
          <w:szCs w:val="24"/>
        </w:rPr>
        <w:t xml:space="preserve">Employment generation emerged as a significant direct-use ecosystem service of the </w:t>
      </w:r>
      <w:proofErr w:type="spellStart"/>
      <w:r w:rsidRPr="0097402F">
        <w:rPr>
          <w:rFonts w:ascii="Times New Roman" w:hAnsi="Times New Roman" w:cs="Times New Roman"/>
          <w:sz w:val="24"/>
          <w:szCs w:val="24"/>
        </w:rPr>
        <w:t>Kawal</w:t>
      </w:r>
      <w:proofErr w:type="spellEnd"/>
      <w:r w:rsidRPr="0097402F">
        <w:rPr>
          <w:rFonts w:ascii="Times New Roman" w:hAnsi="Times New Roman" w:cs="Times New Roman"/>
          <w:sz w:val="24"/>
          <w:szCs w:val="24"/>
        </w:rPr>
        <w:t xml:space="preserve"> Tiger Reserve (KTR), reflecting the labor-intensive nature of tiger reserve management in a remote forested landscape. Based on verified Forest Department records for the period 2023–2025, KTR generated 239 direct conservation-linked employment opportunities. Employment was distributed across forest protection, wildlife monitoring, anti-poaching, administration, logistics, and ecotourism-related activities, highlighting the strong linkage between conservation management and rural livelihoods.</w:t>
      </w:r>
    </w:p>
    <w:p w14:paraId="3A2BE99C" w14:textId="7E8B3D52" w:rsidR="0097402F" w:rsidRPr="0097402F" w:rsidRDefault="0097402F" w:rsidP="00FB5FBB">
      <w:pPr>
        <w:spacing w:before="240"/>
        <w:jc w:val="both"/>
        <w:rPr>
          <w:rFonts w:ascii="Times New Roman" w:hAnsi="Times New Roman" w:cs="Times New Roman"/>
          <w:sz w:val="24"/>
          <w:szCs w:val="24"/>
        </w:rPr>
      </w:pPr>
      <w:r w:rsidRPr="0097402F">
        <w:rPr>
          <w:rFonts w:ascii="Times New Roman" w:hAnsi="Times New Roman" w:cs="Times New Roman"/>
          <w:sz w:val="24"/>
          <w:szCs w:val="24"/>
        </w:rPr>
        <w:t xml:space="preserve">Frontline and field-oriented roles dominated the employment structure, accounting for the majority of positions. Base camp watchers alone constituted 163 employees (68.2%), underscoring the centrality of continuous patrolling, habitat protection, and surveillance in KTR. Other important </w:t>
      </w:r>
      <w:r w:rsidRPr="0097402F">
        <w:rPr>
          <w:rFonts w:ascii="Times New Roman" w:hAnsi="Times New Roman" w:cs="Times New Roman"/>
          <w:sz w:val="24"/>
          <w:szCs w:val="24"/>
        </w:rPr>
        <w:lastRenderedPageBreak/>
        <w:t xml:space="preserve">categories included drivers, data entry operators (DEOs), anti-poaching squad members, animal trackers, and ecotourism drivers. </w:t>
      </w:r>
    </w:p>
    <w:p w14:paraId="47B7BE01" w14:textId="5A254701" w:rsidR="0097402F" w:rsidRPr="0097402F" w:rsidRDefault="0097402F" w:rsidP="00FB5FBB">
      <w:pPr>
        <w:spacing w:before="240"/>
        <w:jc w:val="both"/>
        <w:rPr>
          <w:rFonts w:ascii="Times New Roman" w:hAnsi="Times New Roman" w:cs="Times New Roman"/>
          <w:b/>
          <w:bCs/>
          <w:sz w:val="24"/>
          <w:szCs w:val="24"/>
        </w:rPr>
      </w:pPr>
      <w:r>
        <w:rPr>
          <w:rFonts w:ascii="Times New Roman" w:hAnsi="Times New Roman" w:cs="Times New Roman"/>
          <w:b/>
          <w:bCs/>
          <w:sz w:val="24"/>
          <w:szCs w:val="24"/>
        </w:rPr>
        <w:t>3.2</w:t>
      </w:r>
      <w:r w:rsidRPr="0097402F">
        <w:rPr>
          <w:rFonts w:ascii="Times New Roman" w:hAnsi="Times New Roman" w:cs="Times New Roman"/>
          <w:b/>
          <w:bCs/>
          <w:sz w:val="24"/>
          <w:szCs w:val="24"/>
        </w:rPr>
        <w:t xml:space="preserve"> Division-wise Employment Structure and Functional Roles</w:t>
      </w:r>
    </w:p>
    <w:p w14:paraId="6F01091F" w14:textId="75A2CA0D" w:rsidR="0097402F" w:rsidRPr="0097402F" w:rsidRDefault="0097402F" w:rsidP="00FB5FBB">
      <w:pPr>
        <w:spacing w:before="240"/>
        <w:jc w:val="both"/>
        <w:rPr>
          <w:rFonts w:ascii="Times New Roman" w:hAnsi="Times New Roman" w:cs="Times New Roman"/>
          <w:b/>
          <w:bCs/>
          <w:sz w:val="24"/>
          <w:szCs w:val="24"/>
        </w:rPr>
      </w:pPr>
      <w:r>
        <w:rPr>
          <w:rFonts w:ascii="Times New Roman" w:hAnsi="Times New Roman" w:cs="Times New Roman"/>
          <w:b/>
          <w:bCs/>
          <w:sz w:val="24"/>
          <w:szCs w:val="24"/>
        </w:rPr>
        <w:t>3.2.1</w:t>
      </w:r>
      <w:r w:rsidRPr="0097402F">
        <w:rPr>
          <w:rFonts w:ascii="Times New Roman" w:hAnsi="Times New Roman" w:cs="Times New Roman"/>
          <w:b/>
          <w:bCs/>
          <w:sz w:val="24"/>
          <w:szCs w:val="24"/>
        </w:rPr>
        <w:t xml:space="preserve"> </w:t>
      </w:r>
      <w:proofErr w:type="spellStart"/>
      <w:r w:rsidRPr="0097402F">
        <w:rPr>
          <w:rFonts w:ascii="Times New Roman" w:hAnsi="Times New Roman" w:cs="Times New Roman"/>
          <w:b/>
          <w:bCs/>
          <w:sz w:val="24"/>
          <w:szCs w:val="24"/>
        </w:rPr>
        <w:t>Asifabad</w:t>
      </w:r>
      <w:proofErr w:type="spellEnd"/>
      <w:r w:rsidRPr="0097402F">
        <w:rPr>
          <w:rFonts w:ascii="Times New Roman" w:hAnsi="Times New Roman" w:cs="Times New Roman"/>
          <w:b/>
          <w:bCs/>
          <w:sz w:val="24"/>
          <w:szCs w:val="24"/>
        </w:rPr>
        <w:t xml:space="preserve"> Division</w:t>
      </w:r>
    </w:p>
    <w:p w14:paraId="15C7E586" w14:textId="03A4FCA7" w:rsidR="0097402F" w:rsidRDefault="0097402F" w:rsidP="00FB5FBB">
      <w:pPr>
        <w:spacing w:before="240"/>
        <w:jc w:val="both"/>
        <w:rPr>
          <w:rFonts w:ascii="Times New Roman" w:hAnsi="Times New Roman" w:cs="Times New Roman"/>
          <w:sz w:val="24"/>
          <w:szCs w:val="24"/>
        </w:rPr>
      </w:pPr>
      <w:r w:rsidRPr="0097402F">
        <w:rPr>
          <w:rFonts w:ascii="Times New Roman" w:hAnsi="Times New Roman" w:cs="Times New Roman"/>
          <w:sz w:val="24"/>
          <w:szCs w:val="24"/>
        </w:rPr>
        <w:t xml:space="preserve">The </w:t>
      </w:r>
      <w:proofErr w:type="spellStart"/>
      <w:r w:rsidRPr="0097402F">
        <w:rPr>
          <w:rFonts w:ascii="Times New Roman" w:hAnsi="Times New Roman" w:cs="Times New Roman"/>
          <w:sz w:val="24"/>
          <w:szCs w:val="24"/>
        </w:rPr>
        <w:t>Asifabad</w:t>
      </w:r>
      <w:proofErr w:type="spellEnd"/>
      <w:r w:rsidRPr="0097402F">
        <w:rPr>
          <w:rFonts w:ascii="Times New Roman" w:hAnsi="Times New Roman" w:cs="Times New Roman"/>
          <w:sz w:val="24"/>
          <w:szCs w:val="24"/>
        </w:rPr>
        <w:t xml:space="preserve"> Division generated employment for 29 individuals</w:t>
      </w:r>
      <w:r w:rsidR="00EC56F9">
        <w:rPr>
          <w:rFonts w:ascii="Times New Roman" w:hAnsi="Times New Roman" w:cs="Times New Roman"/>
          <w:sz w:val="24"/>
          <w:szCs w:val="24"/>
        </w:rPr>
        <w:t xml:space="preserve"> (Table 1)</w:t>
      </w:r>
      <w:r w:rsidRPr="0097402F">
        <w:rPr>
          <w:rFonts w:ascii="Times New Roman" w:hAnsi="Times New Roman" w:cs="Times New Roman"/>
          <w:sz w:val="24"/>
          <w:szCs w:val="24"/>
        </w:rPr>
        <w:t>. Employment was strongly skewed toward frontline wildlife protection, with base camp watchers (15) and animal trackers (10) together accounting for over 86% of the workforce. Supporting roles such as drivers and DEOs were limited, indicating a management emphasis on field-based surveillance and habitat protection rather than administrative expansion. This protection-oriented employment structure mirrors patterns observed in high-priority protection zones of other tiger reserves.</w:t>
      </w:r>
    </w:p>
    <w:p w14:paraId="480D10A4" w14:textId="4420855D" w:rsidR="00EC56F9" w:rsidRPr="00B60366" w:rsidRDefault="00EC56F9" w:rsidP="00FB5FBB">
      <w:pPr>
        <w:spacing w:before="240"/>
        <w:jc w:val="center"/>
        <w:rPr>
          <w:rFonts w:ascii="Times New Roman" w:hAnsi="Times New Roman" w:cs="Times New Roman"/>
          <w:b/>
          <w:bCs/>
          <w:color w:val="000000" w:themeColor="text1"/>
          <w:sz w:val="26"/>
          <w:szCs w:val="26"/>
          <w:lang w:val="en-IN"/>
        </w:rPr>
      </w:pPr>
      <w:r w:rsidRPr="00B60366">
        <w:rPr>
          <w:rFonts w:ascii="Times New Roman" w:hAnsi="Times New Roman" w:cs="Times New Roman"/>
          <w:b/>
          <w:bCs/>
          <w:color w:val="000000" w:themeColor="text1"/>
          <w:sz w:val="26"/>
          <w:szCs w:val="26"/>
        </w:rPr>
        <w:t>Table 1</w:t>
      </w:r>
      <w:r>
        <w:rPr>
          <w:rFonts w:ascii="Times New Roman" w:hAnsi="Times New Roman" w:cs="Times New Roman"/>
          <w:b/>
          <w:bCs/>
          <w:color w:val="000000" w:themeColor="text1"/>
          <w:sz w:val="26"/>
          <w:szCs w:val="26"/>
        </w:rPr>
        <w:t xml:space="preserve">. </w:t>
      </w:r>
      <w:r w:rsidRPr="00B60366">
        <w:rPr>
          <w:rFonts w:ascii="Times New Roman" w:hAnsi="Times New Roman" w:cs="Times New Roman"/>
          <w:b/>
          <w:bCs/>
          <w:color w:val="000000" w:themeColor="text1"/>
          <w:sz w:val="26"/>
          <w:szCs w:val="26"/>
        </w:rPr>
        <w:t xml:space="preserve">Employment generation details of </w:t>
      </w:r>
      <w:proofErr w:type="spellStart"/>
      <w:r w:rsidRPr="00B60366">
        <w:rPr>
          <w:rFonts w:ascii="Times New Roman" w:hAnsi="Times New Roman" w:cs="Times New Roman"/>
          <w:b/>
          <w:bCs/>
          <w:color w:val="000000" w:themeColor="text1"/>
          <w:sz w:val="26"/>
          <w:szCs w:val="26"/>
        </w:rPr>
        <w:t>Asifabad</w:t>
      </w:r>
      <w:proofErr w:type="spellEnd"/>
      <w:r w:rsidRPr="00B60366">
        <w:rPr>
          <w:rFonts w:ascii="Times New Roman" w:hAnsi="Times New Roman" w:cs="Times New Roman"/>
          <w:b/>
          <w:bCs/>
          <w:color w:val="000000" w:themeColor="text1"/>
          <w:sz w:val="26"/>
          <w:szCs w:val="26"/>
        </w:rPr>
        <w:t xml:space="preserve"> Division, KTR</w:t>
      </w:r>
    </w:p>
    <w:tbl>
      <w:tblPr>
        <w:tblW w:w="5000" w:type="pct"/>
        <w:jc w:val="center"/>
        <w:tblLook w:val="04A0" w:firstRow="1" w:lastRow="0" w:firstColumn="1" w:lastColumn="0" w:noHBand="0" w:noVBand="1"/>
      </w:tblPr>
      <w:tblGrid>
        <w:gridCol w:w="2095"/>
        <w:gridCol w:w="3892"/>
        <w:gridCol w:w="3373"/>
      </w:tblGrid>
      <w:tr w:rsidR="00EC56F9" w:rsidRPr="00B60366" w14:paraId="6A8D967C" w14:textId="77777777" w:rsidTr="00EC56F9">
        <w:trPr>
          <w:trHeight w:val="624"/>
          <w:jc w:val="center"/>
        </w:trPr>
        <w:tc>
          <w:tcPr>
            <w:tcW w:w="1119" w:type="pct"/>
            <w:tcBorders>
              <w:top w:val="single" w:sz="4" w:space="0" w:color="auto"/>
              <w:bottom w:val="single" w:sz="4" w:space="0" w:color="auto"/>
            </w:tcBorders>
            <w:vAlign w:val="center"/>
            <w:hideMark/>
          </w:tcPr>
          <w:p w14:paraId="38442D4F" w14:textId="77777777" w:rsidR="00EC56F9" w:rsidRPr="00B60366" w:rsidRDefault="00EC56F9" w:rsidP="0027332F">
            <w:pPr>
              <w:spacing w:after="0" w:line="240" w:lineRule="auto"/>
              <w:jc w:val="both"/>
              <w:rPr>
                <w:rFonts w:ascii="Times New Roman" w:eastAsia="Times New Roman" w:hAnsi="Times New Roman" w:cs="Times New Roman"/>
                <w:b/>
                <w:bCs/>
                <w:color w:val="000000" w:themeColor="text1"/>
                <w:sz w:val="26"/>
                <w:szCs w:val="26"/>
              </w:rPr>
            </w:pPr>
            <w:bookmarkStart w:id="1" w:name="_Hlk213142596"/>
            <w:r w:rsidRPr="00B60366">
              <w:rPr>
                <w:rFonts w:ascii="Times New Roman" w:eastAsia="Times New Roman" w:hAnsi="Times New Roman" w:cs="Times New Roman"/>
                <w:b/>
                <w:bCs/>
                <w:color w:val="000000" w:themeColor="text1"/>
                <w:sz w:val="26"/>
                <w:szCs w:val="26"/>
              </w:rPr>
              <w:t>Sl. No</w:t>
            </w:r>
          </w:p>
        </w:tc>
        <w:tc>
          <w:tcPr>
            <w:tcW w:w="2079" w:type="pct"/>
            <w:tcBorders>
              <w:top w:val="single" w:sz="4" w:space="0" w:color="auto"/>
              <w:bottom w:val="single" w:sz="4" w:space="0" w:color="auto"/>
            </w:tcBorders>
            <w:vAlign w:val="center"/>
            <w:hideMark/>
          </w:tcPr>
          <w:p w14:paraId="2A8AFF5A" w14:textId="77777777" w:rsidR="00EC56F9" w:rsidRPr="00B60366" w:rsidRDefault="00EC56F9" w:rsidP="0027332F">
            <w:pPr>
              <w:spacing w:after="0" w:line="240" w:lineRule="auto"/>
              <w:jc w:val="both"/>
              <w:rPr>
                <w:rFonts w:ascii="Times New Roman" w:eastAsia="Times New Roman" w:hAnsi="Times New Roman" w:cs="Times New Roman"/>
                <w:b/>
                <w:bCs/>
                <w:color w:val="000000" w:themeColor="text1"/>
                <w:sz w:val="26"/>
                <w:szCs w:val="26"/>
              </w:rPr>
            </w:pPr>
            <w:r w:rsidRPr="00B60366">
              <w:rPr>
                <w:rFonts w:ascii="Times New Roman" w:eastAsia="Times New Roman" w:hAnsi="Times New Roman" w:cs="Times New Roman"/>
                <w:b/>
                <w:bCs/>
                <w:color w:val="000000" w:themeColor="text1"/>
                <w:sz w:val="26"/>
                <w:szCs w:val="26"/>
              </w:rPr>
              <w:t>Type of Employment</w:t>
            </w:r>
          </w:p>
        </w:tc>
        <w:tc>
          <w:tcPr>
            <w:tcW w:w="1802" w:type="pct"/>
            <w:tcBorders>
              <w:top w:val="single" w:sz="4" w:space="0" w:color="auto"/>
              <w:bottom w:val="single" w:sz="4" w:space="0" w:color="auto"/>
            </w:tcBorders>
            <w:vAlign w:val="center"/>
            <w:hideMark/>
          </w:tcPr>
          <w:p w14:paraId="3172D665" w14:textId="77777777" w:rsidR="00EC56F9" w:rsidRPr="00B60366" w:rsidRDefault="00EC56F9" w:rsidP="0027332F">
            <w:pPr>
              <w:spacing w:after="0" w:line="240" w:lineRule="auto"/>
              <w:jc w:val="both"/>
              <w:rPr>
                <w:rFonts w:ascii="Times New Roman" w:eastAsia="Times New Roman" w:hAnsi="Times New Roman" w:cs="Times New Roman"/>
                <w:b/>
                <w:bCs/>
                <w:color w:val="000000" w:themeColor="text1"/>
                <w:sz w:val="26"/>
                <w:szCs w:val="26"/>
              </w:rPr>
            </w:pPr>
            <w:r w:rsidRPr="00B60366">
              <w:rPr>
                <w:rFonts w:ascii="Times New Roman" w:eastAsia="Times New Roman" w:hAnsi="Times New Roman" w:cs="Times New Roman"/>
                <w:b/>
                <w:bCs/>
                <w:color w:val="000000" w:themeColor="text1"/>
                <w:sz w:val="26"/>
                <w:szCs w:val="26"/>
              </w:rPr>
              <w:t>Number of workers</w:t>
            </w:r>
          </w:p>
        </w:tc>
      </w:tr>
      <w:tr w:rsidR="00EC56F9" w:rsidRPr="00B60366" w14:paraId="735C455A" w14:textId="77777777" w:rsidTr="00EC56F9">
        <w:trPr>
          <w:trHeight w:val="312"/>
          <w:jc w:val="center"/>
        </w:trPr>
        <w:tc>
          <w:tcPr>
            <w:tcW w:w="1119" w:type="pct"/>
            <w:tcBorders>
              <w:top w:val="single" w:sz="4" w:space="0" w:color="auto"/>
            </w:tcBorders>
            <w:noWrap/>
            <w:vAlign w:val="center"/>
          </w:tcPr>
          <w:p w14:paraId="54D301B7" w14:textId="77777777" w:rsidR="00EC56F9" w:rsidRPr="00B60366" w:rsidRDefault="00EC56F9" w:rsidP="0027332F">
            <w:pPr>
              <w:pStyle w:val="ListParagraph"/>
              <w:numPr>
                <w:ilvl w:val="0"/>
                <w:numId w:val="1"/>
              </w:numPr>
              <w:spacing w:after="0" w:line="240" w:lineRule="auto"/>
              <w:jc w:val="both"/>
              <w:rPr>
                <w:rFonts w:ascii="Times New Roman" w:eastAsia="Times New Roman" w:hAnsi="Times New Roman" w:cs="Times New Roman"/>
                <w:color w:val="000000" w:themeColor="text1"/>
                <w:sz w:val="26"/>
                <w:szCs w:val="26"/>
              </w:rPr>
            </w:pPr>
          </w:p>
        </w:tc>
        <w:tc>
          <w:tcPr>
            <w:tcW w:w="2079" w:type="pct"/>
            <w:tcBorders>
              <w:top w:val="single" w:sz="4" w:space="0" w:color="auto"/>
            </w:tcBorders>
            <w:vAlign w:val="center"/>
            <w:hideMark/>
          </w:tcPr>
          <w:p w14:paraId="3DF5AE2F" w14:textId="77777777" w:rsidR="00EC56F9" w:rsidRPr="00B60366" w:rsidRDefault="00EC56F9" w:rsidP="0027332F">
            <w:pPr>
              <w:spacing w:after="0" w:line="240" w:lineRule="auto"/>
              <w:jc w:val="both"/>
              <w:rPr>
                <w:rFonts w:ascii="Times New Roman" w:eastAsia="Times New Roman" w:hAnsi="Times New Roman" w:cs="Times New Roman"/>
                <w:color w:val="000000" w:themeColor="text1"/>
                <w:sz w:val="26"/>
                <w:szCs w:val="26"/>
              </w:rPr>
            </w:pPr>
            <w:r w:rsidRPr="00B60366">
              <w:rPr>
                <w:rFonts w:ascii="Times New Roman" w:eastAsia="Times New Roman" w:hAnsi="Times New Roman" w:cs="Times New Roman"/>
                <w:color w:val="000000" w:themeColor="text1"/>
                <w:sz w:val="26"/>
                <w:szCs w:val="26"/>
              </w:rPr>
              <w:t>Base camp watchers</w:t>
            </w:r>
          </w:p>
        </w:tc>
        <w:tc>
          <w:tcPr>
            <w:tcW w:w="1802" w:type="pct"/>
            <w:tcBorders>
              <w:top w:val="single" w:sz="4" w:space="0" w:color="auto"/>
            </w:tcBorders>
            <w:vAlign w:val="center"/>
            <w:hideMark/>
          </w:tcPr>
          <w:p w14:paraId="15281FB6" w14:textId="77777777" w:rsidR="00EC56F9" w:rsidRPr="00B60366" w:rsidRDefault="00EC56F9" w:rsidP="0027332F">
            <w:pPr>
              <w:spacing w:after="0" w:line="240" w:lineRule="auto"/>
              <w:jc w:val="both"/>
              <w:rPr>
                <w:rFonts w:ascii="Times New Roman" w:eastAsia="Times New Roman" w:hAnsi="Times New Roman" w:cs="Times New Roman"/>
                <w:color w:val="000000" w:themeColor="text1"/>
                <w:sz w:val="26"/>
                <w:szCs w:val="26"/>
              </w:rPr>
            </w:pPr>
            <w:r w:rsidRPr="00B60366">
              <w:rPr>
                <w:rFonts w:ascii="Times New Roman" w:eastAsia="Times New Roman" w:hAnsi="Times New Roman" w:cs="Times New Roman"/>
                <w:color w:val="000000" w:themeColor="text1"/>
                <w:sz w:val="26"/>
                <w:szCs w:val="26"/>
              </w:rPr>
              <w:t>15</w:t>
            </w:r>
          </w:p>
        </w:tc>
      </w:tr>
      <w:tr w:rsidR="00EC56F9" w:rsidRPr="00B60366" w14:paraId="417C4F4A" w14:textId="77777777" w:rsidTr="00EC56F9">
        <w:trPr>
          <w:trHeight w:val="312"/>
          <w:jc w:val="center"/>
        </w:trPr>
        <w:tc>
          <w:tcPr>
            <w:tcW w:w="1119" w:type="pct"/>
            <w:noWrap/>
            <w:vAlign w:val="center"/>
          </w:tcPr>
          <w:p w14:paraId="35DD71A7" w14:textId="77777777" w:rsidR="00EC56F9" w:rsidRPr="00B60366" w:rsidRDefault="00EC56F9" w:rsidP="0027332F">
            <w:pPr>
              <w:pStyle w:val="ListParagraph"/>
              <w:numPr>
                <w:ilvl w:val="0"/>
                <w:numId w:val="1"/>
              </w:numPr>
              <w:spacing w:after="0" w:line="240" w:lineRule="auto"/>
              <w:jc w:val="both"/>
              <w:rPr>
                <w:rFonts w:ascii="Times New Roman" w:eastAsia="Times New Roman" w:hAnsi="Times New Roman" w:cs="Times New Roman"/>
                <w:color w:val="000000" w:themeColor="text1"/>
                <w:sz w:val="26"/>
                <w:szCs w:val="26"/>
              </w:rPr>
            </w:pPr>
          </w:p>
        </w:tc>
        <w:tc>
          <w:tcPr>
            <w:tcW w:w="2079" w:type="pct"/>
            <w:vAlign w:val="center"/>
            <w:hideMark/>
          </w:tcPr>
          <w:p w14:paraId="0B5DD323" w14:textId="77777777" w:rsidR="00EC56F9" w:rsidRPr="00B60366" w:rsidRDefault="00EC56F9" w:rsidP="0027332F">
            <w:pPr>
              <w:spacing w:after="0" w:line="240" w:lineRule="auto"/>
              <w:jc w:val="both"/>
              <w:rPr>
                <w:rFonts w:ascii="Times New Roman" w:eastAsia="Times New Roman" w:hAnsi="Times New Roman" w:cs="Times New Roman"/>
                <w:color w:val="000000" w:themeColor="text1"/>
                <w:sz w:val="26"/>
                <w:szCs w:val="26"/>
              </w:rPr>
            </w:pPr>
            <w:r w:rsidRPr="00B60366">
              <w:rPr>
                <w:rFonts w:ascii="Times New Roman" w:eastAsia="Times New Roman" w:hAnsi="Times New Roman" w:cs="Times New Roman"/>
                <w:color w:val="000000" w:themeColor="text1"/>
                <w:sz w:val="26"/>
                <w:szCs w:val="26"/>
              </w:rPr>
              <w:t>Animal Trackers</w:t>
            </w:r>
          </w:p>
        </w:tc>
        <w:tc>
          <w:tcPr>
            <w:tcW w:w="1802" w:type="pct"/>
            <w:vAlign w:val="center"/>
            <w:hideMark/>
          </w:tcPr>
          <w:p w14:paraId="2979936C" w14:textId="77777777" w:rsidR="00EC56F9" w:rsidRPr="00B60366" w:rsidRDefault="00EC56F9" w:rsidP="0027332F">
            <w:pPr>
              <w:spacing w:after="0" w:line="240" w:lineRule="auto"/>
              <w:jc w:val="both"/>
              <w:rPr>
                <w:rFonts w:ascii="Times New Roman" w:eastAsia="Times New Roman" w:hAnsi="Times New Roman" w:cs="Times New Roman"/>
                <w:color w:val="000000" w:themeColor="text1"/>
                <w:sz w:val="26"/>
                <w:szCs w:val="26"/>
              </w:rPr>
            </w:pPr>
            <w:r w:rsidRPr="00B60366">
              <w:rPr>
                <w:rFonts w:ascii="Times New Roman" w:eastAsia="Times New Roman" w:hAnsi="Times New Roman" w:cs="Times New Roman"/>
                <w:color w:val="000000" w:themeColor="text1"/>
                <w:sz w:val="26"/>
                <w:szCs w:val="26"/>
              </w:rPr>
              <w:t>10</w:t>
            </w:r>
          </w:p>
        </w:tc>
      </w:tr>
      <w:tr w:rsidR="00EC56F9" w:rsidRPr="00B60366" w14:paraId="0649B4E1" w14:textId="77777777" w:rsidTr="00EC56F9">
        <w:trPr>
          <w:trHeight w:val="312"/>
          <w:jc w:val="center"/>
        </w:trPr>
        <w:tc>
          <w:tcPr>
            <w:tcW w:w="1119" w:type="pct"/>
            <w:noWrap/>
            <w:vAlign w:val="center"/>
          </w:tcPr>
          <w:p w14:paraId="58FAA392" w14:textId="77777777" w:rsidR="00EC56F9" w:rsidRPr="00B60366" w:rsidRDefault="00EC56F9" w:rsidP="0027332F">
            <w:pPr>
              <w:pStyle w:val="ListParagraph"/>
              <w:numPr>
                <w:ilvl w:val="0"/>
                <w:numId w:val="1"/>
              </w:numPr>
              <w:spacing w:after="0" w:line="240" w:lineRule="auto"/>
              <w:jc w:val="both"/>
              <w:rPr>
                <w:rFonts w:ascii="Times New Roman" w:eastAsia="Times New Roman" w:hAnsi="Times New Roman" w:cs="Times New Roman"/>
                <w:color w:val="000000" w:themeColor="text1"/>
                <w:sz w:val="26"/>
                <w:szCs w:val="26"/>
              </w:rPr>
            </w:pPr>
          </w:p>
        </w:tc>
        <w:tc>
          <w:tcPr>
            <w:tcW w:w="2079" w:type="pct"/>
            <w:vAlign w:val="center"/>
            <w:hideMark/>
          </w:tcPr>
          <w:p w14:paraId="22620224" w14:textId="77777777" w:rsidR="00EC56F9" w:rsidRPr="00B60366" w:rsidRDefault="00EC56F9" w:rsidP="0027332F">
            <w:pPr>
              <w:spacing w:after="0" w:line="240" w:lineRule="auto"/>
              <w:jc w:val="both"/>
              <w:rPr>
                <w:rFonts w:ascii="Times New Roman" w:eastAsia="Times New Roman" w:hAnsi="Times New Roman" w:cs="Times New Roman"/>
                <w:color w:val="000000" w:themeColor="text1"/>
                <w:sz w:val="26"/>
                <w:szCs w:val="26"/>
              </w:rPr>
            </w:pPr>
            <w:r w:rsidRPr="00B60366">
              <w:rPr>
                <w:rFonts w:ascii="Times New Roman" w:eastAsia="Times New Roman" w:hAnsi="Times New Roman" w:cs="Times New Roman"/>
                <w:color w:val="000000" w:themeColor="text1"/>
                <w:sz w:val="26"/>
                <w:szCs w:val="26"/>
              </w:rPr>
              <w:t>Drivers</w:t>
            </w:r>
          </w:p>
        </w:tc>
        <w:tc>
          <w:tcPr>
            <w:tcW w:w="1802" w:type="pct"/>
            <w:vAlign w:val="center"/>
            <w:hideMark/>
          </w:tcPr>
          <w:p w14:paraId="24F8DA59" w14:textId="77777777" w:rsidR="00EC56F9" w:rsidRPr="00B60366" w:rsidRDefault="00EC56F9" w:rsidP="0027332F">
            <w:pPr>
              <w:spacing w:after="0" w:line="240" w:lineRule="auto"/>
              <w:jc w:val="both"/>
              <w:rPr>
                <w:rFonts w:ascii="Times New Roman" w:eastAsia="Times New Roman" w:hAnsi="Times New Roman" w:cs="Times New Roman"/>
                <w:color w:val="000000" w:themeColor="text1"/>
                <w:sz w:val="26"/>
                <w:szCs w:val="26"/>
              </w:rPr>
            </w:pPr>
            <w:r w:rsidRPr="00B60366">
              <w:rPr>
                <w:rFonts w:ascii="Times New Roman" w:eastAsia="Times New Roman" w:hAnsi="Times New Roman" w:cs="Times New Roman"/>
                <w:color w:val="000000" w:themeColor="text1"/>
                <w:sz w:val="26"/>
                <w:szCs w:val="26"/>
              </w:rPr>
              <w:t>2</w:t>
            </w:r>
          </w:p>
        </w:tc>
      </w:tr>
      <w:tr w:rsidR="00EC56F9" w:rsidRPr="00B60366" w14:paraId="4D75D71A" w14:textId="77777777" w:rsidTr="00EC56F9">
        <w:trPr>
          <w:trHeight w:val="312"/>
          <w:jc w:val="center"/>
        </w:trPr>
        <w:tc>
          <w:tcPr>
            <w:tcW w:w="1119" w:type="pct"/>
            <w:tcBorders>
              <w:bottom w:val="single" w:sz="4" w:space="0" w:color="auto"/>
            </w:tcBorders>
            <w:noWrap/>
            <w:vAlign w:val="center"/>
          </w:tcPr>
          <w:p w14:paraId="54ACC2A0" w14:textId="77777777" w:rsidR="00EC56F9" w:rsidRPr="00B60366" w:rsidRDefault="00EC56F9" w:rsidP="0027332F">
            <w:pPr>
              <w:pStyle w:val="ListParagraph"/>
              <w:numPr>
                <w:ilvl w:val="0"/>
                <w:numId w:val="1"/>
              </w:numPr>
              <w:spacing w:after="0" w:line="240" w:lineRule="auto"/>
              <w:jc w:val="both"/>
              <w:rPr>
                <w:rFonts w:ascii="Times New Roman" w:eastAsia="Times New Roman" w:hAnsi="Times New Roman" w:cs="Times New Roman"/>
                <w:color w:val="000000" w:themeColor="text1"/>
                <w:sz w:val="26"/>
                <w:szCs w:val="26"/>
              </w:rPr>
            </w:pPr>
          </w:p>
        </w:tc>
        <w:tc>
          <w:tcPr>
            <w:tcW w:w="2079" w:type="pct"/>
            <w:tcBorders>
              <w:bottom w:val="single" w:sz="4" w:space="0" w:color="auto"/>
            </w:tcBorders>
            <w:vAlign w:val="center"/>
            <w:hideMark/>
          </w:tcPr>
          <w:p w14:paraId="02B35862" w14:textId="77777777" w:rsidR="00EC56F9" w:rsidRPr="00B60366" w:rsidRDefault="00EC56F9" w:rsidP="0027332F">
            <w:pPr>
              <w:spacing w:after="0" w:line="240" w:lineRule="auto"/>
              <w:jc w:val="both"/>
              <w:rPr>
                <w:rFonts w:ascii="Times New Roman" w:eastAsia="Times New Roman" w:hAnsi="Times New Roman" w:cs="Times New Roman"/>
                <w:color w:val="000000" w:themeColor="text1"/>
                <w:sz w:val="26"/>
                <w:szCs w:val="26"/>
              </w:rPr>
            </w:pPr>
            <w:r w:rsidRPr="00B60366">
              <w:rPr>
                <w:rFonts w:ascii="Times New Roman" w:eastAsia="Times New Roman" w:hAnsi="Times New Roman" w:cs="Times New Roman"/>
                <w:color w:val="000000" w:themeColor="text1"/>
                <w:sz w:val="26"/>
                <w:szCs w:val="26"/>
              </w:rPr>
              <w:t>DEO’s</w:t>
            </w:r>
          </w:p>
        </w:tc>
        <w:tc>
          <w:tcPr>
            <w:tcW w:w="1802" w:type="pct"/>
            <w:tcBorders>
              <w:bottom w:val="single" w:sz="4" w:space="0" w:color="auto"/>
            </w:tcBorders>
            <w:vAlign w:val="center"/>
            <w:hideMark/>
          </w:tcPr>
          <w:p w14:paraId="35525C6D" w14:textId="77777777" w:rsidR="00EC56F9" w:rsidRPr="00B60366" w:rsidRDefault="00EC56F9" w:rsidP="0027332F">
            <w:pPr>
              <w:spacing w:after="0" w:line="240" w:lineRule="auto"/>
              <w:jc w:val="both"/>
              <w:rPr>
                <w:rFonts w:ascii="Times New Roman" w:eastAsia="Times New Roman" w:hAnsi="Times New Roman" w:cs="Times New Roman"/>
                <w:color w:val="000000" w:themeColor="text1"/>
                <w:sz w:val="26"/>
                <w:szCs w:val="26"/>
              </w:rPr>
            </w:pPr>
            <w:r w:rsidRPr="00B60366">
              <w:rPr>
                <w:rFonts w:ascii="Times New Roman" w:eastAsia="Times New Roman" w:hAnsi="Times New Roman" w:cs="Times New Roman"/>
                <w:color w:val="000000" w:themeColor="text1"/>
                <w:sz w:val="26"/>
                <w:szCs w:val="26"/>
              </w:rPr>
              <w:t>2</w:t>
            </w:r>
          </w:p>
        </w:tc>
      </w:tr>
      <w:tr w:rsidR="00EC56F9" w:rsidRPr="00B60366" w14:paraId="7F85A6E6" w14:textId="77777777" w:rsidTr="00EC56F9">
        <w:trPr>
          <w:trHeight w:val="312"/>
          <w:jc w:val="center"/>
        </w:trPr>
        <w:tc>
          <w:tcPr>
            <w:tcW w:w="1119" w:type="pct"/>
            <w:tcBorders>
              <w:top w:val="single" w:sz="4" w:space="0" w:color="auto"/>
              <w:bottom w:val="single" w:sz="4" w:space="0" w:color="auto"/>
            </w:tcBorders>
            <w:noWrap/>
            <w:vAlign w:val="center"/>
            <w:hideMark/>
          </w:tcPr>
          <w:p w14:paraId="3CC9D916" w14:textId="77777777" w:rsidR="00EC56F9" w:rsidRPr="00B60366" w:rsidRDefault="00EC56F9" w:rsidP="0027332F">
            <w:pPr>
              <w:spacing w:after="0" w:line="240" w:lineRule="auto"/>
              <w:jc w:val="both"/>
              <w:rPr>
                <w:rFonts w:ascii="Times New Roman" w:eastAsia="Times New Roman" w:hAnsi="Times New Roman" w:cs="Times New Roman"/>
                <w:color w:val="000000" w:themeColor="text1"/>
                <w:sz w:val="26"/>
                <w:szCs w:val="26"/>
              </w:rPr>
            </w:pPr>
            <w:r w:rsidRPr="00B60366">
              <w:rPr>
                <w:rFonts w:ascii="Times New Roman" w:eastAsia="Times New Roman" w:hAnsi="Times New Roman" w:cs="Times New Roman"/>
                <w:color w:val="000000" w:themeColor="text1"/>
                <w:sz w:val="26"/>
                <w:szCs w:val="26"/>
              </w:rPr>
              <w:t> </w:t>
            </w:r>
          </w:p>
        </w:tc>
        <w:tc>
          <w:tcPr>
            <w:tcW w:w="2079" w:type="pct"/>
            <w:tcBorders>
              <w:top w:val="single" w:sz="4" w:space="0" w:color="auto"/>
              <w:bottom w:val="single" w:sz="4" w:space="0" w:color="auto"/>
            </w:tcBorders>
            <w:vAlign w:val="center"/>
            <w:hideMark/>
          </w:tcPr>
          <w:p w14:paraId="2699F643" w14:textId="77777777" w:rsidR="00EC56F9" w:rsidRPr="00B60366" w:rsidRDefault="00EC56F9" w:rsidP="0027332F">
            <w:pPr>
              <w:spacing w:after="0" w:line="240" w:lineRule="auto"/>
              <w:jc w:val="right"/>
              <w:rPr>
                <w:rFonts w:ascii="Times New Roman" w:eastAsia="Times New Roman" w:hAnsi="Times New Roman" w:cs="Times New Roman"/>
                <w:b/>
                <w:bCs/>
                <w:color w:val="000000" w:themeColor="text1"/>
                <w:sz w:val="26"/>
                <w:szCs w:val="26"/>
              </w:rPr>
            </w:pPr>
            <w:r w:rsidRPr="00B60366">
              <w:rPr>
                <w:rFonts w:ascii="Times New Roman" w:eastAsia="Times New Roman" w:hAnsi="Times New Roman" w:cs="Times New Roman"/>
                <w:b/>
                <w:bCs/>
                <w:color w:val="000000" w:themeColor="text1"/>
                <w:sz w:val="26"/>
                <w:szCs w:val="26"/>
              </w:rPr>
              <w:t>Total</w:t>
            </w:r>
          </w:p>
        </w:tc>
        <w:tc>
          <w:tcPr>
            <w:tcW w:w="1802" w:type="pct"/>
            <w:tcBorders>
              <w:top w:val="single" w:sz="4" w:space="0" w:color="auto"/>
              <w:bottom w:val="single" w:sz="4" w:space="0" w:color="auto"/>
            </w:tcBorders>
            <w:noWrap/>
            <w:vAlign w:val="center"/>
            <w:hideMark/>
          </w:tcPr>
          <w:p w14:paraId="7B8936F0" w14:textId="77777777" w:rsidR="00EC56F9" w:rsidRPr="00B60366" w:rsidRDefault="00EC56F9" w:rsidP="0027332F">
            <w:pPr>
              <w:spacing w:after="0" w:line="240" w:lineRule="auto"/>
              <w:jc w:val="both"/>
              <w:rPr>
                <w:rFonts w:ascii="Times New Roman" w:eastAsia="Times New Roman" w:hAnsi="Times New Roman" w:cs="Times New Roman"/>
                <w:b/>
                <w:bCs/>
                <w:color w:val="000000" w:themeColor="text1"/>
                <w:sz w:val="26"/>
                <w:szCs w:val="26"/>
              </w:rPr>
            </w:pPr>
            <w:r w:rsidRPr="00B60366">
              <w:rPr>
                <w:rFonts w:ascii="Times New Roman" w:eastAsia="Times New Roman" w:hAnsi="Times New Roman" w:cs="Times New Roman"/>
                <w:b/>
                <w:bCs/>
                <w:color w:val="000000" w:themeColor="text1"/>
                <w:sz w:val="26"/>
                <w:szCs w:val="26"/>
              </w:rPr>
              <w:t>29</w:t>
            </w:r>
          </w:p>
        </w:tc>
      </w:tr>
      <w:bookmarkEnd w:id="1"/>
    </w:tbl>
    <w:p w14:paraId="5252A83D" w14:textId="77777777" w:rsidR="00EC56F9" w:rsidRPr="0097402F" w:rsidRDefault="00EC56F9" w:rsidP="00FB5FBB">
      <w:pPr>
        <w:spacing w:before="240"/>
        <w:jc w:val="both"/>
        <w:rPr>
          <w:rFonts w:ascii="Times New Roman" w:hAnsi="Times New Roman" w:cs="Times New Roman"/>
          <w:sz w:val="24"/>
          <w:szCs w:val="24"/>
        </w:rPr>
      </w:pPr>
    </w:p>
    <w:p w14:paraId="30BCF184" w14:textId="6FB71E13" w:rsidR="0097402F" w:rsidRPr="0097402F" w:rsidRDefault="0097402F" w:rsidP="00FB5FBB">
      <w:pPr>
        <w:spacing w:before="240"/>
        <w:jc w:val="both"/>
        <w:rPr>
          <w:rFonts w:ascii="Times New Roman" w:hAnsi="Times New Roman" w:cs="Times New Roman"/>
          <w:b/>
          <w:bCs/>
          <w:sz w:val="24"/>
          <w:szCs w:val="24"/>
        </w:rPr>
      </w:pPr>
      <w:r>
        <w:rPr>
          <w:rFonts w:ascii="Times New Roman" w:hAnsi="Times New Roman" w:cs="Times New Roman"/>
          <w:b/>
          <w:bCs/>
          <w:sz w:val="24"/>
          <w:szCs w:val="24"/>
        </w:rPr>
        <w:t>3.2.</w:t>
      </w:r>
      <w:r w:rsidRPr="0097402F">
        <w:rPr>
          <w:rFonts w:ascii="Times New Roman" w:hAnsi="Times New Roman" w:cs="Times New Roman"/>
          <w:b/>
          <w:bCs/>
          <w:sz w:val="24"/>
          <w:szCs w:val="24"/>
        </w:rPr>
        <w:t xml:space="preserve">2 </w:t>
      </w:r>
      <w:proofErr w:type="spellStart"/>
      <w:r w:rsidRPr="0097402F">
        <w:rPr>
          <w:rFonts w:ascii="Times New Roman" w:hAnsi="Times New Roman" w:cs="Times New Roman"/>
          <w:b/>
          <w:bCs/>
          <w:sz w:val="24"/>
          <w:szCs w:val="24"/>
        </w:rPr>
        <w:t>Jannaram</w:t>
      </w:r>
      <w:proofErr w:type="spellEnd"/>
      <w:r w:rsidRPr="0097402F">
        <w:rPr>
          <w:rFonts w:ascii="Times New Roman" w:hAnsi="Times New Roman" w:cs="Times New Roman"/>
          <w:b/>
          <w:bCs/>
          <w:sz w:val="24"/>
          <w:szCs w:val="24"/>
        </w:rPr>
        <w:t xml:space="preserve"> Division</w:t>
      </w:r>
    </w:p>
    <w:p w14:paraId="5B8A1265" w14:textId="44D17D8B" w:rsidR="0097402F" w:rsidRDefault="0097402F" w:rsidP="00FB5FBB">
      <w:pPr>
        <w:spacing w:before="240"/>
        <w:jc w:val="both"/>
        <w:rPr>
          <w:rFonts w:ascii="Times New Roman" w:hAnsi="Times New Roman" w:cs="Times New Roman"/>
          <w:sz w:val="24"/>
          <w:szCs w:val="24"/>
        </w:rPr>
      </w:pPr>
      <w:r w:rsidRPr="0097402F">
        <w:rPr>
          <w:rFonts w:ascii="Times New Roman" w:hAnsi="Times New Roman" w:cs="Times New Roman"/>
          <w:sz w:val="24"/>
          <w:szCs w:val="24"/>
        </w:rPr>
        <w:t xml:space="preserve">The </w:t>
      </w:r>
      <w:proofErr w:type="spellStart"/>
      <w:r w:rsidRPr="0097402F">
        <w:rPr>
          <w:rFonts w:ascii="Times New Roman" w:hAnsi="Times New Roman" w:cs="Times New Roman"/>
          <w:sz w:val="24"/>
          <w:szCs w:val="24"/>
        </w:rPr>
        <w:t>Jannaram</w:t>
      </w:r>
      <w:proofErr w:type="spellEnd"/>
      <w:r w:rsidRPr="0097402F">
        <w:rPr>
          <w:rFonts w:ascii="Times New Roman" w:hAnsi="Times New Roman" w:cs="Times New Roman"/>
          <w:sz w:val="24"/>
          <w:szCs w:val="24"/>
        </w:rPr>
        <w:t xml:space="preserve"> Division employed 75 personnel</w:t>
      </w:r>
      <w:r w:rsidR="00161DD1">
        <w:rPr>
          <w:rFonts w:ascii="Times New Roman" w:hAnsi="Times New Roman" w:cs="Times New Roman"/>
          <w:sz w:val="24"/>
          <w:szCs w:val="24"/>
        </w:rPr>
        <w:t xml:space="preserve"> (Table 2)</w:t>
      </w:r>
      <w:r w:rsidRPr="0097402F">
        <w:rPr>
          <w:rFonts w:ascii="Times New Roman" w:hAnsi="Times New Roman" w:cs="Times New Roman"/>
          <w:sz w:val="24"/>
          <w:szCs w:val="24"/>
        </w:rPr>
        <w:t>. Base camp watchers formed the largest segment (50 employees; 66.7%), followed by drivers, DEOs, and ecotourism safari drivers. The presence of ecotourism drivers, rescue van staff, gate watchers, and check-post personnel indicates a more diversified employment profile integrating protection, visitor management, emergency response, and tourism support. Such integrated employment structures have been shown to enhance livelihood diversification and institutional visibility of conservation benefits.</w:t>
      </w:r>
    </w:p>
    <w:p w14:paraId="1EE52AAE" w14:textId="60C8665B" w:rsidR="00161DD1" w:rsidRPr="00B60366" w:rsidRDefault="00161DD1" w:rsidP="00FB5FBB">
      <w:pPr>
        <w:spacing w:before="240"/>
        <w:jc w:val="center"/>
        <w:rPr>
          <w:rFonts w:ascii="Times New Roman" w:hAnsi="Times New Roman" w:cs="Times New Roman"/>
          <w:b/>
          <w:bCs/>
          <w:color w:val="000000" w:themeColor="text1"/>
          <w:sz w:val="26"/>
          <w:szCs w:val="26"/>
          <w:lang w:val="en-IN"/>
        </w:rPr>
      </w:pPr>
      <w:r w:rsidRPr="00B60366">
        <w:rPr>
          <w:rFonts w:ascii="Times New Roman" w:hAnsi="Times New Roman" w:cs="Times New Roman"/>
          <w:b/>
          <w:bCs/>
          <w:color w:val="000000" w:themeColor="text1"/>
          <w:sz w:val="26"/>
          <w:szCs w:val="26"/>
        </w:rPr>
        <w:t xml:space="preserve">Table </w:t>
      </w:r>
      <w:r>
        <w:rPr>
          <w:rFonts w:ascii="Times New Roman" w:hAnsi="Times New Roman" w:cs="Times New Roman"/>
          <w:b/>
          <w:bCs/>
          <w:color w:val="000000" w:themeColor="text1"/>
          <w:sz w:val="26"/>
          <w:szCs w:val="26"/>
        </w:rPr>
        <w:t xml:space="preserve">2. </w:t>
      </w:r>
      <w:r w:rsidRPr="00B60366">
        <w:rPr>
          <w:rFonts w:ascii="Times New Roman" w:hAnsi="Times New Roman" w:cs="Times New Roman"/>
          <w:b/>
          <w:bCs/>
          <w:color w:val="000000" w:themeColor="text1"/>
          <w:sz w:val="26"/>
          <w:szCs w:val="26"/>
        </w:rPr>
        <w:t xml:space="preserve">Employment generation details of </w:t>
      </w:r>
      <w:proofErr w:type="spellStart"/>
      <w:r>
        <w:rPr>
          <w:rFonts w:ascii="Times New Roman" w:hAnsi="Times New Roman" w:cs="Times New Roman"/>
          <w:b/>
          <w:bCs/>
          <w:color w:val="000000" w:themeColor="text1"/>
          <w:sz w:val="26"/>
          <w:szCs w:val="26"/>
        </w:rPr>
        <w:t>Jannaram</w:t>
      </w:r>
      <w:proofErr w:type="spellEnd"/>
      <w:r>
        <w:rPr>
          <w:rFonts w:ascii="Times New Roman" w:hAnsi="Times New Roman" w:cs="Times New Roman"/>
          <w:b/>
          <w:bCs/>
          <w:color w:val="000000" w:themeColor="text1"/>
          <w:sz w:val="26"/>
          <w:szCs w:val="26"/>
        </w:rPr>
        <w:t xml:space="preserve"> </w:t>
      </w:r>
      <w:r w:rsidRPr="00B60366">
        <w:rPr>
          <w:rFonts w:ascii="Times New Roman" w:hAnsi="Times New Roman" w:cs="Times New Roman"/>
          <w:b/>
          <w:bCs/>
          <w:color w:val="000000" w:themeColor="text1"/>
          <w:sz w:val="26"/>
          <w:szCs w:val="26"/>
        </w:rPr>
        <w:t>Division, KTR</w:t>
      </w:r>
    </w:p>
    <w:tbl>
      <w:tblPr>
        <w:tblW w:w="4930" w:type="pct"/>
        <w:tblLayout w:type="fixed"/>
        <w:tblLook w:val="04A0" w:firstRow="1" w:lastRow="0" w:firstColumn="1" w:lastColumn="0" w:noHBand="0" w:noVBand="1"/>
      </w:tblPr>
      <w:tblGrid>
        <w:gridCol w:w="1459"/>
        <w:gridCol w:w="5155"/>
        <w:gridCol w:w="2615"/>
      </w:tblGrid>
      <w:tr w:rsidR="00161DD1" w:rsidRPr="00846B65" w14:paraId="1161AF90" w14:textId="77777777" w:rsidTr="005720D2">
        <w:trPr>
          <w:trHeight w:val="896"/>
        </w:trPr>
        <w:tc>
          <w:tcPr>
            <w:tcW w:w="790" w:type="pct"/>
            <w:tcBorders>
              <w:top w:val="single" w:sz="4" w:space="0" w:color="auto"/>
              <w:bottom w:val="single" w:sz="4" w:space="0" w:color="auto"/>
            </w:tcBorders>
            <w:vAlign w:val="center"/>
            <w:hideMark/>
          </w:tcPr>
          <w:p w14:paraId="6913ACC5" w14:textId="77777777" w:rsidR="00161DD1" w:rsidRPr="00846B65" w:rsidRDefault="00161DD1" w:rsidP="0027332F">
            <w:pPr>
              <w:spacing w:after="0" w:line="240" w:lineRule="auto"/>
              <w:jc w:val="both"/>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Sl. No</w:t>
            </w:r>
          </w:p>
        </w:tc>
        <w:tc>
          <w:tcPr>
            <w:tcW w:w="2793" w:type="pct"/>
            <w:tcBorders>
              <w:top w:val="single" w:sz="4" w:space="0" w:color="auto"/>
              <w:bottom w:val="single" w:sz="4" w:space="0" w:color="auto"/>
            </w:tcBorders>
            <w:vAlign w:val="center"/>
            <w:hideMark/>
          </w:tcPr>
          <w:p w14:paraId="32D7F40F" w14:textId="77777777" w:rsidR="00161DD1" w:rsidRPr="00846B65" w:rsidRDefault="00161DD1" w:rsidP="0027332F">
            <w:pPr>
              <w:spacing w:after="0" w:line="240" w:lineRule="auto"/>
              <w:jc w:val="both"/>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Type of Employment</w:t>
            </w:r>
          </w:p>
        </w:tc>
        <w:tc>
          <w:tcPr>
            <w:tcW w:w="1417" w:type="pct"/>
            <w:tcBorders>
              <w:top w:val="single" w:sz="4" w:space="0" w:color="auto"/>
              <w:bottom w:val="single" w:sz="4" w:space="0" w:color="auto"/>
            </w:tcBorders>
            <w:vAlign w:val="center"/>
            <w:hideMark/>
          </w:tcPr>
          <w:p w14:paraId="21BAABE8" w14:textId="77777777" w:rsidR="00161DD1" w:rsidRPr="00846B65" w:rsidRDefault="00161DD1" w:rsidP="0027332F">
            <w:pPr>
              <w:spacing w:after="0" w:line="240" w:lineRule="auto"/>
              <w:jc w:val="both"/>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Number of workers</w:t>
            </w:r>
          </w:p>
        </w:tc>
      </w:tr>
      <w:tr w:rsidR="00161DD1" w:rsidRPr="00846B65" w14:paraId="0FDEE839" w14:textId="77777777" w:rsidTr="005720D2">
        <w:trPr>
          <w:trHeight w:val="246"/>
        </w:trPr>
        <w:tc>
          <w:tcPr>
            <w:tcW w:w="790" w:type="pct"/>
            <w:tcBorders>
              <w:top w:val="single" w:sz="4" w:space="0" w:color="auto"/>
            </w:tcBorders>
            <w:noWrap/>
            <w:vAlign w:val="center"/>
            <w:hideMark/>
          </w:tcPr>
          <w:p w14:paraId="6B98D757"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w:t>
            </w:r>
          </w:p>
        </w:tc>
        <w:tc>
          <w:tcPr>
            <w:tcW w:w="2793" w:type="pct"/>
            <w:tcBorders>
              <w:top w:val="single" w:sz="4" w:space="0" w:color="auto"/>
            </w:tcBorders>
            <w:vAlign w:val="center"/>
            <w:hideMark/>
          </w:tcPr>
          <w:p w14:paraId="618A0F00"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Base camp watchers</w:t>
            </w:r>
          </w:p>
        </w:tc>
        <w:tc>
          <w:tcPr>
            <w:tcW w:w="1417" w:type="pct"/>
            <w:tcBorders>
              <w:top w:val="single" w:sz="4" w:space="0" w:color="auto"/>
            </w:tcBorders>
            <w:vAlign w:val="center"/>
            <w:hideMark/>
          </w:tcPr>
          <w:p w14:paraId="086E7082"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50</w:t>
            </w:r>
          </w:p>
        </w:tc>
      </w:tr>
      <w:tr w:rsidR="00161DD1" w:rsidRPr="00846B65" w14:paraId="1B2D6384" w14:textId="77777777" w:rsidTr="005720D2">
        <w:trPr>
          <w:trHeight w:val="246"/>
        </w:trPr>
        <w:tc>
          <w:tcPr>
            <w:tcW w:w="790" w:type="pct"/>
            <w:noWrap/>
            <w:vAlign w:val="center"/>
            <w:hideMark/>
          </w:tcPr>
          <w:p w14:paraId="757F80A3"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2</w:t>
            </w:r>
          </w:p>
        </w:tc>
        <w:tc>
          <w:tcPr>
            <w:tcW w:w="2793" w:type="pct"/>
            <w:vAlign w:val="center"/>
            <w:hideMark/>
          </w:tcPr>
          <w:p w14:paraId="3776D451"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At Check Posts</w:t>
            </w:r>
          </w:p>
        </w:tc>
        <w:tc>
          <w:tcPr>
            <w:tcW w:w="1417" w:type="pct"/>
            <w:vAlign w:val="center"/>
            <w:hideMark/>
          </w:tcPr>
          <w:p w14:paraId="64BBFEDD"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4</w:t>
            </w:r>
          </w:p>
        </w:tc>
      </w:tr>
      <w:tr w:rsidR="00161DD1" w:rsidRPr="00846B65" w14:paraId="43C6B3F4" w14:textId="77777777" w:rsidTr="005720D2">
        <w:trPr>
          <w:trHeight w:val="492"/>
        </w:trPr>
        <w:tc>
          <w:tcPr>
            <w:tcW w:w="790" w:type="pct"/>
            <w:noWrap/>
            <w:vAlign w:val="center"/>
            <w:hideMark/>
          </w:tcPr>
          <w:p w14:paraId="374F82C4"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3</w:t>
            </w:r>
          </w:p>
        </w:tc>
        <w:tc>
          <w:tcPr>
            <w:tcW w:w="2793" w:type="pct"/>
            <w:vAlign w:val="center"/>
            <w:hideMark/>
          </w:tcPr>
          <w:p w14:paraId="00585B72"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TCF Employees (EEC Watcher)</w:t>
            </w:r>
          </w:p>
        </w:tc>
        <w:tc>
          <w:tcPr>
            <w:tcW w:w="1417" w:type="pct"/>
            <w:vAlign w:val="center"/>
            <w:hideMark/>
          </w:tcPr>
          <w:p w14:paraId="58B8C768"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w:t>
            </w:r>
          </w:p>
        </w:tc>
      </w:tr>
      <w:tr w:rsidR="00161DD1" w:rsidRPr="00846B65" w14:paraId="2159EA99" w14:textId="77777777" w:rsidTr="005720D2">
        <w:trPr>
          <w:trHeight w:val="492"/>
        </w:trPr>
        <w:tc>
          <w:tcPr>
            <w:tcW w:w="790" w:type="pct"/>
            <w:noWrap/>
            <w:vAlign w:val="center"/>
            <w:hideMark/>
          </w:tcPr>
          <w:p w14:paraId="38F27155"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lastRenderedPageBreak/>
              <w:t>4</w:t>
            </w:r>
          </w:p>
        </w:tc>
        <w:tc>
          <w:tcPr>
            <w:tcW w:w="2793" w:type="pct"/>
            <w:vAlign w:val="center"/>
            <w:hideMark/>
          </w:tcPr>
          <w:p w14:paraId="47F28D9D"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Eco-tourism Drivers (Safari Drivers)</w:t>
            </w:r>
          </w:p>
        </w:tc>
        <w:tc>
          <w:tcPr>
            <w:tcW w:w="1417" w:type="pct"/>
            <w:vAlign w:val="center"/>
            <w:hideMark/>
          </w:tcPr>
          <w:p w14:paraId="3F2FA1AB"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5</w:t>
            </w:r>
          </w:p>
        </w:tc>
      </w:tr>
      <w:tr w:rsidR="00161DD1" w:rsidRPr="00846B65" w14:paraId="313917BA" w14:textId="77777777" w:rsidTr="005720D2">
        <w:trPr>
          <w:trHeight w:val="246"/>
        </w:trPr>
        <w:tc>
          <w:tcPr>
            <w:tcW w:w="790" w:type="pct"/>
            <w:noWrap/>
            <w:vAlign w:val="center"/>
            <w:hideMark/>
          </w:tcPr>
          <w:p w14:paraId="1189C262"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5</w:t>
            </w:r>
          </w:p>
        </w:tc>
        <w:tc>
          <w:tcPr>
            <w:tcW w:w="2793" w:type="pct"/>
            <w:vAlign w:val="center"/>
            <w:hideMark/>
          </w:tcPr>
          <w:p w14:paraId="6CF2D20F"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Rescue Van Drivers</w:t>
            </w:r>
          </w:p>
        </w:tc>
        <w:tc>
          <w:tcPr>
            <w:tcW w:w="1417" w:type="pct"/>
            <w:vAlign w:val="center"/>
            <w:hideMark/>
          </w:tcPr>
          <w:p w14:paraId="3A718CF3"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w:t>
            </w:r>
          </w:p>
        </w:tc>
      </w:tr>
      <w:tr w:rsidR="00161DD1" w:rsidRPr="00846B65" w14:paraId="48483FCF" w14:textId="77777777" w:rsidTr="005720D2">
        <w:trPr>
          <w:trHeight w:val="246"/>
        </w:trPr>
        <w:tc>
          <w:tcPr>
            <w:tcW w:w="790" w:type="pct"/>
            <w:noWrap/>
            <w:vAlign w:val="center"/>
            <w:hideMark/>
          </w:tcPr>
          <w:p w14:paraId="764FFF0D"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6</w:t>
            </w:r>
          </w:p>
        </w:tc>
        <w:tc>
          <w:tcPr>
            <w:tcW w:w="2793" w:type="pct"/>
            <w:vAlign w:val="center"/>
            <w:hideMark/>
          </w:tcPr>
          <w:p w14:paraId="75F896AC"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DPO's</w:t>
            </w:r>
          </w:p>
        </w:tc>
        <w:tc>
          <w:tcPr>
            <w:tcW w:w="1417" w:type="pct"/>
            <w:vAlign w:val="center"/>
            <w:hideMark/>
          </w:tcPr>
          <w:p w14:paraId="5CB9358D"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w:t>
            </w:r>
          </w:p>
        </w:tc>
      </w:tr>
      <w:tr w:rsidR="00161DD1" w:rsidRPr="00846B65" w14:paraId="08E1D837" w14:textId="77777777" w:rsidTr="005720D2">
        <w:trPr>
          <w:trHeight w:val="246"/>
        </w:trPr>
        <w:tc>
          <w:tcPr>
            <w:tcW w:w="790" w:type="pct"/>
            <w:noWrap/>
            <w:vAlign w:val="center"/>
            <w:hideMark/>
          </w:tcPr>
          <w:p w14:paraId="16C4BD05"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7</w:t>
            </w:r>
          </w:p>
        </w:tc>
        <w:tc>
          <w:tcPr>
            <w:tcW w:w="2793" w:type="pct"/>
            <w:vAlign w:val="center"/>
            <w:hideMark/>
          </w:tcPr>
          <w:p w14:paraId="149433F9"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DEO's</w:t>
            </w:r>
          </w:p>
        </w:tc>
        <w:tc>
          <w:tcPr>
            <w:tcW w:w="1417" w:type="pct"/>
            <w:vAlign w:val="center"/>
            <w:hideMark/>
          </w:tcPr>
          <w:p w14:paraId="149A920E"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4</w:t>
            </w:r>
          </w:p>
        </w:tc>
      </w:tr>
      <w:tr w:rsidR="00161DD1" w:rsidRPr="00846B65" w14:paraId="69DAEC60" w14:textId="77777777" w:rsidTr="005720D2">
        <w:trPr>
          <w:trHeight w:val="246"/>
        </w:trPr>
        <w:tc>
          <w:tcPr>
            <w:tcW w:w="790" w:type="pct"/>
            <w:noWrap/>
            <w:vAlign w:val="center"/>
            <w:hideMark/>
          </w:tcPr>
          <w:p w14:paraId="5B306123"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8</w:t>
            </w:r>
          </w:p>
        </w:tc>
        <w:tc>
          <w:tcPr>
            <w:tcW w:w="2793" w:type="pct"/>
            <w:vAlign w:val="center"/>
            <w:hideMark/>
          </w:tcPr>
          <w:p w14:paraId="6A0B6D87"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Drivers</w:t>
            </w:r>
          </w:p>
        </w:tc>
        <w:tc>
          <w:tcPr>
            <w:tcW w:w="1417" w:type="pct"/>
            <w:vAlign w:val="center"/>
            <w:hideMark/>
          </w:tcPr>
          <w:p w14:paraId="5375D0DF"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6</w:t>
            </w:r>
          </w:p>
        </w:tc>
      </w:tr>
      <w:tr w:rsidR="00161DD1" w:rsidRPr="00846B65" w14:paraId="3127F48A" w14:textId="77777777" w:rsidTr="005720D2">
        <w:trPr>
          <w:trHeight w:val="492"/>
        </w:trPr>
        <w:tc>
          <w:tcPr>
            <w:tcW w:w="790" w:type="pct"/>
            <w:noWrap/>
            <w:vAlign w:val="center"/>
            <w:hideMark/>
          </w:tcPr>
          <w:p w14:paraId="0EAB1843"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9</w:t>
            </w:r>
          </w:p>
        </w:tc>
        <w:tc>
          <w:tcPr>
            <w:tcW w:w="2793" w:type="pct"/>
            <w:vAlign w:val="center"/>
            <w:hideMark/>
          </w:tcPr>
          <w:p w14:paraId="54CE7FB5"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Gate Watcher at Safari Gate</w:t>
            </w:r>
          </w:p>
        </w:tc>
        <w:tc>
          <w:tcPr>
            <w:tcW w:w="1417" w:type="pct"/>
            <w:vAlign w:val="center"/>
            <w:hideMark/>
          </w:tcPr>
          <w:p w14:paraId="11061388"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w:t>
            </w:r>
          </w:p>
        </w:tc>
      </w:tr>
      <w:tr w:rsidR="00161DD1" w:rsidRPr="00846B65" w14:paraId="6BFE6E0B" w14:textId="77777777" w:rsidTr="005720D2">
        <w:trPr>
          <w:trHeight w:val="246"/>
        </w:trPr>
        <w:tc>
          <w:tcPr>
            <w:tcW w:w="790" w:type="pct"/>
            <w:noWrap/>
            <w:vAlign w:val="center"/>
            <w:hideMark/>
          </w:tcPr>
          <w:p w14:paraId="64DD2B72"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10</w:t>
            </w:r>
          </w:p>
        </w:tc>
        <w:tc>
          <w:tcPr>
            <w:tcW w:w="2793" w:type="pct"/>
            <w:vAlign w:val="center"/>
            <w:hideMark/>
          </w:tcPr>
          <w:p w14:paraId="13D8A20A"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 xml:space="preserve">DRC cartmen  </w:t>
            </w:r>
          </w:p>
        </w:tc>
        <w:tc>
          <w:tcPr>
            <w:tcW w:w="1417" w:type="pct"/>
            <w:vAlign w:val="center"/>
            <w:hideMark/>
          </w:tcPr>
          <w:p w14:paraId="78CD0324"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w:t>
            </w:r>
          </w:p>
        </w:tc>
      </w:tr>
      <w:tr w:rsidR="00161DD1" w:rsidRPr="00846B65" w14:paraId="224B9F77" w14:textId="77777777" w:rsidTr="005720D2">
        <w:trPr>
          <w:trHeight w:val="246"/>
        </w:trPr>
        <w:tc>
          <w:tcPr>
            <w:tcW w:w="790" w:type="pct"/>
            <w:tcBorders>
              <w:bottom w:val="single" w:sz="4" w:space="0" w:color="auto"/>
            </w:tcBorders>
            <w:noWrap/>
            <w:vAlign w:val="center"/>
            <w:hideMark/>
          </w:tcPr>
          <w:p w14:paraId="1AD0807A"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11</w:t>
            </w:r>
          </w:p>
        </w:tc>
        <w:tc>
          <w:tcPr>
            <w:tcW w:w="2793" w:type="pct"/>
            <w:tcBorders>
              <w:bottom w:val="single" w:sz="4" w:space="0" w:color="auto"/>
            </w:tcBorders>
            <w:noWrap/>
            <w:vAlign w:val="center"/>
            <w:hideMark/>
          </w:tcPr>
          <w:p w14:paraId="4BDD9220"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Asst. DRC cartmen</w:t>
            </w:r>
          </w:p>
        </w:tc>
        <w:tc>
          <w:tcPr>
            <w:tcW w:w="1417" w:type="pct"/>
            <w:tcBorders>
              <w:bottom w:val="single" w:sz="4" w:space="0" w:color="auto"/>
            </w:tcBorders>
            <w:noWrap/>
            <w:vAlign w:val="center"/>
            <w:hideMark/>
          </w:tcPr>
          <w:p w14:paraId="0E3BAC3F"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w:t>
            </w:r>
          </w:p>
        </w:tc>
      </w:tr>
      <w:tr w:rsidR="00161DD1" w:rsidRPr="00846B65" w14:paraId="302D8D32" w14:textId="77777777" w:rsidTr="005720D2">
        <w:trPr>
          <w:trHeight w:val="246"/>
        </w:trPr>
        <w:tc>
          <w:tcPr>
            <w:tcW w:w="790" w:type="pct"/>
            <w:tcBorders>
              <w:top w:val="single" w:sz="4" w:space="0" w:color="auto"/>
              <w:bottom w:val="single" w:sz="4" w:space="0" w:color="auto"/>
            </w:tcBorders>
            <w:noWrap/>
            <w:vAlign w:val="center"/>
            <w:hideMark/>
          </w:tcPr>
          <w:p w14:paraId="4A316302"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 </w:t>
            </w:r>
          </w:p>
        </w:tc>
        <w:tc>
          <w:tcPr>
            <w:tcW w:w="2793" w:type="pct"/>
            <w:tcBorders>
              <w:top w:val="single" w:sz="4" w:space="0" w:color="auto"/>
              <w:bottom w:val="single" w:sz="4" w:space="0" w:color="auto"/>
            </w:tcBorders>
            <w:vAlign w:val="center"/>
            <w:hideMark/>
          </w:tcPr>
          <w:p w14:paraId="63B02834" w14:textId="77777777" w:rsidR="00161DD1" w:rsidRPr="00846B65" w:rsidRDefault="00161DD1" w:rsidP="0027332F">
            <w:pPr>
              <w:spacing w:after="0" w:line="240" w:lineRule="auto"/>
              <w:jc w:val="right"/>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Total</w:t>
            </w:r>
          </w:p>
        </w:tc>
        <w:tc>
          <w:tcPr>
            <w:tcW w:w="1417" w:type="pct"/>
            <w:tcBorders>
              <w:top w:val="single" w:sz="4" w:space="0" w:color="auto"/>
              <w:bottom w:val="single" w:sz="4" w:space="0" w:color="auto"/>
            </w:tcBorders>
            <w:noWrap/>
            <w:vAlign w:val="center"/>
            <w:hideMark/>
          </w:tcPr>
          <w:p w14:paraId="780342FB" w14:textId="77777777" w:rsidR="00161DD1" w:rsidRPr="00846B65" w:rsidRDefault="00161DD1" w:rsidP="0027332F">
            <w:pPr>
              <w:spacing w:after="0" w:line="240" w:lineRule="auto"/>
              <w:jc w:val="both"/>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75</w:t>
            </w:r>
          </w:p>
        </w:tc>
      </w:tr>
    </w:tbl>
    <w:p w14:paraId="693363D4" w14:textId="77777777" w:rsidR="00161DD1" w:rsidRPr="0097402F" w:rsidRDefault="00161DD1" w:rsidP="00FB5FBB">
      <w:pPr>
        <w:spacing w:before="240"/>
        <w:jc w:val="both"/>
        <w:rPr>
          <w:rFonts w:ascii="Times New Roman" w:hAnsi="Times New Roman" w:cs="Times New Roman"/>
          <w:sz w:val="24"/>
          <w:szCs w:val="24"/>
        </w:rPr>
      </w:pPr>
    </w:p>
    <w:p w14:paraId="5AF0846E" w14:textId="3ADA0327" w:rsidR="0097402F" w:rsidRPr="0097402F" w:rsidRDefault="00BE3901" w:rsidP="00FB5FBB">
      <w:pPr>
        <w:spacing w:before="240"/>
        <w:jc w:val="both"/>
        <w:rPr>
          <w:rFonts w:ascii="Times New Roman" w:hAnsi="Times New Roman" w:cs="Times New Roman"/>
          <w:b/>
          <w:bCs/>
          <w:sz w:val="24"/>
          <w:szCs w:val="24"/>
        </w:rPr>
      </w:pPr>
      <w:r>
        <w:rPr>
          <w:rFonts w:ascii="Times New Roman" w:hAnsi="Times New Roman" w:cs="Times New Roman"/>
          <w:b/>
          <w:bCs/>
          <w:sz w:val="24"/>
          <w:szCs w:val="24"/>
        </w:rPr>
        <w:t>3.2.</w:t>
      </w:r>
      <w:r w:rsidR="0097402F" w:rsidRPr="0097402F">
        <w:rPr>
          <w:rFonts w:ascii="Times New Roman" w:hAnsi="Times New Roman" w:cs="Times New Roman"/>
          <w:b/>
          <w:bCs/>
          <w:sz w:val="24"/>
          <w:szCs w:val="24"/>
        </w:rPr>
        <w:t xml:space="preserve">3 </w:t>
      </w:r>
      <w:proofErr w:type="spellStart"/>
      <w:r w:rsidR="0097402F" w:rsidRPr="0097402F">
        <w:rPr>
          <w:rFonts w:ascii="Times New Roman" w:hAnsi="Times New Roman" w:cs="Times New Roman"/>
          <w:b/>
          <w:bCs/>
          <w:sz w:val="24"/>
          <w:szCs w:val="24"/>
        </w:rPr>
        <w:t>Khanapur</w:t>
      </w:r>
      <w:proofErr w:type="spellEnd"/>
      <w:r w:rsidR="0097402F" w:rsidRPr="0097402F">
        <w:rPr>
          <w:rFonts w:ascii="Times New Roman" w:hAnsi="Times New Roman" w:cs="Times New Roman"/>
          <w:b/>
          <w:bCs/>
          <w:sz w:val="24"/>
          <w:szCs w:val="24"/>
        </w:rPr>
        <w:t xml:space="preserve"> Division</w:t>
      </w:r>
    </w:p>
    <w:p w14:paraId="581564B3" w14:textId="0A17355D" w:rsidR="0097402F" w:rsidRDefault="0097402F" w:rsidP="00FB5FBB">
      <w:pPr>
        <w:spacing w:before="240"/>
        <w:jc w:val="both"/>
        <w:rPr>
          <w:rFonts w:ascii="Times New Roman" w:hAnsi="Times New Roman" w:cs="Times New Roman"/>
          <w:sz w:val="24"/>
          <w:szCs w:val="24"/>
        </w:rPr>
      </w:pPr>
      <w:r w:rsidRPr="0097402F">
        <w:rPr>
          <w:rFonts w:ascii="Times New Roman" w:hAnsi="Times New Roman" w:cs="Times New Roman"/>
          <w:sz w:val="24"/>
          <w:szCs w:val="24"/>
        </w:rPr>
        <w:t xml:space="preserve">The </w:t>
      </w:r>
      <w:proofErr w:type="spellStart"/>
      <w:r w:rsidRPr="0097402F">
        <w:rPr>
          <w:rFonts w:ascii="Times New Roman" w:hAnsi="Times New Roman" w:cs="Times New Roman"/>
          <w:sz w:val="24"/>
          <w:szCs w:val="24"/>
        </w:rPr>
        <w:t>Khanapur</w:t>
      </w:r>
      <w:proofErr w:type="spellEnd"/>
      <w:r w:rsidRPr="0097402F">
        <w:rPr>
          <w:rFonts w:ascii="Times New Roman" w:hAnsi="Times New Roman" w:cs="Times New Roman"/>
          <w:sz w:val="24"/>
          <w:szCs w:val="24"/>
        </w:rPr>
        <w:t xml:space="preserve"> Division emerged as the largest employment provider within KTR, engaging 92 workers</w:t>
      </w:r>
      <w:r w:rsidR="00161DD1">
        <w:rPr>
          <w:rFonts w:ascii="Times New Roman" w:hAnsi="Times New Roman" w:cs="Times New Roman"/>
          <w:sz w:val="24"/>
          <w:szCs w:val="24"/>
        </w:rPr>
        <w:t xml:space="preserve"> (Table 3). </w:t>
      </w:r>
      <w:r w:rsidRPr="0097402F">
        <w:rPr>
          <w:rFonts w:ascii="Times New Roman" w:hAnsi="Times New Roman" w:cs="Times New Roman"/>
          <w:sz w:val="24"/>
          <w:szCs w:val="24"/>
        </w:rPr>
        <w:t>Base camp watchers dominated employment (65 employees; 70.7%), followed by anti-poaching squad members (10) and drivers. The relatively large workforce reflects the division’s extensive patrolling requirements and enforcement intensity. The presence of TCF employees, DPOs, and DEOs further strengthened administrative and monitoring capacity.</w:t>
      </w:r>
    </w:p>
    <w:p w14:paraId="7C6B922A" w14:textId="7199191D" w:rsidR="00161DD1" w:rsidRPr="00B60366" w:rsidRDefault="00161DD1" w:rsidP="00FB5FBB">
      <w:pPr>
        <w:spacing w:before="240"/>
        <w:jc w:val="center"/>
        <w:rPr>
          <w:rFonts w:ascii="Times New Roman" w:hAnsi="Times New Roman" w:cs="Times New Roman"/>
          <w:b/>
          <w:bCs/>
          <w:color w:val="000000" w:themeColor="text1"/>
          <w:sz w:val="26"/>
          <w:szCs w:val="26"/>
          <w:lang w:val="en-IN"/>
        </w:rPr>
      </w:pPr>
      <w:r w:rsidRPr="00B60366">
        <w:rPr>
          <w:rFonts w:ascii="Times New Roman" w:hAnsi="Times New Roman" w:cs="Times New Roman"/>
          <w:b/>
          <w:bCs/>
          <w:color w:val="000000" w:themeColor="text1"/>
          <w:sz w:val="26"/>
          <w:szCs w:val="26"/>
        </w:rPr>
        <w:t xml:space="preserve">Table </w:t>
      </w:r>
      <w:r>
        <w:rPr>
          <w:rFonts w:ascii="Times New Roman" w:hAnsi="Times New Roman" w:cs="Times New Roman"/>
          <w:b/>
          <w:bCs/>
          <w:color w:val="000000" w:themeColor="text1"/>
          <w:sz w:val="26"/>
          <w:szCs w:val="26"/>
        </w:rPr>
        <w:t xml:space="preserve">3. </w:t>
      </w:r>
      <w:r w:rsidRPr="00B60366">
        <w:rPr>
          <w:rFonts w:ascii="Times New Roman" w:hAnsi="Times New Roman" w:cs="Times New Roman"/>
          <w:b/>
          <w:bCs/>
          <w:color w:val="000000" w:themeColor="text1"/>
          <w:sz w:val="26"/>
          <w:szCs w:val="26"/>
        </w:rPr>
        <w:t xml:space="preserve">Employment generation details of </w:t>
      </w:r>
      <w:proofErr w:type="spellStart"/>
      <w:r>
        <w:rPr>
          <w:rFonts w:ascii="Times New Roman" w:hAnsi="Times New Roman" w:cs="Times New Roman"/>
          <w:b/>
          <w:bCs/>
          <w:color w:val="000000" w:themeColor="text1"/>
          <w:sz w:val="26"/>
          <w:szCs w:val="26"/>
        </w:rPr>
        <w:t>Khanapur</w:t>
      </w:r>
      <w:proofErr w:type="spellEnd"/>
      <w:r w:rsidRPr="00B60366">
        <w:rPr>
          <w:rFonts w:ascii="Times New Roman" w:hAnsi="Times New Roman" w:cs="Times New Roman"/>
          <w:b/>
          <w:bCs/>
          <w:color w:val="000000" w:themeColor="text1"/>
          <w:sz w:val="26"/>
          <w:szCs w:val="26"/>
        </w:rPr>
        <w:t xml:space="preserve"> Division, KTR</w:t>
      </w:r>
    </w:p>
    <w:tbl>
      <w:tblPr>
        <w:tblW w:w="5056" w:type="pct"/>
        <w:jc w:val="center"/>
        <w:tblLook w:val="04A0" w:firstRow="1" w:lastRow="0" w:firstColumn="1" w:lastColumn="0" w:noHBand="0" w:noVBand="1"/>
      </w:tblPr>
      <w:tblGrid>
        <w:gridCol w:w="1964"/>
        <w:gridCol w:w="4697"/>
        <w:gridCol w:w="2804"/>
      </w:tblGrid>
      <w:tr w:rsidR="00161DD1" w:rsidRPr="00846B65" w14:paraId="4344183A" w14:textId="77777777" w:rsidTr="00161DD1">
        <w:trPr>
          <w:trHeight w:val="624"/>
          <w:jc w:val="center"/>
        </w:trPr>
        <w:tc>
          <w:tcPr>
            <w:tcW w:w="1038" w:type="pct"/>
            <w:tcBorders>
              <w:top w:val="single" w:sz="4" w:space="0" w:color="auto"/>
              <w:bottom w:val="single" w:sz="4" w:space="0" w:color="auto"/>
            </w:tcBorders>
            <w:vAlign w:val="center"/>
            <w:hideMark/>
          </w:tcPr>
          <w:p w14:paraId="446B8889" w14:textId="77777777" w:rsidR="00161DD1" w:rsidRPr="00846B65" w:rsidRDefault="00161DD1" w:rsidP="00FB5FBB">
            <w:pPr>
              <w:spacing w:before="240" w:after="0"/>
              <w:jc w:val="both"/>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Sl. No</w:t>
            </w:r>
          </w:p>
        </w:tc>
        <w:tc>
          <w:tcPr>
            <w:tcW w:w="2481" w:type="pct"/>
            <w:tcBorders>
              <w:top w:val="single" w:sz="4" w:space="0" w:color="auto"/>
              <w:bottom w:val="single" w:sz="4" w:space="0" w:color="auto"/>
            </w:tcBorders>
            <w:vAlign w:val="center"/>
            <w:hideMark/>
          </w:tcPr>
          <w:p w14:paraId="6C61C5A3" w14:textId="77777777" w:rsidR="00161DD1" w:rsidRPr="00846B65" w:rsidRDefault="00161DD1" w:rsidP="00FB5FBB">
            <w:pPr>
              <w:spacing w:before="240" w:after="0"/>
              <w:jc w:val="both"/>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Type of Employment</w:t>
            </w:r>
          </w:p>
        </w:tc>
        <w:tc>
          <w:tcPr>
            <w:tcW w:w="1481" w:type="pct"/>
            <w:tcBorders>
              <w:top w:val="single" w:sz="4" w:space="0" w:color="auto"/>
              <w:bottom w:val="single" w:sz="4" w:space="0" w:color="auto"/>
            </w:tcBorders>
            <w:vAlign w:val="center"/>
            <w:hideMark/>
          </w:tcPr>
          <w:p w14:paraId="7DE7DE32" w14:textId="77777777" w:rsidR="00161DD1" w:rsidRPr="00846B65" w:rsidRDefault="00161DD1" w:rsidP="00FB5FBB">
            <w:pPr>
              <w:spacing w:before="240" w:after="0"/>
              <w:jc w:val="both"/>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Number of workers</w:t>
            </w:r>
          </w:p>
        </w:tc>
      </w:tr>
      <w:tr w:rsidR="00161DD1" w:rsidRPr="00846B65" w14:paraId="51DBD7DD" w14:textId="77777777" w:rsidTr="00161DD1">
        <w:trPr>
          <w:trHeight w:val="312"/>
          <w:jc w:val="center"/>
        </w:trPr>
        <w:tc>
          <w:tcPr>
            <w:tcW w:w="1038" w:type="pct"/>
            <w:tcBorders>
              <w:top w:val="single" w:sz="4" w:space="0" w:color="auto"/>
            </w:tcBorders>
            <w:noWrap/>
            <w:vAlign w:val="center"/>
          </w:tcPr>
          <w:p w14:paraId="266250D9" w14:textId="77777777" w:rsidR="00161DD1" w:rsidRPr="00846B65" w:rsidRDefault="00161DD1" w:rsidP="00FB5FBB">
            <w:pPr>
              <w:pStyle w:val="ListParagraph"/>
              <w:numPr>
                <w:ilvl w:val="0"/>
                <w:numId w:val="2"/>
              </w:numPr>
              <w:spacing w:before="240" w:after="0"/>
              <w:jc w:val="both"/>
              <w:rPr>
                <w:rFonts w:ascii="Times New Roman" w:eastAsia="Times New Roman" w:hAnsi="Times New Roman" w:cs="Times New Roman"/>
                <w:color w:val="000000" w:themeColor="text1"/>
                <w:sz w:val="24"/>
                <w:szCs w:val="24"/>
              </w:rPr>
            </w:pPr>
          </w:p>
        </w:tc>
        <w:tc>
          <w:tcPr>
            <w:tcW w:w="2481" w:type="pct"/>
            <w:tcBorders>
              <w:top w:val="single" w:sz="4" w:space="0" w:color="auto"/>
            </w:tcBorders>
            <w:vAlign w:val="center"/>
            <w:hideMark/>
          </w:tcPr>
          <w:p w14:paraId="24C45E44"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Base camp watchers</w:t>
            </w:r>
          </w:p>
        </w:tc>
        <w:tc>
          <w:tcPr>
            <w:tcW w:w="1481" w:type="pct"/>
            <w:tcBorders>
              <w:top w:val="single" w:sz="4" w:space="0" w:color="auto"/>
            </w:tcBorders>
            <w:noWrap/>
            <w:vAlign w:val="center"/>
            <w:hideMark/>
          </w:tcPr>
          <w:p w14:paraId="1C610A7B"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65</w:t>
            </w:r>
          </w:p>
        </w:tc>
      </w:tr>
      <w:tr w:rsidR="00161DD1" w:rsidRPr="00846B65" w14:paraId="21893538" w14:textId="77777777" w:rsidTr="00161DD1">
        <w:trPr>
          <w:trHeight w:val="312"/>
          <w:jc w:val="center"/>
        </w:trPr>
        <w:tc>
          <w:tcPr>
            <w:tcW w:w="1038" w:type="pct"/>
            <w:noWrap/>
            <w:vAlign w:val="center"/>
          </w:tcPr>
          <w:p w14:paraId="79F5288D" w14:textId="77777777" w:rsidR="00161DD1" w:rsidRPr="00846B65" w:rsidRDefault="00161DD1" w:rsidP="00FB5FBB">
            <w:pPr>
              <w:pStyle w:val="ListParagraph"/>
              <w:numPr>
                <w:ilvl w:val="0"/>
                <w:numId w:val="2"/>
              </w:numPr>
              <w:spacing w:before="240" w:after="0"/>
              <w:jc w:val="both"/>
              <w:rPr>
                <w:rFonts w:ascii="Times New Roman" w:eastAsia="Times New Roman" w:hAnsi="Times New Roman" w:cs="Times New Roman"/>
                <w:color w:val="000000" w:themeColor="text1"/>
                <w:sz w:val="24"/>
                <w:szCs w:val="24"/>
              </w:rPr>
            </w:pPr>
          </w:p>
        </w:tc>
        <w:tc>
          <w:tcPr>
            <w:tcW w:w="2481" w:type="pct"/>
            <w:vAlign w:val="center"/>
            <w:hideMark/>
          </w:tcPr>
          <w:p w14:paraId="4D219F4F"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Anti-poaching squad</w:t>
            </w:r>
          </w:p>
        </w:tc>
        <w:tc>
          <w:tcPr>
            <w:tcW w:w="1481" w:type="pct"/>
            <w:noWrap/>
            <w:vAlign w:val="center"/>
            <w:hideMark/>
          </w:tcPr>
          <w:p w14:paraId="1DE97DBB"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10</w:t>
            </w:r>
          </w:p>
        </w:tc>
      </w:tr>
      <w:tr w:rsidR="00161DD1" w:rsidRPr="00846B65" w14:paraId="0774CF0B" w14:textId="77777777" w:rsidTr="00161DD1">
        <w:trPr>
          <w:trHeight w:val="312"/>
          <w:jc w:val="center"/>
        </w:trPr>
        <w:tc>
          <w:tcPr>
            <w:tcW w:w="1038" w:type="pct"/>
            <w:noWrap/>
            <w:vAlign w:val="center"/>
          </w:tcPr>
          <w:p w14:paraId="27CB675B" w14:textId="77777777" w:rsidR="00161DD1" w:rsidRPr="00846B65" w:rsidRDefault="00161DD1" w:rsidP="00FB5FBB">
            <w:pPr>
              <w:pStyle w:val="ListParagraph"/>
              <w:numPr>
                <w:ilvl w:val="0"/>
                <w:numId w:val="2"/>
              </w:numPr>
              <w:spacing w:before="240" w:after="0"/>
              <w:jc w:val="both"/>
              <w:rPr>
                <w:rFonts w:ascii="Times New Roman" w:eastAsia="Times New Roman" w:hAnsi="Times New Roman" w:cs="Times New Roman"/>
                <w:color w:val="000000" w:themeColor="text1"/>
                <w:sz w:val="24"/>
                <w:szCs w:val="24"/>
              </w:rPr>
            </w:pPr>
          </w:p>
        </w:tc>
        <w:tc>
          <w:tcPr>
            <w:tcW w:w="2481" w:type="pct"/>
            <w:vAlign w:val="center"/>
            <w:hideMark/>
          </w:tcPr>
          <w:p w14:paraId="4148E8DF"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At check posts</w:t>
            </w:r>
          </w:p>
        </w:tc>
        <w:tc>
          <w:tcPr>
            <w:tcW w:w="1481" w:type="pct"/>
            <w:noWrap/>
            <w:vAlign w:val="center"/>
            <w:hideMark/>
          </w:tcPr>
          <w:p w14:paraId="251A928C"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3</w:t>
            </w:r>
          </w:p>
        </w:tc>
      </w:tr>
      <w:tr w:rsidR="00161DD1" w:rsidRPr="00846B65" w14:paraId="4AE84FB7" w14:textId="77777777" w:rsidTr="00161DD1">
        <w:trPr>
          <w:trHeight w:val="312"/>
          <w:jc w:val="center"/>
        </w:trPr>
        <w:tc>
          <w:tcPr>
            <w:tcW w:w="1038" w:type="pct"/>
            <w:noWrap/>
            <w:vAlign w:val="center"/>
          </w:tcPr>
          <w:p w14:paraId="273785BB" w14:textId="77777777" w:rsidR="00161DD1" w:rsidRPr="00846B65" w:rsidRDefault="00161DD1" w:rsidP="00FB5FBB">
            <w:pPr>
              <w:pStyle w:val="ListParagraph"/>
              <w:numPr>
                <w:ilvl w:val="0"/>
                <w:numId w:val="2"/>
              </w:numPr>
              <w:spacing w:before="240" w:after="0"/>
              <w:jc w:val="both"/>
              <w:rPr>
                <w:rFonts w:ascii="Times New Roman" w:eastAsia="Times New Roman" w:hAnsi="Times New Roman" w:cs="Times New Roman"/>
                <w:color w:val="000000" w:themeColor="text1"/>
                <w:sz w:val="24"/>
                <w:szCs w:val="24"/>
              </w:rPr>
            </w:pPr>
          </w:p>
        </w:tc>
        <w:tc>
          <w:tcPr>
            <w:tcW w:w="2481" w:type="pct"/>
            <w:vAlign w:val="center"/>
            <w:hideMark/>
          </w:tcPr>
          <w:p w14:paraId="18121B45"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TCF Employees</w:t>
            </w:r>
          </w:p>
        </w:tc>
        <w:tc>
          <w:tcPr>
            <w:tcW w:w="1481" w:type="pct"/>
            <w:noWrap/>
            <w:vAlign w:val="center"/>
            <w:hideMark/>
          </w:tcPr>
          <w:p w14:paraId="09ACF2B9"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2</w:t>
            </w:r>
          </w:p>
        </w:tc>
      </w:tr>
      <w:tr w:rsidR="00161DD1" w:rsidRPr="00846B65" w14:paraId="6FD53F40" w14:textId="77777777" w:rsidTr="00161DD1">
        <w:trPr>
          <w:trHeight w:val="312"/>
          <w:jc w:val="center"/>
        </w:trPr>
        <w:tc>
          <w:tcPr>
            <w:tcW w:w="1038" w:type="pct"/>
            <w:noWrap/>
            <w:vAlign w:val="center"/>
          </w:tcPr>
          <w:p w14:paraId="4D46F546" w14:textId="77777777" w:rsidR="00161DD1" w:rsidRPr="00846B65" w:rsidRDefault="00161DD1" w:rsidP="00FB5FBB">
            <w:pPr>
              <w:pStyle w:val="ListParagraph"/>
              <w:numPr>
                <w:ilvl w:val="0"/>
                <w:numId w:val="2"/>
              </w:numPr>
              <w:spacing w:before="240" w:after="0"/>
              <w:jc w:val="both"/>
              <w:rPr>
                <w:rFonts w:ascii="Times New Roman" w:eastAsia="Times New Roman" w:hAnsi="Times New Roman" w:cs="Times New Roman"/>
                <w:color w:val="000000" w:themeColor="text1"/>
                <w:sz w:val="24"/>
                <w:szCs w:val="24"/>
              </w:rPr>
            </w:pPr>
          </w:p>
        </w:tc>
        <w:tc>
          <w:tcPr>
            <w:tcW w:w="2481" w:type="pct"/>
            <w:vAlign w:val="center"/>
            <w:hideMark/>
          </w:tcPr>
          <w:p w14:paraId="363C5772"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DPO’s</w:t>
            </w:r>
          </w:p>
        </w:tc>
        <w:tc>
          <w:tcPr>
            <w:tcW w:w="1481" w:type="pct"/>
            <w:noWrap/>
            <w:vAlign w:val="center"/>
            <w:hideMark/>
          </w:tcPr>
          <w:p w14:paraId="43F38229"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w:t>
            </w:r>
          </w:p>
        </w:tc>
      </w:tr>
      <w:tr w:rsidR="00161DD1" w:rsidRPr="00846B65" w14:paraId="7BAADF2C" w14:textId="77777777" w:rsidTr="00161DD1">
        <w:trPr>
          <w:trHeight w:val="312"/>
          <w:jc w:val="center"/>
        </w:trPr>
        <w:tc>
          <w:tcPr>
            <w:tcW w:w="1038" w:type="pct"/>
            <w:noWrap/>
            <w:vAlign w:val="center"/>
          </w:tcPr>
          <w:p w14:paraId="62E86AB7" w14:textId="77777777" w:rsidR="00161DD1" w:rsidRPr="00846B65" w:rsidRDefault="00161DD1" w:rsidP="00FB5FBB">
            <w:pPr>
              <w:pStyle w:val="ListParagraph"/>
              <w:numPr>
                <w:ilvl w:val="0"/>
                <w:numId w:val="2"/>
              </w:numPr>
              <w:spacing w:before="240" w:after="0"/>
              <w:jc w:val="both"/>
              <w:rPr>
                <w:rFonts w:ascii="Times New Roman" w:eastAsia="Times New Roman" w:hAnsi="Times New Roman" w:cs="Times New Roman"/>
                <w:color w:val="000000" w:themeColor="text1"/>
                <w:sz w:val="24"/>
                <w:szCs w:val="24"/>
              </w:rPr>
            </w:pPr>
          </w:p>
        </w:tc>
        <w:tc>
          <w:tcPr>
            <w:tcW w:w="2481" w:type="pct"/>
            <w:vAlign w:val="center"/>
            <w:hideMark/>
          </w:tcPr>
          <w:p w14:paraId="0952E10D"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DEO’s</w:t>
            </w:r>
          </w:p>
        </w:tc>
        <w:tc>
          <w:tcPr>
            <w:tcW w:w="1481" w:type="pct"/>
            <w:noWrap/>
            <w:vAlign w:val="center"/>
            <w:hideMark/>
          </w:tcPr>
          <w:p w14:paraId="4B9058C8"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6</w:t>
            </w:r>
          </w:p>
        </w:tc>
      </w:tr>
      <w:tr w:rsidR="00161DD1" w:rsidRPr="00846B65" w14:paraId="4791BF28" w14:textId="77777777" w:rsidTr="00161DD1">
        <w:trPr>
          <w:trHeight w:val="312"/>
          <w:jc w:val="center"/>
        </w:trPr>
        <w:tc>
          <w:tcPr>
            <w:tcW w:w="1038" w:type="pct"/>
            <w:tcBorders>
              <w:bottom w:val="single" w:sz="4" w:space="0" w:color="auto"/>
            </w:tcBorders>
            <w:noWrap/>
            <w:vAlign w:val="center"/>
          </w:tcPr>
          <w:p w14:paraId="6540981D" w14:textId="77777777" w:rsidR="00161DD1" w:rsidRPr="00846B65" w:rsidRDefault="00161DD1" w:rsidP="00FB5FBB">
            <w:pPr>
              <w:pStyle w:val="ListParagraph"/>
              <w:numPr>
                <w:ilvl w:val="0"/>
                <w:numId w:val="2"/>
              </w:numPr>
              <w:spacing w:before="240" w:after="0"/>
              <w:jc w:val="both"/>
              <w:rPr>
                <w:rFonts w:ascii="Times New Roman" w:eastAsia="Times New Roman" w:hAnsi="Times New Roman" w:cs="Times New Roman"/>
                <w:color w:val="000000" w:themeColor="text1"/>
                <w:sz w:val="24"/>
                <w:szCs w:val="24"/>
              </w:rPr>
            </w:pPr>
          </w:p>
        </w:tc>
        <w:tc>
          <w:tcPr>
            <w:tcW w:w="2481" w:type="pct"/>
            <w:tcBorders>
              <w:bottom w:val="single" w:sz="4" w:space="0" w:color="auto"/>
            </w:tcBorders>
            <w:vAlign w:val="center"/>
            <w:hideMark/>
          </w:tcPr>
          <w:p w14:paraId="7A18778F"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Drivers</w:t>
            </w:r>
          </w:p>
        </w:tc>
        <w:tc>
          <w:tcPr>
            <w:tcW w:w="1481" w:type="pct"/>
            <w:tcBorders>
              <w:bottom w:val="single" w:sz="4" w:space="0" w:color="auto"/>
            </w:tcBorders>
            <w:noWrap/>
            <w:vAlign w:val="center"/>
            <w:hideMark/>
          </w:tcPr>
          <w:p w14:paraId="17AF9FCA"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5</w:t>
            </w:r>
          </w:p>
        </w:tc>
      </w:tr>
      <w:tr w:rsidR="00161DD1" w:rsidRPr="00846B65" w14:paraId="5E09358B" w14:textId="77777777" w:rsidTr="00161DD1">
        <w:trPr>
          <w:trHeight w:val="312"/>
          <w:jc w:val="center"/>
        </w:trPr>
        <w:tc>
          <w:tcPr>
            <w:tcW w:w="1038" w:type="pct"/>
            <w:tcBorders>
              <w:top w:val="single" w:sz="4" w:space="0" w:color="auto"/>
              <w:bottom w:val="single" w:sz="4" w:space="0" w:color="auto"/>
            </w:tcBorders>
            <w:noWrap/>
            <w:vAlign w:val="center"/>
            <w:hideMark/>
          </w:tcPr>
          <w:p w14:paraId="3D5F32E7"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 </w:t>
            </w:r>
          </w:p>
        </w:tc>
        <w:tc>
          <w:tcPr>
            <w:tcW w:w="2481" w:type="pct"/>
            <w:tcBorders>
              <w:top w:val="single" w:sz="4" w:space="0" w:color="auto"/>
              <w:bottom w:val="single" w:sz="4" w:space="0" w:color="auto"/>
            </w:tcBorders>
            <w:vAlign w:val="center"/>
            <w:hideMark/>
          </w:tcPr>
          <w:p w14:paraId="0830ABCD" w14:textId="77777777" w:rsidR="00161DD1" w:rsidRPr="00846B65" w:rsidRDefault="00161DD1" w:rsidP="00FB5FBB">
            <w:pPr>
              <w:spacing w:before="240" w:after="0"/>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Total</w:t>
            </w:r>
          </w:p>
        </w:tc>
        <w:tc>
          <w:tcPr>
            <w:tcW w:w="1481" w:type="pct"/>
            <w:tcBorders>
              <w:top w:val="single" w:sz="4" w:space="0" w:color="auto"/>
              <w:bottom w:val="single" w:sz="4" w:space="0" w:color="auto"/>
            </w:tcBorders>
            <w:noWrap/>
            <w:vAlign w:val="center"/>
            <w:hideMark/>
          </w:tcPr>
          <w:p w14:paraId="4E3B8FD1" w14:textId="77777777" w:rsidR="00161DD1" w:rsidRPr="00846B65" w:rsidRDefault="00161DD1" w:rsidP="00FB5FBB">
            <w:pPr>
              <w:spacing w:before="240" w:after="0"/>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92</w:t>
            </w:r>
          </w:p>
        </w:tc>
      </w:tr>
    </w:tbl>
    <w:p w14:paraId="00B47700" w14:textId="77777777" w:rsidR="00161DD1" w:rsidRPr="0097402F" w:rsidRDefault="00161DD1" w:rsidP="00FB5FBB">
      <w:pPr>
        <w:spacing w:before="240"/>
        <w:jc w:val="both"/>
        <w:rPr>
          <w:rFonts w:ascii="Times New Roman" w:hAnsi="Times New Roman" w:cs="Times New Roman"/>
          <w:sz w:val="24"/>
          <w:szCs w:val="24"/>
        </w:rPr>
      </w:pPr>
    </w:p>
    <w:p w14:paraId="47C500B7" w14:textId="64FF62C5" w:rsidR="0097402F" w:rsidRPr="0097402F" w:rsidRDefault="00BE3901" w:rsidP="00FB5FBB">
      <w:pPr>
        <w:spacing w:before="240"/>
        <w:jc w:val="both"/>
        <w:rPr>
          <w:rFonts w:ascii="Times New Roman" w:hAnsi="Times New Roman" w:cs="Times New Roman"/>
          <w:b/>
          <w:bCs/>
          <w:sz w:val="24"/>
          <w:szCs w:val="24"/>
        </w:rPr>
      </w:pPr>
      <w:r>
        <w:rPr>
          <w:rFonts w:ascii="Times New Roman" w:hAnsi="Times New Roman" w:cs="Times New Roman"/>
          <w:b/>
          <w:bCs/>
          <w:sz w:val="24"/>
          <w:szCs w:val="24"/>
        </w:rPr>
        <w:t>3.2.</w:t>
      </w:r>
      <w:r w:rsidR="0097402F" w:rsidRPr="0097402F">
        <w:rPr>
          <w:rFonts w:ascii="Times New Roman" w:hAnsi="Times New Roman" w:cs="Times New Roman"/>
          <w:b/>
          <w:bCs/>
          <w:sz w:val="24"/>
          <w:szCs w:val="24"/>
        </w:rPr>
        <w:t xml:space="preserve">4 </w:t>
      </w:r>
      <w:proofErr w:type="spellStart"/>
      <w:r w:rsidR="0097402F" w:rsidRPr="0097402F">
        <w:rPr>
          <w:rFonts w:ascii="Times New Roman" w:hAnsi="Times New Roman" w:cs="Times New Roman"/>
          <w:b/>
          <w:bCs/>
          <w:sz w:val="24"/>
          <w:szCs w:val="24"/>
        </w:rPr>
        <w:t>Utnoor</w:t>
      </w:r>
      <w:proofErr w:type="spellEnd"/>
      <w:r w:rsidR="0097402F" w:rsidRPr="0097402F">
        <w:rPr>
          <w:rFonts w:ascii="Times New Roman" w:hAnsi="Times New Roman" w:cs="Times New Roman"/>
          <w:b/>
          <w:bCs/>
          <w:sz w:val="24"/>
          <w:szCs w:val="24"/>
        </w:rPr>
        <w:t xml:space="preserve"> FDPT Division</w:t>
      </w:r>
    </w:p>
    <w:p w14:paraId="6BB95694" w14:textId="5837EEEB" w:rsidR="0097402F" w:rsidRDefault="0097402F" w:rsidP="00FB5FBB">
      <w:pPr>
        <w:spacing w:before="240"/>
        <w:jc w:val="both"/>
        <w:rPr>
          <w:rFonts w:ascii="Times New Roman" w:hAnsi="Times New Roman" w:cs="Times New Roman"/>
          <w:sz w:val="24"/>
          <w:szCs w:val="24"/>
        </w:rPr>
      </w:pPr>
      <w:r w:rsidRPr="0097402F">
        <w:rPr>
          <w:rFonts w:ascii="Times New Roman" w:hAnsi="Times New Roman" w:cs="Times New Roman"/>
          <w:sz w:val="24"/>
          <w:szCs w:val="24"/>
        </w:rPr>
        <w:lastRenderedPageBreak/>
        <w:t xml:space="preserve">The </w:t>
      </w:r>
      <w:proofErr w:type="spellStart"/>
      <w:r w:rsidRPr="0097402F">
        <w:rPr>
          <w:rFonts w:ascii="Times New Roman" w:hAnsi="Times New Roman" w:cs="Times New Roman"/>
          <w:sz w:val="24"/>
          <w:szCs w:val="24"/>
        </w:rPr>
        <w:t>Utnoor</w:t>
      </w:r>
      <w:proofErr w:type="spellEnd"/>
      <w:r w:rsidRPr="0097402F">
        <w:rPr>
          <w:rFonts w:ascii="Times New Roman" w:hAnsi="Times New Roman" w:cs="Times New Roman"/>
          <w:sz w:val="24"/>
          <w:szCs w:val="24"/>
        </w:rPr>
        <w:t xml:space="preserve"> FDPT Division provided employment to 43 worker</w:t>
      </w:r>
      <w:r w:rsidR="00161DD1">
        <w:rPr>
          <w:rFonts w:ascii="Times New Roman" w:hAnsi="Times New Roman" w:cs="Times New Roman"/>
          <w:sz w:val="24"/>
          <w:szCs w:val="24"/>
        </w:rPr>
        <w:t>s (Table 4)</w:t>
      </w:r>
      <w:r w:rsidRPr="0097402F">
        <w:rPr>
          <w:rFonts w:ascii="Times New Roman" w:hAnsi="Times New Roman" w:cs="Times New Roman"/>
          <w:sz w:val="24"/>
          <w:szCs w:val="24"/>
        </w:rPr>
        <w:t>. Base camp watchers (33 employees) constituted the overwhelming majority of the workforce, highlighting their indispensable role in day-to-day field operations. Check-point staff, drivers, and DEOs supported protection, monitoring, and administrative functions. The employment pattern indicates a strong dependence on sustained frontline staffing to ensure effective protection and surveillance.</w:t>
      </w:r>
    </w:p>
    <w:p w14:paraId="04B2B423" w14:textId="21EFEB36" w:rsidR="00161DD1" w:rsidRPr="00B60366" w:rsidRDefault="00161DD1" w:rsidP="00FB5FBB">
      <w:pPr>
        <w:spacing w:before="240"/>
        <w:jc w:val="center"/>
        <w:rPr>
          <w:rFonts w:ascii="Times New Roman" w:hAnsi="Times New Roman" w:cs="Times New Roman"/>
          <w:b/>
          <w:bCs/>
          <w:color w:val="000000" w:themeColor="text1"/>
          <w:sz w:val="26"/>
          <w:szCs w:val="26"/>
          <w:lang w:val="en-IN"/>
        </w:rPr>
      </w:pPr>
      <w:r w:rsidRPr="00B60366">
        <w:rPr>
          <w:rFonts w:ascii="Times New Roman" w:hAnsi="Times New Roman" w:cs="Times New Roman"/>
          <w:b/>
          <w:bCs/>
          <w:color w:val="000000" w:themeColor="text1"/>
          <w:sz w:val="26"/>
          <w:szCs w:val="26"/>
        </w:rPr>
        <w:t xml:space="preserve">Table </w:t>
      </w:r>
      <w:r>
        <w:rPr>
          <w:rFonts w:ascii="Times New Roman" w:hAnsi="Times New Roman" w:cs="Times New Roman"/>
          <w:b/>
          <w:bCs/>
          <w:color w:val="000000" w:themeColor="text1"/>
          <w:sz w:val="26"/>
          <w:szCs w:val="26"/>
        </w:rPr>
        <w:t xml:space="preserve">4. </w:t>
      </w:r>
      <w:r w:rsidRPr="00B60366">
        <w:rPr>
          <w:rFonts w:ascii="Times New Roman" w:hAnsi="Times New Roman" w:cs="Times New Roman"/>
          <w:b/>
          <w:bCs/>
          <w:color w:val="000000" w:themeColor="text1"/>
          <w:sz w:val="26"/>
          <w:szCs w:val="26"/>
        </w:rPr>
        <w:t>Employment generation details of</w:t>
      </w:r>
      <w:r>
        <w:rPr>
          <w:rFonts w:ascii="Times New Roman" w:hAnsi="Times New Roman" w:cs="Times New Roman"/>
          <w:b/>
          <w:bCs/>
          <w:color w:val="000000" w:themeColor="text1"/>
          <w:sz w:val="26"/>
          <w:szCs w:val="26"/>
        </w:rPr>
        <w:t xml:space="preserve"> </w:t>
      </w:r>
      <w:proofErr w:type="spellStart"/>
      <w:r>
        <w:rPr>
          <w:rFonts w:ascii="Times New Roman" w:hAnsi="Times New Roman" w:cs="Times New Roman"/>
          <w:b/>
          <w:bCs/>
          <w:color w:val="000000" w:themeColor="text1"/>
          <w:sz w:val="26"/>
          <w:szCs w:val="26"/>
        </w:rPr>
        <w:t>Utnoor</w:t>
      </w:r>
      <w:proofErr w:type="spellEnd"/>
      <w:r>
        <w:rPr>
          <w:rFonts w:ascii="Times New Roman" w:hAnsi="Times New Roman" w:cs="Times New Roman"/>
          <w:b/>
          <w:bCs/>
          <w:color w:val="000000" w:themeColor="text1"/>
          <w:sz w:val="26"/>
          <w:szCs w:val="26"/>
        </w:rPr>
        <w:t xml:space="preserve"> FDPT</w:t>
      </w:r>
      <w:r w:rsidRPr="00B60366">
        <w:rPr>
          <w:rFonts w:ascii="Times New Roman" w:hAnsi="Times New Roman" w:cs="Times New Roman"/>
          <w:b/>
          <w:bCs/>
          <w:color w:val="000000" w:themeColor="text1"/>
          <w:sz w:val="26"/>
          <w:szCs w:val="26"/>
        </w:rPr>
        <w:t>, KTR</w:t>
      </w:r>
    </w:p>
    <w:tbl>
      <w:tblPr>
        <w:tblW w:w="5000" w:type="pct"/>
        <w:jc w:val="center"/>
        <w:tblLook w:val="04A0" w:firstRow="1" w:lastRow="0" w:firstColumn="1" w:lastColumn="0" w:noHBand="0" w:noVBand="1"/>
      </w:tblPr>
      <w:tblGrid>
        <w:gridCol w:w="2251"/>
        <w:gridCol w:w="4411"/>
        <w:gridCol w:w="2698"/>
      </w:tblGrid>
      <w:tr w:rsidR="00161DD1" w:rsidRPr="00A14AF1" w14:paraId="6FC829C2" w14:textId="77777777" w:rsidTr="00161DD1">
        <w:trPr>
          <w:trHeight w:val="624"/>
          <w:jc w:val="center"/>
        </w:trPr>
        <w:tc>
          <w:tcPr>
            <w:tcW w:w="544" w:type="pct"/>
            <w:tcBorders>
              <w:top w:val="single" w:sz="4" w:space="0" w:color="auto"/>
              <w:bottom w:val="single" w:sz="4" w:space="0" w:color="auto"/>
            </w:tcBorders>
            <w:vAlign w:val="center"/>
            <w:hideMark/>
          </w:tcPr>
          <w:p w14:paraId="2901DFBE" w14:textId="77777777" w:rsidR="00161DD1" w:rsidRPr="00A14AF1" w:rsidRDefault="00161DD1" w:rsidP="00FB5FBB">
            <w:pPr>
              <w:spacing w:before="240" w:after="0"/>
              <w:jc w:val="both"/>
              <w:rPr>
                <w:rFonts w:ascii="Times New Roman" w:eastAsia="Times New Roman" w:hAnsi="Times New Roman" w:cs="Times New Roman"/>
                <w:b/>
                <w:bCs/>
                <w:color w:val="000000" w:themeColor="text1"/>
                <w:sz w:val="24"/>
                <w:szCs w:val="24"/>
              </w:rPr>
            </w:pPr>
            <w:r w:rsidRPr="00A14AF1">
              <w:rPr>
                <w:rFonts w:ascii="Times New Roman" w:eastAsia="Times New Roman" w:hAnsi="Times New Roman" w:cs="Times New Roman"/>
                <w:b/>
                <w:bCs/>
                <w:color w:val="000000" w:themeColor="text1"/>
                <w:sz w:val="24"/>
                <w:szCs w:val="24"/>
              </w:rPr>
              <w:t>Sl. No</w:t>
            </w:r>
          </w:p>
        </w:tc>
        <w:tc>
          <w:tcPr>
            <w:tcW w:w="1066" w:type="pct"/>
            <w:tcBorders>
              <w:top w:val="single" w:sz="4" w:space="0" w:color="auto"/>
              <w:bottom w:val="single" w:sz="4" w:space="0" w:color="auto"/>
            </w:tcBorders>
            <w:vAlign w:val="center"/>
            <w:hideMark/>
          </w:tcPr>
          <w:p w14:paraId="47F1447B" w14:textId="77777777" w:rsidR="00161DD1" w:rsidRPr="00A14AF1" w:rsidRDefault="00161DD1" w:rsidP="00FB5FBB">
            <w:pPr>
              <w:spacing w:before="240" w:after="0"/>
              <w:jc w:val="both"/>
              <w:rPr>
                <w:rFonts w:ascii="Times New Roman" w:eastAsia="Times New Roman" w:hAnsi="Times New Roman" w:cs="Times New Roman"/>
                <w:b/>
                <w:bCs/>
                <w:color w:val="000000" w:themeColor="text1"/>
                <w:sz w:val="24"/>
                <w:szCs w:val="24"/>
              </w:rPr>
            </w:pPr>
            <w:r w:rsidRPr="00A14AF1">
              <w:rPr>
                <w:rFonts w:ascii="Times New Roman" w:eastAsia="Times New Roman" w:hAnsi="Times New Roman" w:cs="Times New Roman"/>
                <w:b/>
                <w:bCs/>
                <w:color w:val="000000" w:themeColor="text1"/>
                <w:sz w:val="24"/>
                <w:szCs w:val="24"/>
              </w:rPr>
              <w:t>Type of Employment</w:t>
            </w:r>
          </w:p>
        </w:tc>
        <w:tc>
          <w:tcPr>
            <w:tcW w:w="652" w:type="pct"/>
            <w:tcBorders>
              <w:top w:val="single" w:sz="4" w:space="0" w:color="auto"/>
              <w:bottom w:val="single" w:sz="4" w:space="0" w:color="auto"/>
            </w:tcBorders>
            <w:vAlign w:val="center"/>
            <w:hideMark/>
          </w:tcPr>
          <w:p w14:paraId="0DDCEEF7" w14:textId="77777777" w:rsidR="00161DD1" w:rsidRPr="00A14AF1" w:rsidRDefault="00161DD1" w:rsidP="00FB5FBB">
            <w:pPr>
              <w:spacing w:before="240" w:after="0"/>
              <w:jc w:val="both"/>
              <w:rPr>
                <w:rFonts w:ascii="Times New Roman" w:eastAsia="Times New Roman" w:hAnsi="Times New Roman" w:cs="Times New Roman"/>
                <w:b/>
                <w:bCs/>
                <w:color w:val="000000" w:themeColor="text1"/>
                <w:sz w:val="24"/>
                <w:szCs w:val="24"/>
              </w:rPr>
            </w:pPr>
            <w:r w:rsidRPr="00A14AF1">
              <w:rPr>
                <w:rFonts w:ascii="Times New Roman" w:eastAsia="Times New Roman" w:hAnsi="Times New Roman" w:cs="Times New Roman"/>
                <w:b/>
                <w:bCs/>
                <w:color w:val="000000" w:themeColor="text1"/>
                <w:sz w:val="24"/>
                <w:szCs w:val="24"/>
              </w:rPr>
              <w:t>Number of workers</w:t>
            </w:r>
          </w:p>
        </w:tc>
      </w:tr>
      <w:tr w:rsidR="00161DD1" w:rsidRPr="00A14AF1" w14:paraId="752DB6DC" w14:textId="77777777" w:rsidTr="00161DD1">
        <w:trPr>
          <w:trHeight w:val="312"/>
          <w:jc w:val="center"/>
        </w:trPr>
        <w:tc>
          <w:tcPr>
            <w:tcW w:w="544" w:type="pct"/>
            <w:tcBorders>
              <w:top w:val="single" w:sz="4" w:space="0" w:color="auto"/>
            </w:tcBorders>
            <w:noWrap/>
            <w:vAlign w:val="center"/>
          </w:tcPr>
          <w:p w14:paraId="6CF6E1DF" w14:textId="77777777" w:rsidR="00161DD1" w:rsidRPr="00A14AF1" w:rsidRDefault="00161DD1" w:rsidP="00FB5FBB">
            <w:pPr>
              <w:pStyle w:val="ListParagraph"/>
              <w:numPr>
                <w:ilvl w:val="0"/>
                <w:numId w:val="3"/>
              </w:numPr>
              <w:spacing w:before="240" w:after="0"/>
              <w:jc w:val="both"/>
              <w:rPr>
                <w:rFonts w:ascii="Times New Roman" w:eastAsia="Times New Roman" w:hAnsi="Times New Roman" w:cs="Times New Roman"/>
                <w:color w:val="000000" w:themeColor="text1"/>
                <w:sz w:val="24"/>
                <w:szCs w:val="24"/>
              </w:rPr>
            </w:pPr>
          </w:p>
        </w:tc>
        <w:tc>
          <w:tcPr>
            <w:tcW w:w="1066" w:type="pct"/>
            <w:tcBorders>
              <w:top w:val="single" w:sz="4" w:space="0" w:color="auto"/>
            </w:tcBorders>
            <w:vAlign w:val="center"/>
            <w:hideMark/>
          </w:tcPr>
          <w:p w14:paraId="56442584"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Base camp watchers</w:t>
            </w:r>
          </w:p>
        </w:tc>
        <w:tc>
          <w:tcPr>
            <w:tcW w:w="652" w:type="pct"/>
            <w:tcBorders>
              <w:top w:val="single" w:sz="4" w:space="0" w:color="auto"/>
            </w:tcBorders>
            <w:noWrap/>
            <w:vAlign w:val="center"/>
            <w:hideMark/>
          </w:tcPr>
          <w:p w14:paraId="0F601C63"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33</w:t>
            </w:r>
          </w:p>
        </w:tc>
      </w:tr>
      <w:tr w:rsidR="00161DD1" w:rsidRPr="00A14AF1" w14:paraId="197F2CBA" w14:textId="77777777" w:rsidTr="00161DD1">
        <w:trPr>
          <w:trHeight w:val="312"/>
          <w:jc w:val="center"/>
        </w:trPr>
        <w:tc>
          <w:tcPr>
            <w:tcW w:w="544" w:type="pct"/>
            <w:noWrap/>
            <w:vAlign w:val="center"/>
          </w:tcPr>
          <w:p w14:paraId="75CD1F43" w14:textId="77777777" w:rsidR="00161DD1" w:rsidRPr="00A14AF1" w:rsidRDefault="00161DD1" w:rsidP="00FB5FBB">
            <w:pPr>
              <w:pStyle w:val="ListParagraph"/>
              <w:numPr>
                <w:ilvl w:val="0"/>
                <w:numId w:val="3"/>
              </w:numPr>
              <w:spacing w:before="240" w:after="0"/>
              <w:jc w:val="both"/>
              <w:rPr>
                <w:rFonts w:ascii="Times New Roman" w:eastAsia="Times New Roman" w:hAnsi="Times New Roman" w:cs="Times New Roman"/>
                <w:color w:val="000000" w:themeColor="text1"/>
                <w:sz w:val="24"/>
                <w:szCs w:val="24"/>
              </w:rPr>
            </w:pPr>
          </w:p>
        </w:tc>
        <w:tc>
          <w:tcPr>
            <w:tcW w:w="1066" w:type="pct"/>
            <w:noWrap/>
            <w:vAlign w:val="center"/>
            <w:hideMark/>
          </w:tcPr>
          <w:p w14:paraId="59354B98"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At check points</w:t>
            </w:r>
          </w:p>
        </w:tc>
        <w:tc>
          <w:tcPr>
            <w:tcW w:w="652" w:type="pct"/>
            <w:noWrap/>
            <w:vAlign w:val="center"/>
            <w:hideMark/>
          </w:tcPr>
          <w:p w14:paraId="6CA1E29A"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2</w:t>
            </w:r>
          </w:p>
        </w:tc>
      </w:tr>
      <w:tr w:rsidR="00161DD1" w:rsidRPr="00A14AF1" w14:paraId="068A49B7" w14:textId="77777777" w:rsidTr="00161DD1">
        <w:trPr>
          <w:trHeight w:val="312"/>
          <w:jc w:val="center"/>
        </w:trPr>
        <w:tc>
          <w:tcPr>
            <w:tcW w:w="544" w:type="pct"/>
            <w:noWrap/>
            <w:vAlign w:val="center"/>
          </w:tcPr>
          <w:p w14:paraId="3EE39BEF" w14:textId="77777777" w:rsidR="00161DD1" w:rsidRPr="00A14AF1" w:rsidRDefault="00161DD1" w:rsidP="00FB5FBB">
            <w:pPr>
              <w:pStyle w:val="ListParagraph"/>
              <w:numPr>
                <w:ilvl w:val="0"/>
                <w:numId w:val="3"/>
              </w:numPr>
              <w:spacing w:before="240" w:after="0"/>
              <w:jc w:val="both"/>
              <w:rPr>
                <w:rFonts w:ascii="Times New Roman" w:eastAsia="Times New Roman" w:hAnsi="Times New Roman" w:cs="Times New Roman"/>
                <w:color w:val="000000" w:themeColor="text1"/>
                <w:sz w:val="24"/>
                <w:szCs w:val="24"/>
              </w:rPr>
            </w:pPr>
          </w:p>
        </w:tc>
        <w:tc>
          <w:tcPr>
            <w:tcW w:w="1066" w:type="pct"/>
            <w:noWrap/>
            <w:vAlign w:val="center"/>
            <w:hideMark/>
          </w:tcPr>
          <w:p w14:paraId="3CE1FACA"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DEO’s</w:t>
            </w:r>
          </w:p>
        </w:tc>
        <w:tc>
          <w:tcPr>
            <w:tcW w:w="652" w:type="pct"/>
            <w:noWrap/>
            <w:vAlign w:val="center"/>
            <w:hideMark/>
          </w:tcPr>
          <w:p w14:paraId="445EDE7D"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4</w:t>
            </w:r>
          </w:p>
        </w:tc>
      </w:tr>
      <w:tr w:rsidR="00161DD1" w:rsidRPr="00A14AF1" w14:paraId="1C47E32B" w14:textId="77777777" w:rsidTr="00161DD1">
        <w:trPr>
          <w:trHeight w:val="312"/>
          <w:jc w:val="center"/>
        </w:trPr>
        <w:tc>
          <w:tcPr>
            <w:tcW w:w="544" w:type="pct"/>
            <w:noWrap/>
            <w:vAlign w:val="center"/>
          </w:tcPr>
          <w:p w14:paraId="023A9EF7" w14:textId="77777777" w:rsidR="00161DD1" w:rsidRPr="00A14AF1" w:rsidRDefault="00161DD1" w:rsidP="00FB5FBB">
            <w:pPr>
              <w:pStyle w:val="ListParagraph"/>
              <w:numPr>
                <w:ilvl w:val="0"/>
                <w:numId w:val="3"/>
              </w:numPr>
              <w:spacing w:before="240" w:after="0"/>
              <w:jc w:val="both"/>
              <w:rPr>
                <w:rFonts w:ascii="Times New Roman" w:eastAsia="Times New Roman" w:hAnsi="Times New Roman" w:cs="Times New Roman"/>
                <w:color w:val="000000" w:themeColor="text1"/>
                <w:sz w:val="24"/>
                <w:szCs w:val="24"/>
              </w:rPr>
            </w:pPr>
          </w:p>
        </w:tc>
        <w:tc>
          <w:tcPr>
            <w:tcW w:w="1066" w:type="pct"/>
            <w:noWrap/>
            <w:vAlign w:val="center"/>
            <w:hideMark/>
          </w:tcPr>
          <w:p w14:paraId="1DF12706"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Drivers</w:t>
            </w:r>
          </w:p>
        </w:tc>
        <w:tc>
          <w:tcPr>
            <w:tcW w:w="652" w:type="pct"/>
            <w:noWrap/>
            <w:vAlign w:val="center"/>
            <w:hideMark/>
          </w:tcPr>
          <w:p w14:paraId="4772DAFC"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3</w:t>
            </w:r>
          </w:p>
        </w:tc>
      </w:tr>
      <w:tr w:rsidR="00161DD1" w:rsidRPr="00A14AF1" w14:paraId="57238CF0" w14:textId="77777777" w:rsidTr="00161DD1">
        <w:trPr>
          <w:trHeight w:val="312"/>
          <w:jc w:val="center"/>
        </w:trPr>
        <w:tc>
          <w:tcPr>
            <w:tcW w:w="544" w:type="pct"/>
            <w:tcBorders>
              <w:bottom w:val="single" w:sz="4" w:space="0" w:color="auto"/>
            </w:tcBorders>
            <w:noWrap/>
            <w:vAlign w:val="center"/>
          </w:tcPr>
          <w:p w14:paraId="0CE2B880" w14:textId="77777777" w:rsidR="00161DD1" w:rsidRPr="00A14AF1" w:rsidRDefault="00161DD1" w:rsidP="00FB5FBB">
            <w:pPr>
              <w:pStyle w:val="ListParagraph"/>
              <w:numPr>
                <w:ilvl w:val="0"/>
                <w:numId w:val="3"/>
              </w:numPr>
              <w:spacing w:before="240" w:after="0"/>
              <w:jc w:val="both"/>
              <w:rPr>
                <w:rFonts w:ascii="Times New Roman" w:eastAsia="Times New Roman" w:hAnsi="Times New Roman" w:cs="Times New Roman"/>
                <w:color w:val="000000" w:themeColor="text1"/>
                <w:sz w:val="24"/>
                <w:szCs w:val="24"/>
              </w:rPr>
            </w:pPr>
          </w:p>
        </w:tc>
        <w:tc>
          <w:tcPr>
            <w:tcW w:w="1066" w:type="pct"/>
            <w:tcBorders>
              <w:bottom w:val="single" w:sz="4" w:space="0" w:color="auto"/>
            </w:tcBorders>
            <w:noWrap/>
            <w:vAlign w:val="center"/>
            <w:hideMark/>
          </w:tcPr>
          <w:p w14:paraId="70CCABBD"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Watcher</w:t>
            </w:r>
          </w:p>
        </w:tc>
        <w:tc>
          <w:tcPr>
            <w:tcW w:w="652" w:type="pct"/>
            <w:tcBorders>
              <w:bottom w:val="single" w:sz="4" w:space="0" w:color="auto"/>
            </w:tcBorders>
            <w:noWrap/>
            <w:vAlign w:val="center"/>
            <w:hideMark/>
          </w:tcPr>
          <w:p w14:paraId="76E55610"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1</w:t>
            </w:r>
          </w:p>
        </w:tc>
      </w:tr>
      <w:tr w:rsidR="00161DD1" w:rsidRPr="00A14AF1" w14:paraId="07B40485" w14:textId="77777777" w:rsidTr="00161DD1">
        <w:trPr>
          <w:trHeight w:val="312"/>
          <w:jc w:val="center"/>
        </w:trPr>
        <w:tc>
          <w:tcPr>
            <w:tcW w:w="544" w:type="pct"/>
            <w:tcBorders>
              <w:top w:val="single" w:sz="4" w:space="0" w:color="auto"/>
              <w:bottom w:val="single" w:sz="4" w:space="0" w:color="auto"/>
            </w:tcBorders>
            <w:noWrap/>
            <w:vAlign w:val="center"/>
            <w:hideMark/>
          </w:tcPr>
          <w:p w14:paraId="09E2A709"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 </w:t>
            </w:r>
          </w:p>
        </w:tc>
        <w:tc>
          <w:tcPr>
            <w:tcW w:w="1066" w:type="pct"/>
            <w:tcBorders>
              <w:top w:val="single" w:sz="4" w:space="0" w:color="auto"/>
              <w:bottom w:val="single" w:sz="4" w:space="0" w:color="auto"/>
            </w:tcBorders>
            <w:noWrap/>
            <w:vAlign w:val="center"/>
            <w:hideMark/>
          </w:tcPr>
          <w:p w14:paraId="572EC18F" w14:textId="77777777" w:rsidR="00161DD1" w:rsidRPr="00A14AF1" w:rsidRDefault="00161DD1" w:rsidP="00FB5FBB">
            <w:pPr>
              <w:spacing w:before="240" w:after="0"/>
              <w:jc w:val="right"/>
              <w:rPr>
                <w:rFonts w:ascii="Times New Roman" w:eastAsia="Times New Roman" w:hAnsi="Times New Roman" w:cs="Times New Roman"/>
                <w:b/>
                <w:bCs/>
                <w:color w:val="000000" w:themeColor="text1"/>
                <w:sz w:val="24"/>
                <w:szCs w:val="24"/>
              </w:rPr>
            </w:pPr>
            <w:r w:rsidRPr="00A14AF1">
              <w:rPr>
                <w:rFonts w:ascii="Times New Roman" w:eastAsia="Times New Roman" w:hAnsi="Times New Roman" w:cs="Times New Roman"/>
                <w:b/>
                <w:bCs/>
                <w:color w:val="000000" w:themeColor="text1"/>
                <w:sz w:val="24"/>
                <w:szCs w:val="24"/>
              </w:rPr>
              <w:t>Total</w:t>
            </w:r>
          </w:p>
        </w:tc>
        <w:tc>
          <w:tcPr>
            <w:tcW w:w="652" w:type="pct"/>
            <w:tcBorders>
              <w:top w:val="single" w:sz="4" w:space="0" w:color="auto"/>
              <w:bottom w:val="single" w:sz="4" w:space="0" w:color="auto"/>
            </w:tcBorders>
            <w:noWrap/>
            <w:vAlign w:val="center"/>
            <w:hideMark/>
          </w:tcPr>
          <w:p w14:paraId="37C47B1E" w14:textId="77777777" w:rsidR="00161DD1" w:rsidRPr="00A14AF1" w:rsidRDefault="00161DD1" w:rsidP="00FB5FBB">
            <w:pPr>
              <w:spacing w:before="240" w:after="0"/>
              <w:jc w:val="both"/>
              <w:rPr>
                <w:rFonts w:ascii="Times New Roman" w:eastAsia="Times New Roman" w:hAnsi="Times New Roman" w:cs="Times New Roman"/>
                <w:b/>
                <w:bCs/>
                <w:color w:val="000000" w:themeColor="text1"/>
                <w:sz w:val="24"/>
                <w:szCs w:val="24"/>
              </w:rPr>
            </w:pPr>
            <w:r w:rsidRPr="00A14AF1">
              <w:rPr>
                <w:rFonts w:ascii="Times New Roman" w:eastAsia="Times New Roman" w:hAnsi="Times New Roman" w:cs="Times New Roman"/>
                <w:b/>
                <w:bCs/>
                <w:color w:val="000000" w:themeColor="text1"/>
                <w:sz w:val="24"/>
                <w:szCs w:val="24"/>
              </w:rPr>
              <w:t>43</w:t>
            </w:r>
          </w:p>
        </w:tc>
      </w:tr>
    </w:tbl>
    <w:p w14:paraId="6107D63C" w14:textId="77777777" w:rsidR="00161DD1" w:rsidRPr="0097402F" w:rsidRDefault="00161DD1" w:rsidP="00FB5FBB">
      <w:pPr>
        <w:spacing w:before="240"/>
        <w:jc w:val="both"/>
        <w:rPr>
          <w:rFonts w:ascii="Times New Roman" w:hAnsi="Times New Roman" w:cs="Times New Roman"/>
          <w:sz w:val="24"/>
          <w:szCs w:val="24"/>
          <w:lang w:val="en-IN"/>
        </w:rPr>
      </w:pPr>
    </w:p>
    <w:p w14:paraId="3E150F9B" w14:textId="1153ED76" w:rsidR="0097402F" w:rsidRPr="0097402F" w:rsidRDefault="00197057" w:rsidP="00FB5FBB">
      <w:pPr>
        <w:spacing w:before="240"/>
        <w:jc w:val="both"/>
        <w:rPr>
          <w:rFonts w:ascii="Times New Roman" w:hAnsi="Times New Roman" w:cs="Times New Roman"/>
          <w:b/>
          <w:bCs/>
          <w:sz w:val="24"/>
          <w:szCs w:val="24"/>
        </w:rPr>
      </w:pPr>
      <w:r>
        <w:rPr>
          <w:rFonts w:ascii="Times New Roman" w:hAnsi="Times New Roman" w:cs="Times New Roman"/>
          <w:b/>
          <w:bCs/>
          <w:sz w:val="24"/>
          <w:szCs w:val="24"/>
        </w:rPr>
        <w:t>3.3</w:t>
      </w:r>
      <w:r w:rsidR="0097402F" w:rsidRPr="0097402F">
        <w:rPr>
          <w:rFonts w:ascii="Times New Roman" w:hAnsi="Times New Roman" w:cs="Times New Roman"/>
          <w:b/>
          <w:bCs/>
          <w:sz w:val="24"/>
          <w:szCs w:val="24"/>
        </w:rPr>
        <w:t xml:space="preserve"> Consolidated Economic Value of Employment in </w:t>
      </w:r>
      <w:proofErr w:type="spellStart"/>
      <w:r w:rsidR="0097402F" w:rsidRPr="0097402F">
        <w:rPr>
          <w:rFonts w:ascii="Times New Roman" w:hAnsi="Times New Roman" w:cs="Times New Roman"/>
          <w:b/>
          <w:bCs/>
          <w:sz w:val="24"/>
          <w:szCs w:val="24"/>
        </w:rPr>
        <w:t>Kawal</w:t>
      </w:r>
      <w:proofErr w:type="spellEnd"/>
      <w:r w:rsidR="0097402F" w:rsidRPr="0097402F">
        <w:rPr>
          <w:rFonts w:ascii="Times New Roman" w:hAnsi="Times New Roman" w:cs="Times New Roman"/>
          <w:b/>
          <w:bCs/>
          <w:sz w:val="24"/>
          <w:szCs w:val="24"/>
        </w:rPr>
        <w:t xml:space="preserve"> Tiger Reserve</w:t>
      </w:r>
    </w:p>
    <w:p w14:paraId="49048713" w14:textId="23F8EBDA" w:rsidR="0097402F" w:rsidRPr="0097402F" w:rsidRDefault="0097402F" w:rsidP="00FB5FBB">
      <w:pPr>
        <w:spacing w:before="240"/>
        <w:jc w:val="both"/>
        <w:rPr>
          <w:rFonts w:ascii="Times New Roman" w:hAnsi="Times New Roman" w:cs="Times New Roman"/>
          <w:sz w:val="24"/>
          <w:szCs w:val="24"/>
        </w:rPr>
      </w:pPr>
      <w:r w:rsidRPr="0097402F">
        <w:rPr>
          <w:rFonts w:ascii="Times New Roman" w:hAnsi="Times New Roman" w:cs="Times New Roman"/>
          <w:sz w:val="24"/>
          <w:szCs w:val="24"/>
        </w:rPr>
        <w:t>When aggregated across all divisions, KTR directly employed 239 individuals</w:t>
      </w:r>
      <w:r w:rsidR="00161DD1">
        <w:rPr>
          <w:rFonts w:ascii="Times New Roman" w:hAnsi="Times New Roman" w:cs="Times New Roman"/>
          <w:sz w:val="24"/>
          <w:szCs w:val="24"/>
        </w:rPr>
        <w:t xml:space="preserve"> </w:t>
      </w:r>
      <w:r w:rsidRPr="0097402F">
        <w:rPr>
          <w:rFonts w:ascii="Times New Roman" w:hAnsi="Times New Roman" w:cs="Times New Roman"/>
          <w:sz w:val="24"/>
          <w:szCs w:val="24"/>
        </w:rPr>
        <w:t>(Table 5). The employment structure was heavily dominated by base camp watchers (163 employees), followed by drivers (16), DEOs (16), anti-poaching squad members (10), animal trackers (10), and ecotourism drivers (5). This distribution highlights the protection-centric nature of tiger reserve management.</w:t>
      </w:r>
    </w:p>
    <w:p w14:paraId="4DBEAE9B" w14:textId="2BBB9FD9" w:rsidR="0097402F" w:rsidRDefault="0097402F" w:rsidP="00FB5FBB">
      <w:pPr>
        <w:spacing w:before="240"/>
        <w:jc w:val="both"/>
        <w:rPr>
          <w:rFonts w:ascii="Times New Roman" w:hAnsi="Times New Roman" w:cs="Times New Roman"/>
          <w:sz w:val="24"/>
          <w:szCs w:val="24"/>
        </w:rPr>
      </w:pPr>
      <w:r w:rsidRPr="0097402F">
        <w:rPr>
          <w:rFonts w:ascii="Times New Roman" w:hAnsi="Times New Roman" w:cs="Times New Roman"/>
          <w:sz w:val="24"/>
          <w:szCs w:val="24"/>
        </w:rPr>
        <w:t>Importantly, most employment categories require limited formal education and are therefore highly accessible to local and forest-dependent communities, reinforcing livelihood security and reducing dependence on extractive forest use</w:t>
      </w:r>
      <w:r w:rsidR="00197057">
        <w:rPr>
          <w:rFonts w:ascii="Times New Roman" w:hAnsi="Times New Roman" w:cs="Times New Roman"/>
          <w:sz w:val="24"/>
          <w:szCs w:val="24"/>
        </w:rPr>
        <w:t>. C</w:t>
      </w:r>
      <w:r w:rsidRPr="0097402F">
        <w:rPr>
          <w:rFonts w:ascii="Times New Roman" w:hAnsi="Times New Roman" w:cs="Times New Roman"/>
          <w:sz w:val="24"/>
          <w:szCs w:val="24"/>
        </w:rPr>
        <w:t>onservation-linked employment in KTR contributes not only to household income but also to broader socio-ecological outcomes, including enhanced community participation, reduced anthropogenic pressure, and improved conservation compliance.</w:t>
      </w:r>
    </w:p>
    <w:p w14:paraId="5BB38116" w14:textId="13E44727" w:rsidR="004E4EEE" w:rsidRPr="00B60366" w:rsidRDefault="004E4EEE" w:rsidP="00FB5FBB">
      <w:pPr>
        <w:spacing w:before="240"/>
        <w:jc w:val="center"/>
        <w:rPr>
          <w:rFonts w:ascii="Times New Roman" w:hAnsi="Times New Roman" w:cs="Times New Roman"/>
          <w:b/>
          <w:bCs/>
          <w:color w:val="000000" w:themeColor="text1"/>
          <w:sz w:val="26"/>
          <w:szCs w:val="26"/>
          <w:lang w:val="en-IN"/>
        </w:rPr>
      </w:pPr>
      <w:r w:rsidRPr="00B60366">
        <w:rPr>
          <w:rFonts w:ascii="Times New Roman" w:hAnsi="Times New Roman" w:cs="Times New Roman"/>
          <w:b/>
          <w:bCs/>
          <w:color w:val="000000" w:themeColor="text1"/>
          <w:sz w:val="26"/>
          <w:szCs w:val="26"/>
        </w:rPr>
        <w:t xml:space="preserve">Table </w:t>
      </w:r>
      <w:r w:rsidR="006230D7">
        <w:rPr>
          <w:rFonts w:ascii="Times New Roman" w:hAnsi="Times New Roman" w:cs="Times New Roman"/>
          <w:b/>
          <w:bCs/>
          <w:color w:val="000000" w:themeColor="text1"/>
          <w:sz w:val="26"/>
          <w:szCs w:val="26"/>
        </w:rPr>
        <w:t>5</w:t>
      </w:r>
      <w:r>
        <w:rPr>
          <w:rFonts w:ascii="Times New Roman" w:hAnsi="Times New Roman" w:cs="Times New Roman"/>
          <w:b/>
          <w:bCs/>
          <w:color w:val="000000" w:themeColor="text1"/>
          <w:sz w:val="26"/>
          <w:szCs w:val="26"/>
        </w:rPr>
        <w:t>. Consolidated e</w:t>
      </w:r>
      <w:r w:rsidRPr="00B60366">
        <w:rPr>
          <w:rFonts w:ascii="Times New Roman" w:hAnsi="Times New Roman" w:cs="Times New Roman"/>
          <w:b/>
          <w:bCs/>
          <w:color w:val="000000" w:themeColor="text1"/>
          <w:sz w:val="26"/>
          <w:szCs w:val="26"/>
        </w:rPr>
        <w:t>mployment generation details of</w:t>
      </w:r>
      <w:r>
        <w:rPr>
          <w:rFonts w:ascii="Times New Roman" w:hAnsi="Times New Roman" w:cs="Times New Roman"/>
          <w:b/>
          <w:bCs/>
          <w:color w:val="000000" w:themeColor="text1"/>
          <w:sz w:val="26"/>
          <w:szCs w:val="26"/>
        </w:rPr>
        <w:t xml:space="preserve"> </w:t>
      </w:r>
      <w:r w:rsidRPr="00B60366">
        <w:rPr>
          <w:rFonts w:ascii="Times New Roman" w:hAnsi="Times New Roman" w:cs="Times New Roman"/>
          <w:b/>
          <w:bCs/>
          <w:color w:val="000000" w:themeColor="text1"/>
          <w:sz w:val="26"/>
          <w:szCs w:val="26"/>
        </w:rPr>
        <w:t>KTR</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5637"/>
        <w:gridCol w:w="2484"/>
      </w:tblGrid>
      <w:tr w:rsidR="00161DD1" w:rsidRPr="00A14AF1" w14:paraId="78F490A3" w14:textId="77777777" w:rsidTr="004E4EEE">
        <w:trPr>
          <w:trHeight w:val="797"/>
        </w:trPr>
        <w:tc>
          <w:tcPr>
            <w:tcW w:w="662" w:type="pct"/>
            <w:tcBorders>
              <w:top w:val="single" w:sz="4" w:space="0" w:color="auto"/>
              <w:bottom w:val="single" w:sz="4" w:space="0" w:color="auto"/>
            </w:tcBorders>
            <w:hideMark/>
          </w:tcPr>
          <w:p w14:paraId="2451C0A6" w14:textId="77777777" w:rsidR="00161DD1" w:rsidRPr="00A14AF1" w:rsidRDefault="00161DD1" w:rsidP="00FB5FBB">
            <w:pPr>
              <w:spacing w:before="240" w:line="276" w:lineRule="auto"/>
              <w:jc w:val="both"/>
              <w:rPr>
                <w:rFonts w:ascii="Times New Roman" w:eastAsia="Times New Roman" w:hAnsi="Times New Roman" w:cs="Times New Roman"/>
                <w:b/>
                <w:bCs/>
                <w:color w:val="000000" w:themeColor="text1"/>
                <w:sz w:val="24"/>
                <w:szCs w:val="24"/>
                <w:lang w:val="en-IN" w:eastAsia="en-IN"/>
              </w:rPr>
            </w:pPr>
            <w:r w:rsidRPr="00A14AF1">
              <w:rPr>
                <w:rFonts w:ascii="Times New Roman" w:eastAsia="Times New Roman" w:hAnsi="Times New Roman" w:cs="Times New Roman"/>
                <w:b/>
                <w:bCs/>
                <w:color w:val="000000" w:themeColor="text1"/>
                <w:sz w:val="24"/>
                <w:szCs w:val="24"/>
                <w:lang w:eastAsia="en-IN"/>
              </w:rPr>
              <w:lastRenderedPageBreak/>
              <w:t>Sl. No</w:t>
            </w:r>
          </w:p>
        </w:tc>
        <w:tc>
          <w:tcPr>
            <w:tcW w:w="3011" w:type="pct"/>
            <w:tcBorders>
              <w:top w:val="single" w:sz="4" w:space="0" w:color="auto"/>
              <w:bottom w:val="single" w:sz="4" w:space="0" w:color="auto"/>
            </w:tcBorders>
            <w:hideMark/>
          </w:tcPr>
          <w:p w14:paraId="6F587904" w14:textId="77777777" w:rsidR="00161DD1" w:rsidRPr="00A14AF1" w:rsidRDefault="00161DD1" w:rsidP="00FB5FBB">
            <w:pPr>
              <w:spacing w:before="240" w:line="276" w:lineRule="auto"/>
              <w:jc w:val="both"/>
              <w:rPr>
                <w:rFonts w:ascii="Times New Roman" w:eastAsia="Times New Roman" w:hAnsi="Times New Roman" w:cs="Times New Roman"/>
                <w:b/>
                <w:bCs/>
                <w:color w:val="000000" w:themeColor="text1"/>
                <w:sz w:val="24"/>
                <w:szCs w:val="24"/>
                <w:lang w:val="en-IN" w:eastAsia="en-IN"/>
              </w:rPr>
            </w:pPr>
            <w:r w:rsidRPr="00A14AF1">
              <w:rPr>
                <w:rFonts w:ascii="Times New Roman" w:eastAsia="Times New Roman" w:hAnsi="Times New Roman" w:cs="Times New Roman"/>
                <w:b/>
                <w:bCs/>
                <w:color w:val="000000" w:themeColor="text1"/>
                <w:sz w:val="24"/>
                <w:szCs w:val="24"/>
                <w:lang w:eastAsia="en-IN"/>
              </w:rPr>
              <w:t>Type of employment</w:t>
            </w:r>
          </w:p>
        </w:tc>
        <w:tc>
          <w:tcPr>
            <w:tcW w:w="1327" w:type="pct"/>
            <w:tcBorders>
              <w:top w:val="single" w:sz="4" w:space="0" w:color="auto"/>
              <w:bottom w:val="single" w:sz="4" w:space="0" w:color="auto"/>
            </w:tcBorders>
            <w:hideMark/>
          </w:tcPr>
          <w:p w14:paraId="3027910E" w14:textId="77777777" w:rsidR="00161DD1" w:rsidRPr="00A14AF1" w:rsidRDefault="00161DD1" w:rsidP="00FB5FBB">
            <w:pPr>
              <w:spacing w:before="240" w:line="276" w:lineRule="auto"/>
              <w:jc w:val="both"/>
              <w:rPr>
                <w:rFonts w:ascii="Times New Roman" w:eastAsia="Times New Roman" w:hAnsi="Times New Roman" w:cs="Times New Roman"/>
                <w:b/>
                <w:bCs/>
                <w:color w:val="000000" w:themeColor="text1"/>
                <w:sz w:val="24"/>
                <w:szCs w:val="24"/>
                <w:lang w:val="en-IN" w:eastAsia="en-IN"/>
              </w:rPr>
            </w:pPr>
            <w:r w:rsidRPr="00A14AF1">
              <w:rPr>
                <w:rFonts w:ascii="Times New Roman" w:eastAsia="Times New Roman" w:hAnsi="Times New Roman" w:cs="Times New Roman"/>
                <w:b/>
                <w:bCs/>
                <w:color w:val="000000" w:themeColor="text1"/>
                <w:sz w:val="24"/>
                <w:szCs w:val="24"/>
                <w:lang w:eastAsia="en-IN"/>
              </w:rPr>
              <w:t>Number of employees</w:t>
            </w:r>
          </w:p>
        </w:tc>
      </w:tr>
      <w:tr w:rsidR="00161DD1" w:rsidRPr="00A14AF1" w14:paraId="0CE46ED8" w14:textId="77777777" w:rsidTr="004E4EEE">
        <w:trPr>
          <w:trHeight w:val="334"/>
        </w:trPr>
        <w:tc>
          <w:tcPr>
            <w:tcW w:w="662" w:type="pct"/>
            <w:tcBorders>
              <w:top w:val="single" w:sz="4" w:space="0" w:color="auto"/>
            </w:tcBorders>
            <w:hideMark/>
          </w:tcPr>
          <w:p w14:paraId="595DB327"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1</w:t>
            </w:r>
          </w:p>
        </w:tc>
        <w:tc>
          <w:tcPr>
            <w:tcW w:w="3011" w:type="pct"/>
            <w:tcBorders>
              <w:top w:val="single" w:sz="4" w:space="0" w:color="auto"/>
            </w:tcBorders>
            <w:hideMark/>
          </w:tcPr>
          <w:p w14:paraId="7AAEB568"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Base camp watchers</w:t>
            </w:r>
          </w:p>
        </w:tc>
        <w:tc>
          <w:tcPr>
            <w:tcW w:w="1327" w:type="pct"/>
            <w:tcBorders>
              <w:top w:val="single" w:sz="4" w:space="0" w:color="auto"/>
            </w:tcBorders>
            <w:hideMark/>
          </w:tcPr>
          <w:p w14:paraId="1B72599C"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163</w:t>
            </w:r>
          </w:p>
        </w:tc>
      </w:tr>
      <w:tr w:rsidR="00161DD1" w:rsidRPr="00A14AF1" w14:paraId="4C9C60C4" w14:textId="77777777" w:rsidTr="004E4EEE">
        <w:trPr>
          <w:trHeight w:val="370"/>
        </w:trPr>
        <w:tc>
          <w:tcPr>
            <w:tcW w:w="662" w:type="pct"/>
            <w:hideMark/>
          </w:tcPr>
          <w:p w14:paraId="327D1EA6"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2</w:t>
            </w:r>
          </w:p>
        </w:tc>
        <w:tc>
          <w:tcPr>
            <w:tcW w:w="3011" w:type="pct"/>
            <w:hideMark/>
          </w:tcPr>
          <w:p w14:paraId="050D9967"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Animal trackers</w:t>
            </w:r>
          </w:p>
        </w:tc>
        <w:tc>
          <w:tcPr>
            <w:tcW w:w="1327" w:type="pct"/>
            <w:hideMark/>
          </w:tcPr>
          <w:p w14:paraId="75C2C8C0"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10</w:t>
            </w:r>
          </w:p>
        </w:tc>
      </w:tr>
      <w:tr w:rsidR="00161DD1" w:rsidRPr="00A14AF1" w14:paraId="297F7E3D" w14:textId="77777777" w:rsidTr="004E4EEE">
        <w:trPr>
          <w:trHeight w:val="219"/>
        </w:trPr>
        <w:tc>
          <w:tcPr>
            <w:tcW w:w="662" w:type="pct"/>
            <w:hideMark/>
          </w:tcPr>
          <w:p w14:paraId="26391227"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3</w:t>
            </w:r>
          </w:p>
        </w:tc>
        <w:tc>
          <w:tcPr>
            <w:tcW w:w="3011" w:type="pct"/>
            <w:hideMark/>
          </w:tcPr>
          <w:p w14:paraId="767A1890"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Drivers</w:t>
            </w:r>
          </w:p>
        </w:tc>
        <w:tc>
          <w:tcPr>
            <w:tcW w:w="1327" w:type="pct"/>
            <w:hideMark/>
          </w:tcPr>
          <w:p w14:paraId="450D4792"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16</w:t>
            </w:r>
          </w:p>
        </w:tc>
      </w:tr>
      <w:tr w:rsidR="00161DD1" w:rsidRPr="00A14AF1" w14:paraId="70D852C0" w14:textId="77777777" w:rsidTr="004E4EEE">
        <w:trPr>
          <w:trHeight w:val="285"/>
        </w:trPr>
        <w:tc>
          <w:tcPr>
            <w:tcW w:w="662" w:type="pct"/>
            <w:hideMark/>
          </w:tcPr>
          <w:p w14:paraId="1B1AA79B"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4</w:t>
            </w:r>
          </w:p>
        </w:tc>
        <w:tc>
          <w:tcPr>
            <w:tcW w:w="3011" w:type="pct"/>
            <w:hideMark/>
          </w:tcPr>
          <w:p w14:paraId="689C96AF"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DEO's</w:t>
            </w:r>
          </w:p>
        </w:tc>
        <w:tc>
          <w:tcPr>
            <w:tcW w:w="1327" w:type="pct"/>
            <w:hideMark/>
          </w:tcPr>
          <w:p w14:paraId="5A4DAC50"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16</w:t>
            </w:r>
          </w:p>
        </w:tc>
      </w:tr>
      <w:tr w:rsidR="00161DD1" w:rsidRPr="00A14AF1" w14:paraId="35693F8D" w14:textId="77777777" w:rsidTr="004E4EEE">
        <w:trPr>
          <w:trHeight w:val="406"/>
        </w:trPr>
        <w:tc>
          <w:tcPr>
            <w:tcW w:w="662" w:type="pct"/>
            <w:hideMark/>
          </w:tcPr>
          <w:p w14:paraId="35EB79D9"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5</w:t>
            </w:r>
          </w:p>
        </w:tc>
        <w:tc>
          <w:tcPr>
            <w:tcW w:w="3011" w:type="pct"/>
            <w:hideMark/>
          </w:tcPr>
          <w:p w14:paraId="25AE5B77"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DPO's</w:t>
            </w:r>
          </w:p>
        </w:tc>
        <w:tc>
          <w:tcPr>
            <w:tcW w:w="1327" w:type="pct"/>
            <w:hideMark/>
          </w:tcPr>
          <w:p w14:paraId="2CF7B1B5"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2</w:t>
            </w:r>
          </w:p>
        </w:tc>
      </w:tr>
      <w:tr w:rsidR="00161DD1" w:rsidRPr="00A14AF1" w14:paraId="069F041C" w14:textId="77777777" w:rsidTr="004E4EEE">
        <w:trPr>
          <w:trHeight w:val="215"/>
        </w:trPr>
        <w:tc>
          <w:tcPr>
            <w:tcW w:w="662" w:type="pct"/>
            <w:hideMark/>
          </w:tcPr>
          <w:p w14:paraId="21B7D30D"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6</w:t>
            </w:r>
          </w:p>
        </w:tc>
        <w:tc>
          <w:tcPr>
            <w:tcW w:w="3011" w:type="pct"/>
            <w:hideMark/>
          </w:tcPr>
          <w:p w14:paraId="2428507F"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At check points</w:t>
            </w:r>
          </w:p>
        </w:tc>
        <w:tc>
          <w:tcPr>
            <w:tcW w:w="1327" w:type="pct"/>
            <w:hideMark/>
          </w:tcPr>
          <w:p w14:paraId="39A4E982"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6</w:t>
            </w:r>
          </w:p>
        </w:tc>
      </w:tr>
      <w:tr w:rsidR="00161DD1" w:rsidRPr="00A14AF1" w14:paraId="598C0905" w14:textId="77777777" w:rsidTr="004E4EEE">
        <w:trPr>
          <w:trHeight w:val="268"/>
        </w:trPr>
        <w:tc>
          <w:tcPr>
            <w:tcW w:w="662" w:type="pct"/>
            <w:hideMark/>
          </w:tcPr>
          <w:p w14:paraId="1D6D5E85"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7</w:t>
            </w:r>
          </w:p>
        </w:tc>
        <w:tc>
          <w:tcPr>
            <w:tcW w:w="3011" w:type="pct"/>
            <w:hideMark/>
          </w:tcPr>
          <w:p w14:paraId="07CFDE93"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At check posts</w:t>
            </w:r>
          </w:p>
        </w:tc>
        <w:tc>
          <w:tcPr>
            <w:tcW w:w="1327" w:type="pct"/>
            <w:hideMark/>
          </w:tcPr>
          <w:p w14:paraId="4C9A611A"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3</w:t>
            </w:r>
          </w:p>
        </w:tc>
      </w:tr>
      <w:tr w:rsidR="00161DD1" w:rsidRPr="00A14AF1" w14:paraId="7A9089E4" w14:textId="77777777" w:rsidTr="004E4EEE">
        <w:trPr>
          <w:trHeight w:val="477"/>
        </w:trPr>
        <w:tc>
          <w:tcPr>
            <w:tcW w:w="662" w:type="pct"/>
            <w:hideMark/>
          </w:tcPr>
          <w:p w14:paraId="6C42F834"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8</w:t>
            </w:r>
          </w:p>
        </w:tc>
        <w:tc>
          <w:tcPr>
            <w:tcW w:w="3011" w:type="pct"/>
            <w:hideMark/>
          </w:tcPr>
          <w:p w14:paraId="6038D89A"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TCF employees</w:t>
            </w:r>
          </w:p>
        </w:tc>
        <w:tc>
          <w:tcPr>
            <w:tcW w:w="1327" w:type="pct"/>
            <w:hideMark/>
          </w:tcPr>
          <w:p w14:paraId="7FDA7391"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3</w:t>
            </w:r>
          </w:p>
        </w:tc>
      </w:tr>
      <w:tr w:rsidR="00161DD1" w:rsidRPr="00A14AF1" w14:paraId="5348ED2B" w14:textId="77777777" w:rsidTr="004E4EEE">
        <w:trPr>
          <w:trHeight w:val="414"/>
        </w:trPr>
        <w:tc>
          <w:tcPr>
            <w:tcW w:w="662" w:type="pct"/>
            <w:hideMark/>
          </w:tcPr>
          <w:p w14:paraId="1606F8BA"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9</w:t>
            </w:r>
          </w:p>
        </w:tc>
        <w:tc>
          <w:tcPr>
            <w:tcW w:w="3011" w:type="pct"/>
            <w:hideMark/>
          </w:tcPr>
          <w:p w14:paraId="2480A5A7"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Anti-poaching squad</w:t>
            </w:r>
          </w:p>
        </w:tc>
        <w:tc>
          <w:tcPr>
            <w:tcW w:w="1327" w:type="pct"/>
            <w:hideMark/>
          </w:tcPr>
          <w:p w14:paraId="765FC657"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10</w:t>
            </w:r>
          </w:p>
        </w:tc>
      </w:tr>
      <w:tr w:rsidR="00161DD1" w:rsidRPr="00A14AF1" w14:paraId="1A0FC180" w14:textId="77777777" w:rsidTr="004E4EEE">
        <w:trPr>
          <w:trHeight w:val="419"/>
        </w:trPr>
        <w:tc>
          <w:tcPr>
            <w:tcW w:w="662" w:type="pct"/>
            <w:hideMark/>
          </w:tcPr>
          <w:p w14:paraId="2FBF6450"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10</w:t>
            </w:r>
          </w:p>
        </w:tc>
        <w:tc>
          <w:tcPr>
            <w:tcW w:w="3011" w:type="pct"/>
            <w:hideMark/>
          </w:tcPr>
          <w:p w14:paraId="5C7814CC"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Watcher</w:t>
            </w:r>
          </w:p>
        </w:tc>
        <w:tc>
          <w:tcPr>
            <w:tcW w:w="1327" w:type="pct"/>
            <w:hideMark/>
          </w:tcPr>
          <w:p w14:paraId="05C2B7BF"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w:t>
            </w:r>
          </w:p>
        </w:tc>
      </w:tr>
      <w:tr w:rsidR="00161DD1" w:rsidRPr="00A14AF1" w14:paraId="5F847B3D" w14:textId="77777777" w:rsidTr="004E4EEE">
        <w:trPr>
          <w:trHeight w:val="425"/>
        </w:trPr>
        <w:tc>
          <w:tcPr>
            <w:tcW w:w="662" w:type="pct"/>
            <w:hideMark/>
          </w:tcPr>
          <w:p w14:paraId="697F1E4B"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11</w:t>
            </w:r>
          </w:p>
        </w:tc>
        <w:tc>
          <w:tcPr>
            <w:tcW w:w="3011" w:type="pct"/>
            <w:hideMark/>
          </w:tcPr>
          <w:p w14:paraId="4CBA186F"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Eco-tourism drivers</w:t>
            </w:r>
          </w:p>
        </w:tc>
        <w:tc>
          <w:tcPr>
            <w:tcW w:w="1327" w:type="pct"/>
            <w:hideMark/>
          </w:tcPr>
          <w:p w14:paraId="1A483776"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5</w:t>
            </w:r>
          </w:p>
        </w:tc>
      </w:tr>
      <w:tr w:rsidR="00161DD1" w:rsidRPr="00A14AF1" w14:paraId="48A297C5" w14:textId="77777777" w:rsidTr="004E4EEE">
        <w:trPr>
          <w:trHeight w:val="417"/>
        </w:trPr>
        <w:tc>
          <w:tcPr>
            <w:tcW w:w="662" w:type="pct"/>
            <w:hideMark/>
          </w:tcPr>
          <w:p w14:paraId="7878B709"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12</w:t>
            </w:r>
          </w:p>
        </w:tc>
        <w:tc>
          <w:tcPr>
            <w:tcW w:w="3011" w:type="pct"/>
            <w:hideMark/>
          </w:tcPr>
          <w:p w14:paraId="4A12D958"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Rescue van driver</w:t>
            </w:r>
          </w:p>
        </w:tc>
        <w:tc>
          <w:tcPr>
            <w:tcW w:w="1327" w:type="pct"/>
            <w:hideMark/>
          </w:tcPr>
          <w:p w14:paraId="5028CF39"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w:t>
            </w:r>
          </w:p>
        </w:tc>
      </w:tr>
      <w:tr w:rsidR="00161DD1" w:rsidRPr="00A14AF1" w14:paraId="436DE22D" w14:textId="77777777" w:rsidTr="004E4EEE">
        <w:trPr>
          <w:trHeight w:val="395"/>
        </w:trPr>
        <w:tc>
          <w:tcPr>
            <w:tcW w:w="662" w:type="pct"/>
            <w:hideMark/>
          </w:tcPr>
          <w:p w14:paraId="20A54725"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13</w:t>
            </w:r>
          </w:p>
        </w:tc>
        <w:tc>
          <w:tcPr>
            <w:tcW w:w="3011" w:type="pct"/>
            <w:hideMark/>
          </w:tcPr>
          <w:p w14:paraId="7FA72377"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Gate watcher</w:t>
            </w:r>
          </w:p>
        </w:tc>
        <w:tc>
          <w:tcPr>
            <w:tcW w:w="1327" w:type="pct"/>
            <w:hideMark/>
          </w:tcPr>
          <w:p w14:paraId="4A0881F1"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w:t>
            </w:r>
          </w:p>
        </w:tc>
      </w:tr>
      <w:tr w:rsidR="00161DD1" w:rsidRPr="00A14AF1" w14:paraId="3F8DBC3C" w14:textId="77777777" w:rsidTr="004E4EEE">
        <w:trPr>
          <w:trHeight w:val="402"/>
        </w:trPr>
        <w:tc>
          <w:tcPr>
            <w:tcW w:w="662" w:type="pct"/>
            <w:hideMark/>
          </w:tcPr>
          <w:p w14:paraId="698ABA34"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14</w:t>
            </w:r>
          </w:p>
        </w:tc>
        <w:tc>
          <w:tcPr>
            <w:tcW w:w="3011" w:type="pct"/>
            <w:hideMark/>
          </w:tcPr>
          <w:p w14:paraId="0A163F46"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DRC cartmen</w:t>
            </w:r>
          </w:p>
        </w:tc>
        <w:tc>
          <w:tcPr>
            <w:tcW w:w="1327" w:type="pct"/>
            <w:hideMark/>
          </w:tcPr>
          <w:p w14:paraId="128626DE"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w:t>
            </w:r>
          </w:p>
        </w:tc>
      </w:tr>
      <w:tr w:rsidR="00161DD1" w:rsidRPr="00A14AF1" w14:paraId="76DAE21D" w14:textId="77777777" w:rsidTr="004E4EEE">
        <w:trPr>
          <w:trHeight w:val="407"/>
        </w:trPr>
        <w:tc>
          <w:tcPr>
            <w:tcW w:w="662" w:type="pct"/>
            <w:tcBorders>
              <w:bottom w:val="single" w:sz="4" w:space="0" w:color="auto"/>
            </w:tcBorders>
            <w:hideMark/>
          </w:tcPr>
          <w:p w14:paraId="3B7B1C5E"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15</w:t>
            </w:r>
          </w:p>
        </w:tc>
        <w:tc>
          <w:tcPr>
            <w:tcW w:w="3011" w:type="pct"/>
            <w:tcBorders>
              <w:bottom w:val="single" w:sz="4" w:space="0" w:color="auto"/>
            </w:tcBorders>
            <w:hideMark/>
          </w:tcPr>
          <w:p w14:paraId="7CFC226E"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Asst. DRC cartmen</w:t>
            </w:r>
          </w:p>
        </w:tc>
        <w:tc>
          <w:tcPr>
            <w:tcW w:w="1327" w:type="pct"/>
            <w:tcBorders>
              <w:bottom w:val="single" w:sz="4" w:space="0" w:color="auto"/>
            </w:tcBorders>
            <w:hideMark/>
          </w:tcPr>
          <w:p w14:paraId="6FC1BF75"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w:t>
            </w:r>
          </w:p>
        </w:tc>
      </w:tr>
      <w:tr w:rsidR="00161DD1" w:rsidRPr="00A14AF1" w14:paraId="3AE96DF1" w14:textId="77777777" w:rsidTr="004E4EEE">
        <w:trPr>
          <w:trHeight w:val="324"/>
        </w:trPr>
        <w:tc>
          <w:tcPr>
            <w:tcW w:w="3673" w:type="pct"/>
            <w:gridSpan w:val="2"/>
            <w:tcBorders>
              <w:top w:val="single" w:sz="4" w:space="0" w:color="auto"/>
              <w:bottom w:val="single" w:sz="4" w:space="0" w:color="auto"/>
            </w:tcBorders>
            <w:hideMark/>
          </w:tcPr>
          <w:p w14:paraId="4621610E" w14:textId="77777777" w:rsidR="00161DD1" w:rsidRPr="00A14AF1" w:rsidRDefault="00161DD1" w:rsidP="00FB5FBB">
            <w:pPr>
              <w:spacing w:before="240" w:line="276" w:lineRule="auto"/>
              <w:jc w:val="right"/>
              <w:rPr>
                <w:rFonts w:ascii="Times New Roman" w:eastAsia="Times New Roman" w:hAnsi="Times New Roman" w:cs="Times New Roman"/>
                <w:b/>
                <w:bCs/>
                <w:color w:val="000000" w:themeColor="text1"/>
                <w:sz w:val="24"/>
                <w:szCs w:val="24"/>
                <w:lang w:val="en-IN" w:eastAsia="en-IN"/>
              </w:rPr>
            </w:pPr>
            <w:r w:rsidRPr="00A14AF1">
              <w:rPr>
                <w:rFonts w:ascii="Times New Roman" w:eastAsia="Times New Roman" w:hAnsi="Times New Roman" w:cs="Times New Roman"/>
                <w:b/>
                <w:bCs/>
                <w:color w:val="000000" w:themeColor="text1"/>
                <w:sz w:val="24"/>
                <w:szCs w:val="24"/>
                <w:lang w:eastAsia="en-IN"/>
              </w:rPr>
              <w:t>Total</w:t>
            </w:r>
          </w:p>
        </w:tc>
        <w:tc>
          <w:tcPr>
            <w:tcW w:w="1327" w:type="pct"/>
            <w:tcBorders>
              <w:top w:val="single" w:sz="4" w:space="0" w:color="auto"/>
              <w:bottom w:val="single" w:sz="4" w:space="0" w:color="auto"/>
            </w:tcBorders>
            <w:hideMark/>
          </w:tcPr>
          <w:p w14:paraId="09952CEE" w14:textId="77777777" w:rsidR="00161DD1" w:rsidRPr="00A14AF1" w:rsidRDefault="00161DD1" w:rsidP="00FB5FBB">
            <w:pPr>
              <w:spacing w:before="240" w:line="276" w:lineRule="auto"/>
              <w:jc w:val="both"/>
              <w:rPr>
                <w:rFonts w:ascii="Times New Roman" w:eastAsia="Times New Roman" w:hAnsi="Times New Roman" w:cs="Times New Roman"/>
                <w:b/>
                <w:bCs/>
                <w:color w:val="000000" w:themeColor="text1"/>
                <w:sz w:val="24"/>
                <w:szCs w:val="24"/>
                <w:lang w:val="en-IN" w:eastAsia="en-IN"/>
              </w:rPr>
            </w:pPr>
            <w:r w:rsidRPr="00A14AF1">
              <w:rPr>
                <w:rFonts w:ascii="Times New Roman" w:eastAsia="Times New Roman" w:hAnsi="Times New Roman" w:cs="Times New Roman"/>
                <w:b/>
                <w:bCs/>
                <w:color w:val="000000" w:themeColor="text1"/>
                <w:sz w:val="24"/>
                <w:szCs w:val="24"/>
                <w:lang w:val="en-IN" w:eastAsia="en-IN"/>
              </w:rPr>
              <w:t>239</w:t>
            </w:r>
          </w:p>
        </w:tc>
      </w:tr>
    </w:tbl>
    <w:p w14:paraId="07319B36" w14:textId="77777777" w:rsidR="00161DD1" w:rsidRPr="0097402F" w:rsidRDefault="00161DD1" w:rsidP="00FB5FBB">
      <w:pPr>
        <w:spacing w:before="240"/>
        <w:jc w:val="both"/>
        <w:rPr>
          <w:rFonts w:ascii="Times New Roman" w:hAnsi="Times New Roman" w:cs="Times New Roman"/>
          <w:sz w:val="24"/>
          <w:szCs w:val="24"/>
        </w:rPr>
      </w:pPr>
    </w:p>
    <w:p w14:paraId="273D4DD2" w14:textId="77777777" w:rsidR="0097402F" w:rsidRDefault="0097402F" w:rsidP="00FB5FBB">
      <w:pPr>
        <w:spacing w:before="240"/>
        <w:jc w:val="both"/>
        <w:rPr>
          <w:rFonts w:ascii="Times New Roman" w:hAnsi="Times New Roman" w:cs="Times New Roman"/>
          <w:sz w:val="24"/>
          <w:szCs w:val="24"/>
        </w:rPr>
      </w:pPr>
      <w:r w:rsidRPr="0097402F">
        <w:rPr>
          <w:rFonts w:ascii="Times New Roman" w:hAnsi="Times New Roman" w:cs="Times New Roman"/>
          <w:sz w:val="24"/>
          <w:szCs w:val="24"/>
        </w:rPr>
        <w:t xml:space="preserve">Overall, the results demonstrate that employment generation constitutes a core conservation outcome of </w:t>
      </w:r>
      <w:proofErr w:type="spellStart"/>
      <w:r w:rsidRPr="0097402F">
        <w:rPr>
          <w:rFonts w:ascii="Times New Roman" w:hAnsi="Times New Roman" w:cs="Times New Roman"/>
          <w:sz w:val="24"/>
          <w:szCs w:val="24"/>
        </w:rPr>
        <w:t>Kawal</w:t>
      </w:r>
      <w:proofErr w:type="spellEnd"/>
      <w:r w:rsidRPr="0097402F">
        <w:rPr>
          <w:rFonts w:ascii="Times New Roman" w:hAnsi="Times New Roman" w:cs="Times New Roman"/>
          <w:sz w:val="24"/>
          <w:szCs w:val="24"/>
        </w:rPr>
        <w:t xml:space="preserve"> Tiger Reserve, rather than a peripheral benefit, underscoring its importance within the ecosystem services framework and protected area governance.</w:t>
      </w:r>
    </w:p>
    <w:p w14:paraId="6BBC918C" w14:textId="2639F5D4" w:rsidR="003B7927" w:rsidRDefault="003B7927" w:rsidP="00FB5FBB">
      <w:pPr>
        <w:spacing w:before="240"/>
        <w:jc w:val="both"/>
        <w:rPr>
          <w:rFonts w:ascii="Times New Roman" w:hAnsi="Times New Roman" w:cs="Times New Roman"/>
          <w:sz w:val="24"/>
          <w:szCs w:val="24"/>
        </w:rPr>
      </w:pPr>
      <w:r w:rsidRPr="003B7927">
        <w:rPr>
          <w:rFonts w:ascii="Times New Roman" w:hAnsi="Times New Roman" w:cs="Times New Roman"/>
          <w:sz w:val="24"/>
          <w:szCs w:val="24"/>
        </w:rPr>
        <w:t xml:space="preserve">These findings corroborate evidence from India and other tropical countries that conservation-linked employment enhances local support for protected   areas   when   livelihood   benefits   are visible and equitably distributed (De </w:t>
      </w:r>
      <w:proofErr w:type="spellStart"/>
      <w:r w:rsidRPr="003B7927">
        <w:rPr>
          <w:rFonts w:ascii="Times New Roman" w:hAnsi="Times New Roman" w:cs="Times New Roman"/>
          <w:sz w:val="24"/>
          <w:szCs w:val="24"/>
        </w:rPr>
        <w:t>Zoysa</w:t>
      </w:r>
      <w:proofErr w:type="spellEnd"/>
      <w:r w:rsidRPr="003B7927">
        <w:rPr>
          <w:rFonts w:ascii="Times New Roman" w:hAnsi="Times New Roman" w:cs="Times New Roman"/>
          <w:sz w:val="24"/>
          <w:szCs w:val="24"/>
        </w:rPr>
        <w:t>, 2022; Verma et al., 2019; Bhushan et al., 2024)</w:t>
      </w:r>
      <w:r w:rsidR="00A162B3">
        <w:rPr>
          <w:rFonts w:ascii="Times New Roman" w:hAnsi="Times New Roman" w:cs="Times New Roman"/>
          <w:sz w:val="24"/>
          <w:szCs w:val="24"/>
        </w:rPr>
        <w:t>.</w:t>
      </w:r>
    </w:p>
    <w:p w14:paraId="6E5823A6" w14:textId="77777777" w:rsidR="00A162B3" w:rsidRPr="00A162B3" w:rsidRDefault="00A162B3" w:rsidP="00FB5FBB">
      <w:pPr>
        <w:spacing w:before="240"/>
        <w:jc w:val="both"/>
        <w:rPr>
          <w:rFonts w:ascii="Times New Roman" w:hAnsi="Times New Roman" w:cs="Times New Roman"/>
          <w:sz w:val="24"/>
          <w:szCs w:val="24"/>
        </w:rPr>
      </w:pPr>
      <w:r w:rsidRPr="00A162B3">
        <w:rPr>
          <w:rFonts w:ascii="Times New Roman" w:hAnsi="Times New Roman" w:cs="Times New Roman"/>
          <w:sz w:val="24"/>
          <w:szCs w:val="24"/>
        </w:rPr>
        <w:lastRenderedPageBreak/>
        <w:t xml:space="preserve">The employment generated by </w:t>
      </w:r>
      <w:proofErr w:type="spellStart"/>
      <w:r w:rsidRPr="00A162B3">
        <w:rPr>
          <w:rFonts w:ascii="Times New Roman" w:hAnsi="Times New Roman" w:cs="Times New Roman"/>
          <w:sz w:val="24"/>
          <w:szCs w:val="24"/>
        </w:rPr>
        <w:t>Kawal</w:t>
      </w:r>
      <w:proofErr w:type="spellEnd"/>
      <w:r w:rsidRPr="00A162B3">
        <w:rPr>
          <w:rFonts w:ascii="Times New Roman" w:hAnsi="Times New Roman" w:cs="Times New Roman"/>
          <w:sz w:val="24"/>
          <w:szCs w:val="24"/>
        </w:rPr>
        <w:t xml:space="preserve"> Tiger Reserve (KTR) contributes not only to household income but also to broader socio-ecological outcomes within the reserve landscape. Regular wage employment through forest protection, anti-poaching activities, wildlife monitoring, and ecotourism services reduces local dependence on extractive forest uses such as fuelwood collection, grazing, and illicit non-timber forest product (NTFP) harvesting. This indirect conservation benefit is well documented in community-based conservation literature and highlights the role of employment as a mechanism for reducing anthropogenic pressure on forest resources (</w:t>
      </w:r>
      <w:proofErr w:type="spellStart"/>
      <w:r w:rsidRPr="00A162B3">
        <w:rPr>
          <w:rFonts w:ascii="Times New Roman" w:hAnsi="Times New Roman" w:cs="Times New Roman"/>
          <w:sz w:val="24"/>
          <w:szCs w:val="24"/>
        </w:rPr>
        <w:t>Alam</w:t>
      </w:r>
      <w:proofErr w:type="spellEnd"/>
      <w:r w:rsidRPr="00A162B3">
        <w:rPr>
          <w:rFonts w:ascii="Times New Roman" w:hAnsi="Times New Roman" w:cs="Times New Roman"/>
          <w:sz w:val="24"/>
          <w:szCs w:val="24"/>
        </w:rPr>
        <w:t xml:space="preserve"> &amp; Nayak, 2025).</w:t>
      </w:r>
    </w:p>
    <w:p w14:paraId="465C7976" w14:textId="77777777" w:rsidR="00A162B3" w:rsidRPr="00A162B3" w:rsidRDefault="00A162B3" w:rsidP="00FB5FBB">
      <w:pPr>
        <w:spacing w:before="240"/>
        <w:jc w:val="both"/>
        <w:rPr>
          <w:rFonts w:ascii="Times New Roman" w:hAnsi="Times New Roman" w:cs="Times New Roman"/>
          <w:sz w:val="24"/>
          <w:szCs w:val="24"/>
        </w:rPr>
      </w:pPr>
      <w:r w:rsidRPr="00A162B3">
        <w:rPr>
          <w:rFonts w:ascii="Times New Roman" w:hAnsi="Times New Roman" w:cs="Times New Roman"/>
          <w:sz w:val="24"/>
          <w:szCs w:val="24"/>
        </w:rPr>
        <w:t xml:space="preserve">In addition to income support, conservation-linked employment in KTR enhances conservation awareness, skill development, and institutional trust between the Forest Department and local communities. Frontline workers, including base camp watchers, animal trackers, and anti-poaching staff, function as crucial intermediaries between management authorities and forest-fringe villages. Through daily interactions, they facilitate conflict resolution, improve communication, and promote compliance with conservation regulations. Such social capital formation represents a critical yet often under-valued ecosystem service provided by protected areas (De </w:t>
      </w:r>
      <w:proofErr w:type="spellStart"/>
      <w:r w:rsidRPr="00A162B3">
        <w:rPr>
          <w:rFonts w:ascii="Times New Roman" w:hAnsi="Times New Roman" w:cs="Times New Roman"/>
          <w:sz w:val="24"/>
          <w:szCs w:val="24"/>
        </w:rPr>
        <w:t>Zoysa</w:t>
      </w:r>
      <w:proofErr w:type="spellEnd"/>
      <w:r w:rsidRPr="00A162B3">
        <w:rPr>
          <w:rFonts w:ascii="Times New Roman" w:hAnsi="Times New Roman" w:cs="Times New Roman"/>
          <w:sz w:val="24"/>
          <w:szCs w:val="24"/>
        </w:rPr>
        <w:t>, 2022).</w:t>
      </w:r>
    </w:p>
    <w:p w14:paraId="64AC7BE8" w14:textId="02167F3E" w:rsidR="00A162B3" w:rsidRDefault="00A162B3" w:rsidP="00FB5FBB">
      <w:pPr>
        <w:spacing w:before="240"/>
        <w:jc w:val="both"/>
        <w:rPr>
          <w:rFonts w:ascii="Times New Roman" w:hAnsi="Times New Roman" w:cs="Times New Roman"/>
          <w:sz w:val="24"/>
          <w:szCs w:val="24"/>
        </w:rPr>
      </w:pPr>
      <w:r w:rsidRPr="00A162B3">
        <w:rPr>
          <w:rFonts w:ascii="Times New Roman" w:hAnsi="Times New Roman" w:cs="Times New Roman"/>
          <w:sz w:val="24"/>
          <w:szCs w:val="24"/>
        </w:rPr>
        <w:t xml:space="preserve">The results underscore that employment generation in KTR should be </w:t>
      </w:r>
      <w:proofErr w:type="spellStart"/>
      <w:r w:rsidRPr="00A162B3">
        <w:rPr>
          <w:rFonts w:ascii="Times New Roman" w:hAnsi="Times New Roman" w:cs="Times New Roman"/>
          <w:sz w:val="24"/>
          <w:szCs w:val="24"/>
        </w:rPr>
        <w:t>recognised</w:t>
      </w:r>
      <w:proofErr w:type="spellEnd"/>
      <w:r w:rsidRPr="00A162B3">
        <w:rPr>
          <w:rFonts w:ascii="Times New Roman" w:hAnsi="Times New Roman" w:cs="Times New Roman"/>
          <w:sz w:val="24"/>
          <w:szCs w:val="24"/>
        </w:rPr>
        <w:t xml:space="preserve"> as a core conservation outcome, rather than a peripheral or incidental benefit of protected area management. Strengthening local recruitment, expanding ecotourism-based livelihood opportunities, and ensuring equitable and fair wage structures can further enhance the socio-economic legitimacy of </w:t>
      </w:r>
      <w:proofErr w:type="spellStart"/>
      <w:r w:rsidRPr="00A162B3">
        <w:rPr>
          <w:rFonts w:ascii="Times New Roman" w:hAnsi="Times New Roman" w:cs="Times New Roman"/>
          <w:sz w:val="24"/>
          <w:szCs w:val="24"/>
        </w:rPr>
        <w:t>Kawal</w:t>
      </w:r>
      <w:proofErr w:type="spellEnd"/>
      <w:r w:rsidRPr="00A162B3">
        <w:rPr>
          <w:rFonts w:ascii="Times New Roman" w:hAnsi="Times New Roman" w:cs="Times New Roman"/>
          <w:sz w:val="24"/>
          <w:szCs w:val="24"/>
        </w:rPr>
        <w:t xml:space="preserve"> Tiger Reserve. Integrating employment-related indicators into management effectiveness evaluation frameworks would enable a more holistic assessment of tiger reserves, aligning biodiversity conservation objectives with broader sustainable development goals.</w:t>
      </w:r>
    </w:p>
    <w:p w14:paraId="2CC80C70" w14:textId="0650C5AE" w:rsidR="00400DB4" w:rsidRPr="00712D79" w:rsidRDefault="00400DB4" w:rsidP="00FB5FBB">
      <w:pPr>
        <w:spacing w:before="240"/>
        <w:jc w:val="both"/>
        <w:rPr>
          <w:rFonts w:ascii="Times New Roman" w:hAnsi="Times New Roman" w:cs="Times New Roman"/>
          <w:b/>
          <w:bCs/>
          <w:sz w:val="24"/>
          <w:szCs w:val="24"/>
        </w:rPr>
      </w:pPr>
      <w:r w:rsidRPr="00712D79">
        <w:rPr>
          <w:rFonts w:ascii="Times New Roman" w:hAnsi="Times New Roman" w:cs="Times New Roman"/>
          <w:b/>
          <w:bCs/>
          <w:sz w:val="24"/>
          <w:szCs w:val="24"/>
        </w:rPr>
        <w:t>4. Conclusion:</w:t>
      </w:r>
    </w:p>
    <w:p w14:paraId="15654D58" w14:textId="538D1AF2" w:rsidR="004F4101" w:rsidRPr="004F4101" w:rsidRDefault="004F4101" w:rsidP="004F4101">
      <w:pPr>
        <w:spacing w:before="240"/>
        <w:jc w:val="both"/>
        <w:rPr>
          <w:rFonts w:ascii="Times New Roman" w:hAnsi="Times New Roman" w:cs="Times New Roman"/>
          <w:sz w:val="24"/>
          <w:szCs w:val="24"/>
        </w:rPr>
      </w:pPr>
      <w:r w:rsidRPr="004F4101">
        <w:rPr>
          <w:rFonts w:ascii="Times New Roman" w:hAnsi="Times New Roman" w:cs="Times New Roman"/>
          <w:sz w:val="24"/>
          <w:szCs w:val="24"/>
        </w:rPr>
        <w:t>Th</w:t>
      </w:r>
      <w:r>
        <w:rPr>
          <w:rFonts w:ascii="Times New Roman" w:hAnsi="Times New Roman" w:cs="Times New Roman"/>
          <w:sz w:val="24"/>
          <w:szCs w:val="24"/>
        </w:rPr>
        <w:t>e current</w:t>
      </w:r>
      <w:r w:rsidRPr="004F4101">
        <w:rPr>
          <w:rFonts w:ascii="Times New Roman" w:hAnsi="Times New Roman" w:cs="Times New Roman"/>
          <w:sz w:val="24"/>
          <w:szCs w:val="24"/>
        </w:rPr>
        <w:t xml:space="preserve"> study establishes that employment generation constitutes a significant and quantifiable direct-use ecosystem service of </w:t>
      </w:r>
      <w:proofErr w:type="spellStart"/>
      <w:r w:rsidRPr="004F4101">
        <w:rPr>
          <w:rFonts w:ascii="Times New Roman" w:hAnsi="Times New Roman" w:cs="Times New Roman"/>
          <w:sz w:val="24"/>
          <w:szCs w:val="24"/>
        </w:rPr>
        <w:t>Kawal</w:t>
      </w:r>
      <w:proofErr w:type="spellEnd"/>
      <w:r w:rsidRPr="004F4101">
        <w:rPr>
          <w:rFonts w:ascii="Times New Roman" w:hAnsi="Times New Roman" w:cs="Times New Roman"/>
          <w:sz w:val="24"/>
          <w:szCs w:val="24"/>
        </w:rPr>
        <w:t xml:space="preserve"> Tiger Reserve. The reserve provided 239 conservation-linked employment opportunities across four divisions, with frontline roles</w:t>
      </w:r>
      <w:r>
        <w:rPr>
          <w:rFonts w:ascii="Times New Roman" w:hAnsi="Times New Roman" w:cs="Times New Roman"/>
          <w:sz w:val="24"/>
          <w:szCs w:val="24"/>
        </w:rPr>
        <w:t xml:space="preserve"> </w:t>
      </w:r>
      <w:r w:rsidRPr="004F4101">
        <w:rPr>
          <w:rFonts w:ascii="Times New Roman" w:hAnsi="Times New Roman" w:cs="Times New Roman"/>
          <w:sz w:val="24"/>
          <w:szCs w:val="24"/>
        </w:rPr>
        <w:t>particularly base camp watchers</w:t>
      </w:r>
      <w:r>
        <w:rPr>
          <w:rFonts w:ascii="Times New Roman" w:hAnsi="Times New Roman" w:cs="Times New Roman"/>
          <w:sz w:val="24"/>
          <w:szCs w:val="24"/>
        </w:rPr>
        <w:t xml:space="preserve"> </w:t>
      </w:r>
      <w:r w:rsidRPr="004F4101">
        <w:rPr>
          <w:rFonts w:ascii="Times New Roman" w:hAnsi="Times New Roman" w:cs="Times New Roman"/>
          <w:sz w:val="24"/>
          <w:szCs w:val="24"/>
        </w:rPr>
        <w:t>dominating the employment structure. The findings confirm that tiger reserve management in India remains fundamentally labor-intensive and heavily reliant on sustained field-level human engagement.</w:t>
      </w:r>
    </w:p>
    <w:p w14:paraId="56E438B4" w14:textId="7178DA39" w:rsidR="004F4101" w:rsidRPr="004F4101" w:rsidRDefault="004F4101" w:rsidP="004F4101">
      <w:pPr>
        <w:spacing w:before="240"/>
        <w:jc w:val="both"/>
        <w:rPr>
          <w:rFonts w:ascii="Times New Roman" w:hAnsi="Times New Roman" w:cs="Times New Roman"/>
          <w:sz w:val="24"/>
          <w:szCs w:val="24"/>
        </w:rPr>
      </w:pPr>
      <w:r w:rsidRPr="004F4101">
        <w:rPr>
          <w:rFonts w:ascii="Times New Roman" w:hAnsi="Times New Roman" w:cs="Times New Roman"/>
          <w:sz w:val="24"/>
          <w:szCs w:val="24"/>
        </w:rPr>
        <w:t xml:space="preserve">The results support broader conservation literature indicating that livelihood integration enhances protected area legitimacy and long-term sustainability (Verma </w:t>
      </w:r>
      <w:r w:rsidRPr="004F4101">
        <w:rPr>
          <w:rFonts w:ascii="Times New Roman" w:hAnsi="Times New Roman" w:cs="Times New Roman"/>
          <w:i/>
          <w:iCs/>
          <w:sz w:val="24"/>
          <w:szCs w:val="24"/>
        </w:rPr>
        <w:t>et al.,</w:t>
      </w:r>
      <w:r w:rsidRPr="004F4101">
        <w:rPr>
          <w:rFonts w:ascii="Times New Roman" w:hAnsi="Times New Roman" w:cs="Times New Roman"/>
          <w:sz w:val="24"/>
          <w:szCs w:val="24"/>
        </w:rPr>
        <w:t xml:space="preserve"> 2019; Ward </w:t>
      </w:r>
      <w:r w:rsidRPr="004F4101">
        <w:rPr>
          <w:rFonts w:ascii="Times New Roman" w:hAnsi="Times New Roman" w:cs="Times New Roman"/>
          <w:i/>
          <w:iCs/>
          <w:sz w:val="24"/>
          <w:szCs w:val="24"/>
        </w:rPr>
        <w:t>et al.,</w:t>
      </w:r>
      <w:r w:rsidRPr="004F4101">
        <w:rPr>
          <w:rFonts w:ascii="Times New Roman" w:hAnsi="Times New Roman" w:cs="Times New Roman"/>
          <w:sz w:val="24"/>
          <w:szCs w:val="24"/>
        </w:rPr>
        <w:t xml:space="preserve"> 2018). By providing accessible wage employment to forest-dependent and tribal communities, KTR reduces extractive pressure on forest resources and strengthens conservation compliance. Employment thus functions not only as an economic benefit but also as a governance tool reinforcing biodiversity protection.</w:t>
      </w:r>
      <w:r>
        <w:rPr>
          <w:rFonts w:ascii="Times New Roman" w:hAnsi="Times New Roman" w:cs="Times New Roman"/>
          <w:sz w:val="24"/>
          <w:szCs w:val="24"/>
        </w:rPr>
        <w:t xml:space="preserve"> </w:t>
      </w:r>
      <w:r w:rsidRPr="004F4101">
        <w:rPr>
          <w:rFonts w:ascii="Times New Roman" w:hAnsi="Times New Roman" w:cs="Times New Roman"/>
          <w:sz w:val="24"/>
          <w:szCs w:val="24"/>
        </w:rPr>
        <w:t xml:space="preserve">Theoretically, the study advances the ecosystem services discourse by operationalizing employment as a measurable direct-use service within protected area systems. </w:t>
      </w:r>
      <w:r w:rsidRPr="004F4101">
        <w:rPr>
          <w:rFonts w:ascii="Times New Roman" w:hAnsi="Times New Roman" w:cs="Times New Roman"/>
          <w:sz w:val="24"/>
          <w:szCs w:val="24"/>
        </w:rPr>
        <w:lastRenderedPageBreak/>
        <w:t>Practically, it highlights the need to integrate socio-economic indicators into conservation performance assessment frameworks.</w:t>
      </w:r>
    </w:p>
    <w:p w14:paraId="0C602E15" w14:textId="1A59F392" w:rsidR="004F4101" w:rsidRDefault="004F4101" w:rsidP="004F4101">
      <w:pPr>
        <w:spacing w:before="240"/>
        <w:jc w:val="both"/>
        <w:rPr>
          <w:rFonts w:ascii="Times New Roman" w:hAnsi="Times New Roman" w:cs="Times New Roman"/>
          <w:sz w:val="24"/>
          <w:szCs w:val="24"/>
        </w:rPr>
      </w:pPr>
      <w:r w:rsidRPr="004F4101">
        <w:rPr>
          <w:rFonts w:ascii="Times New Roman" w:hAnsi="Times New Roman" w:cs="Times New Roman"/>
          <w:sz w:val="24"/>
          <w:szCs w:val="24"/>
        </w:rPr>
        <w:t>Recognizing employment generation as a core conservation outcome</w:t>
      </w:r>
      <w:r>
        <w:rPr>
          <w:rFonts w:ascii="Times New Roman" w:hAnsi="Times New Roman" w:cs="Times New Roman"/>
          <w:sz w:val="24"/>
          <w:szCs w:val="24"/>
        </w:rPr>
        <w:t xml:space="preserve"> </w:t>
      </w:r>
      <w:r w:rsidRPr="004F4101">
        <w:rPr>
          <w:rFonts w:ascii="Times New Roman" w:hAnsi="Times New Roman" w:cs="Times New Roman"/>
          <w:sz w:val="24"/>
          <w:szCs w:val="24"/>
        </w:rPr>
        <w:t>rather than a peripheral by-product</w:t>
      </w:r>
      <w:r>
        <w:rPr>
          <w:rFonts w:ascii="Times New Roman" w:hAnsi="Times New Roman" w:cs="Times New Roman"/>
          <w:sz w:val="24"/>
          <w:szCs w:val="24"/>
        </w:rPr>
        <w:t xml:space="preserve"> </w:t>
      </w:r>
      <w:r w:rsidRPr="004F4101">
        <w:rPr>
          <w:rFonts w:ascii="Times New Roman" w:hAnsi="Times New Roman" w:cs="Times New Roman"/>
          <w:sz w:val="24"/>
          <w:szCs w:val="24"/>
        </w:rPr>
        <w:t>enables a more holistic understanding of protected areas as socio-ecological systems that simultaneously support biodiversity conservation and rural development. Strengthening this integration is essential for achieving sustainable and socially inclusive conservation in India and beyond.</w:t>
      </w:r>
    </w:p>
    <w:p w14:paraId="0DC0CC80" w14:textId="77777777" w:rsidR="001B3240" w:rsidRDefault="001B3240" w:rsidP="001B3240">
      <w:pPr>
        <w:spacing w:before="240"/>
        <w:jc w:val="both"/>
        <w:rPr>
          <w:rFonts w:ascii="Times New Roman" w:hAnsi="Times New Roman" w:cs="Times New Roman"/>
          <w:b/>
          <w:bCs/>
          <w:sz w:val="24"/>
          <w:szCs w:val="24"/>
        </w:rPr>
      </w:pPr>
      <w:r w:rsidRPr="001B3240">
        <w:rPr>
          <w:rFonts w:ascii="Times New Roman" w:hAnsi="Times New Roman" w:cs="Times New Roman"/>
          <w:b/>
          <w:bCs/>
          <w:sz w:val="24"/>
          <w:szCs w:val="24"/>
        </w:rPr>
        <w:t>Limitations:</w:t>
      </w:r>
    </w:p>
    <w:p w14:paraId="3DC4F872" w14:textId="38720E89" w:rsidR="001B3240" w:rsidRPr="001B3240" w:rsidRDefault="001B3240" w:rsidP="001B3240">
      <w:pPr>
        <w:spacing w:before="240"/>
        <w:jc w:val="both"/>
        <w:rPr>
          <w:rFonts w:ascii="Times New Roman" w:hAnsi="Times New Roman" w:cs="Times New Roman"/>
          <w:sz w:val="24"/>
          <w:szCs w:val="24"/>
        </w:rPr>
      </w:pPr>
      <w:r w:rsidRPr="001B3240">
        <w:rPr>
          <w:rFonts w:ascii="Times New Roman" w:hAnsi="Times New Roman" w:cs="Times New Roman"/>
          <w:sz w:val="24"/>
          <w:szCs w:val="24"/>
        </w:rPr>
        <w:t>The study considers only direct conservation-linked employment and does not account for indirect or multiplier economic effects. Household-level income dependence and wage adequacy were not assessed through primary socio-economic surveys. The analysis is limited to the 2023–2025 period and therefore does not capture long-term employment trends. Additionally, as the study focuses on a single tiger reserve, the findings may have limited generalizability to other protected areas.</w:t>
      </w:r>
    </w:p>
    <w:p w14:paraId="43B1E517" w14:textId="77777777" w:rsidR="001B3240" w:rsidRDefault="001B3240" w:rsidP="001B3240">
      <w:pPr>
        <w:spacing w:before="240"/>
        <w:jc w:val="both"/>
        <w:rPr>
          <w:rFonts w:ascii="Times New Roman" w:hAnsi="Times New Roman" w:cs="Times New Roman"/>
          <w:b/>
          <w:bCs/>
          <w:sz w:val="24"/>
          <w:szCs w:val="24"/>
        </w:rPr>
      </w:pPr>
      <w:r w:rsidRPr="001B3240">
        <w:rPr>
          <w:rFonts w:ascii="Times New Roman" w:hAnsi="Times New Roman" w:cs="Times New Roman"/>
          <w:b/>
          <w:bCs/>
          <w:sz w:val="24"/>
          <w:szCs w:val="24"/>
        </w:rPr>
        <w:t>Scope for Future Research:</w:t>
      </w:r>
    </w:p>
    <w:p w14:paraId="487BF220" w14:textId="1AAE6BD0" w:rsidR="001B3240" w:rsidRPr="001B3240" w:rsidRDefault="001B3240" w:rsidP="001B3240">
      <w:pPr>
        <w:spacing w:before="240"/>
        <w:jc w:val="both"/>
        <w:rPr>
          <w:rFonts w:ascii="Times New Roman" w:hAnsi="Times New Roman" w:cs="Times New Roman"/>
          <w:sz w:val="24"/>
          <w:szCs w:val="24"/>
        </w:rPr>
      </w:pPr>
      <w:r w:rsidRPr="001B3240">
        <w:rPr>
          <w:rFonts w:ascii="Times New Roman" w:hAnsi="Times New Roman" w:cs="Times New Roman"/>
          <w:sz w:val="24"/>
          <w:szCs w:val="24"/>
        </w:rPr>
        <w:t>Future research may examine household-level income contributions and poverty reduction impacts of conservation-linked employment. Economic valuation and multiplier analyses could quantify broader regional economic benefits. Comparative studies across multiple tiger reserves would improve generalizability and policy relevance. Further research linking employment intensity with ecological performance indicators would strengthen understanding of conservation outcomes.</w:t>
      </w:r>
    </w:p>
    <w:p w14:paraId="78BE9F57" w14:textId="77777777" w:rsidR="001B3240" w:rsidRPr="004F4101" w:rsidRDefault="001B3240" w:rsidP="004F4101">
      <w:pPr>
        <w:spacing w:before="240"/>
        <w:jc w:val="both"/>
        <w:rPr>
          <w:rFonts w:ascii="Times New Roman" w:hAnsi="Times New Roman" w:cs="Times New Roman"/>
          <w:sz w:val="24"/>
          <w:szCs w:val="24"/>
        </w:rPr>
      </w:pPr>
    </w:p>
    <w:p w14:paraId="0249B944" w14:textId="77777777" w:rsidR="001B3240" w:rsidRPr="004066A7" w:rsidRDefault="001B3240" w:rsidP="001B3240">
      <w:pPr>
        <w:pStyle w:val="NoSpacing"/>
        <w:rPr>
          <w:rFonts w:ascii="Times New Roman" w:hAnsi="Times New Roman" w:cs="Times New Roman"/>
          <w:b/>
          <w:bCs/>
          <w:sz w:val="24"/>
          <w:szCs w:val="24"/>
        </w:rPr>
      </w:pPr>
      <w:bookmarkStart w:id="2" w:name="_Hlk198031404"/>
      <w:r w:rsidRPr="004066A7">
        <w:rPr>
          <w:rFonts w:ascii="Times New Roman" w:hAnsi="Times New Roman" w:cs="Times New Roman"/>
          <w:b/>
          <w:bCs/>
          <w:sz w:val="24"/>
          <w:szCs w:val="24"/>
        </w:rPr>
        <w:t>Disclaimer (Artificial intelligence)</w:t>
      </w:r>
    </w:p>
    <w:p w14:paraId="6155125C" w14:textId="77777777" w:rsidR="001B3240" w:rsidRPr="004066A7" w:rsidRDefault="001B3240" w:rsidP="001B3240">
      <w:pPr>
        <w:pStyle w:val="NoSpacing"/>
        <w:rPr>
          <w:rFonts w:ascii="Times New Roman" w:hAnsi="Times New Roman" w:cs="Times New Roman"/>
          <w:sz w:val="24"/>
          <w:szCs w:val="24"/>
        </w:rPr>
      </w:pPr>
    </w:p>
    <w:p w14:paraId="17AE3728" w14:textId="77777777" w:rsidR="001B3240" w:rsidRPr="004066A7" w:rsidRDefault="001B3240" w:rsidP="001B3240">
      <w:pPr>
        <w:pStyle w:val="NoSpacing"/>
        <w:rPr>
          <w:rFonts w:ascii="Times New Roman" w:hAnsi="Times New Roman" w:cs="Times New Roman"/>
          <w:sz w:val="24"/>
          <w:szCs w:val="24"/>
        </w:rPr>
      </w:pPr>
      <w:r w:rsidRPr="004066A7">
        <w:rPr>
          <w:rFonts w:ascii="Times New Roman" w:hAnsi="Times New Roman" w:cs="Times New Roman"/>
          <w:sz w:val="24"/>
          <w:szCs w:val="24"/>
        </w:rPr>
        <w:t>Author(s) hereby declare that NO generative AI technologies such as Large Language Models (</w:t>
      </w:r>
      <w:proofErr w:type="spellStart"/>
      <w:r w:rsidRPr="004066A7">
        <w:rPr>
          <w:rFonts w:ascii="Times New Roman" w:hAnsi="Times New Roman" w:cs="Times New Roman"/>
          <w:sz w:val="24"/>
          <w:szCs w:val="24"/>
        </w:rPr>
        <w:t>ChatGPT</w:t>
      </w:r>
      <w:proofErr w:type="spellEnd"/>
      <w:r w:rsidRPr="004066A7">
        <w:rPr>
          <w:rFonts w:ascii="Times New Roman" w:hAnsi="Times New Roman" w:cs="Times New Roman"/>
          <w:sz w:val="24"/>
          <w:szCs w:val="24"/>
        </w:rPr>
        <w:t xml:space="preserve">, COPILOT, etc.) and text-to-image generators have been used during the writing or editing of this manuscript. </w:t>
      </w:r>
    </w:p>
    <w:bookmarkEnd w:id="2"/>
    <w:p w14:paraId="7BB73F59" w14:textId="5892FCFD" w:rsidR="00621392" w:rsidRPr="00621392" w:rsidRDefault="00621392" w:rsidP="00FB5FBB">
      <w:pPr>
        <w:spacing w:before="240"/>
        <w:jc w:val="both"/>
        <w:rPr>
          <w:rFonts w:ascii="Times New Roman" w:hAnsi="Times New Roman" w:cs="Times New Roman"/>
          <w:b/>
          <w:bCs/>
          <w:sz w:val="24"/>
          <w:szCs w:val="24"/>
        </w:rPr>
      </w:pPr>
      <w:r w:rsidRPr="00621392">
        <w:rPr>
          <w:rFonts w:ascii="Times New Roman" w:hAnsi="Times New Roman" w:cs="Times New Roman"/>
          <w:b/>
          <w:bCs/>
          <w:sz w:val="24"/>
          <w:szCs w:val="24"/>
        </w:rPr>
        <w:t>References:</w:t>
      </w:r>
    </w:p>
    <w:p w14:paraId="3E38E5B1" w14:textId="77777777" w:rsidR="00A114B2" w:rsidRPr="007F0DFF" w:rsidRDefault="00A114B2" w:rsidP="007F0DFF">
      <w:pPr>
        <w:pStyle w:val="ListParagraph"/>
        <w:numPr>
          <w:ilvl w:val="0"/>
          <w:numId w:val="4"/>
        </w:numPr>
        <w:jc w:val="both"/>
        <w:rPr>
          <w:rFonts w:ascii="Times New Roman" w:hAnsi="Times New Roman" w:cs="Times New Roman"/>
          <w:sz w:val="24"/>
          <w:szCs w:val="24"/>
        </w:rPr>
      </w:pPr>
      <w:proofErr w:type="spellStart"/>
      <w:r w:rsidRPr="007F0DFF">
        <w:rPr>
          <w:rFonts w:ascii="Times New Roman" w:hAnsi="Times New Roman" w:cs="Times New Roman"/>
          <w:sz w:val="24"/>
          <w:szCs w:val="24"/>
        </w:rPr>
        <w:t>Alam</w:t>
      </w:r>
      <w:proofErr w:type="spellEnd"/>
      <w:r w:rsidRPr="007F0DFF">
        <w:rPr>
          <w:rFonts w:ascii="Times New Roman" w:hAnsi="Times New Roman" w:cs="Times New Roman"/>
          <w:sz w:val="24"/>
          <w:szCs w:val="24"/>
        </w:rPr>
        <w:t>, R., &amp; Nayak, D. (2025). Developing local support for wildlife conservation through community-based ecotourism: a study of Jim Corbett Tiger Reserve, India. </w:t>
      </w:r>
      <w:r w:rsidRPr="007F0DFF">
        <w:rPr>
          <w:rFonts w:ascii="Times New Roman" w:hAnsi="Times New Roman" w:cs="Times New Roman"/>
          <w:i/>
          <w:iCs/>
          <w:sz w:val="24"/>
          <w:szCs w:val="24"/>
        </w:rPr>
        <w:t>Tourism Planning &amp; Development</w:t>
      </w:r>
      <w:r w:rsidRPr="007F0DFF">
        <w:rPr>
          <w:rFonts w:ascii="Times New Roman" w:hAnsi="Times New Roman" w:cs="Times New Roman"/>
          <w:sz w:val="24"/>
          <w:szCs w:val="24"/>
        </w:rPr>
        <w:t>, </w:t>
      </w:r>
      <w:r w:rsidRPr="007F0DFF">
        <w:rPr>
          <w:rFonts w:ascii="Times New Roman" w:hAnsi="Times New Roman" w:cs="Times New Roman"/>
          <w:i/>
          <w:iCs/>
          <w:sz w:val="24"/>
          <w:szCs w:val="24"/>
        </w:rPr>
        <w:t>22</w:t>
      </w:r>
      <w:r w:rsidRPr="007F0DFF">
        <w:rPr>
          <w:rFonts w:ascii="Times New Roman" w:hAnsi="Times New Roman" w:cs="Times New Roman"/>
          <w:sz w:val="24"/>
          <w:szCs w:val="24"/>
        </w:rPr>
        <w:t>(2), 182-206.</w:t>
      </w:r>
    </w:p>
    <w:p w14:paraId="27D08F32" w14:textId="77777777" w:rsidR="00A114B2" w:rsidRPr="007F0DFF" w:rsidRDefault="00A114B2" w:rsidP="007F0DFF">
      <w:pPr>
        <w:pStyle w:val="ListParagraph"/>
        <w:numPr>
          <w:ilvl w:val="0"/>
          <w:numId w:val="4"/>
        </w:numPr>
        <w:jc w:val="both"/>
        <w:rPr>
          <w:rFonts w:ascii="Times New Roman" w:hAnsi="Times New Roman" w:cs="Times New Roman"/>
          <w:sz w:val="24"/>
          <w:szCs w:val="24"/>
        </w:rPr>
      </w:pPr>
      <w:r w:rsidRPr="007F0DFF">
        <w:rPr>
          <w:rFonts w:ascii="Times New Roman" w:hAnsi="Times New Roman" w:cs="Times New Roman"/>
          <w:sz w:val="24"/>
          <w:szCs w:val="24"/>
        </w:rPr>
        <w:t xml:space="preserve">Bhushan, S., </w:t>
      </w:r>
      <w:proofErr w:type="spellStart"/>
      <w:r w:rsidRPr="007F0DFF">
        <w:rPr>
          <w:rFonts w:ascii="Times New Roman" w:hAnsi="Times New Roman" w:cs="Times New Roman"/>
          <w:sz w:val="24"/>
          <w:szCs w:val="24"/>
        </w:rPr>
        <w:t>Dincă</w:t>
      </w:r>
      <w:proofErr w:type="spellEnd"/>
      <w:r w:rsidRPr="007F0DFF">
        <w:rPr>
          <w:rFonts w:ascii="Times New Roman" w:hAnsi="Times New Roman" w:cs="Times New Roman"/>
          <w:sz w:val="24"/>
          <w:szCs w:val="24"/>
        </w:rPr>
        <w:t xml:space="preserve">, I., &amp; Shikha, S. (2024). Evaluating local livelihoods, sustainable forest management, and the potential for ecotourism development in </w:t>
      </w:r>
      <w:proofErr w:type="spellStart"/>
      <w:r w:rsidRPr="007F0DFF">
        <w:rPr>
          <w:rFonts w:ascii="Times New Roman" w:hAnsi="Times New Roman" w:cs="Times New Roman"/>
          <w:sz w:val="24"/>
          <w:szCs w:val="24"/>
        </w:rPr>
        <w:t>Kaimur</w:t>
      </w:r>
      <w:proofErr w:type="spellEnd"/>
      <w:r w:rsidRPr="007F0DFF">
        <w:rPr>
          <w:rFonts w:ascii="Times New Roman" w:hAnsi="Times New Roman" w:cs="Times New Roman"/>
          <w:sz w:val="24"/>
          <w:szCs w:val="24"/>
        </w:rPr>
        <w:t xml:space="preserve"> Wildlife Sanctuary, India. </w:t>
      </w:r>
      <w:r w:rsidRPr="007F0DFF">
        <w:rPr>
          <w:rFonts w:ascii="Times New Roman" w:hAnsi="Times New Roman" w:cs="Times New Roman"/>
          <w:i/>
          <w:iCs/>
          <w:sz w:val="24"/>
          <w:szCs w:val="24"/>
        </w:rPr>
        <w:t>Frontiers in Forests and Global Change</w:t>
      </w:r>
      <w:r w:rsidRPr="007F0DFF">
        <w:rPr>
          <w:rFonts w:ascii="Times New Roman" w:hAnsi="Times New Roman" w:cs="Times New Roman"/>
          <w:sz w:val="24"/>
          <w:szCs w:val="24"/>
        </w:rPr>
        <w:t>, </w:t>
      </w:r>
      <w:r w:rsidRPr="007F0DFF">
        <w:rPr>
          <w:rFonts w:ascii="Times New Roman" w:hAnsi="Times New Roman" w:cs="Times New Roman"/>
          <w:i/>
          <w:iCs/>
          <w:sz w:val="24"/>
          <w:szCs w:val="24"/>
        </w:rPr>
        <w:t>7</w:t>
      </w:r>
      <w:r w:rsidRPr="007F0DFF">
        <w:rPr>
          <w:rFonts w:ascii="Times New Roman" w:hAnsi="Times New Roman" w:cs="Times New Roman"/>
          <w:sz w:val="24"/>
          <w:szCs w:val="24"/>
        </w:rPr>
        <w:t>, 1491917.</w:t>
      </w:r>
    </w:p>
    <w:p w14:paraId="0712271E" w14:textId="77777777" w:rsidR="00A114B2" w:rsidRPr="007F0DFF" w:rsidRDefault="00A114B2" w:rsidP="007F0DFF">
      <w:pPr>
        <w:pStyle w:val="ListParagraph"/>
        <w:numPr>
          <w:ilvl w:val="0"/>
          <w:numId w:val="4"/>
        </w:numPr>
        <w:jc w:val="both"/>
        <w:rPr>
          <w:rFonts w:ascii="Times New Roman" w:hAnsi="Times New Roman" w:cs="Times New Roman"/>
          <w:sz w:val="24"/>
          <w:szCs w:val="24"/>
        </w:rPr>
      </w:pPr>
      <w:r w:rsidRPr="007F0DFF">
        <w:rPr>
          <w:rFonts w:ascii="Times New Roman" w:hAnsi="Times New Roman" w:cs="Times New Roman"/>
          <w:sz w:val="24"/>
          <w:szCs w:val="24"/>
        </w:rPr>
        <w:t>Kumar, A., Yadav, R., Patil, M., Kumar, P., Zhang, L., Kaur, A., ... &amp; Singh, A. N. (2020). Sustainable management of national parks and protected areas for conserving biodiversity in India. In </w:t>
      </w:r>
      <w:r w:rsidRPr="007F0DFF">
        <w:rPr>
          <w:rFonts w:ascii="Times New Roman" w:hAnsi="Times New Roman" w:cs="Times New Roman"/>
          <w:i/>
          <w:iCs/>
          <w:sz w:val="24"/>
          <w:szCs w:val="24"/>
        </w:rPr>
        <w:t>Advances in forest management under global change</w:t>
      </w:r>
      <w:r w:rsidRPr="007F0DFF">
        <w:rPr>
          <w:rFonts w:ascii="Times New Roman" w:hAnsi="Times New Roman" w:cs="Times New Roman"/>
          <w:sz w:val="24"/>
          <w:szCs w:val="24"/>
        </w:rPr>
        <w:t xml:space="preserve">. </w:t>
      </w:r>
      <w:proofErr w:type="spellStart"/>
      <w:r w:rsidRPr="007F0DFF">
        <w:rPr>
          <w:rFonts w:ascii="Times New Roman" w:hAnsi="Times New Roman" w:cs="Times New Roman"/>
          <w:sz w:val="24"/>
          <w:szCs w:val="24"/>
        </w:rPr>
        <w:t>IntechOpen</w:t>
      </w:r>
      <w:proofErr w:type="spellEnd"/>
      <w:r w:rsidRPr="007F0DFF">
        <w:rPr>
          <w:rFonts w:ascii="Times New Roman" w:hAnsi="Times New Roman" w:cs="Times New Roman"/>
          <w:sz w:val="24"/>
          <w:szCs w:val="24"/>
        </w:rPr>
        <w:t>.</w:t>
      </w:r>
    </w:p>
    <w:p w14:paraId="5E7354FB" w14:textId="77777777" w:rsidR="00A114B2" w:rsidRPr="007F0DFF" w:rsidRDefault="00A114B2" w:rsidP="007F0DFF">
      <w:pPr>
        <w:pStyle w:val="ListParagraph"/>
        <w:numPr>
          <w:ilvl w:val="0"/>
          <w:numId w:val="4"/>
        </w:numPr>
        <w:jc w:val="both"/>
        <w:rPr>
          <w:rFonts w:ascii="Times New Roman" w:hAnsi="Times New Roman" w:cs="Times New Roman"/>
          <w:sz w:val="24"/>
          <w:szCs w:val="24"/>
        </w:rPr>
      </w:pPr>
      <w:r w:rsidRPr="007F0DFF">
        <w:rPr>
          <w:rFonts w:ascii="Times New Roman" w:hAnsi="Times New Roman" w:cs="Times New Roman"/>
          <w:sz w:val="24"/>
          <w:szCs w:val="24"/>
        </w:rPr>
        <w:lastRenderedPageBreak/>
        <w:t xml:space="preserve">Leung, Y. F., </w:t>
      </w:r>
      <w:proofErr w:type="spellStart"/>
      <w:r w:rsidRPr="007F0DFF">
        <w:rPr>
          <w:rFonts w:ascii="Times New Roman" w:hAnsi="Times New Roman" w:cs="Times New Roman"/>
          <w:sz w:val="24"/>
          <w:szCs w:val="24"/>
        </w:rPr>
        <w:t>Spenceley</w:t>
      </w:r>
      <w:proofErr w:type="spellEnd"/>
      <w:r w:rsidRPr="007F0DFF">
        <w:rPr>
          <w:rFonts w:ascii="Times New Roman" w:hAnsi="Times New Roman" w:cs="Times New Roman"/>
          <w:sz w:val="24"/>
          <w:szCs w:val="24"/>
        </w:rPr>
        <w:t xml:space="preserve">, A., </w:t>
      </w:r>
      <w:proofErr w:type="spellStart"/>
      <w:r w:rsidRPr="007F0DFF">
        <w:rPr>
          <w:rFonts w:ascii="Times New Roman" w:hAnsi="Times New Roman" w:cs="Times New Roman"/>
          <w:sz w:val="24"/>
          <w:szCs w:val="24"/>
        </w:rPr>
        <w:t>Hvenegaard</w:t>
      </w:r>
      <w:proofErr w:type="spellEnd"/>
      <w:r w:rsidRPr="007F0DFF">
        <w:rPr>
          <w:rFonts w:ascii="Times New Roman" w:hAnsi="Times New Roman" w:cs="Times New Roman"/>
          <w:sz w:val="24"/>
          <w:szCs w:val="24"/>
        </w:rPr>
        <w:t>, G., Buckley, R., &amp; Groves, C. (2018). </w:t>
      </w:r>
      <w:r w:rsidRPr="007F0DFF">
        <w:rPr>
          <w:rFonts w:ascii="Times New Roman" w:hAnsi="Times New Roman" w:cs="Times New Roman"/>
          <w:i/>
          <w:iCs/>
          <w:sz w:val="24"/>
          <w:szCs w:val="24"/>
        </w:rPr>
        <w:t>Tourism and visitor management in protected areas: Guidelines for sustainability</w:t>
      </w:r>
      <w:r w:rsidRPr="007F0DFF">
        <w:rPr>
          <w:rFonts w:ascii="Times New Roman" w:hAnsi="Times New Roman" w:cs="Times New Roman"/>
          <w:sz w:val="24"/>
          <w:szCs w:val="24"/>
        </w:rPr>
        <w:t xml:space="preserve"> (Vol. 27). Gland, Switzerland: </w:t>
      </w:r>
      <w:proofErr w:type="spellStart"/>
      <w:r w:rsidRPr="007F0DFF">
        <w:rPr>
          <w:rFonts w:ascii="Times New Roman" w:hAnsi="Times New Roman" w:cs="Times New Roman"/>
          <w:sz w:val="24"/>
          <w:szCs w:val="24"/>
        </w:rPr>
        <w:t>IuCN</w:t>
      </w:r>
      <w:proofErr w:type="spellEnd"/>
      <w:r w:rsidRPr="007F0DFF">
        <w:rPr>
          <w:rFonts w:ascii="Times New Roman" w:hAnsi="Times New Roman" w:cs="Times New Roman"/>
          <w:sz w:val="24"/>
          <w:szCs w:val="24"/>
        </w:rPr>
        <w:t>.</w:t>
      </w:r>
    </w:p>
    <w:p w14:paraId="09900C09" w14:textId="77777777" w:rsidR="00A114B2" w:rsidRPr="007F0DFF" w:rsidRDefault="00A114B2" w:rsidP="007F0DFF">
      <w:pPr>
        <w:pStyle w:val="ListParagraph"/>
        <w:numPr>
          <w:ilvl w:val="0"/>
          <w:numId w:val="4"/>
        </w:numPr>
        <w:jc w:val="both"/>
        <w:rPr>
          <w:rFonts w:ascii="Times New Roman" w:hAnsi="Times New Roman" w:cs="Times New Roman"/>
          <w:sz w:val="24"/>
          <w:szCs w:val="24"/>
        </w:rPr>
      </w:pPr>
      <w:r w:rsidRPr="007F0DFF">
        <w:rPr>
          <w:rFonts w:ascii="Times New Roman" w:hAnsi="Times New Roman" w:cs="Times New Roman"/>
          <w:sz w:val="24"/>
          <w:szCs w:val="24"/>
        </w:rPr>
        <w:t>Prakash, A. S. (2022). </w:t>
      </w:r>
      <w:r w:rsidRPr="007F0DFF">
        <w:rPr>
          <w:rFonts w:ascii="Times New Roman" w:hAnsi="Times New Roman" w:cs="Times New Roman"/>
          <w:i/>
          <w:iCs/>
          <w:sz w:val="24"/>
          <w:szCs w:val="24"/>
        </w:rPr>
        <w:t xml:space="preserve">Wildlife crime prevention measures undertaken in a protected area: a study among conservation stakeholders in the </w:t>
      </w:r>
      <w:proofErr w:type="spellStart"/>
      <w:r w:rsidRPr="007F0DFF">
        <w:rPr>
          <w:rFonts w:ascii="Times New Roman" w:hAnsi="Times New Roman" w:cs="Times New Roman"/>
          <w:i/>
          <w:iCs/>
          <w:sz w:val="24"/>
          <w:szCs w:val="24"/>
        </w:rPr>
        <w:t>Mudumalai</w:t>
      </w:r>
      <w:proofErr w:type="spellEnd"/>
      <w:r w:rsidRPr="007F0DFF">
        <w:rPr>
          <w:rFonts w:ascii="Times New Roman" w:hAnsi="Times New Roman" w:cs="Times New Roman"/>
          <w:i/>
          <w:iCs/>
          <w:sz w:val="24"/>
          <w:szCs w:val="24"/>
        </w:rPr>
        <w:t xml:space="preserve"> Tiger Reserve, Western Ghats (India)</w:t>
      </w:r>
      <w:r w:rsidRPr="007F0DFF">
        <w:rPr>
          <w:rFonts w:ascii="Times New Roman" w:hAnsi="Times New Roman" w:cs="Times New Roman"/>
          <w:sz w:val="24"/>
          <w:szCs w:val="24"/>
        </w:rPr>
        <w:t> (Doctoral dissertation, University of Madras (India)).</w:t>
      </w:r>
    </w:p>
    <w:p w14:paraId="762A697E" w14:textId="77777777" w:rsidR="00A114B2" w:rsidRPr="007F0DFF" w:rsidRDefault="00A114B2" w:rsidP="007F0DFF">
      <w:pPr>
        <w:pStyle w:val="ListParagraph"/>
        <w:numPr>
          <w:ilvl w:val="0"/>
          <w:numId w:val="4"/>
        </w:numPr>
        <w:jc w:val="both"/>
        <w:rPr>
          <w:rFonts w:ascii="Times New Roman" w:hAnsi="Times New Roman" w:cs="Times New Roman"/>
          <w:sz w:val="24"/>
          <w:szCs w:val="24"/>
        </w:rPr>
      </w:pPr>
      <w:r w:rsidRPr="007F0DFF">
        <w:rPr>
          <w:rFonts w:ascii="Times New Roman" w:hAnsi="Times New Roman" w:cs="Times New Roman"/>
          <w:sz w:val="24"/>
          <w:szCs w:val="24"/>
          <w:lang w:val="nn-NO"/>
        </w:rPr>
        <w:t xml:space="preserve">Pujar, S. C., &amp; Mishra, N. (2021). </w:t>
      </w:r>
      <w:r w:rsidRPr="007F0DFF">
        <w:rPr>
          <w:rFonts w:ascii="Times New Roman" w:hAnsi="Times New Roman" w:cs="Times New Roman"/>
          <w:sz w:val="24"/>
          <w:szCs w:val="24"/>
        </w:rPr>
        <w:t>Ecotourism industry in India: a review of current practices and prospects. </w:t>
      </w:r>
      <w:r w:rsidRPr="007F0DFF">
        <w:rPr>
          <w:rFonts w:ascii="Times New Roman" w:hAnsi="Times New Roman" w:cs="Times New Roman"/>
          <w:i/>
          <w:iCs/>
          <w:sz w:val="24"/>
          <w:szCs w:val="24"/>
        </w:rPr>
        <w:t>Anatolia</w:t>
      </w:r>
      <w:r w:rsidRPr="007F0DFF">
        <w:rPr>
          <w:rFonts w:ascii="Times New Roman" w:hAnsi="Times New Roman" w:cs="Times New Roman"/>
          <w:sz w:val="24"/>
          <w:szCs w:val="24"/>
        </w:rPr>
        <w:t>, </w:t>
      </w:r>
      <w:r w:rsidRPr="007F0DFF">
        <w:rPr>
          <w:rFonts w:ascii="Times New Roman" w:hAnsi="Times New Roman" w:cs="Times New Roman"/>
          <w:i/>
          <w:iCs/>
          <w:sz w:val="24"/>
          <w:szCs w:val="24"/>
        </w:rPr>
        <w:t>32</w:t>
      </w:r>
      <w:r w:rsidRPr="007F0DFF">
        <w:rPr>
          <w:rFonts w:ascii="Times New Roman" w:hAnsi="Times New Roman" w:cs="Times New Roman"/>
          <w:sz w:val="24"/>
          <w:szCs w:val="24"/>
        </w:rPr>
        <w:t>(2), 289-302.</w:t>
      </w:r>
    </w:p>
    <w:p w14:paraId="541DF7C4" w14:textId="77777777" w:rsidR="00A114B2" w:rsidRPr="007F0DFF" w:rsidRDefault="00A114B2" w:rsidP="007F0DFF">
      <w:pPr>
        <w:pStyle w:val="ListParagraph"/>
        <w:numPr>
          <w:ilvl w:val="0"/>
          <w:numId w:val="4"/>
        </w:numPr>
        <w:jc w:val="both"/>
        <w:rPr>
          <w:rFonts w:ascii="Times New Roman" w:hAnsi="Times New Roman" w:cs="Times New Roman"/>
          <w:sz w:val="24"/>
          <w:szCs w:val="24"/>
        </w:rPr>
      </w:pPr>
      <w:proofErr w:type="spellStart"/>
      <w:r w:rsidRPr="007F0DFF">
        <w:rPr>
          <w:rFonts w:ascii="Times New Roman" w:hAnsi="Times New Roman" w:cs="Times New Roman"/>
          <w:sz w:val="24"/>
          <w:szCs w:val="24"/>
        </w:rPr>
        <w:t>Pujar</w:t>
      </w:r>
      <w:proofErr w:type="spellEnd"/>
      <w:r w:rsidRPr="007F0DFF">
        <w:rPr>
          <w:rFonts w:ascii="Times New Roman" w:hAnsi="Times New Roman" w:cs="Times New Roman"/>
          <w:sz w:val="24"/>
          <w:szCs w:val="24"/>
        </w:rPr>
        <w:t>, S. C., &amp; Mishra, N. R. (2025). Beyond the forests: ecotourism and sustainable livelihoods in Karnataka’s protected landscapes. </w:t>
      </w:r>
      <w:r w:rsidRPr="007F0DFF">
        <w:rPr>
          <w:rFonts w:ascii="Times New Roman" w:hAnsi="Times New Roman" w:cs="Times New Roman"/>
          <w:i/>
          <w:iCs/>
          <w:sz w:val="24"/>
          <w:szCs w:val="24"/>
        </w:rPr>
        <w:t>Current Issues in Tourism</w:t>
      </w:r>
      <w:r w:rsidRPr="007F0DFF">
        <w:rPr>
          <w:rFonts w:ascii="Times New Roman" w:hAnsi="Times New Roman" w:cs="Times New Roman"/>
          <w:sz w:val="24"/>
          <w:szCs w:val="24"/>
        </w:rPr>
        <w:t>, </w:t>
      </w:r>
      <w:r w:rsidRPr="007F0DFF">
        <w:rPr>
          <w:rFonts w:ascii="Times New Roman" w:hAnsi="Times New Roman" w:cs="Times New Roman"/>
          <w:i/>
          <w:iCs/>
          <w:sz w:val="24"/>
          <w:szCs w:val="24"/>
        </w:rPr>
        <w:t>28</w:t>
      </w:r>
      <w:r w:rsidRPr="007F0DFF">
        <w:rPr>
          <w:rFonts w:ascii="Times New Roman" w:hAnsi="Times New Roman" w:cs="Times New Roman"/>
          <w:sz w:val="24"/>
          <w:szCs w:val="24"/>
        </w:rPr>
        <w:t>(15), 2519-2536.</w:t>
      </w:r>
    </w:p>
    <w:p w14:paraId="1CB6F0BF" w14:textId="77777777" w:rsidR="00A114B2" w:rsidRPr="007F0DFF" w:rsidRDefault="00A114B2" w:rsidP="007F0DFF">
      <w:pPr>
        <w:pStyle w:val="ListParagraph"/>
        <w:numPr>
          <w:ilvl w:val="0"/>
          <w:numId w:val="4"/>
        </w:numPr>
        <w:jc w:val="both"/>
        <w:rPr>
          <w:rFonts w:ascii="Times New Roman" w:hAnsi="Times New Roman" w:cs="Times New Roman"/>
          <w:sz w:val="24"/>
          <w:szCs w:val="24"/>
        </w:rPr>
      </w:pPr>
      <w:r w:rsidRPr="007F0DFF">
        <w:rPr>
          <w:rFonts w:ascii="Times New Roman" w:hAnsi="Times New Roman" w:cs="Times New Roman"/>
          <w:sz w:val="24"/>
          <w:szCs w:val="24"/>
        </w:rPr>
        <w:t xml:space="preserve">Pullin, A. S., </w:t>
      </w:r>
      <w:proofErr w:type="spellStart"/>
      <w:r w:rsidRPr="007F0DFF">
        <w:rPr>
          <w:rFonts w:ascii="Times New Roman" w:hAnsi="Times New Roman" w:cs="Times New Roman"/>
          <w:sz w:val="24"/>
          <w:szCs w:val="24"/>
        </w:rPr>
        <w:t>Bangpan</w:t>
      </w:r>
      <w:proofErr w:type="spellEnd"/>
      <w:r w:rsidRPr="007F0DFF">
        <w:rPr>
          <w:rFonts w:ascii="Times New Roman" w:hAnsi="Times New Roman" w:cs="Times New Roman"/>
          <w:sz w:val="24"/>
          <w:szCs w:val="24"/>
        </w:rPr>
        <w:t xml:space="preserve">, M., Dalrymple, S., Dickson, K., </w:t>
      </w:r>
      <w:proofErr w:type="spellStart"/>
      <w:r w:rsidRPr="007F0DFF">
        <w:rPr>
          <w:rFonts w:ascii="Times New Roman" w:hAnsi="Times New Roman" w:cs="Times New Roman"/>
          <w:sz w:val="24"/>
          <w:szCs w:val="24"/>
        </w:rPr>
        <w:t>Haddaway</w:t>
      </w:r>
      <w:proofErr w:type="spellEnd"/>
      <w:r w:rsidRPr="007F0DFF">
        <w:rPr>
          <w:rFonts w:ascii="Times New Roman" w:hAnsi="Times New Roman" w:cs="Times New Roman"/>
          <w:sz w:val="24"/>
          <w:szCs w:val="24"/>
        </w:rPr>
        <w:t>, N. R., Healey, J. R., ... &amp; Oliver, S. (2013). Human well-being impacts of terrestrial protected areas. </w:t>
      </w:r>
      <w:r w:rsidRPr="007F0DFF">
        <w:rPr>
          <w:rFonts w:ascii="Times New Roman" w:hAnsi="Times New Roman" w:cs="Times New Roman"/>
          <w:i/>
          <w:iCs/>
          <w:sz w:val="24"/>
          <w:szCs w:val="24"/>
        </w:rPr>
        <w:t>Environmental Evidence</w:t>
      </w:r>
      <w:r w:rsidRPr="007F0DFF">
        <w:rPr>
          <w:rFonts w:ascii="Times New Roman" w:hAnsi="Times New Roman" w:cs="Times New Roman"/>
          <w:sz w:val="24"/>
          <w:szCs w:val="24"/>
        </w:rPr>
        <w:t>, </w:t>
      </w:r>
      <w:r w:rsidRPr="007F0DFF">
        <w:rPr>
          <w:rFonts w:ascii="Times New Roman" w:hAnsi="Times New Roman" w:cs="Times New Roman"/>
          <w:i/>
          <w:iCs/>
          <w:sz w:val="24"/>
          <w:szCs w:val="24"/>
        </w:rPr>
        <w:t>2</w:t>
      </w:r>
      <w:r w:rsidRPr="007F0DFF">
        <w:rPr>
          <w:rFonts w:ascii="Times New Roman" w:hAnsi="Times New Roman" w:cs="Times New Roman"/>
          <w:sz w:val="24"/>
          <w:szCs w:val="24"/>
        </w:rPr>
        <w:t>(1), 19.</w:t>
      </w:r>
    </w:p>
    <w:p w14:paraId="313EA15C" w14:textId="77777777" w:rsidR="00A114B2" w:rsidRPr="007F0DFF" w:rsidRDefault="00A114B2" w:rsidP="007F0DFF">
      <w:pPr>
        <w:pStyle w:val="ListParagraph"/>
        <w:numPr>
          <w:ilvl w:val="0"/>
          <w:numId w:val="4"/>
        </w:numPr>
        <w:jc w:val="both"/>
        <w:rPr>
          <w:rFonts w:ascii="Times New Roman" w:hAnsi="Times New Roman" w:cs="Times New Roman"/>
          <w:sz w:val="24"/>
          <w:szCs w:val="24"/>
        </w:rPr>
      </w:pPr>
      <w:r w:rsidRPr="007F0DFF">
        <w:rPr>
          <w:rFonts w:ascii="Times New Roman" w:hAnsi="Times New Roman" w:cs="Times New Roman"/>
          <w:sz w:val="24"/>
          <w:szCs w:val="24"/>
        </w:rPr>
        <w:t xml:space="preserve">Rai, N. D., </w:t>
      </w:r>
      <w:proofErr w:type="spellStart"/>
      <w:r w:rsidRPr="007F0DFF">
        <w:rPr>
          <w:rFonts w:ascii="Times New Roman" w:hAnsi="Times New Roman" w:cs="Times New Roman"/>
          <w:sz w:val="24"/>
          <w:szCs w:val="24"/>
        </w:rPr>
        <w:t>Devy</w:t>
      </w:r>
      <w:proofErr w:type="spellEnd"/>
      <w:r w:rsidRPr="007F0DFF">
        <w:rPr>
          <w:rFonts w:ascii="Times New Roman" w:hAnsi="Times New Roman" w:cs="Times New Roman"/>
          <w:sz w:val="24"/>
          <w:szCs w:val="24"/>
        </w:rPr>
        <w:t xml:space="preserve">, M. S., Ganesh, T., Ganesan, R., </w:t>
      </w:r>
      <w:proofErr w:type="spellStart"/>
      <w:r w:rsidRPr="007F0DFF">
        <w:rPr>
          <w:rFonts w:ascii="Times New Roman" w:hAnsi="Times New Roman" w:cs="Times New Roman"/>
          <w:sz w:val="24"/>
          <w:szCs w:val="24"/>
        </w:rPr>
        <w:t>Setty</w:t>
      </w:r>
      <w:proofErr w:type="spellEnd"/>
      <w:r w:rsidRPr="007F0DFF">
        <w:rPr>
          <w:rFonts w:ascii="Times New Roman" w:hAnsi="Times New Roman" w:cs="Times New Roman"/>
          <w:sz w:val="24"/>
          <w:szCs w:val="24"/>
        </w:rPr>
        <w:t xml:space="preserve">, S. R., </w:t>
      </w:r>
      <w:proofErr w:type="spellStart"/>
      <w:r w:rsidRPr="007F0DFF">
        <w:rPr>
          <w:rFonts w:ascii="Times New Roman" w:hAnsi="Times New Roman" w:cs="Times New Roman"/>
          <w:sz w:val="24"/>
          <w:szCs w:val="24"/>
        </w:rPr>
        <w:t>Hiremath</w:t>
      </w:r>
      <w:proofErr w:type="spellEnd"/>
      <w:r w:rsidRPr="007F0DFF">
        <w:rPr>
          <w:rFonts w:ascii="Times New Roman" w:hAnsi="Times New Roman" w:cs="Times New Roman"/>
          <w:sz w:val="24"/>
          <w:szCs w:val="24"/>
        </w:rPr>
        <w:t xml:space="preserve">, A. J., ... &amp; </w:t>
      </w:r>
      <w:proofErr w:type="spellStart"/>
      <w:r w:rsidRPr="007F0DFF">
        <w:rPr>
          <w:rFonts w:ascii="Times New Roman" w:hAnsi="Times New Roman" w:cs="Times New Roman"/>
          <w:sz w:val="24"/>
          <w:szCs w:val="24"/>
        </w:rPr>
        <w:t>Rajan</w:t>
      </w:r>
      <w:proofErr w:type="spellEnd"/>
      <w:r w:rsidRPr="007F0DFF">
        <w:rPr>
          <w:rFonts w:ascii="Times New Roman" w:hAnsi="Times New Roman" w:cs="Times New Roman"/>
          <w:sz w:val="24"/>
          <w:szCs w:val="24"/>
        </w:rPr>
        <w:t>, P. D. (2021). Beyond fortress conservation: the long-term integration of natural and social science research for an inclusive conservation practice in India. </w:t>
      </w:r>
      <w:r w:rsidRPr="007F0DFF">
        <w:rPr>
          <w:rFonts w:ascii="Times New Roman" w:hAnsi="Times New Roman" w:cs="Times New Roman"/>
          <w:i/>
          <w:iCs/>
          <w:sz w:val="24"/>
          <w:szCs w:val="24"/>
        </w:rPr>
        <w:t>Biological Conservation</w:t>
      </w:r>
      <w:r w:rsidRPr="007F0DFF">
        <w:rPr>
          <w:rFonts w:ascii="Times New Roman" w:hAnsi="Times New Roman" w:cs="Times New Roman"/>
          <w:sz w:val="24"/>
          <w:szCs w:val="24"/>
        </w:rPr>
        <w:t>, </w:t>
      </w:r>
      <w:r w:rsidRPr="007F0DFF">
        <w:rPr>
          <w:rFonts w:ascii="Times New Roman" w:hAnsi="Times New Roman" w:cs="Times New Roman"/>
          <w:i/>
          <w:iCs/>
          <w:sz w:val="24"/>
          <w:szCs w:val="24"/>
        </w:rPr>
        <w:t>254</w:t>
      </w:r>
      <w:r w:rsidRPr="007F0DFF">
        <w:rPr>
          <w:rFonts w:ascii="Times New Roman" w:hAnsi="Times New Roman" w:cs="Times New Roman"/>
          <w:sz w:val="24"/>
          <w:szCs w:val="24"/>
        </w:rPr>
        <w:t>, 108888.</w:t>
      </w:r>
    </w:p>
    <w:p w14:paraId="4AC11552" w14:textId="77777777" w:rsidR="00A114B2" w:rsidRPr="007F0DFF" w:rsidRDefault="00A114B2" w:rsidP="007F0DFF">
      <w:pPr>
        <w:pStyle w:val="ListParagraph"/>
        <w:numPr>
          <w:ilvl w:val="0"/>
          <w:numId w:val="4"/>
        </w:numPr>
        <w:jc w:val="both"/>
        <w:rPr>
          <w:rFonts w:ascii="Times New Roman" w:hAnsi="Times New Roman" w:cs="Times New Roman"/>
          <w:sz w:val="24"/>
          <w:szCs w:val="24"/>
        </w:rPr>
      </w:pPr>
      <w:r w:rsidRPr="007F0DFF">
        <w:rPr>
          <w:rFonts w:ascii="Times New Roman" w:hAnsi="Times New Roman" w:cs="Times New Roman"/>
          <w:sz w:val="24"/>
          <w:szCs w:val="24"/>
        </w:rPr>
        <w:t>Singh, T. V., &amp; Singh, S. (2004). On bringing people and park together through ecotourism: The Nanda Devi National Park, India. </w:t>
      </w:r>
      <w:r w:rsidRPr="007F0DFF">
        <w:rPr>
          <w:rFonts w:ascii="Times New Roman" w:hAnsi="Times New Roman" w:cs="Times New Roman"/>
          <w:i/>
          <w:iCs/>
          <w:sz w:val="24"/>
          <w:szCs w:val="24"/>
        </w:rPr>
        <w:t>Asia Pacific Journal of Tourism Research</w:t>
      </w:r>
      <w:r w:rsidRPr="007F0DFF">
        <w:rPr>
          <w:rFonts w:ascii="Times New Roman" w:hAnsi="Times New Roman" w:cs="Times New Roman"/>
          <w:sz w:val="24"/>
          <w:szCs w:val="24"/>
        </w:rPr>
        <w:t>, </w:t>
      </w:r>
      <w:r w:rsidRPr="007F0DFF">
        <w:rPr>
          <w:rFonts w:ascii="Times New Roman" w:hAnsi="Times New Roman" w:cs="Times New Roman"/>
          <w:i/>
          <w:iCs/>
          <w:sz w:val="24"/>
          <w:szCs w:val="24"/>
        </w:rPr>
        <w:t>9</w:t>
      </w:r>
      <w:r w:rsidRPr="007F0DFF">
        <w:rPr>
          <w:rFonts w:ascii="Times New Roman" w:hAnsi="Times New Roman" w:cs="Times New Roman"/>
          <w:sz w:val="24"/>
          <w:szCs w:val="24"/>
        </w:rPr>
        <w:t>(1), 43-55.</w:t>
      </w:r>
    </w:p>
    <w:p w14:paraId="6C5BCEE4" w14:textId="77777777" w:rsidR="00A114B2" w:rsidRPr="007F0DFF" w:rsidRDefault="00A114B2" w:rsidP="007F0DFF">
      <w:pPr>
        <w:pStyle w:val="ListParagraph"/>
        <w:numPr>
          <w:ilvl w:val="0"/>
          <w:numId w:val="4"/>
        </w:numPr>
        <w:jc w:val="both"/>
        <w:rPr>
          <w:rFonts w:ascii="Times New Roman" w:hAnsi="Times New Roman" w:cs="Times New Roman"/>
          <w:sz w:val="24"/>
          <w:szCs w:val="24"/>
        </w:rPr>
      </w:pPr>
      <w:proofErr w:type="spellStart"/>
      <w:r w:rsidRPr="007F0DFF">
        <w:rPr>
          <w:rFonts w:ascii="Times New Roman" w:hAnsi="Times New Roman" w:cs="Times New Roman"/>
          <w:sz w:val="24"/>
          <w:szCs w:val="24"/>
        </w:rPr>
        <w:t>Soman</w:t>
      </w:r>
      <w:proofErr w:type="spellEnd"/>
      <w:r w:rsidRPr="007F0DFF">
        <w:rPr>
          <w:rFonts w:ascii="Times New Roman" w:hAnsi="Times New Roman" w:cs="Times New Roman"/>
          <w:sz w:val="24"/>
          <w:szCs w:val="24"/>
        </w:rPr>
        <w:t xml:space="preserve">, D.  (2022).  Assessment of Ecosystem Services from </w:t>
      </w:r>
      <w:proofErr w:type="spellStart"/>
      <w:r w:rsidRPr="007F0DFF">
        <w:rPr>
          <w:rFonts w:ascii="Times New Roman" w:hAnsi="Times New Roman" w:cs="Times New Roman"/>
          <w:sz w:val="24"/>
          <w:szCs w:val="24"/>
        </w:rPr>
        <w:t>Parambikulam</w:t>
      </w:r>
      <w:proofErr w:type="spellEnd"/>
      <w:r w:rsidRPr="007F0DFF">
        <w:rPr>
          <w:rFonts w:ascii="Times New Roman" w:hAnsi="Times New Roman" w:cs="Times New Roman"/>
          <w:sz w:val="24"/>
          <w:szCs w:val="24"/>
        </w:rPr>
        <w:t xml:space="preserve"> Tiger Reserve. Cochin University of Science and Technology. Kochi, Kerala.176p</w:t>
      </w:r>
    </w:p>
    <w:p w14:paraId="191CF472" w14:textId="77777777" w:rsidR="00A114B2" w:rsidRPr="007F0DFF" w:rsidRDefault="00A114B2" w:rsidP="007F0DFF">
      <w:pPr>
        <w:pStyle w:val="ListParagraph"/>
        <w:numPr>
          <w:ilvl w:val="0"/>
          <w:numId w:val="4"/>
        </w:numPr>
        <w:jc w:val="both"/>
        <w:rPr>
          <w:rFonts w:ascii="Times New Roman" w:hAnsi="Times New Roman" w:cs="Times New Roman"/>
          <w:sz w:val="24"/>
          <w:szCs w:val="24"/>
        </w:rPr>
      </w:pPr>
      <w:r w:rsidRPr="007F0DFF">
        <w:rPr>
          <w:rFonts w:ascii="Times New Roman" w:hAnsi="Times New Roman" w:cs="Times New Roman"/>
          <w:sz w:val="24"/>
          <w:szCs w:val="24"/>
        </w:rPr>
        <w:t xml:space="preserve">Verma, M., Tiwari, C., Anand, S., </w:t>
      </w:r>
      <w:proofErr w:type="spellStart"/>
      <w:r w:rsidRPr="007F0DFF">
        <w:rPr>
          <w:rFonts w:ascii="Times New Roman" w:hAnsi="Times New Roman" w:cs="Times New Roman"/>
          <w:sz w:val="24"/>
          <w:szCs w:val="24"/>
        </w:rPr>
        <w:t>Edgaonkar</w:t>
      </w:r>
      <w:proofErr w:type="spellEnd"/>
      <w:r w:rsidRPr="007F0DFF">
        <w:rPr>
          <w:rFonts w:ascii="Times New Roman" w:hAnsi="Times New Roman" w:cs="Times New Roman"/>
          <w:sz w:val="24"/>
          <w:szCs w:val="24"/>
        </w:rPr>
        <w:t xml:space="preserve">, A., David, A., </w:t>
      </w:r>
      <w:proofErr w:type="spellStart"/>
      <w:r w:rsidRPr="007F0DFF">
        <w:rPr>
          <w:rFonts w:ascii="Times New Roman" w:hAnsi="Times New Roman" w:cs="Times New Roman"/>
          <w:sz w:val="24"/>
          <w:szCs w:val="24"/>
        </w:rPr>
        <w:t>Kadekodi</w:t>
      </w:r>
      <w:proofErr w:type="spellEnd"/>
      <w:r w:rsidRPr="007F0DFF">
        <w:rPr>
          <w:rFonts w:ascii="Times New Roman" w:hAnsi="Times New Roman" w:cs="Times New Roman"/>
          <w:sz w:val="24"/>
          <w:szCs w:val="24"/>
        </w:rPr>
        <w:t xml:space="preserve">, G., ... &amp; </w:t>
      </w:r>
      <w:proofErr w:type="spellStart"/>
      <w:r w:rsidRPr="007F0DFF">
        <w:rPr>
          <w:rFonts w:ascii="Times New Roman" w:hAnsi="Times New Roman" w:cs="Times New Roman"/>
          <w:sz w:val="24"/>
          <w:szCs w:val="24"/>
        </w:rPr>
        <w:t>Thatey</w:t>
      </w:r>
      <w:proofErr w:type="spellEnd"/>
      <w:r w:rsidRPr="007F0DFF">
        <w:rPr>
          <w:rFonts w:ascii="Times New Roman" w:hAnsi="Times New Roman" w:cs="Times New Roman"/>
          <w:sz w:val="24"/>
          <w:szCs w:val="24"/>
        </w:rPr>
        <w:t>, Z. (2019). Economic valuation of tiger reserves in India: phase II. </w:t>
      </w:r>
      <w:r w:rsidRPr="007F0DFF">
        <w:rPr>
          <w:rFonts w:ascii="Times New Roman" w:hAnsi="Times New Roman" w:cs="Times New Roman"/>
          <w:i/>
          <w:iCs/>
          <w:sz w:val="24"/>
          <w:szCs w:val="24"/>
        </w:rPr>
        <w:t>Indian Institute of Forest Management, Bhopal, India</w:t>
      </w:r>
      <w:r w:rsidRPr="007F0DFF">
        <w:rPr>
          <w:rFonts w:ascii="Times New Roman" w:hAnsi="Times New Roman" w:cs="Times New Roman"/>
          <w:sz w:val="24"/>
          <w:szCs w:val="24"/>
        </w:rPr>
        <w:t>, </w:t>
      </w:r>
      <w:r w:rsidRPr="007F0DFF">
        <w:rPr>
          <w:rFonts w:ascii="Times New Roman" w:hAnsi="Times New Roman" w:cs="Times New Roman"/>
          <w:i/>
          <w:iCs/>
          <w:sz w:val="24"/>
          <w:szCs w:val="24"/>
        </w:rPr>
        <w:t>296</w:t>
      </w:r>
      <w:r w:rsidRPr="007F0DFF">
        <w:rPr>
          <w:rFonts w:ascii="Times New Roman" w:hAnsi="Times New Roman" w:cs="Times New Roman"/>
          <w:sz w:val="24"/>
          <w:szCs w:val="24"/>
        </w:rPr>
        <w:t>.</w:t>
      </w:r>
    </w:p>
    <w:p w14:paraId="06DA7762" w14:textId="77777777" w:rsidR="00A114B2" w:rsidRPr="007F0DFF" w:rsidRDefault="00A114B2" w:rsidP="007F0DFF">
      <w:pPr>
        <w:pStyle w:val="ListParagraph"/>
        <w:numPr>
          <w:ilvl w:val="0"/>
          <w:numId w:val="4"/>
        </w:numPr>
        <w:jc w:val="both"/>
        <w:rPr>
          <w:rFonts w:ascii="Times New Roman" w:hAnsi="Times New Roman" w:cs="Times New Roman"/>
          <w:sz w:val="24"/>
          <w:szCs w:val="24"/>
        </w:rPr>
      </w:pPr>
      <w:r w:rsidRPr="007F0DFF">
        <w:rPr>
          <w:rFonts w:ascii="Times New Roman" w:hAnsi="Times New Roman" w:cs="Times New Roman"/>
          <w:sz w:val="24"/>
          <w:szCs w:val="24"/>
        </w:rPr>
        <w:t>Ward, C., Stringer, L. C., &amp; Holmes, G. (2018). Protected area co-management and perceived livelihood impacts. </w:t>
      </w:r>
      <w:r w:rsidRPr="007F0DFF">
        <w:rPr>
          <w:rFonts w:ascii="Times New Roman" w:hAnsi="Times New Roman" w:cs="Times New Roman"/>
          <w:i/>
          <w:iCs/>
          <w:sz w:val="24"/>
          <w:szCs w:val="24"/>
        </w:rPr>
        <w:t>Journal of Environmental Management</w:t>
      </w:r>
      <w:r w:rsidRPr="007F0DFF">
        <w:rPr>
          <w:rFonts w:ascii="Times New Roman" w:hAnsi="Times New Roman" w:cs="Times New Roman"/>
          <w:sz w:val="24"/>
          <w:szCs w:val="24"/>
        </w:rPr>
        <w:t>, </w:t>
      </w:r>
      <w:r w:rsidRPr="007F0DFF">
        <w:rPr>
          <w:rFonts w:ascii="Times New Roman" w:hAnsi="Times New Roman" w:cs="Times New Roman"/>
          <w:i/>
          <w:iCs/>
          <w:sz w:val="24"/>
          <w:szCs w:val="24"/>
        </w:rPr>
        <w:t>228</w:t>
      </w:r>
      <w:r w:rsidRPr="007F0DFF">
        <w:rPr>
          <w:rFonts w:ascii="Times New Roman" w:hAnsi="Times New Roman" w:cs="Times New Roman"/>
          <w:sz w:val="24"/>
          <w:szCs w:val="24"/>
        </w:rPr>
        <w:t>, 1-12.</w:t>
      </w:r>
    </w:p>
    <w:p w14:paraId="0622A666" w14:textId="77777777" w:rsidR="00A114B2" w:rsidRPr="007F0DFF" w:rsidRDefault="00A114B2" w:rsidP="007F0DFF">
      <w:pPr>
        <w:pStyle w:val="ListParagraph"/>
        <w:numPr>
          <w:ilvl w:val="0"/>
          <w:numId w:val="4"/>
        </w:numPr>
        <w:jc w:val="both"/>
        <w:rPr>
          <w:rFonts w:ascii="Times New Roman" w:hAnsi="Times New Roman" w:cs="Times New Roman"/>
          <w:sz w:val="24"/>
          <w:szCs w:val="24"/>
        </w:rPr>
      </w:pPr>
      <w:r w:rsidRPr="007F0DFF">
        <w:rPr>
          <w:rFonts w:ascii="Times New Roman" w:hAnsi="Times New Roman" w:cs="Times New Roman"/>
          <w:sz w:val="24"/>
          <w:szCs w:val="24"/>
        </w:rPr>
        <w:t xml:space="preserve">Yadav, S. P., Tiwari, V. R., Mallick, A., </w:t>
      </w:r>
      <w:proofErr w:type="spellStart"/>
      <w:r w:rsidRPr="007F0DFF">
        <w:rPr>
          <w:rFonts w:ascii="Times New Roman" w:hAnsi="Times New Roman" w:cs="Times New Roman"/>
          <w:sz w:val="24"/>
          <w:szCs w:val="24"/>
        </w:rPr>
        <w:t>Garawad</w:t>
      </w:r>
      <w:proofErr w:type="spellEnd"/>
      <w:r w:rsidRPr="007F0DFF">
        <w:rPr>
          <w:rFonts w:ascii="Times New Roman" w:hAnsi="Times New Roman" w:cs="Times New Roman"/>
          <w:sz w:val="24"/>
          <w:szCs w:val="24"/>
        </w:rPr>
        <w:t>, R., Talukdar, G., Sultan, S., ... &amp; Das, A. (2023). Management Effectiveness Evaluation of Tiger Reserves in India, Fifth Cycle, 2022. </w:t>
      </w:r>
      <w:r w:rsidRPr="007F0DFF">
        <w:rPr>
          <w:rFonts w:ascii="Times New Roman" w:hAnsi="Times New Roman" w:cs="Times New Roman"/>
          <w:i/>
          <w:iCs/>
          <w:sz w:val="24"/>
          <w:szCs w:val="24"/>
        </w:rPr>
        <w:t>Wildlife Institute of India, Dehradun and National Tiger Conservation Authority, Government of India</w:t>
      </w:r>
      <w:r w:rsidRPr="007F0DFF">
        <w:rPr>
          <w:rFonts w:ascii="Times New Roman" w:hAnsi="Times New Roman" w:cs="Times New Roman"/>
          <w:sz w:val="24"/>
          <w:szCs w:val="24"/>
        </w:rPr>
        <w:t>.</w:t>
      </w:r>
    </w:p>
    <w:p w14:paraId="7A564894" w14:textId="77777777" w:rsidR="00A114B2" w:rsidRPr="007F0DFF" w:rsidRDefault="00A114B2" w:rsidP="007F0DFF">
      <w:pPr>
        <w:pStyle w:val="ListParagraph"/>
        <w:numPr>
          <w:ilvl w:val="0"/>
          <w:numId w:val="4"/>
        </w:numPr>
        <w:jc w:val="both"/>
        <w:rPr>
          <w:rFonts w:ascii="Times New Roman" w:hAnsi="Times New Roman" w:cs="Times New Roman"/>
          <w:sz w:val="24"/>
          <w:szCs w:val="24"/>
        </w:rPr>
      </w:pPr>
      <w:proofErr w:type="spellStart"/>
      <w:r w:rsidRPr="007F0DFF">
        <w:rPr>
          <w:rFonts w:ascii="Times New Roman" w:hAnsi="Times New Roman" w:cs="Times New Roman"/>
          <w:sz w:val="24"/>
          <w:szCs w:val="24"/>
        </w:rPr>
        <w:t>Zoysa</w:t>
      </w:r>
      <w:proofErr w:type="spellEnd"/>
      <w:r w:rsidRPr="007F0DFF">
        <w:rPr>
          <w:rFonts w:ascii="Times New Roman" w:hAnsi="Times New Roman" w:cs="Times New Roman"/>
          <w:sz w:val="24"/>
          <w:szCs w:val="24"/>
        </w:rPr>
        <w:t>, M. D. (2022). Forest-based ecotourism in Sri Lanka: a review on state of governance, livelihoods, and forest conservation outcomes. </w:t>
      </w:r>
      <w:r w:rsidRPr="007F0DFF">
        <w:rPr>
          <w:rFonts w:ascii="Times New Roman" w:hAnsi="Times New Roman" w:cs="Times New Roman"/>
          <w:i/>
          <w:iCs/>
          <w:sz w:val="24"/>
          <w:szCs w:val="24"/>
        </w:rPr>
        <w:t>Journal of Sustainable Forestry</w:t>
      </w:r>
      <w:r w:rsidRPr="007F0DFF">
        <w:rPr>
          <w:rFonts w:ascii="Times New Roman" w:hAnsi="Times New Roman" w:cs="Times New Roman"/>
          <w:sz w:val="24"/>
          <w:szCs w:val="24"/>
        </w:rPr>
        <w:t>, </w:t>
      </w:r>
      <w:r w:rsidRPr="007F0DFF">
        <w:rPr>
          <w:rFonts w:ascii="Times New Roman" w:hAnsi="Times New Roman" w:cs="Times New Roman"/>
          <w:i/>
          <w:iCs/>
          <w:sz w:val="24"/>
          <w:szCs w:val="24"/>
        </w:rPr>
        <w:t>41</w:t>
      </w:r>
      <w:r w:rsidRPr="007F0DFF">
        <w:rPr>
          <w:rFonts w:ascii="Times New Roman" w:hAnsi="Times New Roman" w:cs="Times New Roman"/>
          <w:sz w:val="24"/>
          <w:szCs w:val="24"/>
        </w:rPr>
        <w:t>(3-5), 413-439.</w:t>
      </w:r>
    </w:p>
    <w:p w14:paraId="155CDC04" w14:textId="77777777" w:rsidR="00712D79" w:rsidRPr="00712D79" w:rsidRDefault="00712D79" w:rsidP="00FB5FBB">
      <w:pPr>
        <w:spacing w:before="240"/>
        <w:jc w:val="both"/>
        <w:rPr>
          <w:rFonts w:ascii="Times New Roman" w:hAnsi="Times New Roman" w:cs="Times New Roman"/>
          <w:sz w:val="24"/>
          <w:szCs w:val="24"/>
        </w:rPr>
      </w:pPr>
    </w:p>
    <w:p w14:paraId="62DF3068" w14:textId="77777777" w:rsidR="00A162B3" w:rsidRPr="0097402F" w:rsidRDefault="00A162B3" w:rsidP="00FB5FBB">
      <w:pPr>
        <w:spacing w:before="240"/>
        <w:jc w:val="both"/>
        <w:rPr>
          <w:rFonts w:ascii="Times New Roman" w:hAnsi="Times New Roman" w:cs="Times New Roman"/>
          <w:sz w:val="24"/>
          <w:szCs w:val="24"/>
        </w:rPr>
      </w:pPr>
    </w:p>
    <w:p w14:paraId="2CB4064B" w14:textId="77777777" w:rsidR="00C45777" w:rsidRPr="00E24BDA" w:rsidRDefault="00C45777" w:rsidP="00FB5FBB">
      <w:pPr>
        <w:spacing w:before="240"/>
        <w:jc w:val="both"/>
        <w:rPr>
          <w:rFonts w:ascii="Times New Roman" w:hAnsi="Times New Roman" w:cs="Times New Roman"/>
          <w:sz w:val="24"/>
          <w:szCs w:val="24"/>
        </w:rPr>
      </w:pPr>
    </w:p>
    <w:p w14:paraId="088ABAC3" w14:textId="77777777" w:rsidR="00A971AF" w:rsidRPr="00A971AF" w:rsidRDefault="00A971AF" w:rsidP="00FB5FBB">
      <w:pPr>
        <w:spacing w:before="240"/>
        <w:jc w:val="both"/>
        <w:rPr>
          <w:rFonts w:ascii="Times New Roman" w:hAnsi="Times New Roman" w:cs="Times New Roman"/>
          <w:sz w:val="24"/>
          <w:szCs w:val="24"/>
        </w:rPr>
      </w:pPr>
    </w:p>
    <w:p w14:paraId="3AE151D8" w14:textId="77777777" w:rsidR="00A971AF" w:rsidRPr="00A971AF" w:rsidRDefault="00A971AF" w:rsidP="00FB5FBB">
      <w:pPr>
        <w:spacing w:before="240"/>
        <w:jc w:val="both"/>
        <w:rPr>
          <w:rFonts w:ascii="Times New Roman" w:hAnsi="Times New Roman" w:cs="Times New Roman"/>
          <w:sz w:val="24"/>
          <w:szCs w:val="24"/>
        </w:rPr>
      </w:pPr>
    </w:p>
    <w:p w14:paraId="5CECBEDE" w14:textId="77777777" w:rsidR="00A971AF" w:rsidRPr="00E24BDA" w:rsidRDefault="00A971AF" w:rsidP="00FB5FBB">
      <w:pPr>
        <w:spacing w:before="240"/>
        <w:jc w:val="both"/>
        <w:rPr>
          <w:rFonts w:ascii="Times New Roman" w:hAnsi="Times New Roman" w:cs="Times New Roman"/>
          <w:sz w:val="24"/>
          <w:szCs w:val="24"/>
        </w:rPr>
      </w:pPr>
    </w:p>
    <w:sectPr w:rsidR="00A971AF" w:rsidRPr="00E24B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145F5" w14:textId="77777777" w:rsidR="002A7E2F" w:rsidRDefault="002A7E2F" w:rsidP="00C170FC">
      <w:pPr>
        <w:spacing w:after="0" w:line="240" w:lineRule="auto"/>
      </w:pPr>
      <w:r>
        <w:separator/>
      </w:r>
    </w:p>
  </w:endnote>
  <w:endnote w:type="continuationSeparator" w:id="0">
    <w:p w14:paraId="672AFBC5" w14:textId="77777777" w:rsidR="002A7E2F" w:rsidRDefault="002A7E2F" w:rsidP="00C1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B7554" w14:textId="77777777" w:rsidR="00C170FC" w:rsidRDefault="00C17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3ACB8" w14:textId="77777777" w:rsidR="00C170FC" w:rsidRDefault="00C17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0334" w14:textId="77777777" w:rsidR="00C170FC" w:rsidRDefault="00C17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6F80E" w14:textId="77777777" w:rsidR="002A7E2F" w:rsidRDefault="002A7E2F" w:rsidP="00C170FC">
      <w:pPr>
        <w:spacing w:after="0" w:line="240" w:lineRule="auto"/>
      </w:pPr>
      <w:r>
        <w:separator/>
      </w:r>
    </w:p>
  </w:footnote>
  <w:footnote w:type="continuationSeparator" w:id="0">
    <w:p w14:paraId="433B84B4" w14:textId="77777777" w:rsidR="002A7E2F" w:rsidRDefault="002A7E2F" w:rsidP="00C17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10D15" w14:textId="7426EC51" w:rsidR="00C170FC" w:rsidRDefault="002A7E2F">
    <w:pPr>
      <w:pStyle w:val="Header"/>
    </w:pPr>
    <w:r>
      <w:rPr>
        <w:noProof/>
      </w:rPr>
      <w:pict w14:anchorId="5D111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F7D27" w14:textId="246FA668" w:rsidR="00C170FC" w:rsidRDefault="002A7E2F">
    <w:pPr>
      <w:pStyle w:val="Header"/>
    </w:pPr>
    <w:r>
      <w:rPr>
        <w:noProof/>
      </w:rPr>
      <w:pict w14:anchorId="4D006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B6925" w14:textId="4E4BC470" w:rsidR="00C170FC" w:rsidRDefault="002A7E2F">
    <w:pPr>
      <w:pStyle w:val="Header"/>
    </w:pPr>
    <w:r>
      <w:rPr>
        <w:noProof/>
      </w:rPr>
      <w:pict w14:anchorId="3EE41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9CF"/>
    <w:multiLevelType w:val="hybridMultilevel"/>
    <w:tmpl w:val="A2F628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BB7F2E"/>
    <w:multiLevelType w:val="hybridMultilevel"/>
    <w:tmpl w:val="A2F628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7ED733F"/>
    <w:multiLevelType w:val="multilevel"/>
    <w:tmpl w:val="5D10A87A"/>
    <w:lvl w:ilvl="0">
      <w:start w:val="1"/>
      <w:numFmt w:val="decimal"/>
      <w:lvlText w:val="%1."/>
      <w:lvlJc w:val="left"/>
      <w:pPr>
        <w:ind w:left="720" w:hanging="360"/>
      </w:pPr>
    </w:lvl>
    <w:lvl w:ilvl="1">
      <w:start w:val="1"/>
      <w:numFmt w:val="decimal"/>
      <w:isLgl/>
      <w:lvlText w:val="%1.%2"/>
      <w:lvlJc w:val="left"/>
      <w:pPr>
        <w:ind w:left="1140" w:hanging="780"/>
      </w:pPr>
      <w:rPr>
        <w:rFonts w:asciiTheme="minorHAnsi" w:eastAsiaTheme="minorHAnsi" w:hAnsiTheme="minorHAnsi" w:cstheme="minorBidi" w:hint="default"/>
        <w:b w:val="0"/>
      </w:rPr>
    </w:lvl>
    <w:lvl w:ilvl="2">
      <w:start w:val="1"/>
      <w:numFmt w:val="decimal"/>
      <w:isLgl/>
      <w:lvlText w:val="%1.%2.%3"/>
      <w:lvlJc w:val="left"/>
      <w:pPr>
        <w:ind w:left="1140" w:hanging="780"/>
      </w:pPr>
      <w:rPr>
        <w:rFonts w:asciiTheme="minorHAnsi" w:eastAsiaTheme="minorHAnsi" w:hAnsiTheme="minorHAnsi" w:cstheme="minorBidi" w:hint="default"/>
        <w:b w:val="0"/>
      </w:rPr>
    </w:lvl>
    <w:lvl w:ilvl="3">
      <w:start w:val="7"/>
      <w:numFmt w:val="decimal"/>
      <w:isLgl/>
      <w:lvlText w:val="%1.%2.%3.%4"/>
      <w:lvlJc w:val="left"/>
      <w:pPr>
        <w:ind w:left="1140" w:hanging="780"/>
      </w:pPr>
      <w:rPr>
        <w:rFonts w:asciiTheme="minorHAnsi" w:eastAsiaTheme="minorHAnsi" w:hAnsiTheme="minorHAnsi" w:cstheme="minorBidi" w:hint="default"/>
        <w:b w:val="0"/>
      </w:rPr>
    </w:lvl>
    <w:lvl w:ilvl="4">
      <w:start w:val="1"/>
      <w:numFmt w:val="decimal"/>
      <w:isLgl/>
      <w:lvlText w:val="%1.%2.%3.%4.%5"/>
      <w:lvlJc w:val="left"/>
      <w:pPr>
        <w:ind w:left="1440" w:hanging="1080"/>
      </w:pPr>
      <w:rPr>
        <w:rFonts w:asciiTheme="minorHAnsi" w:eastAsiaTheme="minorHAnsi" w:hAnsiTheme="minorHAnsi" w:cstheme="minorBidi" w:hint="default"/>
        <w:b w:val="0"/>
      </w:rPr>
    </w:lvl>
    <w:lvl w:ilvl="5">
      <w:start w:val="1"/>
      <w:numFmt w:val="decimal"/>
      <w:isLgl/>
      <w:lvlText w:val="%1.%2.%3.%4.%5.%6"/>
      <w:lvlJc w:val="left"/>
      <w:pPr>
        <w:ind w:left="1800" w:hanging="1440"/>
      </w:pPr>
      <w:rPr>
        <w:rFonts w:asciiTheme="minorHAnsi" w:eastAsiaTheme="minorHAnsi" w:hAnsiTheme="minorHAnsi" w:cstheme="minorBidi" w:hint="default"/>
        <w:b w:val="0"/>
      </w:rPr>
    </w:lvl>
    <w:lvl w:ilvl="6">
      <w:start w:val="1"/>
      <w:numFmt w:val="decimal"/>
      <w:isLgl/>
      <w:lvlText w:val="%1.%2.%3.%4.%5.%6.%7"/>
      <w:lvlJc w:val="left"/>
      <w:pPr>
        <w:ind w:left="1800" w:hanging="1440"/>
      </w:pPr>
      <w:rPr>
        <w:rFonts w:asciiTheme="minorHAnsi" w:eastAsiaTheme="minorHAnsi" w:hAnsiTheme="minorHAnsi" w:cstheme="minorBidi" w:hint="default"/>
        <w:b w:val="0"/>
      </w:rPr>
    </w:lvl>
    <w:lvl w:ilvl="7">
      <w:start w:val="1"/>
      <w:numFmt w:val="decimal"/>
      <w:isLgl/>
      <w:lvlText w:val="%1.%2.%3.%4.%5.%6.%7.%8"/>
      <w:lvlJc w:val="left"/>
      <w:pPr>
        <w:ind w:left="2160" w:hanging="1800"/>
      </w:pPr>
      <w:rPr>
        <w:rFonts w:asciiTheme="minorHAnsi" w:eastAsiaTheme="minorHAnsi" w:hAnsiTheme="minorHAnsi" w:cstheme="minorBidi" w:hint="default"/>
        <w:b w:val="0"/>
      </w:rPr>
    </w:lvl>
    <w:lvl w:ilvl="8">
      <w:start w:val="1"/>
      <w:numFmt w:val="decimal"/>
      <w:isLgl/>
      <w:lvlText w:val="%1.%2.%3.%4.%5.%6.%7.%8.%9"/>
      <w:lvlJc w:val="left"/>
      <w:pPr>
        <w:ind w:left="2160" w:hanging="1800"/>
      </w:pPr>
      <w:rPr>
        <w:rFonts w:asciiTheme="minorHAnsi" w:eastAsiaTheme="minorHAnsi" w:hAnsiTheme="minorHAnsi" w:cstheme="minorBidi" w:hint="default"/>
        <w:b w:val="0"/>
      </w:rPr>
    </w:lvl>
  </w:abstractNum>
  <w:abstractNum w:abstractNumId="3" w15:restartNumberingAfterBreak="0">
    <w:nsid w:val="69D31E2F"/>
    <w:multiLevelType w:val="hybridMultilevel"/>
    <w:tmpl w:val="4DE23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AF"/>
    <w:rsid w:val="000C49FD"/>
    <w:rsid w:val="0015248C"/>
    <w:rsid w:val="00161DD1"/>
    <w:rsid w:val="00197057"/>
    <w:rsid w:val="001B3240"/>
    <w:rsid w:val="00230C71"/>
    <w:rsid w:val="0027332F"/>
    <w:rsid w:val="002A7E2F"/>
    <w:rsid w:val="003B7927"/>
    <w:rsid w:val="003E411F"/>
    <w:rsid w:val="00400DB4"/>
    <w:rsid w:val="004066A7"/>
    <w:rsid w:val="004E4EEE"/>
    <w:rsid w:val="004F4101"/>
    <w:rsid w:val="004F4582"/>
    <w:rsid w:val="0052768A"/>
    <w:rsid w:val="00545944"/>
    <w:rsid w:val="005720D2"/>
    <w:rsid w:val="005A32B8"/>
    <w:rsid w:val="005D298E"/>
    <w:rsid w:val="005D37ED"/>
    <w:rsid w:val="00600EEC"/>
    <w:rsid w:val="00621392"/>
    <w:rsid w:val="006230D7"/>
    <w:rsid w:val="00642B13"/>
    <w:rsid w:val="006C14C3"/>
    <w:rsid w:val="006C69E5"/>
    <w:rsid w:val="00712D79"/>
    <w:rsid w:val="007E4696"/>
    <w:rsid w:val="007F0DFF"/>
    <w:rsid w:val="0097402F"/>
    <w:rsid w:val="00A07855"/>
    <w:rsid w:val="00A114B2"/>
    <w:rsid w:val="00A162B3"/>
    <w:rsid w:val="00A5733F"/>
    <w:rsid w:val="00A621EA"/>
    <w:rsid w:val="00A971AF"/>
    <w:rsid w:val="00AC3A72"/>
    <w:rsid w:val="00B03DE4"/>
    <w:rsid w:val="00BA6AB6"/>
    <w:rsid w:val="00BE3901"/>
    <w:rsid w:val="00C170FC"/>
    <w:rsid w:val="00C45777"/>
    <w:rsid w:val="00C5430E"/>
    <w:rsid w:val="00D21B68"/>
    <w:rsid w:val="00D36BE2"/>
    <w:rsid w:val="00D43F0A"/>
    <w:rsid w:val="00D5176E"/>
    <w:rsid w:val="00E05F1F"/>
    <w:rsid w:val="00E24BDA"/>
    <w:rsid w:val="00E47E88"/>
    <w:rsid w:val="00EB11F0"/>
    <w:rsid w:val="00EC56F9"/>
    <w:rsid w:val="00EE16F2"/>
    <w:rsid w:val="00F16FA1"/>
    <w:rsid w:val="00FB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1F20A2"/>
  <w15:chartTrackingRefBased/>
  <w15:docId w15:val="{0336DA7A-42BC-43FB-A391-41CD2B7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1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971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971A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971A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971A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97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1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971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971A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971A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971A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97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1AF"/>
    <w:rPr>
      <w:rFonts w:eastAsiaTheme="majorEastAsia" w:cstheme="majorBidi"/>
      <w:color w:val="272727" w:themeColor="text1" w:themeTint="D8"/>
    </w:rPr>
  </w:style>
  <w:style w:type="paragraph" w:styleId="Title">
    <w:name w:val="Title"/>
    <w:basedOn w:val="Normal"/>
    <w:next w:val="Normal"/>
    <w:link w:val="TitleChar"/>
    <w:uiPriority w:val="10"/>
    <w:qFormat/>
    <w:rsid w:val="00A97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1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1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71AF"/>
    <w:rPr>
      <w:i/>
      <w:iCs/>
      <w:color w:val="404040" w:themeColor="text1" w:themeTint="BF"/>
    </w:rPr>
  </w:style>
  <w:style w:type="paragraph" w:styleId="ListParagraph">
    <w:name w:val="List Paragraph"/>
    <w:basedOn w:val="Normal"/>
    <w:uiPriority w:val="34"/>
    <w:qFormat/>
    <w:rsid w:val="00A971AF"/>
    <w:pPr>
      <w:ind w:left="720"/>
      <w:contextualSpacing/>
    </w:pPr>
  </w:style>
  <w:style w:type="character" w:styleId="IntenseEmphasis">
    <w:name w:val="Intense Emphasis"/>
    <w:basedOn w:val="DefaultParagraphFont"/>
    <w:uiPriority w:val="21"/>
    <w:qFormat/>
    <w:rsid w:val="00A971AF"/>
    <w:rPr>
      <w:i/>
      <w:iCs/>
      <w:color w:val="365F91" w:themeColor="accent1" w:themeShade="BF"/>
    </w:rPr>
  </w:style>
  <w:style w:type="paragraph" w:styleId="IntenseQuote">
    <w:name w:val="Intense Quote"/>
    <w:basedOn w:val="Normal"/>
    <w:next w:val="Normal"/>
    <w:link w:val="IntenseQuoteChar"/>
    <w:uiPriority w:val="30"/>
    <w:qFormat/>
    <w:rsid w:val="00A971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971AF"/>
    <w:rPr>
      <w:i/>
      <w:iCs/>
      <w:color w:val="365F91" w:themeColor="accent1" w:themeShade="BF"/>
    </w:rPr>
  </w:style>
  <w:style w:type="character" w:styleId="IntenseReference">
    <w:name w:val="Intense Reference"/>
    <w:basedOn w:val="DefaultParagraphFont"/>
    <w:uiPriority w:val="32"/>
    <w:qFormat/>
    <w:rsid w:val="00A971AF"/>
    <w:rPr>
      <w:b/>
      <w:bCs/>
      <w:smallCaps/>
      <w:color w:val="365F91" w:themeColor="accent1" w:themeShade="BF"/>
      <w:spacing w:val="5"/>
    </w:rPr>
  </w:style>
  <w:style w:type="table" w:styleId="TableGridLight">
    <w:name w:val="Grid Table Light"/>
    <w:basedOn w:val="TableNormal"/>
    <w:uiPriority w:val="40"/>
    <w:rsid w:val="00161DD1"/>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D43F0A"/>
    <w:rPr>
      <w:color w:val="0000FF" w:themeColor="hyperlink"/>
      <w:u w:val="single"/>
    </w:rPr>
  </w:style>
  <w:style w:type="character" w:styleId="UnresolvedMention">
    <w:name w:val="Unresolved Mention"/>
    <w:basedOn w:val="DefaultParagraphFont"/>
    <w:uiPriority w:val="99"/>
    <w:semiHidden/>
    <w:unhideWhenUsed/>
    <w:rsid w:val="00D43F0A"/>
    <w:rPr>
      <w:color w:val="605E5C"/>
      <w:shd w:val="clear" w:color="auto" w:fill="E1DFDD"/>
    </w:rPr>
  </w:style>
  <w:style w:type="paragraph" w:styleId="Header">
    <w:name w:val="header"/>
    <w:basedOn w:val="Normal"/>
    <w:link w:val="HeaderChar"/>
    <w:uiPriority w:val="99"/>
    <w:unhideWhenUsed/>
    <w:rsid w:val="00C17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0FC"/>
  </w:style>
  <w:style w:type="paragraph" w:styleId="Footer">
    <w:name w:val="footer"/>
    <w:basedOn w:val="Normal"/>
    <w:link w:val="FooterChar"/>
    <w:uiPriority w:val="99"/>
    <w:unhideWhenUsed/>
    <w:rsid w:val="00C17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0FC"/>
  </w:style>
  <w:style w:type="paragraph" w:styleId="NoSpacing">
    <w:name w:val="No Spacing"/>
    <w:uiPriority w:val="1"/>
    <w:qFormat/>
    <w:rsid w:val="005D37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1DC1E-4B2B-4F31-AEF3-D930A00A3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3902</Words>
  <Characters>22243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ROHITH RAVULA</dc:creator>
  <cp:keywords/>
  <dc:description/>
  <cp:lastModifiedBy>Editor GP 005</cp:lastModifiedBy>
  <cp:revision>38</cp:revision>
  <dcterms:created xsi:type="dcterms:W3CDTF">2026-02-07T12:24:00Z</dcterms:created>
  <dcterms:modified xsi:type="dcterms:W3CDTF">2026-02-18T11:52:00Z</dcterms:modified>
</cp:coreProperties>
</file>