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5C4B8" w14:textId="6D015D5E" w:rsidR="00230D10" w:rsidRPr="00B94B81" w:rsidRDefault="00CD1D06" w:rsidP="00B94B81">
      <w:pPr>
        <w:pStyle w:val="Heading1"/>
        <w:rPr>
          <w:rFonts w:eastAsia="Times New Roman"/>
          <w:kern w:val="28"/>
          <w:sz w:val="48"/>
        </w:rPr>
      </w:pPr>
      <w:r w:rsidRPr="008B3D7E">
        <w:rPr>
          <w:rFonts w:eastAsia="Times New Roman"/>
          <w:kern w:val="28"/>
          <w:sz w:val="48"/>
          <w:highlight w:val="yellow"/>
        </w:rPr>
        <w:t>Integrated Hydrological Analysis for Water Resource Management and Flood Risk Forecasting in the Diani Watershed</w:t>
      </w:r>
    </w:p>
    <w:p w14:paraId="1C1EA2D8" w14:textId="77777777" w:rsidR="00D93721" w:rsidRDefault="00D93721">
      <w:pPr>
        <w:rPr>
          <w:lang w:val="en-US"/>
        </w:rPr>
      </w:pPr>
    </w:p>
    <w:p w14:paraId="5E59E7AC" w14:textId="77777777" w:rsidR="00D93721" w:rsidRPr="00B94B81" w:rsidRDefault="00D93721" w:rsidP="00765E28">
      <w:pPr>
        <w:spacing w:before="120" w:after="0" w:line="360" w:lineRule="auto"/>
        <w:jc w:val="both"/>
        <w:rPr>
          <w:rFonts w:ascii="Arial" w:hAnsi="Arial" w:cs="Arial"/>
          <w:b/>
          <w:sz w:val="20"/>
          <w:szCs w:val="20"/>
          <w:lang w:val="en-US"/>
        </w:rPr>
      </w:pPr>
      <w:r w:rsidRPr="00B94B81">
        <w:rPr>
          <w:rFonts w:ascii="Arial" w:hAnsi="Arial" w:cs="Arial"/>
          <w:b/>
          <w:sz w:val="20"/>
          <w:szCs w:val="20"/>
          <w:lang w:val="en-US"/>
        </w:rPr>
        <w:t>Abstract</w:t>
      </w:r>
    </w:p>
    <w:p w14:paraId="3A199BF5" w14:textId="3228FD5C" w:rsidR="00D93721" w:rsidRPr="00B94B81" w:rsidRDefault="00680B1F" w:rsidP="00B94B81">
      <w:pPr>
        <w:spacing w:after="0" w:line="240" w:lineRule="auto"/>
        <w:jc w:val="both"/>
        <w:rPr>
          <w:rFonts w:ascii="Arial" w:hAnsi="Arial" w:cs="Arial"/>
          <w:sz w:val="20"/>
          <w:szCs w:val="20"/>
          <w:lang w:val="en-US"/>
        </w:rPr>
      </w:pPr>
      <w:r w:rsidRPr="00680B1F">
        <w:rPr>
          <w:rFonts w:ascii="Arial" w:hAnsi="Arial" w:cs="Arial"/>
          <w:sz w:val="20"/>
          <w:szCs w:val="20"/>
          <w:highlight w:val="yellow"/>
          <w:lang w:val="en-US"/>
        </w:rPr>
        <w:t>The Diani watershed faces increasing pressure on its water resources due to climate variability, population growth, urbanization, and agricultural and pastoral activities. Increasingly frequent episodes of intense rainfall, exacerbated by climate change, cause recurring floods resulting in loss of life, property damage, degradation of agricultural land, and socio-economic disruption. Furthermore, the lack of reliable hydrometeorological data, insufficient flood control infrastructure (retention basins, dikes, drainage canals), uncontrolled development in flood-prone areas, and deforestation further increase the watershed's vulnerability. Poor coordination among institutional stakeholders and the limited integration of modern hydrological modeling tools also hinder the effectiveness of early warning systems</w:t>
      </w:r>
      <w:r w:rsidRPr="00680B1F">
        <w:rPr>
          <w:rFonts w:ascii="Arial" w:hAnsi="Arial" w:cs="Arial"/>
          <w:sz w:val="20"/>
          <w:szCs w:val="20"/>
          <w:lang w:val="en-US"/>
        </w:rPr>
        <w:t>.</w:t>
      </w:r>
      <w:r>
        <w:rPr>
          <w:rFonts w:ascii="Arial" w:hAnsi="Arial" w:cs="Arial"/>
          <w:sz w:val="20"/>
          <w:szCs w:val="20"/>
          <w:lang w:val="en-US"/>
        </w:rPr>
        <w:t xml:space="preserve"> </w:t>
      </w:r>
      <w:r w:rsidR="00D93721" w:rsidRPr="00B94B81">
        <w:rPr>
          <w:rFonts w:ascii="Arial" w:hAnsi="Arial" w:cs="Arial"/>
          <w:sz w:val="20"/>
          <w:szCs w:val="20"/>
          <w:lang w:val="en-US"/>
        </w:rPr>
        <w:t>The objective of this study is to estimate return periods and quantiles of extreme rainfall and discharge in order to analyze the relationship between these two variables in the Diani watershed in Guinea's Forest Region. The methodological approach consists of finding a statistical distribution of maximum annual rainfall and discharge from 1995 to 2024 by fitting them to the Gumbel distribution of extreme values. The parameters of the Gumbel extreme value distribution were estimated using the weighted moment method. The results show that the data studied fit the Gumbel extreme value distribution well. Furthermore, the annual maxima of precipitation and stream flow have return periods of 6, 12, 20, and 60 years, respectively. These return periods correspond to abnormal, highly abnormal, and exceptional events.</w:t>
      </w:r>
      <w:r w:rsidR="00093393" w:rsidRPr="00B94B81">
        <w:rPr>
          <w:rFonts w:ascii="Arial" w:hAnsi="Arial" w:cs="Arial"/>
          <w:sz w:val="20"/>
          <w:szCs w:val="20"/>
          <w:lang w:val="en-US"/>
        </w:rPr>
        <w:t xml:space="preserve"> The rainfall and flow quantiles corresponding to these events are 85.8, 99.1, 108.6, and 128.6 mm for the N’Zérékoré station; and 96.1, 113.8, 126.4, and 153.2 mm for the Macenta station, with flow rates of 195.6, 227.3, 249.9, and 297.7 m³/s respectively. Unpredictable extreme rainfall can lead to flooding, which could have serious economic and social consequences in the Diani watershed. The correlation coefficient between rainfall and flow rate is -0.041 at the N’Zérékoré station and 0.013 at the Macenta station. Indeed, these results show that there is no significant relationship between rainfall (N’Zérékoré, Macenta) and flow rates in the Diani River watershed.</w:t>
      </w:r>
    </w:p>
    <w:p w14:paraId="0380E41E" w14:textId="77777777" w:rsidR="00093393" w:rsidRPr="00B94B81" w:rsidRDefault="00093393" w:rsidP="00765E28">
      <w:pPr>
        <w:spacing w:before="120" w:after="0" w:line="360" w:lineRule="auto"/>
        <w:jc w:val="both"/>
        <w:rPr>
          <w:rFonts w:ascii="Arial" w:hAnsi="Arial" w:cs="Arial"/>
          <w:bCs/>
          <w:i/>
          <w:iCs/>
          <w:sz w:val="20"/>
          <w:szCs w:val="20"/>
          <w:lang w:val="en-US"/>
        </w:rPr>
      </w:pPr>
      <w:r w:rsidRPr="00B94B81">
        <w:rPr>
          <w:rFonts w:ascii="Arial" w:hAnsi="Arial" w:cs="Arial"/>
          <w:bCs/>
          <w:i/>
          <w:iCs/>
          <w:sz w:val="20"/>
          <w:szCs w:val="20"/>
          <w:lang w:val="en-US"/>
        </w:rPr>
        <w:t>Keywords: Management, water resources, forecasting, risks, floods, watershed</w:t>
      </w:r>
    </w:p>
    <w:p w14:paraId="02BC0BC6" w14:textId="77777777" w:rsidR="00690409" w:rsidRPr="00B94B81" w:rsidRDefault="00690409" w:rsidP="00765E28">
      <w:pPr>
        <w:spacing w:before="120" w:after="0" w:line="360" w:lineRule="auto"/>
        <w:jc w:val="both"/>
        <w:rPr>
          <w:rFonts w:ascii="Arial" w:hAnsi="Arial" w:cs="Arial"/>
          <w:b/>
          <w:lang w:val="en-US"/>
        </w:rPr>
      </w:pPr>
      <w:r w:rsidRPr="00B94B81">
        <w:rPr>
          <w:rFonts w:ascii="Arial" w:hAnsi="Arial" w:cs="Arial"/>
          <w:b/>
          <w:lang w:val="en-US"/>
        </w:rPr>
        <w:t>1. Introduction</w:t>
      </w:r>
    </w:p>
    <w:p w14:paraId="031C593D" w14:textId="3EC365AE" w:rsidR="00690409" w:rsidRDefault="00690409" w:rsidP="00B94B81">
      <w:pPr>
        <w:spacing w:after="0" w:line="240" w:lineRule="auto"/>
        <w:jc w:val="both"/>
        <w:rPr>
          <w:rFonts w:ascii="Arial" w:hAnsi="Arial" w:cs="Arial"/>
          <w:sz w:val="20"/>
          <w:szCs w:val="20"/>
          <w:lang w:val="en-US"/>
        </w:rPr>
      </w:pPr>
      <w:r w:rsidRPr="00B94B81">
        <w:rPr>
          <w:rFonts w:ascii="Arial" w:hAnsi="Arial" w:cs="Arial"/>
          <w:sz w:val="20"/>
          <w:szCs w:val="20"/>
          <w:lang w:val="en-US"/>
        </w:rPr>
        <w:t>The rational management of water resources at the scale of watersheds in general and ecosystems in particular requires a good knowledge of the variability of rainfall and hydrological regimes, especially during periods of crisis linke</w:t>
      </w:r>
      <w:r w:rsidR="00A309DB" w:rsidRPr="00B94B81">
        <w:rPr>
          <w:rFonts w:ascii="Arial" w:hAnsi="Arial" w:cs="Arial"/>
          <w:sz w:val="20"/>
          <w:szCs w:val="20"/>
          <w:lang w:val="en-US"/>
        </w:rPr>
        <w:t>d to flood or low water events (</w:t>
      </w:r>
      <w:r w:rsidR="00A309DB" w:rsidRPr="00B94B81">
        <w:rPr>
          <w:rFonts w:ascii="Arial" w:hAnsi="Arial" w:cs="Arial"/>
          <w:color w:val="4472C4" w:themeColor="accent5"/>
          <w:sz w:val="20"/>
          <w:szCs w:val="20"/>
          <w:lang w:val="en-US"/>
        </w:rPr>
        <w:t>Bai et al</w:t>
      </w:r>
      <w:r w:rsidR="00B94B81">
        <w:rPr>
          <w:rFonts w:ascii="Arial" w:hAnsi="Arial" w:cs="Arial"/>
          <w:color w:val="4472C4" w:themeColor="accent5"/>
          <w:sz w:val="20"/>
          <w:szCs w:val="20"/>
          <w:lang w:val="en-US"/>
        </w:rPr>
        <w:t>.</w:t>
      </w:r>
      <w:r w:rsidR="00A309DB" w:rsidRPr="00B94B81">
        <w:rPr>
          <w:rFonts w:ascii="Arial" w:hAnsi="Arial" w:cs="Arial"/>
          <w:color w:val="4472C4" w:themeColor="accent5"/>
          <w:sz w:val="20"/>
          <w:szCs w:val="20"/>
          <w:lang w:val="en-US"/>
        </w:rPr>
        <w:t>, 2020</w:t>
      </w:r>
      <w:r w:rsidR="00A309DB" w:rsidRPr="00B94B81">
        <w:rPr>
          <w:rFonts w:ascii="Arial" w:hAnsi="Arial" w:cs="Arial"/>
          <w:sz w:val="20"/>
          <w:szCs w:val="20"/>
          <w:lang w:val="en-US"/>
        </w:rPr>
        <w:t>)</w:t>
      </w:r>
      <w:r w:rsidRPr="00B94B81">
        <w:rPr>
          <w:rFonts w:ascii="Arial" w:hAnsi="Arial" w:cs="Arial"/>
          <w:sz w:val="20"/>
          <w:szCs w:val="20"/>
          <w:lang w:val="en-US"/>
        </w:rPr>
        <w:t>. In the dry tropical regions of West Africa, the development of water resources for agriculture and livestock farming through small-scale hydro-agricultural developments requires a good understanding of rainfall and hydrological patterns, and in particular the characteristics of exceptional floods, to prevent the risks of destruction of hydraulic structures and crops.</w:t>
      </w:r>
    </w:p>
    <w:p w14:paraId="6BA99FC8" w14:textId="77777777" w:rsidR="00B94B81" w:rsidRPr="00B94B81" w:rsidRDefault="00B94B81" w:rsidP="00B94B81">
      <w:pPr>
        <w:spacing w:after="0" w:line="240" w:lineRule="auto"/>
        <w:jc w:val="both"/>
        <w:rPr>
          <w:rFonts w:ascii="Arial" w:hAnsi="Arial" w:cs="Arial"/>
          <w:sz w:val="20"/>
          <w:szCs w:val="20"/>
          <w:lang w:val="en-US"/>
        </w:rPr>
      </w:pPr>
    </w:p>
    <w:p w14:paraId="71983660" w14:textId="76E6D8F3" w:rsidR="00690409" w:rsidRDefault="00690409" w:rsidP="00B94B81">
      <w:pPr>
        <w:spacing w:after="0" w:line="240" w:lineRule="auto"/>
        <w:jc w:val="both"/>
        <w:rPr>
          <w:rFonts w:ascii="Arial" w:hAnsi="Arial" w:cs="Arial"/>
          <w:sz w:val="20"/>
          <w:szCs w:val="20"/>
          <w:lang w:val="en-US"/>
        </w:rPr>
      </w:pPr>
      <w:r w:rsidRPr="00B94B81">
        <w:rPr>
          <w:rFonts w:ascii="Arial" w:hAnsi="Arial" w:cs="Arial"/>
          <w:sz w:val="20"/>
          <w:szCs w:val="20"/>
          <w:lang w:val="en-US"/>
        </w:rPr>
        <w:t>The potential consequences of climate change include, among other things, an increase in extreme events or hydrometeorological situations which, until now, have manifested as heavy rainfall or prolonged periods of drought.</w:t>
      </w:r>
      <w:r w:rsidR="0026693F" w:rsidRPr="00B94B81">
        <w:rPr>
          <w:rFonts w:ascii="Arial" w:hAnsi="Arial" w:cs="Arial"/>
          <w:sz w:val="20"/>
          <w:szCs w:val="20"/>
          <w:lang w:val="en-US"/>
        </w:rPr>
        <w:t xml:space="preserve"> The overall variation in rainfall, excess and poor temporal or spatio-temporal distribution over several years has significant repercussions on hydrological and agronomic levels, but also on economic, so</w:t>
      </w:r>
      <w:r w:rsidR="00660BF7" w:rsidRPr="00B94B81">
        <w:rPr>
          <w:rFonts w:ascii="Arial" w:hAnsi="Arial" w:cs="Arial"/>
          <w:sz w:val="20"/>
          <w:szCs w:val="20"/>
          <w:lang w:val="en-US"/>
        </w:rPr>
        <w:t>cial and even political levels (</w:t>
      </w:r>
      <w:r w:rsidR="00660BF7" w:rsidRPr="00B94B81">
        <w:rPr>
          <w:rFonts w:ascii="Arial" w:hAnsi="Arial" w:cs="Arial"/>
          <w:color w:val="4472C4" w:themeColor="accent5"/>
          <w:sz w:val="20"/>
          <w:szCs w:val="20"/>
          <w:lang w:val="en-US"/>
        </w:rPr>
        <w:t>Bergstrand</w:t>
      </w:r>
      <w:r w:rsidR="002B548B" w:rsidRPr="00B94B81">
        <w:rPr>
          <w:rFonts w:ascii="Arial" w:hAnsi="Arial" w:cs="Arial"/>
          <w:color w:val="4472C4" w:themeColor="accent5"/>
          <w:sz w:val="20"/>
          <w:szCs w:val="20"/>
          <w:lang w:val="en-US"/>
        </w:rPr>
        <w:t xml:space="preserve"> et al., 2014</w:t>
      </w:r>
      <w:r w:rsidR="00660BF7" w:rsidRPr="00B94B81">
        <w:rPr>
          <w:rFonts w:ascii="Arial" w:hAnsi="Arial" w:cs="Arial"/>
          <w:sz w:val="20"/>
          <w:szCs w:val="20"/>
          <w:lang w:val="en-US"/>
        </w:rPr>
        <w:t>)</w:t>
      </w:r>
      <w:r w:rsidR="0026693F" w:rsidRPr="00B94B81">
        <w:rPr>
          <w:rFonts w:ascii="Arial" w:hAnsi="Arial" w:cs="Arial"/>
          <w:sz w:val="20"/>
          <w:szCs w:val="20"/>
          <w:lang w:val="en-US"/>
        </w:rPr>
        <w:t>.</w:t>
      </w:r>
      <w:r w:rsidR="007C4635" w:rsidRPr="00B94B81">
        <w:rPr>
          <w:rFonts w:ascii="Arial" w:hAnsi="Arial" w:cs="Arial"/>
          <w:sz w:val="20"/>
          <w:szCs w:val="20"/>
          <w:lang w:val="en-US"/>
        </w:rPr>
        <w:t xml:space="preserve"> One of the most damaging consequences for the economy is the invalidity of hydrological standards used to design structures. It is therefore necessary to find a method for analyzing maximum rainfall and precipitation levels in order to have reliable management tools.</w:t>
      </w:r>
    </w:p>
    <w:p w14:paraId="3C420EA8" w14:textId="77777777" w:rsidR="00B94B81" w:rsidRPr="00B94B81" w:rsidRDefault="00B94B81" w:rsidP="00B94B81">
      <w:pPr>
        <w:spacing w:after="0" w:line="240" w:lineRule="auto"/>
        <w:jc w:val="both"/>
        <w:rPr>
          <w:rFonts w:ascii="Arial" w:hAnsi="Arial" w:cs="Arial"/>
          <w:sz w:val="20"/>
          <w:szCs w:val="20"/>
          <w:lang w:val="en-US"/>
        </w:rPr>
      </w:pPr>
    </w:p>
    <w:p w14:paraId="776B0112" w14:textId="2D537CC8" w:rsidR="007C4635" w:rsidRDefault="007C4635" w:rsidP="00B94B81">
      <w:pPr>
        <w:spacing w:after="0" w:line="240" w:lineRule="auto"/>
        <w:jc w:val="both"/>
        <w:rPr>
          <w:rFonts w:ascii="Arial" w:hAnsi="Arial" w:cs="Arial"/>
          <w:sz w:val="20"/>
          <w:szCs w:val="20"/>
          <w:lang w:val="en-US"/>
        </w:rPr>
      </w:pPr>
      <w:r w:rsidRPr="00B94B81">
        <w:rPr>
          <w:rFonts w:ascii="Arial" w:hAnsi="Arial" w:cs="Arial"/>
          <w:sz w:val="20"/>
          <w:szCs w:val="20"/>
          <w:lang w:val="en-US"/>
        </w:rPr>
        <w:t>Furthermore, a good knowledge of rainfall and hydrological regimes makes it possible to better estimate annual volumetric inputs in order to better size storage facilities and determine their potential to contribute to development and to</w:t>
      </w:r>
      <w:r w:rsidR="002B548B" w:rsidRPr="00B94B81">
        <w:rPr>
          <w:rFonts w:ascii="Arial" w:hAnsi="Arial" w:cs="Arial"/>
          <w:sz w:val="20"/>
          <w:szCs w:val="20"/>
          <w:lang w:val="en-US"/>
        </w:rPr>
        <w:t xml:space="preserve"> meet the needs of populations (</w:t>
      </w:r>
      <w:proofErr w:type="spellStart"/>
      <w:r w:rsidR="002B548B" w:rsidRPr="00B94B81">
        <w:rPr>
          <w:rFonts w:ascii="Arial" w:hAnsi="Arial" w:cs="Arial"/>
          <w:color w:val="4472C4" w:themeColor="accent5"/>
          <w:sz w:val="20"/>
          <w:szCs w:val="20"/>
          <w:lang w:val="en-US"/>
        </w:rPr>
        <w:t>Aghakouchak</w:t>
      </w:r>
      <w:proofErr w:type="spellEnd"/>
      <w:r w:rsidR="002B548B" w:rsidRPr="00B94B81">
        <w:rPr>
          <w:rFonts w:ascii="Arial" w:hAnsi="Arial" w:cs="Arial"/>
          <w:color w:val="4472C4" w:themeColor="accent5"/>
          <w:sz w:val="20"/>
          <w:szCs w:val="20"/>
          <w:lang w:val="en-US"/>
        </w:rPr>
        <w:t xml:space="preserve"> et al., 2020</w:t>
      </w:r>
      <w:r w:rsidR="002B548B" w:rsidRPr="00B94B81">
        <w:rPr>
          <w:rFonts w:ascii="Arial" w:hAnsi="Arial" w:cs="Arial"/>
          <w:sz w:val="20"/>
          <w:szCs w:val="20"/>
          <w:lang w:val="en-US"/>
        </w:rPr>
        <w:t>)</w:t>
      </w:r>
      <w:r w:rsidRPr="00B94B81">
        <w:rPr>
          <w:rFonts w:ascii="Arial" w:hAnsi="Arial" w:cs="Arial"/>
          <w:sz w:val="20"/>
          <w:szCs w:val="20"/>
          <w:lang w:val="en-US"/>
        </w:rPr>
        <w:t>.</w:t>
      </w:r>
    </w:p>
    <w:p w14:paraId="1FD0EE52" w14:textId="77777777" w:rsidR="00B94B81" w:rsidRPr="00B94B81" w:rsidRDefault="00B94B81" w:rsidP="00B94B81">
      <w:pPr>
        <w:spacing w:after="0" w:line="240" w:lineRule="auto"/>
        <w:jc w:val="both"/>
        <w:rPr>
          <w:rFonts w:ascii="Arial" w:hAnsi="Arial" w:cs="Arial"/>
          <w:sz w:val="20"/>
          <w:szCs w:val="20"/>
          <w:lang w:val="en-US"/>
        </w:rPr>
      </w:pPr>
    </w:p>
    <w:p w14:paraId="270929BD" w14:textId="6A8ECCD8" w:rsidR="00180804" w:rsidRPr="004639D2" w:rsidRDefault="007C4635" w:rsidP="00180804">
      <w:pPr>
        <w:spacing w:after="0" w:line="240" w:lineRule="auto"/>
        <w:jc w:val="both"/>
        <w:rPr>
          <w:rFonts w:ascii="Arial" w:hAnsi="Arial" w:cs="Arial"/>
          <w:sz w:val="20"/>
          <w:szCs w:val="20"/>
          <w:highlight w:val="yellow"/>
        </w:rPr>
      </w:pPr>
      <w:r w:rsidRPr="0052402B">
        <w:rPr>
          <w:rFonts w:ascii="Arial" w:hAnsi="Arial" w:cs="Arial"/>
          <w:sz w:val="20"/>
          <w:szCs w:val="20"/>
          <w:highlight w:val="yellow"/>
          <w:lang w:val="en-US"/>
        </w:rPr>
        <w:t xml:space="preserve">Based on the principle that a natural risk is managed better when one has prepared for it, it is necessary, </w:t>
      </w:r>
      <w:r w:rsidRPr="00180804">
        <w:rPr>
          <w:rFonts w:ascii="Arial" w:hAnsi="Arial" w:cs="Arial"/>
          <w:sz w:val="20"/>
          <w:szCs w:val="20"/>
          <w:highlight w:val="yellow"/>
          <w:lang w:val="en-US"/>
        </w:rPr>
        <w:t>in order to prevent any hydrometeorological crisis situation, to seek to better understand and quantify the rainfall and hydrological regimes of small watersheds; this allows for a better estimation of the rainfall and hydrological parameters of these watersheds which have sufficient rainfall and hydrological data.</w:t>
      </w:r>
      <w:r w:rsidR="00180804" w:rsidRPr="00180804">
        <w:rPr>
          <w:rFonts w:ascii="Arial" w:hAnsi="Arial" w:cs="Arial"/>
          <w:sz w:val="20"/>
          <w:szCs w:val="20"/>
          <w:highlight w:val="yellow"/>
          <w:lang w:val="en-US"/>
        </w:rPr>
        <w:t xml:space="preserve"> (</w:t>
      </w:r>
      <w:r w:rsidR="00180804" w:rsidRPr="008B3D7E">
        <w:rPr>
          <w:rFonts w:ascii="Arial" w:hAnsi="Arial" w:cs="Arial"/>
          <w:color w:val="4472C4" w:themeColor="accent5"/>
          <w:sz w:val="20"/>
          <w:szCs w:val="20"/>
          <w:highlight w:val="yellow"/>
          <w:lang w:val="en-US"/>
        </w:rPr>
        <w:t xml:space="preserve">Sisay et al., 2019 </w:t>
      </w:r>
      <w:proofErr w:type="gramStart"/>
      <w:r w:rsidR="00180804" w:rsidRPr="008B3D7E">
        <w:rPr>
          <w:rFonts w:ascii="Arial" w:hAnsi="Arial" w:cs="Arial"/>
          <w:color w:val="4472C4" w:themeColor="accent5"/>
          <w:sz w:val="20"/>
          <w:szCs w:val="20"/>
          <w:highlight w:val="yellow"/>
          <w:lang w:val="en-US"/>
        </w:rPr>
        <w:t xml:space="preserve">and  </w:t>
      </w:r>
      <w:proofErr w:type="spellStart"/>
      <w:r w:rsidR="00180804" w:rsidRPr="004639D2">
        <w:rPr>
          <w:rFonts w:ascii="Arial" w:hAnsi="Arial" w:cs="Arial"/>
          <w:color w:val="4472C4" w:themeColor="accent5"/>
          <w:sz w:val="20"/>
          <w:szCs w:val="20"/>
          <w:highlight w:val="yellow"/>
          <w:lang w:val="en-US"/>
        </w:rPr>
        <w:t>Laddaporn</w:t>
      </w:r>
      <w:proofErr w:type="spellEnd"/>
      <w:proofErr w:type="gramEnd"/>
      <w:r w:rsidR="00180804" w:rsidRPr="004639D2">
        <w:rPr>
          <w:rFonts w:ascii="Arial" w:hAnsi="Arial" w:cs="Arial"/>
          <w:color w:val="4472C4" w:themeColor="accent5"/>
          <w:sz w:val="20"/>
          <w:szCs w:val="20"/>
          <w:highlight w:val="yellow"/>
          <w:lang w:val="en-US"/>
        </w:rPr>
        <w:t xml:space="preserve"> </w:t>
      </w:r>
      <w:r w:rsidR="008B3D7E" w:rsidRPr="008B3D7E">
        <w:rPr>
          <w:rFonts w:ascii="Arial" w:hAnsi="Arial" w:cs="Arial"/>
          <w:color w:val="4472C4" w:themeColor="accent5"/>
          <w:sz w:val="20"/>
          <w:szCs w:val="20"/>
          <w:highlight w:val="yellow"/>
          <w:lang w:val="en-US"/>
        </w:rPr>
        <w:t>et al.,</w:t>
      </w:r>
      <w:r w:rsidR="00180804" w:rsidRPr="004639D2">
        <w:rPr>
          <w:rFonts w:ascii="Arial" w:hAnsi="Arial" w:cs="Arial"/>
          <w:color w:val="4472C4" w:themeColor="accent5"/>
          <w:sz w:val="20"/>
          <w:szCs w:val="20"/>
          <w:highlight w:val="yellow"/>
          <w:lang w:val="en-US"/>
        </w:rPr>
        <w:t xml:space="preserve"> 2020</w:t>
      </w:r>
      <w:r w:rsidR="00180804" w:rsidRPr="008B3D7E">
        <w:rPr>
          <w:rFonts w:ascii="Arial" w:hAnsi="Arial" w:cs="Arial"/>
          <w:sz w:val="20"/>
          <w:szCs w:val="20"/>
          <w:highlight w:val="yellow"/>
        </w:rPr>
        <w:t xml:space="preserve">) </w:t>
      </w:r>
    </w:p>
    <w:p w14:paraId="31A3A3D8" w14:textId="2593104D" w:rsidR="0052402B" w:rsidRPr="008B3D7E" w:rsidRDefault="0052402B" w:rsidP="00B94B81">
      <w:pPr>
        <w:spacing w:after="0" w:line="240" w:lineRule="auto"/>
        <w:jc w:val="both"/>
        <w:rPr>
          <w:rFonts w:ascii="Arial" w:hAnsi="Arial" w:cs="Arial"/>
          <w:sz w:val="20"/>
          <w:szCs w:val="20"/>
          <w:highlight w:val="yellow"/>
          <w:lang w:val="en-US"/>
        </w:rPr>
      </w:pPr>
    </w:p>
    <w:p w14:paraId="7A822CBB" w14:textId="2B19512E" w:rsidR="00180804" w:rsidRDefault="0052402B" w:rsidP="00180804">
      <w:pPr>
        <w:jc w:val="both"/>
      </w:pPr>
      <w:r w:rsidRPr="008B3D7E">
        <w:rPr>
          <w:rFonts w:ascii="Arial" w:hAnsi="Arial" w:cs="Arial"/>
          <w:sz w:val="20"/>
          <w:szCs w:val="20"/>
          <w:highlight w:val="yellow"/>
          <w:lang w:val="en-US"/>
        </w:rPr>
        <w:t>This study is important for improving the rational management of water resources in small watersheds by enhancing understanding of rainfall variability and hydrological regimes, particularly during extreme flood and drought events. In the context of climate change and increasing hydrometeorological extremes, reliable analysis of maximum rainfall and flows is essential for the safe design and sustainability of hydraulic and agricultural infrastructure. The findings support better estimation of water availability and storage requirements, contributing to improved agricultural productivity and livelihood security. Overall, the study provides decision-makers with robust tools to mitigate hydrological risks and strengthen watershed resilience in dry tropical regions</w:t>
      </w:r>
      <w:r w:rsidR="00180804" w:rsidRPr="008B3D7E">
        <w:rPr>
          <w:rFonts w:ascii="Arial" w:hAnsi="Arial" w:cs="Arial"/>
          <w:sz w:val="20"/>
          <w:szCs w:val="20"/>
          <w:highlight w:val="yellow"/>
          <w:lang w:val="en-US"/>
        </w:rPr>
        <w:t xml:space="preserve"> </w:t>
      </w:r>
      <w:r w:rsidR="00180804" w:rsidRPr="008B3D7E">
        <w:rPr>
          <w:rFonts w:ascii="Arial" w:hAnsi="Arial" w:cs="Arial"/>
          <w:sz w:val="20"/>
          <w:szCs w:val="20"/>
          <w:highlight w:val="yellow"/>
        </w:rPr>
        <w:t>(</w:t>
      </w:r>
      <w:r w:rsidR="00180804" w:rsidRPr="008B3D7E">
        <w:rPr>
          <w:rFonts w:ascii="Arial" w:hAnsi="Arial" w:cs="Arial"/>
          <w:color w:val="4472C4" w:themeColor="accent5"/>
          <w:sz w:val="20"/>
          <w:szCs w:val="20"/>
          <w:highlight w:val="yellow"/>
          <w:lang w:val="en-US"/>
        </w:rPr>
        <w:t>Martin et al., 2026</w:t>
      </w:r>
      <w:r w:rsidR="00180804" w:rsidRPr="008B3D7E">
        <w:rPr>
          <w:rFonts w:ascii="Arial" w:hAnsi="Arial" w:cs="Arial"/>
          <w:sz w:val="20"/>
          <w:szCs w:val="20"/>
          <w:highlight w:val="yellow"/>
        </w:rPr>
        <w:t>).</w:t>
      </w:r>
    </w:p>
    <w:p w14:paraId="5F150001" w14:textId="10B2F714" w:rsidR="007C4635" w:rsidRPr="00B94B81" w:rsidRDefault="007C4635" w:rsidP="00B94B81">
      <w:pPr>
        <w:spacing w:after="0" w:line="240" w:lineRule="auto"/>
        <w:jc w:val="both"/>
        <w:rPr>
          <w:rFonts w:ascii="Arial" w:hAnsi="Arial" w:cs="Arial"/>
          <w:sz w:val="20"/>
          <w:szCs w:val="20"/>
          <w:lang w:val="en-US"/>
        </w:rPr>
      </w:pPr>
      <w:r w:rsidRPr="00B94B81">
        <w:rPr>
          <w:rFonts w:ascii="Arial" w:hAnsi="Arial" w:cs="Arial"/>
          <w:sz w:val="20"/>
          <w:szCs w:val="20"/>
          <w:lang w:val="en-US"/>
        </w:rPr>
        <w:t>Therefore, with a view to helping basin managers in Forest Guinea to have a better understanding of extreme hydrometeorological events at the scale of Diani, this work proposes to analyze maximum flows and rainfall, to evaluate the relationship between rainfall and characteristic flows of the basin and, finally, to formulate a model allowing the estimation of return times and quantiles of maximum flows and rainfall.</w:t>
      </w:r>
    </w:p>
    <w:p w14:paraId="43AE18EE" w14:textId="77777777" w:rsidR="005C7A95" w:rsidRPr="0026579C" w:rsidRDefault="005C7A95" w:rsidP="0026579C">
      <w:pPr>
        <w:spacing w:before="120" w:after="120" w:line="240" w:lineRule="auto"/>
        <w:jc w:val="both"/>
        <w:rPr>
          <w:rFonts w:ascii="Arial" w:hAnsi="Arial" w:cs="Arial"/>
          <w:b/>
          <w:lang w:val="en-US"/>
        </w:rPr>
      </w:pPr>
      <w:r w:rsidRPr="0026579C">
        <w:rPr>
          <w:rFonts w:ascii="Arial" w:hAnsi="Arial" w:cs="Arial"/>
          <w:b/>
          <w:lang w:val="en-US"/>
        </w:rPr>
        <w:t>2. Materials and Methods</w:t>
      </w:r>
    </w:p>
    <w:p w14:paraId="08FF31E3" w14:textId="77777777" w:rsidR="005C7A95" w:rsidRPr="00B94B81" w:rsidRDefault="005C7A95" w:rsidP="0026579C">
      <w:pPr>
        <w:spacing w:before="120" w:after="120" w:line="240" w:lineRule="auto"/>
        <w:jc w:val="both"/>
        <w:rPr>
          <w:rFonts w:ascii="Arial" w:hAnsi="Arial" w:cs="Arial"/>
          <w:b/>
          <w:sz w:val="20"/>
          <w:szCs w:val="20"/>
          <w:lang w:val="en-US"/>
        </w:rPr>
      </w:pPr>
      <w:r w:rsidRPr="00B94B81">
        <w:rPr>
          <w:rFonts w:ascii="Arial" w:hAnsi="Arial" w:cs="Arial"/>
          <w:b/>
          <w:sz w:val="20"/>
          <w:szCs w:val="20"/>
          <w:lang w:val="en-US"/>
        </w:rPr>
        <w:t>2.1. Study Setting and Data</w:t>
      </w:r>
    </w:p>
    <w:p w14:paraId="4129999F" w14:textId="0A641C98" w:rsidR="005C7A95" w:rsidRPr="00B94B81" w:rsidRDefault="005C7A95" w:rsidP="00B94B81">
      <w:pPr>
        <w:spacing w:after="0" w:line="240" w:lineRule="auto"/>
        <w:jc w:val="both"/>
        <w:rPr>
          <w:rFonts w:ascii="Arial" w:hAnsi="Arial" w:cs="Arial"/>
          <w:sz w:val="20"/>
          <w:szCs w:val="20"/>
          <w:lang w:val="en-US"/>
        </w:rPr>
      </w:pPr>
      <w:r w:rsidRPr="00B94B81">
        <w:rPr>
          <w:rFonts w:ascii="Arial" w:hAnsi="Arial" w:cs="Arial"/>
          <w:sz w:val="20"/>
          <w:szCs w:val="20"/>
          <w:lang w:val="en-US"/>
        </w:rPr>
        <w:t>The Diani River watershed, located in the Forest Region of Guinea (between 7°30' - 9°30' North and 8°0' - 10°30' West), is a major ecosystem covering approximately 5,200 km</w:t>
      </w:r>
      <w:r w:rsidRPr="0026579C">
        <w:rPr>
          <w:rFonts w:ascii="Arial" w:hAnsi="Arial" w:cs="Arial"/>
          <w:sz w:val="20"/>
          <w:szCs w:val="20"/>
          <w:lang w:val="en-US"/>
        </w:rPr>
        <w:t>² (</w:t>
      </w:r>
      <w:r w:rsidR="0026579C" w:rsidRPr="0026579C">
        <w:rPr>
          <w:rFonts w:ascii="Arial" w:hAnsi="Arial" w:cs="Arial"/>
          <w:sz w:val="20"/>
          <w:szCs w:val="20"/>
          <w:lang w:val="en-US"/>
        </w:rPr>
        <w:t>F</w:t>
      </w:r>
      <w:r w:rsidRPr="0026579C">
        <w:rPr>
          <w:rFonts w:ascii="Arial" w:hAnsi="Arial" w:cs="Arial"/>
          <w:sz w:val="20"/>
          <w:szCs w:val="20"/>
          <w:lang w:val="en-US"/>
        </w:rPr>
        <w:t>ig</w:t>
      </w:r>
      <w:r w:rsidR="0026579C" w:rsidRPr="0026579C">
        <w:rPr>
          <w:rFonts w:ascii="Arial" w:hAnsi="Arial" w:cs="Arial"/>
          <w:sz w:val="20"/>
          <w:szCs w:val="20"/>
          <w:lang w:val="en-US"/>
        </w:rPr>
        <w:t>.</w:t>
      </w:r>
      <w:r w:rsidRPr="0026579C">
        <w:rPr>
          <w:rFonts w:ascii="Arial" w:hAnsi="Arial" w:cs="Arial"/>
          <w:sz w:val="20"/>
          <w:szCs w:val="20"/>
          <w:lang w:val="en-US"/>
        </w:rPr>
        <w:t xml:space="preserve"> 1). It is one of the most important watercourses in the region, essential for local hydrography. It originates in the</w:t>
      </w:r>
      <w:r w:rsidRPr="00B94B81">
        <w:rPr>
          <w:rFonts w:ascii="Arial" w:hAnsi="Arial" w:cs="Arial"/>
          <w:sz w:val="20"/>
          <w:szCs w:val="20"/>
          <w:lang w:val="en-US"/>
        </w:rPr>
        <w:t xml:space="preserve"> Ziama Classified Forest (Macenta Prefecture), forms the boundary between the Macenta and N'Zérékoré Prefectures, and forms the border between Guinea and Liberia for 50 km</w:t>
      </w:r>
      <w:r w:rsidR="008B3D7E">
        <w:rPr>
          <w:rFonts w:ascii="Arial" w:hAnsi="Arial" w:cs="Arial"/>
          <w:sz w:val="20"/>
          <w:szCs w:val="20"/>
          <w:lang w:val="en-US"/>
        </w:rPr>
        <w:t xml:space="preserve"> (</w:t>
      </w:r>
      <w:r w:rsidR="008B3D7E" w:rsidRPr="008B3D7E">
        <w:rPr>
          <w:rFonts w:ascii="Arial" w:hAnsi="Arial" w:cs="Arial"/>
          <w:color w:val="4472C4" w:themeColor="accent5"/>
          <w:sz w:val="20"/>
          <w:szCs w:val="20"/>
          <w:highlight w:val="yellow"/>
          <w:lang w:val="en-US"/>
        </w:rPr>
        <w:t>Yacouba et al., 2023</w:t>
      </w:r>
      <w:r w:rsidR="008B3D7E">
        <w:rPr>
          <w:rFonts w:ascii="Arial" w:hAnsi="Arial" w:cs="Arial"/>
          <w:sz w:val="20"/>
          <w:szCs w:val="20"/>
        </w:rPr>
        <w:t>)</w:t>
      </w:r>
      <w:r w:rsidRPr="00B94B81">
        <w:rPr>
          <w:rFonts w:ascii="Arial" w:hAnsi="Arial" w:cs="Arial"/>
          <w:sz w:val="20"/>
          <w:szCs w:val="20"/>
          <w:lang w:val="en-US"/>
        </w:rPr>
        <w:t xml:space="preserve">. The basin has a reliable gauging station at the Diani Bridge, used for observations. It is subject to tropical rainfall patterns that influence its flow. The area is characterized by mountainous landscapes (Nimba Mountains, Guinean Ridge) upstream, with dense forest ecosystems. The Diani basin is crucial for water supply, agriculture, and the ecological balance of the Forest Region of Guinea. The data used in this research are based on annual rainfall and stream flow data. Rainfall data were provided by the National Meteorological Agency of Conakry and cover the period from 1995 to 2024 for two synoptic stations (Macenta and N’Zérékoré). Stream flow data were obtained from the National Directorate of Hydraulics of Conakry </w:t>
      </w:r>
      <w:r w:rsidR="00732307" w:rsidRPr="00B94B81">
        <w:rPr>
          <w:rFonts w:ascii="Arial" w:hAnsi="Arial" w:cs="Arial"/>
          <w:sz w:val="20"/>
          <w:szCs w:val="20"/>
          <w:lang w:val="en-US"/>
        </w:rPr>
        <w:t>and also cover the same period (</w:t>
      </w:r>
      <w:proofErr w:type="spellStart"/>
      <w:r w:rsidR="00732307" w:rsidRPr="00B94B81">
        <w:rPr>
          <w:rFonts w:ascii="Arial" w:hAnsi="Arial" w:cs="Arial"/>
          <w:color w:val="4472C4" w:themeColor="accent5"/>
          <w:sz w:val="20"/>
          <w:szCs w:val="20"/>
          <w:lang w:val="en-US"/>
        </w:rPr>
        <w:t>Piou</w:t>
      </w:r>
      <w:proofErr w:type="spellEnd"/>
      <w:r w:rsidR="00732307" w:rsidRPr="00B94B81">
        <w:rPr>
          <w:rFonts w:ascii="Arial" w:hAnsi="Arial" w:cs="Arial"/>
          <w:color w:val="4472C4" w:themeColor="accent5"/>
          <w:sz w:val="20"/>
          <w:szCs w:val="20"/>
          <w:lang w:val="en-US"/>
        </w:rPr>
        <w:t xml:space="preserve"> </w:t>
      </w:r>
      <w:proofErr w:type="spellStart"/>
      <w:r w:rsidR="00732307" w:rsidRPr="00B94B81">
        <w:rPr>
          <w:rFonts w:ascii="Arial" w:hAnsi="Arial" w:cs="Arial"/>
          <w:color w:val="4472C4" w:themeColor="accent5"/>
          <w:sz w:val="20"/>
          <w:szCs w:val="20"/>
          <w:lang w:val="en-US"/>
        </w:rPr>
        <w:t>Dobo</w:t>
      </w:r>
      <w:proofErr w:type="spellEnd"/>
      <w:r w:rsidR="00732307" w:rsidRPr="00B94B81">
        <w:rPr>
          <w:rFonts w:ascii="Arial" w:hAnsi="Arial" w:cs="Arial"/>
          <w:color w:val="4472C4" w:themeColor="accent5"/>
          <w:sz w:val="20"/>
          <w:szCs w:val="20"/>
          <w:lang w:val="en-US"/>
        </w:rPr>
        <w:t xml:space="preserve"> et al., 2025</w:t>
      </w:r>
      <w:r w:rsidR="00732307" w:rsidRPr="00B94B81">
        <w:rPr>
          <w:rFonts w:ascii="Arial" w:hAnsi="Arial" w:cs="Arial"/>
          <w:sz w:val="20"/>
          <w:szCs w:val="20"/>
          <w:lang w:val="en-US"/>
        </w:rPr>
        <w:t>)</w:t>
      </w:r>
      <w:r w:rsidRPr="00B94B81">
        <w:rPr>
          <w:rFonts w:ascii="Arial" w:hAnsi="Arial" w:cs="Arial"/>
          <w:sz w:val="20"/>
          <w:szCs w:val="20"/>
          <w:lang w:val="en-US"/>
        </w:rPr>
        <w:t>.</w:t>
      </w:r>
    </w:p>
    <w:p w14:paraId="73F73F87" w14:textId="29A57C9E" w:rsidR="00914F92" w:rsidRPr="00B94B81" w:rsidRDefault="00C32CCA" w:rsidP="00C32CCA">
      <w:pPr>
        <w:jc w:val="center"/>
        <w:rPr>
          <w:rFonts w:ascii="Arial" w:hAnsi="Arial" w:cs="Arial"/>
          <w:sz w:val="20"/>
          <w:szCs w:val="20"/>
          <w:lang w:val="en-US"/>
        </w:rPr>
      </w:pPr>
      <w:r>
        <w:rPr>
          <w:rFonts w:ascii="Arial" w:hAnsi="Arial" w:cs="Arial"/>
          <w:noProof/>
          <w:sz w:val="20"/>
          <w:szCs w:val="20"/>
          <w:lang w:val="en-US"/>
        </w:rPr>
        <w:drawing>
          <wp:inline distT="0" distB="0" distL="0" distR="0" wp14:anchorId="53BFB3E6" wp14:editId="08660EDC">
            <wp:extent cx="5398661" cy="3195320"/>
            <wp:effectExtent l="0" t="0" r="0" b="5080"/>
            <wp:docPr id="17095635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6984" cy="3200246"/>
                    </a:xfrm>
                    <a:prstGeom prst="rect">
                      <a:avLst/>
                    </a:prstGeom>
                    <a:noFill/>
                    <a:ln>
                      <a:noFill/>
                    </a:ln>
                  </pic:spPr>
                </pic:pic>
              </a:graphicData>
            </a:graphic>
          </wp:inline>
        </w:drawing>
      </w:r>
    </w:p>
    <w:p w14:paraId="6F4D04EB" w14:textId="5471DAFB" w:rsidR="00914F92" w:rsidRPr="00C32CCA" w:rsidRDefault="00914F92" w:rsidP="00C32CCA">
      <w:pPr>
        <w:rPr>
          <w:rFonts w:ascii="Arial" w:hAnsi="Arial" w:cs="Arial"/>
          <w:bCs/>
          <w:iCs/>
          <w:sz w:val="20"/>
          <w:szCs w:val="20"/>
          <w:lang w:val="en-US"/>
        </w:rPr>
      </w:pPr>
      <w:r w:rsidRPr="0026579C">
        <w:rPr>
          <w:rFonts w:ascii="Arial" w:hAnsi="Arial" w:cs="Arial"/>
          <w:b/>
          <w:iCs/>
          <w:sz w:val="20"/>
          <w:szCs w:val="20"/>
          <w:lang w:val="en-US"/>
        </w:rPr>
        <w:t>Fig</w:t>
      </w:r>
      <w:r w:rsidR="0026579C" w:rsidRPr="0026579C">
        <w:rPr>
          <w:rFonts w:ascii="Arial" w:hAnsi="Arial" w:cs="Arial"/>
          <w:b/>
          <w:iCs/>
          <w:sz w:val="20"/>
          <w:szCs w:val="20"/>
          <w:lang w:val="en-US"/>
        </w:rPr>
        <w:t>.</w:t>
      </w:r>
      <w:r w:rsidRPr="0026579C">
        <w:rPr>
          <w:rFonts w:ascii="Arial" w:hAnsi="Arial" w:cs="Arial"/>
          <w:b/>
          <w:iCs/>
          <w:sz w:val="20"/>
          <w:szCs w:val="20"/>
          <w:lang w:val="en-US"/>
        </w:rPr>
        <w:t xml:space="preserve"> 1</w:t>
      </w:r>
      <w:r w:rsidR="0026579C" w:rsidRPr="0026579C">
        <w:rPr>
          <w:rFonts w:ascii="Arial" w:hAnsi="Arial" w:cs="Arial"/>
          <w:b/>
          <w:iCs/>
          <w:sz w:val="20"/>
          <w:szCs w:val="20"/>
          <w:lang w:val="en-US"/>
        </w:rPr>
        <w:t>.</w:t>
      </w:r>
      <w:r w:rsidRPr="0026579C">
        <w:rPr>
          <w:rFonts w:ascii="Arial" w:hAnsi="Arial" w:cs="Arial"/>
          <w:b/>
          <w:iCs/>
          <w:sz w:val="20"/>
          <w:szCs w:val="20"/>
          <w:lang w:val="en-US"/>
        </w:rPr>
        <w:t xml:space="preserve"> </w:t>
      </w:r>
      <w:r w:rsidRPr="00C32CCA">
        <w:rPr>
          <w:rFonts w:ascii="Arial" w:hAnsi="Arial" w:cs="Arial"/>
          <w:bCs/>
          <w:iCs/>
          <w:sz w:val="20"/>
          <w:szCs w:val="20"/>
          <w:lang w:val="en-US"/>
        </w:rPr>
        <w:t>Location map of the Diani watershed (Source: M. Sidiki Traore)</w:t>
      </w:r>
    </w:p>
    <w:p w14:paraId="78C29458" w14:textId="77777777" w:rsidR="00914F92" w:rsidRPr="0026579C" w:rsidRDefault="00914F92" w:rsidP="0026579C">
      <w:pPr>
        <w:spacing w:before="120" w:after="120" w:line="240" w:lineRule="auto"/>
        <w:jc w:val="both"/>
        <w:rPr>
          <w:rFonts w:ascii="Arial" w:hAnsi="Arial" w:cs="Arial"/>
          <w:b/>
          <w:sz w:val="20"/>
          <w:szCs w:val="20"/>
          <w:lang w:val="en-US"/>
        </w:rPr>
      </w:pPr>
      <w:r w:rsidRPr="0026579C">
        <w:rPr>
          <w:rFonts w:ascii="Arial" w:hAnsi="Arial" w:cs="Arial"/>
          <w:b/>
          <w:sz w:val="20"/>
          <w:szCs w:val="20"/>
          <w:lang w:val="en-US"/>
        </w:rPr>
        <w:lastRenderedPageBreak/>
        <w:t>2.2. Analysis Methodology</w:t>
      </w:r>
    </w:p>
    <w:p w14:paraId="5BC1E03D" w14:textId="5636FF9C" w:rsidR="00914F92" w:rsidRDefault="00914F92"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 xml:space="preserve">The availability of accurate estimates of extreme hydrometeorological events (such as floods and low water levels) is essential for the successful execution of various engineering activities, including the design of hydraulic structures, water and habitat quality management, and flood prevention. To improve these estimates, numerous methodologies have </w:t>
      </w:r>
      <w:r w:rsidR="00732307" w:rsidRPr="0026579C">
        <w:rPr>
          <w:rFonts w:ascii="Arial" w:hAnsi="Arial" w:cs="Arial"/>
          <w:sz w:val="20"/>
          <w:szCs w:val="20"/>
          <w:lang w:val="en-US"/>
        </w:rPr>
        <w:t>been developed in recent years (</w:t>
      </w:r>
      <w:proofErr w:type="spellStart"/>
      <w:r w:rsidR="00732307" w:rsidRPr="0026579C">
        <w:rPr>
          <w:rFonts w:ascii="Arial" w:hAnsi="Arial" w:cs="Arial"/>
          <w:color w:val="4472C4" w:themeColor="accent5"/>
          <w:sz w:val="20"/>
          <w:szCs w:val="20"/>
          <w:lang w:val="en-US"/>
        </w:rPr>
        <w:t>Piou</w:t>
      </w:r>
      <w:proofErr w:type="spellEnd"/>
      <w:r w:rsidR="00732307" w:rsidRPr="0026579C">
        <w:rPr>
          <w:rFonts w:ascii="Arial" w:hAnsi="Arial" w:cs="Arial"/>
          <w:color w:val="4472C4" w:themeColor="accent5"/>
          <w:sz w:val="20"/>
          <w:szCs w:val="20"/>
          <w:lang w:val="en-US"/>
        </w:rPr>
        <w:t xml:space="preserve"> </w:t>
      </w:r>
      <w:proofErr w:type="spellStart"/>
      <w:r w:rsidR="00732307" w:rsidRPr="0026579C">
        <w:rPr>
          <w:rFonts w:ascii="Arial" w:hAnsi="Arial" w:cs="Arial"/>
          <w:color w:val="4472C4" w:themeColor="accent5"/>
          <w:sz w:val="20"/>
          <w:szCs w:val="20"/>
          <w:lang w:val="en-US"/>
        </w:rPr>
        <w:t>Dobo</w:t>
      </w:r>
      <w:proofErr w:type="spellEnd"/>
      <w:r w:rsidR="00732307" w:rsidRPr="0026579C">
        <w:rPr>
          <w:rFonts w:ascii="Arial" w:hAnsi="Arial" w:cs="Arial"/>
          <w:color w:val="4472C4" w:themeColor="accent5"/>
          <w:sz w:val="20"/>
          <w:szCs w:val="20"/>
          <w:lang w:val="en-US"/>
        </w:rPr>
        <w:t xml:space="preserve"> et al..., 2025</w:t>
      </w:r>
      <w:r w:rsidR="00732307" w:rsidRPr="0026579C">
        <w:rPr>
          <w:rFonts w:ascii="Arial" w:hAnsi="Arial" w:cs="Arial"/>
          <w:sz w:val="20"/>
          <w:szCs w:val="20"/>
          <w:lang w:val="en-US"/>
        </w:rPr>
        <w:t>)</w:t>
      </w:r>
      <w:r w:rsidRPr="0026579C">
        <w:rPr>
          <w:rFonts w:ascii="Arial" w:hAnsi="Arial" w:cs="Arial"/>
          <w:sz w:val="20"/>
          <w:szCs w:val="20"/>
          <w:lang w:val="en-US"/>
        </w:rPr>
        <w:t xml:space="preserve">. In this study, a fitting law, namely the Gumbel distribution, is used. This distribution was selected based </w:t>
      </w:r>
      <w:r w:rsidR="00374697" w:rsidRPr="0026579C">
        <w:rPr>
          <w:rFonts w:ascii="Arial" w:hAnsi="Arial" w:cs="Arial"/>
          <w:sz w:val="20"/>
          <w:szCs w:val="20"/>
          <w:lang w:val="en-US"/>
        </w:rPr>
        <w:t>on the work of several authors (</w:t>
      </w:r>
      <w:r w:rsidR="00732307" w:rsidRPr="0026579C">
        <w:rPr>
          <w:rFonts w:ascii="Arial" w:hAnsi="Arial" w:cs="Arial"/>
          <w:color w:val="4472C4" w:themeColor="accent5"/>
          <w:sz w:val="20"/>
          <w:szCs w:val="20"/>
          <w:lang w:val="en-US"/>
        </w:rPr>
        <w:t xml:space="preserve">Kundzewicz et al..., 2014; </w:t>
      </w:r>
      <w:r w:rsidR="00732307" w:rsidRPr="0026579C">
        <w:rPr>
          <w:rFonts w:ascii="Arial" w:eastAsia="Times New Roman" w:hAnsi="Arial" w:cs="Arial"/>
          <w:color w:val="4472C4" w:themeColor="accent5"/>
          <w:sz w:val="20"/>
          <w:szCs w:val="20"/>
          <w:lang w:val="en-US" w:eastAsia="fr-FR"/>
        </w:rPr>
        <w:t xml:space="preserve">Amani Michel et al…, </w:t>
      </w:r>
      <w:r w:rsidR="005A220E" w:rsidRPr="0026579C">
        <w:rPr>
          <w:rFonts w:ascii="Arial" w:eastAsia="Times New Roman" w:hAnsi="Arial" w:cs="Arial"/>
          <w:color w:val="4472C4" w:themeColor="accent5"/>
          <w:sz w:val="20"/>
          <w:szCs w:val="20"/>
          <w:lang w:val="en-US" w:eastAsia="fr-FR"/>
        </w:rPr>
        <w:t>2018;</w:t>
      </w:r>
      <w:r w:rsidR="005A220E" w:rsidRPr="0026579C">
        <w:rPr>
          <w:rStyle w:val="linkbluetoblue"/>
          <w:rFonts w:ascii="Arial" w:hAnsi="Arial" w:cs="Arial"/>
          <w:color w:val="4472C4" w:themeColor="accent5"/>
          <w:sz w:val="20"/>
          <w:szCs w:val="20"/>
          <w:shd w:val="clear" w:color="auto" w:fill="FFFFFF"/>
          <w:lang w:val="en-US"/>
        </w:rPr>
        <w:t xml:space="preserve"> Belkacem Abdous et al..., 2008; </w:t>
      </w:r>
      <w:r w:rsidR="00374697" w:rsidRPr="0026579C">
        <w:rPr>
          <w:rFonts w:ascii="Arial" w:eastAsia="Times New Roman" w:hAnsi="Arial" w:cs="Arial"/>
          <w:color w:val="4472C4" w:themeColor="accent5"/>
          <w:sz w:val="20"/>
          <w:szCs w:val="20"/>
          <w:lang w:val="en-US" w:eastAsia="fr-FR"/>
        </w:rPr>
        <w:t>Gue, A., &amp; Afouda, A. 2015</w:t>
      </w:r>
      <w:r w:rsidR="0026579C">
        <w:rPr>
          <w:rFonts w:ascii="Arial" w:eastAsia="Times New Roman" w:hAnsi="Arial" w:cs="Arial"/>
          <w:color w:val="4472C4" w:themeColor="accent5"/>
          <w:sz w:val="20"/>
          <w:szCs w:val="20"/>
          <w:lang w:val="en-US" w:eastAsia="fr-FR"/>
        </w:rPr>
        <w:t xml:space="preserve"> and</w:t>
      </w:r>
      <w:r w:rsidR="005A220E" w:rsidRPr="0026579C">
        <w:rPr>
          <w:rFonts w:ascii="Arial" w:hAnsi="Arial" w:cs="Arial"/>
          <w:color w:val="4472C4" w:themeColor="accent5"/>
          <w:sz w:val="20"/>
          <w:szCs w:val="20"/>
          <w:lang w:val="en-US"/>
        </w:rPr>
        <w:t xml:space="preserve"> </w:t>
      </w:r>
      <w:r w:rsidR="005A220E" w:rsidRPr="0026579C">
        <w:rPr>
          <w:rFonts w:ascii="Arial" w:hAnsi="Arial" w:cs="Arial"/>
          <w:color w:val="4472C4" w:themeColor="accent5"/>
          <w:sz w:val="20"/>
          <w:szCs w:val="20"/>
          <w:shd w:val="clear" w:color="auto" w:fill="FFFFFF"/>
          <w:lang w:val="en-US"/>
        </w:rPr>
        <w:t xml:space="preserve">Goula et al…, </w:t>
      </w:r>
      <w:r w:rsidR="00374697" w:rsidRPr="0026579C">
        <w:rPr>
          <w:rFonts w:ascii="Arial" w:hAnsi="Arial" w:cs="Arial"/>
          <w:color w:val="4472C4" w:themeColor="accent5"/>
          <w:sz w:val="20"/>
          <w:szCs w:val="20"/>
          <w:shd w:val="clear" w:color="auto" w:fill="FFFFFF"/>
          <w:lang w:val="en-US"/>
        </w:rPr>
        <w:t>2007;</w:t>
      </w:r>
      <w:r w:rsidR="00374697" w:rsidRPr="0026579C">
        <w:rPr>
          <w:rFonts w:ascii="Arial" w:hAnsi="Arial" w:cs="Arial"/>
          <w:color w:val="000000" w:themeColor="text1"/>
          <w:sz w:val="20"/>
          <w:szCs w:val="20"/>
          <w:shd w:val="clear" w:color="auto" w:fill="FFFFFF"/>
          <w:lang w:val="en-US"/>
        </w:rPr>
        <w:t>)</w:t>
      </w:r>
      <w:r w:rsidRPr="0026579C">
        <w:rPr>
          <w:rFonts w:ascii="Arial" w:hAnsi="Arial" w:cs="Arial"/>
          <w:sz w:val="20"/>
          <w:szCs w:val="20"/>
          <w:lang w:val="en-US"/>
        </w:rPr>
        <w:t>.</w:t>
      </w:r>
    </w:p>
    <w:p w14:paraId="51BC6A5B" w14:textId="77777777" w:rsidR="0026579C" w:rsidRPr="0026579C" w:rsidRDefault="0026579C" w:rsidP="0026579C">
      <w:pPr>
        <w:spacing w:after="0" w:line="240" w:lineRule="auto"/>
        <w:jc w:val="both"/>
        <w:rPr>
          <w:rFonts w:ascii="Arial" w:hAnsi="Arial" w:cs="Arial"/>
          <w:sz w:val="20"/>
          <w:szCs w:val="20"/>
          <w:lang w:val="en-US"/>
        </w:rPr>
      </w:pPr>
    </w:p>
    <w:p w14:paraId="37C47022" w14:textId="77777777" w:rsidR="00BB39CE" w:rsidRPr="0026579C" w:rsidRDefault="00BB39CE" w:rsidP="0026579C">
      <w:pPr>
        <w:spacing w:after="0" w:line="240" w:lineRule="auto"/>
        <w:jc w:val="both"/>
        <w:rPr>
          <w:rFonts w:ascii="Arial" w:hAnsi="Arial" w:cs="Arial"/>
          <w:b/>
          <w:iCs/>
          <w:sz w:val="20"/>
          <w:szCs w:val="20"/>
          <w:lang w:val="en-US"/>
        </w:rPr>
      </w:pPr>
      <w:r w:rsidRPr="0026579C">
        <w:rPr>
          <w:rFonts w:ascii="Arial" w:hAnsi="Arial" w:cs="Arial"/>
          <w:b/>
          <w:iCs/>
          <w:sz w:val="20"/>
          <w:szCs w:val="20"/>
          <w:lang w:val="en-US"/>
        </w:rPr>
        <w:t>Calculation of empirical frequencies</w:t>
      </w:r>
    </w:p>
    <w:p w14:paraId="060E9861" w14:textId="375CD104" w:rsidR="00BB39CE" w:rsidRDefault="00BB39CE"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In the tropical zone, Hazen's formula ha</w:t>
      </w:r>
      <w:r w:rsidR="009C77BE" w:rsidRPr="0026579C">
        <w:rPr>
          <w:rFonts w:ascii="Arial" w:hAnsi="Arial" w:cs="Arial"/>
          <w:sz w:val="20"/>
          <w:szCs w:val="20"/>
          <w:lang w:val="en-US"/>
        </w:rPr>
        <w:t>s been used by most authors (</w:t>
      </w:r>
      <w:r w:rsidR="009C77BE" w:rsidRPr="0026579C">
        <w:rPr>
          <w:rFonts w:ascii="Arial" w:hAnsi="Arial" w:cs="Arial"/>
          <w:color w:val="4472C4" w:themeColor="accent5"/>
          <w:sz w:val="20"/>
          <w:szCs w:val="20"/>
          <w:shd w:val="clear" w:color="auto" w:fill="FFFFFF"/>
          <w:lang w:val="en-US"/>
        </w:rPr>
        <w:t xml:space="preserve">Relwindé Abdoul et al…, 2021; </w:t>
      </w:r>
      <w:r w:rsidR="009C77BE" w:rsidRPr="0026579C">
        <w:rPr>
          <w:rStyle w:val="Emphasis"/>
          <w:rFonts w:ascii="Arial" w:hAnsi="Arial" w:cs="Arial"/>
          <w:bCs/>
          <w:color w:val="4472C4" w:themeColor="accent5"/>
          <w:sz w:val="20"/>
          <w:szCs w:val="20"/>
          <w:shd w:val="clear" w:color="auto" w:fill="FFFFFF"/>
          <w:lang w:val="en-US"/>
        </w:rPr>
        <w:t>H</w:t>
      </w:r>
      <w:r w:rsidR="009C77BE" w:rsidRPr="0026579C">
        <w:rPr>
          <w:rFonts w:ascii="Arial" w:hAnsi="Arial" w:cs="Arial"/>
          <w:color w:val="4472C4" w:themeColor="accent5"/>
          <w:sz w:val="20"/>
          <w:szCs w:val="20"/>
          <w:shd w:val="clear" w:color="auto" w:fill="FFFFFF"/>
          <w:lang w:val="en-US"/>
        </w:rPr>
        <w:t>., De </w:t>
      </w:r>
      <w:r w:rsidR="009C77BE" w:rsidRPr="0026579C">
        <w:rPr>
          <w:rStyle w:val="Emphasis"/>
          <w:rFonts w:ascii="Arial" w:hAnsi="Arial" w:cs="Arial"/>
          <w:bCs/>
          <w:color w:val="4472C4" w:themeColor="accent5"/>
          <w:sz w:val="20"/>
          <w:szCs w:val="20"/>
          <w:shd w:val="clear" w:color="auto" w:fill="FFFFFF"/>
          <w:lang w:val="en-US"/>
        </w:rPr>
        <w:t>Longueville</w:t>
      </w:r>
      <w:r w:rsidR="009C77BE" w:rsidRPr="0026579C">
        <w:rPr>
          <w:rFonts w:ascii="Arial" w:hAnsi="Arial" w:cs="Arial"/>
          <w:color w:val="4472C4" w:themeColor="accent5"/>
          <w:sz w:val="20"/>
          <w:szCs w:val="20"/>
          <w:shd w:val="clear" w:color="auto" w:fill="FFFFFF"/>
          <w:lang w:val="en-US"/>
        </w:rPr>
        <w:t>, </w:t>
      </w:r>
      <w:r w:rsidR="009C77BE" w:rsidRPr="0026579C">
        <w:rPr>
          <w:rStyle w:val="Emphasis"/>
          <w:rFonts w:ascii="Arial" w:hAnsi="Arial" w:cs="Arial"/>
          <w:bCs/>
          <w:color w:val="4472C4" w:themeColor="accent5"/>
          <w:sz w:val="20"/>
          <w:szCs w:val="20"/>
          <w:shd w:val="clear" w:color="auto" w:fill="FFFFFF"/>
          <w:lang w:val="en-US"/>
        </w:rPr>
        <w:t>F</w:t>
      </w:r>
      <w:r w:rsidR="009C77BE" w:rsidRPr="0026579C">
        <w:rPr>
          <w:rFonts w:ascii="Arial" w:hAnsi="Arial" w:cs="Arial"/>
          <w:color w:val="4472C4" w:themeColor="accent5"/>
          <w:sz w:val="20"/>
          <w:szCs w:val="20"/>
          <w:shd w:val="clear" w:color="auto" w:fill="FFFFFF"/>
          <w:lang w:val="en-US"/>
        </w:rPr>
        <w:t>., &amp; </w:t>
      </w:r>
      <w:r w:rsidR="009C77BE" w:rsidRPr="0026579C">
        <w:rPr>
          <w:rStyle w:val="Emphasis"/>
          <w:rFonts w:ascii="Arial" w:hAnsi="Arial" w:cs="Arial"/>
          <w:bCs/>
          <w:color w:val="4472C4" w:themeColor="accent5"/>
          <w:sz w:val="20"/>
          <w:szCs w:val="20"/>
          <w:shd w:val="clear" w:color="auto" w:fill="FFFFFF"/>
          <w:lang w:val="en-US"/>
        </w:rPr>
        <w:t>Ozer</w:t>
      </w:r>
      <w:r w:rsidR="009C77BE" w:rsidRPr="0026579C">
        <w:rPr>
          <w:rFonts w:ascii="Arial" w:hAnsi="Arial" w:cs="Arial"/>
          <w:color w:val="4472C4" w:themeColor="accent5"/>
          <w:sz w:val="20"/>
          <w:szCs w:val="20"/>
          <w:shd w:val="clear" w:color="auto" w:fill="FFFFFF"/>
          <w:lang w:val="en-US"/>
        </w:rPr>
        <w:t>, </w:t>
      </w:r>
      <w:r w:rsidR="009C77BE" w:rsidRPr="0026579C">
        <w:rPr>
          <w:rStyle w:val="Emphasis"/>
          <w:rFonts w:ascii="Arial" w:hAnsi="Arial" w:cs="Arial"/>
          <w:bCs/>
          <w:color w:val="4472C4" w:themeColor="accent5"/>
          <w:sz w:val="20"/>
          <w:szCs w:val="20"/>
          <w:shd w:val="clear" w:color="auto" w:fill="FFFFFF"/>
          <w:lang w:val="en-US"/>
        </w:rPr>
        <w:t>P</w:t>
      </w:r>
      <w:r w:rsidR="009C77BE" w:rsidRPr="0026579C">
        <w:rPr>
          <w:rFonts w:ascii="Arial" w:hAnsi="Arial" w:cs="Arial"/>
          <w:color w:val="4472C4" w:themeColor="accent5"/>
          <w:sz w:val="20"/>
          <w:szCs w:val="20"/>
          <w:shd w:val="clear" w:color="auto" w:fill="FFFFFF"/>
          <w:lang w:val="en-US"/>
        </w:rPr>
        <w:t xml:space="preserve">. </w:t>
      </w:r>
      <w:r w:rsidR="009C77BE" w:rsidRPr="0026579C">
        <w:rPr>
          <w:rStyle w:val="Emphasis"/>
          <w:rFonts w:ascii="Arial" w:hAnsi="Arial" w:cs="Arial"/>
          <w:bCs/>
          <w:color w:val="4472C4" w:themeColor="accent5"/>
          <w:sz w:val="20"/>
          <w:szCs w:val="20"/>
          <w:shd w:val="clear" w:color="auto" w:fill="FFFFFF"/>
          <w:lang w:val="en-US"/>
        </w:rPr>
        <w:t>2015</w:t>
      </w:r>
      <w:r w:rsidR="009C77BE" w:rsidRPr="0026579C">
        <w:rPr>
          <w:rFonts w:ascii="Arial" w:hAnsi="Arial" w:cs="Arial"/>
          <w:sz w:val="20"/>
          <w:szCs w:val="20"/>
          <w:lang w:val="en-US"/>
        </w:rPr>
        <w:t>)</w:t>
      </w:r>
      <w:r w:rsidRPr="0026579C">
        <w:rPr>
          <w:rFonts w:ascii="Arial" w:hAnsi="Arial" w:cs="Arial"/>
          <w:sz w:val="20"/>
          <w:szCs w:val="20"/>
          <w:lang w:val="en-US"/>
        </w:rPr>
        <w:t>. It is based on ranking a sample of maximum rainfall of size n in ascending order. The expression for the empirical or experimental non-exceedance frequency of Hazen for a value x of rank r is calculated by the equation</w:t>
      </w:r>
      <w:r w:rsidR="0026579C">
        <w:rPr>
          <w:rFonts w:ascii="Arial" w:hAnsi="Arial" w:cs="Arial"/>
          <w:sz w:val="20"/>
          <w:szCs w:val="20"/>
          <w:lang w:val="en-US"/>
        </w:rPr>
        <w:t xml:space="preserve"> 1.</w:t>
      </w:r>
    </w:p>
    <w:p w14:paraId="1E48343C" w14:textId="77777777" w:rsidR="0026579C" w:rsidRPr="0026579C" w:rsidRDefault="0026579C" w:rsidP="0026579C">
      <w:pPr>
        <w:spacing w:after="0" w:line="240" w:lineRule="auto"/>
        <w:jc w:val="both"/>
        <w:rPr>
          <w:rFonts w:ascii="Arial" w:hAnsi="Arial" w:cs="Arial"/>
          <w:sz w:val="20"/>
          <w:szCs w:val="20"/>
          <w:lang w:val="en-US"/>
        </w:rPr>
      </w:pPr>
    </w:p>
    <w:p w14:paraId="78F87469" w14:textId="77777777" w:rsidR="00BB39CE" w:rsidRPr="0026579C" w:rsidRDefault="00BB39CE" w:rsidP="0026579C">
      <w:pPr>
        <w:spacing w:after="0" w:line="240" w:lineRule="auto"/>
        <w:jc w:val="both"/>
        <w:rPr>
          <w:rFonts w:ascii="Arial" w:eastAsiaTheme="minorEastAsia" w:hAnsi="Arial" w:cs="Arial"/>
          <w:b/>
          <w:sz w:val="20"/>
          <w:szCs w:val="20"/>
        </w:rPr>
      </w:pPr>
      <m:oMathPara>
        <m:oMath>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m:t>
          </m:r>
          <m:f>
            <m:fPr>
              <m:ctrlPr>
                <w:rPr>
                  <w:rFonts w:ascii="Cambria Math" w:hAnsi="Cambria Math" w:cs="Arial"/>
                  <w:b/>
                  <w:i/>
                  <w:sz w:val="20"/>
                  <w:szCs w:val="20"/>
                </w:rPr>
              </m:ctrlPr>
            </m:fPr>
            <m:num>
              <m:r>
                <m:rPr>
                  <m:sty m:val="bi"/>
                </m:rPr>
                <w:rPr>
                  <w:rFonts w:ascii="Cambria Math" w:hAnsi="Cambria Math" w:cs="Arial"/>
                  <w:sz w:val="20"/>
                  <w:szCs w:val="20"/>
                </w:rPr>
                <m:t>r-0,5</m:t>
              </m:r>
            </m:num>
            <m:den>
              <m:r>
                <m:rPr>
                  <m:sty m:val="bi"/>
                </m:rPr>
                <w:rPr>
                  <w:rFonts w:ascii="Cambria Math" w:hAnsi="Cambria Math" w:cs="Arial"/>
                  <w:sz w:val="20"/>
                  <w:szCs w:val="20"/>
                </w:rPr>
                <m:t>n</m:t>
              </m:r>
            </m:den>
          </m:f>
          <m:r>
            <m:rPr>
              <m:sty m:val="bi"/>
            </m:rPr>
            <w:rPr>
              <w:rFonts w:ascii="Cambria Math" w:hAnsi="Cambria Math" w:cs="Arial"/>
              <w:sz w:val="20"/>
              <w:szCs w:val="20"/>
            </w:rPr>
            <m:t xml:space="preserve">                (1)</m:t>
          </m:r>
        </m:oMath>
      </m:oMathPara>
    </w:p>
    <w:p w14:paraId="508BEF92" w14:textId="77777777" w:rsidR="0026579C" w:rsidRPr="0026579C" w:rsidRDefault="0026579C" w:rsidP="0026579C">
      <w:pPr>
        <w:spacing w:after="0" w:line="240" w:lineRule="auto"/>
        <w:jc w:val="both"/>
        <w:rPr>
          <w:rFonts w:ascii="Arial" w:eastAsiaTheme="minorEastAsia" w:hAnsi="Arial" w:cs="Arial"/>
          <w:b/>
          <w:sz w:val="20"/>
          <w:szCs w:val="20"/>
        </w:rPr>
      </w:pPr>
    </w:p>
    <w:p w14:paraId="6E96E2AB" w14:textId="77777777" w:rsidR="00BB39CE" w:rsidRPr="0026579C" w:rsidRDefault="00BB39CE" w:rsidP="0026579C">
      <w:pPr>
        <w:spacing w:after="0" w:line="240" w:lineRule="auto"/>
        <w:jc w:val="both"/>
        <w:rPr>
          <w:rFonts w:ascii="Arial" w:hAnsi="Arial" w:cs="Arial"/>
          <w:b/>
          <w:iCs/>
          <w:sz w:val="20"/>
          <w:szCs w:val="20"/>
          <w:lang w:val="en-US"/>
        </w:rPr>
      </w:pPr>
      <w:r w:rsidRPr="0026579C">
        <w:rPr>
          <w:rFonts w:ascii="Arial" w:hAnsi="Arial" w:cs="Arial"/>
          <w:b/>
          <w:iCs/>
          <w:sz w:val="20"/>
          <w:szCs w:val="20"/>
          <w:lang w:val="en-US"/>
        </w:rPr>
        <w:t>Characterization of Return Times</w:t>
      </w:r>
    </w:p>
    <w:p w14:paraId="2D82A425" w14:textId="64FC51B5" w:rsidR="00BB39CE" w:rsidRDefault="00BB39CE"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The return period (or return time) characterizes the statistical time between two occurrences of a natural event of a given intensity. This term is widely used to characterize natural hazards. The estimation of different return times for an event is defined as the inverse of the probability of that event exceeding its intensity. It is given by the formula</w:t>
      </w:r>
      <w:r w:rsidR="0026579C">
        <w:rPr>
          <w:rFonts w:ascii="Arial" w:hAnsi="Arial" w:cs="Arial"/>
          <w:sz w:val="20"/>
          <w:szCs w:val="20"/>
          <w:lang w:val="en-US"/>
        </w:rPr>
        <w:t xml:space="preserve"> 2.</w:t>
      </w:r>
    </w:p>
    <w:p w14:paraId="0E4D2DD5" w14:textId="77777777" w:rsidR="0026579C" w:rsidRPr="0026579C" w:rsidRDefault="0026579C" w:rsidP="0026579C">
      <w:pPr>
        <w:spacing w:after="0" w:line="240" w:lineRule="auto"/>
        <w:jc w:val="both"/>
        <w:rPr>
          <w:rFonts w:ascii="Arial" w:hAnsi="Arial" w:cs="Arial"/>
          <w:sz w:val="20"/>
          <w:szCs w:val="20"/>
          <w:lang w:val="en-US"/>
        </w:rPr>
      </w:pPr>
    </w:p>
    <w:p w14:paraId="07DFFA2F" w14:textId="77777777" w:rsidR="005570E0" w:rsidRPr="0026579C" w:rsidRDefault="005570E0" w:rsidP="0026579C">
      <w:pPr>
        <w:autoSpaceDE w:val="0"/>
        <w:autoSpaceDN w:val="0"/>
        <w:adjustRightInd w:val="0"/>
        <w:spacing w:after="0" w:line="240" w:lineRule="auto"/>
        <w:rPr>
          <w:rFonts w:ascii="Arial" w:eastAsiaTheme="minorEastAsia" w:hAnsi="Arial" w:cs="Arial"/>
          <w:b/>
          <w:sz w:val="20"/>
          <w:szCs w:val="20"/>
        </w:rPr>
      </w:pPr>
      <m:oMathPara>
        <m:oMath>
          <m:r>
            <m:rPr>
              <m:sty m:val="bi"/>
            </m:rPr>
            <w:rPr>
              <w:rFonts w:ascii="Cambria Math" w:hAnsi="Cambria Math" w:cs="Arial"/>
              <w:sz w:val="20"/>
              <w:szCs w:val="20"/>
            </w:rPr>
            <m:t>T=</m:t>
          </m:r>
          <m:f>
            <m:fPr>
              <m:ctrlPr>
                <w:rPr>
                  <w:rFonts w:ascii="Cambria Math" w:hAnsi="Cambria Math" w:cs="Arial"/>
                  <w:b/>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1-F(x)</m:t>
              </m:r>
            </m:den>
          </m:f>
          <m:r>
            <m:rPr>
              <m:sty m:val="bi"/>
            </m:rPr>
            <w:rPr>
              <w:rFonts w:ascii="Cambria Math" w:hAnsi="Cambria Math" w:cs="Arial"/>
              <w:sz w:val="20"/>
              <w:szCs w:val="20"/>
            </w:rPr>
            <m:t xml:space="preserve">                (2) </m:t>
          </m:r>
        </m:oMath>
      </m:oMathPara>
    </w:p>
    <w:p w14:paraId="368D8F47" w14:textId="77777777" w:rsidR="005570E0" w:rsidRPr="0026579C"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Where, T: return period (years) and F: non-exceedance frequency.</w:t>
      </w:r>
    </w:p>
    <w:p w14:paraId="6FBE6517" w14:textId="76B53E76" w:rsidR="005570E0"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A rainfall event is classified as highly exceptional if its return period is over 100 years; exceptional if the return period is between 30 and 100 years; highly abnormal if the return period is between 10 and 30 years; and abnormal if the return p</w:t>
      </w:r>
      <w:r w:rsidR="0046332E" w:rsidRPr="0026579C">
        <w:rPr>
          <w:rFonts w:ascii="Arial" w:hAnsi="Arial" w:cs="Arial"/>
          <w:sz w:val="20"/>
          <w:szCs w:val="20"/>
          <w:lang w:val="en-US"/>
        </w:rPr>
        <w:t>eriod is between 1 and 6 years (</w:t>
      </w:r>
      <w:r w:rsidR="00935C18" w:rsidRPr="0026579C">
        <w:rPr>
          <w:rFonts w:ascii="Arial" w:hAnsi="Arial" w:cs="Arial"/>
          <w:color w:val="4472C4" w:themeColor="accent5"/>
          <w:sz w:val="20"/>
          <w:szCs w:val="20"/>
          <w:shd w:val="clear" w:color="auto" w:fill="FFFFFF"/>
          <w:lang w:val="en-US"/>
        </w:rPr>
        <w:t>Haan</w:t>
      </w:r>
      <w:r w:rsidR="0026579C">
        <w:rPr>
          <w:rFonts w:ascii="Arial" w:hAnsi="Arial" w:cs="Arial"/>
          <w:color w:val="4472C4" w:themeColor="accent5"/>
          <w:sz w:val="20"/>
          <w:szCs w:val="20"/>
          <w:shd w:val="clear" w:color="auto" w:fill="FFFFFF"/>
          <w:lang w:val="en-US"/>
        </w:rPr>
        <w:t xml:space="preserve"> </w:t>
      </w:r>
      <w:r w:rsidR="00935C18" w:rsidRPr="0026579C">
        <w:rPr>
          <w:rFonts w:ascii="Arial" w:hAnsi="Arial" w:cs="Arial"/>
          <w:color w:val="4472C4" w:themeColor="accent5"/>
          <w:sz w:val="20"/>
          <w:szCs w:val="20"/>
          <w:shd w:val="clear" w:color="auto" w:fill="FFFFFF"/>
          <w:lang w:val="en-US"/>
        </w:rPr>
        <w:t xml:space="preserve">and Ferreira 2006; Bergstrand et al., 2014; </w:t>
      </w:r>
      <w:proofErr w:type="spellStart"/>
      <w:r w:rsidR="00935C18" w:rsidRPr="0026579C">
        <w:rPr>
          <w:rFonts w:ascii="Arial" w:hAnsi="Arial" w:cs="Arial"/>
          <w:color w:val="4472C4" w:themeColor="accent5"/>
          <w:sz w:val="20"/>
          <w:szCs w:val="20"/>
          <w:lang w:val="en-US"/>
        </w:rPr>
        <w:t>Fougeres</w:t>
      </w:r>
      <w:proofErr w:type="spellEnd"/>
      <w:r w:rsidR="00935C18" w:rsidRPr="0026579C">
        <w:rPr>
          <w:rFonts w:ascii="Arial" w:hAnsi="Arial" w:cs="Arial"/>
          <w:color w:val="4472C4" w:themeColor="accent5"/>
          <w:sz w:val="20"/>
          <w:szCs w:val="20"/>
          <w:lang w:val="en-US"/>
        </w:rPr>
        <w:t xml:space="preserve"> et </w:t>
      </w:r>
      <w:proofErr w:type="spellStart"/>
      <w:r w:rsidR="00935C18" w:rsidRPr="0026579C">
        <w:rPr>
          <w:rFonts w:ascii="Arial" w:hAnsi="Arial" w:cs="Arial"/>
          <w:color w:val="4472C4" w:themeColor="accent5"/>
          <w:sz w:val="20"/>
          <w:szCs w:val="20"/>
          <w:lang w:val="en-US"/>
        </w:rPr>
        <w:t>Soulier</w:t>
      </w:r>
      <w:proofErr w:type="spellEnd"/>
      <w:r w:rsidR="00935C18" w:rsidRPr="0026579C">
        <w:rPr>
          <w:rFonts w:ascii="Arial" w:hAnsi="Arial" w:cs="Arial"/>
          <w:color w:val="4472C4" w:themeColor="accent5"/>
          <w:sz w:val="20"/>
          <w:szCs w:val="20"/>
          <w:lang w:val="en-US"/>
        </w:rPr>
        <w:t xml:space="preserve"> 2010; </w:t>
      </w:r>
      <w:r w:rsidR="0046332E" w:rsidRPr="0026579C">
        <w:rPr>
          <w:rStyle w:val="linkbluetoblue"/>
          <w:rFonts w:ascii="Arial" w:hAnsi="Arial" w:cs="Arial"/>
          <w:color w:val="4472C4" w:themeColor="accent5"/>
          <w:sz w:val="20"/>
          <w:szCs w:val="20"/>
          <w:shd w:val="clear" w:color="auto" w:fill="FFFFFF"/>
          <w:lang w:val="en-US"/>
        </w:rPr>
        <w:t>Belkacem et al</w:t>
      </w:r>
      <w:r w:rsidR="0026579C">
        <w:rPr>
          <w:rStyle w:val="linkbluetoblue"/>
          <w:rFonts w:ascii="Arial" w:hAnsi="Arial" w:cs="Arial"/>
          <w:color w:val="4472C4" w:themeColor="accent5"/>
          <w:sz w:val="20"/>
          <w:szCs w:val="20"/>
          <w:shd w:val="clear" w:color="auto" w:fill="FFFFFF"/>
          <w:lang w:val="en-US"/>
        </w:rPr>
        <w:t>..</w:t>
      </w:r>
      <w:r w:rsidR="0046332E" w:rsidRPr="0026579C">
        <w:rPr>
          <w:rStyle w:val="linkbluetoblue"/>
          <w:rFonts w:ascii="Arial" w:hAnsi="Arial" w:cs="Arial"/>
          <w:color w:val="4472C4" w:themeColor="accent5"/>
          <w:sz w:val="20"/>
          <w:szCs w:val="20"/>
          <w:shd w:val="clear" w:color="auto" w:fill="FFFFFF"/>
          <w:lang w:val="en-US"/>
        </w:rPr>
        <w:t xml:space="preserve">, 2008; </w:t>
      </w:r>
      <w:r w:rsidR="0046332E" w:rsidRPr="0026579C">
        <w:rPr>
          <w:rFonts w:ascii="Arial" w:hAnsi="Arial" w:cs="Arial"/>
          <w:color w:val="4472C4" w:themeColor="accent5"/>
          <w:sz w:val="20"/>
          <w:szCs w:val="20"/>
          <w:lang w:val="en-US"/>
        </w:rPr>
        <w:t xml:space="preserve">M. </w:t>
      </w:r>
      <w:proofErr w:type="spellStart"/>
      <w:r w:rsidR="0046332E" w:rsidRPr="0026579C">
        <w:rPr>
          <w:rFonts w:ascii="Arial" w:hAnsi="Arial" w:cs="Arial"/>
          <w:color w:val="4472C4" w:themeColor="accent5"/>
          <w:sz w:val="20"/>
          <w:szCs w:val="20"/>
          <w:lang w:val="en-US"/>
        </w:rPr>
        <w:t>Schlather</w:t>
      </w:r>
      <w:proofErr w:type="spellEnd"/>
      <w:r w:rsidR="0046332E" w:rsidRPr="0026579C">
        <w:rPr>
          <w:rFonts w:ascii="Arial" w:hAnsi="Arial" w:cs="Arial"/>
          <w:color w:val="4472C4" w:themeColor="accent5"/>
          <w:sz w:val="20"/>
          <w:szCs w:val="20"/>
          <w:lang w:val="en-US"/>
        </w:rPr>
        <w:t xml:space="preserve"> et </w:t>
      </w:r>
      <w:proofErr w:type="spellStart"/>
      <w:r w:rsidR="0046332E" w:rsidRPr="0026579C">
        <w:rPr>
          <w:rFonts w:ascii="Arial" w:hAnsi="Arial" w:cs="Arial"/>
          <w:color w:val="4472C4" w:themeColor="accent5"/>
          <w:sz w:val="20"/>
          <w:szCs w:val="20"/>
          <w:lang w:val="en-US"/>
        </w:rPr>
        <w:t>Tawn</w:t>
      </w:r>
      <w:proofErr w:type="spellEnd"/>
      <w:r w:rsidR="0046332E" w:rsidRPr="0026579C">
        <w:rPr>
          <w:rFonts w:ascii="Arial" w:hAnsi="Arial" w:cs="Arial"/>
          <w:color w:val="4472C4" w:themeColor="accent5"/>
          <w:sz w:val="20"/>
          <w:szCs w:val="20"/>
          <w:lang w:val="en-US"/>
        </w:rPr>
        <w:t xml:space="preserve"> 2003; </w:t>
      </w:r>
      <w:proofErr w:type="spellStart"/>
      <w:r w:rsidR="0046332E" w:rsidRPr="0026579C">
        <w:rPr>
          <w:rFonts w:ascii="Arial" w:hAnsi="Arial" w:cs="Arial"/>
          <w:color w:val="4472C4" w:themeColor="accent5"/>
          <w:sz w:val="20"/>
          <w:szCs w:val="20"/>
          <w:lang w:val="en-US"/>
        </w:rPr>
        <w:t>Kévin</w:t>
      </w:r>
      <w:proofErr w:type="spellEnd"/>
      <w:r w:rsidR="0046332E" w:rsidRPr="0026579C">
        <w:rPr>
          <w:rFonts w:ascii="Arial" w:hAnsi="Arial" w:cs="Arial"/>
          <w:color w:val="4472C4" w:themeColor="accent5"/>
          <w:sz w:val="20"/>
          <w:szCs w:val="20"/>
          <w:lang w:val="en-US"/>
        </w:rPr>
        <w:t xml:space="preserve"> Dubois et al</w:t>
      </w:r>
      <w:r w:rsidR="0026579C">
        <w:rPr>
          <w:rFonts w:ascii="Arial" w:hAnsi="Arial" w:cs="Arial"/>
          <w:color w:val="4472C4" w:themeColor="accent5"/>
          <w:sz w:val="20"/>
          <w:szCs w:val="20"/>
          <w:lang w:val="en-US"/>
        </w:rPr>
        <w:t>.</w:t>
      </w:r>
      <w:r w:rsidR="0046332E" w:rsidRPr="0026579C">
        <w:rPr>
          <w:rFonts w:ascii="Arial" w:hAnsi="Arial" w:cs="Arial"/>
          <w:color w:val="4472C4" w:themeColor="accent5"/>
          <w:sz w:val="20"/>
          <w:szCs w:val="20"/>
          <w:lang w:val="en-US"/>
        </w:rPr>
        <w:t>, 2024</w:t>
      </w:r>
      <w:r w:rsidR="0046332E" w:rsidRPr="0026579C">
        <w:rPr>
          <w:rFonts w:ascii="Arial" w:hAnsi="Arial" w:cs="Arial"/>
          <w:sz w:val="20"/>
          <w:szCs w:val="20"/>
          <w:lang w:val="en-US"/>
        </w:rPr>
        <w:t>)</w:t>
      </w:r>
      <w:r w:rsidRPr="0026579C">
        <w:rPr>
          <w:rFonts w:ascii="Arial" w:hAnsi="Arial" w:cs="Arial"/>
          <w:sz w:val="20"/>
          <w:szCs w:val="20"/>
          <w:lang w:val="en-US"/>
        </w:rPr>
        <w:t>.</w:t>
      </w:r>
    </w:p>
    <w:p w14:paraId="12D0F9B8" w14:textId="77777777" w:rsidR="0026579C" w:rsidRPr="0026579C" w:rsidRDefault="0026579C" w:rsidP="0026579C">
      <w:pPr>
        <w:spacing w:after="0" w:line="240" w:lineRule="auto"/>
        <w:jc w:val="both"/>
        <w:rPr>
          <w:rFonts w:ascii="Arial" w:hAnsi="Arial" w:cs="Arial"/>
          <w:sz w:val="20"/>
          <w:szCs w:val="20"/>
          <w:lang w:val="en-US"/>
        </w:rPr>
      </w:pPr>
    </w:p>
    <w:p w14:paraId="76391C70" w14:textId="77777777" w:rsidR="005570E0" w:rsidRPr="0026579C" w:rsidRDefault="005570E0" w:rsidP="0026579C">
      <w:pPr>
        <w:spacing w:after="0" w:line="240" w:lineRule="auto"/>
        <w:jc w:val="both"/>
        <w:rPr>
          <w:rFonts w:ascii="Arial" w:hAnsi="Arial" w:cs="Arial"/>
          <w:b/>
          <w:iCs/>
          <w:sz w:val="20"/>
          <w:szCs w:val="20"/>
          <w:lang w:val="en-US"/>
        </w:rPr>
      </w:pPr>
      <w:r w:rsidRPr="0026579C">
        <w:rPr>
          <w:rFonts w:ascii="Arial" w:hAnsi="Arial" w:cs="Arial"/>
          <w:b/>
          <w:iCs/>
          <w:sz w:val="20"/>
          <w:szCs w:val="20"/>
          <w:lang w:val="en-US"/>
        </w:rPr>
        <w:t>Pearson Correlation Test</w:t>
      </w:r>
    </w:p>
    <w:p w14:paraId="0804E2E9" w14:textId="54E52E02" w:rsidR="005570E0"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The correlation coefficient, often denoted (r), measures the strength and direction of a linear relationship between</w:t>
      </w:r>
      <w:r w:rsidR="004E47E2" w:rsidRPr="0026579C">
        <w:rPr>
          <w:rFonts w:ascii="Arial" w:hAnsi="Arial" w:cs="Arial"/>
          <w:sz w:val="20"/>
          <w:szCs w:val="20"/>
          <w:lang w:val="en-US"/>
        </w:rPr>
        <w:t xml:space="preserve"> two quantitative variables</w:t>
      </w:r>
      <w:r w:rsidRPr="0026579C">
        <w:rPr>
          <w:rFonts w:ascii="Arial" w:hAnsi="Arial" w:cs="Arial"/>
          <w:sz w:val="20"/>
          <w:szCs w:val="20"/>
          <w:lang w:val="en-US"/>
        </w:rPr>
        <w:t>. It ranges from -1 to 1. For two variables (X) and (Y), the Pearson correlation coefficient is calculated using the following formula</w:t>
      </w:r>
      <w:r w:rsidR="0026579C">
        <w:rPr>
          <w:rFonts w:ascii="Arial" w:hAnsi="Arial" w:cs="Arial"/>
          <w:sz w:val="20"/>
          <w:szCs w:val="20"/>
          <w:lang w:val="en-US"/>
        </w:rPr>
        <w:t xml:space="preserve"> 3.</w:t>
      </w:r>
    </w:p>
    <w:p w14:paraId="0FA27648" w14:textId="77777777" w:rsidR="0026579C" w:rsidRPr="0026579C" w:rsidRDefault="0026579C" w:rsidP="0026579C">
      <w:pPr>
        <w:spacing w:after="0" w:line="240" w:lineRule="auto"/>
        <w:jc w:val="both"/>
        <w:rPr>
          <w:rFonts w:ascii="Arial" w:hAnsi="Arial" w:cs="Arial"/>
          <w:sz w:val="20"/>
          <w:szCs w:val="20"/>
          <w:lang w:val="en-US"/>
        </w:rPr>
      </w:pPr>
    </w:p>
    <w:p w14:paraId="3E81BF9D" w14:textId="77777777" w:rsidR="005570E0" w:rsidRPr="0026579C" w:rsidRDefault="005570E0" w:rsidP="0026579C">
      <w:pPr>
        <w:spacing w:after="0" w:line="240" w:lineRule="auto"/>
        <w:jc w:val="both"/>
        <w:rPr>
          <w:rFonts w:ascii="Arial" w:eastAsia="Times New Roman" w:hAnsi="Arial" w:cs="Arial"/>
          <w:b/>
          <w:color w:val="000000" w:themeColor="text1"/>
          <w:sz w:val="20"/>
          <w:szCs w:val="20"/>
          <w:lang w:eastAsia="fr-FR"/>
        </w:rPr>
      </w:pPr>
      <m:oMathPara>
        <m:oMath>
          <m:r>
            <m:rPr>
              <m:sty m:val="bi"/>
            </m:rPr>
            <w:rPr>
              <w:rFonts w:ascii="Cambria Math" w:eastAsia="Times New Roman" w:hAnsi="Cambria Math" w:cs="Arial"/>
              <w:color w:val="000000" w:themeColor="text1"/>
              <w:sz w:val="20"/>
              <w:szCs w:val="20"/>
              <w:lang w:eastAsia="fr-FR"/>
            </w:rPr>
            <m:t>r=</m:t>
          </m:r>
          <m:f>
            <m:fPr>
              <m:ctrlPr>
                <w:rPr>
                  <w:rFonts w:ascii="Cambria Math" w:eastAsia="Times New Roman" w:hAnsi="Cambria Math" w:cs="Arial"/>
                  <w:b/>
                  <w:i/>
                  <w:color w:val="000000" w:themeColor="text1"/>
                  <w:sz w:val="20"/>
                  <w:szCs w:val="20"/>
                  <w:lang w:eastAsia="fr-FR"/>
                </w:rPr>
              </m:ctrlPr>
            </m:fPr>
            <m:num>
              <m:nary>
                <m:naryPr>
                  <m:chr m:val="∑"/>
                  <m:limLoc m:val="undOvr"/>
                  <m:subHide m:val="1"/>
                  <m:supHide m:val="1"/>
                  <m:ctrlPr>
                    <w:rPr>
                      <w:rFonts w:ascii="Cambria Math" w:eastAsia="Times New Roman" w:hAnsi="Cambria Math" w:cs="Arial"/>
                      <w:b/>
                      <w:i/>
                      <w:color w:val="000000" w:themeColor="text1"/>
                      <w:sz w:val="20"/>
                      <w:szCs w:val="20"/>
                      <w:lang w:eastAsia="fr-FR"/>
                    </w:rPr>
                  </m:ctrlPr>
                </m:naryPr>
                <m:sub/>
                <m:sup/>
                <m:e>
                  <m:r>
                    <m:rPr>
                      <m:sty m:val="bi"/>
                    </m:rPr>
                    <w:rPr>
                      <w:rFonts w:ascii="Cambria Math" w:eastAsia="Times New Roman" w:hAnsi="Cambria Math" w:cs="Arial"/>
                      <w:color w:val="000000" w:themeColor="text1"/>
                      <w:sz w:val="20"/>
                      <w:szCs w:val="20"/>
                      <w:lang w:eastAsia="fr-FR"/>
                    </w:rPr>
                    <m:t>(X-</m:t>
                  </m:r>
                  <m:acc>
                    <m:accPr>
                      <m:chr m:val="̅"/>
                      <m:ctrlPr>
                        <w:rPr>
                          <w:rFonts w:ascii="Cambria Math" w:eastAsia="Times New Roman" w:hAnsi="Cambria Math" w:cs="Arial"/>
                          <w:b/>
                          <w:i/>
                          <w:color w:val="000000" w:themeColor="text1"/>
                          <w:sz w:val="20"/>
                          <w:szCs w:val="20"/>
                          <w:lang w:eastAsia="fr-FR"/>
                        </w:rPr>
                      </m:ctrlPr>
                    </m:accPr>
                    <m:e>
                      <m:r>
                        <m:rPr>
                          <m:sty m:val="bi"/>
                        </m:rPr>
                        <w:rPr>
                          <w:rFonts w:ascii="Cambria Math" w:eastAsia="Times New Roman" w:hAnsi="Cambria Math" w:cs="Arial"/>
                          <w:color w:val="000000" w:themeColor="text1"/>
                          <w:sz w:val="20"/>
                          <w:szCs w:val="20"/>
                          <w:lang w:eastAsia="fr-FR"/>
                        </w:rPr>
                        <m:t>X</m:t>
                      </m:r>
                    </m:e>
                  </m:acc>
                  <m:r>
                    <m:rPr>
                      <m:sty m:val="bi"/>
                    </m:rPr>
                    <w:rPr>
                      <w:rFonts w:ascii="Cambria Math" w:eastAsia="Times New Roman" w:hAnsi="Cambria Math" w:cs="Arial"/>
                      <w:color w:val="000000" w:themeColor="text1"/>
                      <w:sz w:val="20"/>
                      <w:szCs w:val="20"/>
                      <w:lang w:eastAsia="fr-FR"/>
                    </w:rPr>
                    <m:t>)(Y-</m:t>
                  </m:r>
                  <m:acc>
                    <m:accPr>
                      <m:chr m:val="̅"/>
                      <m:ctrlPr>
                        <w:rPr>
                          <w:rFonts w:ascii="Cambria Math" w:eastAsia="Times New Roman" w:hAnsi="Cambria Math" w:cs="Arial"/>
                          <w:b/>
                          <w:i/>
                          <w:color w:val="000000" w:themeColor="text1"/>
                          <w:sz w:val="20"/>
                          <w:szCs w:val="20"/>
                          <w:lang w:eastAsia="fr-FR"/>
                        </w:rPr>
                      </m:ctrlPr>
                    </m:accPr>
                    <m:e>
                      <m:r>
                        <m:rPr>
                          <m:sty m:val="bi"/>
                        </m:rPr>
                        <w:rPr>
                          <w:rFonts w:ascii="Cambria Math" w:eastAsia="Times New Roman" w:hAnsi="Cambria Math" w:cs="Arial"/>
                          <w:color w:val="000000" w:themeColor="text1"/>
                          <w:sz w:val="20"/>
                          <w:szCs w:val="20"/>
                          <w:lang w:eastAsia="fr-FR"/>
                        </w:rPr>
                        <m:t>Y</m:t>
                      </m:r>
                    </m:e>
                  </m:acc>
                  <m:r>
                    <m:rPr>
                      <m:sty m:val="bi"/>
                    </m:rPr>
                    <w:rPr>
                      <w:rFonts w:ascii="Cambria Math" w:eastAsia="Times New Roman" w:hAnsi="Cambria Math" w:cs="Arial"/>
                      <w:color w:val="000000" w:themeColor="text1"/>
                      <w:sz w:val="20"/>
                      <w:szCs w:val="20"/>
                      <w:lang w:eastAsia="fr-FR"/>
                    </w:rPr>
                    <m:t>)</m:t>
                  </m:r>
                </m:e>
              </m:nary>
            </m:num>
            <m:den>
              <m:rad>
                <m:radPr>
                  <m:degHide m:val="1"/>
                  <m:ctrlPr>
                    <w:rPr>
                      <w:rFonts w:ascii="Cambria Math" w:eastAsia="Times New Roman" w:hAnsi="Cambria Math" w:cs="Arial"/>
                      <w:b/>
                      <w:i/>
                      <w:color w:val="000000" w:themeColor="text1"/>
                      <w:sz w:val="20"/>
                      <w:szCs w:val="20"/>
                      <w:lang w:eastAsia="fr-FR"/>
                    </w:rPr>
                  </m:ctrlPr>
                </m:radPr>
                <m:deg/>
                <m:e>
                  <m:nary>
                    <m:naryPr>
                      <m:chr m:val="∑"/>
                      <m:limLoc m:val="undOvr"/>
                      <m:subHide m:val="1"/>
                      <m:supHide m:val="1"/>
                      <m:ctrlPr>
                        <w:rPr>
                          <w:rFonts w:ascii="Cambria Math" w:eastAsia="Times New Roman" w:hAnsi="Cambria Math" w:cs="Arial"/>
                          <w:b/>
                          <w:i/>
                          <w:color w:val="000000" w:themeColor="text1"/>
                          <w:sz w:val="20"/>
                          <w:szCs w:val="20"/>
                          <w:lang w:eastAsia="fr-FR"/>
                        </w:rPr>
                      </m:ctrlPr>
                    </m:naryPr>
                    <m:sub/>
                    <m:sup/>
                    <m:e>
                      <m:sSup>
                        <m:sSupPr>
                          <m:ctrlPr>
                            <w:rPr>
                              <w:rFonts w:ascii="Cambria Math" w:eastAsia="Times New Roman" w:hAnsi="Cambria Math" w:cs="Arial"/>
                              <w:b/>
                              <w:i/>
                              <w:color w:val="000000" w:themeColor="text1"/>
                              <w:sz w:val="20"/>
                              <w:szCs w:val="20"/>
                              <w:lang w:eastAsia="fr-FR"/>
                            </w:rPr>
                          </m:ctrlPr>
                        </m:sSupPr>
                        <m:e>
                          <m:r>
                            <m:rPr>
                              <m:sty m:val="bi"/>
                            </m:rPr>
                            <w:rPr>
                              <w:rFonts w:ascii="Cambria Math" w:eastAsia="Times New Roman" w:hAnsi="Cambria Math" w:cs="Arial"/>
                              <w:color w:val="000000" w:themeColor="text1"/>
                              <w:sz w:val="20"/>
                              <w:szCs w:val="20"/>
                              <w:lang w:eastAsia="fr-FR"/>
                            </w:rPr>
                            <m:t>(X-</m:t>
                          </m:r>
                          <m:acc>
                            <m:accPr>
                              <m:chr m:val="̅"/>
                              <m:ctrlPr>
                                <w:rPr>
                                  <w:rFonts w:ascii="Cambria Math" w:eastAsia="Times New Roman" w:hAnsi="Cambria Math" w:cs="Arial"/>
                                  <w:b/>
                                  <w:i/>
                                  <w:color w:val="000000" w:themeColor="text1"/>
                                  <w:sz w:val="20"/>
                                  <w:szCs w:val="20"/>
                                  <w:lang w:eastAsia="fr-FR"/>
                                </w:rPr>
                              </m:ctrlPr>
                            </m:accPr>
                            <m:e>
                              <m:r>
                                <m:rPr>
                                  <m:sty m:val="bi"/>
                                </m:rPr>
                                <w:rPr>
                                  <w:rFonts w:ascii="Cambria Math" w:eastAsia="Times New Roman" w:hAnsi="Cambria Math" w:cs="Arial"/>
                                  <w:color w:val="000000" w:themeColor="text1"/>
                                  <w:sz w:val="20"/>
                                  <w:szCs w:val="20"/>
                                  <w:lang w:eastAsia="fr-FR"/>
                                </w:rPr>
                                <m:t>X</m:t>
                              </m:r>
                            </m:e>
                          </m:acc>
                          <m:r>
                            <m:rPr>
                              <m:sty m:val="bi"/>
                            </m:rPr>
                            <w:rPr>
                              <w:rFonts w:ascii="Cambria Math" w:eastAsia="Times New Roman" w:hAnsi="Cambria Math" w:cs="Arial"/>
                              <w:color w:val="000000" w:themeColor="text1"/>
                              <w:sz w:val="20"/>
                              <w:szCs w:val="20"/>
                              <w:lang w:eastAsia="fr-FR"/>
                            </w:rPr>
                            <m:t>)</m:t>
                          </m:r>
                        </m:e>
                        <m:sup>
                          <m:r>
                            <m:rPr>
                              <m:sty m:val="bi"/>
                            </m:rPr>
                            <w:rPr>
                              <w:rFonts w:ascii="Cambria Math" w:eastAsia="Times New Roman" w:hAnsi="Cambria Math" w:cs="Arial"/>
                              <w:color w:val="000000" w:themeColor="text1"/>
                              <w:sz w:val="20"/>
                              <w:szCs w:val="20"/>
                              <w:lang w:eastAsia="fr-FR"/>
                            </w:rPr>
                            <m:t>2</m:t>
                          </m:r>
                        </m:sup>
                      </m:sSup>
                      <m:r>
                        <m:rPr>
                          <m:sty m:val="bi"/>
                        </m:rPr>
                        <w:rPr>
                          <w:rFonts w:ascii="Cambria Math" w:eastAsia="Times New Roman" w:hAnsi="Cambria Math" w:cs="Arial"/>
                          <w:color w:val="000000" w:themeColor="text1"/>
                          <w:sz w:val="20"/>
                          <w:szCs w:val="20"/>
                          <w:lang w:eastAsia="fr-FR"/>
                        </w:rPr>
                        <m:t>×</m:t>
                      </m:r>
                      <m:nary>
                        <m:naryPr>
                          <m:chr m:val="∑"/>
                          <m:limLoc m:val="undOvr"/>
                          <m:subHide m:val="1"/>
                          <m:supHide m:val="1"/>
                          <m:ctrlPr>
                            <w:rPr>
                              <w:rFonts w:ascii="Cambria Math" w:eastAsia="Times New Roman" w:hAnsi="Cambria Math" w:cs="Arial"/>
                              <w:b/>
                              <w:i/>
                              <w:color w:val="000000" w:themeColor="text1"/>
                              <w:sz w:val="20"/>
                              <w:szCs w:val="20"/>
                              <w:lang w:eastAsia="fr-FR"/>
                            </w:rPr>
                          </m:ctrlPr>
                        </m:naryPr>
                        <m:sub/>
                        <m:sup/>
                        <m:e>
                          <m:r>
                            <m:rPr>
                              <m:sty m:val="bi"/>
                            </m:rPr>
                            <w:rPr>
                              <w:rFonts w:ascii="Cambria Math" w:eastAsia="Times New Roman" w:hAnsi="Cambria Math" w:cs="Arial"/>
                              <w:color w:val="000000" w:themeColor="text1"/>
                              <w:sz w:val="20"/>
                              <w:szCs w:val="20"/>
                              <w:lang w:eastAsia="fr-FR"/>
                            </w:rPr>
                            <m:t>(</m:t>
                          </m:r>
                          <m:sSup>
                            <m:sSupPr>
                              <m:ctrlPr>
                                <w:rPr>
                                  <w:rFonts w:ascii="Cambria Math" w:eastAsia="Times New Roman" w:hAnsi="Cambria Math" w:cs="Arial"/>
                                  <w:b/>
                                  <w:i/>
                                  <w:color w:val="000000" w:themeColor="text1"/>
                                  <w:sz w:val="20"/>
                                  <w:szCs w:val="20"/>
                                  <w:lang w:eastAsia="fr-FR"/>
                                </w:rPr>
                              </m:ctrlPr>
                            </m:sSupPr>
                            <m:e>
                              <m:r>
                                <m:rPr>
                                  <m:sty m:val="bi"/>
                                </m:rPr>
                                <w:rPr>
                                  <w:rFonts w:ascii="Cambria Math" w:eastAsia="Times New Roman" w:hAnsi="Cambria Math" w:cs="Arial"/>
                                  <w:color w:val="000000" w:themeColor="text1"/>
                                  <w:sz w:val="20"/>
                                  <w:szCs w:val="20"/>
                                  <w:lang w:eastAsia="fr-FR"/>
                                </w:rPr>
                                <m:t>Y-</m:t>
                              </m:r>
                              <m:acc>
                                <m:accPr>
                                  <m:chr m:val="̅"/>
                                  <m:ctrlPr>
                                    <w:rPr>
                                      <w:rFonts w:ascii="Cambria Math" w:eastAsia="Times New Roman" w:hAnsi="Cambria Math" w:cs="Arial"/>
                                      <w:b/>
                                      <w:i/>
                                      <w:color w:val="000000" w:themeColor="text1"/>
                                      <w:sz w:val="20"/>
                                      <w:szCs w:val="20"/>
                                      <w:lang w:eastAsia="fr-FR"/>
                                    </w:rPr>
                                  </m:ctrlPr>
                                </m:accPr>
                                <m:e>
                                  <m:r>
                                    <m:rPr>
                                      <m:sty m:val="bi"/>
                                    </m:rPr>
                                    <w:rPr>
                                      <w:rFonts w:ascii="Cambria Math" w:eastAsia="Times New Roman" w:hAnsi="Cambria Math" w:cs="Arial"/>
                                      <w:color w:val="000000" w:themeColor="text1"/>
                                      <w:sz w:val="20"/>
                                      <w:szCs w:val="20"/>
                                      <w:lang w:eastAsia="fr-FR"/>
                                    </w:rPr>
                                    <m:t>Y</m:t>
                                  </m:r>
                                </m:e>
                              </m:acc>
                              <m:r>
                                <m:rPr>
                                  <m:sty m:val="bi"/>
                                </m:rPr>
                                <w:rPr>
                                  <w:rFonts w:ascii="Cambria Math" w:eastAsia="Times New Roman" w:hAnsi="Cambria Math" w:cs="Arial"/>
                                  <w:color w:val="000000" w:themeColor="text1"/>
                                  <w:sz w:val="20"/>
                                  <w:szCs w:val="20"/>
                                  <w:lang w:eastAsia="fr-FR"/>
                                </w:rPr>
                                <m:t>)</m:t>
                              </m:r>
                            </m:e>
                            <m:sup>
                              <m:r>
                                <m:rPr>
                                  <m:sty m:val="bi"/>
                                </m:rPr>
                                <w:rPr>
                                  <w:rFonts w:ascii="Cambria Math" w:eastAsia="Times New Roman" w:hAnsi="Cambria Math" w:cs="Arial"/>
                                  <w:color w:val="000000" w:themeColor="text1"/>
                                  <w:sz w:val="20"/>
                                  <w:szCs w:val="20"/>
                                  <w:lang w:eastAsia="fr-FR"/>
                                </w:rPr>
                                <m:t>2</m:t>
                              </m:r>
                            </m:sup>
                          </m:sSup>
                        </m:e>
                      </m:nary>
                    </m:e>
                  </m:nary>
                </m:e>
              </m:rad>
            </m:den>
          </m:f>
          <m:r>
            <m:rPr>
              <m:sty m:val="bi"/>
            </m:rPr>
            <w:rPr>
              <w:rFonts w:ascii="Cambria Math" w:eastAsia="Times New Roman" w:hAnsi="Cambria Math" w:cs="Arial"/>
              <w:color w:val="000000" w:themeColor="text1"/>
              <w:sz w:val="20"/>
              <w:szCs w:val="20"/>
              <w:lang w:eastAsia="fr-FR"/>
            </w:rPr>
            <m:t xml:space="preserve">               (3)</m:t>
          </m:r>
        </m:oMath>
      </m:oMathPara>
    </w:p>
    <w:p w14:paraId="327A956B" w14:textId="77777777" w:rsidR="0026579C" w:rsidRPr="0026579C" w:rsidRDefault="0026579C" w:rsidP="0026579C">
      <w:pPr>
        <w:spacing w:after="0" w:line="240" w:lineRule="auto"/>
        <w:jc w:val="both"/>
        <w:rPr>
          <w:rFonts w:ascii="Arial" w:eastAsia="Times New Roman" w:hAnsi="Arial" w:cs="Arial"/>
          <w:b/>
          <w:color w:val="000000" w:themeColor="text1"/>
          <w:sz w:val="20"/>
          <w:szCs w:val="20"/>
          <w:lang w:eastAsia="fr-FR"/>
        </w:rPr>
      </w:pPr>
    </w:p>
    <w:p w14:paraId="12A0C201" w14:textId="77777777" w:rsidR="005570E0" w:rsidRPr="0026579C"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Where X̅ and Y̅ represent the means of X and Y</w:t>
      </w:r>
    </w:p>
    <w:p w14:paraId="3C3F5D48" w14:textId="77777777" w:rsidR="005570E0" w:rsidRPr="0026579C"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(r = 1): perfect positive correlation. When (X) increases, (Y) increases proportionally.</w:t>
      </w:r>
    </w:p>
    <w:p w14:paraId="65EA607B" w14:textId="77777777" w:rsidR="005570E0" w:rsidRPr="0026579C"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(r = -1): perfect negative correlation. When (X) increases, (Y) decreases proportionally.</w:t>
      </w:r>
    </w:p>
    <w:p w14:paraId="6B8439E7" w14:textId="77777777" w:rsidR="005570E0"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(r = 0): no linear correlation. Changes in (X) have no predictable effect on (Y).</w:t>
      </w:r>
    </w:p>
    <w:p w14:paraId="0B277228" w14:textId="77777777" w:rsidR="0026579C" w:rsidRPr="0026579C" w:rsidRDefault="0026579C" w:rsidP="0026579C">
      <w:pPr>
        <w:spacing w:after="0" w:line="240" w:lineRule="auto"/>
        <w:jc w:val="both"/>
        <w:rPr>
          <w:rFonts w:ascii="Arial" w:hAnsi="Arial" w:cs="Arial"/>
          <w:sz w:val="20"/>
          <w:szCs w:val="20"/>
          <w:lang w:val="en-US"/>
        </w:rPr>
      </w:pPr>
    </w:p>
    <w:p w14:paraId="4AAE5059" w14:textId="77777777" w:rsidR="006A400D" w:rsidRPr="0026579C" w:rsidRDefault="006A400D" w:rsidP="0026579C">
      <w:pPr>
        <w:spacing w:before="120" w:after="120" w:line="240" w:lineRule="auto"/>
        <w:jc w:val="both"/>
        <w:rPr>
          <w:rFonts w:ascii="Arial" w:hAnsi="Arial" w:cs="Arial"/>
          <w:b/>
          <w:lang w:val="en-US"/>
        </w:rPr>
      </w:pPr>
      <w:r w:rsidRPr="0026579C">
        <w:rPr>
          <w:rFonts w:ascii="Arial" w:hAnsi="Arial" w:cs="Arial"/>
          <w:b/>
          <w:lang w:val="en-US"/>
        </w:rPr>
        <w:t>3. Results and discussion</w:t>
      </w:r>
    </w:p>
    <w:p w14:paraId="1C4D42DF" w14:textId="77777777" w:rsidR="006A400D" w:rsidRPr="0026579C" w:rsidRDefault="006A400D" w:rsidP="0026579C">
      <w:pPr>
        <w:spacing w:before="120" w:after="120" w:line="240" w:lineRule="auto"/>
        <w:jc w:val="both"/>
        <w:rPr>
          <w:rFonts w:ascii="Arial" w:hAnsi="Arial" w:cs="Arial"/>
          <w:b/>
          <w:sz w:val="20"/>
          <w:szCs w:val="20"/>
          <w:lang w:val="en-US"/>
        </w:rPr>
      </w:pPr>
      <w:r w:rsidRPr="0026579C">
        <w:rPr>
          <w:rFonts w:ascii="Arial" w:hAnsi="Arial" w:cs="Arial"/>
          <w:b/>
          <w:sz w:val="20"/>
          <w:szCs w:val="20"/>
          <w:lang w:val="en-US"/>
        </w:rPr>
        <w:t>3.1. Estimation of extreme flood flows/precipitation for different return times using Gumbel law</w:t>
      </w:r>
    </w:p>
    <w:p w14:paraId="5B0B2500" w14:textId="77777777" w:rsidR="006A400D" w:rsidRDefault="006A400D"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The application of the statistical method (Gumbel law) to hydroclimatic data allowed us to estimate different return times for extreme precipitation and flow events, the results of which are grouped in the table below.</w:t>
      </w:r>
    </w:p>
    <w:p w14:paraId="7AD26788" w14:textId="77777777" w:rsidR="0026579C" w:rsidRPr="0026579C" w:rsidRDefault="0026579C" w:rsidP="0026579C">
      <w:pPr>
        <w:spacing w:after="0" w:line="240" w:lineRule="auto"/>
        <w:jc w:val="both"/>
        <w:rPr>
          <w:rFonts w:ascii="Arial" w:hAnsi="Arial" w:cs="Arial"/>
          <w:sz w:val="20"/>
          <w:szCs w:val="20"/>
          <w:lang w:val="en-US"/>
        </w:rPr>
      </w:pPr>
    </w:p>
    <w:p w14:paraId="55974F7C" w14:textId="0589F538" w:rsidR="006A400D" w:rsidRPr="0026579C" w:rsidRDefault="006A400D" w:rsidP="004E47E2">
      <w:pPr>
        <w:jc w:val="both"/>
        <w:rPr>
          <w:rFonts w:ascii="Arial" w:hAnsi="Arial" w:cs="Arial"/>
          <w:b/>
          <w:iCs/>
          <w:sz w:val="20"/>
          <w:szCs w:val="20"/>
          <w:lang w:val="en-US"/>
        </w:rPr>
      </w:pPr>
      <w:r w:rsidRPr="0026579C">
        <w:rPr>
          <w:rFonts w:ascii="Arial" w:hAnsi="Arial" w:cs="Arial"/>
          <w:b/>
          <w:iCs/>
          <w:sz w:val="20"/>
          <w:szCs w:val="20"/>
          <w:lang w:val="en-US"/>
        </w:rPr>
        <w:t>Table 1</w:t>
      </w:r>
      <w:r w:rsidR="0026579C" w:rsidRPr="0026579C">
        <w:rPr>
          <w:rFonts w:ascii="Arial" w:hAnsi="Arial" w:cs="Arial"/>
          <w:b/>
          <w:iCs/>
          <w:sz w:val="20"/>
          <w:szCs w:val="20"/>
          <w:lang w:val="en-US"/>
        </w:rPr>
        <w:t>.</w:t>
      </w:r>
      <w:r w:rsidRPr="0026579C">
        <w:rPr>
          <w:rFonts w:ascii="Arial" w:hAnsi="Arial" w:cs="Arial"/>
          <w:b/>
          <w:iCs/>
          <w:sz w:val="20"/>
          <w:szCs w:val="20"/>
          <w:lang w:val="en-US"/>
        </w:rPr>
        <w:t xml:space="preserve"> Extreme events for different return times</w:t>
      </w:r>
    </w:p>
    <w:tbl>
      <w:tblPr>
        <w:tblStyle w:val="Grilledutableau1"/>
        <w:tblW w:w="9493" w:type="dxa"/>
        <w:tblLayout w:type="fixed"/>
        <w:tblLook w:val="04A0" w:firstRow="1" w:lastRow="0" w:firstColumn="1" w:lastColumn="0" w:noHBand="0" w:noVBand="1"/>
      </w:tblPr>
      <w:tblGrid>
        <w:gridCol w:w="846"/>
        <w:gridCol w:w="1843"/>
        <w:gridCol w:w="1422"/>
        <w:gridCol w:w="1418"/>
        <w:gridCol w:w="1412"/>
        <w:gridCol w:w="1134"/>
        <w:gridCol w:w="1418"/>
      </w:tblGrid>
      <w:tr w:rsidR="006A400D" w:rsidRPr="00B94B81" w14:paraId="6AD693D7" w14:textId="77777777" w:rsidTr="006A400D">
        <w:tc>
          <w:tcPr>
            <w:tcW w:w="846" w:type="dxa"/>
            <w:vMerge w:val="restart"/>
          </w:tcPr>
          <w:p w14:paraId="28D123C3" w14:textId="77777777" w:rsidR="006A400D" w:rsidRPr="00B94B81" w:rsidRDefault="006A400D" w:rsidP="005A220E">
            <w:pPr>
              <w:jc w:val="both"/>
              <w:rPr>
                <w:rFonts w:ascii="Arial" w:hAnsi="Arial" w:cs="Arial"/>
                <w:b/>
                <w:noProof/>
                <w:color w:val="000000" w:themeColor="text1"/>
                <w:sz w:val="20"/>
                <w:szCs w:val="20"/>
                <w:lang w:eastAsia="fr-FR"/>
              </w:rPr>
            </w:pPr>
          </w:p>
          <w:p w14:paraId="7A55AFE6" w14:textId="77777777" w:rsidR="006A400D" w:rsidRPr="00B94B81" w:rsidRDefault="006A400D" w:rsidP="005A220E">
            <w:pPr>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Years</w:t>
            </w:r>
          </w:p>
        </w:tc>
        <w:tc>
          <w:tcPr>
            <w:tcW w:w="1843" w:type="dxa"/>
            <w:vMerge w:val="restart"/>
          </w:tcPr>
          <w:p w14:paraId="444A165F" w14:textId="77777777" w:rsidR="006A400D" w:rsidRPr="00B94B81" w:rsidRDefault="006A400D" w:rsidP="005A220E">
            <w:pPr>
              <w:jc w:val="both"/>
              <w:rPr>
                <w:rFonts w:ascii="Arial" w:hAnsi="Arial" w:cs="Arial"/>
                <w:b/>
                <w:noProof/>
                <w:color w:val="000000" w:themeColor="text1"/>
                <w:sz w:val="20"/>
                <w:szCs w:val="20"/>
                <w:lang w:eastAsia="fr-FR"/>
              </w:rPr>
            </w:pPr>
          </w:p>
          <w:p w14:paraId="69491240" w14:textId="77777777" w:rsidR="006A400D" w:rsidRPr="00B94B81" w:rsidRDefault="006A400D" w:rsidP="005A220E">
            <w:pPr>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Flow rate [m/s3]</w:t>
            </w:r>
          </w:p>
        </w:tc>
        <w:tc>
          <w:tcPr>
            <w:tcW w:w="1422" w:type="dxa"/>
            <w:vMerge w:val="restart"/>
          </w:tcPr>
          <w:p w14:paraId="334E15FD" w14:textId="77777777" w:rsidR="006A400D" w:rsidRPr="00B94B81" w:rsidRDefault="006A400D" w:rsidP="005A220E">
            <w:pPr>
              <w:jc w:val="both"/>
              <w:rPr>
                <w:rFonts w:ascii="Arial" w:hAnsi="Arial" w:cs="Arial"/>
                <w:b/>
                <w:noProof/>
                <w:color w:val="000000" w:themeColor="text1"/>
                <w:sz w:val="20"/>
                <w:szCs w:val="20"/>
                <w:lang w:eastAsia="fr-FR"/>
              </w:rPr>
            </w:pPr>
          </w:p>
          <w:p w14:paraId="55AE6499" w14:textId="77777777" w:rsidR="006A400D" w:rsidRPr="00B94B81" w:rsidRDefault="006A400D" w:rsidP="005A220E">
            <w:pPr>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Time [year]</w:t>
            </w:r>
          </w:p>
        </w:tc>
        <w:tc>
          <w:tcPr>
            <w:tcW w:w="5382" w:type="dxa"/>
            <w:gridSpan w:val="4"/>
          </w:tcPr>
          <w:p w14:paraId="1E562BAF" w14:textId="77777777" w:rsidR="006A400D" w:rsidRPr="00B94B81" w:rsidRDefault="008874CA" w:rsidP="0026579C">
            <w:pPr>
              <w:jc w:val="center"/>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Rainfall [mm]</w:t>
            </w:r>
          </w:p>
        </w:tc>
      </w:tr>
      <w:tr w:rsidR="006A400D" w:rsidRPr="00B94B81" w14:paraId="362265FA" w14:textId="77777777" w:rsidTr="006A400D">
        <w:tc>
          <w:tcPr>
            <w:tcW w:w="846" w:type="dxa"/>
            <w:vMerge/>
          </w:tcPr>
          <w:p w14:paraId="44F292F2" w14:textId="77777777" w:rsidR="006A400D" w:rsidRPr="00B94B81" w:rsidRDefault="006A400D" w:rsidP="005A220E">
            <w:pPr>
              <w:spacing w:before="120"/>
              <w:jc w:val="both"/>
              <w:rPr>
                <w:rFonts w:ascii="Arial" w:hAnsi="Arial" w:cs="Arial"/>
                <w:b/>
                <w:noProof/>
                <w:color w:val="000000" w:themeColor="text1"/>
                <w:sz w:val="20"/>
                <w:szCs w:val="20"/>
                <w:lang w:eastAsia="fr-FR"/>
              </w:rPr>
            </w:pPr>
          </w:p>
        </w:tc>
        <w:tc>
          <w:tcPr>
            <w:tcW w:w="1843" w:type="dxa"/>
            <w:vMerge/>
          </w:tcPr>
          <w:p w14:paraId="28FC20DD" w14:textId="77777777" w:rsidR="006A400D" w:rsidRPr="00B94B81" w:rsidRDefault="006A400D" w:rsidP="005A220E">
            <w:pPr>
              <w:spacing w:before="120"/>
              <w:jc w:val="both"/>
              <w:rPr>
                <w:rFonts w:ascii="Arial" w:hAnsi="Arial" w:cs="Arial"/>
                <w:b/>
                <w:noProof/>
                <w:color w:val="000000" w:themeColor="text1"/>
                <w:sz w:val="20"/>
                <w:szCs w:val="20"/>
                <w:lang w:eastAsia="fr-FR"/>
              </w:rPr>
            </w:pPr>
          </w:p>
        </w:tc>
        <w:tc>
          <w:tcPr>
            <w:tcW w:w="1422" w:type="dxa"/>
            <w:vMerge/>
          </w:tcPr>
          <w:p w14:paraId="6B8574AE" w14:textId="77777777" w:rsidR="006A400D" w:rsidRPr="00B94B81" w:rsidRDefault="006A400D" w:rsidP="005A220E">
            <w:pPr>
              <w:spacing w:before="120"/>
              <w:jc w:val="both"/>
              <w:rPr>
                <w:rFonts w:ascii="Arial" w:hAnsi="Arial" w:cs="Arial"/>
                <w:b/>
                <w:noProof/>
                <w:color w:val="000000" w:themeColor="text1"/>
                <w:sz w:val="20"/>
                <w:szCs w:val="20"/>
                <w:lang w:eastAsia="fr-FR"/>
              </w:rPr>
            </w:pPr>
          </w:p>
        </w:tc>
        <w:tc>
          <w:tcPr>
            <w:tcW w:w="1418" w:type="dxa"/>
          </w:tcPr>
          <w:p w14:paraId="79DA3277" w14:textId="77777777" w:rsidR="006A400D" w:rsidRPr="00B94B81" w:rsidRDefault="006A400D" w:rsidP="005A220E">
            <w:pPr>
              <w:spacing w:before="120"/>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N’Zérékoré</w:t>
            </w:r>
          </w:p>
        </w:tc>
        <w:tc>
          <w:tcPr>
            <w:tcW w:w="1412" w:type="dxa"/>
          </w:tcPr>
          <w:p w14:paraId="42CEF7CA" w14:textId="77777777" w:rsidR="006A400D" w:rsidRPr="00B94B81" w:rsidRDefault="006A400D" w:rsidP="005A220E">
            <w:pPr>
              <w:spacing w:before="120"/>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Time [year]</w:t>
            </w:r>
          </w:p>
        </w:tc>
        <w:tc>
          <w:tcPr>
            <w:tcW w:w="1134" w:type="dxa"/>
          </w:tcPr>
          <w:p w14:paraId="1904E444" w14:textId="77777777" w:rsidR="006A400D" w:rsidRPr="00B94B81" w:rsidRDefault="006A400D" w:rsidP="005A220E">
            <w:pPr>
              <w:spacing w:before="120"/>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Macenta</w:t>
            </w:r>
          </w:p>
        </w:tc>
        <w:tc>
          <w:tcPr>
            <w:tcW w:w="1418" w:type="dxa"/>
          </w:tcPr>
          <w:p w14:paraId="6BB5BD0C" w14:textId="77777777" w:rsidR="006A400D" w:rsidRPr="00B94B81" w:rsidRDefault="006A400D" w:rsidP="005A220E">
            <w:pPr>
              <w:spacing w:before="120"/>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Time [year]</w:t>
            </w:r>
          </w:p>
        </w:tc>
      </w:tr>
      <w:tr w:rsidR="006A400D" w:rsidRPr="00B94B81" w14:paraId="5B92EAB4" w14:textId="77777777" w:rsidTr="006A400D">
        <w:tc>
          <w:tcPr>
            <w:tcW w:w="846" w:type="dxa"/>
          </w:tcPr>
          <w:p w14:paraId="60AF01F5"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1995</w:t>
            </w:r>
          </w:p>
        </w:tc>
        <w:tc>
          <w:tcPr>
            <w:tcW w:w="1843" w:type="dxa"/>
          </w:tcPr>
          <w:p w14:paraId="34EB018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88,0</w:t>
            </w:r>
          </w:p>
        </w:tc>
        <w:tc>
          <w:tcPr>
            <w:tcW w:w="1422" w:type="dxa"/>
            <w:shd w:val="clear" w:color="auto" w:fill="00B0F0"/>
          </w:tcPr>
          <w:p w14:paraId="36A7472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c>
          <w:tcPr>
            <w:tcW w:w="1418" w:type="dxa"/>
          </w:tcPr>
          <w:p w14:paraId="4A608CB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68,1</w:t>
            </w:r>
          </w:p>
        </w:tc>
        <w:tc>
          <w:tcPr>
            <w:tcW w:w="1412" w:type="dxa"/>
            <w:shd w:val="clear" w:color="auto" w:fill="00B0F0"/>
          </w:tcPr>
          <w:p w14:paraId="7503062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2,1</w:t>
            </w:r>
          </w:p>
        </w:tc>
        <w:tc>
          <w:tcPr>
            <w:tcW w:w="1134" w:type="dxa"/>
          </w:tcPr>
          <w:p w14:paraId="100FA617"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77</w:t>
            </w:r>
          </w:p>
        </w:tc>
        <w:tc>
          <w:tcPr>
            <w:tcW w:w="1418" w:type="dxa"/>
            <w:shd w:val="clear" w:color="auto" w:fill="00B0F0"/>
          </w:tcPr>
          <w:p w14:paraId="4363828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1,8</w:t>
            </w:r>
          </w:p>
        </w:tc>
      </w:tr>
      <w:tr w:rsidR="006A400D" w:rsidRPr="00B94B81" w14:paraId="5DA3E8DC" w14:textId="77777777" w:rsidTr="006A400D">
        <w:tc>
          <w:tcPr>
            <w:tcW w:w="846" w:type="dxa"/>
          </w:tcPr>
          <w:p w14:paraId="2E42D2AF"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lastRenderedPageBreak/>
              <w:t>1996</w:t>
            </w:r>
          </w:p>
        </w:tc>
        <w:tc>
          <w:tcPr>
            <w:tcW w:w="1843" w:type="dxa"/>
          </w:tcPr>
          <w:p w14:paraId="54994E8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186,2</w:t>
            </w:r>
          </w:p>
        </w:tc>
        <w:tc>
          <w:tcPr>
            <w:tcW w:w="1422" w:type="dxa"/>
            <w:shd w:val="clear" w:color="auto" w:fill="FF0000"/>
          </w:tcPr>
          <w:p w14:paraId="186576EB"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6,7</w:t>
            </w:r>
          </w:p>
        </w:tc>
        <w:tc>
          <w:tcPr>
            <w:tcW w:w="1418" w:type="dxa"/>
          </w:tcPr>
          <w:p w14:paraId="078FD6D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37</w:t>
            </w:r>
          </w:p>
        </w:tc>
        <w:tc>
          <w:tcPr>
            <w:tcW w:w="1412" w:type="dxa"/>
            <w:shd w:val="clear" w:color="auto" w:fill="00B0F0"/>
          </w:tcPr>
          <w:p w14:paraId="3432865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w:t>
            </w:r>
          </w:p>
        </w:tc>
        <w:tc>
          <w:tcPr>
            <w:tcW w:w="1134" w:type="dxa"/>
          </w:tcPr>
          <w:p w14:paraId="1157CDC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42,2</w:t>
            </w:r>
          </w:p>
        </w:tc>
        <w:tc>
          <w:tcPr>
            <w:tcW w:w="1418" w:type="dxa"/>
            <w:shd w:val="clear" w:color="auto" w:fill="00B0F0"/>
          </w:tcPr>
          <w:p w14:paraId="707F45C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w:t>
            </w:r>
          </w:p>
        </w:tc>
      </w:tr>
      <w:tr w:rsidR="006A400D" w:rsidRPr="00B94B81" w14:paraId="2A3686FB" w14:textId="77777777" w:rsidTr="006A400D">
        <w:tc>
          <w:tcPr>
            <w:tcW w:w="846" w:type="dxa"/>
          </w:tcPr>
          <w:p w14:paraId="7429218D"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1997</w:t>
            </w:r>
          </w:p>
        </w:tc>
        <w:tc>
          <w:tcPr>
            <w:tcW w:w="1843" w:type="dxa"/>
          </w:tcPr>
          <w:p w14:paraId="68F9120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172,9</w:t>
            </w:r>
          </w:p>
        </w:tc>
        <w:tc>
          <w:tcPr>
            <w:tcW w:w="1422" w:type="dxa"/>
            <w:shd w:val="clear" w:color="auto" w:fill="00B0F0"/>
          </w:tcPr>
          <w:p w14:paraId="3636C2C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5,5</w:t>
            </w:r>
          </w:p>
        </w:tc>
        <w:tc>
          <w:tcPr>
            <w:tcW w:w="1418" w:type="dxa"/>
          </w:tcPr>
          <w:p w14:paraId="6DDA693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67,7</w:t>
            </w:r>
          </w:p>
        </w:tc>
        <w:tc>
          <w:tcPr>
            <w:tcW w:w="1412" w:type="dxa"/>
            <w:shd w:val="clear" w:color="auto" w:fill="00B0F0"/>
          </w:tcPr>
          <w:p w14:paraId="6F041E0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1,9</w:t>
            </w:r>
          </w:p>
        </w:tc>
        <w:tc>
          <w:tcPr>
            <w:tcW w:w="1134" w:type="dxa"/>
          </w:tcPr>
          <w:p w14:paraId="0C01D14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81,4</w:t>
            </w:r>
          </w:p>
        </w:tc>
        <w:tc>
          <w:tcPr>
            <w:tcW w:w="1418" w:type="dxa"/>
            <w:shd w:val="clear" w:color="auto" w:fill="00B0F0"/>
          </w:tcPr>
          <w:p w14:paraId="3CC69B0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2,2</w:t>
            </w:r>
          </w:p>
        </w:tc>
      </w:tr>
      <w:tr w:rsidR="006A400D" w:rsidRPr="00B94B81" w14:paraId="476C90E4" w14:textId="77777777" w:rsidTr="006A400D">
        <w:tc>
          <w:tcPr>
            <w:tcW w:w="846" w:type="dxa"/>
          </w:tcPr>
          <w:p w14:paraId="08E51571"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1998</w:t>
            </w:r>
          </w:p>
        </w:tc>
        <w:tc>
          <w:tcPr>
            <w:tcW w:w="1843" w:type="dxa"/>
          </w:tcPr>
          <w:p w14:paraId="577443C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159,6</w:t>
            </w:r>
          </w:p>
        </w:tc>
        <w:tc>
          <w:tcPr>
            <w:tcW w:w="1422" w:type="dxa"/>
            <w:shd w:val="clear" w:color="auto" w:fill="00B0F0"/>
          </w:tcPr>
          <w:p w14:paraId="2258035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4,0</w:t>
            </w:r>
          </w:p>
        </w:tc>
        <w:tc>
          <w:tcPr>
            <w:tcW w:w="1418" w:type="dxa"/>
          </w:tcPr>
          <w:p w14:paraId="25847A8B"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95,4</w:t>
            </w:r>
          </w:p>
        </w:tc>
        <w:tc>
          <w:tcPr>
            <w:tcW w:w="1412" w:type="dxa"/>
            <w:shd w:val="clear" w:color="auto" w:fill="FFFF00"/>
          </w:tcPr>
          <w:p w14:paraId="665DF5D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20,0</w:t>
            </w:r>
          </w:p>
        </w:tc>
        <w:tc>
          <w:tcPr>
            <w:tcW w:w="1134" w:type="dxa"/>
          </w:tcPr>
          <w:p w14:paraId="3DAD470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113,3</w:t>
            </w:r>
          </w:p>
        </w:tc>
        <w:tc>
          <w:tcPr>
            <w:tcW w:w="1418" w:type="dxa"/>
            <w:shd w:val="clear" w:color="auto" w:fill="FFFF00"/>
          </w:tcPr>
          <w:p w14:paraId="3B8A65B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20,0</w:t>
            </w:r>
          </w:p>
        </w:tc>
      </w:tr>
      <w:tr w:rsidR="006A400D" w:rsidRPr="00B94B81" w14:paraId="1BB2695E" w14:textId="77777777" w:rsidTr="006A400D">
        <w:tc>
          <w:tcPr>
            <w:tcW w:w="846" w:type="dxa"/>
          </w:tcPr>
          <w:p w14:paraId="2AFF6740"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1999</w:t>
            </w:r>
          </w:p>
        </w:tc>
        <w:tc>
          <w:tcPr>
            <w:tcW w:w="1843" w:type="dxa"/>
          </w:tcPr>
          <w:p w14:paraId="2328D5B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127,4</w:t>
            </w:r>
          </w:p>
        </w:tc>
        <w:tc>
          <w:tcPr>
            <w:tcW w:w="1422" w:type="dxa"/>
            <w:shd w:val="clear" w:color="auto" w:fill="00B0F0"/>
          </w:tcPr>
          <w:p w14:paraId="709BDB0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w:t>
            </w:r>
          </w:p>
        </w:tc>
        <w:tc>
          <w:tcPr>
            <w:tcW w:w="1418" w:type="dxa"/>
          </w:tcPr>
          <w:p w14:paraId="262E2D3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64</w:t>
            </w:r>
          </w:p>
        </w:tc>
        <w:tc>
          <w:tcPr>
            <w:tcW w:w="1412" w:type="dxa"/>
            <w:shd w:val="clear" w:color="auto" w:fill="00B0F0"/>
          </w:tcPr>
          <w:p w14:paraId="5489DED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1,7</w:t>
            </w:r>
          </w:p>
        </w:tc>
        <w:tc>
          <w:tcPr>
            <w:tcW w:w="1134" w:type="dxa"/>
          </w:tcPr>
          <w:p w14:paraId="4835BC1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69,5</w:t>
            </w:r>
          </w:p>
        </w:tc>
        <w:tc>
          <w:tcPr>
            <w:tcW w:w="1418" w:type="dxa"/>
            <w:shd w:val="clear" w:color="auto" w:fill="00B0F0"/>
          </w:tcPr>
          <w:p w14:paraId="507E634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1,7</w:t>
            </w:r>
          </w:p>
        </w:tc>
      </w:tr>
      <w:tr w:rsidR="006A400D" w:rsidRPr="00B94B81" w14:paraId="7841A531" w14:textId="77777777" w:rsidTr="006A400D">
        <w:tc>
          <w:tcPr>
            <w:tcW w:w="846" w:type="dxa"/>
          </w:tcPr>
          <w:p w14:paraId="2680E9D5"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2000</w:t>
            </w:r>
          </w:p>
        </w:tc>
        <w:tc>
          <w:tcPr>
            <w:tcW w:w="1843" w:type="dxa"/>
          </w:tcPr>
          <w:p w14:paraId="3A974A1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138,0</w:t>
            </w:r>
          </w:p>
        </w:tc>
        <w:tc>
          <w:tcPr>
            <w:tcW w:w="1422" w:type="dxa"/>
            <w:shd w:val="clear" w:color="auto" w:fill="00B0F0"/>
          </w:tcPr>
          <w:p w14:paraId="59018F7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2,4</w:t>
            </w:r>
          </w:p>
        </w:tc>
        <w:tc>
          <w:tcPr>
            <w:tcW w:w="1418" w:type="dxa"/>
          </w:tcPr>
          <w:p w14:paraId="2BEAD7C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61,6</w:t>
            </w:r>
          </w:p>
        </w:tc>
        <w:tc>
          <w:tcPr>
            <w:tcW w:w="1412" w:type="dxa"/>
            <w:shd w:val="clear" w:color="auto" w:fill="00B0F0"/>
          </w:tcPr>
          <w:p w14:paraId="6B63A7B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w:t>
            </w:r>
          </w:p>
        </w:tc>
        <w:tc>
          <w:tcPr>
            <w:tcW w:w="1134" w:type="dxa"/>
          </w:tcPr>
          <w:p w14:paraId="6925A51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67</w:t>
            </w:r>
          </w:p>
        </w:tc>
        <w:tc>
          <w:tcPr>
            <w:tcW w:w="1418" w:type="dxa"/>
            <w:shd w:val="clear" w:color="auto" w:fill="00B0F0"/>
          </w:tcPr>
          <w:p w14:paraId="643C4C2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w:t>
            </w:r>
          </w:p>
        </w:tc>
      </w:tr>
      <w:tr w:rsidR="006A400D" w:rsidRPr="00B94B81" w14:paraId="6FC3DD53" w14:textId="77777777" w:rsidTr="006A400D">
        <w:tc>
          <w:tcPr>
            <w:tcW w:w="846" w:type="dxa"/>
          </w:tcPr>
          <w:p w14:paraId="096B37C6"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2001</w:t>
            </w:r>
          </w:p>
        </w:tc>
        <w:tc>
          <w:tcPr>
            <w:tcW w:w="1843" w:type="dxa"/>
          </w:tcPr>
          <w:p w14:paraId="71475AD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120,2</w:t>
            </w:r>
          </w:p>
        </w:tc>
        <w:tc>
          <w:tcPr>
            <w:tcW w:w="1422" w:type="dxa"/>
            <w:shd w:val="clear" w:color="auto" w:fill="00B0F0"/>
          </w:tcPr>
          <w:p w14:paraId="597558A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w:t>
            </w:r>
          </w:p>
        </w:tc>
        <w:tc>
          <w:tcPr>
            <w:tcW w:w="1418" w:type="dxa"/>
          </w:tcPr>
          <w:p w14:paraId="05D7CBE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40,4</w:t>
            </w:r>
          </w:p>
        </w:tc>
        <w:tc>
          <w:tcPr>
            <w:tcW w:w="1412" w:type="dxa"/>
            <w:shd w:val="clear" w:color="auto" w:fill="00B0F0"/>
          </w:tcPr>
          <w:p w14:paraId="42B520D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w:t>
            </w:r>
          </w:p>
        </w:tc>
        <w:tc>
          <w:tcPr>
            <w:tcW w:w="1134" w:type="dxa"/>
          </w:tcPr>
          <w:p w14:paraId="39BA01D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34,5</w:t>
            </w:r>
          </w:p>
        </w:tc>
        <w:tc>
          <w:tcPr>
            <w:tcW w:w="1418" w:type="dxa"/>
            <w:shd w:val="clear" w:color="auto" w:fill="00B0F0"/>
          </w:tcPr>
          <w:p w14:paraId="2FE498B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w:t>
            </w:r>
          </w:p>
        </w:tc>
      </w:tr>
      <w:tr w:rsidR="006A400D" w:rsidRPr="00B94B81" w14:paraId="32A1CCB0" w14:textId="77777777" w:rsidTr="006A400D">
        <w:tc>
          <w:tcPr>
            <w:tcW w:w="846" w:type="dxa"/>
          </w:tcPr>
          <w:p w14:paraId="480EBD7A"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2002</w:t>
            </w:r>
          </w:p>
        </w:tc>
        <w:tc>
          <w:tcPr>
            <w:tcW w:w="1843" w:type="dxa"/>
          </w:tcPr>
          <w:p w14:paraId="7887C2C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137,4</w:t>
            </w:r>
          </w:p>
        </w:tc>
        <w:tc>
          <w:tcPr>
            <w:tcW w:w="1422" w:type="dxa"/>
            <w:shd w:val="clear" w:color="auto" w:fill="00B0F0"/>
          </w:tcPr>
          <w:p w14:paraId="0B47C40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2,1</w:t>
            </w:r>
          </w:p>
        </w:tc>
        <w:tc>
          <w:tcPr>
            <w:tcW w:w="1418" w:type="dxa"/>
          </w:tcPr>
          <w:p w14:paraId="5B39017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33,9</w:t>
            </w:r>
          </w:p>
        </w:tc>
        <w:tc>
          <w:tcPr>
            <w:tcW w:w="1412" w:type="dxa"/>
            <w:shd w:val="clear" w:color="auto" w:fill="00B0F0"/>
          </w:tcPr>
          <w:p w14:paraId="34F9E46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w:t>
            </w:r>
          </w:p>
        </w:tc>
        <w:tc>
          <w:tcPr>
            <w:tcW w:w="1134" w:type="dxa"/>
          </w:tcPr>
          <w:p w14:paraId="71BD449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30,6</w:t>
            </w:r>
          </w:p>
        </w:tc>
        <w:tc>
          <w:tcPr>
            <w:tcW w:w="1418" w:type="dxa"/>
            <w:shd w:val="clear" w:color="auto" w:fill="00B0F0"/>
          </w:tcPr>
          <w:p w14:paraId="04FE80D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w:t>
            </w:r>
          </w:p>
        </w:tc>
      </w:tr>
      <w:tr w:rsidR="006A400D" w:rsidRPr="00B94B81" w14:paraId="406D7F1E" w14:textId="77777777" w:rsidTr="006A400D">
        <w:tc>
          <w:tcPr>
            <w:tcW w:w="846" w:type="dxa"/>
          </w:tcPr>
          <w:p w14:paraId="04365D33"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2003</w:t>
            </w:r>
          </w:p>
        </w:tc>
        <w:tc>
          <w:tcPr>
            <w:tcW w:w="1843" w:type="dxa"/>
          </w:tcPr>
          <w:p w14:paraId="34A2182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126,1</w:t>
            </w:r>
          </w:p>
        </w:tc>
        <w:tc>
          <w:tcPr>
            <w:tcW w:w="1422" w:type="dxa"/>
            <w:shd w:val="clear" w:color="auto" w:fill="00B0F0"/>
          </w:tcPr>
          <w:p w14:paraId="4985C44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1,4</w:t>
            </w:r>
          </w:p>
        </w:tc>
        <w:tc>
          <w:tcPr>
            <w:tcW w:w="1418" w:type="dxa"/>
          </w:tcPr>
          <w:p w14:paraId="2BC8649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30,1</w:t>
            </w:r>
          </w:p>
        </w:tc>
        <w:tc>
          <w:tcPr>
            <w:tcW w:w="1412" w:type="dxa"/>
            <w:shd w:val="clear" w:color="auto" w:fill="00B0F0"/>
          </w:tcPr>
          <w:p w14:paraId="41C6B0B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c>
          <w:tcPr>
            <w:tcW w:w="1134" w:type="dxa"/>
          </w:tcPr>
          <w:p w14:paraId="7E7561F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21,2</w:t>
            </w:r>
          </w:p>
        </w:tc>
        <w:tc>
          <w:tcPr>
            <w:tcW w:w="1418" w:type="dxa"/>
            <w:shd w:val="clear" w:color="auto" w:fill="00B0F0"/>
          </w:tcPr>
          <w:p w14:paraId="783C67F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w:t>
            </w:r>
          </w:p>
        </w:tc>
      </w:tr>
      <w:tr w:rsidR="006A400D" w:rsidRPr="00B94B81" w14:paraId="23FFC1FD" w14:textId="77777777" w:rsidTr="006A400D">
        <w:tc>
          <w:tcPr>
            <w:tcW w:w="846" w:type="dxa"/>
          </w:tcPr>
          <w:p w14:paraId="43B27CA3"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2004</w:t>
            </w:r>
          </w:p>
        </w:tc>
        <w:tc>
          <w:tcPr>
            <w:tcW w:w="1843" w:type="dxa"/>
          </w:tcPr>
          <w:p w14:paraId="316451C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128,3</w:t>
            </w:r>
          </w:p>
        </w:tc>
        <w:tc>
          <w:tcPr>
            <w:tcW w:w="1422" w:type="dxa"/>
            <w:shd w:val="clear" w:color="auto" w:fill="00B0F0"/>
          </w:tcPr>
          <w:p w14:paraId="70A233F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1,6</w:t>
            </w:r>
          </w:p>
        </w:tc>
        <w:tc>
          <w:tcPr>
            <w:tcW w:w="1418" w:type="dxa"/>
          </w:tcPr>
          <w:p w14:paraId="19B010B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29,4</w:t>
            </w:r>
          </w:p>
        </w:tc>
        <w:tc>
          <w:tcPr>
            <w:tcW w:w="1412" w:type="dxa"/>
            <w:shd w:val="clear" w:color="auto" w:fill="00B0F0"/>
          </w:tcPr>
          <w:p w14:paraId="127E776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w:t>
            </w:r>
          </w:p>
        </w:tc>
        <w:tc>
          <w:tcPr>
            <w:tcW w:w="1134" w:type="dxa"/>
          </w:tcPr>
          <w:p w14:paraId="18B871DB"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24,9</w:t>
            </w:r>
          </w:p>
        </w:tc>
        <w:tc>
          <w:tcPr>
            <w:tcW w:w="1418" w:type="dxa"/>
            <w:shd w:val="clear" w:color="auto" w:fill="00B0F0"/>
          </w:tcPr>
          <w:p w14:paraId="76F4AF8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r>
      <w:tr w:rsidR="006A400D" w:rsidRPr="00B94B81" w14:paraId="78B06E1F" w14:textId="77777777" w:rsidTr="006A400D">
        <w:tc>
          <w:tcPr>
            <w:tcW w:w="846" w:type="dxa"/>
          </w:tcPr>
          <w:p w14:paraId="25C1D3DD"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2005</w:t>
            </w:r>
          </w:p>
        </w:tc>
        <w:tc>
          <w:tcPr>
            <w:tcW w:w="1843" w:type="dxa"/>
          </w:tcPr>
          <w:p w14:paraId="17E98DAB"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168,2</w:t>
            </w:r>
          </w:p>
        </w:tc>
        <w:tc>
          <w:tcPr>
            <w:tcW w:w="1422" w:type="dxa"/>
            <w:shd w:val="clear" w:color="auto" w:fill="00B0F0"/>
          </w:tcPr>
          <w:p w14:paraId="75EC9E6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4,6</w:t>
            </w:r>
          </w:p>
        </w:tc>
        <w:tc>
          <w:tcPr>
            <w:tcW w:w="1418" w:type="dxa"/>
          </w:tcPr>
          <w:p w14:paraId="1186BC7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32,5</w:t>
            </w:r>
          </w:p>
        </w:tc>
        <w:tc>
          <w:tcPr>
            <w:tcW w:w="1412" w:type="dxa"/>
            <w:shd w:val="clear" w:color="auto" w:fill="00B0F0"/>
          </w:tcPr>
          <w:p w14:paraId="78F957F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c>
          <w:tcPr>
            <w:tcW w:w="1134" w:type="dxa"/>
          </w:tcPr>
          <w:p w14:paraId="10B112D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32,6</w:t>
            </w:r>
          </w:p>
        </w:tc>
        <w:tc>
          <w:tcPr>
            <w:tcW w:w="1418" w:type="dxa"/>
            <w:shd w:val="clear" w:color="auto" w:fill="00B0F0"/>
          </w:tcPr>
          <w:p w14:paraId="742CE09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w:t>
            </w:r>
          </w:p>
        </w:tc>
      </w:tr>
      <w:tr w:rsidR="006A400D" w:rsidRPr="00B94B81" w14:paraId="4F0FE751" w14:textId="77777777" w:rsidTr="006A400D">
        <w:tc>
          <w:tcPr>
            <w:tcW w:w="846" w:type="dxa"/>
          </w:tcPr>
          <w:p w14:paraId="237D8BE2"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2006</w:t>
            </w:r>
          </w:p>
        </w:tc>
        <w:tc>
          <w:tcPr>
            <w:tcW w:w="1843" w:type="dxa"/>
          </w:tcPr>
          <w:p w14:paraId="226C10E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131,0</w:t>
            </w:r>
          </w:p>
        </w:tc>
        <w:tc>
          <w:tcPr>
            <w:tcW w:w="1422" w:type="dxa"/>
            <w:shd w:val="clear" w:color="auto" w:fill="00B0F0"/>
          </w:tcPr>
          <w:p w14:paraId="26D04EE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1,8</w:t>
            </w:r>
          </w:p>
        </w:tc>
        <w:tc>
          <w:tcPr>
            <w:tcW w:w="1418" w:type="dxa"/>
          </w:tcPr>
          <w:p w14:paraId="20707CA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33,9</w:t>
            </w:r>
          </w:p>
        </w:tc>
        <w:tc>
          <w:tcPr>
            <w:tcW w:w="1412" w:type="dxa"/>
            <w:shd w:val="clear" w:color="auto" w:fill="00B0F0"/>
          </w:tcPr>
          <w:p w14:paraId="166A6F4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w:t>
            </w:r>
          </w:p>
        </w:tc>
        <w:tc>
          <w:tcPr>
            <w:tcW w:w="1134" w:type="dxa"/>
          </w:tcPr>
          <w:p w14:paraId="0C3CC10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29,6</w:t>
            </w:r>
          </w:p>
        </w:tc>
        <w:tc>
          <w:tcPr>
            <w:tcW w:w="1418" w:type="dxa"/>
            <w:shd w:val="clear" w:color="auto" w:fill="00B0F0"/>
          </w:tcPr>
          <w:p w14:paraId="11C509A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r>
      <w:tr w:rsidR="006A400D" w:rsidRPr="00B94B81" w14:paraId="11D8FEFD" w14:textId="77777777" w:rsidTr="006A400D">
        <w:tc>
          <w:tcPr>
            <w:tcW w:w="846" w:type="dxa"/>
          </w:tcPr>
          <w:p w14:paraId="3029E93D"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2007</w:t>
            </w:r>
          </w:p>
        </w:tc>
        <w:tc>
          <w:tcPr>
            <w:tcW w:w="1843" w:type="dxa"/>
          </w:tcPr>
          <w:p w14:paraId="52E5A8B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206,0</w:t>
            </w:r>
          </w:p>
        </w:tc>
        <w:tc>
          <w:tcPr>
            <w:tcW w:w="1422" w:type="dxa"/>
            <w:shd w:val="clear" w:color="auto" w:fill="FFFF00"/>
          </w:tcPr>
          <w:p w14:paraId="4F857ED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12,0</w:t>
            </w:r>
          </w:p>
        </w:tc>
        <w:tc>
          <w:tcPr>
            <w:tcW w:w="1418" w:type="dxa"/>
          </w:tcPr>
          <w:p w14:paraId="4F5FF79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30,3</w:t>
            </w:r>
          </w:p>
        </w:tc>
        <w:tc>
          <w:tcPr>
            <w:tcW w:w="1412" w:type="dxa"/>
            <w:shd w:val="clear" w:color="auto" w:fill="00B0F0"/>
          </w:tcPr>
          <w:p w14:paraId="2FA93A0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c>
          <w:tcPr>
            <w:tcW w:w="1134" w:type="dxa"/>
          </w:tcPr>
          <w:p w14:paraId="0A2351B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26,6</w:t>
            </w:r>
          </w:p>
        </w:tc>
        <w:tc>
          <w:tcPr>
            <w:tcW w:w="1418" w:type="dxa"/>
            <w:shd w:val="clear" w:color="auto" w:fill="00B0F0"/>
          </w:tcPr>
          <w:p w14:paraId="0803B8E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r>
      <w:tr w:rsidR="006A400D" w:rsidRPr="00B94B81" w14:paraId="2443F360" w14:textId="77777777" w:rsidTr="006A400D">
        <w:tc>
          <w:tcPr>
            <w:tcW w:w="846" w:type="dxa"/>
          </w:tcPr>
          <w:p w14:paraId="4CBAE290"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2008</w:t>
            </w:r>
          </w:p>
        </w:tc>
        <w:tc>
          <w:tcPr>
            <w:tcW w:w="1843" w:type="dxa"/>
          </w:tcPr>
          <w:p w14:paraId="3892800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347,1</w:t>
            </w:r>
          </w:p>
        </w:tc>
        <w:tc>
          <w:tcPr>
            <w:tcW w:w="1422" w:type="dxa"/>
            <w:shd w:val="clear" w:color="auto" w:fill="92D050"/>
          </w:tcPr>
          <w:p w14:paraId="67479FC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60,0</w:t>
            </w:r>
          </w:p>
        </w:tc>
        <w:tc>
          <w:tcPr>
            <w:tcW w:w="1418" w:type="dxa"/>
          </w:tcPr>
          <w:p w14:paraId="41CA924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69,5</w:t>
            </w:r>
          </w:p>
        </w:tc>
        <w:tc>
          <w:tcPr>
            <w:tcW w:w="1412" w:type="dxa"/>
            <w:shd w:val="clear" w:color="auto" w:fill="00B0F0"/>
          </w:tcPr>
          <w:p w14:paraId="135B8677"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2,2</w:t>
            </w:r>
          </w:p>
        </w:tc>
        <w:tc>
          <w:tcPr>
            <w:tcW w:w="1134" w:type="dxa"/>
          </w:tcPr>
          <w:p w14:paraId="39424BB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77,6</w:t>
            </w:r>
          </w:p>
        </w:tc>
        <w:tc>
          <w:tcPr>
            <w:tcW w:w="1418" w:type="dxa"/>
            <w:shd w:val="clear" w:color="auto" w:fill="00B0F0"/>
          </w:tcPr>
          <w:p w14:paraId="3F5E6B37"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1,9</w:t>
            </w:r>
          </w:p>
        </w:tc>
      </w:tr>
      <w:tr w:rsidR="006A400D" w:rsidRPr="00B94B81" w14:paraId="7E9F7266" w14:textId="77777777" w:rsidTr="006A400D">
        <w:tc>
          <w:tcPr>
            <w:tcW w:w="846" w:type="dxa"/>
          </w:tcPr>
          <w:p w14:paraId="5DDC6DE9"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2009</w:t>
            </w:r>
          </w:p>
        </w:tc>
        <w:tc>
          <w:tcPr>
            <w:tcW w:w="1843" w:type="dxa"/>
          </w:tcPr>
          <w:p w14:paraId="6C715AC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275,3</w:t>
            </w:r>
          </w:p>
        </w:tc>
        <w:tc>
          <w:tcPr>
            <w:tcW w:w="1422" w:type="dxa"/>
            <w:shd w:val="clear" w:color="auto" w:fill="FFFF00"/>
          </w:tcPr>
          <w:p w14:paraId="53B4B46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20,0</w:t>
            </w:r>
          </w:p>
        </w:tc>
        <w:tc>
          <w:tcPr>
            <w:tcW w:w="1418" w:type="dxa"/>
          </w:tcPr>
          <w:p w14:paraId="56789B5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75,7</w:t>
            </w:r>
          </w:p>
        </w:tc>
        <w:tc>
          <w:tcPr>
            <w:tcW w:w="1412" w:type="dxa"/>
            <w:shd w:val="clear" w:color="auto" w:fill="00B0F0"/>
          </w:tcPr>
          <w:p w14:paraId="6BEB677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2,6</w:t>
            </w:r>
          </w:p>
        </w:tc>
        <w:tc>
          <w:tcPr>
            <w:tcW w:w="1134" w:type="dxa"/>
          </w:tcPr>
          <w:p w14:paraId="40ED0F6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100,9</w:t>
            </w:r>
          </w:p>
        </w:tc>
        <w:tc>
          <w:tcPr>
            <w:tcW w:w="1418" w:type="dxa"/>
            <w:shd w:val="clear" w:color="auto" w:fill="00B0F0"/>
          </w:tcPr>
          <w:p w14:paraId="6175C8A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4,6</w:t>
            </w:r>
          </w:p>
        </w:tc>
      </w:tr>
      <w:tr w:rsidR="006A400D" w:rsidRPr="00B94B81" w14:paraId="46C73FFA" w14:textId="77777777" w:rsidTr="006A400D">
        <w:tc>
          <w:tcPr>
            <w:tcW w:w="846" w:type="dxa"/>
          </w:tcPr>
          <w:p w14:paraId="45F4BB0D"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2010</w:t>
            </w:r>
          </w:p>
        </w:tc>
        <w:tc>
          <w:tcPr>
            <w:tcW w:w="1843" w:type="dxa"/>
          </w:tcPr>
          <w:p w14:paraId="58B8AF4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203,6</w:t>
            </w:r>
          </w:p>
        </w:tc>
        <w:tc>
          <w:tcPr>
            <w:tcW w:w="1422" w:type="dxa"/>
            <w:shd w:val="clear" w:color="auto" w:fill="FF0000"/>
          </w:tcPr>
          <w:p w14:paraId="4028EA3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8,6</w:t>
            </w:r>
          </w:p>
        </w:tc>
        <w:tc>
          <w:tcPr>
            <w:tcW w:w="1418" w:type="dxa"/>
          </w:tcPr>
          <w:p w14:paraId="7CAD4AD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77,3</w:t>
            </w:r>
          </w:p>
        </w:tc>
        <w:tc>
          <w:tcPr>
            <w:tcW w:w="1412" w:type="dxa"/>
            <w:shd w:val="clear" w:color="auto" w:fill="00B0F0"/>
          </w:tcPr>
          <w:p w14:paraId="1F1E042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2,4</w:t>
            </w:r>
          </w:p>
        </w:tc>
        <w:tc>
          <w:tcPr>
            <w:tcW w:w="1134" w:type="dxa"/>
          </w:tcPr>
          <w:p w14:paraId="5D9266B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85,7</w:t>
            </w:r>
          </w:p>
        </w:tc>
        <w:tc>
          <w:tcPr>
            <w:tcW w:w="1418" w:type="dxa"/>
            <w:shd w:val="clear" w:color="auto" w:fill="00B0F0"/>
          </w:tcPr>
          <w:p w14:paraId="547C7CA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2,4</w:t>
            </w:r>
          </w:p>
        </w:tc>
      </w:tr>
      <w:tr w:rsidR="006A400D" w:rsidRPr="00B94B81" w14:paraId="02962967" w14:textId="77777777" w:rsidTr="006A400D">
        <w:tc>
          <w:tcPr>
            <w:tcW w:w="846" w:type="dxa"/>
          </w:tcPr>
          <w:p w14:paraId="64EE38D4"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2011</w:t>
            </w:r>
          </w:p>
        </w:tc>
        <w:tc>
          <w:tcPr>
            <w:tcW w:w="1843" w:type="dxa"/>
          </w:tcPr>
          <w:p w14:paraId="2207032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131,9</w:t>
            </w:r>
          </w:p>
        </w:tc>
        <w:tc>
          <w:tcPr>
            <w:tcW w:w="1422" w:type="dxa"/>
            <w:shd w:val="clear" w:color="auto" w:fill="00B0F0"/>
          </w:tcPr>
          <w:p w14:paraId="02106C0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1,9</w:t>
            </w:r>
          </w:p>
        </w:tc>
        <w:tc>
          <w:tcPr>
            <w:tcW w:w="1418" w:type="dxa"/>
          </w:tcPr>
          <w:p w14:paraId="4B0CE3E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51,1</w:t>
            </w:r>
          </w:p>
        </w:tc>
        <w:tc>
          <w:tcPr>
            <w:tcW w:w="1412" w:type="dxa"/>
            <w:shd w:val="clear" w:color="auto" w:fill="00B0F0"/>
          </w:tcPr>
          <w:p w14:paraId="488F872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1,4</w:t>
            </w:r>
          </w:p>
        </w:tc>
        <w:tc>
          <w:tcPr>
            <w:tcW w:w="1134" w:type="dxa"/>
          </w:tcPr>
          <w:p w14:paraId="4540040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49</w:t>
            </w:r>
          </w:p>
        </w:tc>
        <w:tc>
          <w:tcPr>
            <w:tcW w:w="1418" w:type="dxa"/>
            <w:shd w:val="clear" w:color="auto" w:fill="00B0F0"/>
          </w:tcPr>
          <w:p w14:paraId="43E6A6B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1,4</w:t>
            </w:r>
          </w:p>
        </w:tc>
      </w:tr>
      <w:tr w:rsidR="006A400D" w:rsidRPr="00B94B81" w14:paraId="1F3286C6" w14:textId="77777777" w:rsidTr="006A400D">
        <w:tc>
          <w:tcPr>
            <w:tcW w:w="846" w:type="dxa"/>
          </w:tcPr>
          <w:p w14:paraId="55BEF802"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2012</w:t>
            </w:r>
          </w:p>
        </w:tc>
        <w:tc>
          <w:tcPr>
            <w:tcW w:w="1843" w:type="dxa"/>
          </w:tcPr>
          <w:p w14:paraId="1A3D494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60,1</w:t>
            </w:r>
          </w:p>
        </w:tc>
        <w:tc>
          <w:tcPr>
            <w:tcW w:w="1422" w:type="dxa"/>
            <w:shd w:val="clear" w:color="auto" w:fill="00B0F0"/>
          </w:tcPr>
          <w:p w14:paraId="3C3136D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w:t>
            </w:r>
          </w:p>
        </w:tc>
        <w:tc>
          <w:tcPr>
            <w:tcW w:w="1418" w:type="dxa"/>
          </w:tcPr>
          <w:p w14:paraId="4712586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60,3</w:t>
            </w:r>
          </w:p>
        </w:tc>
        <w:tc>
          <w:tcPr>
            <w:tcW w:w="1412" w:type="dxa"/>
            <w:shd w:val="clear" w:color="auto" w:fill="00B0F0"/>
          </w:tcPr>
          <w:p w14:paraId="25D585D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w:t>
            </w:r>
          </w:p>
        </w:tc>
        <w:tc>
          <w:tcPr>
            <w:tcW w:w="1134" w:type="dxa"/>
          </w:tcPr>
          <w:p w14:paraId="0B7D361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69</w:t>
            </w:r>
          </w:p>
        </w:tc>
        <w:tc>
          <w:tcPr>
            <w:tcW w:w="1418" w:type="dxa"/>
            <w:shd w:val="clear" w:color="auto" w:fill="00B0F0"/>
          </w:tcPr>
          <w:p w14:paraId="5D91032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1,6</w:t>
            </w:r>
          </w:p>
        </w:tc>
      </w:tr>
      <w:tr w:rsidR="006A400D" w:rsidRPr="00B94B81" w14:paraId="50F97135" w14:textId="77777777" w:rsidTr="006A400D">
        <w:tc>
          <w:tcPr>
            <w:tcW w:w="846" w:type="dxa"/>
          </w:tcPr>
          <w:p w14:paraId="706915B8"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2013</w:t>
            </w:r>
          </w:p>
        </w:tc>
        <w:tc>
          <w:tcPr>
            <w:tcW w:w="1843" w:type="dxa"/>
          </w:tcPr>
          <w:p w14:paraId="0A73321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94,3</w:t>
            </w:r>
          </w:p>
        </w:tc>
        <w:tc>
          <w:tcPr>
            <w:tcW w:w="1422" w:type="dxa"/>
            <w:shd w:val="clear" w:color="auto" w:fill="00B0F0"/>
          </w:tcPr>
          <w:p w14:paraId="0055C57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c>
          <w:tcPr>
            <w:tcW w:w="1418" w:type="dxa"/>
          </w:tcPr>
          <w:p w14:paraId="7585650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62,7</w:t>
            </w:r>
          </w:p>
        </w:tc>
        <w:tc>
          <w:tcPr>
            <w:tcW w:w="1412" w:type="dxa"/>
            <w:shd w:val="clear" w:color="auto" w:fill="00B0F0"/>
          </w:tcPr>
          <w:p w14:paraId="1980E47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1,6</w:t>
            </w:r>
          </w:p>
        </w:tc>
        <w:tc>
          <w:tcPr>
            <w:tcW w:w="1134" w:type="dxa"/>
          </w:tcPr>
          <w:p w14:paraId="00C91F9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58,5</w:t>
            </w:r>
          </w:p>
        </w:tc>
        <w:tc>
          <w:tcPr>
            <w:tcW w:w="1418" w:type="dxa"/>
            <w:shd w:val="clear" w:color="auto" w:fill="00B0F0"/>
          </w:tcPr>
          <w:p w14:paraId="3ECCC6F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w:t>
            </w:r>
          </w:p>
        </w:tc>
      </w:tr>
      <w:tr w:rsidR="006A400D" w:rsidRPr="00B94B81" w14:paraId="2964C44D" w14:textId="77777777" w:rsidTr="006A400D">
        <w:tc>
          <w:tcPr>
            <w:tcW w:w="846" w:type="dxa"/>
          </w:tcPr>
          <w:p w14:paraId="0C78D925"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2014</w:t>
            </w:r>
          </w:p>
        </w:tc>
        <w:tc>
          <w:tcPr>
            <w:tcW w:w="1843" w:type="dxa"/>
          </w:tcPr>
          <w:p w14:paraId="132F209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119,4</w:t>
            </w:r>
          </w:p>
        </w:tc>
        <w:tc>
          <w:tcPr>
            <w:tcW w:w="1422" w:type="dxa"/>
            <w:shd w:val="clear" w:color="auto" w:fill="00B0F0"/>
          </w:tcPr>
          <w:p w14:paraId="1201BA3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w:t>
            </w:r>
          </w:p>
        </w:tc>
        <w:tc>
          <w:tcPr>
            <w:tcW w:w="1418" w:type="dxa"/>
          </w:tcPr>
          <w:p w14:paraId="675096E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91,5</w:t>
            </w:r>
          </w:p>
        </w:tc>
        <w:tc>
          <w:tcPr>
            <w:tcW w:w="1412" w:type="dxa"/>
            <w:shd w:val="clear" w:color="auto" w:fill="FF0000"/>
          </w:tcPr>
          <w:p w14:paraId="19BA297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8,6</w:t>
            </w:r>
          </w:p>
        </w:tc>
        <w:tc>
          <w:tcPr>
            <w:tcW w:w="1134" w:type="dxa"/>
          </w:tcPr>
          <w:p w14:paraId="15D54BEB"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99,3</w:t>
            </w:r>
          </w:p>
        </w:tc>
        <w:tc>
          <w:tcPr>
            <w:tcW w:w="1418" w:type="dxa"/>
            <w:shd w:val="clear" w:color="auto" w:fill="00B0F0"/>
          </w:tcPr>
          <w:p w14:paraId="32CE24C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3,2</w:t>
            </w:r>
          </w:p>
        </w:tc>
      </w:tr>
      <w:tr w:rsidR="006A400D" w:rsidRPr="00B94B81" w14:paraId="5F524B4E" w14:textId="77777777" w:rsidTr="006A400D">
        <w:tc>
          <w:tcPr>
            <w:tcW w:w="846" w:type="dxa"/>
          </w:tcPr>
          <w:p w14:paraId="19CB7CB1"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2015</w:t>
            </w:r>
          </w:p>
        </w:tc>
        <w:tc>
          <w:tcPr>
            <w:tcW w:w="1843" w:type="dxa"/>
          </w:tcPr>
          <w:p w14:paraId="2E7B470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144,4</w:t>
            </w:r>
          </w:p>
        </w:tc>
        <w:tc>
          <w:tcPr>
            <w:tcW w:w="1422" w:type="dxa"/>
            <w:shd w:val="clear" w:color="auto" w:fill="00B0F0"/>
          </w:tcPr>
          <w:p w14:paraId="4A6192C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3,5</w:t>
            </w:r>
          </w:p>
        </w:tc>
        <w:tc>
          <w:tcPr>
            <w:tcW w:w="1418" w:type="dxa"/>
          </w:tcPr>
          <w:p w14:paraId="1C48494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82,5</w:t>
            </w:r>
          </w:p>
        </w:tc>
        <w:tc>
          <w:tcPr>
            <w:tcW w:w="1412" w:type="dxa"/>
            <w:shd w:val="clear" w:color="auto" w:fill="00B0F0"/>
          </w:tcPr>
          <w:p w14:paraId="1C2F63F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3,2</w:t>
            </w:r>
          </w:p>
        </w:tc>
        <w:tc>
          <w:tcPr>
            <w:tcW w:w="1134" w:type="dxa"/>
          </w:tcPr>
          <w:p w14:paraId="6119A46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95,7</w:t>
            </w:r>
          </w:p>
        </w:tc>
        <w:tc>
          <w:tcPr>
            <w:tcW w:w="1418" w:type="dxa"/>
            <w:shd w:val="clear" w:color="auto" w:fill="00B0F0"/>
          </w:tcPr>
          <w:p w14:paraId="2FC623A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2,9</w:t>
            </w:r>
          </w:p>
        </w:tc>
      </w:tr>
      <w:tr w:rsidR="006A400D" w:rsidRPr="00B94B81" w14:paraId="31F6D4DE" w14:textId="77777777" w:rsidTr="006A400D">
        <w:tc>
          <w:tcPr>
            <w:tcW w:w="846" w:type="dxa"/>
          </w:tcPr>
          <w:p w14:paraId="731FCB6C"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2016</w:t>
            </w:r>
          </w:p>
        </w:tc>
        <w:tc>
          <w:tcPr>
            <w:tcW w:w="1843" w:type="dxa"/>
          </w:tcPr>
          <w:p w14:paraId="25CBD12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138,7</w:t>
            </w:r>
          </w:p>
        </w:tc>
        <w:tc>
          <w:tcPr>
            <w:tcW w:w="1422" w:type="dxa"/>
            <w:shd w:val="clear" w:color="auto" w:fill="00B0F0"/>
          </w:tcPr>
          <w:p w14:paraId="172322E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2,9</w:t>
            </w:r>
          </w:p>
        </w:tc>
        <w:tc>
          <w:tcPr>
            <w:tcW w:w="1418" w:type="dxa"/>
          </w:tcPr>
          <w:p w14:paraId="39FFB79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78,7</w:t>
            </w:r>
          </w:p>
        </w:tc>
        <w:tc>
          <w:tcPr>
            <w:tcW w:w="1412" w:type="dxa"/>
            <w:shd w:val="clear" w:color="auto" w:fill="00B0F0"/>
          </w:tcPr>
          <w:p w14:paraId="2231E48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2,9</w:t>
            </w:r>
          </w:p>
        </w:tc>
        <w:tc>
          <w:tcPr>
            <w:tcW w:w="1134" w:type="dxa"/>
          </w:tcPr>
          <w:p w14:paraId="6F1816DB"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104,4</w:t>
            </w:r>
          </w:p>
        </w:tc>
        <w:tc>
          <w:tcPr>
            <w:tcW w:w="1418" w:type="dxa"/>
            <w:shd w:val="clear" w:color="auto" w:fill="00B0F0"/>
          </w:tcPr>
          <w:p w14:paraId="0A31C247"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5,5</w:t>
            </w:r>
          </w:p>
        </w:tc>
      </w:tr>
      <w:tr w:rsidR="006A400D" w:rsidRPr="00B94B81" w14:paraId="4B8AFF51" w14:textId="77777777" w:rsidTr="006A400D">
        <w:tc>
          <w:tcPr>
            <w:tcW w:w="846" w:type="dxa"/>
          </w:tcPr>
          <w:p w14:paraId="65510F87"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2017</w:t>
            </w:r>
          </w:p>
        </w:tc>
        <w:tc>
          <w:tcPr>
            <w:tcW w:w="1843" w:type="dxa"/>
          </w:tcPr>
          <w:p w14:paraId="71CDA7C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137,4</w:t>
            </w:r>
          </w:p>
        </w:tc>
        <w:tc>
          <w:tcPr>
            <w:tcW w:w="1422" w:type="dxa"/>
            <w:shd w:val="clear" w:color="auto" w:fill="00B0F0"/>
          </w:tcPr>
          <w:p w14:paraId="79AB43A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2,2</w:t>
            </w:r>
          </w:p>
        </w:tc>
        <w:tc>
          <w:tcPr>
            <w:tcW w:w="1418" w:type="dxa"/>
          </w:tcPr>
          <w:p w14:paraId="3A504CB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64,4</w:t>
            </w:r>
          </w:p>
        </w:tc>
        <w:tc>
          <w:tcPr>
            <w:tcW w:w="1412" w:type="dxa"/>
            <w:shd w:val="clear" w:color="auto" w:fill="00B0F0"/>
          </w:tcPr>
          <w:p w14:paraId="359CE97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1,8</w:t>
            </w:r>
          </w:p>
        </w:tc>
        <w:tc>
          <w:tcPr>
            <w:tcW w:w="1134" w:type="dxa"/>
          </w:tcPr>
          <w:p w14:paraId="5FB56F4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80</w:t>
            </w:r>
          </w:p>
        </w:tc>
        <w:tc>
          <w:tcPr>
            <w:tcW w:w="1418" w:type="dxa"/>
            <w:shd w:val="clear" w:color="auto" w:fill="00B0F0"/>
          </w:tcPr>
          <w:p w14:paraId="4E7A794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2,1</w:t>
            </w:r>
          </w:p>
        </w:tc>
      </w:tr>
      <w:tr w:rsidR="006A400D" w:rsidRPr="00B94B81" w14:paraId="036471BA" w14:textId="77777777" w:rsidTr="006A400D">
        <w:tc>
          <w:tcPr>
            <w:tcW w:w="846" w:type="dxa"/>
          </w:tcPr>
          <w:p w14:paraId="2E71A98F"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2018</w:t>
            </w:r>
          </w:p>
        </w:tc>
        <w:tc>
          <w:tcPr>
            <w:tcW w:w="1843" w:type="dxa"/>
          </w:tcPr>
          <w:p w14:paraId="5982925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138,6</w:t>
            </w:r>
          </w:p>
        </w:tc>
        <w:tc>
          <w:tcPr>
            <w:tcW w:w="1422" w:type="dxa"/>
            <w:shd w:val="clear" w:color="auto" w:fill="00B0F0"/>
          </w:tcPr>
          <w:p w14:paraId="0134E0B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2,6</w:t>
            </w:r>
          </w:p>
        </w:tc>
        <w:tc>
          <w:tcPr>
            <w:tcW w:w="1418" w:type="dxa"/>
          </w:tcPr>
          <w:p w14:paraId="649D561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93,6</w:t>
            </w:r>
          </w:p>
        </w:tc>
        <w:tc>
          <w:tcPr>
            <w:tcW w:w="1412" w:type="dxa"/>
            <w:shd w:val="clear" w:color="auto" w:fill="FFFF00"/>
          </w:tcPr>
          <w:p w14:paraId="02FBD3F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12,0</w:t>
            </w:r>
          </w:p>
        </w:tc>
        <w:tc>
          <w:tcPr>
            <w:tcW w:w="1134" w:type="dxa"/>
          </w:tcPr>
          <w:p w14:paraId="11FFB7D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86,5</w:t>
            </w:r>
          </w:p>
        </w:tc>
        <w:tc>
          <w:tcPr>
            <w:tcW w:w="1418" w:type="dxa"/>
            <w:shd w:val="clear" w:color="auto" w:fill="00B0F0"/>
          </w:tcPr>
          <w:p w14:paraId="1A3BCE4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2,6</w:t>
            </w:r>
          </w:p>
        </w:tc>
      </w:tr>
      <w:tr w:rsidR="006A400D" w:rsidRPr="00B94B81" w14:paraId="5290A4DA" w14:textId="77777777" w:rsidTr="006A400D">
        <w:tc>
          <w:tcPr>
            <w:tcW w:w="846" w:type="dxa"/>
          </w:tcPr>
          <w:p w14:paraId="3F6BA571"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2019</w:t>
            </w:r>
          </w:p>
        </w:tc>
        <w:tc>
          <w:tcPr>
            <w:tcW w:w="1843" w:type="dxa"/>
          </w:tcPr>
          <w:p w14:paraId="1FB6B4B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140,1</w:t>
            </w:r>
          </w:p>
        </w:tc>
        <w:tc>
          <w:tcPr>
            <w:tcW w:w="1422" w:type="dxa"/>
            <w:shd w:val="clear" w:color="auto" w:fill="00B0F0"/>
          </w:tcPr>
          <w:p w14:paraId="3F3FDA6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3,2</w:t>
            </w:r>
          </w:p>
        </w:tc>
        <w:tc>
          <w:tcPr>
            <w:tcW w:w="1418" w:type="dxa"/>
          </w:tcPr>
          <w:p w14:paraId="0FAB4A7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85,8</w:t>
            </w:r>
          </w:p>
        </w:tc>
        <w:tc>
          <w:tcPr>
            <w:tcW w:w="1412" w:type="dxa"/>
            <w:shd w:val="clear" w:color="auto" w:fill="00B0F0"/>
          </w:tcPr>
          <w:p w14:paraId="39535F1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3,5</w:t>
            </w:r>
          </w:p>
        </w:tc>
        <w:tc>
          <w:tcPr>
            <w:tcW w:w="1134" w:type="dxa"/>
          </w:tcPr>
          <w:p w14:paraId="4E72C16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103,6</w:t>
            </w:r>
          </w:p>
        </w:tc>
        <w:tc>
          <w:tcPr>
            <w:tcW w:w="1418" w:type="dxa"/>
            <w:shd w:val="clear" w:color="auto" w:fill="00B0F0"/>
          </w:tcPr>
          <w:p w14:paraId="2371748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5,5</w:t>
            </w:r>
          </w:p>
        </w:tc>
      </w:tr>
      <w:tr w:rsidR="006A400D" w:rsidRPr="00B94B81" w14:paraId="5238BD3A" w14:textId="77777777" w:rsidTr="006A400D">
        <w:tc>
          <w:tcPr>
            <w:tcW w:w="846" w:type="dxa"/>
          </w:tcPr>
          <w:p w14:paraId="12112D6B"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2020</w:t>
            </w:r>
          </w:p>
        </w:tc>
        <w:tc>
          <w:tcPr>
            <w:tcW w:w="1843" w:type="dxa"/>
          </w:tcPr>
          <w:p w14:paraId="38081CC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123,9</w:t>
            </w:r>
          </w:p>
        </w:tc>
        <w:tc>
          <w:tcPr>
            <w:tcW w:w="1422" w:type="dxa"/>
            <w:shd w:val="clear" w:color="auto" w:fill="00B0F0"/>
          </w:tcPr>
          <w:p w14:paraId="2A445C3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w:t>
            </w:r>
          </w:p>
        </w:tc>
        <w:tc>
          <w:tcPr>
            <w:tcW w:w="1418" w:type="dxa"/>
          </w:tcPr>
          <w:p w14:paraId="1B91F7E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86,7</w:t>
            </w:r>
          </w:p>
        </w:tc>
        <w:tc>
          <w:tcPr>
            <w:tcW w:w="1412" w:type="dxa"/>
            <w:shd w:val="clear" w:color="auto" w:fill="00B0F0"/>
          </w:tcPr>
          <w:p w14:paraId="49E1326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4,0</w:t>
            </w:r>
          </w:p>
        </w:tc>
        <w:tc>
          <w:tcPr>
            <w:tcW w:w="1134" w:type="dxa"/>
          </w:tcPr>
          <w:p w14:paraId="5F57D4E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99,6</w:t>
            </w:r>
          </w:p>
        </w:tc>
        <w:tc>
          <w:tcPr>
            <w:tcW w:w="1418" w:type="dxa"/>
            <w:shd w:val="clear" w:color="auto" w:fill="00B0F0"/>
          </w:tcPr>
          <w:p w14:paraId="478EF42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3,5</w:t>
            </w:r>
          </w:p>
        </w:tc>
      </w:tr>
      <w:tr w:rsidR="006A400D" w:rsidRPr="00B94B81" w14:paraId="0BB9A7CE" w14:textId="77777777" w:rsidTr="006A400D">
        <w:tc>
          <w:tcPr>
            <w:tcW w:w="846" w:type="dxa"/>
          </w:tcPr>
          <w:p w14:paraId="65C04418"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2021</w:t>
            </w:r>
          </w:p>
        </w:tc>
        <w:tc>
          <w:tcPr>
            <w:tcW w:w="1843" w:type="dxa"/>
          </w:tcPr>
          <w:p w14:paraId="1C01276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99,4</w:t>
            </w:r>
          </w:p>
        </w:tc>
        <w:tc>
          <w:tcPr>
            <w:tcW w:w="1422" w:type="dxa"/>
            <w:shd w:val="clear" w:color="auto" w:fill="00B0F0"/>
          </w:tcPr>
          <w:p w14:paraId="7350AC3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c>
          <w:tcPr>
            <w:tcW w:w="1418" w:type="dxa"/>
          </w:tcPr>
          <w:p w14:paraId="78EAF2F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86,7</w:t>
            </w:r>
          </w:p>
        </w:tc>
        <w:tc>
          <w:tcPr>
            <w:tcW w:w="1412" w:type="dxa"/>
            <w:shd w:val="clear" w:color="auto" w:fill="00B0F0"/>
          </w:tcPr>
          <w:p w14:paraId="6877269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4,6</w:t>
            </w:r>
          </w:p>
        </w:tc>
        <w:tc>
          <w:tcPr>
            <w:tcW w:w="1134" w:type="dxa"/>
          </w:tcPr>
          <w:p w14:paraId="3E11939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110,3</w:t>
            </w:r>
          </w:p>
        </w:tc>
        <w:tc>
          <w:tcPr>
            <w:tcW w:w="1418" w:type="dxa"/>
            <w:shd w:val="clear" w:color="auto" w:fill="FFFF00"/>
          </w:tcPr>
          <w:p w14:paraId="43576B3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12,0</w:t>
            </w:r>
          </w:p>
        </w:tc>
      </w:tr>
      <w:tr w:rsidR="006A400D" w:rsidRPr="00B94B81" w14:paraId="2C27AFE0" w14:textId="77777777" w:rsidTr="006A400D">
        <w:tc>
          <w:tcPr>
            <w:tcW w:w="846" w:type="dxa"/>
          </w:tcPr>
          <w:p w14:paraId="6C67367E"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2022</w:t>
            </w:r>
          </w:p>
        </w:tc>
        <w:tc>
          <w:tcPr>
            <w:tcW w:w="1843" w:type="dxa"/>
          </w:tcPr>
          <w:p w14:paraId="4EA2638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127,7</w:t>
            </w:r>
          </w:p>
        </w:tc>
        <w:tc>
          <w:tcPr>
            <w:tcW w:w="1422" w:type="dxa"/>
            <w:shd w:val="clear" w:color="auto" w:fill="00B0F0"/>
          </w:tcPr>
          <w:p w14:paraId="46D01CB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w:t>
            </w:r>
          </w:p>
        </w:tc>
        <w:tc>
          <w:tcPr>
            <w:tcW w:w="1418" w:type="dxa"/>
          </w:tcPr>
          <w:p w14:paraId="38EA4B9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100,6</w:t>
            </w:r>
          </w:p>
        </w:tc>
        <w:tc>
          <w:tcPr>
            <w:tcW w:w="1412" w:type="dxa"/>
            <w:shd w:val="clear" w:color="auto" w:fill="92D050"/>
          </w:tcPr>
          <w:p w14:paraId="0F62685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60,0</w:t>
            </w:r>
          </w:p>
        </w:tc>
        <w:tc>
          <w:tcPr>
            <w:tcW w:w="1134" w:type="dxa"/>
          </w:tcPr>
          <w:p w14:paraId="4D48FFC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100,2</w:t>
            </w:r>
          </w:p>
        </w:tc>
        <w:tc>
          <w:tcPr>
            <w:tcW w:w="1418" w:type="dxa"/>
            <w:shd w:val="clear" w:color="auto" w:fill="00B0F0"/>
          </w:tcPr>
          <w:p w14:paraId="04898E6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4,0</w:t>
            </w:r>
          </w:p>
        </w:tc>
      </w:tr>
      <w:tr w:rsidR="006A400D" w:rsidRPr="00B94B81" w14:paraId="7A34C1D1" w14:textId="77777777" w:rsidTr="006A400D">
        <w:tc>
          <w:tcPr>
            <w:tcW w:w="846" w:type="dxa"/>
          </w:tcPr>
          <w:p w14:paraId="0992E44B"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2023</w:t>
            </w:r>
          </w:p>
        </w:tc>
        <w:tc>
          <w:tcPr>
            <w:tcW w:w="1843" w:type="dxa"/>
          </w:tcPr>
          <w:p w14:paraId="634CC26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120,4</w:t>
            </w:r>
          </w:p>
        </w:tc>
        <w:tc>
          <w:tcPr>
            <w:tcW w:w="1422" w:type="dxa"/>
            <w:shd w:val="clear" w:color="auto" w:fill="00B0F0"/>
          </w:tcPr>
          <w:p w14:paraId="12CAA2E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w:t>
            </w:r>
          </w:p>
        </w:tc>
        <w:tc>
          <w:tcPr>
            <w:tcW w:w="1418" w:type="dxa"/>
          </w:tcPr>
          <w:p w14:paraId="02D7C48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88</w:t>
            </w:r>
          </w:p>
        </w:tc>
        <w:tc>
          <w:tcPr>
            <w:tcW w:w="1412" w:type="dxa"/>
            <w:shd w:val="clear" w:color="auto" w:fill="00B0F0"/>
          </w:tcPr>
          <w:p w14:paraId="2A9AE4E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5,5</w:t>
            </w:r>
          </w:p>
        </w:tc>
        <w:tc>
          <w:tcPr>
            <w:tcW w:w="1134" w:type="dxa"/>
          </w:tcPr>
          <w:p w14:paraId="134D444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113,9</w:t>
            </w:r>
          </w:p>
        </w:tc>
        <w:tc>
          <w:tcPr>
            <w:tcW w:w="1418" w:type="dxa"/>
            <w:shd w:val="clear" w:color="auto" w:fill="92D050"/>
          </w:tcPr>
          <w:p w14:paraId="1641ED2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60,0</w:t>
            </w:r>
          </w:p>
        </w:tc>
      </w:tr>
      <w:tr w:rsidR="006A400D" w:rsidRPr="00B94B81" w14:paraId="562FA977" w14:textId="77777777" w:rsidTr="006A400D">
        <w:tc>
          <w:tcPr>
            <w:tcW w:w="846" w:type="dxa"/>
          </w:tcPr>
          <w:p w14:paraId="54FC7366"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2024</w:t>
            </w:r>
          </w:p>
        </w:tc>
        <w:tc>
          <w:tcPr>
            <w:tcW w:w="1843" w:type="dxa"/>
          </w:tcPr>
          <w:p w14:paraId="73E3EF4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130,1</w:t>
            </w:r>
          </w:p>
        </w:tc>
        <w:tc>
          <w:tcPr>
            <w:tcW w:w="1422" w:type="dxa"/>
            <w:shd w:val="clear" w:color="auto" w:fill="00B0F0"/>
          </w:tcPr>
          <w:p w14:paraId="0A5FBE8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1,7</w:t>
            </w:r>
          </w:p>
        </w:tc>
        <w:tc>
          <w:tcPr>
            <w:tcW w:w="1418" w:type="dxa"/>
          </w:tcPr>
          <w:p w14:paraId="161E0AF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90,5</w:t>
            </w:r>
          </w:p>
        </w:tc>
        <w:tc>
          <w:tcPr>
            <w:tcW w:w="1412" w:type="dxa"/>
            <w:shd w:val="clear" w:color="auto" w:fill="FF0000"/>
          </w:tcPr>
          <w:p w14:paraId="1997036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6,7</w:t>
            </w:r>
          </w:p>
        </w:tc>
        <w:tc>
          <w:tcPr>
            <w:tcW w:w="1134" w:type="dxa"/>
          </w:tcPr>
          <w:p w14:paraId="516ACC0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106</w:t>
            </w:r>
          </w:p>
        </w:tc>
        <w:tc>
          <w:tcPr>
            <w:tcW w:w="1418" w:type="dxa"/>
            <w:shd w:val="clear" w:color="auto" w:fill="FF0000"/>
          </w:tcPr>
          <w:p w14:paraId="09211BA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8,6</w:t>
            </w:r>
          </w:p>
        </w:tc>
      </w:tr>
    </w:tbl>
    <w:p w14:paraId="2DFC547D" w14:textId="77777777" w:rsidR="0026579C" w:rsidRDefault="0026579C" w:rsidP="0026579C">
      <w:pPr>
        <w:spacing w:after="0" w:line="240" w:lineRule="auto"/>
        <w:jc w:val="both"/>
        <w:rPr>
          <w:rFonts w:ascii="Arial" w:hAnsi="Arial" w:cs="Arial"/>
          <w:sz w:val="20"/>
          <w:szCs w:val="20"/>
          <w:lang w:val="en-US"/>
        </w:rPr>
      </w:pPr>
    </w:p>
    <w:p w14:paraId="7D853077" w14:textId="258ACD54" w:rsidR="001B3100" w:rsidRPr="0026579C" w:rsidRDefault="001B310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Analysis of extreme events for different return periods (Table 1) using Gumbel law shows that:</w:t>
      </w:r>
    </w:p>
    <w:p w14:paraId="79A13731" w14:textId="4AA2108D" w:rsidR="006A400D" w:rsidRPr="0026579C" w:rsidRDefault="0026579C" w:rsidP="0026579C">
      <w:pPr>
        <w:pStyle w:val="ListParagraph"/>
        <w:numPr>
          <w:ilvl w:val="0"/>
          <w:numId w:val="3"/>
        </w:numPr>
        <w:spacing w:after="0" w:line="240" w:lineRule="auto"/>
        <w:ind w:left="426" w:hanging="284"/>
        <w:jc w:val="both"/>
        <w:rPr>
          <w:rFonts w:ascii="Arial" w:hAnsi="Arial" w:cs="Arial"/>
          <w:sz w:val="20"/>
          <w:szCs w:val="20"/>
          <w:lang w:val="en-US"/>
        </w:rPr>
      </w:pPr>
      <w:r w:rsidRPr="0026579C">
        <w:rPr>
          <w:rFonts w:ascii="Arial" w:hAnsi="Arial" w:cs="Arial"/>
          <w:sz w:val="20"/>
          <w:szCs w:val="20"/>
          <w:lang w:val="en-US"/>
        </w:rPr>
        <w:t>R</w:t>
      </w:r>
      <w:r w:rsidR="001B3100" w:rsidRPr="0026579C">
        <w:rPr>
          <w:rFonts w:ascii="Arial" w:hAnsi="Arial" w:cs="Arial"/>
          <w:sz w:val="20"/>
          <w:szCs w:val="20"/>
          <w:lang w:val="en-US"/>
        </w:rPr>
        <w:t xml:space="preserve">eturn periods between </w:t>
      </w:r>
      <w:r w:rsidRPr="0026579C">
        <w:rPr>
          <w:rFonts w:ascii="Arial" w:hAnsi="Arial" w:cs="Arial"/>
          <w:sz w:val="20"/>
          <w:szCs w:val="20"/>
          <w:lang w:val="en-US"/>
        </w:rPr>
        <w:t>30- and 100-years</w:t>
      </w:r>
      <w:r w:rsidR="001B3100" w:rsidRPr="0026579C">
        <w:rPr>
          <w:rFonts w:ascii="Arial" w:hAnsi="Arial" w:cs="Arial"/>
          <w:sz w:val="20"/>
          <w:szCs w:val="20"/>
          <w:lang w:val="en-US"/>
        </w:rPr>
        <w:t xml:space="preserve"> mark exceptional events and include the 2008 flood flow with a flow rate of 347.1 m3/s and the extreme rainfall of 2022 and 2023 in N’Zérékoré and Macenta respectively, with amounts of 100.6 mm and 113.9 mm, for which the return period is 60 years;</w:t>
      </w:r>
    </w:p>
    <w:p w14:paraId="38CF5DA5" w14:textId="2E9B8ECD" w:rsidR="001B3100" w:rsidRPr="0026579C" w:rsidRDefault="001B3100" w:rsidP="0026579C">
      <w:pPr>
        <w:pStyle w:val="ListParagraph"/>
        <w:numPr>
          <w:ilvl w:val="0"/>
          <w:numId w:val="3"/>
        </w:numPr>
        <w:spacing w:after="0" w:line="240" w:lineRule="auto"/>
        <w:ind w:left="426" w:hanging="284"/>
        <w:jc w:val="both"/>
        <w:rPr>
          <w:rFonts w:ascii="Arial" w:hAnsi="Arial" w:cs="Arial"/>
          <w:sz w:val="20"/>
          <w:szCs w:val="20"/>
          <w:lang w:val="en-US"/>
        </w:rPr>
      </w:pPr>
      <w:r w:rsidRPr="0026579C">
        <w:rPr>
          <w:rFonts w:ascii="Arial" w:hAnsi="Arial" w:cs="Arial"/>
          <w:sz w:val="20"/>
          <w:szCs w:val="20"/>
          <w:lang w:val="en-US"/>
        </w:rPr>
        <w:t>Return periods falling within the range of 10 to 30 years constitute highly abnormal events and concern the flood flows of 2007 and 2009, with flow rates of 206.0 m³/s and 275.3 m³/s respectively, for return periods of 12 and 20 years; the extreme rainfall of 1998 for the two stations (N’Zérékoré and Macenta) with respective amounts of 95.4 mm and 113.3 mm for a return period of 20 years. There are also the rainfall events of 2018 and 2021 with respective amounts of 93.6 mm for the N’Zérékoré station and 110.3 mm for the Macenta station, with a return period of 12 years;</w:t>
      </w:r>
    </w:p>
    <w:p w14:paraId="06484CC0" w14:textId="4EDFCCCB" w:rsidR="001B3100" w:rsidRPr="0026579C" w:rsidRDefault="001B3100" w:rsidP="0026579C">
      <w:pPr>
        <w:pStyle w:val="ListParagraph"/>
        <w:numPr>
          <w:ilvl w:val="0"/>
          <w:numId w:val="3"/>
        </w:numPr>
        <w:spacing w:after="0" w:line="240" w:lineRule="auto"/>
        <w:ind w:left="426" w:hanging="284"/>
        <w:jc w:val="both"/>
        <w:rPr>
          <w:rFonts w:ascii="Arial" w:hAnsi="Arial" w:cs="Arial"/>
          <w:sz w:val="20"/>
          <w:szCs w:val="20"/>
          <w:lang w:val="en-US"/>
        </w:rPr>
      </w:pPr>
      <w:r w:rsidRPr="0026579C">
        <w:rPr>
          <w:rFonts w:ascii="Arial" w:hAnsi="Arial" w:cs="Arial"/>
          <w:sz w:val="20"/>
          <w:szCs w:val="20"/>
          <w:lang w:val="en-US"/>
        </w:rPr>
        <w:t>Return periods between 1 and 6 constitute abnormal events and concern the remaining years in Table 1, with the exception of 1996 and 2008, whose flow rates are 186.2 m³/s and 203.6 m³/s, respectively, with return periods of 6.7 years and 8.6 years. In addition, the rainfall in N’Zérékoré for the years 2014 and 2024, which have return periods of 8.6 and 6.7 years, and that of Macenta, with a return period of 8.6 years corresponding to the year 2024, are included.</w:t>
      </w:r>
    </w:p>
    <w:p w14:paraId="36960082" w14:textId="77777777" w:rsidR="0026579C" w:rsidRPr="0026579C" w:rsidRDefault="0026579C" w:rsidP="0026579C">
      <w:pPr>
        <w:spacing w:after="0" w:line="240" w:lineRule="auto"/>
        <w:jc w:val="both"/>
        <w:rPr>
          <w:rFonts w:ascii="Arial" w:hAnsi="Arial" w:cs="Arial"/>
          <w:sz w:val="20"/>
          <w:szCs w:val="20"/>
          <w:lang w:val="en-US"/>
        </w:rPr>
      </w:pPr>
    </w:p>
    <w:p w14:paraId="1EB51202" w14:textId="77777777" w:rsidR="000C57B7" w:rsidRPr="0026579C" w:rsidRDefault="000C57B7" w:rsidP="0026579C">
      <w:pPr>
        <w:spacing w:before="120" w:after="120" w:line="240" w:lineRule="auto"/>
        <w:jc w:val="both"/>
        <w:rPr>
          <w:rFonts w:ascii="Arial" w:hAnsi="Arial" w:cs="Arial"/>
          <w:b/>
          <w:sz w:val="20"/>
          <w:szCs w:val="20"/>
          <w:lang w:val="en-US"/>
        </w:rPr>
      </w:pPr>
      <w:r w:rsidRPr="0026579C">
        <w:rPr>
          <w:rFonts w:ascii="Arial" w:hAnsi="Arial" w:cs="Arial"/>
          <w:b/>
          <w:sz w:val="20"/>
          <w:szCs w:val="20"/>
          <w:lang w:val="en-US"/>
        </w:rPr>
        <w:t>3.2. Adjustment of Maximum Annual Rainfall/Flow Rates According to the Gumbel Distribution</w:t>
      </w:r>
    </w:p>
    <w:p w14:paraId="2380894E" w14:textId="75B4234D" w:rsidR="000C57B7" w:rsidRDefault="000C57B7"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 xml:space="preserve">The graphs of maximum annual rainfall and flow rate as a function of </w:t>
      </w:r>
      <w:r w:rsidR="004E47E2" w:rsidRPr="0026579C">
        <w:rPr>
          <w:rFonts w:ascii="Arial" w:hAnsi="Arial" w:cs="Arial"/>
          <w:sz w:val="20"/>
          <w:szCs w:val="20"/>
          <w:lang w:val="en-US"/>
        </w:rPr>
        <w:t>the Gumbel centered variables (</w:t>
      </w:r>
      <w:r w:rsidR="0026579C" w:rsidRPr="0026579C">
        <w:rPr>
          <w:rFonts w:ascii="Arial" w:hAnsi="Arial" w:cs="Arial"/>
          <w:sz w:val="20"/>
          <w:szCs w:val="20"/>
          <w:lang w:val="en-US"/>
        </w:rPr>
        <w:t>F</w:t>
      </w:r>
      <w:r w:rsidRPr="0026579C">
        <w:rPr>
          <w:rFonts w:ascii="Arial" w:hAnsi="Arial" w:cs="Arial"/>
          <w:sz w:val="20"/>
          <w:szCs w:val="20"/>
          <w:lang w:val="en-US"/>
        </w:rPr>
        <w:t>ig</w:t>
      </w:r>
      <w:r w:rsidR="0026579C" w:rsidRPr="0026579C">
        <w:rPr>
          <w:rFonts w:ascii="Arial" w:hAnsi="Arial" w:cs="Arial"/>
          <w:sz w:val="20"/>
          <w:szCs w:val="20"/>
          <w:lang w:val="en-US"/>
        </w:rPr>
        <w:t>.</w:t>
      </w:r>
      <w:r w:rsidRPr="0026579C">
        <w:rPr>
          <w:rFonts w:ascii="Arial" w:hAnsi="Arial" w:cs="Arial"/>
          <w:sz w:val="20"/>
          <w:szCs w:val="20"/>
          <w:lang w:val="en-US"/>
        </w:rPr>
        <w:t xml:space="preserve"> 2) yield the following equation, whose parameters, estimated by the method of moments, are: a = 55.31 and b = 17.94 for rainfall in N’Zérékoré and a = 55.29 and b = 23.96 for Macenta; for flow rates, a = 122.66 and b = 42.84. All the estimated rainfall/flow rate intensities closely follow the linear curves and fall within the confidence intervals. This demonstrates that the Gumbel distribution accurately estimates the extreme values ​​of observed annual rainfall/flow rates.</w:t>
      </w:r>
    </w:p>
    <w:p w14:paraId="18875DB9" w14:textId="77777777" w:rsidR="0026579C" w:rsidRPr="0026579C" w:rsidRDefault="0026579C" w:rsidP="0026579C">
      <w:pPr>
        <w:spacing w:after="0" w:line="240" w:lineRule="auto"/>
        <w:jc w:val="both"/>
        <w:rPr>
          <w:rFonts w:ascii="Arial" w:hAnsi="Arial" w:cs="Arial"/>
          <w:sz w:val="20"/>
          <w:szCs w:val="20"/>
          <w:lang w:val="en-US"/>
        </w:rPr>
      </w:pPr>
    </w:p>
    <w:p w14:paraId="1520401E" w14:textId="77777777" w:rsidR="00510062" w:rsidRPr="0026579C" w:rsidRDefault="00510062"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In other words, the method of moments consists of equating the characteristics of the (empirical) distribution of samples with the theoretical characteristics of the law. The characteristics used to describe a distribution are the moments, the best known of which are the mean and the variance.</w:t>
      </w:r>
    </w:p>
    <w:p w14:paraId="11487D04" w14:textId="77777777" w:rsidR="00003C4A" w:rsidRPr="00B94B81" w:rsidRDefault="00003C4A" w:rsidP="00003C4A">
      <w:pPr>
        <w:spacing w:after="0" w:line="240" w:lineRule="auto"/>
        <w:rPr>
          <w:rFonts w:ascii="Arial" w:hAnsi="Arial" w:cs="Arial"/>
          <w:noProof/>
          <w:sz w:val="20"/>
          <w:szCs w:val="20"/>
          <w:lang w:eastAsia="fr-FR"/>
        </w:rPr>
      </w:pPr>
      <w:r w:rsidRPr="00B94B81">
        <w:rPr>
          <w:rFonts w:ascii="Arial" w:hAnsi="Arial" w:cs="Arial"/>
          <w:noProof/>
          <w:sz w:val="20"/>
          <w:szCs w:val="20"/>
          <w:lang w:eastAsia="fr-FR"/>
        </w:rPr>
        <w:lastRenderedPageBreak/>
        <w:drawing>
          <wp:inline distT="0" distB="0" distL="0" distR="0" wp14:anchorId="0C09E96D" wp14:editId="734CC320">
            <wp:extent cx="2809875" cy="2755900"/>
            <wp:effectExtent l="0" t="0" r="952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2755900"/>
                    </a:xfrm>
                    <a:prstGeom prst="rect">
                      <a:avLst/>
                    </a:prstGeom>
                    <a:noFill/>
                  </pic:spPr>
                </pic:pic>
              </a:graphicData>
            </a:graphic>
          </wp:inline>
        </w:drawing>
      </w:r>
      <w:r w:rsidRPr="00B94B81">
        <w:rPr>
          <w:rFonts w:ascii="Arial" w:hAnsi="Arial" w:cs="Arial"/>
          <w:noProof/>
          <w:sz w:val="20"/>
          <w:szCs w:val="20"/>
          <w:lang w:eastAsia="fr-FR"/>
        </w:rPr>
        <w:t xml:space="preserve"> </w:t>
      </w:r>
      <w:r w:rsidRPr="00B94B81">
        <w:rPr>
          <w:rFonts w:ascii="Arial" w:hAnsi="Arial" w:cs="Arial"/>
          <w:noProof/>
          <w:sz w:val="20"/>
          <w:szCs w:val="20"/>
          <w:lang w:eastAsia="fr-FR"/>
        </w:rPr>
        <w:drawing>
          <wp:inline distT="0" distB="0" distL="0" distR="0" wp14:anchorId="62E69C3B" wp14:editId="44047C25">
            <wp:extent cx="2886075" cy="2755900"/>
            <wp:effectExtent l="0" t="0" r="9525"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2755900"/>
                    </a:xfrm>
                    <a:prstGeom prst="rect">
                      <a:avLst/>
                    </a:prstGeom>
                    <a:noFill/>
                  </pic:spPr>
                </pic:pic>
              </a:graphicData>
            </a:graphic>
          </wp:inline>
        </w:drawing>
      </w:r>
    </w:p>
    <w:p w14:paraId="24F0CC2F" w14:textId="77777777" w:rsidR="00003C4A" w:rsidRPr="00B94B81" w:rsidRDefault="00003C4A" w:rsidP="00E2385C">
      <w:pPr>
        <w:spacing w:after="0" w:line="240" w:lineRule="auto"/>
        <w:jc w:val="both"/>
        <w:rPr>
          <w:rFonts w:ascii="Arial" w:hAnsi="Arial" w:cs="Arial"/>
          <w:sz w:val="20"/>
          <w:szCs w:val="20"/>
          <w:lang w:val="en-US"/>
        </w:rPr>
      </w:pPr>
      <w:r w:rsidRPr="00B94B81">
        <w:rPr>
          <w:rFonts w:ascii="Arial" w:hAnsi="Arial" w:cs="Arial"/>
          <w:sz w:val="20"/>
          <w:szCs w:val="20"/>
          <w:lang w:val="en-US"/>
        </w:rPr>
        <w:t xml:space="preserve">               </w:t>
      </w:r>
      <w:r w:rsidRPr="00B94B81">
        <w:rPr>
          <w:rFonts w:ascii="Arial" w:hAnsi="Arial" w:cs="Arial"/>
          <w:noProof/>
          <w:sz w:val="20"/>
          <w:szCs w:val="20"/>
          <w:lang w:eastAsia="fr-FR"/>
        </w:rPr>
        <w:drawing>
          <wp:inline distT="0" distB="0" distL="0" distR="0" wp14:anchorId="7B1B62D1" wp14:editId="64AAE1C9">
            <wp:extent cx="4578350" cy="275590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44D5F6B9" w14:textId="5BF82E2A" w:rsidR="00003C4A" w:rsidRPr="0026579C" w:rsidRDefault="00003C4A" w:rsidP="003C7900">
      <w:pPr>
        <w:spacing w:before="120" w:after="0" w:line="360" w:lineRule="auto"/>
        <w:jc w:val="both"/>
        <w:rPr>
          <w:rFonts w:ascii="Arial" w:hAnsi="Arial" w:cs="Arial"/>
          <w:bCs/>
          <w:iCs/>
          <w:sz w:val="20"/>
          <w:szCs w:val="20"/>
          <w:lang w:val="en-US"/>
        </w:rPr>
      </w:pPr>
      <w:r w:rsidRPr="0026579C">
        <w:rPr>
          <w:rFonts w:ascii="Arial" w:hAnsi="Arial" w:cs="Arial"/>
          <w:b/>
          <w:iCs/>
          <w:sz w:val="20"/>
          <w:szCs w:val="20"/>
          <w:lang w:val="en-US"/>
        </w:rPr>
        <w:t>Fig</w:t>
      </w:r>
      <w:r w:rsidR="0026579C" w:rsidRPr="0026579C">
        <w:rPr>
          <w:rFonts w:ascii="Arial" w:hAnsi="Arial" w:cs="Arial"/>
          <w:b/>
          <w:iCs/>
          <w:sz w:val="20"/>
          <w:szCs w:val="20"/>
          <w:lang w:val="en-US"/>
        </w:rPr>
        <w:t>.</w:t>
      </w:r>
      <w:r w:rsidRPr="0026579C">
        <w:rPr>
          <w:rFonts w:ascii="Arial" w:hAnsi="Arial" w:cs="Arial"/>
          <w:b/>
          <w:iCs/>
          <w:sz w:val="20"/>
          <w:szCs w:val="20"/>
          <w:lang w:val="en-US"/>
        </w:rPr>
        <w:t xml:space="preserve"> 2</w:t>
      </w:r>
      <w:r w:rsidR="0026579C" w:rsidRPr="0026579C">
        <w:rPr>
          <w:rFonts w:ascii="Arial" w:hAnsi="Arial" w:cs="Arial"/>
          <w:b/>
          <w:iCs/>
          <w:sz w:val="20"/>
          <w:szCs w:val="20"/>
          <w:lang w:val="en-US"/>
        </w:rPr>
        <w:t>.</w:t>
      </w:r>
      <w:r w:rsidRPr="0026579C">
        <w:rPr>
          <w:rFonts w:ascii="Arial" w:hAnsi="Arial" w:cs="Arial"/>
          <w:b/>
          <w:iCs/>
          <w:sz w:val="20"/>
          <w:szCs w:val="20"/>
          <w:lang w:val="en-US"/>
        </w:rPr>
        <w:t xml:space="preserve"> </w:t>
      </w:r>
      <w:r w:rsidRPr="0026579C">
        <w:rPr>
          <w:rFonts w:ascii="Arial" w:hAnsi="Arial" w:cs="Arial"/>
          <w:bCs/>
          <w:iCs/>
          <w:sz w:val="20"/>
          <w:szCs w:val="20"/>
          <w:lang w:val="en-US"/>
        </w:rPr>
        <w:t>Gumbel Law Precipitation/Runoff Fitting Model</w:t>
      </w:r>
    </w:p>
    <w:p w14:paraId="5F66F444" w14:textId="77777777" w:rsidR="00536498" w:rsidRPr="00B94B81" w:rsidRDefault="00536498" w:rsidP="0026579C">
      <w:pPr>
        <w:spacing w:before="120" w:after="120" w:line="240" w:lineRule="auto"/>
        <w:jc w:val="both"/>
        <w:rPr>
          <w:rFonts w:ascii="Arial" w:hAnsi="Arial" w:cs="Arial"/>
          <w:b/>
          <w:sz w:val="20"/>
          <w:szCs w:val="20"/>
          <w:lang w:val="en-US"/>
        </w:rPr>
      </w:pPr>
      <w:r w:rsidRPr="00B94B81">
        <w:rPr>
          <w:rFonts w:ascii="Arial" w:hAnsi="Arial" w:cs="Arial"/>
          <w:b/>
          <w:sz w:val="20"/>
          <w:szCs w:val="20"/>
          <w:lang w:val="en-US"/>
        </w:rPr>
        <w:t>3.3. Estimation of Quantiles Corresponding to Return Times of Stream flow and Precipitation Observed in the Watershed</w:t>
      </w:r>
    </w:p>
    <w:p w14:paraId="0BB5C579" w14:textId="77777777" w:rsidR="00003C4A" w:rsidRDefault="003C7900" w:rsidP="0026579C">
      <w:pPr>
        <w:spacing w:after="0" w:line="240" w:lineRule="auto"/>
        <w:jc w:val="both"/>
        <w:rPr>
          <w:rFonts w:ascii="Arial" w:hAnsi="Arial" w:cs="Arial"/>
          <w:sz w:val="20"/>
          <w:szCs w:val="20"/>
          <w:lang w:val="en-US"/>
        </w:rPr>
      </w:pPr>
      <w:r w:rsidRPr="00B94B81">
        <w:rPr>
          <w:rFonts w:ascii="Arial" w:hAnsi="Arial" w:cs="Arial"/>
          <w:sz w:val="20"/>
          <w:szCs w:val="20"/>
          <w:lang w:val="en-US"/>
        </w:rPr>
        <w:t>The results in f</w:t>
      </w:r>
      <w:r w:rsidR="00536498" w:rsidRPr="00B94B81">
        <w:rPr>
          <w:rFonts w:ascii="Arial" w:hAnsi="Arial" w:cs="Arial"/>
          <w:sz w:val="20"/>
          <w:szCs w:val="20"/>
          <w:lang w:val="en-US"/>
        </w:rPr>
        <w:t>igure 3 reveal that the 6-year return period corresponds to rainfall quantiles of 85.8 mm and 96.1 mm for the N’Zérékoré and Macenta stations, respectively, with a flow rate of 195.6 m³/s marking abnormal rainfall events. The 12- and 20-year return periods coincide with rainfall quantiles of 99.1 mm and 108.6 mm for the N’Zérékoré station and 113.8 mm and 126.4 mm for the Macenta station, with respective flow rates of 227.3 m³/s and 249.9 m³/s.</w:t>
      </w:r>
    </w:p>
    <w:p w14:paraId="1770A8A1" w14:textId="77777777" w:rsidR="00623DEA" w:rsidRPr="00B94B81" w:rsidRDefault="00623DEA" w:rsidP="0026579C">
      <w:pPr>
        <w:spacing w:after="0" w:line="240" w:lineRule="auto"/>
        <w:jc w:val="both"/>
        <w:rPr>
          <w:rFonts w:ascii="Arial" w:hAnsi="Arial" w:cs="Arial"/>
          <w:sz w:val="20"/>
          <w:szCs w:val="20"/>
          <w:lang w:val="en-US"/>
        </w:rPr>
      </w:pPr>
    </w:p>
    <w:p w14:paraId="57657498" w14:textId="77777777" w:rsidR="00536498" w:rsidRPr="00B94B81" w:rsidRDefault="00536498" w:rsidP="0026579C">
      <w:pPr>
        <w:spacing w:after="0" w:line="240" w:lineRule="auto"/>
        <w:jc w:val="both"/>
        <w:rPr>
          <w:rFonts w:ascii="Arial" w:hAnsi="Arial" w:cs="Arial"/>
          <w:sz w:val="20"/>
          <w:szCs w:val="20"/>
          <w:lang w:val="en-US"/>
        </w:rPr>
      </w:pPr>
      <w:r w:rsidRPr="00B94B81">
        <w:rPr>
          <w:rFonts w:ascii="Arial" w:hAnsi="Arial" w:cs="Arial"/>
          <w:sz w:val="20"/>
          <w:szCs w:val="20"/>
          <w:lang w:val="en-US"/>
        </w:rPr>
        <w:t>These return periods correspond to highly abnormal rainfall events. Finally, the 60-year return period, which defines exceptional rainfall events, corresponds to rainfall quantiles of 128.6 mm and 153.2 mm for N’Zérékoré and Macenta, with a flow rate of 297.7 m³/s.</w:t>
      </w:r>
    </w:p>
    <w:p w14:paraId="6A36C98D" w14:textId="77777777" w:rsidR="00122AF5" w:rsidRPr="00B94B81" w:rsidRDefault="00122AF5" w:rsidP="00122AF5">
      <w:pPr>
        <w:spacing w:after="0" w:line="240" w:lineRule="auto"/>
        <w:rPr>
          <w:rFonts w:ascii="Arial" w:hAnsi="Arial" w:cs="Arial"/>
          <w:noProof/>
          <w:sz w:val="20"/>
          <w:szCs w:val="20"/>
          <w:lang w:eastAsia="fr-FR"/>
        </w:rPr>
      </w:pPr>
      <w:r w:rsidRPr="00B94B81">
        <w:rPr>
          <w:rFonts w:ascii="Arial" w:hAnsi="Arial" w:cs="Arial"/>
          <w:noProof/>
          <w:sz w:val="20"/>
          <w:szCs w:val="20"/>
          <w:lang w:eastAsia="fr-FR"/>
        </w:rPr>
        <w:lastRenderedPageBreak/>
        <w:drawing>
          <wp:inline distT="0" distB="0" distL="0" distR="0" wp14:anchorId="0AA4D196" wp14:editId="70091ABE">
            <wp:extent cx="2895600" cy="275590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2755900"/>
                    </a:xfrm>
                    <a:prstGeom prst="rect">
                      <a:avLst/>
                    </a:prstGeom>
                    <a:noFill/>
                  </pic:spPr>
                </pic:pic>
              </a:graphicData>
            </a:graphic>
          </wp:inline>
        </w:drawing>
      </w:r>
      <w:r w:rsidRPr="00B94B81">
        <w:rPr>
          <w:rFonts w:ascii="Arial" w:hAnsi="Arial" w:cs="Arial"/>
          <w:noProof/>
          <w:sz w:val="20"/>
          <w:szCs w:val="20"/>
          <w:lang w:eastAsia="fr-FR"/>
        </w:rPr>
        <w:t xml:space="preserve"> </w:t>
      </w:r>
      <w:r w:rsidRPr="00B94B81">
        <w:rPr>
          <w:rFonts w:ascii="Arial" w:hAnsi="Arial" w:cs="Arial"/>
          <w:noProof/>
          <w:sz w:val="20"/>
          <w:szCs w:val="20"/>
          <w:lang w:eastAsia="fr-FR"/>
        </w:rPr>
        <w:drawing>
          <wp:inline distT="0" distB="0" distL="0" distR="0" wp14:anchorId="2853CE28" wp14:editId="321893FF">
            <wp:extent cx="2819400" cy="2755900"/>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2755900"/>
                    </a:xfrm>
                    <a:prstGeom prst="rect">
                      <a:avLst/>
                    </a:prstGeom>
                    <a:noFill/>
                  </pic:spPr>
                </pic:pic>
              </a:graphicData>
            </a:graphic>
          </wp:inline>
        </w:drawing>
      </w:r>
    </w:p>
    <w:p w14:paraId="52DF1A5C" w14:textId="7D5ED2B7" w:rsidR="00122AF5" w:rsidRPr="00B94B81" w:rsidRDefault="00122AF5" w:rsidP="00623DEA">
      <w:pPr>
        <w:spacing w:after="0" w:line="240" w:lineRule="auto"/>
        <w:rPr>
          <w:rFonts w:ascii="Arial" w:hAnsi="Arial" w:cs="Arial"/>
          <w:sz w:val="20"/>
          <w:szCs w:val="20"/>
          <w:lang w:val="en-US"/>
        </w:rPr>
      </w:pPr>
      <w:r w:rsidRPr="00B94B81">
        <w:rPr>
          <w:rFonts w:ascii="Arial" w:hAnsi="Arial" w:cs="Arial"/>
          <w:sz w:val="20"/>
          <w:szCs w:val="20"/>
          <w:lang w:val="en-US"/>
        </w:rPr>
        <w:t xml:space="preserve">                 </w:t>
      </w:r>
      <w:r w:rsidRPr="00B94B81">
        <w:rPr>
          <w:rFonts w:ascii="Arial" w:hAnsi="Arial" w:cs="Arial"/>
          <w:noProof/>
          <w:sz w:val="20"/>
          <w:szCs w:val="20"/>
          <w:lang w:eastAsia="fr-FR"/>
        </w:rPr>
        <w:drawing>
          <wp:inline distT="0" distB="0" distL="0" distR="0" wp14:anchorId="73F271B4" wp14:editId="3700FEF3">
            <wp:extent cx="4584700" cy="2755900"/>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4032A17" w14:textId="7F205AE1" w:rsidR="00122AF5" w:rsidRPr="00B94B81" w:rsidRDefault="00122AF5" w:rsidP="00623DEA">
      <w:pPr>
        <w:spacing w:before="120" w:after="120" w:line="240" w:lineRule="auto"/>
        <w:rPr>
          <w:rFonts w:ascii="Arial" w:hAnsi="Arial" w:cs="Arial"/>
          <w:i/>
          <w:sz w:val="20"/>
          <w:szCs w:val="20"/>
          <w:lang w:val="en-US"/>
        </w:rPr>
      </w:pPr>
      <w:r w:rsidRPr="00B94B81">
        <w:rPr>
          <w:rFonts w:ascii="Arial" w:hAnsi="Arial" w:cs="Arial"/>
          <w:b/>
          <w:i/>
          <w:sz w:val="20"/>
          <w:szCs w:val="20"/>
          <w:lang w:val="en-US"/>
        </w:rPr>
        <w:t>Fig</w:t>
      </w:r>
      <w:r w:rsidR="00623DEA">
        <w:rPr>
          <w:rFonts w:ascii="Arial" w:hAnsi="Arial" w:cs="Arial"/>
          <w:b/>
          <w:i/>
          <w:sz w:val="20"/>
          <w:szCs w:val="20"/>
          <w:lang w:val="en-US"/>
        </w:rPr>
        <w:t xml:space="preserve">. </w:t>
      </w:r>
      <w:r w:rsidRPr="00B94B81">
        <w:rPr>
          <w:rFonts w:ascii="Arial" w:hAnsi="Arial" w:cs="Arial"/>
          <w:b/>
          <w:i/>
          <w:sz w:val="20"/>
          <w:szCs w:val="20"/>
          <w:lang w:val="en-US"/>
        </w:rPr>
        <w:t>3</w:t>
      </w:r>
      <w:r w:rsidR="00623DEA">
        <w:rPr>
          <w:rFonts w:ascii="Arial" w:hAnsi="Arial" w:cs="Arial"/>
          <w:i/>
          <w:sz w:val="20"/>
          <w:szCs w:val="20"/>
          <w:lang w:val="en-US"/>
        </w:rPr>
        <w:t>.</w:t>
      </w:r>
      <w:r w:rsidRPr="00B94B81">
        <w:rPr>
          <w:rFonts w:ascii="Arial" w:hAnsi="Arial" w:cs="Arial"/>
          <w:i/>
          <w:sz w:val="20"/>
          <w:szCs w:val="20"/>
          <w:lang w:val="en-US"/>
        </w:rPr>
        <w:t xml:space="preserve"> Return period of annual rainfall quantiles and maximum flow rates</w:t>
      </w:r>
    </w:p>
    <w:p w14:paraId="18729910" w14:textId="77777777" w:rsidR="00122AF5" w:rsidRPr="00B94B81" w:rsidRDefault="00AF041A"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Moreover, these different analyses describe the intensity of annual rainfall and maximum flows according to an annual periodicity and can lead to a recurrence of water levels in the basin.</w:t>
      </w:r>
    </w:p>
    <w:p w14:paraId="7F66B315" w14:textId="77777777" w:rsidR="00AF041A" w:rsidRPr="00B94B81" w:rsidRDefault="00AF041A" w:rsidP="00623DEA">
      <w:pPr>
        <w:spacing w:before="120" w:after="120" w:line="240" w:lineRule="auto"/>
        <w:jc w:val="both"/>
        <w:rPr>
          <w:rFonts w:ascii="Arial" w:hAnsi="Arial" w:cs="Arial"/>
          <w:b/>
          <w:sz w:val="20"/>
          <w:szCs w:val="20"/>
          <w:lang w:val="en-US"/>
        </w:rPr>
      </w:pPr>
      <w:r w:rsidRPr="00B94B81">
        <w:rPr>
          <w:rFonts w:ascii="Arial" w:hAnsi="Arial" w:cs="Arial"/>
          <w:b/>
          <w:sz w:val="20"/>
          <w:szCs w:val="20"/>
          <w:lang w:val="en-US"/>
        </w:rPr>
        <w:t>3.4. Statistical Dependence between Rainfall and Annual Flow in the Watershed</w:t>
      </w:r>
    </w:p>
    <w:p w14:paraId="21F11648" w14:textId="2C64F035" w:rsidR="00AF041A" w:rsidRPr="00B94B81" w:rsidRDefault="00AF041A"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 xml:space="preserve">To better understand the influence of rainfall on flow, a correlation test was applied, as </w:t>
      </w:r>
      <w:r w:rsidR="00E2385C" w:rsidRPr="00B94B81">
        <w:rPr>
          <w:rFonts w:ascii="Arial" w:hAnsi="Arial" w:cs="Arial"/>
          <w:sz w:val="20"/>
          <w:szCs w:val="20"/>
          <w:lang w:val="en-US"/>
        </w:rPr>
        <w:t xml:space="preserve">illustrated by the </w:t>
      </w:r>
      <w:r w:rsidR="00E2385C" w:rsidRPr="00623DEA">
        <w:rPr>
          <w:rFonts w:ascii="Arial" w:hAnsi="Arial" w:cs="Arial"/>
          <w:sz w:val="20"/>
          <w:szCs w:val="20"/>
          <w:lang w:val="en-US"/>
        </w:rPr>
        <w:t>two graphs (</w:t>
      </w:r>
      <w:r w:rsidR="00623DEA" w:rsidRPr="00623DEA">
        <w:rPr>
          <w:rFonts w:ascii="Arial" w:hAnsi="Arial" w:cs="Arial"/>
          <w:sz w:val="20"/>
          <w:szCs w:val="20"/>
          <w:lang w:val="en-US"/>
        </w:rPr>
        <w:t>F</w:t>
      </w:r>
      <w:r w:rsidRPr="00623DEA">
        <w:rPr>
          <w:rFonts w:ascii="Arial" w:hAnsi="Arial" w:cs="Arial"/>
          <w:sz w:val="20"/>
          <w:szCs w:val="20"/>
          <w:lang w:val="en-US"/>
        </w:rPr>
        <w:t>ig</w:t>
      </w:r>
      <w:r w:rsidR="00623DEA" w:rsidRPr="00623DEA">
        <w:rPr>
          <w:rFonts w:ascii="Arial" w:hAnsi="Arial" w:cs="Arial"/>
          <w:sz w:val="20"/>
          <w:szCs w:val="20"/>
          <w:lang w:val="en-US"/>
        </w:rPr>
        <w:t>.</w:t>
      </w:r>
      <w:r w:rsidRPr="00623DEA">
        <w:rPr>
          <w:rFonts w:ascii="Arial" w:hAnsi="Arial" w:cs="Arial"/>
          <w:sz w:val="20"/>
          <w:szCs w:val="20"/>
          <w:lang w:val="en-US"/>
        </w:rPr>
        <w:t xml:space="preserve"> 4). The results of the analysis show that the cloud points are dispersed in the same</w:t>
      </w:r>
      <w:r w:rsidRPr="00B94B81">
        <w:rPr>
          <w:rFonts w:ascii="Arial" w:hAnsi="Arial" w:cs="Arial"/>
          <w:sz w:val="20"/>
          <w:szCs w:val="20"/>
          <w:lang w:val="en-US"/>
        </w:rPr>
        <w:t xml:space="preserve"> way along both linear trends. The correlation coefficient between rainfall and flow is -0.041 at the N’Zérékoré station and 0.013 at the Macenta station. Furthermore, we also observe that the linear trend at the N’Zérékoré station is slightly downward than that at Macenta.</w:t>
      </w:r>
    </w:p>
    <w:p w14:paraId="38F08021" w14:textId="77777777" w:rsidR="00AF041A" w:rsidRPr="00B94B81" w:rsidRDefault="00AF041A" w:rsidP="00AF041A">
      <w:pPr>
        <w:rPr>
          <w:rFonts w:ascii="Arial" w:hAnsi="Arial" w:cs="Arial"/>
          <w:sz w:val="20"/>
          <w:szCs w:val="20"/>
          <w:lang w:val="en-US"/>
        </w:rPr>
      </w:pPr>
      <w:r w:rsidRPr="00B94B81">
        <w:rPr>
          <w:rFonts w:ascii="Arial" w:hAnsi="Arial" w:cs="Arial"/>
          <w:noProof/>
          <w:color w:val="000000" w:themeColor="text1"/>
          <w:sz w:val="20"/>
          <w:szCs w:val="20"/>
          <w:lang w:eastAsia="fr-FR"/>
        </w:rPr>
        <w:lastRenderedPageBreak/>
        <w:drawing>
          <wp:inline distT="0" distB="0" distL="0" distR="0" wp14:anchorId="3C419428" wp14:editId="3ADDA13E">
            <wp:extent cx="5760720" cy="2878513"/>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878513"/>
                    </a:xfrm>
                    <a:prstGeom prst="rect">
                      <a:avLst/>
                    </a:prstGeom>
                  </pic:spPr>
                </pic:pic>
              </a:graphicData>
            </a:graphic>
          </wp:inline>
        </w:drawing>
      </w:r>
    </w:p>
    <w:p w14:paraId="7D703FC3" w14:textId="77777777" w:rsidR="00AF041A" w:rsidRPr="00B94B81" w:rsidRDefault="00AF041A" w:rsidP="00AF041A">
      <w:pPr>
        <w:rPr>
          <w:rFonts w:ascii="Arial" w:hAnsi="Arial" w:cs="Arial"/>
          <w:sz w:val="20"/>
          <w:szCs w:val="20"/>
          <w:lang w:val="en-US"/>
        </w:rPr>
      </w:pPr>
      <w:r w:rsidRPr="00B94B81">
        <w:rPr>
          <w:rFonts w:ascii="Arial" w:hAnsi="Arial" w:cs="Arial"/>
          <w:noProof/>
          <w:color w:val="000000" w:themeColor="text1"/>
          <w:sz w:val="20"/>
          <w:szCs w:val="20"/>
          <w:lang w:eastAsia="fr-FR"/>
        </w:rPr>
        <w:drawing>
          <wp:inline distT="0" distB="0" distL="0" distR="0" wp14:anchorId="637F91C7" wp14:editId="3008595C">
            <wp:extent cx="5760720" cy="2878513"/>
            <wp:effectExtent l="0" t="0" r="0" b="0"/>
            <wp:docPr id="1368107104" name="Image 136810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878513"/>
                    </a:xfrm>
                    <a:prstGeom prst="rect">
                      <a:avLst/>
                    </a:prstGeom>
                  </pic:spPr>
                </pic:pic>
              </a:graphicData>
            </a:graphic>
          </wp:inline>
        </w:drawing>
      </w:r>
    </w:p>
    <w:p w14:paraId="564B0A82" w14:textId="1611E205" w:rsidR="00AF041A" w:rsidRPr="00B94B81" w:rsidRDefault="00AF041A" w:rsidP="00AF041A">
      <w:pPr>
        <w:rPr>
          <w:rFonts w:ascii="Arial" w:hAnsi="Arial" w:cs="Arial"/>
          <w:i/>
          <w:sz w:val="20"/>
          <w:szCs w:val="20"/>
          <w:lang w:val="en-US"/>
        </w:rPr>
      </w:pPr>
      <w:bookmarkStart w:id="0" w:name="_GoBack"/>
      <w:r w:rsidRPr="00B94B81">
        <w:rPr>
          <w:rFonts w:ascii="Arial" w:hAnsi="Arial" w:cs="Arial"/>
          <w:b/>
          <w:i/>
          <w:sz w:val="20"/>
          <w:szCs w:val="20"/>
          <w:lang w:val="en-US"/>
        </w:rPr>
        <w:t>Fig</w:t>
      </w:r>
      <w:bookmarkEnd w:id="0"/>
      <w:r w:rsidR="00623DEA">
        <w:rPr>
          <w:rFonts w:ascii="Arial" w:hAnsi="Arial" w:cs="Arial"/>
          <w:b/>
          <w:i/>
          <w:sz w:val="20"/>
          <w:szCs w:val="20"/>
          <w:lang w:val="en-US"/>
        </w:rPr>
        <w:t>.</w:t>
      </w:r>
      <w:r w:rsidRPr="00B94B81">
        <w:rPr>
          <w:rFonts w:ascii="Arial" w:hAnsi="Arial" w:cs="Arial"/>
          <w:b/>
          <w:i/>
          <w:sz w:val="20"/>
          <w:szCs w:val="20"/>
          <w:lang w:val="en-US"/>
        </w:rPr>
        <w:t xml:space="preserve"> 4</w:t>
      </w:r>
      <w:r w:rsidR="00623DEA">
        <w:rPr>
          <w:rFonts w:ascii="Arial" w:hAnsi="Arial" w:cs="Arial"/>
          <w:i/>
          <w:sz w:val="20"/>
          <w:szCs w:val="20"/>
          <w:lang w:val="en-US"/>
        </w:rPr>
        <w:t>.</w:t>
      </w:r>
      <w:r w:rsidRPr="00B94B81">
        <w:rPr>
          <w:rFonts w:ascii="Arial" w:hAnsi="Arial" w:cs="Arial"/>
          <w:i/>
          <w:sz w:val="20"/>
          <w:szCs w:val="20"/>
          <w:lang w:val="en-US"/>
        </w:rPr>
        <w:t xml:space="preserve"> Relationship between precipitation and flow rate in the watershed</w:t>
      </w:r>
    </w:p>
    <w:p w14:paraId="17DF0202" w14:textId="77777777" w:rsidR="00AF041A" w:rsidRPr="00B94B81" w:rsidRDefault="00AF041A" w:rsidP="00E2385C">
      <w:pPr>
        <w:jc w:val="both"/>
        <w:rPr>
          <w:rFonts w:ascii="Arial" w:hAnsi="Arial" w:cs="Arial"/>
          <w:sz w:val="20"/>
          <w:szCs w:val="20"/>
          <w:lang w:val="en-US"/>
        </w:rPr>
      </w:pPr>
      <w:r w:rsidRPr="00B94B81">
        <w:rPr>
          <w:rFonts w:ascii="Arial" w:hAnsi="Arial" w:cs="Arial"/>
          <w:sz w:val="20"/>
          <w:szCs w:val="20"/>
          <w:lang w:val="en-US"/>
        </w:rPr>
        <w:t>The summary of the correlation test statistics is presented in Table 2 below.</w:t>
      </w:r>
    </w:p>
    <w:p w14:paraId="615CC5F7" w14:textId="1498006C" w:rsidR="00EE13AA" w:rsidRPr="00B94B81" w:rsidRDefault="00AF041A" w:rsidP="00E2385C">
      <w:pPr>
        <w:jc w:val="both"/>
        <w:rPr>
          <w:rFonts w:ascii="Arial" w:hAnsi="Arial" w:cs="Arial"/>
          <w:i/>
          <w:sz w:val="20"/>
          <w:szCs w:val="20"/>
          <w:lang w:val="en-US"/>
        </w:rPr>
      </w:pPr>
      <w:r w:rsidRPr="00B94B81">
        <w:rPr>
          <w:rFonts w:ascii="Arial" w:hAnsi="Arial" w:cs="Arial"/>
          <w:b/>
          <w:i/>
          <w:sz w:val="20"/>
          <w:szCs w:val="20"/>
          <w:lang w:val="en-US"/>
        </w:rPr>
        <w:t>Table 2</w:t>
      </w:r>
      <w:r w:rsidR="00623DEA">
        <w:rPr>
          <w:rFonts w:ascii="Arial" w:hAnsi="Arial" w:cs="Arial"/>
          <w:i/>
          <w:sz w:val="20"/>
          <w:szCs w:val="20"/>
          <w:lang w:val="en-US"/>
        </w:rPr>
        <w:t>.</w:t>
      </w:r>
      <w:r w:rsidRPr="00B94B81">
        <w:rPr>
          <w:rFonts w:ascii="Arial" w:hAnsi="Arial" w:cs="Arial"/>
          <w:i/>
          <w:sz w:val="20"/>
          <w:szCs w:val="20"/>
          <w:lang w:val="en-US"/>
        </w:rPr>
        <w:t xml:space="preserve"> Statistical dependence results between rainfall and stream flow in the watershed</w:t>
      </w:r>
    </w:p>
    <w:tbl>
      <w:tblPr>
        <w:tblW w:w="0" w:type="auto"/>
        <w:tblCellMar>
          <w:left w:w="0" w:type="dxa"/>
          <w:right w:w="0" w:type="dxa"/>
        </w:tblCellMar>
        <w:tblLook w:val="04A0" w:firstRow="1" w:lastRow="0" w:firstColumn="1" w:lastColumn="0" w:noHBand="0" w:noVBand="1"/>
      </w:tblPr>
      <w:tblGrid>
        <w:gridCol w:w="1899"/>
        <w:gridCol w:w="427"/>
        <w:gridCol w:w="827"/>
        <w:gridCol w:w="1583"/>
        <w:gridCol w:w="750"/>
        <w:gridCol w:w="1372"/>
      </w:tblGrid>
      <w:tr w:rsidR="00EE13AA" w:rsidRPr="00B94B81" w14:paraId="4F161489" w14:textId="77777777" w:rsidTr="005A220E">
        <w:trPr>
          <w:tblHeader/>
        </w:trPr>
        <w:tc>
          <w:tcPr>
            <w:tcW w:w="0" w:type="auto"/>
            <w:gridSpan w:val="6"/>
            <w:tcBorders>
              <w:top w:val="nil"/>
              <w:left w:val="nil"/>
              <w:bottom w:val="single" w:sz="6" w:space="0" w:color="000000"/>
              <w:right w:val="nil"/>
            </w:tcBorders>
            <w:tcMar>
              <w:top w:w="90" w:type="dxa"/>
              <w:left w:w="0" w:type="dxa"/>
              <w:bottom w:w="90" w:type="dxa"/>
              <w:right w:w="150" w:type="dxa"/>
            </w:tcMar>
            <w:vAlign w:val="center"/>
            <w:hideMark/>
          </w:tcPr>
          <w:p w14:paraId="3F237A42" w14:textId="77777777" w:rsidR="00EE13AA" w:rsidRPr="00B94B81" w:rsidRDefault="00EE13AA" w:rsidP="005A220E">
            <w:pPr>
              <w:spacing w:after="0" w:line="240" w:lineRule="auto"/>
              <w:rPr>
                <w:rFonts w:ascii="Arial" w:eastAsia="Times New Roman" w:hAnsi="Arial" w:cs="Arial"/>
                <w:color w:val="000000"/>
                <w:sz w:val="20"/>
                <w:szCs w:val="20"/>
                <w:lang w:val="en-US" w:eastAsia="fr-FR"/>
              </w:rPr>
            </w:pPr>
          </w:p>
        </w:tc>
      </w:tr>
      <w:tr w:rsidR="00EE13AA" w:rsidRPr="00B94B81" w14:paraId="7FFC86B4" w14:textId="77777777" w:rsidTr="005A220E">
        <w:trPr>
          <w:tblHeader/>
        </w:trPr>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1D1EAE74" w14:textId="77777777" w:rsidR="00EE13AA" w:rsidRPr="00B94B81" w:rsidRDefault="00EE13AA" w:rsidP="005A220E">
            <w:pPr>
              <w:spacing w:after="0" w:line="240" w:lineRule="auto"/>
              <w:jc w:val="center"/>
              <w:rPr>
                <w:rFonts w:ascii="Arial" w:eastAsia="Times New Roman" w:hAnsi="Arial" w:cs="Arial"/>
                <w:color w:val="000000"/>
                <w:sz w:val="20"/>
                <w:szCs w:val="20"/>
                <w:lang w:val="en-US" w:eastAsia="fr-FR"/>
              </w:rPr>
            </w:pPr>
            <w:r w:rsidRPr="00B94B81">
              <w:rPr>
                <w:rFonts w:ascii="Arial" w:eastAsia="Times New Roman" w:hAnsi="Arial" w:cs="Arial"/>
                <w:color w:val="000000"/>
                <w:sz w:val="20"/>
                <w:szCs w:val="20"/>
                <w:lang w:val="en-US" w:eastAsia="fr-FR"/>
              </w:rPr>
              <w:t> </w:t>
            </w:r>
          </w:p>
        </w:tc>
        <w:tc>
          <w:tcPr>
            <w:tcW w:w="0" w:type="auto"/>
            <w:tcBorders>
              <w:top w:val="nil"/>
              <w:left w:val="nil"/>
              <w:bottom w:val="single" w:sz="6" w:space="0" w:color="000000"/>
              <w:right w:val="nil"/>
            </w:tcBorders>
            <w:tcMar>
              <w:top w:w="45" w:type="dxa"/>
              <w:left w:w="0" w:type="dxa"/>
              <w:bottom w:w="45" w:type="dxa"/>
              <w:right w:w="0" w:type="dxa"/>
            </w:tcMar>
            <w:vAlign w:val="center"/>
            <w:hideMark/>
          </w:tcPr>
          <w:p w14:paraId="3D175415" w14:textId="77777777" w:rsidR="00EE13AA" w:rsidRPr="00B94B81" w:rsidRDefault="00EE13AA" w:rsidP="005A220E">
            <w:pPr>
              <w:spacing w:after="0" w:line="240" w:lineRule="auto"/>
              <w:jc w:val="center"/>
              <w:rPr>
                <w:rFonts w:ascii="Arial" w:eastAsia="Times New Roman" w:hAnsi="Arial" w:cs="Arial"/>
                <w:color w:val="000000"/>
                <w:sz w:val="20"/>
                <w:szCs w:val="20"/>
                <w:lang w:val="en-US" w:eastAsia="fr-FR"/>
              </w:rPr>
            </w:pPr>
            <w:r w:rsidRPr="00B94B81">
              <w:rPr>
                <w:rFonts w:ascii="Arial" w:eastAsia="Times New Roman" w:hAnsi="Arial" w:cs="Arial"/>
                <w:color w:val="000000"/>
                <w:sz w:val="20"/>
                <w:szCs w:val="20"/>
                <w:lang w:val="en-US" w:eastAsia="fr-FR"/>
              </w:rPr>
              <w:t> </w:t>
            </w:r>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43018F75" w14:textId="77777777" w:rsidR="00EE13AA" w:rsidRPr="00B94B81" w:rsidRDefault="00EE13AA" w:rsidP="005A220E">
            <w:pPr>
              <w:spacing w:after="0" w:line="240" w:lineRule="auto"/>
              <w:jc w:val="center"/>
              <w:rPr>
                <w:rFonts w:ascii="Arial" w:eastAsia="Times New Roman" w:hAnsi="Arial" w:cs="Arial"/>
                <w:color w:val="000000"/>
                <w:sz w:val="20"/>
                <w:szCs w:val="20"/>
                <w:lang w:val="en-US" w:eastAsia="fr-FR"/>
              </w:rPr>
            </w:pPr>
            <w:r w:rsidRPr="00B94B81">
              <w:rPr>
                <w:rFonts w:ascii="Arial" w:eastAsia="Times New Roman" w:hAnsi="Arial" w:cs="Arial"/>
                <w:color w:val="000000"/>
                <w:sz w:val="20"/>
                <w:szCs w:val="20"/>
                <w:lang w:val="en-US" w:eastAsia="fr-FR"/>
              </w:rPr>
              <w:t> </w:t>
            </w:r>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2DE94F93"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R de Pearson</w:t>
            </w:r>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6A9E8C99"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proofErr w:type="gramStart"/>
            <w:r w:rsidRPr="00B94B81">
              <w:rPr>
                <w:rFonts w:ascii="Arial" w:eastAsia="Times New Roman" w:hAnsi="Arial" w:cs="Arial"/>
                <w:color w:val="000000"/>
                <w:sz w:val="20"/>
                <w:szCs w:val="20"/>
                <w:lang w:eastAsia="fr-FR"/>
              </w:rPr>
              <w:t>p</w:t>
            </w:r>
            <w:proofErr w:type="gramEnd"/>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5F84AD63"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Covariance</w:t>
            </w:r>
          </w:p>
        </w:tc>
      </w:tr>
      <w:tr w:rsidR="00EE13AA" w:rsidRPr="00B94B81" w14:paraId="07F49446" w14:textId="77777777" w:rsidTr="005A220E">
        <w:tc>
          <w:tcPr>
            <w:tcW w:w="0" w:type="auto"/>
            <w:tcBorders>
              <w:top w:val="nil"/>
              <w:left w:val="nil"/>
              <w:bottom w:val="nil"/>
              <w:right w:val="nil"/>
            </w:tcBorders>
            <w:tcMar>
              <w:top w:w="162" w:type="dxa"/>
              <w:left w:w="180" w:type="dxa"/>
              <w:bottom w:w="45" w:type="dxa"/>
              <w:right w:w="180" w:type="dxa"/>
            </w:tcMar>
            <w:vAlign w:val="center"/>
            <w:hideMark/>
          </w:tcPr>
          <w:p w14:paraId="15C89C22" w14:textId="77777777" w:rsidR="00EE13AA" w:rsidRPr="00B94B81" w:rsidRDefault="00EE13AA" w:rsidP="005A220E">
            <w:pPr>
              <w:spacing w:after="144" w:line="240" w:lineRule="auto"/>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Pluie_N'Zérékoré</w:t>
            </w:r>
          </w:p>
        </w:tc>
        <w:tc>
          <w:tcPr>
            <w:tcW w:w="0" w:type="auto"/>
            <w:tcBorders>
              <w:top w:val="nil"/>
              <w:left w:val="nil"/>
              <w:bottom w:val="nil"/>
              <w:right w:val="nil"/>
            </w:tcBorders>
            <w:tcMar>
              <w:top w:w="162" w:type="dxa"/>
              <w:left w:w="180" w:type="dxa"/>
              <w:bottom w:w="45" w:type="dxa"/>
              <w:right w:w="180" w:type="dxa"/>
            </w:tcMar>
            <w:vAlign w:val="center"/>
            <w:hideMark/>
          </w:tcPr>
          <w:p w14:paraId="4C1A77D4"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w:t>
            </w:r>
          </w:p>
        </w:tc>
        <w:tc>
          <w:tcPr>
            <w:tcW w:w="0" w:type="auto"/>
            <w:tcBorders>
              <w:top w:val="nil"/>
              <w:left w:val="nil"/>
              <w:bottom w:val="nil"/>
              <w:right w:val="nil"/>
            </w:tcBorders>
            <w:tcMar>
              <w:top w:w="162" w:type="dxa"/>
              <w:left w:w="180" w:type="dxa"/>
              <w:bottom w:w="45" w:type="dxa"/>
              <w:right w:w="180" w:type="dxa"/>
            </w:tcMar>
            <w:vAlign w:val="center"/>
            <w:hideMark/>
          </w:tcPr>
          <w:p w14:paraId="2E73D1B0" w14:textId="77777777" w:rsidR="00EE13AA" w:rsidRPr="00B94B81" w:rsidRDefault="00EE13AA" w:rsidP="005A220E">
            <w:pPr>
              <w:spacing w:after="144" w:line="240" w:lineRule="auto"/>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Débit</w:t>
            </w:r>
          </w:p>
        </w:tc>
        <w:tc>
          <w:tcPr>
            <w:tcW w:w="0" w:type="auto"/>
            <w:tcBorders>
              <w:top w:val="nil"/>
              <w:left w:val="nil"/>
              <w:bottom w:val="nil"/>
              <w:right w:val="nil"/>
            </w:tcBorders>
            <w:tcMar>
              <w:top w:w="162" w:type="dxa"/>
              <w:left w:w="180" w:type="dxa"/>
              <w:bottom w:w="45" w:type="dxa"/>
              <w:right w:w="180" w:type="dxa"/>
            </w:tcMar>
            <w:vAlign w:val="center"/>
            <w:hideMark/>
          </w:tcPr>
          <w:p w14:paraId="2C402654"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-0.041</w:t>
            </w:r>
          </w:p>
        </w:tc>
        <w:tc>
          <w:tcPr>
            <w:tcW w:w="0" w:type="auto"/>
            <w:tcBorders>
              <w:top w:val="nil"/>
              <w:left w:val="nil"/>
              <w:bottom w:val="nil"/>
              <w:right w:val="nil"/>
            </w:tcBorders>
            <w:tcMar>
              <w:top w:w="162" w:type="dxa"/>
              <w:left w:w="180" w:type="dxa"/>
              <w:bottom w:w="45" w:type="dxa"/>
              <w:right w:w="180" w:type="dxa"/>
            </w:tcMar>
            <w:vAlign w:val="center"/>
            <w:hideMark/>
          </w:tcPr>
          <w:p w14:paraId="340B32BE"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.830</w:t>
            </w:r>
          </w:p>
        </w:tc>
        <w:tc>
          <w:tcPr>
            <w:tcW w:w="0" w:type="auto"/>
            <w:tcBorders>
              <w:top w:val="nil"/>
              <w:left w:val="nil"/>
              <w:bottom w:val="nil"/>
              <w:right w:val="nil"/>
            </w:tcBorders>
            <w:tcMar>
              <w:top w:w="162" w:type="dxa"/>
              <w:left w:w="180" w:type="dxa"/>
              <w:bottom w:w="45" w:type="dxa"/>
              <w:right w:w="180" w:type="dxa"/>
            </w:tcMar>
            <w:vAlign w:val="center"/>
            <w:hideMark/>
          </w:tcPr>
          <w:p w14:paraId="2CA66EC7"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-51.650</w:t>
            </w:r>
          </w:p>
        </w:tc>
      </w:tr>
      <w:tr w:rsidR="00EE13AA" w:rsidRPr="00B94B81" w14:paraId="21166DCC" w14:textId="77777777" w:rsidTr="005A220E">
        <w:tc>
          <w:tcPr>
            <w:tcW w:w="0" w:type="auto"/>
            <w:gridSpan w:val="6"/>
            <w:tcBorders>
              <w:top w:val="nil"/>
              <w:left w:val="nil"/>
              <w:bottom w:val="single" w:sz="6" w:space="0" w:color="000000"/>
              <w:right w:val="nil"/>
            </w:tcBorders>
            <w:shd w:val="clear" w:color="auto" w:fill="EBEBEB"/>
            <w:tcMar>
              <w:top w:w="15" w:type="dxa"/>
              <w:left w:w="180" w:type="dxa"/>
              <w:bottom w:w="45" w:type="dxa"/>
              <w:right w:w="180" w:type="dxa"/>
            </w:tcMar>
            <w:vAlign w:val="center"/>
            <w:hideMark/>
          </w:tcPr>
          <w:p w14:paraId="4CE8FBF3" w14:textId="77777777" w:rsidR="00EE13AA" w:rsidRPr="00B94B81" w:rsidRDefault="00EE13AA" w:rsidP="005A220E">
            <w:pPr>
              <w:spacing w:after="144" w:line="240" w:lineRule="auto"/>
              <w:rPr>
                <w:rFonts w:ascii="Arial" w:eastAsia="Times New Roman" w:hAnsi="Arial" w:cs="Arial"/>
                <w:color w:val="000000"/>
                <w:sz w:val="20"/>
                <w:szCs w:val="20"/>
                <w:lang w:eastAsia="fr-FR"/>
              </w:rPr>
            </w:pPr>
          </w:p>
        </w:tc>
      </w:tr>
      <w:tr w:rsidR="00EE13AA" w:rsidRPr="00B94B81" w14:paraId="17369A11" w14:textId="77777777" w:rsidTr="005A220E">
        <w:trPr>
          <w:tblHeader/>
        </w:trPr>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747F00C0"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 </w:t>
            </w:r>
          </w:p>
        </w:tc>
        <w:tc>
          <w:tcPr>
            <w:tcW w:w="0" w:type="auto"/>
            <w:tcBorders>
              <w:top w:val="nil"/>
              <w:left w:val="nil"/>
              <w:bottom w:val="single" w:sz="6" w:space="0" w:color="000000"/>
              <w:right w:val="nil"/>
            </w:tcBorders>
            <w:tcMar>
              <w:top w:w="45" w:type="dxa"/>
              <w:left w:w="0" w:type="dxa"/>
              <w:bottom w:w="45" w:type="dxa"/>
              <w:right w:w="0" w:type="dxa"/>
            </w:tcMar>
            <w:vAlign w:val="center"/>
            <w:hideMark/>
          </w:tcPr>
          <w:p w14:paraId="474CB731"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 </w:t>
            </w:r>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651CACF0"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 </w:t>
            </w:r>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182360BC"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R de Pearson</w:t>
            </w:r>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2042D534"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proofErr w:type="gramStart"/>
            <w:r w:rsidRPr="00B94B81">
              <w:rPr>
                <w:rFonts w:ascii="Arial" w:eastAsia="Times New Roman" w:hAnsi="Arial" w:cs="Arial"/>
                <w:color w:val="000000"/>
                <w:sz w:val="20"/>
                <w:szCs w:val="20"/>
                <w:lang w:eastAsia="fr-FR"/>
              </w:rPr>
              <w:t>p</w:t>
            </w:r>
            <w:proofErr w:type="gramEnd"/>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3EF9FB9D"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Covariance</w:t>
            </w:r>
          </w:p>
        </w:tc>
      </w:tr>
      <w:tr w:rsidR="00EE13AA" w:rsidRPr="00B94B81" w14:paraId="4829B810" w14:textId="77777777" w:rsidTr="005A220E">
        <w:tc>
          <w:tcPr>
            <w:tcW w:w="0" w:type="auto"/>
            <w:tcBorders>
              <w:top w:val="nil"/>
              <w:left w:val="nil"/>
              <w:bottom w:val="nil"/>
              <w:right w:val="nil"/>
            </w:tcBorders>
            <w:shd w:val="clear" w:color="auto" w:fill="FFFFFF"/>
            <w:tcMar>
              <w:top w:w="162" w:type="dxa"/>
              <w:left w:w="180" w:type="dxa"/>
              <w:bottom w:w="45" w:type="dxa"/>
              <w:right w:w="180" w:type="dxa"/>
            </w:tcMar>
            <w:vAlign w:val="center"/>
            <w:hideMark/>
          </w:tcPr>
          <w:p w14:paraId="24C14476" w14:textId="77777777" w:rsidR="00EE13AA" w:rsidRPr="00B94B81" w:rsidRDefault="00EE13AA" w:rsidP="005A220E">
            <w:pPr>
              <w:spacing w:after="144" w:line="240" w:lineRule="auto"/>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Pluie_Macenta</w:t>
            </w:r>
          </w:p>
        </w:tc>
        <w:tc>
          <w:tcPr>
            <w:tcW w:w="0" w:type="auto"/>
            <w:tcBorders>
              <w:top w:val="nil"/>
              <w:left w:val="nil"/>
              <w:bottom w:val="nil"/>
              <w:right w:val="nil"/>
            </w:tcBorders>
            <w:shd w:val="clear" w:color="auto" w:fill="FFFFFF"/>
            <w:tcMar>
              <w:top w:w="162" w:type="dxa"/>
              <w:left w:w="180" w:type="dxa"/>
              <w:bottom w:w="45" w:type="dxa"/>
              <w:right w:w="180" w:type="dxa"/>
            </w:tcMar>
            <w:vAlign w:val="center"/>
            <w:hideMark/>
          </w:tcPr>
          <w:p w14:paraId="256C24E2"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w:t>
            </w:r>
          </w:p>
        </w:tc>
        <w:tc>
          <w:tcPr>
            <w:tcW w:w="0" w:type="auto"/>
            <w:tcBorders>
              <w:top w:val="nil"/>
              <w:left w:val="nil"/>
              <w:bottom w:val="nil"/>
              <w:right w:val="nil"/>
            </w:tcBorders>
            <w:shd w:val="clear" w:color="auto" w:fill="FFFFFF"/>
            <w:tcMar>
              <w:top w:w="162" w:type="dxa"/>
              <w:left w:w="180" w:type="dxa"/>
              <w:bottom w:w="45" w:type="dxa"/>
              <w:right w:w="180" w:type="dxa"/>
            </w:tcMar>
            <w:vAlign w:val="center"/>
            <w:hideMark/>
          </w:tcPr>
          <w:p w14:paraId="40CFA68D" w14:textId="77777777" w:rsidR="00EE13AA" w:rsidRPr="00B94B81" w:rsidRDefault="00EE13AA" w:rsidP="005A220E">
            <w:pPr>
              <w:spacing w:after="144" w:line="240" w:lineRule="auto"/>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Débit</w:t>
            </w:r>
          </w:p>
        </w:tc>
        <w:tc>
          <w:tcPr>
            <w:tcW w:w="0" w:type="auto"/>
            <w:tcBorders>
              <w:top w:val="nil"/>
              <w:left w:val="nil"/>
              <w:bottom w:val="nil"/>
              <w:right w:val="nil"/>
            </w:tcBorders>
            <w:shd w:val="clear" w:color="auto" w:fill="FFFFFF"/>
            <w:tcMar>
              <w:top w:w="162" w:type="dxa"/>
              <w:left w:w="180" w:type="dxa"/>
              <w:bottom w:w="45" w:type="dxa"/>
              <w:right w:w="180" w:type="dxa"/>
            </w:tcMar>
            <w:vAlign w:val="center"/>
            <w:hideMark/>
          </w:tcPr>
          <w:p w14:paraId="79354EC1"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0.013</w:t>
            </w:r>
          </w:p>
        </w:tc>
        <w:tc>
          <w:tcPr>
            <w:tcW w:w="0" w:type="auto"/>
            <w:tcBorders>
              <w:top w:val="nil"/>
              <w:left w:val="nil"/>
              <w:bottom w:val="nil"/>
              <w:right w:val="nil"/>
            </w:tcBorders>
            <w:shd w:val="clear" w:color="auto" w:fill="FFFFFF"/>
            <w:tcMar>
              <w:top w:w="162" w:type="dxa"/>
              <w:left w:w="180" w:type="dxa"/>
              <w:bottom w:w="45" w:type="dxa"/>
              <w:right w:w="180" w:type="dxa"/>
            </w:tcMar>
            <w:vAlign w:val="center"/>
            <w:hideMark/>
          </w:tcPr>
          <w:p w14:paraId="0D1B32A9"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.947</w:t>
            </w:r>
          </w:p>
        </w:tc>
        <w:tc>
          <w:tcPr>
            <w:tcW w:w="0" w:type="auto"/>
            <w:tcBorders>
              <w:top w:val="nil"/>
              <w:left w:val="nil"/>
              <w:bottom w:val="nil"/>
              <w:right w:val="nil"/>
            </w:tcBorders>
            <w:shd w:val="clear" w:color="auto" w:fill="FFFFFF"/>
            <w:tcMar>
              <w:top w:w="162" w:type="dxa"/>
              <w:left w:w="180" w:type="dxa"/>
              <w:bottom w:w="45" w:type="dxa"/>
              <w:right w:w="180" w:type="dxa"/>
            </w:tcMar>
            <w:vAlign w:val="center"/>
            <w:hideMark/>
          </w:tcPr>
          <w:p w14:paraId="67732A46"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21.253</w:t>
            </w:r>
          </w:p>
        </w:tc>
      </w:tr>
      <w:tr w:rsidR="00EE13AA" w:rsidRPr="00B94B81" w14:paraId="732CD61C" w14:textId="77777777" w:rsidTr="005A220E">
        <w:tc>
          <w:tcPr>
            <w:tcW w:w="0" w:type="auto"/>
            <w:gridSpan w:val="6"/>
            <w:tcBorders>
              <w:top w:val="nil"/>
              <w:left w:val="nil"/>
              <w:bottom w:val="single" w:sz="6" w:space="0" w:color="000000"/>
              <w:right w:val="nil"/>
            </w:tcBorders>
            <w:shd w:val="clear" w:color="auto" w:fill="EBEBEB"/>
            <w:tcMar>
              <w:top w:w="15" w:type="dxa"/>
              <w:left w:w="180" w:type="dxa"/>
              <w:bottom w:w="45" w:type="dxa"/>
              <w:right w:w="180" w:type="dxa"/>
            </w:tcMar>
            <w:vAlign w:val="center"/>
            <w:hideMark/>
          </w:tcPr>
          <w:p w14:paraId="03872897"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p>
        </w:tc>
      </w:tr>
    </w:tbl>
    <w:p w14:paraId="17CF07D9" w14:textId="77777777" w:rsidR="00623DEA" w:rsidRDefault="00623DEA" w:rsidP="00623DEA">
      <w:pPr>
        <w:spacing w:after="0" w:line="240" w:lineRule="auto"/>
        <w:jc w:val="both"/>
        <w:rPr>
          <w:rFonts w:ascii="Arial" w:hAnsi="Arial" w:cs="Arial"/>
          <w:sz w:val="20"/>
          <w:szCs w:val="20"/>
          <w:lang w:val="en-US"/>
        </w:rPr>
      </w:pPr>
    </w:p>
    <w:p w14:paraId="1A1EE54A" w14:textId="44FF78ED" w:rsidR="005B00C8" w:rsidRPr="00B94B81" w:rsidRDefault="005B00C8"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The interpretation of the correlation between rainfall and flow rates (Table 2) when examining the values ​​of r, p, and covariance is as follows:</w:t>
      </w:r>
    </w:p>
    <w:p w14:paraId="2E4EF7C3" w14:textId="77777777" w:rsidR="00EE13AA" w:rsidRPr="00B94B81" w:rsidRDefault="005B00C8" w:rsidP="00E2385C">
      <w:pPr>
        <w:spacing w:before="120" w:after="0" w:line="360" w:lineRule="auto"/>
        <w:jc w:val="both"/>
        <w:rPr>
          <w:rFonts w:ascii="Arial" w:hAnsi="Arial" w:cs="Arial"/>
          <w:sz w:val="20"/>
          <w:szCs w:val="20"/>
          <w:lang w:val="en-US"/>
        </w:rPr>
      </w:pPr>
      <w:r w:rsidRPr="00B94B81">
        <w:rPr>
          <w:rFonts w:ascii="Arial" w:hAnsi="Arial" w:cs="Arial"/>
          <w:b/>
          <w:sz w:val="20"/>
          <w:szCs w:val="20"/>
          <w:lang w:val="en-US"/>
        </w:rPr>
        <w:t>At the N’Zérékoré station</w:t>
      </w:r>
      <w:r w:rsidRPr="00B94B81">
        <w:rPr>
          <w:rFonts w:ascii="Arial" w:hAnsi="Arial" w:cs="Arial"/>
          <w:sz w:val="20"/>
          <w:szCs w:val="20"/>
          <w:lang w:val="en-US"/>
        </w:rPr>
        <w:t>:</w:t>
      </w:r>
    </w:p>
    <w:p w14:paraId="2683D04E" w14:textId="558D6143" w:rsidR="005B00C8" w:rsidRPr="00B94B81" w:rsidRDefault="005B00C8" w:rsidP="00623DEA">
      <w:pPr>
        <w:spacing w:before="120" w:after="0" w:line="240" w:lineRule="auto"/>
        <w:jc w:val="both"/>
        <w:rPr>
          <w:rFonts w:ascii="Arial" w:hAnsi="Arial" w:cs="Arial"/>
          <w:b/>
          <w:i/>
          <w:sz w:val="20"/>
          <w:szCs w:val="20"/>
          <w:lang w:val="en-US"/>
        </w:rPr>
      </w:pPr>
      <w:r w:rsidRPr="00B94B81">
        <w:rPr>
          <w:rFonts w:ascii="Arial" w:hAnsi="Arial" w:cs="Arial"/>
          <w:b/>
          <w:i/>
          <w:sz w:val="20"/>
          <w:szCs w:val="20"/>
          <w:lang w:val="en-US"/>
        </w:rPr>
        <w:lastRenderedPageBreak/>
        <w:t>r value = -0.041</w:t>
      </w:r>
    </w:p>
    <w:p w14:paraId="29DAF95C" w14:textId="77777777" w:rsidR="005B00C8" w:rsidRPr="00B94B81" w:rsidRDefault="005B00C8"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This indicates a very weak negative correlation between the two variables (rainfall and flow rate). In other words, there is almost no linear relationship between the amount of rainfall at the N’Zérékoré station and the observed flow rate in the watershed.</w:t>
      </w:r>
    </w:p>
    <w:p w14:paraId="509CFAAA" w14:textId="4D602FB7" w:rsidR="005B00C8" w:rsidRPr="00623DEA" w:rsidRDefault="005B00C8" w:rsidP="00623DEA">
      <w:pPr>
        <w:spacing w:before="120" w:after="0" w:line="240" w:lineRule="auto"/>
        <w:jc w:val="both"/>
        <w:rPr>
          <w:rFonts w:ascii="Arial" w:hAnsi="Arial" w:cs="Arial"/>
          <w:b/>
          <w:i/>
          <w:sz w:val="20"/>
          <w:szCs w:val="20"/>
          <w:lang w:val="en-US"/>
        </w:rPr>
      </w:pPr>
      <w:r w:rsidRPr="00B94B81">
        <w:rPr>
          <w:rFonts w:ascii="Arial" w:hAnsi="Arial" w:cs="Arial"/>
          <w:b/>
          <w:i/>
          <w:sz w:val="20"/>
          <w:szCs w:val="20"/>
          <w:lang w:val="en-US"/>
        </w:rPr>
        <w:t>p value = 0.830</w:t>
      </w:r>
    </w:p>
    <w:p w14:paraId="31492719" w14:textId="77777777" w:rsidR="005B00C8" w:rsidRPr="00B94B81" w:rsidRDefault="005B00C8"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This value is well above the usual threshold of 0.05. This means that there is insufficient evidence to reject the null hypothesis, which states that there is no correlation between the two variables. In other words, the observed relationship (or lack thereof) could be due to chance, and there is no statistically significant link between rainfall and flow rate.</w:t>
      </w:r>
    </w:p>
    <w:p w14:paraId="5E6DADAA" w14:textId="483C661D" w:rsidR="005B00C8" w:rsidRPr="00623DEA" w:rsidRDefault="005B00C8" w:rsidP="00623DEA">
      <w:pPr>
        <w:spacing w:before="120" w:after="0" w:line="240" w:lineRule="auto"/>
        <w:jc w:val="both"/>
        <w:rPr>
          <w:rFonts w:ascii="Arial" w:hAnsi="Arial" w:cs="Arial"/>
          <w:b/>
          <w:i/>
          <w:sz w:val="20"/>
          <w:szCs w:val="20"/>
          <w:lang w:val="en-US"/>
        </w:rPr>
      </w:pPr>
      <w:r w:rsidRPr="00B94B81">
        <w:rPr>
          <w:rFonts w:ascii="Arial" w:hAnsi="Arial" w:cs="Arial"/>
          <w:b/>
          <w:i/>
          <w:sz w:val="20"/>
          <w:szCs w:val="20"/>
          <w:lang w:val="en-US"/>
        </w:rPr>
        <w:t>Covariance = -51.650</w:t>
      </w:r>
    </w:p>
    <w:p w14:paraId="30AC4CD1" w14:textId="77777777" w:rsidR="005B00C8" w:rsidRPr="00B94B81" w:rsidRDefault="005B00C8"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A negative covariance indicates a tendency for one variable to decrease when it increases. However, the covariance value alone cannot be interpreted in isolation. It must be interpreted in conjunction with the correlation coefficient and the p-value.</w:t>
      </w:r>
    </w:p>
    <w:p w14:paraId="5D0BC3A4" w14:textId="77777777" w:rsidR="005B00C8" w:rsidRPr="00B94B81" w:rsidRDefault="005B00C8" w:rsidP="00623DEA">
      <w:pPr>
        <w:spacing w:before="120" w:after="120" w:line="240" w:lineRule="auto"/>
        <w:jc w:val="both"/>
        <w:rPr>
          <w:rFonts w:ascii="Arial" w:hAnsi="Arial" w:cs="Arial"/>
          <w:b/>
          <w:sz w:val="20"/>
          <w:szCs w:val="20"/>
          <w:lang w:val="en-US"/>
        </w:rPr>
      </w:pPr>
      <w:r w:rsidRPr="00B94B81">
        <w:rPr>
          <w:rFonts w:ascii="Arial" w:hAnsi="Arial" w:cs="Arial"/>
          <w:b/>
          <w:sz w:val="20"/>
          <w:szCs w:val="20"/>
          <w:lang w:val="en-US"/>
        </w:rPr>
        <w:t>At the Macenta station</w:t>
      </w:r>
    </w:p>
    <w:p w14:paraId="275D62FD" w14:textId="629637FE" w:rsidR="005B00C8" w:rsidRPr="00623DEA" w:rsidRDefault="005B00C8" w:rsidP="00623DEA">
      <w:pPr>
        <w:spacing w:before="120" w:after="0" w:line="240" w:lineRule="auto"/>
        <w:jc w:val="both"/>
        <w:rPr>
          <w:rFonts w:ascii="Arial" w:hAnsi="Arial" w:cs="Arial"/>
          <w:b/>
          <w:i/>
          <w:sz w:val="20"/>
          <w:szCs w:val="20"/>
          <w:lang w:val="en-US"/>
        </w:rPr>
      </w:pPr>
      <w:r w:rsidRPr="00B94B81">
        <w:rPr>
          <w:rFonts w:ascii="Arial" w:hAnsi="Arial" w:cs="Arial"/>
          <w:b/>
          <w:i/>
          <w:sz w:val="20"/>
          <w:szCs w:val="20"/>
          <w:lang w:val="en-US"/>
        </w:rPr>
        <w:t>r value = 0.013</w:t>
      </w:r>
    </w:p>
    <w:p w14:paraId="44AB59C7" w14:textId="77777777" w:rsidR="005B00C8" w:rsidRPr="00B94B81" w:rsidRDefault="005B00C8"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This value indicates a very weak positive correlation between the two variables (rainfall and flow rate). In other words, there is almost no linear relationship between the amount of rainfall at Macenta and the observed flow rate. A value close to 0 suggests that there is no clear trend in the data.</w:t>
      </w:r>
    </w:p>
    <w:p w14:paraId="7CA00746" w14:textId="77777777" w:rsidR="005B00C8" w:rsidRPr="00B94B81" w:rsidRDefault="005B00C8" w:rsidP="00623DEA">
      <w:pPr>
        <w:spacing w:after="0" w:line="240" w:lineRule="auto"/>
        <w:jc w:val="both"/>
        <w:rPr>
          <w:rFonts w:ascii="Arial" w:hAnsi="Arial" w:cs="Arial"/>
          <w:sz w:val="20"/>
          <w:szCs w:val="20"/>
          <w:lang w:val="en-US"/>
        </w:rPr>
      </w:pPr>
    </w:p>
    <w:p w14:paraId="2243FC6C" w14:textId="45BF5CD0" w:rsidR="005B00C8" w:rsidRPr="00B94B81" w:rsidRDefault="005B00C8" w:rsidP="00623DEA">
      <w:pPr>
        <w:spacing w:after="0" w:line="240" w:lineRule="auto"/>
        <w:jc w:val="both"/>
        <w:rPr>
          <w:rFonts w:ascii="Arial" w:hAnsi="Arial" w:cs="Arial"/>
          <w:sz w:val="20"/>
          <w:szCs w:val="20"/>
          <w:lang w:val="en-US"/>
        </w:rPr>
      </w:pPr>
      <w:r w:rsidRPr="00B94B81">
        <w:rPr>
          <w:rFonts w:ascii="Arial" w:hAnsi="Arial" w:cs="Arial"/>
          <w:b/>
          <w:i/>
          <w:sz w:val="20"/>
          <w:szCs w:val="20"/>
          <w:lang w:val="en-US"/>
        </w:rPr>
        <w:t>p value = 0.947</w:t>
      </w:r>
    </w:p>
    <w:p w14:paraId="2537759B" w14:textId="77777777" w:rsidR="005B00C8" w:rsidRDefault="005B00C8"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This value is well above the usual threshold of 0.05. This means that there is insufficient evidence to reject the null hypothesis, which states that there is no correlation between the two variables. In other words, the observed relationship (or lack thereof) could be due to chance, and there is no statistically significant link between rainfall at the Macenta station and the catchment flow rate.</w:t>
      </w:r>
    </w:p>
    <w:p w14:paraId="72F782DE" w14:textId="77777777" w:rsidR="00623DEA" w:rsidRPr="00B94B81" w:rsidRDefault="00623DEA" w:rsidP="00623DEA">
      <w:pPr>
        <w:spacing w:after="0" w:line="240" w:lineRule="auto"/>
        <w:jc w:val="both"/>
        <w:rPr>
          <w:rFonts w:ascii="Arial" w:hAnsi="Arial" w:cs="Arial"/>
          <w:sz w:val="20"/>
          <w:szCs w:val="20"/>
          <w:lang w:val="en-US"/>
        </w:rPr>
      </w:pPr>
    </w:p>
    <w:p w14:paraId="5BA781E4" w14:textId="2ECFE770" w:rsidR="00B42877" w:rsidRPr="00B94B81" w:rsidRDefault="00B42877" w:rsidP="00623DEA">
      <w:pPr>
        <w:spacing w:after="0" w:line="240" w:lineRule="auto"/>
        <w:jc w:val="both"/>
        <w:rPr>
          <w:rFonts w:ascii="Arial" w:hAnsi="Arial" w:cs="Arial"/>
          <w:sz w:val="20"/>
          <w:szCs w:val="20"/>
          <w:lang w:val="en-US"/>
        </w:rPr>
      </w:pPr>
      <w:r w:rsidRPr="00B94B81">
        <w:rPr>
          <w:rFonts w:ascii="Arial" w:hAnsi="Arial" w:cs="Arial"/>
          <w:b/>
          <w:i/>
          <w:sz w:val="20"/>
          <w:szCs w:val="20"/>
          <w:lang w:val="en-US"/>
        </w:rPr>
        <w:t>Covariance = 21.253</w:t>
      </w:r>
    </w:p>
    <w:p w14:paraId="442EE5B7" w14:textId="77777777" w:rsidR="00B42877" w:rsidRPr="00B94B81" w:rsidRDefault="00B42877"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Positive covariance indicates a tendency for one variable (e.g., rainfall) to increase, while the other variable (river flow) also tends to increase. However, as with negative covariance, the value itself does not provide a clear interpretation. Positive covariance must be interpreted in conjunction with the correlation coefficient and p-value. Indeed, the results show no significant relationship between rainfall (N’Zérékoré, Macenta) and river flow in the Diani River basin.</w:t>
      </w:r>
    </w:p>
    <w:p w14:paraId="562F67CF" w14:textId="77777777" w:rsidR="00B42877" w:rsidRPr="00623DEA" w:rsidRDefault="00B42877" w:rsidP="00623DEA">
      <w:pPr>
        <w:spacing w:before="120" w:after="120" w:line="240" w:lineRule="auto"/>
        <w:jc w:val="both"/>
        <w:rPr>
          <w:rFonts w:ascii="Arial" w:hAnsi="Arial" w:cs="Arial"/>
          <w:b/>
          <w:lang w:val="en-US"/>
        </w:rPr>
      </w:pPr>
      <w:r w:rsidRPr="00623DEA">
        <w:rPr>
          <w:rFonts w:ascii="Arial" w:hAnsi="Arial" w:cs="Arial"/>
          <w:b/>
          <w:lang w:val="en-US"/>
        </w:rPr>
        <w:t>4. Conclusion</w:t>
      </w:r>
    </w:p>
    <w:p w14:paraId="73AE513B" w14:textId="77777777" w:rsidR="00B42877" w:rsidRDefault="00B42877"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The analysis of the results</w:t>
      </w:r>
      <w:r w:rsidR="00E2385C" w:rsidRPr="00B94B81">
        <w:rPr>
          <w:rFonts w:ascii="Arial" w:hAnsi="Arial" w:cs="Arial"/>
          <w:sz w:val="20"/>
          <w:szCs w:val="20"/>
          <w:lang w:val="en-US"/>
        </w:rPr>
        <w:t xml:space="preserve"> obtained from applying Gumbel</w:t>
      </w:r>
      <w:r w:rsidRPr="00B94B81">
        <w:rPr>
          <w:rFonts w:ascii="Arial" w:hAnsi="Arial" w:cs="Arial"/>
          <w:sz w:val="20"/>
          <w:szCs w:val="20"/>
          <w:lang w:val="en-US"/>
        </w:rPr>
        <w:t xml:space="preserve"> law to hydroclimatic data led to several conclusions regarding flood flows and extreme rainfall in the Diani River watershed. The results highlight several categories of extreme events based on return periods:</w:t>
      </w:r>
    </w:p>
    <w:p w14:paraId="51BCE140" w14:textId="77777777" w:rsidR="00623DEA" w:rsidRDefault="00623DEA" w:rsidP="00623DEA">
      <w:pPr>
        <w:spacing w:after="0" w:line="240" w:lineRule="auto"/>
        <w:jc w:val="both"/>
        <w:rPr>
          <w:rFonts w:ascii="Arial" w:hAnsi="Arial" w:cs="Arial"/>
          <w:sz w:val="20"/>
          <w:szCs w:val="20"/>
          <w:lang w:val="en-US"/>
        </w:rPr>
      </w:pPr>
    </w:p>
    <w:p w14:paraId="016F26E5" w14:textId="714A7D7C" w:rsidR="00B42877" w:rsidRPr="00623DEA" w:rsidRDefault="00B42877" w:rsidP="00623DEA">
      <w:pPr>
        <w:pStyle w:val="ListParagraph"/>
        <w:numPr>
          <w:ilvl w:val="0"/>
          <w:numId w:val="4"/>
        </w:numPr>
        <w:spacing w:after="0" w:line="240" w:lineRule="auto"/>
        <w:ind w:left="426" w:hanging="284"/>
        <w:jc w:val="both"/>
        <w:rPr>
          <w:rFonts w:ascii="Arial" w:hAnsi="Arial" w:cs="Arial"/>
          <w:sz w:val="20"/>
          <w:szCs w:val="20"/>
          <w:lang w:val="en-US"/>
        </w:rPr>
      </w:pPr>
      <w:r w:rsidRPr="00623DEA">
        <w:rPr>
          <w:rFonts w:ascii="Arial" w:hAnsi="Arial" w:cs="Arial"/>
          <w:sz w:val="20"/>
          <w:szCs w:val="20"/>
          <w:lang w:val="en-US"/>
        </w:rPr>
        <w:t>The 2008 flood flow (347.1 m³/s) and the extreme rainfall of 2022 and 2023 (100.6 mm for N’Zérékoré and 113.9 mm for Macenta, respectively) are significant, indicating events of notable rarity.</w:t>
      </w:r>
    </w:p>
    <w:p w14:paraId="3CBD60B9" w14:textId="77777777" w:rsidR="00623DEA" w:rsidRDefault="00623DEA" w:rsidP="00623DEA">
      <w:pPr>
        <w:spacing w:after="0" w:line="240" w:lineRule="auto"/>
        <w:ind w:left="426" w:hanging="284"/>
        <w:jc w:val="both"/>
        <w:rPr>
          <w:rFonts w:ascii="Arial" w:hAnsi="Arial" w:cs="Arial"/>
          <w:sz w:val="20"/>
          <w:szCs w:val="20"/>
          <w:lang w:val="en-US"/>
        </w:rPr>
      </w:pPr>
    </w:p>
    <w:p w14:paraId="2033C662" w14:textId="70F33176" w:rsidR="00B42877" w:rsidRPr="00623DEA" w:rsidRDefault="00B42877" w:rsidP="00623DEA">
      <w:pPr>
        <w:pStyle w:val="ListParagraph"/>
        <w:numPr>
          <w:ilvl w:val="0"/>
          <w:numId w:val="4"/>
        </w:numPr>
        <w:spacing w:after="0" w:line="240" w:lineRule="auto"/>
        <w:ind w:left="426" w:hanging="284"/>
        <w:jc w:val="both"/>
        <w:rPr>
          <w:rFonts w:ascii="Arial" w:hAnsi="Arial" w:cs="Arial"/>
          <w:sz w:val="20"/>
          <w:szCs w:val="20"/>
          <w:lang w:val="en-US"/>
        </w:rPr>
      </w:pPr>
      <w:r w:rsidRPr="00623DEA">
        <w:rPr>
          <w:rFonts w:ascii="Arial" w:hAnsi="Arial" w:cs="Arial"/>
          <w:sz w:val="20"/>
          <w:szCs w:val="20"/>
          <w:lang w:val="en-US"/>
        </w:rPr>
        <w:t>The flood flows of 2007 (206.0 m³/s) and 2009 (275.3 m³/s), as well as the rainfall of 1998 (95.4 mm in N’Zérékoré and 113.3 mm in Macenta), fall into this category. Furthermore, the rainfall of 2018 (93.6 mm) and 2021 (110.3 mm) also show 12-year return periods.</w:t>
      </w:r>
    </w:p>
    <w:p w14:paraId="1C4306A9" w14:textId="77777777" w:rsidR="00623DEA" w:rsidRPr="00B94B81" w:rsidRDefault="00623DEA" w:rsidP="00623DEA">
      <w:pPr>
        <w:spacing w:after="0" w:line="240" w:lineRule="auto"/>
        <w:ind w:left="426" w:hanging="284"/>
        <w:jc w:val="both"/>
        <w:rPr>
          <w:rFonts w:ascii="Arial" w:hAnsi="Arial" w:cs="Arial"/>
          <w:sz w:val="20"/>
          <w:szCs w:val="20"/>
          <w:lang w:val="en-US"/>
        </w:rPr>
      </w:pPr>
    </w:p>
    <w:p w14:paraId="7D4E5100" w14:textId="77777777" w:rsidR="00B42877" w:rsidRPr="00623DEA" w:rsidRDefault="00B42877" w:rsidP="00623DEA">
      <w:pPr>
        <w:pStyle w:val="ListParagraph"/>
        <w:numPr>
          <w:ilvl w:val="0"/>
          <w:numId w:val="4"/>
        </w:numPr>
        <w:spacing w:after="0" w:line="240" w:lineRule="auto"/>
        <w:ind w:left="426" w:hanging="284"/>
        <w:jc w:val="both"/>
        <w:rPr>
          <w:rFonts w:ascii="Arial" w:hAnsi="Arial" w:cs="Arial"/>
          <w:sz w:val="20"/>
          <w:szCs w:val="20"/>
          <w:lang w:val="en-US"/>
        </w:rPr>
      </w:pPr>
      <w:r w:rsidRPr="00623DEA">
        <w:rPr>
          <w:rFonts w:ascii="Arial" w:hAnsi="Arial" w:cs="Arial"/>
          <w:sz w:val="20"/>
          <w:szCs w:val="20"/>
          <w:lang w:val="en-US"/>
        </w:rPr>
        <w:t>The other years, with the exception of 1996 and 2008, show relatively short return periods, indicating a higher frequency of these events.</w:t>
      </w:r>
    </w:p>
    <w:p w14:paraId="4277661E" w14:textId="77777777" w:rsidR="00623DEA" w:rsidRPr="00B94B81" w:rsidRDefault="00623DEA" w:rsidP="00623DEA">
      <w:pPr>
        <w:spacing w:after="0" w:line="240" w:lineRule="auto"/>
        <w:jc w:val="both"/>
        <w:rPr>
          <w:rFonts w:ascii="Arial" w:hAnsi="Arial" w:cs="Arial"/>
          <w:sz w:val="20"/>
          <w:szCs w:val="20"/>
          <w:lang w:val="en-US"/>
        </w:rPr>
      </w:pPr>
    </w:p>
    <w:p w14:paraId="40866992" w14:textId="77777777" w:rsidR="00B42877" w:rsidRDefault="00B42877"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Fittings using the Gumbel distribution demonstrate that the extreme values ​​of annual rainfall and stream flow are well modeled by this distribution. The equations on the right, with well-defined coefficients, indicate a good fit between empirical and theoretical data, reinforcing the validity of the method of moments used. The return periods for the rainfall and stream flow quantiles show trends similar to the previous results, with significant quantiles for abnormal (6-year) and highly abnormal (12- and 20-year) rainfall events. This underscores the importance of these events in water resource management and flood prevention.</w:t>
      </w:r>
    </w:p>
    <w:p w14:paraId="70B35370" w14:textId="77777777" w:rsidR="00623DEA" w:rsidRPr="00B94B81" w:rsidRDefault="00623DEA" w:rsidP="00623DEA">
      <w:pPr>
        <w:spacing w:after="0" w:line="240" w:lineRule="auto"/>
        <w:jc w:val="both"/>
        <w:rPr>
          <w:rFonts w:ascii="Arial" w:hAnsi="Arial" w:cs="Arial"/>
          <w:sz w:val="20"/>
          <w:szCs w:val="20"/>
          <w:lang w:val="en-US"/>
        </w:rPr>
      </w:pPr>
    </w:p>
    <w:p w14:paraId="7F8CCBF2" w14:textId="50E1A305" w:rsidR="00D6670C" w:rsidRDefault="00D6670C"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 xml:space="preserve">Correlation tests indicate a very weak relationship between rainfall and river flow, both in N’Zérékoré and Macenta. Correlation coefficients and p-values ​​show that there is no statistically significant link </w:t>
      </w:r>
      <w:r w:rsidRPr="00B94B81">
        <w:rPr>
          <w:rFonts w:ascii="Arial" w:hAnsi="Arial" w:cs="Arial"/>
          <w:sz w:val="20"/>
          <w:szCs w:val="20"/>
          <w:lang w:val="en-US"/>
        </w:rPr>
        <w:lastRenderedPageBreak/>
        <w:t>between these variables, suggesting that other factors may influence river flow in the watershed. These results can serve as a basis for future actions aimed at better understanding and managing the risks associated with flooding and climate variability.</w:t>
      </w:r>
    </w:p>
    <w:p w14:paraId="29D91159" w14:textId="77777777" w:rsidR="00472473" w:rsidRDefault="00472473" w:rsidP="00623DEA">
      <w:pPr>
        <w:spacing w:after="0" w:line="240" w:lineRule="auto"/>
        <w:jc w:val="both"/>
        <w:rPr>
          <w:rFonts w:ascii="Arial" w:hAnsi="Arial" w:cs="Arial"/>
          <w:sz w:val="20"/>
          <w:szCs w:val="20"/>
          <w:lang w:val="en-US"/>
        </w:rPr>
      </w:pPr>
    </w:p>
    <w:p w14:paraId="3D6C75E4" w14:textId="77777777" w:rsidR="00472473" w:rsidRPr="00472473" w:rsidRDefault="00472473" w:rsidP="00472473">
      <w:pPr>
        <w:spacing w:before="120" w:after="120" w:line="240" w:lineRule="auto"/>
        <w:jc w:val="both"/>
        <w:rPr>
          <w:rFonts w:ascii="Arial" w:hAnsi="Arial" w:cs="Arial"/>
          <w:sz w:val="20"/>
          <w:szCs w:val="20"/>
        </w:rPr>
      </w:pPr>
      <w:r w:rsidRPr="00472473">
        <w:rPr>
          <w:rFonts w:ascii="Arial" w:hAnsi="Arial" w:cs="Arial"/>
          <w:b/>
          <w:bCs/>
          <w:sz w:val="20"/>
          <w:szCs w:val="20"/>
        </w:rPr>
        <w:t>Disclaimer (Artificial Intelligence)</w:t>
      </w:r>
    </w:p>
    <w:p w14:paraId="04F37496" w14:textId="77777777" w:rsidR="00472473" w:rsidRDefault="00472473" w:rsidP="00472473">
      <w:pPr>
        <w:spacing w:after="0" w:line="240" w:lineRule="auto"/>
        <w:jc w:val="both"/>
        <w:rPr>
          <w:rFonts w:ascii="Arial" w:hAnsi="Arial" w:cs="Arial"/>
          <w:sz w:val="20"/>
          <w:szCs w:val="20"/>
        </w:rPr>
      </w:pPr>
      <w:r w:rsidRPr="00472473">
        <w:rPr>
          <w:rFonts w:ascii="Arial" w:hAnsi="Arial" w:cs="Arial"/>
          <w:sz w:val="20"/>
          <w:szCs w:val="20"/>
        </w:rPr>
        <w:t xml:space="preserve">Author(s) hereby declares that NO generative AI technologies such as Large Language Models (ChatGPT, COPILOT, etc) and text-to-image generators have been used during writing or editing of this manuscript. </w:t>
      </w:r>
    </w:p>
    <w:p w14:paraId="3D4F0645" w14:textId="77777777" w:rsidR="00472473" w:rsidRPr="00472473" w:rsidRDefault="00472473" w:rsidP="00472473">
      <w:pPr>
        <w:spacing w:after="0" w:line="240" w:lineRule="auto"/>
        <w:jc w:val="both"/>
        <w:rPr>
          <w:rFonts w:ascii="Arial" w:hAnsi="Arial" w:cs="Arial"/>
          <w:sz w:val="20"/>
          <w:szCs w:val="20"/>
        </w:rPr>
      </w:pPr>
    </w:p>
    <w:p w14:paraId="3446FAC1" w14:textId="77777777" w:rsidR="00472473" w:rsidRPr="00B94B81" w:rsidRDefault="00472473" w:rsidP="00472473">
      <w:pPr>
        <w:spacing w:after="0" w:line="240" w:lineRule="auto"/>
        <w:jc w:val="both"/>
        <w:rPr>
          <w:rFonts w:ascii="Arial" w:hAnsi="Arial" w:cs="Arial"/>
          <w:sz w:val="20"/>
          <w:szCs w:val="20"/>
          <w:lang w:val="en-US"/>
        </w:rPr>
      </w:pPr>
    </w:p>
    <w:p w14:paraId="5778EECF" w14:textId="7DBEB8FB" w:rsidR="003258AA" w:rsidRPr="00B94B81" w:rsidRDefault="003258AA" w:rsidP="003258AA">
      <w:pPr>
        <w:autoSpaceDE w:val="0"/>
        <w:autoSpaceDN w:val="0"/>
        <w:adjustRightInd w:val="0"/>
        <w:spacing w:before="120" w:after="0" w:line="360" w:lineRule="auto"/>
        <w:jc w:val="both"/>
        <w:rPr>
          <w:rFonts w:ascii="Arial" w:hAnsi="Arial" w:cs="Arial"/>
          <w:b/>
          <w:color w:val="000000" w:themeColor="text1"/>
          <w:sz w:val="20"/>
          <w:szCs w:val="20"/>
          <w:lang w:val="en-US"/>
        </w:rPr>
      </w:pPr>
      <w:r w:rsidRPr="00B94B81">
        <w:rPr>
          <w:rFonts w:ascii="Arial" w:hAnsi="Arial" w:cs="Arial"/>
          <w:b/>
          <w:sz w:val="20"/>
          <w:szCs w:val="20"/>
          <w:lang w:val="en-US"/>
        </w:rPr>
        <w:t xml:space="preserve">References </w:t>
      </w:r>
    </w:p>
    <w:p w14:paraId="5791AA17" w14:textId="77777777" w:rsidR="008B3D7E" w:rsidRPr="00743A9C" w:rsidRDefault="008B3D7E" w:rsidP="00743A9C">
      <w:pPr>
        <w:pStyle w:val="ListParagraph"/>
        <w:numPr>
          <w:ilvl w:val="0"/>
          <w:numId w:val="6"/>
        </w:numPr>
        <w:spacing w:after="0" w:line="240" w:lineRule="auto"/>
        <w:jc w:val="both"/>
        <w:rPr>
          <w:rFonts w:ascii="Arial" w:hAnsi="Arial" w:cs="Arial"/>
          <w:sz w:val="20"/>
          <w:szCs w:val="20"/>
          <w:lang w:val="en-US"/>
        </w:rPr>
      </w:pPr>
      <w:r w:rsidRPr="00743A9C">
        <w:rPr>
          <w:rFonts w:ascii="Arial" w:hAnsi="Arial" w:cs="Arial"/>
          <w:sz w:val="20"/>
          <w:szCs w:val="20"/>
        </w:rPr>
        <w:t xml:space="preserve">A.-L. Fougeres et P. Soulier (2010). </w:t>
      </w:r>
      <w:r w:rsidRPr="00743A9C">
        <w:rPr>
          <w:rFonts w:ascii="Arial" w:hAnsi="Arial" w:cs="Arial"/>
          <w:sz w:val="20"/>
          <w:szCs w:val="20"/>
          <w:lang w:val="en-US"/>
        </w:rPr>
        <w:t xml:space="preserve">Limit conditional distributions for bivariate vectors with polar representation”. </w:t>
      </w:r>
      <w:hyperlink r:id="rId16" w:history="1">
        <w:r w:rsidRPr="00743A9C">
          <w:rPr>
            <w:rStyle w:val="Hyperlink"/>
            <w:rFonts w:ascii="Arial" w:hAnsi="Arial" w:cs="Arial"/>
            <w:sz w:val="20"/>
            <w:szCs w:val="20"/>
            <w:lang w:val="en-US"/>
          </w:rPr>
          <w:t>https://hal.science/hal-00373049/document</w:t>
        </w:r>
      </w:hyperlink>
    </w:p>
    <w:p w14:paraId="0A370B0D" w14:textId="77777777" w:rsidR="008B3D7E" w:rsidRPr="00743A9C" w:rsidRDefault="00B35C0F" w:rsidP="00743A9C">
      <w:pPr>
        <w:pStyle w:val="ListParagraph"/>
        <w:numPr>
          <w:ilvl w:val="0"/>
          <w:numId w:val="6"/>
        </w:numPr>
        <w:spacing w:after="0" w:line="240" w:lineRule="auto"/>
        <w:jc w:val="both"/>
        <w:rPr>
          <w:rFonts w:ascii="Arial" w:hAnsi="Arial" w:cs="Arial"/>
          <w:sz w:val="20"/>
          <w:szCs w:val="20"/>
          <w:lang w:val="en-US"/>
        </w:rPr>
      </w:pPr>
      <w:hyperlink r:id="rId17" w:tgtFrame="_blank" w:history="1">
        <w:r w:rsidR="008B3D7E" w:rsidRPr="00743A9C">
          <w:rPr>
            <w:rStyle w:val="Hyperlink"/>
            <w:rFonts w:ascii="Arial" w:hAnsi="Arial" w:cs="Arial"/>
            <w:color w:val="000000" w:themeColor="text1"/>
            <w:sz w:val="20"/>
            <w:szCs w:val="20"/>
            <w:u w:val="none"/>
            <w:lang w:val="en-US"/>
          </w:rPr>
          <w:t>Aghakouchak, A., Chiang, F., Huning, L. S., Love, C. A., Mallakpour, I., Mazdiyasni, O., Moftakhari, H., Papalexiou, S. M., Ragno, E., and Sadegh, M</w:t>
        </w:r>
        <w:r w:rsidR="008B3D7E" w:rsidRPr="00743A9C">
          <w:rPr>
            <w:rStyle w:val="Hyperlink"/>
            <w:rFonts w:ascii="Arial" w:hAnsi="Arial" w:cs="Arial"/>
            <w:color w:val="auto"/>
            <w:sz w:val="20"/>
            <w:szCs w:val="20"/>
            <w:lang w:val="en-US"/>
          </w:rPr>
          <w:t>.</w:t>
        </w:r>
      </w:hyperlink>
      <w:r w:rsidR="008B3D7E" w:rsidRPr="00743A9C">
        <w:rPr>
          <w:rFonts w:ascii="Arial" w:hAnsi="Arial" w:cs="Arial"/>
          <w:sz w:val="20"/>
          <w:szCs w:val="20"/>
        </w:rPr>
        <w:t xml:space="preserve"> (</w:t>
      </w:r>
      <w:r w:rsidR="008B3D7E" w:rsidRPr="00743A9C">
        <w:rPr>
          <w:rFonts w:ascii="Arial" w:hAnsi="Arial" w:cs="Arial"/>
          <w:sz w:val="20"/>
          <w:szCs w:val="20"/>
          <w:lang w:val="en-US"/>
        </w:rPr>
        <w:t>2020</w:t>
      </w:r>
      <w:r w:rsidR="008B3D7E" w:rsidRPr="00743A9C">
        <w:rPr>
          <w:rFonts w:ascii="Arial" w:hAnsi="Arial" w:cs="Arial"/>
          <w:sz w:val="20"/>
          <w:szCs w:val="20"/>
        </w:rPr>
        <w:t>)</w:t>
      </w:r>
      <w:r w:rsidR="008B3D7E" w:rsidRPr="00743A9C">
        <w:rPr>
          <w:rFonts w:ascii="Arial" w:hAnsi="Arial" w:cs="Arial"/>
          <w:sz w:val="20"/>
          <w:szCs w:val="20"/>
          <w:lang w:val="en-US"/>
        </w:rPr>
        <w:t xml:space="preserve">: Climate Extremes and Compound Hazards in a Warming World, Annu. Rev. Earth Pl. Sc., 48, 519–548. </w:t>
      </w:r>
      <w:r w:rsidR="008B3D7E" w:rsidRPr="00743A9C">
        <w:rPr>
          <w:rStyle w:val="Hyperlink"/>
          <w:rFonts w:ascii="Arial" w:hAnsi="Arial" w:cs="Arial"/>
          <w:sz w:val="20"/>
          <w:szCs w:val="20"/>
          <w:shd w:val="clear" w:color="auto" w:fill="FFFFFF"/>
          <w:lang w:val="en-US"/>
        </w:rPr>
        <w:t>https://doi.org/10.1146/annurev-earth-071719-055228</w:t>
      </w:r>
      <w:r w:rsidR="008B3D7E" w:rsidRPr="00743A9C">
        <w:rPr>
          <w:rFonts w:ascii="Arial" w:hAnsi="Arial" w:cs="Arial"/>
          <w:sz w:val="20"/>
          <w:szCs w:val="20"/>
          <w:lang w:val="en-US"/>
        </w:rPr>
        <w:t>.</w:t>
      </w:r>
    </w:p>
    <w:p w14:paraId="7CAFAB44" w14:textId="77777777" w:rsidR="008B3D7E" w:rsidRPr="00743A9C" w:rsidRDefault="008B3D7E" w:rsidP="00743A9C">
      <w:pPr>
        <w:pStyle w:val="ListParagraph"/>
        <w:numPr>
          <w:ilvl w:val="0"/>
          <w:numId w:val="6"/>
        </w:numPr>
        <w:spacing w:after="0" w:line="240" w:lineRule="auto"/>
        <w:jc w:val="both"/>
        <w:rPr>
          <w:rFonts w:ascii="Arial" w:eastAsia="Times New Roman" w:hAnsi="Arial" w:cs="Arial"/>
          <w:color w:val="000000"/>
          <w:sz w:val="20"/>
          <w:szCs w:val="20"/>
          <w:lang w:val="en-US" w:eastAsia="fr-FR"/>
        </w:rPr>
      </w:pPr>
      <w:r w:rsidRPr="00743A9C">
        <w:rPr>
          <w:rFonts w:ascii="Arial" w:eastAsia="Times New Roman" w:hAnsi="Arial" w:cs="Arial"/>
          <w:color w:val="000000"/>
          <w:sz w:val="20"/>
          <w:szCs w:val="20"/>
          <w:lang w:val="en-US" w:eastAsia="fr-FR"/>
        </w:rPr>
        <w:t xml:space="preserve">Amani Michel </w:t>
      </w:r>
      <w:proofErr w:type="spellStart"/>
      <w:r w:rsidRPr="00743A9C">
        <w:rPr>
          <w:rFonts w:ascii="Arial" w:eastAsia="Times New Roman" w:hAnsi="Arial" w:cs="Arial"/>
          <w:color w:val="000000"/>
          <w:sz w:val="20"/>
          <w:szCs w:val="20"/>
          <w:lang w:val="en-US" w:eastAsia="fr-FR"/>
        </w:rPr>
        <w:t>Kouassi</w:t>
      </w:r>
      <w:proofErr w:type="spellEnd"/>
      <w:r w:rsidRPr="00743A9C">
        <w:rPr>
          <w:rFonts w:ascii="Arial" w:eastAsia="Times New Roman" w:hAnsi="Arial" w:cs="Arial"/>
          <w:color w:val="000000"/>
          <w:sz w:val="20"/>
          <w:szCs w:val="20"/>
          <w:lang w:val="en-US" w:eastAsia="fr-FR"/>
        </w:rPr>
        <w:t xml:space="preserve">, </w:t>
      </w:r>
      <w:proofErr w:type="spellStart"/>
      <w:r w:rsidRPr="00743A9C">
        <w:rPr>
          <w:rFonts w:ascii="Arial" w:eastAsia="Times New Roman" w:hAnsi="Arial" w:cs="Arial"/>
          <w:color w:val="000000"/>
          <w:sz w:val="20"/>
          <w:szCs w:val="20"/>
          <w:lang w:val="en-US" w:eastAsia="fr-FR"/>
        </w:rPr>
        <w:t>Relwindé</w:t>
      </w:r>
      <w:proofErr w:type="spellEnd"/>
      <w:r w:rsidRPr="00743A9C">
        <w:rPr>
          <w:rFonts w:ascii="Arial" w:eastAsia="Times New Roman" w:hAnsi="Arial" w:cs="Arial"/>
          <w:color w:val="000000"/>
          <w:sz w:val="20"/>
          <w:szCs w:val="20"/>
          <w:lang w:val="en-US" w:eastAsia="fr-FR"/>
        </w:rPr>
        <w:t xml:space="preserve"> </w:t>
      </w:r>
      <w:proofErr w:type="spellStart"/>
      <w:r w:rsidRPr="00743A9C">
        <w:rPr>
          <w:rFonts w:ascii="Arial" w:eastAsia="Times New Roman" w:hAnsi="Arial" w:cs="Arial"/>
          <w:color w:val="000000"/>
          <w:sz w:val="20"/>
          <w:szCs w:val="20"/>
          <w:lang w:val="en-US" w:eastAsia="fr-FR"/>
        </w:rPr>
        <w:t>Abdoul</w:t>
      </w:r>
      <w:proofErr w:type="spellEnd"/>
      <w:r w:rsidRPr="00743A9C">
        <w:rPr>
          <w:rFonts w:ascii="Arial" w:eastAsia="Times New Roman" w:hAnsi="Arial" w:cs="Arial"/>
          <w:color w:val="000000"/>
          <w:sz w:val="20"/>
          <w:szCs w:val="20"/>
          <w:lang w:val="en-US" w:eastAsia="fr-FR"/>
        </w:rPr>
        <w:t xml:space="preserve">-Karim </w:t>
      </w:r>
      <w:proofErr w:type="spellStart"/>
      <w:r w:rsidRPr="00743A9C">
        <w:rPr>
          <w:rFonts w:ascii="Arial" w:eastAsia="Times New Roman" w:hAnsi="Arial" w:cs="Arial"/>
          <w:color w:val="000000"/>
          <w:sz w:val="20"/>
          <w:szCs w:val="20"/>
          <w:lang w:val="en-US" w:eastAsia="fr-FR"/>
        </w:rPr>
        <w:t>Nassa</w:t>
      </w:r>
      <w:proofErr w:type="spellEnd"/>
      <w:r w:rsidRPr="00743A9C">
        <w:rPr>
          <w:rFonts w:ascii="Arial" w:eastAsia="Times New Roman" w:hAnsi="Arial" w:cs="Arial"/>
          <w:color w:val="000000"/>
          <w:sz w:val="20"/>
          <w:szCs w:val="20"/>
          <w:lang w:val="en-US" w:eastAsia="fr-FR"/>
        </w:rPr>
        <w:t xml:space="preserve">, </w:t>
      </w:r>
      <w:proofErr w:type="spellStart"/>
      <w:r w:rsidRPr="00743A9C">
        <w:rPr>
          <w:rFonts w:ascii="Arial" w:eastAsia="Times New Roman" w:hAnsi="Arial" w:cs="Arial"/>
          <w:color w:val="000000"/>
          <w:sz w:val="20"/>
          <w:szCs w:val="20"/>
          <w:lang w:val="en-US" w:eastAsia="fr-FR"/>
        </w:rPr>
        <w:t>Koffi</w:t>
      </w:r>
      <w:proofErr w:type="spellEnd"/>
      <w:r w:rsidRPr="00743A9C">
        <w:rPr>
          <w:rFonts w:ascii="Arial" w:eastAsia="Times New Roman" w:hAnsi="Arial" w:cs="Arial"/>
          <w:color w:val="000000"/>
          <w:sz w:val="20"/>
          <w:szCs w:val="20"/>
          <w:lang w:val="en-US" w:eastAsia="fr-FR"/>
        </w:rPr>
        <w:t xml:space="preserve"> Eugène </w:t>
      </w:r>
      <w:proofErr w:type="spellStart"/>
      <w:r w:rsidRPr="00743A9C">
        <w:rPr>
          <w:rFonts w:ascii="Arial" w:eastAsia="Times New Roman" w:hAnsi="Arial" w:cs="Arial"/>
          <w:color w:val="000000"/>
          <w:sz w:val="20"/>
          <w:szCs w:val="20"/>
          <w:lang w:val="en-US" w:eastAsia="fr-FR"/>
        </w:rPr>
        <w:t>Kouakou</w:t>
      </w:r>
      <w:proofErr w:type="spellEnd"/>
      <w:r w:rsidRPr="00743A9C">
        <w:rPr>
          <w:rFonts w:ascii="Arial" w:eastAsia="Times New Roman" w:hAnsi="Arial" w:cs="Arial"/>
          <w:color w:val="000000"/>
          <w:sz w:val="20"/>
          <w:szCs w:val="20"/>
          <w:lang w:val="en-US" w:eastAsia="fr-FR"/>
        </w:rPr>
        <w:t xml:space="preserve">, </w:t>
      </w:r>
      <w:proofErr w:type="spellStart"/>
      <w:r w:rsidRPr="00743A9C">
        <w:rPr>
          <w:rFonts w:ascii="Arial" w:eastAsia="Times New Roman" w:hAnsi="Arial" w:cs="Arial"/>
          <w:color w:val="000000"/>
          <w:sz w:val="20"/>
          <w:szCs w:val="20"/>
          <w:lang w:val="en-US" w:eastAsia="fr-FR"/>
        </w:rPr>
        <w:t>Koffi</w:t>
      </w:r>
      <w:proofErr w:type="spellEnd"/>
      <w:r w:rsidRPr="00743A9C">
        <w:rPr>
          <w:rFonts w:ascii="Arial" w:eastAsia="Times New Roman" w:hAnsi="Arial" w:cs="Arial"/>
          <w:color w:val="000000"/>
          <w:sz w:val="20"/>
          <w:szCs w:val="20"/>
          <w:lang w:val="en-US" w:eastAsia="fr-FR"/>
        </w:rPr>
        <w:t xml:space="preserve"> Fernand Kouame and Jean Biemi. Statistical modeling of maximum annual rainfall in the Abidjan district (southern Côte d'Ivoire). </w:t>
      </w:r>
      <w:hyperlink r:id="rId18" w:history="1">
        <w:r w:rsidRPr="00743A9C">
          <w:rPr>
            <w:rStyle w:val="Hyperlink"/>
            <w:rFonts w:ascii="Arial" w:eastAsia="Times New Roman" w:hAnsi="Arial" w:cs="Arial"/>
            <w:sz w:val="20"/>
            <w:szCs w:val="20"/>
            <w:lang w:val="en-US" w:eastAsia="fr-FR"/>
          </w:rPr>
          <w:t>https://doi.org/10.7202/1051697ar</w:t>
        </w:r>
      </w:hyperlink>
    </w:p>
    <w:p w14:paraId="7A4A3CB8" w14:textId="77777777" w:rsidR="008B3D7E" w:rsidRPr="00743A9C" w:rsidRDefault="00B35C0F" w:rsidP="00743A9C">
      <w:pPr>
        <w:pStyle w:val="ListParagraph"/>
        <w:numPr>
          <w:ilvl w:val="0"/>
          <w:numId w:val="6"/>
        </w:numPr>
        <w:spacing w:after="0" w:line="240" w:lineRule="auto"/>
        <w:jc w:val="both"/>
        <w:rPr>
          <w:rFonts w:ascii="Arial" w:hAnsi="Arial" w:cs="Arial"/>
          <w:sz w:val="20"/>
          <w:szCs w:val="20"/>
          <w:lang w:val="en-US"/>
        </w:rPr>
      </w:pPr>
      <w:hyperlink r:id="rId19" w:tgtFrame="_blank" w:history="1">
        <w:r w:rsidR="008B3D7E" w:rsidRPr="00743A9C">
          <w:rPr>
            <w:rStyle w:val="Hyperlink"/>
            <w:rFonts w:ascii="Arial" w:hAnsi="Arial" w:cs="Arial"/>
            <w:color w:val="000000" w:themeColor="text1"/>
            <w:sz w:val="20"/>
            <w:szCs w:val="20"/>
            <w:u w:val="none"/>
            <w:lang w:val="en-US"/>
          </w:rPr>
          <w:t>Bai, X., Jiang, H., Li, C., and Huang, L</w:t>
        </w:r>
        <w:r w:rsidR="008B3D7E" w:rsidRPr="00743A9C">
          <w:rPr>
            <w:rStyle w:val="Hyperlink"/>
            <w:rFonts w:ascii="Arial" w:hAnsi="Arial" w:cs="Arial"/>
            <w:color w:val="auto"/>
            <w:sz w:val="20"/>
            <w:szCs w:val="20"/>
            <w:lang w:val="en-US"/>
          </w:rPr>
          <w:t>.</w:t>
        </w:r>
      </w:hyperlink>
      <w:r w:rsidR="008B3D7E" w:rsidRPr="00743A9C">
        <w:rPr>
          <w:rFonts w:ascii="Arial" w:hAnsi="Arial" w:cs="Arial"/>
          <w:sz w:val="20"/>
          <w:szCs w:val="20"/>
        </w:rPr>
        <w:t xml:space="preserve"> (</w:t>
      </w:r>
      <w:r w:rsidR="008B3D7E" w:rsidRPr="00743A9C">
        <w:rPr>
          <w:rFonts w:ascii="Arial" w:hAnsi="Arial" w:cs="Arial"/>
          <w:sz w:val="20"/>
          <w:szCs w:val="20"/>
          <w:lang w:val="en-US"/>
        </w:rPr>
        <w:t xml:space="preserve">2020). Joint probability distribution of coastal winds and waves using a log-transformed kernel density estimation and mixed copula approach, Ocean Eng., 216, 107937. </w:t>
      </w:r>
      <w:r w:rsidR="008B3D7E" w:rsidRPr="00743A9C">
        <w:rPr>
          <w:rStyle w:val="Hyperlink"/>
          <w:rFonts w:ascii="Arial" w:hAnsi="Arial" w:cs="Arial"/>
          <w:sz w:val="20"/>
          <w:szCs w:val="20"/>
          <w:shd w:val="clear" w:color="auto" w:fill="FFFFFF"/>
          <w:lang w:val="en-US"/>
        </w:rPr>
        <w:t>https://doi.org/10.1016/j.oceaneng.2020.107937</w:t>
      </w:r>
      <w:r w:rsidR="008B3D7E" w:rsidRPr="00743A9C">
        <w:rPr>
          <w:rFonts w:ascii="Arial" w:hAnsi="Arial" w:cs="Arial"/>
          <w:sz w:val="20"/>
          <w:szCs w:val="20"/>
          <w:lang w:val="en-US"/>
        </w:rPr>
        <w:t>.</w:t>
      </w:r>
      <w:r w:rsidR="008B3D7E" w:rsidRPr="00472473">
        <w:t> </w:t>
      </w:r>
    </w:p>
    <w:p w14:paraId="0D086A24" w14:textId="77777777" w:rsidR="008B3D7E" w:rsidRPr="00743A9C" w:rsidRDefault="008B3D7E" w:rsidP="00743A9C">
      <w:pPr>
        <w:pStyle w:val="ListParagraph"/>
        <w:numPr>
          <w:ilvl w:val="0"/>
          <w:numId w:val="6"/>
        </w:numPr>
        <w:spacing w:after="0" w:line="240" w:lineRule="auto"/>
        <w:jc w:val="both"/>
        <w:rPr>
          <w:rFonts w:ascii="Arial" w:hAnsi="Arial" w:cs="Arial"/>
          <w:sz w:val="20"/>
          <w:szCs w:val="20"/>
          <w:lang w:val="en-US"/>
        </w:rPr>
      </w:pPr>
      <w:r w:rsidRPr="00743A9C">
        <w:rPr>
          <w:rStyle w:val="linkbluetoblue"/>
          <w:rFonts w:ascii="Arial" w:hAnsi="Arial" w:cs="Arial"/>
          <w:color w:val="000000" w:themeColor="text1"/>
          <w:sz w:val="20"/>
          <w:szCs w:val="20"/>
          <w:shd w:val="clear" w:color="auto" w:fill="FFFFFF"/>
        </w:rPr>
        <w:t>Belkacem Abdous.</w:t>
      </w:r>
      <w:r w:rsidRPr="00743A9C">
        <w:rPr>
          <w:rFonts w:ascii="Arial" w:hAnsi="Arial" w:cs="Arial"/>
          <w:color w:val="000000" w:themeColor="text1"/>
          <w:sz w:val="20"/>
          <w:szCs w:val="20"/>
          <w:shd w:val="clear" w:color="auto" w:fill="FFFFFF"/>
        </w:rPr>
        <w:t> </w:t>
      </w:r>
      <w:r w:rsidRPr="00743A9C">
        <w:rPr>
          <w:rStyle w:val="linkbluetoblue"/>
          <w:rFonts w:ascii="Arial" w:hAnsi="Arial" w:cs="Arial"/>
          <w:color w:val="000000" w:themeColor="text1"/>
          <w:sz w:val="20"/>
          <w:szCs w:val="20"/>
          <w:shd w:val="clear" w:color="auto" w:fill="FFFFFF"/>
        </w:rPr>
        <w:t>Anne-Laure Fougères.</w:t>
      </w:r>
      <w:r w:rsidRPr="00743A9C">
        <w:rPr>
          <w:rFonts w:ascii="Arial" w:hAnsi="Arial" w:cs="Arial"/>
          <w:color w:val="000000" w:themeColor="text1"/>
          <w:sz w:val="20"/>
          <w:szCs w:val="20"/>
          <w:shd w:val="clear" w:color="auto" w:fill="FFFFFF"/>
        </w:rPr>
        <w:t> </w:t>
      </w:r>
      <w:r w:rsidRPr="00743A9C">
        <w:rPr>
          <w:rStyle w:val="linkbluetoblue"/>
          <w:rFonts w:ascii="Arial" w:hAnsi="Arial" w:cs="Arial"/>
          <w:color w:val="000000" w:themeColor="text1"/>
          <w:sz w:val="20"/>
          <w:szCs w:val="20"/>
          <w:shd w:val="clear" w:color="auto" w:fill="FFFFFF"/>
          <w:lang w:val="en-US"/>
        </w:rPr>
        <w:t>Kilani Ghoudi.</w:t>
      </w:r>
      <w:r w:rsidRPr="00743A9C">
        <w:rPr>
          <w:rFonts w:ascii="Arial" w:hAnsi="Arial" w:cs="Arial"/>
          <w:color w:val="000000" w:themeColor="text1"/>
          <w:sz w:val="20"/>
          <w:szCs w:val="20"/>
          <w:shd w:val="clear" w:color="auto" w:fill="FFFFFF"/>
          <w:lang w:val="en-US"/>
        </w:rPr>
        <w:t> </w:t>
      </w:r>
      <w:r w:rsidRPr="00743A9C">
        <w:rPr>
          <w:rStyle w:val="linkbluetoblue"/>
          <w:rFonts w:ascii="Arial" w:hAnsi="Arial" w:cs="Arial"/>
          <w:color w:val="000000" w:themeColor="text1"/>
          <w:sz w:val="20"/>
          <w:szCs w:val="20"/>
          <w:shd w:val="clear" w:color="auto" w:fill="FFFFFF"/>
          <w:lang w:val="en-US"/>
        </w:rPr>
        <w:t>Philippe Soulier (</w:t>
      </w:r>
      <w:r w:rsidRPr="00743A9C">
        <w:rPr>
          <w:rFonts w:ascii="Arial" w:hAnsi="Arial" w:cs="Arial"/>
          <w:color w:val="000000"/>
          <w:sz w:val="20"/>
          <w:szCs w:val="20"/>
          <w:shd w:val="clear" w:color="auto" w:fill="FFFFFF"/>
          <w:lang w:val="en-US"/>
        </w:rPr>
        <w:t>2008)</w:t>
      </w:r>
      <w:r w:rsidRPr="00743A9C">
        <w:rPr>
          <w:rStyle w:val="linkbluetoblue"/>
          <w:rFonts w:ascii="Arial" w:hAnsi="Arial" w:cs="Arial"/>
          <w:color w:val="00549F"/>
          <w:sz w:val="20"/>
          <w:szCs w:val="20"/>
          <w:shd w:val="clear" w:color="auto" w:fill="FFFFFF"/>
          <w:lang w:val="en-US"/>
        </w:rPr>
        <w:t>.</w:t>
      </w:r>
      <w:r w:rsidRPr="00743A9C">
        <w:rPr>
          <w:rFonts w:ascii="Arial" w:hAnsi="Arial" w:cs="Arial"/>
          <w:color w:val="000000"/>
          <w:sz w:val="20"/>
          <w:szCs w:val="20"/>
          <w:shd w:val="clear" w:color="auto" w:fill="FFFFFF"/>
          <w:lang w:val="en-US"/>
        </w:rPr>
        <w:t> Estimation of bivariate excess probabilities for elliptical models. Bernoulli 14 (4) 1065 - 1088, November </w:t>
      </w:r>
      <w:hyperlink r:id="rId20" w:history="1">
        <w:r w:rsidRPr="00743A9C">
          <w:rPr>
            <w:rStyle w:val="Hyperlink"/>
            <w:rFonts w:ascii="Arial" w:hAnsi="Arial" w:cs="Arial"/>
            <w:sz w:val="20"/>
            <w:szCs w:val="20"/>
            <w:shd w:val="clear" w:color="auto" w:fill="FFFFFF"/>
            <w:lang w:val="en-US"/>
          </w:rPr>
          <w:t>https://doi.org/10.3150/08-BEJ140</w:t>
        </w:r>
      </w:hyperlink>
    </w:p>
    <w:p w14:paraId="16DC8DF8" w14:textId="77777777" w:rsidR="008B3D7E" w:rsidRPr="00743A9C" w:rsidRDefault="00B35C0F" w:rsidP="00743A9C">
      <w:pPr>
        <w:pStyle w:val="ListParagraph"/>
        <w:numPr>
          <w:ilvl w:val="0"/>
          <w:numId w:val="6"/>
        </w:numPr>
        <w:spacing w:after="0" w:line="240" w:lineRule="auto"/>
        <w:jc w:val="both"/>
        <w:rPr>
          <w:rFonts w:ascii="Arial" w:hAnsi="Arial" w:cs="Arial"/>
          <w:sz w:val="20"/>
          <w:szCs w:val="20"/>
        </w:rPr>
      </w:pPr>
      <w:hyperlink r:id="rId21" w:tgtFrame="_blank" w:history="1">
        <w:r w:rsidR="008B3D7E" w:rsidRPr="00743A9C">
          <w:rPr>
            <w:rStyle w:val="Hyperlink"/>
            <w:rFonts w:ascii="Arial" w:hAnsi="Arial" w:cs="Arial"/>
            <w:color w:val="000000" w:themeColor="text1"/>
            <w:sz w:val="20"/>
            <w:szCs w:val="20"/>
            <w:u w:val="none"/>
            <w:lang w:val="en-US"/>
          </w:rPr>
          <w:t>Bergstrand, M., Asp, S. S., and Lindström, G</w:t>
        </w:r>
        <w:r w:rsidR="008B3D7E" w:rsidRPr="00743A9C">
          <w:rPr>
            <w:rStyle w:val="Hyperlink"/>
            <w:rFonts w:ascii="Arial" w:hAnsi="Arial" w:cs="Arial"/>
            <w:sz w:val="20"/>
            <w:szCs w:val="20"/>
            <w:lang w:val="en-US"/>
          </w:rPr>
          <w:t>.</w:t>
        </w:r>
      </w:hyperlink>
      <w:r w:rsidR="008B3D7E" w:rsidRPr="00743A9C">
        <w:rPr>
          <w:rFonts w:ascii="Arial" w:hAnsi="Arial" w:cs="Arial"/>
          <w:sz w:val="20"/>
          <w:szCs w:val="20"/>
        </w:rPr>
        <w:t xml:space="preserve"> (2014).</w:t>
      </w:r>
      <w:r w:rsidR="008B3D7E" w:rsidRPr="00743A9C">
        <w:rPr>
          <w:rFonts w:ascii="Arial" w:hAnsi="Arial" w:cs="Arial"/>
          <w:sz w:val="20"/>
          <w:szCs w:val="20"/>
          <w:lang w:val="en-US"/>
        </w:rPr>
        <w:t xml:space="preserve"> Nationwide hydrological statistics for Sweden with high resolution using the hydrological model S-HYPE, Hydrol. </w:t>
      </w:r>
      <w:r w:rsidR="008B3D7E" w:rsidRPr="00743A9C">
        <w:rPr>
          <w:rFonts w:ascii="Arial" w:hAnsi="Arial" w:cs="Arial"/>
          <w:sz w:val="20"/>
          <w:szCs w:val="20"/>
        </w:rPr>
        <w:t xml:space="preserve">Res., 45, 349–356. </w:t>
      </w:r>
      <w:r w:rsidR="008B3D7E" w:rsidRPr="00743A9C">
        <w:rPr>
          <w:rStyle w:val="Hyperlink"/>
          <w:rFonts w:ascii="Arial" w:hAnsi="Arial" w:cs="Arial"/>
          <w:sz w:val="20"/>
          <w:szCs w:val="20"/>
          <w:shd w:val="clear" w:color="auto" w:fill="FFFFFF"/>
        </w:rPr>
        <w:t>https://doi.org/10.2166/nh.2013.010</w:t>
      </w:r>
      <w:r w:rsidR="008B3D7E" w:rsidRPr="00743A9C">
        <w:rPr>
          <w:rFonts w:ascii="Arial" w:hAnsi="Arial" w:cs="Arial"/>
          <w:sz w:val="20"/>
          <w:szCs w:val="20"/>
        </w:rPr>
        <w:t>.</w:t>
      </w:r>
      <w:r w:rsidR="008B3D7E" w:rsidRPr="00472473">
        <w:t> </w:t>
      </w:r>
    </w:p>
    <w:p w14:paraId="263F20FD" w14:textId="77777777" w:rsidR="008B3D7E" w:rsidRPr="00743A9C" w:rsidRDefault="008B3D7E" w:rsidP="00743A9C">
      <w:pPr>
        <w:pStyle w:val="ListParagraph"/>
        <w:numPr>
          <w:ilvl w:val="0"/>
          <w:numId w:val="6"/>
        </w:numPr>
        <w:spacing w:after="0" w:line="240" w:lineRule="auto"/>
        <w:jc w:val="both"/>
        <w:rPr>
          <w:rFonts w:ascii="Arial" w:hAnsi="Arial" w:cs="Arial"/>
          <w:color w:val="000000" w:themeColor="text1"/>
          <w:sz w:val="20"/>
          <w:szCs w:val="20"/>
          <w:shd w:val="clear" w:color="auto" w:fill="FFFFFF"/>
        </w:rPr>
      </w:pPr>
      <w:r w:rsidRPr="00743A9C">
        <w:rPr>
          <w:rFonts w:ascii="Arial" w:hAnsi="Arial" w:cs="Arial"/>
          <w:color w:val="000000" w:themeColor="text1"/>
          <w:sz w:val="20"/>
          <w:szCs w:val="20"/>
          <w:shd w:val="clear" w:color="auto" w:fill="FFFFFF"/>
        </w:rPr>
        <w:t xml:space="preserve">De Longueville, H., F., &amp; Ozer, P. (2015). </w:t>
      </w:r>
      <w:proofErr w:type="spellStart"/>
      <w:r w:rsidRPr="00743A9C">
        <w:rPr>
          <w:rFonts w:ascii="Arial" w:hAnsi="Arial" w:cs="Arial"/>
          <w:color w:val="000000" w:themeColor="text1"/>
          <w:sz w:val="20"/>
          <w:szCs w:val="20"/>
          <w:shd w:val="clear" w:color="auto" w:fill="FFFFFF"/>
        </w:rPr>
        <w:t>Extreme</w:t>
      </w:r>
      <w:proofErr w:type="spellEnd"/>
      <w:r w:rsidRPr="00743A9C">
        <w:rPr>
          <w:rFonts w:ascii="Arial" w:hAnsi="Arial" w:cs="Arial"/>
          <w:color w:val="000000" w:themeColor="text1"/>
          <w:sz w:val="20"/>
          <w:szCs w:val="20"/>
          <w:shd w:val="clear" w:color="auto" w:fill="FFFFFF"/>
        </w:rPr>
        <w:t xml:space="preserve"> </w:t>
      </w:r>
      <w:proofErr w:type="spellStart"/>
      <w:r w:rsidRPr="00743A9C">
        <w:rPr>
          <w:rFonts w:ascii="Arial" w:hAnsi="Arial" w:cs="Arial"/>
          <w:color w:val="000000" w:themeColor="text1"/>
          <w:sz w:val="20"/>
          <w:szCs w:val="20"/>
          <w:shd w:val="clear" w:color="auto" w:fill="FFFFFF"/>
        </w:rPr>
        <w:t>rainfall</w:t>
      </w:r>
      <w:proofErr w:type="spellEnd"/>
      <w:r w:rsidRPr="00743A9C">
        <w:rPr>
          <w:rFonts w:ascii="Arial" w:hAnsi="Arial" w:cs="Arial"/>
          <w:color w:val="000000" w:themeColor="text1"/>
          <w:sz w:val="20"/>
          <w:szCs w:val="20"/>
          <w:shd w:val="clear" w:color="auto" w:fill="FFFFFF"/>
        </w:rPr>
        <w:t xml:space="preserve"> and </w:t>
      </w:r>
      <w:proofErr w:type="spellStart"/>
      <w:r w:rsidRPr="00743A9C">
        <w:rPr>
          <w:rFonts w:ascii="Arial" w:hAnsi="Arial" w:cs="Arial"/>
          <w:color w:val="000000" w:themeColor="text1"/>
          <w:sz w:val="20"/>
          <w:szCs w:val="20"/>
          <w:shd w:val="clear" w:color="auto" w:fill="FFFFFF"/>
        </w:rPr>
        <w:t>flooding</w:t>
      </w:r>
      <w:proofErr w:type="spellEnd"/>
      <w:r w:rsidRPr="00743A9C">
        <w:rPr>
          <w:rFonts w:ascii="Arial" w:hAnsi="Arial" w:cs="Arial"/>
          <w:color w:val="000000" w:themeColor="text1"/>
          <w:sz w:val="20"/>
          <w:szCs w:val="20"/>
          <w:shd w:val="clear" w:color="auto" w:fill="FFFFFF"/>
        </w:rPr>
        <w:t xml:space="preserve"> in </w:t>
      </w:r>
      <w:proofErr w:type="gramStart"/>
      <w:r w:rsidRPr="00743A9C">
        <w:rPr>
          <w:rFonts w:ascii="Arial" w:hAnsi="Arial" w:cs="Arial"/>
          <w:color w:val="000000" w:themeColor="text1"/>
          <w:sz w:val="20"/>
          <w:szCs w:val="20"/>
          <w:shd w:val="clear" w:color="auto" w:fill="FFFFFF"/>
        </w:rPr>
        <w:t>Ouagadougou:</w:t>
      </w:r>
      <w:proofErr w:type="gramEnd"/>
      <w:r w:rsidRPr="00743A9C">
        <w:rPr>
          <w:rFonts w:ascii="Arial" w:hAnsi="Arial" w:cs="Arial"/>
          <w:color w:val="000000" w:themeColor="text1"/>
          <w:sz w:val="20"/>
          <w:szCs w:val="20"/>
          <w:shd w:val="clear" w:color="auto" w:fill="FFFFFF"/>
        </w:rPr>
        <w:t xml:space="preserve"> </w:t>
      </w:r>
      <w:proofErr w:type="spellStart"/>
      <w:r w:rsidRPr="00743A9C">
        <w:rPr>
          <w:rFonts w:ascii="Arial" w:hAnsi="Arial" w:cs="Arial"/>
          <w:color w:val="000000" w:themeColor="text1"/>
          <w:sz w:val="20"/>
          <w:szCs w:val="20"/>
          <w:shd w:val="clear" w:color="auto" w:fill="FFFFFF"/>
        </w:rPr>
        <w:t>When</w:t>
      </w:r>
      <w:proofErr w:type="spellEnd"/>
      <w:r w:rsidRPr="00743A9C">
        <w:rPr>
          <w:rFonts w:ascii="Arial" w:hAnsi="Arial" w:cs="Arial"/>
          <w:color w:val="000000" w:themeColor="text1"/>
          <w:sz w:val="20"/>
          <w:szCs w:val="20"/>
          <w:shd w:val="clear" w:color="auto" w:fill="FFFFFF"/>
        </w:rPr>
        <w:t xml:space="preserve"> </w:t>
      </w:r>
      <w:proofErr w:type="spellStart"/>
      <w:r w:rsidRPr="00743A9C">
        <w:rPr>
          <w:rFonts w:ascii="Arial" w:hAnsi="Arial" w:cs="Arial"/>
          <w:color w:val="000000" w:themeColor="text1"/>
          <w:sz w:val="20"/>
          <w:szCs w:val="20"/>
          <w:shd w:val="clear" w:color="auto" w:fill="FFFFFF"/>
        </w:rPr>
        <w:t>urban</w:t>
      </w:r>
      <w:proofErr w:type="spellEnd"/>
      <w:r w:rsidRPr="00743A9C">
        <w:rPr>
          <w:rFonts w:ascii="Arial" w:hAnsi="Arial" w:cs="Arial"/>
          <w:color w:val="000000" w:themeColor="text1"/>
          <w:sz w:val="20"/>
          <w:szCs w:val="20"/>
          <w:shd w:val="clear" w:color="auto" w:fill="FFFFFF"/>
        </w:rPr>
        <w:t xml:space="preserve"> </w:t>
      </w:r>
      <w:proofErr w:type="spellStart"/>
      <w:r w:rsidRPr="00743A9C">
        <w:rPr>
          <w:rFonts w:ascii="Arial" w:hAnsi="Arial" w:cs="Arial"/>
          <w:color w:val="000000" w:themeColor="text1"/>
          <w:sz w:val="20"/>
          <w:szCs w:val="20"/>
          <w:shd w:val="clear" w:color="auto" w:fill="FFFFFF"/>
        </w:rPr>
        <w:t>development</w:t>
      </w:r>
      <w:proofErr w:type="spellEnd"/>
      <w:r w:rsidRPr="00743A9C">
        <w:rPr>
          <w:rFonts w:ascii="Arial" w:hAnsi="Arial" w:cs="Arial"/>
          <w:color w:val="000000" w:themeColor="text1"/>
          <w:sz w:val="20"/>
          <w:szCs w:val="20"/>
          <w:shd w:val="clear" w:color="auto" w:fill="FFFFFF"/>
        </w:rPr>
        <w:t xml:space="preserve"> </w:t>
      </w:r>
      <w:proofErr w:type="spellStart"/>
      <w:r w:rsidRPr="00743A9C">
        <w:rPr>
          <w:rFonts w:ascii="Arial" w:hAnsi="Arial" w:cs="Arial"/>
          <w:color w:val="000000" w:themeColor="text1"/>
          <w:sz w:val="20"/>
          <w:szCs w:val="20"/>
          <w:shd w:val="clear" w:color="auto" w:fill="FFFFFF"/>
        </w:rPr>
        <w:t>is</w:t>
      </w:r>
      <w:proofErr w:type="spellEnd"/>
      <w:r w:rsidRPr="00743A9C">
        <w:rPr>
          <w:rFonts w:ascii="Arial" w:hAnsi="Arial" w:cs="Arial"/>
          <w:color w:val="000000" w:themeColor="text1"/>
          <w:sz w:val="20"/>
          <w:szCs w:val="20"/>
          <w:shd w:val="clear" w:color="auto" w:fill="FFFFFF"/>
        </w:rPr>
        <w:t xml:space="preserve"> </w:t>
      </w:r>
      <w:proofErr w:type="spellStart"/>
      <w:r w:rsidRPr="00743A9C">
        <w:rPr>
          <w:rFonts w:ascii="Arial" w:hAnsi="Arial" w:cs="Arial"/>
          <w:color w:val="000000" w:themeColor="text1"/>
          <w:sz w:val="20"/>
          <w:szCs w:val="20"/>
          <w:shd w:val="clear" w:color="auto" w:fill="FFFFFF"/>
        </w:rPr>
        <w:t>poorly</w:t>
      </w:r>
      <w:proofErr w:type="spellEnd"/>
      <w:r w:rsidRPr="00743A9C">
        <w:rPr>
          <w:rFonts w:ascii="Arial" w:hAnsi="Arial" w:cs="Arial"/>
          <w:color w:val="000000" w:themeColor="text1"/>
          <w:sz w:val="20"/>
          <w:szCs w:val="20"/>
          <w:shd w:val="clear" w:color="auto" w:fill="FFFFFF"/>
        </w:rPr>
        <w:t xml:space="preserve"> </w:t>
      </w:r>
      <w:proofErr w:type="spellStart"/>
      <w:r w:rsidRPr="00743A9C">
        <w:rPr>
          <w:rFonts w:ascii="Arial" w:hAnsi="Arial" w:cs="Arial"/>
          <w:color w:val="000000" w:themeColor="text1"/>
          <w:sz w:val="20"/>
          <w:szCs w:val="20"/>
          <w:shd w:val="clear" w:color="auto" w:fill="FFFFFF"/>
        </w:rPr>
        <w:t>managed</w:t>
      </w:r>
      <w:proofErr w:type="spellEnd"/>
      <w:r w:rsidRPr="00743A9C">
        <w:rPr>
          <w:rFonts w:ascii="Arial" w:hAnsi="Arial" w:cs="Arial"/>
          <w:color w:val="000000" w:themeColor="text1"/>
          <w:sz w:val="20"/>
          <w:szCs w:val="20"/>
          <w:shd w:val="clear" w:color="auto" w:fill="FFFFFF"/>
        </w:rPr>
        <w:t xml:space="preserve">. </w:t>
      </w:r>
      <w:hyperlink r:id="rId22" w:history="1">
        <w:r w:rsidRPr="00743A9C">
          <w:rPr>
            <w:rStyle w:val="Hyperlink"/>
            <w:rFonts w:ascii="Arial" w:hAnsi="Arial" w:cs="Arial"/>
            <w:sz w:val="20"/>
            <w:szCs w:val="20"/>
            <w:shd w:val="clear" w:color="auto" w:fill="FFFFFF"/>
          </w:rPr>
          <w:t>https://hdl.handle.net/2268/197339</w:t>
        </w:r>
      </w:hyperlink>
    </w:p>
    <w:p w14:paraId="5EE13EBC" w14:textId="77777777" w:rsidR="008B3D7E" w:rsidRPr="00743A9C" w:rsidRDefault="008B3D7E" w:rsidP="00743A9C">
      <w:pPr>
        <w:pStyle w:val="ListParagraph"/>
        <w:numPr>
          <w:ilvl w:val="0"/>
          <w:numId w:val="6"/>
        </w:numPr>
        <w:shd w:val="clear" w:color="auto" w:fill="FFFFFF"/>
        <w:spacing w:after="0" w:line="240" w:lineRule="auto"/>
        <w:jc w:val="both"/>
        <w:rPr>
          <w:rFonts w:ascii="Arial" w:hAnsi="Arial" w:cs="Arial"/>
          <w:color w:val="232323"/>
          <w:sz w:val="20"/>
          <w:szCs w:val="20"/>
          <w:shd w:val="clear" w:color="auto" w:fill="FFFFFF"/>
        </w:rPr>
      </w:pPr>
      <w:r w:rsidRPr="00743A9C">
        <w:rPr>
          <w:rFonts w:ascii="Arial" w:hAnsi="Arial" w:cs="Arial"/>
          <w:color w:val="232323"/>
          <w:sz w:val="20"/>
          <w:szCs w:val="20"/>
          <w:shd w:val="clear" w:color="auto" w:fill="FFFFFF"/>
        </w:rPr>
        <w:t xml:space="preserve">Goula, B.T.A., Konan, B., Brou, Y., Savane, I., </w:t>
      </w:r>
      <w:proofErr w:type="spellStart"/>
      <w:r w:rsidRPr="00743A9C">
        <w:rPr>
          <w:rFonts w:ascii="Arial" w:hAnsi="Arial" w:cs="Arial"/>
          <w:color w:val="232323"/>
          <w:sz w:val="20"/>
          <w:szCs w:val="20"/>
          <w:shd w:val="clear" w:color="auto" w:fill="FFFFFF"/>
        </w:rPr>
        <w:t>Vamoryba</w:t>
      </w:r>
      <w:proofErr w:type="spellEnd"/>
      <w:r w:rsidRPr="00743A9C">
        <w:rPr>
          <w:rFonts w:ascii="Arial" w:hAnsi="Arial" w:cs="Arial"/>
          <w:color w:val="232323"/>
          <w:sz w:val="20"/>
          <w:szCs w:val="20"/>
          <w:shd w:val="clear" w:color="auto" w:fill="FFFFFF"/>
        </w:rPr>
        <w:t xml:space="preserve">, F. and </w:t>
      </w:r>
      <w:proofErr w:type="spellStart"/>
      <w:r w:rsidRPr="00743A9C">
        <w:rPr>
          <w:rFonts w:ascii="Arial" w:hAnsi="Arial" w:cs="Arial"/>
          <w:color w:val="232323"/>
          <w:sz w:val="20"/>
          <w:szCs w:val="20"/>
          <w:shd w:val="clear" w:color="auto" w:fill="FFFFFF"/>
        </w:rPr>
        <w:t>Srohourou</w:t>
      </w:r>
      <w:proofErr w:type="spellEnd"/>
      <w:r w:rsidRPr="00743A9C">
        <w:rPr>
          <w:rFonts w:ascii="Arial" w:hAnsi="Arial" w:cs="Arial"/>
          <w:color w:val="232323"/>
          <w:sz w:val="20"/>
          <w:szCs w:val="20"/>
          <w:shd w:val="clear" w:color="auto" w:fill="FFFFFF"/>
        </w:rPr>
        <w:t xml:space="preserve">, B. (2007) Estimation of </w:t>
      </w:r>
      <w:proofErr w:type="spellStart"/>
      <w:r w:rsidRPr="00743A9C">
        <w:rPr>
          <w:rFonts w:ascii="Arial" w:hAnsi="Arial" w:cs="Arial"/>
          <w:color w:val="232323"/>
          <w:sz w:val="20"/>
          <w:szCs w:val="20"/>
          <w:shd w:val="clear" w:color="auto" w:fill="FFFFFF"/>
        </w:rPr>
        <w:t>exceptional</w:t>
      </w:r>
      <w:proofErr w:type="spellEnd"/>
      <w:r w:rsidRPr="00743A9C">
        <w:rPr>
          <w:rFonts w:ascii="Arial" w:hAnsi="Arial" w:cs="Arial"/>
          <w:color w:val="232323"/>
          <w:sz w:val="20"/>
          <w:szCs w:val="20"/>
          <w:shd w:val="clear" w:color="auto" w:fill="FFFFFF"/>
        </w:rPr>
        <w:t xml:space="preserve"> </w:t>
      </w:r>
      <w:proofErr w:type="spellStart"/>
      <w:r w:rsidRPr="00743A9C">
        <w:rPr>
          <w:rFonts w:ascii="Arial" w:hAnsi="Arial" w:cs="Arial"/>
          <w:color w:val="232323"/>
          <w:sz w:val="20"/>
          <w:szCs w:val="20"/>
          <w:shd w:val="clear" w:color="auto" w:fill="FFFFFF"/>
        </w:rPr>
        <w:t>daily</w:t>
      </w:r>
      <w:proofErr w:type="spellEnd"/>
      <w:r w:rsidRPr="00743A9C">
        <w:rPr>
          <w:rFonts w:ascii="Arial" w:hAnsi="Arial" w:cs="Arial"/>
          <w:color w:val="232323"/>
          <w:sz w:val="20"/>
          <w:szCs w:val="20"/>
          <w:shd w:val="clear" w:color="auto" w:fill="FFFFFF"/>
        </w:rPr>
        <w:t xml:space="preserve"> </w:t>
      </w:r>
      <w:proofErr w:type="spellStart"/>
      <w:r w:rsidRPr="00743A9C">
        <w:rPr>
          <w:rFonts w:ascii="Arial" w:hAnsi="Arial" w:cs="Arial"/>
          <w:color w:val="232323"/>
          <w:sz w:val="20"/>
          <w:szCs w:val="20"/>
          <w:shd w:val="clear" w:color="auto" w:fill="FFFFFF"/>
        </w:rPr>
        <w:t>rainfall</w:t>
      </w:r>
      <w:proofErr w:type="spellEnd"/>
      <w:r w:rsidRPr="00743A9C">
        <w:rPr>
          <w:rFonts w:ascii="Arial" w:hAnsi="Arial" w:cs="Arial"/>
          <w:color w:val="232323"/>
          <w:sz w:val="20"/>
          <w:szCs w:val="20"/>
          <w:shd w:val="clear" w:color="auto" w:fill="FFFFFF"/>
        </w:rPr>
        <w:t xml:space="preserve"> in tropical </w:t>
      </w:r>
      <w:proofErr w:type="gramStart"/>
      <w:r w:rsidRPr="00743A9C">
        <w:rPr>
          <w:rFonts w:ascii="Arial" w:hAnsi="Arial" w:cs="Arial"/>
          <w:color w:val="232323"/>
          <w:sz w:val="20"/>
          <w:szCs w:val="20"/>
          <w:shd w:val="clear" w:color="auto" w:fill="FFFFFF"/>
        </w:rPr>
        <w:t>zones:</w:t>
      </w:r>
      <w:proofErr w:type="gramEnd"/>
      <w:r w:rsidRPr="00743A9C">
        <w:rPr>
          <w:rFonts w:ascii="Arial" w:hAnsi="Arial" w:cs="Arial"/>
          <w:color w:val="232323"/>
          <w:sz w:val="20"/>
          <w:szCs w:val="20"/>
          <w:shd w:val="clear" w:color="auto" w:fill="FFFFFF"/>
        </w:rPr>
        <w:t xml:space="preserve"> The case of Ivory </w:t>
      </w:r>
      <w:proofErr w:type="spellStart"/>
      <w:r w:rsidRPr="00743A9C">
        <w:rPr>
          <w:rFonts w:ascii="Arial" w:hAnsi="Arial" w:cs="Arial"/>
          <w:color w:val="232323"/>
          <w:sz w:val="20"/>
          <w:szCs w:val="20"/>
          <w:shd w:val="clear" w:color="auto" w:fill="FFFFFF"/>
        </w:rPr>
        <w:t>Coast</w:t>
      </w:r>
      <w:proofErr w:type="spellEnd"/>
      <w:r w:rsidRPr="00743A9C">
        <w:rPr>
          <w:rFonts w:ascii="Arial" w:hAnsi="Arial" w:cs="Arial"/>
          <w:color w:val="232323"/>
          <w:sz w:val="20"/>
          <w:szCs w:val="20"/>
          <w:shd w:val="clear" w:color="auto" w:fill="FFFFFF"/>
        </w:rPr>
        <w:t xml:space="preserve"> by </w:t>
      </w:r>
      <w:proofErr w:type="spellStart"/>
      <w:r w:rsidRPr="00743A9C">
        <w:rPr>
          <w:rFonts w:ascii="Arial" w:hAnsi="Arial" w:cs="Arial"/>
          <w:color w:val="232323"/>
          <w:sz w:val="20"/>
          <w:szCs w:val="20"/>
          <w:shd w:val="clear" w:color="auto" w:fill="FFFFFF"/>
        </w:rPr>
        <w:t>comparison</w:t>
      </w:r>
      <w:proofErr w:type="spellEnd"/>
      <w:r w:rsidRPr="00743A9C">
        <w:rPr>
          <w:rFonts w:ascii="Arial" w:hAnsi="Arial" w:cs="Arial"/>
          <w:color w:val="232323"/>
          <w:sz w:val="20"/>
          <w:szCs w:val="20"/>
          <w:shd w:val="clear" w:color="auto" w:fill="FFFFFF"/>
        </w:rPr>
        <w:t xml:space="preserve"> of the </w:t>
      </w:r>
      <w:proofErr w:type="spellStart"/>
      <w:r w:rsidRPr="00743A9C">
        <w:rPr>
          <w:rFonts w:ascii="Arial" w:hAnsi="Arial" w:cs="Arial"/>
          <w:color w:val="232323"/>
          <w:sz w:val="20"/>
          <w:szCs w:val="20"/>
          <w:shd w:val="clear" w:color="auto" w:fill="FFFFFF"/>
        </w:rPr>
        <w:t>Lognormal</w:t>
      </w:r>
      <w:proofErr w:type="spellEnd"/>
      <w:r w:rsidRPr="00743A9C">
        <w:rPr>
          <w:rFonts w:ascii="Arial" w:hAnsi="Arial" w:cs="Arial"/>
          <w:color w:val="232323"/>
          <w:sz w:val="20"/>
          <w:szCs w:val="20"/>
          <w:shd w:val="clear" w:color="auto" w:fill="FFFFFF"/>
        </w:rPr>
        <w:t xml:space="preserve"> and </w:t>
      </w:r>
      <w:proofErr w:type="spellStart"/>
      <w:r w:rsidRPr="00743A9C">
        <w:rPr>
          <w:rFonts w:ascii="Arial" w:hAnsi="Arial" w:cs="Arial"/>
          <w:color w:val="232323"/>
          <w:sz w:val="20"/>
          <w:szCs w:val="20"/>
          <w:shd w:val="clear" w:color="auto" w:fill="FFFFFF"/>
        </w:rPr>
        <w:t>Gumbel</w:t>
      </w:r>
      <w:proofErr w:type="spellEnd"/>
      <w:r w:rsidRPr="00743A9C">
        <w:rPr>
          <w:rFonts w:ascii="Arial" w:hAnsi="Arial" w:cs="Arial"/>
          <w:color w:val="232323"/>
          <w:sz w:val="20"/>
          <w:szCs w:val="20"/>
          <w:shd w:val="clear" w:color="auto" w:fill="FFFFFF"/>
        </w:rPr>
        <w:t xml:space="preserve"> distributions. </w:t>
      </w:r>
      <w:proofErr w:type="spellStart"/>
      <w:r w:rsidRPr="00743A9C">
        <w:rPr>
          <w:rFonts w:ascii="Arial" w:hAnsi="Arial" w:cs="Arial"/>
          <w:color w:val="232323"/>
          <w:sz w:val="20"/>
          <w:szCs w:val="20"/>
          <w:shd w:val="clear" w:color="auto" w:fill="FFFFFF"/>
        </w:rPr>
        <w:t>Hydrological</w:t>
      </w:r>
      <w:proofErr w:type="spellEnd"/>
      <w:r w:rsidRPr="00743A9C">
        <w:rPr>
          <w:rFonts w:ascii="Arial" w:hAnsi="Arial" w:cs="Arial"/>
          <w:color w:val="232323"/>
          <w:sz w:val="20"/>
          <w:szCs w:val="20"/>
          <w:shd w:val="clear" w:color="auto" w:fill="FFFFFF"/>
        </w:rPr>
        <w:t xml:space="preserve"> Sciences Journal, 1, 49-67. </w:t>
      </w:r>
      <w:hyperlink r:id="rId23" w:history="1">
        <w:r w:rsidRPr="00743A9C">
          <w:rPr>
            <w:rStyle w:val="Hyperlink"/>
            <w:rFonts w:ascii="Arial" w:hAnsi="Arial" w:cs="Arial"/>
            <w:sz w:val="20"/>
            <w:szCs w:val="20"/>
            <w:shd w:val="clear" w:color="auto" w:fill="FFFFFF"/>
          </w:rPr>
          <w:t>https://doi.org/10.1623/hysj.52.1.49</w:t>
        </w:r>
      </w:hyperlink>
    </w:p>
    <w:p w14:paraId="02308E50" w14:textId="77777777" w:rsidR="008B3D7E" w:rsidRPr="00743A9C" w:rsidRDefault="008B3D7E" w:rsidP="00743A9C">
      <w:pPr>
        <w:pStyle w:val="ListParagraph"/>
        <w:numPr>
          <w:ilvl w:val="0"/>
          <w:numId w:val="6"/>
        </w:numPr>
        <w:spacing w:after="0" w:line="240" w:lineRule="auto"/>
        <w:jc w:val="both"/>
        <w:rPr>
          <w:rFonts w:ascii="Arial" w:eastAsia="Times New Roman" w:hAnsi="Arial" w:cs="Arial"/>
          <w:color w:val="333333"/>
          <w:sz w:val="20"/>
          <w:szCs w:val="20"/>
          <w:lang w:eastAsia="fr-FR"/>
        </w:rPr>
      </w:pPr>
      <w:r w:rsidRPr="00743A9C">
        <w:rPr>
          <w:rFonts w:ascii="Arial" w:eastAsia="Times New Roman" w:hAnsi="Arial" w:cs="Arial"/>
          <w:color w:val="333333"/>
          <w:sz w:val="20"/>
          <w:szCs w:val="20"/>
          <w:lang w:eastAsia="fr-FR"/>
        </w:rPr>
        <w:t xml:space="preserve">Gue, A., &amp; </w:t>
      </w:r>
      <w:proofErr w:type="spellStart"/>
      <w:r w:rsidRPr="00743A9C">
        <w:rPr>
          <w:rFonts w:ascii="Arial" w:eastAsia="Times New Roman" w:hAnsi="Arial" w:cs="Arial"/>
          <w:color w:val="333333"/>
          <w:sz w:val="20"/>
          <w:szCs w:val="20"/>
          <w:lang w:eastAsia="fr-FR"/>
        </w:rPr>
        <w:t>Afouda</w:t>
      </w:r>
      <w:proofErr w:type="spellEnd"/>
      <w:r w:rsidRPr="00743A9C">
        <w:rPr>
          <w:rFonts w:ascii="Arial" w:eastAsia="Times New Roman" w:hAnsi="Arial" w:cs="Arial"/>
          <w:color w:val="333333"/>
          <w:sz w:val="20"/>
          <w:szCs w:val="20"/>
          <w:lang w:eastAsia="fr-FR"/>
        </w:rPr>
        <w:t xml:space="preserve">, A. (2015). Frequency </w:t>
      </w:r>
      <w:proofErr w:type="spellStart"/>
      <w:r w:rsidRPr="00743A9C">
        <w:rPr>
          <w:rFonts w:ascii="Arial" w:eastAsia="Times New Roman" w:hAnsi="Arial" w:cs="Arial"/>
          <w:color w:val="333333"/>
          <w:sz w:val="20"/>
          <w:szCs w:val="20"/>
          <w:lang w:eastAsia="fr-FR"/>
        </w:rPr>
        <w:t>analysis</w:t>
      </w:r>
      <w:proofErr w:type="spellEnd"/>
      <w:r w:rsidRPr="00743A9C">
        <w:rPr>
          <w:rFonts w:ascii="Arial" w:eastAsia="Times New Roman" w:hAnsi="Arial" w:cs="Arial"/>
          <w:color w:val="333333"/>
          <w:sz w:val="20"/>
          <w:szCs w:val="20"/>
          <w:lang w:eastAsia="fr-FR"/>
        </w:rPr>
        <w:t xml:space="preserve"> and new mapping of </w:t>
      </w:r>
      <w:proofErr w:type="spellStart"/>
      <w:r w:rsidRPr="00743A9C">
        <w:rPr>
          <w:rFonts w:ascii="Arial" w:eastAsia="Times New Roman" w:hAnsi="Arial" w:cs="Arial"/>
          <w:color w:val="333333"/>
          <w:sz w:val="20"/>
          <w:szCs w:val="20"/>
          <w:lang w:eastAsia="fr-FR"/>
        </w:rPr>
        <w:t>annual</w:t>
      </w:r>
      <w:proofErr w:type="spellEnd"/>
      <w:r w:rsidRPr="00743A9C">
        <w:rPr>
          <w:rFonts w:ascii="Arial" w:eastAsia="Times New Roman" w:hAnsi="Arial" w:cs="Arial"/>
          <w:color w:val="333333"/>
          <w:sz w:val="20"/>
          <w:szCs w:val="20"/>
          <w:lang w:eastAsia="fr-FR"/>
        </w:rPr>
        <w:t xml:space="preserve"> maxima of </w:t>
      </w:r>
      <w:proofErr w:type="spellStart"/>
      <w:r w:rsidRPr="00743A9C">
        <w:rPr>
          <w:rFonts w:ascii="Arial" w:eastAsia="Times New Roman" w:hAnsi="Arial" w:cs="Arial"/>
          <w:color w:val="333333"/>
          <w:sz w:val="20"/>
          <w:szCs w:val="20"/>
          <w:lang w:eastAsia="fr-FR"/>
        </w:rPr>
        <w:t>daily</w:t>
      </w:r>
      <w:proofErr w:type="spellEnd"/>
      <w:r w:rsidRPr="00743A9C">
        <w:rPr>
          <w:rFonts w:ascii="Arial" w:eastAsia="Times New Roman" w:hAnsi="Arial" w:cs="Arial"/>
          <w:color w:val="333333"/>
          <w:sz w:val="20"/>
          <w:szCs w:val="20"/>
          <w:lang w:eastAsia="fr-FR"/>
        </w:rPr>
        <w:t xml:space="preserve"> </w:t>
      </w:r>
      <w:proofErr w:type="spellStart"/>
      <w:r w:rsidRPr="00743A9C">
        <w:rPr>
          <w:rFonts w:ascii="Arial" w:eastAsia="Times New Roman" w:hAnsi="Arial" w:cs="Arial"/>
          <w:color w:val="333333"/>
          <w:sz w:val="20"/>
          <w:szCs w:val="20"/>
          <w:lang w:eastAsia="fr-FR"/>
        </w:rPr>
        <w:t>rainfall</w:t>
      </w:r>
      <w:proofErr w:type="spellEnd"/>
      <w:r w:rsidRPr="00743A9C">
        <w:rPr>
          <w:rFonts w:ascii="Arial" w:eastAsia="Times New Roman" w:hAnsi="Arial" w:cs="Arial"/>
          <w:color w:val="333333"/>
          <w:sz w:val="20"/>
          <w:szCs w:val="20"/>
          <w:lang w:eastAsia="fr-FR"/>
        </w:rPr>
        <w:t xml:space="preserve"> in Benin. International Journal of </w:t>
      </w:r>
      <w:proofErr w:type="spellStart"/>
      <w:r w:rsidRPr="00743A9C">
        <w:rPr>
          <w:rFonts w:ascii="Arial" w:eastAsia="Times New Roman" w:hAnsi="Arial" w:cs="Arial"/>
          <w:color w:val="333333"/>
          <w:sz w:val="20"/>
          <w:szCs w:val="20"/>
          <w:lang w:eastAsia="fr-FR"/>
        </w:rPr>
        <w:t>Biological</w:t>
      </w:r>
      <w:proofErr w:type="spellEnd"/>
      <w:r w:rsidRPr="00743A9C">
        <w:rPr>
          <w:rFonts w:ascii="Arial" w:eastAsia="Times New Roman" w:hAnsi="Arial" w:cs="Arial"/>
          <w:color w:val="333333"/>
          <w:sz w:val="20"/>
          <w:szCs w:val="20"/>
          <w:lang w:eastAsia="fr-FR"/>
        </w:rPr>
        <w:t xml:space="preserve"> and Chemical Sciences, 9(1), 121–133. </w:t>
      </w:r>
      <w:hyperlink r:id="rId24" w:history="1">
        <w:r w:rsidRPr="00743A9C">
          <w:rPr>
            <w:rStyle w:val="Hyperlink"/>
            <w:rFonts w:ascii="Arial" w:eastAsia="Times New Roman" w:hAnsi="Arial" w:cs="Arial"/>
            <w:sz w:val="20"/>
            <w:szCs w:val="20"/>
            <w:lang w:eastAsia="fr-FR"/>
          </w:rPr>
          <w:t>https://doi.org/10.4314/ijbcs.v9i1</w:t>
        </w:r>
      </w:hyperlink>
      <w:r w:rsidRPr="00743A9C">
        <w:rPr>
          <w:rFonts w:ascii="Arial" w:eastAsia="Times New Roman" w:hAnsi="Arial" w:cs="Arial"/>
          <w:color w:val="333333"/>
          <w:sz w:val="20"/>
          <w:szCs w:val="20"/>
          <w:lang w:eastAsia="fr-FR"/>
        </w:rPr>
        <w:t>.</w:t>
      </w:r>
    </w:p>
    <w:p w14:paraId="1BD048A4" w14:textId="77777777" w:rsidR="008B3D7E" w:rsidRPr="00743A9C" w:rsidRDefault="008B3D7E" w:rsidP="00743A9C">
      <w:pPr>
        <w:pStyle w:val="ListParagraph"/>
        <w:numPr>
          <w:ilvl w:val="0"/>
          <w:numId w:val="6"/>
        </w:numPr>
        <w:spacing w:after="0" w:line="240" w:lineRule="auto"/>
        <w:jc w:val="both"/>
        <w:rPr>
          <w:rFonts w:ascii="Arial" w:hAnsi="Arial" w:cs="Arial"/>
          <w:color w:val="232323"/>
          <w:sz w:val="20"/>
          <w:szCs w:val="20"/>
          <w:shd w:val="clear" w:color="auto" w:fill="FFFFFF"/>
          <w:lang w:val="en-US"/>
        </w:rPr>
      </w:pPr>
      <w:r w:rsidRPr="00743A9C">
        <w:rPr>
          <w:rFonts w:ascii="Arial" w:hAnsi="Arial" w:cs="Arial"/>
          <w:color w:val="232323"/>
          <w:sz w:val="20"/>
          <w:szCs w:val="20"/>
          <w:shd w:val="clear" w:color="auto" w:fill="FFFFFF"/>
          <w:lang w:val="en-US"/>
        </w:rPr>
        <w:t>Haan, L. and Ferreira, A. (2006) Extreme Value Theory: An Introduction. Springer Series in Operations Research and Financial Engineering. Springer.</w:t>
      </w:r>
      <w:r w:rsidRPr="00743A9C">
        <w:rPr>
          <w:rFonts w:ascii="Arial" w:hAnsi="Arial" w:cs="Arial"/>
          <w:color w:val="232323"/>
          <w:sz w:val="20"/>
          <w:szCs w:val="20"/>
          <w:lang w:val="en-US"/>
        </w:rPr>
        <w:t xml:space="preserve"> </w:t>
      </w:r>
      <w:hyperlink r:id="rId25" w:history="1">
        <w:r w:rsidRPr="00743A9C">
          <w:rPr>
            <w:rStyle w:val="Hyperlink"/>
            <w:rFonts w:ascii="Arial" w:hAnsi="Arial" w:cs="Arial"/>
            <w:sz w:val="20"/>
            <w:szCs w:val="20"/>
            <w:shd w:val="clear" w:color="auto" w:fill="FFFFFF"/>
            <w:lang w:val="en-US"/>
          </w:rPr>
          <w:t>http://dx.doi.org/10.1007/0-387-34471-3</w:t>
        </w:r>
      </w:hyperlink>
    </w:p>
    <w:p w14:paraId="207F6A30" w14:textId="77777777" w:rsidR="008B3D7E" w:rsidRPr="00743A9C" w:rsidRDefault="008B3D7E" w:rsidP="00743A9C">
      <w:pPr>
        <w:pStyle w:val="ListParagraph"/>
        <w:numPr>
          <w:ilvl w:val="0"/>
          <w:numId w:val="6"/>
        </w:numPr>
        <w:spacing w:after="0" w:line="240" w:lineRule="auto"/>
        <w:jc w:val="both"/>
        <w:rPr>
          <w:rFonts w:ascii="Arial" w:hAnsi="Arial" w:cs="Arial"/>
          <w:sz w:val="20"/>
          <w:szCs w:val="20"/>
          <w:lang w:val="en-US"/>
        </w:rPr>
      </w:pPr>
      <w:proofErr w:type="spellStart"/>
      <w:r w:rsidRPr="00743A9C">
        <w:rPr>
          <w:rFonts w:ascii="Arial" w:hAnsi="Arial" w:cs="Arial"/>
          <w:sz w:val="20"/>
          <w:szCs w:val="20"/>
          <w:lang w:val="en-US"/>
        </w:rPr>
        <w:t>Kévin</w:t>
      </w:r>
      <w:proofErr w:type="spellEnd"/>
      <w:r w:rsidRPr="00743A9C">
        <w:rPr>
          <w:rFonts w:ascii="Arial" w:hAnsi="Arial" w:cs="Arial"/>
          <w:sz w:val="20"/>
          <w:szCs w:val="20"/>
          <w:lang w:val="en-US"/>
        </w:rPr>
        <w:t xml:space="preserve"> Dubois, Morten Andreas Dahl Larsen, Martin Drews, Erik Nilsson, and Anna Rutgersson. Influence of data source and copula statistics on estimates of compound flood extremes in a river mouth environment. </w:t>
      </w:r>
      <w:hyperlink r:id="rId26" w:history="1">
        <w:r w:rsidRPr="00743A9C">
          <w:rPr>
            <w:rStyle w:val="Hyperlink"/>
            <w:rFonts w:ascii="Arial" w:hAnsi="Arial" w:cs="Arial"/>
            <w:sz w:val="20"/>
            <w:szCs w:val="20"/>
            <w:lang w:val="en-US"/>
          </w:rPr>
          <w:t>Natural Hazards and Earth System Sciences</w:t>
        </w:r>
      </w:hyperlink>
      <w:r w:rsidRPr="00743A9C">
        <w:rPr>
          <w:rFonts w:ascii="Arial" w:hAnsi="Arial" w:cs="Arial"/>
          <w:sz w:val="20"/>
          <w:szCs w:val="20"/>
          <w:lang w:val="en-US"/>
        </w:rPr>
        <w:t xml:space="preserve">. </w:t>
      </w:r>
      <w:r w:rsidRPr="00743A9C">
        <w:rPr>
          <w:rStyle w:val="Hyperlink"/>
          <w:rFonts w:ascii="Arial" w:hAnsi="Arial" w:cs="Arial"/>
          <w:sz w:val="20"/>
          <w:szCs w:val="20"/>
          <w:shd w:val="clear" w:color="auto" w:fill="FFFFFF"/>
          <w:lang w:val="en-US"/>
        </w:rPr>
        <w:t>https://doi.org/10.5194/os-20-21-2024, 2024</w:t>
      </w:r>
    </w:p>
    <w:p w14:paraId="53197D2B" w14:textId="77777777" w:rsidR="008B3D7E" w:rsidRPr="00743A9C" w:rsidRDefault="008B3D7E" w:rsidP="00743A9C">
      <w:pPr>
        <w:pStyle w:val="ListParagraph"/>
        <w:numPr>
          <w:ilvl w:val="0"/>
          <w:numId w:val="6"/>
        </w:numPr>
        <w:spacing w:after="0" w:line="240" w:lineRule="auto"/>
        <w:jc w:val="both"/>
        <w:rPr>
          <w:rFonts w:ascii="Arial" w:hAnsi="Arial" w:cs="Arial"/>
          <w:color w:val="0000FF"/>
          <w:sz w:val="20"/>
          <w:szCs w:val="20"/>
          <w:u w:val="single"/>
          <w:lang w:val="en-US"/>
        </w:rPr>
      </w:pPr>
      <w:r w:rsidRPr="00743A9C">
        <w:rPr>
          <w:rFonts w:ascii="Arial" w:hAnsi="Arial" w:cs="Arial"/>
          <w:sz w:val="20"/>
          <w:szCs w:val="20"/>
          <w:lang w:val="en-US"/>
        </w:rPr>
        <w:t xml:space="preserve">Kundzewicz, Z. W., Kanae, S., Seneviratne, S. I., Handmer, J., Nicholls, N., Peduzzi, P., Mechler, R., Bouwer, L. M., Arnell, N., Mach, K., Muir-Wood, R., Brakenridge, G. R., Kron, W., Benito, G., Honda, Y., Takahashi, K., Sherstyukov, B. (2014): Flood risk and climate change: global and regional perspectives. - Hydrological Sciences Journal, 59, 1, 1-28. </w:t>
      </w:r>
      <w:r w:rsidRPr="00743A9C">
        <w:rPr>
          <w:rStyle w:val="Hyperlink"/>
          <w:rFonts w:ascii="Arial" w:hAnsi="Arial" w:cs="Arial"/>
          <w:sz w:val="20"/>
          <w:szCs w:val="20"/>
          <w:lang w:val="en-US"/>
        </w:rPr>
        <w:t>DOI: 10.1080/02626667.2013.857411</w:t>
      </w:r>
    </w:p>
    <w:p w14:paraId="13E3AA46" w14:textId="77777777" w:rsidR="008B3D7E" w:rsidRPr="00743A9C" w:rsidRDefault="008B3D7E" w:rsidP="00743A9C">
      <w:pPr>
        <w:pStyle w:val="ListParagraph"/>
        <w:numPr>
          <w:ilvl w:val="0"/>
          <w:numId w:val="6"/>
        </w:numPr>
        <w:spacing w:after="0"/>
        <w:jc w:val="both"/>
        <w:rPr>
          <w:rStyle w:val="Hyperlink"/>
          <w:rFonts w:ascii="Arial" w:hAnsi="Arial" w:cs="Arial"/>
          <w:sz w:val="20"/>
          <w:szCs w:val="20"/>
          <w:u w:val="none"/>
          <w:lang w:val="en-US"/>
        </w:rPr>
      </w:pPr>
      <w:bookmarkStart w:id="1" w:name="_Hlk222052616"/>
      <w:r w:rsidRPr="00743A9C">
        <w:rPr>
          <w:rFonts w:ascii="Arial" w:hAnsi="Arial" w:cs="Arial"/>
          <w:sz w:val="20"/>
          <w:szCs w:val="20"/>
          <w:highlight w:val="yellow"/>
        </w:rPr>
        <w:t xml:space="preserve">Laddaporn Ruangpan, Zoran Vojinovic, Silvana Di Sabatino, Laura Sandra Leo, Vittoria Capobianco, Amy M. P. Oen, Michael E. McClain, and Elena Lopez-Gunn. Nature-based solutions for hydro-meteorological risk </w:t>
      </w:r>
      <w:proofErr w:type="gramStart"/>
      <w:r w:rsidRPr="00743A9C">
        <w:rPr>
          <w:rFonts w:ascii="Arial" w:hAnsi="Arial" w:cs="Arial"/>
          <w:sz w:val="20"/>
          <w:szCs w:val="20"/>
          <w:highlight w:val="yellow"/>
        </w:rPr>
        <w:t>reduction:</w:t>
      </w:r>
      <w:proofErr w:type="gramEnd"/>
      <w:r w:rsidRPr="00743A9C">
        <w:rPr>
          <w:rFonts w:ascii="Arial" w:hAnsi="Arial" w:cs="Arial"/>
          <w:sz w:val="20"/>
          <w:szCs w:val="20"/>
          <w:highlight w:val="yellow"/>
        </w:rPr>
        <w:t xml:space="preserve"> a state-of-the-art review of the research area. </w:t>
      </w:r>
      <w:hyperlink r:id="rId27" w:history="1">
        <w:r w:rsidRPr="00743A9C">
          <w:rPr>
            <w:rStyle w:val="Hyperlink"/>
            <w:rFonts w:ascii="Arial" w:hAnsi="Arial" w:cs="Arial"/>
            <w:color w:val="auto"/>
            <w:sz w:val="20"/>
            <w:szCs w:val="20"/>
            <w:highlight w:val="yellow"/>
            <w:u w:val="none"/>
          </w:rPr>
          <w:t>Natural Hazards and Earth System Sciences</w:t>
        </w:r>
      </w:hyperlink>
      <w:r w:rsidRPr="00743A9C">
        <w:rPr>
          <w:rFonts w:ascii="Arial" w:hAnsi="Arial" w:cs="Arial"/>
          <w:sz w:val="20"/>
          <w:szCs w:val="20"/>
          <w:highlight w:val="yellow"/>
        </w:rPr>
        <w:t xml:space="preserve">. </w:t>
      </w:r>
      <w:hyperlink r:id="rId28" w:history="1">
        <w:r w:rsidRPr="00743A9C">
          <w:rPr>
            <w:rStyle w:val="Hyperlink"/>
            <w:rFonts w:ascii="Arial" w:hAnsi="Arial" w:cs="Arial"/>
            <w:color w:val="auto"/>
            <w:sz w:val="20"/>
            <w:szCs w:val="20"/>
            <w:highlight w:val="yellow"/>
            <w:u w:val="none"/>
          </w:rPr>
          <w:t>Volume 20, issue 1</w:t>
        </w:r>
      </w:hyperlink>
      <w:r w:rsidRPr="00743A9C">
        <w:rPr>
          <w:rFonts w:ascii="Arial" w:hAnsi="Arial" w:cs="Arial"/>
          <w:sz w:val="20"/>
          <w:szCs w:val="20"/>
          <w:highlight w:val="yellow"/>
        </w:rPr>
        <w:t xml:space="preserve">, 20, 243–270, 2020. </w:t>
      </w:r>
      <w:bookmarkEnd w:id="1"/>
      <w:r w:rsidRPr="00743A9C">
        <w:rPr>
          <w:rStyle w:val="Hyperlink"/>
          <w:rFonts w:ascii="Arial" w:hAnsi="Arial" w:cs="Arial"/>
          <w:sz w:val="20"/>
          <w:szCs w:val="20"/>
          <w:highlight w:val="yellow"/>
          <w:lang w:val="en-US"/>
        </w:rPr>
        <w:t>https://doi.org/10.5194/nhess-20-243-2020</w:t>
      </w:r>
    </w:p>
    <w:p w14:paraId="2007F621" w14:textId="77777777" w:rsidR="008B3D7E" w:rsidRPr="00743A9C" w:rsidRDefault="008B3D7E" w:rsidP="00743A9C">
      <w:pPr>
        <w:pStyle w:val="ListParagraph"/>
        <w:numPr>
          <w:ilvl w:val="0"/>
          <w:numId w:val="6"/>
        </w:numPr>
        <w:spacing w:after="0" w:line="240" w:lineRule="auto"/>
        <w:jc w:val="both"/>
        <w:rPr>
          <w:rFonts w:ascii="Arial" w:hAnsi="Arial" w:cs="Arial"/>
          <w:sz w:val="20"/>
          <w:szCs w:val="20"/>
          <w:lang w:val="en-US"/>
        </w:rPr>
      </w:pPr>
      <w:r w:rsidRPr="00743A9C">
        <w:rPr>
          <w:rFonts w:ascii="Arial" w:hAnsi="Arial" w:cs="Arial"/>
          <w:sz w:val="20"/>
          <w:szCs w:val="20"/>
          <w:lang w:val="en-US"/>
        </w:rPr>
        <w:t xml:space="preserve">M. Schlather et J. A. Tawn (2003). A dependence measure for multivariate and spatial extreme values: Properties and inference. </w:t>
      </w:r>
      <w:r w:rsidRPr="00743A9C">
        <w:rPr>
          <w:rFonts w:ascii="Arial" w:hAnsi="Arial" w:cs="Arial"/>
          <w:color w:val="555555"/>
          <w:sz w:val="20"/>
          <w:szCs w:val="20"/>
          <w:lang w:val="en-US"/>
        </w:rPr>
        <w:t xml:space="preserve">DOI: </w:t>
      </w:r>
      <w:hyperlink r:id="rId29" w:tgtFrame="_blank" w:history="1">
        <w:r w:rsidRPr="00743A9C">
          <w:rPr>
            <w:rStyle w:val="Hyperlink"/>
            <w:rFonts w:ascii="Arial" w:hAnsi="Arial" w:cs="Arial"/>
            <w:sz w:val="20"/>
            <w:szCs w:val="20"/>
            <w:bdr w:val="none" w:sz="0" w:space="0" w:color="auto" w:frame="1"/>
            <w:lang w:val="en-US"/>
          </w:rPr>
          <w:t>10.1093/biomet/90.1.139</w:t>
        </w:r>
      </w:hyperlink>
    </w:p>
    <w:bookmarkStart w:id="2" w:name="149550"/>
    <w:p w14:paraId="6C7A1A64" w14:textId="77777777" w:rsidR="008B3D7E" w:rsidRPr="00743A9C" w:rsidRDefault="008B3D7E" w:rsidP="00743A9C">
      <w:pPr>
        <w:pStyle w:val="ListParagraph"/>
        <w:numPr>
          <w:ilvl w:val="0"/>
          <w:numId w:val="6"/>
        </w:numPr>
        <w:spacing w:after="0"/>
        <w:jc w:val="both"/>
        <w:rPr>
          <w:rFonts w:ascii="Arial" w:hAnsi="Arial" w:cs="Arial"/>
          <w:sz w:val="20"/>
          <w:szCs w:val="20"/>
        </w:rPr>
      </w:pPr>
      <w:r w:rsidRPr="00743A9C">
        <w:rPr>
          <w:rFonts w:ascii="Arial" w:hAnsi="Arial" w:cs="Arial"/>
          <w:sz w:val="20"/>
          <w:szCs w:val="20"/>
          <w:highlight w:val="yellow"/>
        </w:rPr>
        <w:lastRenderedPageBreak/>
        <w:fldChar w:fldCharType="begin"/>
      </w:r>
      <w:r w:rsidRPr="00743A9C">
        <w:rPr>
          <w:rFonts w:ascii="Arial" w:hAnsi="Arial" w:cs="Arial"/>
          <w:sz w:val="20"/>
          <w:szCs w:val="20"/>
          <w:highlight w:val="yellow"/>
        </w:rPr>
        <w:instrText>HYPERLINK "https://www.scirp.org/journal/articles?searchcode=Martin+Darius+Bengo&amp;searchfield=authors&amp;page=1" \t "_blank"</w:instrText>
      </w:r>
      <w:r w:rsidRPr="00743A9C">
        <w:rPr>
          <w:rFonts w:ascii="Arial" w:hAnsi="Arial" w:cs="Arial"/>
          <w:sz w:val="20"/>
          <w:szCs w:val="20"/>
          <w:highlight w:val="yellow"/>
        </w:rPr>
        <w:fldChar w:fldCharType="separate"/>
      </w:r>
      <w:r w:rsidRPr="00743A9C">
        <w:rPr>
          <w:rFonts w:ascii="Arial" w:hAnsi="Arial" w:cs="Arial"/>
          <w:sz w:val="20"/>
          <w:szCs w:val="20"/>
          <w:highlight w:val="yellow"/>
        </w:rPr>
        <w:t xml:space="preserve">Martin Darius </w:t>
      </w:r>
      <w:proofErr w:type="spellStart"/>
      <w:r w:rsidRPr="00743A9C">
        <w:rPr>
          <w:rFonts w:ascii="Arial" w:hAnsi="Arial" w:cs="Arial"/>
          <w:sz w:val="20"/>
          <w:szCs w:val="20"/>
          <w:highlight w:val="yellow"/>
        </w:rPr>
        <w:t>Bengo</w:t>
      </w:r>
      <w:proofErr w:type="spellEnd"/>
      <w:r w:rsidRPr="00743A9C">
        <w:rPr>
          <w:rFonts w:ascii="Arial" w:hAnsi="Arial" w:cs="Arial"/>
          <w:sz w:val="20"/>
          <w:szCs w:val="20"/>
          <w:highlight w:val="yellow"/>
        </w:rPr>
        <w:fldChar w:fldCharType="end"/>
      </w:r>
      <w:r w:rsidRPr="00743A9C">
        <w:rPr>
          <w:rFonts w:ascii="Arial" w:hAnsi="Arial" w:cs="Arial"/>
          <w:sz w:val="20"/>
          <w:szCs w:val="20"/>
          <w:highlight w:val="yellow"/>
        </w:rPr>
        <w:t>, </w:t>
      </w:r>
      <w:hyperlink r:id="rId30" w:tgtFrame="_blank" w:history="1">
        <w:r w:rsidRPr="00743A9C">
          <w:rPr>
            <w:rFonts w:ascii="Arial" w:hAnsi="Arial" w:cs="Arial"/>
            <w:sz w:val="20"/>
            <w:szCs w:val="20"/>
            <w:highlight w:val="yellow"/>
          </w:rPr>
          <w:t>Jean de Dieu Nzila</w:t>
        </w:r>
      </w:hyperlink>
      <w:r w:rsidRPr="00743A9C">
        <w:rPr>
          <w:rFonts w:ascii="Arial" w:hAnsi="Arial" w:cs="Arial"/>
          <w:sz w:val="20"/>
          <w:szCs w:val="20"/>
          <w:highlight w:val="yellow"/>
        </w:rPr>
        <w:t>, </w:t>
      </w:r>
      <w:hyperlink r:id="rId31" w:tgtFrame="_blank" w:history="1">
        <w:r w:rsidRPr="00743A9C">
          <w:rPr>
            <w:rFonts w:ascii="Arial" w:hAnsi="Arial" w:cs="Arial"/>
            <w:sz w:val="20"/>
            <w:szCs w:val="20"/>
            <w:highlight w:val="yellow"/>
          </w:rPr>
          <w:t>Judicaël Otongo</w:t>
        </w:r>
      </w:hyperlink>
      <w:r w:rsidRPr="00743A9C">
        <w:rPr>
          <w:rFonts w:ascii="Arial" w:hAnsi="Arial" w:cs="Arial"/>
          <w:sz w:val="20"/>
          <w:szCs w:val="20"/>
          <w:highlight w:val="yellow"/>
        </w:rPr>
        <w:t>, </w:t>
      </w:r>
      <w:hyperlink r:id="rId32" w:tgtFrame="_blank" w:history="1">
        <w:r w:rsidRPr="00743A9C">
          <w:rPr>
            <w:rFonts w:ascii="Arial" w:hAnsi="Arial" w:cs="Arial"/>
            <w:sz w:val="20"/>
            <w:szCs w:val="20"/>
            <w:highlight w:val="yellow"/>
          </w:rPr>
          <w:t>Hugues-Yvan Gomat</w:t>
        </w:r>
      </w:hyperlink>
      <w:r w:rsidRPr="00743A9C">
        <w:rPr>
          <w:rFonts w:ascii="Arial" w:hAnsi="Arial" w:cs="Arial"/>
          <w:sz w:val="20"/>
          <w:szCs w:val="20"/>
          <w:highlight w:val="yellow"/>
        </w:rPr>
        <w:t xml:space="preserve">. </w:t>
      </w:r>
      <w:hyperlink r:id="rId33" w:tgtFrame="_blank" w:history="1">
        <w:r w:rsidRPr="00743A9C">
          <w:rPr>
            <w:rFonts w:ascii="Arial" w:hAnsi="Arial" w:cs="Arial"/>
            <w:sz w:val="20"/>
            <w:szCs w:val="20"/>
            <w:highlight w:val="yellow"/>
          </w:rPr>
          <w:t xml:space="preserve">Climatic and Paleoenvironmental Changes in Central Africa over the Last 300,000 </w:t>
        </w:r>
        <w:proofErr w:type="gramStart"/>
        <w:r w:rsidRPr="00743A9C">
          <w:rPr>
            <w:rFonts w:ascii="Arial" w:hAnsi="Arial" w:cs="Arial"/>
            <w:sz w:val="20"/>
            <w:szCs w:val="20"/>
            <w:highlight w:val="yellow"/>
          </w:rPr>
          <w:t>Years:</w:t>
        </w:r>
        <w:proofErr w:type="gramEnd"/>
        <w:r w:rsidRPr="00743A9C">
          <w:rPr>
            <w:rFonts w:ascii="Arial" w:hAnsi="Arial" w:cs="Arial"/>
            <w:sz w:val="20"/>
            <w:szCs w:val="20"/>
            <w:highlight w:val="yellow"/>
          </w:rPr>
          <w:t xml:space="preserve"> Evidence from the Rhizophora/Podocarpus Pollen Ratio in a Marine Core from the Gulf of Guinea</w:t>
        </w:r>
      </w:hyperlink>
      <w:bookmarkEnd w:id="2"/>
      <w:r w:rsidRPr="00743A9C">
        <w:rPr>
          <w:rFonts w:ascii="Arial" w:hAnsi="Arial" w:cs="Arial"/>
          <w:sz w:val="20"/>
          <w:szCs w:val="20"/>
          <w:highlight w:val="yellow"/>
        </w:rPr>
        <w:t xml:space="preserve">. </w:t>
      </w:r>
      <w:hyperlink r:id="rId34" w:tgtFrame="_blank" w:history="1">
        <w:r w:rsidRPr="00743A9C">
          <w:rPr>
            <w:rFonts w:ascii="Arial" w:hAnsi="Arial" w:cs="Arial"/>
            <w:sz w:val="20"/>
            <w:szCs w:val="20"/>
            <w:highlight w:val="yellow"/>
          </w:rPr>
          <w:t>Atmospheric and Climate Sciences</w:t>
        </w:r>
      </w:hyperlink>
      <w:r w:rsidRPr="00743A9C">
        <w:rPr>
          <w:rFonts w:ascii="Arial" w:hAnsi="Arial" w:cs="Arial"/>
          <w:sz w:val="20"/>
          <w:szCs w:val="20"/>
          <w:highlight w:val="yellow"/>
        </w:rPr>
        <w:t> </w:t>
      </w:r>
      <w:hyperlink r:id="rId35" w:tgtFrame="_blank" w:history="1">
        <w:r w:rsidRPr="00743A9C">
          <w:rPr>
            <w:rFonts w:ascii="Arial" w:hAnsi="Arial" w:cs="Arial"/>
            <w:sz w:val="20"/>
            <w:szCs w:val="20"/>
            <w:highlight w:val="yellow"/>
          </w:rPr>
          <w:t>Vol.16 No.2</w:t>
        </w:r>
      </w:hyperlink>
      <w:r w:rsidRPr="00743A9C">
        <w:rPr>
          <w:rFonts w:ascii="Arial" w:hAnsi="Arial" w:cs="Arial"/>
          <w:sz w:val="20"/>
          <w:szCs w:val="20"/>
          <w:highlight w:val="yellow"/>
        </w:rPr>
        <w:t xml:space="preserve">,  February 11, 2026. </w:t>
      </w:r>
      <w:r w:rsidRPr="00743A9C">
        <w:rPr>
          <w:rStyle w:val="Hyperlink"/>
          <w:rFonts w:ascii="Arial" w:hAnsi="Arial" w:cs="Arial"/>
          <w:sz w:val="20"/>
          <w:szCs w:val="20"/>
          <w:lang w:val="en-US"/>
        </w:rPr>
        <w:t>DOI: </w:t>
      </w:r>
      <w:hyperlink r:id="rId36" w:tgtFrame="_blank" w:history="1">
        <w:r w:rsidRPr="00743A9C">
          <w:rPr>
            <w:rStyle w:val="Hyperlink"/>
            <w:rFonts w:ascii="Arial" w:hAnsi="Arial" w:cs="Arial"/>
            <w:sz w:val="20"/>
            <w:szCs w:val="20"/>
            <w:lang w:val="en-US"/>
          </w:rPr>
          <w:t>10.4236/acs.2026.162015</w:t>
        </w:r>
      </w:hyperlink>
      <w:r w:rsidRPr="00743A9C">
        <w:rPr>
          <w:rFonts w:ascii="Arial" w:hAnsi="Arial" w:cs="Arial"/>
          <w:sz w:val="20"/>
          <w:szCs w:val="20"/>
        </w:rPr>
        <w:t>  </w:t>
      </w:r>
    </w:p>
    <w:p w14:paraId="23535655" w14:textId="77777777" w:rsidR="008B3D7E" w:rsidRPr="00743A9C" w:rsidRDefault="008B3D7E" w:rsidP="00743A9C">
      <w:pPr>
        <w:pStyle w:val="ListParagraph"/>
        <w:numPr>
          <w:ilvl w:val="0"/>
          <w:numId w:val="6"/>
        </w:numPr>
        <w:spacing w:after="0" w:line="240" w:lineRule="auto"/>
        <w:jc w:val="both"/>
        <w:rPr>
          <w:rFonts w:ascii="Arial" w:hAnsi="Arial" w:cs="Arial"/>
          <w:sz w:val="20"/>
          <w:szCs w:val="20"/>
          <w:lang w:val="en-US"/>
        </w:rPr>
      </w:pPr>
      <w:bookmarkStart w:id="3" w:name="_Hlk222052413"/>
      <w:proofErr w:type="spellStart"/>
      <w:r w:rsidRPr="00743A9C">
        <w:rPr>
          <w:rFonts w:ascii="Arial" w:hAnsi="Arial" w:cs="Arial"/>
          <w:sz w:val="20"/>
          <w:szCs w:val="20"/>
          <w:lang w:val="en-US"/>
        </w:rPr>
        <w:t>Piou</w:t>
      </w:r>
      <w:proofErr w:type="spellEnd"/>
      <w:r w:rsidRPr="00743A9C">
        <w:rPr>
          <w:rFonts w:ascii="Arial" w:hAnsi="Arial" w:cs="Arial"/>
          <w:sz w:val="20"/>
          <w:szCs w:val="20"/>
          <w:lang w:val="en-US"/>
        </w:rPr>
        <w:t xml:space="preserve"> </w:t>
      </w:r>
      <w:proofErr w:type="spellStart"/>
      <w:r w:rsidRPr="00743A9C">
        <w:rPr>
          <w:rFonts w:ascii="Arial" w:hAnsi="Arial" w:cs="Arial"/>
          <w:sz w:val="20"/>
          <w:szCs w:val="20"/>
          <w:lang w:val="en-US"/>
        </w:rPr>
        <w:t>Dobo</w:t>
      </w:r>
      <w:proofErr w:type="spellEnd"/>
      <w:r w:rsidRPr="00743A9C">
        <w:rPr>
          <w:rFonts w:ascii="Arial" w:hAnsi="Arial" w:cs="Arial"/>
          <w:sz w:val="20"/>
          <w:szCs w:val="20"/>
          <w:lang w:val="en-US"/>
        </w:rPr>
        <w:t xml:space="preserve"> </w:t>
      </w:r>
      <w:proofErr w:type="spellStart"/>
      <w:r w:rsidRPr="00743A9C">
        <w:rPr>
          <w:rFonts w:ascii="Arial" w:hAnsi="Arial" w:cs="Arial"/>
          <w:sz w:val="20"/>
          <w:szCs w:val="20"/>
          <w:lang w:val="en-US"/>
        </w:rPr>
        <w:t>Guilavogui</w:t>
      </w:r>
      <w:proofErr w:type="spellEnd"/>
      <w:r w:rsidRPr="00743A9C">
        <w:rPr>
          <w:rFonts w:ascii="Arial" w:hAnsi="Arial" w:cs="Arial"/>
          <w:sz w:val="20"/>
          <w:szCs w:val="20"/>
          <w:lang w:val="en-US"/>
        </w:rPr>
        <w:t xml:space="preserve">, </w:t>
      </w:r>
      <w:proofErr w:type="spellStart"/>
      <w:r w:rsidRPr="00743A9C">
        <w:rPr>
          <w:rFonts w:ascii="Arial" w:hAnsi="Arial" w:cs="Arial"/>
          <w:sz w:val="20"/>
          <w:szCs w:val="20"/>
          <w:lang w:val="en-US"/>
        </w:rPr>
        <w:t>Ibrahima</w:t>
      </w:r>
      <w:proofErr w:type="spellEnd"/>
      <w:r w:rsidRPr="00743A9C">
        <w:rPr>
          <w:rFonts w:ascii="Arial" w:hAnsi="Arial" w:cs="Arial"/>
          <w:sz w:val="20"/>
          <w:szCs w:val="20"/>
          <w:lang w:val="en-US"/>
        </w:rPr>
        <w:t xml:space="preserve"> Kalil Kante, Magbini Tokpa Mamy Indicators of Spatio-Temporal Changes in Rainfall in Forest Guinea. Atmospheric and Climate Sciences, (2025). 15(2), 462-475. </w:t>
      </w:r>
      <w:r w:rsidRPr="00743A9C">
        <w:rPr>
          <w:rStyle w:val="Hyperlink"/>
          <w:rFonts w:ascii="Arial" w:hAnsi="Arial" w:cs="Arial"/>
          <w:sz w:val="20"/>
          <w:szCs w:val="20"/>
          <w:lang w:val="en-US"/>
        </w:rPr>
        <w:t>https://doi.org/10.4236/acs.2025.152024.</w:t>
      </w:r>
      <w:r w:rsidRPr="00743A9C">
        <w:rPr>
          <w:rFonts w:ascii="Arial" w:hAnsi="Arial" w:cs="Arial"/>
          <w:sz w:val="20"/>
          <w:szCs w:val="20"/>
          <w:lang w:val="en-US"/>
        </w:rPr>
        <w:t xml:space="preserve"> </w:t>
      </w:r>
    </w:p>
    <w:p w14:paraId="4F23B2DA" w14:textId="77777777" w:rsidR="008B3D7E" w:rsidRPr="00743A9C" w:rsidRDefault="008B3D7E" w:rsidP="00743A9C">
      <w:pPr>
        <w:pStyle w:val="ListParagraph"/>
        <w:numPr>
          <w:ilvl w:val="0"/>
          <w:numId w:val="6"/>
        </w:numPr>
        <w:spacing w:after="0" w:line="240" w:lineRule="auto"/>
        <w:jc w:val="both"/>
        <w:rPr>
          <w:rFonts w:ascii="Arial" w:hAnsi="Arial" w:cs="Arial"/>
          <w:sz w:val="20"/>
          <w:szCs w:val="20"/>
          <w:lang w:val="en-US"/>
        </w:rPr>
      </w:pPr>
      <w:proofErr w:type="spellStart"/>
      <w:r w:rsidRPr="00743A9C">
        <w:rPr>
          <w:rFonts w:ascii="Arial" w:hAnsi="Arial" w:cs="Arial"/>
          <w:sz w:val="20"/>
          <w:szCs w:val="20"/>
          <w:lang w:val="en-US"/>
        </w:rPr>
        <w:t>Piou</w:t>
      </w:r>
      <w:proofErr w:type="spellEnd"/>
      <w:r w:rsidRPr="00743A9C">
        <w:rPr>
          <w:rFonts w:ascii="Arial" w:hAnsi="Arial" w:cs="Arial"/>
          <w:sz w:val="20"/>
          <w:szCs w:val="20"/>
          <w:lang w:val="en-US"/>
        </w:rPr>
        <w:t xml:space="preserve"> </w:t>
      </w:r>
      <w:proofErr w:type="spellStart"/>
      <w:r w:rsidRPr="00743A9C">
        <w:rPr>
          <w:rFonts w:ascii="Arial" w:hAnsi="Arial" w:cs="Arial"/>
          <w:sz w:val="20"/>
          <w:szCs w:val="20"/>
          <w:lang w:val="en-US"/>
        </w:rPr>
        <w:t>Dobo</w:t>
      </w:r>
      <w:proofErr w:type="spellEnd"/>
      <w:r w:rsidRPr="00743A9C">
        <w:rPr>
          <w:rFonts w:ascii="Arial" w:hAnsi="Arial" w:cs="Arial"/>
          <w:sz w:val="20"/>
          <w:szCs w:val="20"/>
          <w:lang w:val="en-US"/>
        </w:rPr>
        <w:t xml:space="preserve"> </w:t>
      </w:r>
      <w:proofErr w:type="spellStart"/>
      <w:r w:rsidRPr="00743A9C">
        <w:rPr>
          <w:rFonts w:ascii="Arial" w:hAnsi="Arial" w:cs="Arial"/>
          <w:sz w:val="20"/>
          <w:szCs w:val="20"/>
          <w:lang w:val="en-US"/>
        </w:rPr>
        <w:t>Guilavogui</w:t>
      </w:r>
      <w:proofErr w:type="spellEnd"/>
      <w:r w:rsidRPr="00743A9C">
        <w:rPr>
          <w:rFonts w:ascii="Arial" w:hAnsi="Arial" w:cs="Arial"/>
          <w:sz w:val="20"/>
          <w:szCs w:val="20"/>
          <w:lang w:val="en-US"/>
        </w:rPr>
        <w:t xml:space="preserve">, </w:t>
      </w:r>
      <w:proofErr w:type="spellStart"/>
      <w:r w:rsidRPr="00743A9C">
        <w:rPr>
          <w:rFonts w:ascii="Arial" w:hAnsi="Arial" w:cs="Arial"/>
          <w:sz w:val="20"/>
          <w:szCs w:val="20"/>
          <w:lang w:val="en-US"/>
        </w:rPr>
        <w:t>Magbini</w:t>
      </w:r>
      <w:proofErr w:type="spellEnd"/>
      <w:r w:rsidRPr="00743A9C">
        <w:rPr>
          <w:rFonts w:ascii="Arial" w:hAnsi="Arial" w:cs="Arial"/>
          <w:sz w:val="20"/>
          <w:szCs w:val="20"/>
          <w:lang w:val="en-US"/>
        </w:rPr>
        <w:t xml:space="preserve"> Tokpa Mamy, Binko Mamady Toure, Idrissa Diaby (2025). Determination of Flood Risk Thresholds and Analysis of Rainfall Frequency in the Diani Watershed, Forest Guinea. Atmospheric and Climate Sciences, 15(3), 681-695. </w:t>
      </w:r>
      <w:hyperlink r:id="rId37" w:history="1">
        <w:r w:rsidRPr="00743A9C">
          <w:rPr>
            <w:rStyle w:val="Hyperlink"/>
            <w:rFonts w:ascii="Arial" w:hAnsi="Arial" w:cs="Arial"/>
            <w:sz w:val="20"/>
            <w:szCs w:val="20"/>
            <w:lang w:val="en-US"/>
          </w:rPr>
          <w:t>https://doi.org/10.4236/acs.2025.153034</w:t>
        </w:r>
      </w:hyperlink>
    </w:p>
    <w:p w14:paraId="279122F9" w14:textId="77777777" w:rsidR="008B3D7E" w:rsidRPr="00743A9C" w:rsidRDefault="008B3D7E" w:rsidP="00743A9C">
      <w:pPr>
        <w:pStyle w:val="ListParagraph"/>
        <w:numPr>
          <w:ilvl w:val="0"/>
          <w:numId w:val="6"/>
        </w:numPr>
        <w:spacing w:after="0" w:line="240" w:lineRule="auto"/>
        <w:jc w:val="both"/>
        <w:rPr>
          <w:rFonts w:ascii="Arial" w:hAnsi="Arial" w:cs="Arial"/>
          <w:sz w:val="20"/>
          <w:szCs w:val="20"/>
          <w:highlight w:val="yellow"/>
          <w:lang w:val="en-US"/>
        </w:rPr>
      </w:pPr>
      <w:r w:rsidRPr="00743A9C">
        <w:rPr>
          <w:rFonts w:ascii="Arial" w:hAnsi="Arial" w:cs="Arial"/>
          <w:sz w:val="20"/>
          <w:szCs w:val="20"/>
          <w:highlight w:val="yellow"/>
          <w:lang w:val="en-US"/>
        </w:rPr>
        <w:t xml:space="preserve">Sisay E. Debele, Prashant Kumara, Jeetendra Sahani, Belen Marti-Cardona, Slobodan B. Mickovski, Laura S. Leo, Federico Porcù, Flavio Bertini, Danilo Montesi, Zoran Vojinovic, Silvana Di Sabatino. Nature-based solutions for hydro-meteorological hazards: Revised concepts, classification schemes and databases. Environmental Research, 179 (2019) 108799 </w:t>
      </w:r>
      <w:hyperlink r:id="rId38" w:history="1">
        <w:r w:rsidRPr="00743A9C">
          <w:rPr>
            <w:rStyle w:val="Hyperlink"/>
            <w:rFonts w:ascii="Arial" w:hAnsi="Arial" w:cs="Arial"/>
            <w:sz w:val="20"/>
            <w:szCs w:val="20"/>
            <w:highlight w:val="yellow"/>
            <w:lang w:val="en-US"/>
          </w:rPr>
          <w:t>https://doi.org/10.1016/j.envres.2019.108799</w:t>
        </w:r>
      </w:hyperlink>
    </w:p>
    <w:p w14:paraId="05F772C4" w14:textId="77777777" w:rsidR="008B3D7E" w:rsidRPr="00743A9C" w:rsidRDefault="008B3D7E" w:rsidP="00743A9C">
      <w:pPr>
        <w:pStyle w:val="ListParagraph"/>
        <w:numPr>
          <w:ilvl w:val="0"/>
          <w:numId w:val="6"/>
        </w:numPr>
        <w:spacing w:after="0"/>
        <w:jc w:val="both"/>
        <w:rPr>
          <w:rFonts w:ascii="Arial" w:hAnsi="Arial" w:cs="Arial"/>
          <w:sz w:val="20"/>
          <w:szCs w:val="20"/>
        </w:rPr>
      </w:pPr>
      <w:r w:rsidRPr="00743A9C">
        <w:rPr>
          <w:rFonts w:ascii="Arial" w:hAnsi="Arial" w:cs="Arial"/>
          <w:sz w:val="20"/>
          <w:szCs w:val="20"/>
          <w:highlight w:val="yellow"/>
        </w:rPr>
        <w:t xml:space="preserve">Yacouba CAMARA, Oumar KEITA, Amadou </w:t>
      </w:r>
      <w:proofErr w:type="spellStart"/>
      <w:r w:rsidRPr="00743A9C">
        <w:rPr>
          <w:rFonts w:ascii="Arial" w:hAnsi="Arial" w:cs="Arial"/>
          <w:sz w:val="20"/>
          <w:szCs w:val="20"/>
          <w:highlight w:val="yellow"/>
        </w:rPr>
        <w:t>Lamarana</w:t>
      </w:r>
      <w:proofErr w:type="spellEnd"/>
      <w:r w:rsidRPr="00743A9C">
        <w:rPr>
          <w:rFonts w:ascii="Arial" w:hAnsi="Arial" w:cs="Arial"/>
          <w:sz w:val="20"/>
          <w:szCs w:val="20"/>
          <w:highlight w:val="yellow"/>
        </w:rPr>
        <w:t xml:space="preserve"> BAH and </w:t>
      </w:r>
      <w:proofErr w:type="spellStart"/>
      <w:r w:rsidRPr="00743A9C">
        <w:rPr>
          <w:rFonts w:ascii="Arial" w:hAnsi="Arial" w:cs="Arial"/>
          <w:sz w:val="20"/>
          <w:szCs w:val="20"/>
          <w:highlight w:val="yellow"/>
        </w:rPr>
        <w:t>Nénè</w:t>
      </w:r>
      <w:proofErr w:type="spellEnd"/>
      <w:r w:rsidRPr="00743A9C">
        <w:rPr>
          <w:rFonts w:ascii="Arial" w:hAnsi="Arial" w:cs="Arial"/>
          <w:sz w:val="20"/>
          <w:szCs w:val="20"/>
          <w:highlight w:val="yellow"/>
        </w:rPr>
        <w:t xml:space="preserve"> Aissata BALDE.  </w:t>
      </w:r>
      <w:proofErr w:type="spellStart"/>
      <w:r w:rsidRPr="00743A9C">
        <w:rPr>
          <w:rFonts w:ascii="Arial" w:hAnsi="Arial" w:cs="Arial"/>
          <w:sz w:val="20"/>
          <w:szCs w:val="20"/>
          <w:highlight w:val="yellow"/>
        </w:rPr>
        <w:t>Study</w:t>
      </w:r>
      <w:proofErr w:type="spellEnd"/>
      <w:r w:rsidRPr="00743A9C">
        <w:rPr>
          <w:rFonts w:ascii="Arial" w:hAnsi="Arial" w:cs="Arial"/>
          <w:sz w:val="20"/>
          <w:szCs w:val="20"/>
          <w:highlight w:val="yellow"/>
        </w:rPr>
        <w:t xml:space="preserve"> of the </w:t>
      </w:r>
      <w:proofErr w:type="spellStart"/>
      <w:r w:rsidRPr="00743A9C">
        <w:rPr>
          <w:rFonts w:ascii="Arial" w:hAnsi="Arial" w:cs="Arial"/>
          <w:sz w:val="20"/>
          <w:szCs w:val="20"/>
          <w:highlight w:val="yellow"/>
        </w:rPr>
        <w:t>variability</w:t>
      </w:r>
      <w:proofErr w:type="spellEnd"/>
      <w:r w:rsidRPr="00743A9C">
        <w:rPr>
          <w:rFonts w:ascii="Arial" w:hAnsi="Arial" w:cs="Arial"/>
          <w:sz w:val="20"/>
          <w:szCs w:val="20"/>
          <w:highlight w:val="yellow"/>
        </w:rPr>
        <w:t xml:space="preserve"> of the </w:t>
      </w:r>
      <w:proofErr w:type="spellStart"/>
      <w:r w:rsidRPr="00743A9C">
        <w:rPr>
          <w:rFonts w:ascii="Arial" w:hAnsi="Arial" w:cs="Arial"/>
          <w:sz w:val="20"/>
          <w:szCs w:val="20"/>
          <w:highlight w:val="yellow"/>
        </w:rPr>
        <w:t>hydrological</w:t>
      </w:r>
      <w:proofErr w:type="spellEnd"/>
      <w:r w:rsidRPr="00743A9C">
        <w:rPr>
          <w:rFonts w:ascii="Arial" w:hAnsi="Arial" w:cs="Arial"/>
          <w:sz w:val="20"/>
          <w:szCs w:val="20"/>
          <w:highlight w:val="yellow"/>
        </w:rPr>
        <w:t xml:space="preserve"> </w:t>
      </w:r>
      <w:proofErr w:type="spellStart"/>
      <w:r w:rsidRPr="00743A9C">
        <w:rPr>
          <w:rFonts w:ascii="Arial" w:hAnsi="Arial" w:cs="Arial"/>
          <w:sz w:val="20"/>
          <w:szCs w:val="20"/>
          <w:highlight w:val="yellow"/>
        </w:rPr>
        <w:t>regime</w:t>
      </w:r>
      <w:proofErr w:type="spellEnd"/>
      <w:r w:rsidRPr="00743A9C">
        <w:rPr>
          <w:rFonts w:ascii="Arial" w:hAnsi="Arial" w:cs="Arial"/>
          <w:sz w:val="20"/>
          <w:szCs w:val="20"/>
          <w:highlight w:val="yellow"/>
        </w:rPr>
        <w:t xml:space="preserve"> of the </w:t>
      </w:r>
      <w:proofErr w:type="spellStart"/>
      <w:r w:rsidRPr="00743A9C">
        <w:rPr>
          <w:rFonts w:ascii="Arial" w:hAnsi="Arial" w:cs="Arial"/>
          <w:sz w:val="20"/>
          <w:szCs w:val="20"/>
          <w:highlight w:val="yellow"/>
        </w:rPr>
        <w:t>diani</w:t>
      </w:r>
      <w:proofErr w:type="spellEnd"/>
      <w:r w:rsidRPr="00743A9C">
        <w:rPr>
          <w:rFonts w:ascii="Arial" w:hAnsi="Arial" w:cs="Arial"/>
          <w:sz w:val="20"/>
          <w:szCs w:val="20"/>
          <w:highlight w:val="yellow"/>
        </w:rPr>
        <w:t xml:space="preserve"> river in the N’</w:t>
      </w:r>
      <w:proofErr w:type="spellStart"/>
      <w:r w:rsidRPr="00743A9C">
        <w:rPr>
          <w:rFonts w:ascii="Arial" w:hAnsi="Arial" w:cs="Arial"/>
          <w:sz w:val="20"/>
          <w:szCs w:val="20"/>
          <w:highlight w:val="yellow"/>
        </w:rPr>
        <w:t>Zerekore</w:t>
      </w:r>
      <w:proofErr w:type="spellEnd"/>
      <w:r w:rsidRPr="00743A9C">
        <w:rPr>
          <w:rFonts w:ascii="Arial" w:hAnsi="Arial" w:cs="Arial"/>
          <w:sz w:val="20"/>
          <w:szCs w:val="20"/>
          <w:highlight w:val="yellow"/>
        </w:rPr>
        <w:t xml:space="preserve"> </w:t>
      </w:r>
      <w:proofErr w:type="spellStart"/>
      <w:r w:rsidRPr="00743A9C">
        <w:rPr>
          <w:rFonts w:ascii="Arial" w:hAnsi="Arial" w:cs="Arial"/>
          <w:sz w:val="20"/>
          <w:szCs w:val="20"/>
          <w:highlight w:val="yellow"/>
        </w:rPr>
        <w:t>region</w:t>
      </w:r>
      <w:proofErr w:type="spellEnd"/>
      <w:r w:rsidRPr="00743A9C">
        <w:rPr>
          <w:rFonts w:ascii="Arial" w:hAnsi="Arial" w:cs="Arial"/>
          <w:sz w:val="20"/>
          <w:szCs w:val="20"/>
          <w:highlight w:val="yellow"/>
        </w:rPr>
        <w:t xml:space="preserve"> in the Republic of Guinea. International Journal of </w:t>
      </w:r>
      <w:proofErr w:type="spellStart"/>
      <w:r w:rsidRPr="00743A9C">
        <w:rPr>
          <w:rFonts w:ascii="Arial" w:hAnsi="Arial" w:cs="Arial"/>
          <w:sz w:val="20"/>
          <w:szCs w:val="20"/>
          <w:highlight w:val="yellow"/>
        </w:rPr>
        <w:t>Current</w:t>
      </w:r>
      <w:proofErr w:type="spellEnd"/>
      <w:r w:rsidRPr="00743A9C">
        <w:rPr>
          <w:rFonts w:ascii="Arial" w:hAnsi="Arial" w:cs="Arial"/>
          <w:sz w:val="20"/>
          <w:szCs w:val="20"/>
          <w:highlight w:val="yellow"/>
        </w:rPr>
        <w:t xml:space="preserve"> </w:t>
      </w:r>
      <w:proofErr w:type="spellStart"/>
      <w:r w:rsidRPr="00743A9C">
        <w:rPr>
          <w:rFonts w:ascii="Arial" w:hAnsi="Arial" w:cs="Arial"/>
          <w:sz w:val="20"/>
          <w:szCs w:val="20"/>
          <w:highlight w:val="yellow"/>
        </w:rPr>
        <w:t>Research</w:t>
      </w:r>
      <w:proofErr w:type="spellEnd"/>
      <w:r w:rsidRPr="00743A9C">
        <w:rPr>
          <w:rFonts w:ascii="Arial" w:hAnsi="Arial" w:cs="Arial"/>
          <w:sz w:val="20"/>
          <w:szCs w:val="20"/>
          <w:highlight w:val="yellow"/>
        </w:rPr>
        <w:t xml:space="preserve"> Vol. 15, Issue, 12, pp.26654-26658, December, 2023. </w:t>
      </w:r>
      <w:r w:rsidRPr="00743A9C">
        <w:rPr>
          <w:rStyle w:val="Hyperlink"/>
          <w:highlight w:val="yellow"/>
          <w:lang w:val="en-US"/>
        </w:rPr>
        <w:t>DOI: https://doi.org/10.24941/ijcr.46376.12.2023</w:t>
      </w:r>
    </w:p>
    <w:bookmarkEnd w:id="3"/>
    <w:p w14:paraId="760999B3" w14:textId="77777777" w:rsidR="004639D2" w:rsidRPr="004639D2" w:rsidRDefault="004639D2" w:rsidP="004639D2">
      <w:pPr>
        <w:jc w:val="both"/>
      </w:pPr>
    </w:p>
    <w:p w14:paraId="4FF85193" w14:textId="3CBFD92D" w:rsidR="004639D2" w:rsidRPr="004639D2" w:rsidRDefault="004639D2" w:rsidP="004639D2">
      <w:pPr>
        <w:jc w:val="both"/>
      </w:pPr>
    </w:p>
    <w:p w14:paraId="23E5ABF1" w14:textId="77777777" w:rsidR="004639D2" w:rsidRDefault="004639D2" w:rsidP="00B94B81">
      <w:pPr>
        <w:jc w:val="both"/>
        <w:rPr>
          <w:lang w:val="en-US"/>
        </w:rPr>
      </w:pPr>
    </w:p>
    <w:p w14:paraId="4DFCAA79" w14:textId="77777777" w:rsidR="005B00C8" w:rsidRPr="00D93721" w:rsidRDefault="005B00C8" w:rsidP="00B94B81">
      <w:pPr>
        <w:jc w:val="both"/>
        <w:rPr>
          <w:lang w:val="en-US"/>
        </w:rPr>
      </w:pPr>
    </w:p>
    <w:sectPr w:rsidR="005B00C8" w:rsidRPr="00D93721">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88D97" w14:textId="77777777" w:rsidR="00B35C0F" w:rsidRDefault="00B35C0F" w:rsidP="0095106A">
      <w:pPr>
        <w:spacing w:after="0" w:line="240" w:lineRule="auto"/>
      </w:pPr>
      <w:r>
        <w:separator/>
      </w:r>
    </w:p>
  </w:endnote>
  <w:endnote w:type="continuationSeparator" w:id="0">
    <w:p w14:paraId="375AAED6" w14:textId="77777777" w:rsidR="00B35C0F" w:rsidRDefault="00B35C0F" w:rsidP="0095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erif CJK SC">
    <w:altName w:val="HGPMinchoE"/>
    <w:charset w:val="80"/>
    <w:family w:val="roman"/>
    <w:pitch w:val="variable"/>
    <w:sig w:usb0="30000083" w:usb1="2BDF3C10" w:usb2="00000016" w:usb3="00000000" w:csb0="002E010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4FC22" w14:textId="77777777" w:rsidR="0095106A" w:rsidRDefault="00951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5A1B6" w14:textId="77777777" w:rsidR="0095106A" w:rsidRDefault="00951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EA90" w14:textId="77777777" w:rsidR="0095106A" w:rsidRDefault="00951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80111" w14:textId="77777777" w:rsidR="00B35C0F" w:rsidRDefault="00B35C0F" w:rsidP="0095106A">
      <w:pPr>
        <w:spacing w:after="0" w:line="240" w:lineRule="auto"/>
      </w:pPr>
      <w:r>
        <w:separator/>
      </w:r>
    </w:p>
  </w:footnote>
  <w:footnote w:type="continuationSeparator" w:id="0">
    <w:p w14:paraId="0433D774" w14:textId="77777777" w:rsidR="00B35C0F" w:rsidRDefault="00B35C0F" w:rsidP="00951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67956" w14:textId="0667EE82" w:rsidR="0095106A" w:rsidRDefault="00CD1D06">
    <w:pPr>
      <w:pStyle w:val="Header"/>
    </w:pPr>
    <w:r>
      <w:rPr>
        <w:noProof/>
      </w:rPr>
      <mc:AlternateContent>
        <mc:Choice Requires="wps">
          <w:drawing>
            <wp:anchor distT="0" distB="0" distL="114300" distR="114300" simplePos="0" relativeHeight="251656704" behindDoc="1" locked="0" layoutInCell="0" allowOverlap="1" wp14:anchorId="36E89EE7" wp14:editId="0FD20073">
              <wp:simplePos x="0" y="0"/>
              <wp:positionH relativeFrom="margin">
                <wp:align>center</wp:align>
              </wp:positionH>
              <wp:positionV relativeFrom="margin">
                <wp:align>center</wp:align>
              </wp:positionV>
              <wp:extent cx="6833235" cy="1288415"/>
              <wp:effectExtent l="0" t="2124075" r="0" b="1864360"/>
              <wp:wrapNone/>
              <wp:docPr id="187112083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33235" cy="12884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6216D0" w14:textId="77777777" w:rsidR="00CD1D06" w:rsidRDefault="00CD1D06" w:rsidP="00CD1D0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6E89EE7" id="_x0000_t202" coordsize="21600,21600" o:spt="202" path="m,l,21600r21600,l21600,xe">
              <v:stroke joinstyle="miter"/>
              <v:path gradientshapeok="t" o:connecttype="rect"/>
            </v:shapetype>
            <v:shape id="Zone de texte 1" o:spid="_x0000_s1026" type="#_x0000_t202" style="position:absolute;margin-left:0;margin-top:0;width:538.05pt;height:101.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" o:allowincell="f" filled="f" stroked="f">
              <v:stroke joinstyle="round"/>
              <o:lock v:ext="edit" shapetype="t"/>
              <v:textbox style="mso-fit-shape-to-text:t">
                <w:txbxContent>
                  <w:p w14:paraId="1C6216D0" w14:textId="77777777" w:rsidR="00CD1D06" w:rsidRDefault="00CD1D06" w:rsidP="00CD1D0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39B9" w14:textId="4FE1C2A9" w:rsidR="0095106A" w:rsidRDefault="00CD1D06">
    <w:pPr>
      <w:pStyle w:val="Header"/>
    </w:pPr>
    <w:r>
      <w:rPr>
        <w:noProof/>
      </w:rPr>
      <mc:AlternateContent>
        <mc:Choice Requires="wps">
          <w:drawing>
            <wp:anchor distT="0" distB="0" distL="114300" distR="114300" simplePos="0" relativeHeight="251657728" behindDoc="1" locked="0" layoutInCell="0" allowOverlap="1" wp14:anchorId="406A089F" wp14:editId="403F1A53">
              <wp:simplePos x="0" y="0"/>
              <wp:positionH relativeFrom="margin">
                <wp:align>center</wp:align>
              </wp:positionH>
              <wp:positionV relativeFrom="margin">
                <wp:align>center</wp:align>
              </wp:positionV>
              <wp:extent cx="6833235" cy="1288415"/>
              <wp:effectExtent l="0" t="2124075" r="0" b="1864360"/>
              <wp:wrapNone/>
              <wp:docPr id="2096566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33235" cy="12884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C96014" w14:textId="77777777" w:rsidR="00CD1D06" w:rsidRDefault="00CD1D06" w:rsidP="00CD1D0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06A089F" id="_x0000_t202" coordsize="21600,21600" o:spt="202" path="m,l,21600r21600,l21600,xe">
              <v:stroke joinstyle="miter"/>
              <v:path gradientshapeok="t" o:connecttype="rect"/>
            </v:shapetype>
            <v:shape id="Zone de texte 2" o:spid="_x0000_s1027" type="#_x0000_t202" style="position:absolute;margin-left:0;margin-top:0;width:538.05pt;height:101.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" o:allowincell="f" filled="f" stroked="f">
              <v:stroke joinstyle="round"/>
              <o:lock v:ext="edit" shapetype="t"/>
              <v:textbox style="mso-fit-shape-to-text:t">
                <w:txbxContent>
                  <w:p w14:paraId="0AC96014" w14:textId="77777777" w:rsidR="00CD1D06" w:rsidRDefault="00CD1D06" w:rsidP="00CD1D0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CDF8" w14:textId="7AE4EA35" w:rsidR="0095106A" w:rsidRDefault="00B35C0F">
    <w:pPr>
      <w:pStyle w:val="Header"/>
    </w:pPr>
    <w:r>
      <w:rPr>
        <w:noProof/>
      </w:rPr>
      <w:pict w14:anchorId="0C6E3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73F3A"/>
    <w:multiLevelType w:val="hybridMultilevel"/>
    <w:tmpl w:val="995C025A"/>
    <w:lvl w:ilvl="0" w:tplc="8EF49278">
      <w:start w:val="4"/>
      <w:numFmt w:val="bullet"/>
      <w:lvlText w:val="-"/>
      <w:lvlJc w:val="left"/>
      <w:pPr>
        <w:ind w:left="720" w:hanging="360"/>
      </w:pPr>
      <w:rPr>
        <w:rFonts w:ascii="Arial" w:eastAsia="Noto Serif CJK SC" w:hAnsi="Arial" w:cs="Arial"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AE961EB"/>
    <w:multiLevelType w:val="hybridMultilevel"/>
    <w:tmpl w:val="6D9A4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966EE"/>
    <w:multiLevelType w:val="hybridMultilevel"/>
    <w:tmpl w:val="D2E2D464"/>
    <w:lvl w:ilvl="0" w:tplc="9402B0AC">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39559E"/>
    <w:multiLevelType w:val="multilevel"/>
    <w:tmpl w:val="9FE8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7148BA"/>
    <w:multiLevelType w:val="hybridMultilevel"/>
    <w:tmpl w:val="B234E0D4"/>
    <w:lvl w:ilvl="0" w:tplc="8EF49278">
      <w:start w:val="4"/>
      <w:numFmt w:val="bullet"/>
      <w:lvlText w:val="-"/>
      <w:lvlJc w:val="left"/>
      <w:pPr>
        <w:ind w:left="720" w:hanging="360"/>
      </w:pPr>
      <w:rPr>
        <w:rFonts w:ascii="Arial" w:eastAsia="Noto Serif CJK SC" w:hAnsi="Arial" w:cs="Arial"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F416871"/>
    <w:multiLevelType w:val="hybridMultilevel"/>
    <w:tmpl w:val="C13A4BCA"/>
    <w:lvl w:ilvl="0" w:tplc="DF2C5488">
      <w:start w:val="1"/>
      <w:numFmt w:val="decimal"/>
      <w:lvlText w:val="%1."/>
      <w:lvlJc w:val="left"/>
      <w:pPr>
        <w:ind w:left="720"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721"/>
    <w:rsid w:val="00003C4A"/>
    <w:rsid w:val="00074C6A"/>
    <w:rsid w:val="000862EB"/>
    <w:rsid w:val="00093393"/>
    <w:rsid w:val="000C3747"/>
    <w:rsid w:val="000C57B7"/>
    <w:rsid w:val="000E75AB"/>
    <w:rsid w:val="00122AF5"/>
    <w:rsid w:val="00180804"/>
    <w:rsid w:val="001B3100"/>
    <w:rsid w:val="001B34CC"/>
    <w:rsid w:val="00230D10"/>
    <w:rsid w:val="0026579C"/>
    <w:rsid w:val="0026693F"/>
    <w:rsid w:val="002B548B"/>
    <w:rsid w:val="003258AA"/>
    <w:rsid w:val="00365377"/>
    <w:rsid w:val="00374697"/>
    <w:rsid w:val="003C7900"/>
    <w:rsid w:val="0046332E"/>
    <w:rsid w:val="004639D2"/>
    <w:rsid w:val="00472473"/>
    <w:rsid w:val="004E47E2"/>
    <w:rsid w:val="00510062"/>
    <w:rsid w:val="0052402B"/>
    <w:rsid w:val="00536498"/>
    <w:rsid w:val="005570E0"/>
    <w:rsid w:val="005A220E"/>
    <w:rsid w:val="005B00C8"/>
    <w:rsid w:val="005C7A95"/>
    <w:rsid w:val="005D3FD0"/>
    <w:rsid w:val="005E060D"/>
    <w:rsid w:val="00623DEA"/>
    <w:rsid w:val="00660BF7"/>
    <w:rsid w:val="00680B1F"/>
    <w:rsid w:val="00690409"/>
    <w:rsid w:val="006A400D"/>
    <w:rsid w:val="00732307"/>
    <w:rsid w:val="00743A9C"/>
    <w:rsid w:val="00751F1F"/>
    <w:rsid w:val="00765E28"/>
    <w:rsid w:val="007807F0"/>
    <w:rsid w:val="007C4635"/>
    <w:rsid w:val="008874CA"/>
    <w:rsid w:val="008A65EE"/>
    <w:rsid w:val="008B3D7E"/>
    <w:rsid w:val="00914F92"/>
    <w:rsid w:val="00935C18"/>
    <w:rsid w:val="009425DB"/>
    <w:rsid w:val="00946FCD"/>
    <w:rsid w:val="0095106A"/>
    <w:rsid w:val="00977D09"/>
    <w:rsid w:val="009C6F94"/>
    <w:rsid w:val="009C779E"/>
    <w:rsid w:val="009C77BE"/>
    <w:rsid w:val="009D3358"/>
    <w:rsid w:val="009E561B"/>
    <w:rsid w:val="00A309DB"/>
    <w:rsid w:val="00A35634"/>
    <w:rsid w:val="00AA4F08"/>
    <w:rsid w:val="00AF041A"/>
    <w:rsid w:val="00B35C0F"/>
    <w:rsid w:val="00B42877"/>
    <w:rsid w:val="00B45CD0"/>
    <w:rsid w:val="00B828E5"/>
    <w:rsid w:val="00B94B81"/>
    <w:rsid w:val="00BB39CE"/>
    <w:rsid w:val="00C32CCA"/>
    <w:rsid w:val="00C8607D"/>
    <w:rsid w:val="00C91BAB"/>
    <w:rsid w:val="00CD1D06"/>
    <w:rsid w:val="00D61125"/>
    <w:rsid w:val="00D63CF2"/>
    <w:rsid w:val="00D6670C"/>
    <w:rsid w:val="00D93721"/>
    <w:rsid w:val="00E01FD2"/>
    <w:rsid w:val="00E11E68"/>
    <w:rsid w:val="00E2385C"/>
    <w:rsid w:val="00EE13AA"/>
    <w:rsid w:val="00F800C4"/>
    <w:rsid w:val="00FE3081"/>
    <w:rsid w:val="00FF2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244790"/>
  <w15:chartTrackingRefBased/>
  <w15:docId w15:val="{8128F26C-6720-45A4-B1D1-80971D25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B81"/>
    <w:pPr>
      <w:keepNext/>
      <w:keepLines/>
      <w:spacing w:after="0" w:line="240" w:lineRule="auto"/>
      <w:jc w:val="right"/>
      <w:outlineLvl w:val="0"/>
    </w:pPr>
    <w:rPr>
      <w:rFonts w:ascii="Arial" w:eastAsiaTheme="majorEastAsia" w:hAnsi="Arial" w:cstheme="majorBidi"/>
      <w:b/>
      <w:bCs/>
      <w:sz w:val="36"/>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9CE"/>
    <w:pPr>
      <w:ind w:left="720"/>
      <w:contextualSpacing/>
    </w:pPr>
  </w:style>
  <w:style w:type="table" w:customStyle="1" w:styleId="Grilledutableau1">
    <w:name w:val="Grille du tableau1"/>
    <w:basedOn w:val="TableNormal"/>
    <w:next w:val="TableGrid"/>
    <w:uiPriority w:val="39"/>
    <w:rsid w:val="006A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258AA"/>
    <w:rPr>
      <w:color w:val="0000FF"/>
      <w:u w:val="single"/>
    </w:rPr>
  </w:style>
  <w:style w:type="character" w:styleId="Emphasis">
    <w:name w:val="Emphasis"/>
    <w:basedOn w:val="DefaultParagraphFont"/>
    <w:uiPriority w:val="20"/>
    <w:qFormat/>
    <w:rsid w:val="003258AA"/>
    <w:rPr>
      <w:i/>
      <w:iCs/>
    </w:rPr>
  </w:style>
  <w:style w:type="character" w:customStyle="1" w:styleId="linkbluetoblue">
    <w:name w:val="linkbluetoblue"/>
    <w:basedOn w:val="DefaultParagraphFont"/>
    <w:rsid w:val="003258AA"/>
  </w:style>
  <w:style w:type="character" w:customStyle="1" w:styleId="Heading1Char">
    <w:name w:val="Heading 1 Char"/>
    <w:basedOn w:val="DefaultParagraphFont"/>
    <w:link w:val="Heading1"/>
    <w:uiPriority w:val="9"/>
    <w:rsid w:val="00B94B81"/>
    <w:rPr>
      <w:rFonts w:ascii="Arial" w:eastAsiaTheme="majorEastAsia" w:hAnsi="Arial" w:cstheme="majorBidi"/>
      <w:b/>
      <w:bCs/>
      <w:sz w:val="36"/>
      <w:szCs w:val="28"/>
      <w:lang w:val="en-US"/>
    </w:rPr>
  </w:style>
  <w:style w:type="paragraph" w:customStyle="1" w:styleId="LO-normal">
    <w:name w:val="LO-normal"/>
    <w:qFormat/>
    <w:rsid w:val="00B94B81"/>
    <w:pPr>
      <w:suppressAutoHyphens/>
      <w:spacing w:after="0" w:line="240" w:lineRule="auto"/>
    </w:pPr>
    <w:rPr>
      <w:rFonts w:ascii="Liberation Serif" w:eastAsia="Liberation Serif" w:hAnsi="Liberation Serif" w:cs="Liberation Serif"/>
      <w:sz w:val="24"/>
      <w:szCs w:val="24"/>
      <w:lang w:val="en-CA" w:eastAsia="zh-CN" w:bidi="hi-IN"/>
    </w:rPr>
  </w:style>
  <w:style w:type="character" w:styleId="UnresolvedMention">
    <w:name w:val="Unresolved Mention"/>
    <w:basedOn w:val="DefaultParagraphFont"/>
    <w:uiPriority w:val="99"/>
    <w:semiHidden/>
    <w:unhideWhenUsed/>
    <w:rsid w:val="009C779E"/>
    <w:rPr>
      <w:color w:val="605E5C"/>
      <w:shd w:val="clear" w:color="auto" w:fill="E1DFDD"/>
    </w:rPr>
  </w:style>
  <w:style w:type="paragraph" w:styleId="Header">
    <w:name w:val="header"/>
    <w:basedOn w:val="Normal"/>
    <w:link w:val="HeaderChar"/>
    <w:uiPriority w:val="99"/>
    <w:unhideWhenUsed/>
    <w:rsid w:val="00951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06A"/>
  </w:style>
  <w:style w:type="paragraph" w:styleId="Footer">
    <w:name w:val="footer"/>
    <w:basedOn w:val="Normal"/>
    <w:link w:val="FooterChar"/>
    <w:uiPriority w:val="99"/>
    <w:unhideWhenUsed/>
    <w:rsid w:val="00951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7202/1051697ar" TargetMode="External"/><Relationship Id="rId26" Type="http://schemas.openxmlformats.org/officeDocument/2006/relationships/hyperlink" Target="https://www.natural-hazards-and-earth-system-sciences.net/" TargetMode="External"/><Relationship Id="rId39" Type="http://schemas.openxmlformats.org/officeDocument/2006/relationships/header" Target="header1.xml"/><Relationship Id="rId21" Type="http://schemas.openxmlformats.org/officeDocument/2006/relationships/hyperlink" Target="https://doi.org/10.2166/nh.2013.010" TargetMode="External"/><Relationship Id="rId34" Type="http://schemas.openxmlformats.org/officeDocument/2006/relationships/hyperlink" Target="https://www.scirp.org/journal/journalarticles?journalid=492"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hal.science/hal-00373049/document" TargetMode="External"/><Relationship Id="rId29" Type="http://schemas.openxmlformats.org/officeDocument/2006/relationships/hyperlink" Target="https://doi.org/10.1093/biomet/90.1.1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4314/ijbcs.v9i1" TargetMode="External"/><Relationship Id="rId32" Type="http://schemas.openxmlformats.org/officeDocument/2006/relationships/hyperlink" Target="https://www.scirp.org/journal/articles?searchcode=Hugues-Yvan+Gomat&amp;searchfield=authors&amp;page=1" TargetMode="External"/><Relationship Id="rId37" Type="http://schemas.openxmlformats.org/officeDocument/2006/relationships/hyperlink" Target="https://doi.org/10.4236/acs.2025.153034"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623/hysj.52.1.49" TargetMode="External"/><Relationship Id="rId28" Type="http://schemas.openxmlformats.org/officeDocument/2006/relationships/hyperlink" Target="https://nhess.copernicus.org/articles/20/issue1.html" TargetMode="External"/><Relationship Id="rId36" Type="http://schemas.openxmlformats.org/officeDocument/2006/relationships/hyperlink" Target="https://doi.org/10.4236/acs.2026.162015" TargetMode="External"/><Relationship Id="rId10" Type="http://schemas.openxmlformats.org/officeDocument/2006/relationships/image" Target="media/image4.png"/><Relationship Id="rId19" Type="http://schemas.openxmlformats.org/officeDocument/2006/relationships/hyperlink" Target="https://doi.org/10.1016/j.oceaneng.2020.107937" TargetMode="External"/><Relationship Id="rId31" Type="http://schemas.openxmlformats.org/officeDocument/2006/relationships/hyperlink" Target="https://www.scirp.org/journal/articles?searchcode=Judical+Otongo&amp;searchfield=authors&amp;page=1"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hdl.handle.net/2268/197339" TargetMode="External"/><Relationship Id="rId27" Type="http://schemas.openxmlformats.org/officeDocument/2006/relationships/hyperlink" Target="https://www.natural-hazards-and-earth-system-sciences.net/" TargetMode="External"/><Relationship Id="rId30" Type="http://schemas.openxmlformats.org/officeDocument/2006/relationships/hyperlink" Target="https://www.scirp.org/journal/articles?searchcode=Jean+de+Dieu+Nzila&amp;searchfield=authors&amp;page=1" TargetMode="External"/><Relationship Id="rId35" Type="http://schemas.openxmlformats.org/officeDocument/2006/relationships/hyperlink" Target="https://www.scirp.org/journal/home?issueid=21689" TargetMode="External"/><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146/annurev-earth-071719-055228" TargetMode="External"/><Relationship Id="rId25" Type="http://schemas.openxmlformats.org/officeDocument/2006/relationships/hyperlink" Target="http://dx.doi.org/10.1007/0-387-34471-3" TargetMode="External"/><Relationship Id="rId33" Type="http://schemas.openxmlformats.org/officeDocument/2006/relationships/hyperlink" Target="https://www.scirp.org/journal/paperinformation?paperid=149550" TargetMode="External"/><Relationship Id="rId38" Type="http://schemas.openxmlformats.org/officeDocument/2006/relationships/hyperlink" Target="https://doi.org/10.1016/j.envres.2019.108799" TargetMode="External"/><Relationship Id="rId46" Type="http://schemas.openxmlformats.org/officeDocument/2006/relationships/theme" Target="theme/theme1.xml"/><Relationship Id="rId20" Type="http://schemas.openxmlformats.org/officeDocument/2006/relationships/hyperlink" Target="https://doi.org/10.3150/08-BEJ140" TargetMode="External"/><Relationship Id="rId41"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4145</Words>
  <Characters>23631</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Editor GP 005</cp:lastModifiedBy>
  <cp:revision>5</cp:revision>
  <dcterms:created xsi:type="dcterms:W3CDTF">2026-02-12T13:00:00Z</dcterms:created>
  <dcterms:modified xsi:type="dcterms:W3CDTF">2026-02-17T12:24:00Z</dcterms:modified>
</cp:coreProperties>
</file>