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2EE" w:rsidRDefault="00DA02EE" w:rsidP="00F505AA">
      <w:pPr>
        <w:pStyle w:val="Heading1"/>
        <w:jc w:val="both"/>
      </w:pPr>
      <w:r w:rsidRPr="00B567DD">
        <w:t>Integrated Nutrient Management for Sustainable Vegetable Production and Soil Health Improvement</w:t>
      </w:r>
    </w:p>
    <w:p w:rsidR="00B567DD" w:rsidRDefault="00B567DD" w:rsidP="00F505AA">
      <w:pPr>
        <w:spacing w:before="100" w:beforeAutospacing="1" w:after="100" w:afterAutospacing="1" w:line="240" w:lineRule="auto"/>
        <w:ind w:left="0" w:right="0" w:firstLine="0"/>
        <w:outlineLvl w:val="1"/>
        <w:rPr>
          <w:b/>
          <w:bCs/>
          <w:color w:val="auto"/>
          <w:kern w:val="0"/>
          <w:sz w:val="36"/>
          <w:szCs w:val="36"/>
          <w:lang w:val="en-US" w:eastAsia="en-US"/>
        </w:rPr>
      </w:pPr>
    </w:p>
    <w:p w:rsidR="00DA02EE" w:rsidRPr="00DA02EE" w:rsidRDefault="00DA02EE"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DA02EE">
        <w:rPr>
          <w:b/>
          <w:bCs/>
          <w:color w:val="auto"/>
          <w:kern w:val="0"/>
          <w:sz w:val="36"/>
          <w:szCs w:val="36"/>
          <w:lang w:val="en-US" w:eastAsia="en-US"/>
        </w:rPr>
        <w:t>Abstract</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t xml:space="preserve">Vegetable production systems are among the most nutrient- and management-intensive forms of agriculture, frequently </w:t>
      </w:r>
      <w:proofErr w:type="spellStart"/>
      <w:r w:rsidR="00742F25" w:rsidRPr="000C1F52">
        <w:rPr>
          <w:color w:val="auto"/>
          <w:kern w:val="0"/>
          <w:highlight w:val="yellow"/>
          <w:lang w:val="en-US" w:eastAsia="en-US"/>
        </w:rPr>
        <w:t>characterised</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 xml:space="preserve">by high </w:t>
      </w:r>
      <w:proofErr w:type="spellStart"/>
      <w:r w:rsidR="00742F25" w:rsidRPr="000C1F52">
        <w:rPr>
          <w:color w:val="auto"/>
          <w:kern w:val="0"/>
          <w:highlight w:val="yellow"/>
          <w:lang w:val="en-US" w:eastAsia="en-US"/>
        </w:rPr>
        <w:t>fertiliser</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inp</w:t>
      </w:r>
      <w:r w:rsidRPr="00DA02EE">
        <w:rPr>
          <w:color w:val="auto"/>
          <w:kern w:val="0"/>
          <w:lang w:val="en-US" w:eastAsia="en-US"/>
        </w:rPr>
        <w:t xml:space="preserve">uts, short crop cycles, repeated tillage, and (in some regions) protected cultivation with year-round cropping. While these practices support high productivity, they also accelerate soil organic matter decline, nutrient imbalances, soil acidification or </w:t>
      </w:r>
      <w:proofErr w:type="spellStart"/>
      <w:r w:rsidR="00742F25" w:rsidRPr="000C1F52">
        <w:rPr>
          <w:color w:val="auto"/>
          <w:kern w:val="0"/>
          <w:highlight w:val="yellow"/>
          <w:lang w:val="en-US" w:eastAsia="en-US"/>
        </w:rPr>
        <w:t>salinisation</w:t>
      </w:r>
      <w:proofErr w:type="spellEnd"/>
      <w:r w:rsidRPr="000C1F52">
        <w:rPr>
          <w:color w:val="auto"/>
          <w:kern w:val="0"/>
          <w:highlight w:val="yellow"/>
          <w:lang w:val="en-US" w:eastAsia="en-US"/>
        </w:rPr>
        <w:t>, and losses of reactive nitrogen and phosphorus to surrounding ecosystems. Integrated nutrient ma</w:t>
      </w:r>
      <w:r w:rsidRPr="00DA02EE">
        <w:rPr>
          <w:color w:val="auto"/>
          <w:kern w:val="0"/>
          <w:lang w:val="en-US" w:eastAsia="en-US"/>
        </w:rPr>
        <w:t xml:space="preserve">nagement (INM) has emerged as a practical and scientifically grounded pathway to reconcile high vegetable yields with long-term soil health and environmental performance. </w:t>
      </w:r>
      <w:r w:rsidR="007B66A6" w:rsidRPr="007B66A6">
        <w:rPr>
          <w:color w:val="auto"/>
          <w:kern w:val="0"/>
          <w:highlight w:val="yellow"/>
          <w:lang w:val="en-US" w:eastAsia="en-US"/>
        </w:rPr>
        <w:t xml:space="preserve">It is a tool that can offer good options and economic choices to supply macro and micronutrients </w:t>
      </w:r>
      <w:r w:rsidR="00742F25">
        <w:rPr>
          <w:color w:val="auto"/>
          <w:kern w:val="0"/>
          <w:highlight w:val="yellow"/>
          <w:lang w:val="en-US" w:eastAsia="en-US"/>
        </w:rPr>
        <w:t>to</w:t>
      </w:r>
      <w:r w:rsidR="00742F25" w:rsidRPr="007B66A6">
        <w:rPr>
          <w:color w:val="auto"/>
          <w:kern w:val="0"/>
          <w:highlight w:val="yellow"/>
          <w:lang w:val="en-US" w:eastAsia="en-US"/>
        </w:rPr>
        <w:t xml:space="preserve"> </w:t>
      </w:r>
      <w:r w:rsidR="007B66A6" w:rsidRPr="007B66A6">
        <w:rPr>
          <w:color w:val="auto"/>
          <w:kern w:val="0"/>
          <w:highlight w:val="yellow"/>
          <w:lang w:val="en-US" w:eastAsia="en-US"/>
        </w:rPr>
        <w:t xml:space="preserve">plants and also contribute to reducing the dependence on externally purchased chemical fertilizers besides </w:t>
      </w:r>
      <w:r w:rsidR="007B66A6" w:rsidRPr="000C1F52">
        <w:rPr>
          <w:color w:val="auto"/>
          <w:kern w:val="0"/>
          <w:highlight w:val="yellow"/>
          <w:lang w:val="en-US" w:eastAsia="en-US"/>
        </w:rPr>
        <w:t xml:space="preserve">protecting soil health.  </w:t>
      </w:r>
      <w:r w:rsidRPr="000C1F52">
        <w:rPr>
          <w:color w:val="auto"/>
          <w:kern w:val="0"/>
          <w:highlight w:val="yellow"/>
          <w:lang w:val="en-US" w:eastAsia="en-US"/>
        </w:rPr>
        <w:t xml:space="preserve">INM can be understood as the coordinated use of mineral </w:t>
      </w:r>
      <w:proofErr w:type="spellStart"/>
      <w:r w:rsidR="00742F25" w:rsidRPr="000C1F52">
        <w:rPr>
          <w:color w:val="auto"/>
          <w:kern w:val="0"/>
          <w:highlight w:val="yellow"/>
          <w:lang w:val="en-US" w:eastAsia="en-US"/>
        </w:rPr>
        <w:t>fertilisers</w:t>
      </w:r>
      <w:proofErr w:type="spellEnd"/>
      <w:r w:rsidRPr="00DA02EE">
        <w:rPr>
          <w:color w:val="auto"/>
          <w:kern w:val="0"/>
          <w:lang w:val="en-US" w:eastAsia="en-US"/>
        </w:rPr>
        <w:t xml:space="preserve">, organic amendments, and biologically mediated nutrient processes to </w:t>
      </w:r>
      <w:proofErr w:type="spellStart"/>
      <w:r w:rsidR="00742F25" w:rsidRPr="000C1F52">
        <w:rPr>
          <w:color w:val="auto"/>
          <w:kern w:val="0"/>
          <w:highlight w:val="yellow"/>
          <w:lang w:val="en-US" w:eastAsia="en-US"/>
        </w:rPr>
        <w:t>synchronise</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nutri</w:t>
      </w:r>
      <w:r w:rsidRPr="00DA02EE">
        <w:rPr>
          <w:color w:val="auto"/>
          <w:kern w:val="0"/>
          <w:lang w:val="en-US" w:eastAsia="en-US"/>
        </w:rPr>
        <w:t xml:space="preserve">ent supply with crop demand while maintaining or rebuilding soil functions. This review </w:t>
      </w:r>
      <w:proofErr w:type="spellStart"/>
      <w:r w:rsidR="00742F25" w:rsidRPr="000C1F52">
        <w:rPr>
          <w:color w:val="auto"/>
          <w:kern w:val="0"/>
          <w:highlight w:val="yellow"/>
          <w:lang w:val="en-US" w:eastAsia="en-US"/>
        </w:rPr>
        <w:t>synthesises</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e</w:t>
      </w:r>
      <w:r w:rsidRPr="00DA02EE">
        <w:rPr>
          <w:color w:val="auto"/>
          <w:kern w:val="0"/>
          <w:lang w:val="en-US" w:eastAsia="en-US"/>
        </w:rPr>
        <w:t xml:space="preserve">vidence on how INM affects soil health indicators (organic carbon dynamics, microbial community structure and function, enzymatic activity, and nutrient transformation pathways) and how these changes translate into yield stability, quality outcomes, and reduced nutrient losses. </w:t>
      </w:r>
      <w:r w:rsidR="00742F25" w:rsidRPr="000C1F52">
        <w:rPr>
          <w:color w:val="auto"/>
          <w:kern w:val="0"/>
          <w:highlight w:val="yellow"/>
          <w:lang w:val="en-US" w:eastAsia="en-US"/>
        </w:rPr>
        <w:t xml:space="preserve">A structured literature search was conducted across Web of Science, Scopus, Google Scholar, and PubMed (2000–2025) using specific search strings combining integrated nutrient management and vegetable system terms, prioritizing peer-reviewed articles and reviews reporting vegetable yield, quality, and soil health indicators. </w:t>
      </w:r>
      <w:r w:rsidRPr="000C1F52">
        <w:rPr>
          <w:color w:val="auto"/>
          <w:kern w:val="0"/>
          <w:highlight w:val="yellow"/>
          <w:lang w:val="en-US" w:eastAsia="en-US"/>
        </w:rPr>
        <w:t>Particular emphasis is placed on intensive greenhouse vegetable systems and high-input open-field vegetable production, where the risks of nitrate leaching, nitrous oxide emissions, and nutrient accumulation are substantial. Across diverse contexts,</w:t>
      </w:r>
      <w:r w:rsidRPr="00DA02EE">
        <w:rPr>
          <w:color w:val="auto"/>
          <w:kern w:val="0"/>
          <w:lang w:val="en-US" w:eastAsia="en-US"/>
        </w:rPr>
        <w:t xml:space="preserve"> evidence indicates that partial substitution of mineral </w:t>
      </w:r>
      <w:proofErr w:type="spellStart"/>
      <w:r w:rsidR="00742F25" w:rsidRPr="000C1F52">
        <w:rPr>
          <w:color w:val="auto"/>
          <w:kern w:val="0"/>
          <w:highlight w:val="yellow"/>
          <w:lang w:val="en-US" w:eastAsia="en-US"/>
        </w:rPr>
        <w:t>fertilisers</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with</w:t>
      </w:r>
      <w:r w:rsidRPr="00DA02EE">
        <w:rPr>
          <w:color w:val="auto"/>
          <w:kern w:val="0"/>
          <w:lang w:val="en-US" w:eastAsia="en-US"/>
        </w:rPr>
        <w:t xml:space="preserve"> organic nutrient sources, combined with improved timing and water–nutrient coordination, can maintain or increase vegetable yields while enhancing soil biological activity and nutrient cycling efficiency. The review concludes by proposing a soil-</w:t>
      </w:r>
      <w:r w:rsidRPr="000C1F52">
        <w:rPr>
          <w:color w:val="auto"/>
          <w:kern w:val="0"/>
          <w:highlight w:val="yellow"/>
          <w:lang w:val="en-US" w:eastAsia="en-US"/>
        </w:rPr>
        <w:t>health-</w:t>
      </w:r>
      <w:proofErr w:type="spellStart"/>
      <w:r w:rsidRPr="000C1F52">
        <w:rPr>
          <w:color w:val="auto"/>
          <w:kern w:val="0"/>
          <w:highlight w:val="yellow"/>
          <w:lang w:val="en-US" w:eastAsia="en-US"/>
        </w:rPr>
        <w:t>centred</w:t>
      </w:r>
      <w:proofErr w:type="spellEnd"/>
      <w:r w:rsidRPr="000C1F52">
        <w:rPr>
          <w:color w:val="auto"/>
          <w:kern w:val="0"/>
          <w:highlight w:val="yellow"/>
          <w:lang w:val="en-US" w:eastAsia="en-US"/>
        </w:rPr>
        <w:t xml:space="preserve"> IN</w:t>
      </w:r>
      <w:r w:rsidRPr="00DA02EE">
        <w:rPr>
          <w:color w:val="auto"/>
          <w:kern w:val="0"/>
          <w:lang w:val="en-US" w:eastAsia="en-US"/>
        </w:rPr>
        <w:t>M framework for vegetables that links management decisions to measurable soil function targets, and by identifying research priorities for microbiome-informed amendments, site-specific nutrient strategies, and contaminant-safe recycling of organic resources.</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b/>
          <w:bCs/>
          <w:color w:val="auto"/>
          <w:kern w:val="0"/>
          <w:lang w:val="en-US" w:eastAsia="en-US"/>
        </w:rPr>
        <w:t>Keywords:</w:t>
      </w:r>
      <w:r w:rsidRPr="00DA02EE">
        <w:rPr>
          <w:color w:val="auto"/>
          <w:kern w:val="0"/>
          <w:lang w:val="en-US" w:eastAsia="en-US"/>
        </w:rPr>
        <w:t xml:space="preserve"> integrated nutrient management; vegetable systems; soil health; organic substitution; nitrate leaching; greenhouse vegetables; soil microbiome; nutrient cycling</w:t>
      </w:r>
    </w:p>
    <w:p w:rsidR="00DA02EE" w:rsidRPr="00DA02EE" w:rsidRDefault="00DA02EE" w:rsidP="00F505AA">
      <w:pPr>
        <w:spacing w:after="0" w:line="240" w:lineRule="auto"/>
        <w:ind w:left="0" w:right="0" w:firstLine="0"/>
        <w:rPr>
          <w:color w:val="auto"/>
          <w:kern w:val="0"/>
          <w:lang w:val="en-US" w:eastAsia="en-US"/>
        </w:rPr>
      </w:pPr>
    </w:p>
    <w:p w:rsidR="00DA02EE" w:rsidRPr="00DA02EE" w:rsidRDefault="00DA02EE"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DA02EE">
        <w:rPr>
          <w:b/>
          <w:bCs/>
          <w:color w:val="auto"/>
          <w:kern w:val="0"/>
          <w:sz w:val="36"/>
          <w:szCs w:val="36"/>
          <w:lang w:val="en-US" w:eastAsia="en-US"/>
        </w:rPr>
        <w:t>1. Introduction</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lastRenderedPageBreak/>
        <w:t>Vegetable production systems are among the most nutrient-demanding and management-intensive forms of agriculture because they combine short crop cycles, high market standards for yield and quality, and frequent irrigation and soil disturbance. In many regions, the economic risk of nutrient deficiency is managed through “</w:t>
      </w:r>
      <w:r w:rsidRPr="000C1F52">
        <w:rPr>
          <w:color w:val="auto"/>
          <w:kern w:val="0"/>
          <w:highlight w:val="yellow"/>
          <w:lang w:val="en-US" w:eastAsia="en-US"/>
        </w:rPr>
        <w:t xml:space="preserve">insurance </w:t>
      </w:r>
      <w:proofErr w:type="spellStart"/>
      <w:r w:rsidR="00742F25" w:rsidRPr="000C1F52">
        <w:rPr>
          <w:color w:val="auto"/>
          <w:kern w:val="0"/>
          <w:highlight w:val="yellow"/>
          <w:lang w:val="en-US" w:eastAsia="en-US"/>
        </w:rPr>
        <w:t>fertilisation</w:t>
      </w:r>
      <w:proofErr w:type="spellEnd"/>
      <w:r w:rsidRPr="000C1F52">
        <w:rPr>
          <w:color w:val="auto"/>
          <w:kern w:val="0"/>
          <w:highlight w:val="yellow"/>
          <w:lang w:val="en-US" w:eastAsia="en-US"/>
        </w:rPr>
        <w:t>,” where nitrogen and other nutrients are applied at rates that exceed realistic crop demand,</w:t>
      </w:r>
      <w:r w:rsidRPr="00DA02EE">
        <w:rPr>
          <w:color w:val="auto"/>
          <w:kern w:val="0"/>
          <w:lang w:val="en-US" w:eastAsia="en-US"/>
        </w:rPr>
        <w:t xml:space="preserve"> particularly during rapid vegetative growth phases. This approach can sustain high productivity in the short term, but it often decreases nutrient-use efficiency and increases the likelihood of nutrient losses and soil degradation over time. The problem is especially visible in intensive vegetable belts and protected cultivation, where repeated cropping and year-round production can gradually decouple nutrient inputs from plant uptake, leading to residual nitrate and phosphorus accumulation, altered soil chemical conditions, and decline of key soil functions that support resilient production (</w:t>
      </w:r>
      <w:r w:rsidR="003B31CA" w:rsidRPr="00C16D37">
        <w:rPr>
          <w:color w:val="222222"/>
          <w:shd w:val="clear" w:color="auto" w:fill="FFFFFF"/>
        </w:rPr>
        <w:t>Gaskell &amp; Smith, 2007; Valenzuela, 2024</w:t>
      </w:r>
      <w:r w:rsidR="003B31CA">
        <w:rPr>
          <w:color w:val="222222"/>
          <w:shd w:val="clear" w:color="auto" w:fill="FFFFFF"/>
        </w:rPr>
        <w:t xml:space="preserve">; </w:t>
      </w:r>
      <w:proofErr w:type="spellStart"/>
      <w:r w:rsidRPr="00DA02EE">
        <w:rPr>
          <w:color w:val="auto"/>
          <w:kern w:val="0"/>
          <w:lang w:val="en-US" w:eastAsia="en-US"/>
        </w:rPr>
        <w:t>Tei</w:t>
      </w:r>
      <w:proofErr w:type="spellEnd"/>
      <w:r w:rsidRPr="00DA02EE">
        <w:rPr>
          <w:color w:val="auto"/>
          <w:kern w:val="0"/>
          <w:lang w:val="en-US" w:eastAsia="en-US"/>
        </w:rPr>
        <w:t xml:space="preserve"> et al., 2020).</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t xml:space="preserve">Sustainability challenges in vegetable systems are therefore not limited to meeting crop nutrient requirements; they also involve maintaining the soil’s ability to regulate water and nutrients while buffering stresses such as heat, salinity, or disease pressure. These functions are commonly described under the concept of soil health, which </w:t>
      </w:r>
      <w:proofErr w:type="spellStart"/>
      <w:r w:rsidR="00742F25" w:rsidRPr="000C1F52">
        <w:rPr>
          <w:color w:val="auto"/>
          <w:kern w:val="0"/>
          <w:highlight w:val="yellow"/>
          <w:lang w:val="en-US" w:eastAsia="en-US"/>
        </w:rPr>
        <w:t>emphasises</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soil</w:t>
      </w:r>
      <w:r w:rsidRPr="00DA02EE">
        <w:rPr>
          <w:color w:val="auto"/>
          <w:kern w:val="0"/>
          <w:lang w:val="en-US" w:eastAsia="en-US"/>
        </w:rPr>
        <w:t xml:space="preserve"> as a living system whose physical structure, chemical buffering, and biological activity jointly determine long-term productivity and environmental performance (Doran &amp; Zeiss, 2000). In high-input vegetable systems, soil health decline can be subtle because yields may remain high even while soil organic matter decreases, aggregation weakens, or biological nutrient cycling becomes increasingly reliant on external inputs. As a result, management strategies that track and improve soil health indicators alongside yield are essential for sustainable vegetable intensification (Doran &amp; Zeiss, 2000</w:t>
      </w:r>
      <w:r w:rsidR="004C421D">
        <w:rPr>
          <w:color w:val="auto"/>
          <w:kern w:val="0"/>
          <w:lang w:val="en-US" w:eastAsia="en-US"/>
        </w:rPr>
        <w:t xml:space="preserve">; </w:t>
      </w:r>
      <w:r w:rsidR="004C421D" w:rsidRPr="004C421D">
        <w:rPr>
          <w:color w:val="auto"/>
          <w:kern w:val="0"/>
          <w:lang w:val="en-US" w:eastAsia="en-US"/>
        </w:rPr>
        <w:t>Thompson et al., 2014</w:t>
      </w:r>
      <w:r w:rsidRPr="00DA02EE">
        <w:rPr>
          <w:color w:val="auto"/>
          <w:kern w:val="0"/>
          <w:lang w:val="en-US" w:eastAsia="en-US"/>
        </w:rPr>
        <w:t>).</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t xml:space="preserve">Integrated nutrient management (INM) has emerged as a practical, evidence-based pathway for addressing these challenges by coordinating mineral </w:t>
      </w:r>
      <w:proofErr w:type="spellStart"/>
      <w:r w:rsidR="00742F25" w:rsidRPr="000C1F52">
        <w:rPr>
          <w:color w:val="auto"/>
          <w:kern w:val="0"/>
          <w:highlight w:val="yellow"/>
          <w:lang w:val="en-US" w:eastAsia="en-US"/>
        </w:rPr>
        <w:t>fertilisers</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with</w:t>
      </w:r>
      <w:r w:rsidRPr="00DA02EE">
        <w:rPr>
          <w:color w:val="auto"/>
          <w:kern w:val="0"/>
          <w:lang w:val="en-US" w:eastAsia="en-US"/>
        </w:rPr>
        <w:t xml:space="preserve"> organic nutrient sources and soil biological processes. In contrast to approaches that simply replace one input with another, INM is designed to </w:t>
      </w:r>
      <w:proofErr w:type="spellStart"/>
      <w:r w:rsidR="00742F25" w:rsidRPr="000C1F52">
        <w:rPr>
          <w:color w:val="auto"/>
          <w:kern w:val="0"/>
          <w:highlight w:val="yellow"/>
          <w:lang w:val="en-US" w:eastAsia="en-US"/>
        </w:rPr>
        <w:t>optimise</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nutrie</w:t>
      </w:r>
      <w:r w:rsidRPr="00DA02EE">
        <w:rPr>
          <w:color w:val="auto"/>
          <w:kern w:val="0"/>
          <w:lang w:val="en-US" w:eastAsia="en-US"/>
        </w:rPr>
        <w:t xml:space="preserve">nt supply in time and space so that crop demand is met while losses are </w:t>
      </w:r>
      <w:proofErr w:type="spellStart"/>
      <w:r w:rsidR="00742F25" w:rsidRPr="000C1F52">
        <w:rPr>
          <w:color w:val="auto"/>
          <w:kern w:val="0"/>
          <w:highlight w:val="yellow"/>
          <w:lang w:val="en-US" w:eastAsia="en-US"/>
        </w:rPr>
        <w:t>minimised</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and soil</w:t>
      </w:r>
      <w:r w:rsidRPr="00DA02EE">
        <w:rPr>
          <w:color w:val="auto"/>
          <w:kern w:val="0"/>
          <w:lang w:val="en-US" w:eastAsia="en-US"/>
        </w:rPr>
        <w:t xml:space="preserve"> functions are supported.</w:t>
      </w:r>
      <w:r w:rsidR="00754BA1">
        <w:rPr>
          <w:color w:val="auto"/>
          <w:kern w:val="0"/>
          <w:lang w:val="en-US" w:eastAsia="en-US"/>
        </w:rPr>
        <w:t xml:space="preserve"> </w:t>
      </w:r>
      <w:r w:rsidR="00754BA1" w:rsidRPr="00754BA1">
        <w:rPr>
          <w:color w:val="auto"/>
          <w:kern w:val="0"/>
          <w:highlight w:val="yellow"/>
          <w:lang w:val="en-US" w:eastAsia="en-US"/>
        </w:rPr>
        <w:t xml:space="preserve">It </w:t>
      </w:r>
      <w:r w:rsidR="00754BA1">
        <w:rPr>
          <w:color w:val="auto"/>
          <w:kern w:val="0"/>
          <w:highlight w:val="yellow"/>
          <w:lang w:val="en-US" w:eastAsia="en-US"/>
        </w:rPr>
        <w:t xml:space="preserve">is </w:t>
      </w:r>
      <w:r w:rsidR="00754BA1" w:rsidRPr="00754BA1">
        <w:rPr>
          <w:color w:val="auto"/>
          <w:kern w:val="0"/>
          <w:highlight w:val="yellow"/>
          <w:lang w:val="en-US" w:eastAsia="en-US"/>
        </w:rPr>
        <w:t>a tool that can offer good options and economic choices to supply macro and micronutrients of plants and also contribute to reducing the dependence on externally purchased chemical fertilizers besides protecting soil health</w:t>
      </w:r>
      <w:r w:rsidR="00854F50">
        <w:rPr>
          <w:color w:val="auto"/>
          <w:kern w:val="0"/>
          <w:highlight w:val="yellow"/>
          <w:lang w:val="en-US" w:eastAsia="en-US"/>
        </w:rPr>
        <w:t xml:space="preserve"> (</w:t>
      </w:r>
      <w:r w:rsidR="00854F50" w:rsidRPr="00854F50">
        <w:rPr>
          <w:color w:val="auto"/>
          <w:kern w:val="0"/>
          <w:lang w:val="en-US" w:eastAsia="en-US"/>
        </w:rPr>
        <w:t>Paramesh</w:t>
      </w:r>
      <w:r w:rsidR="00854F50">
        <w:rPr>
          <w:color w:val="auto"/>
          <w:kern w:val="0"/>
          <w:lang w:val="en-US" w:eastAsia="en-US"/>
        </w:rPr>
        <w:t xml:space="preserve"> et al., 2023</w:t>
      </w:r>
      <w:r w:rsidR="006718AC">
        <w:rPr>
          <w:color w:val="auto"/>
          <w:kern w:val="0"/>
          <w:lang w:val="en-US" w:eastAsia="en-US"/>
        </w:rPr>
        <w:t xml:space="preserve">; </w:t>
      </w:r>
      <w:proofErr w:type="spellStart"/>
      <w:r w:rsidR="006718AC" w:rsidRPr="006718AC">
        <w:rPr>
          <w:color w:val="auto"/>
          <w:kern w:val="0"/>
          <w:lang w:val="en-US" w:eastAsia="en-US"/>
        </w:rPr>
        <w:t>Urmi</w:t>
      </w:r>
      <w:proofErr w:type="spellEnd"/>
      <w:r w:rsidR="006718AC">
        <w:rPr>
          <w:color w:val="auto"/>
          <w:kern w:val="0"/>
          <w:lang w:val="en-US" w:eastAsia="en-US"/>
        </w:rPr>
        <w:t xml:space="preserve"> et al., 2022</w:t>
      </w:r>
      <w:r w:rsidR="00854F50">
        <w:rPr>
          <w:color w:val="auto"/>
          <w:kern w:val="0"/>
          <w:lang w:val="en-US" w:eastAsia="en-US"/>
        </w:rPr>
        <w:t>)</w:t>
      </w:r>
      <w:r w:rsidR="00754BA1" w:rsidRPr="00754BA1">
        <w:rPr>
          <w:color w:val="auto"/>
          <w:kern w:val="0"/>
          <w:highlight w:val="yellow"/>
          <w:lang w:val="en-US" w:eastAsia="en-US"/>
        </w:rPr>
        <w:t>.</w:t>
      </w:r>
      <w:r w:rsidR="00754BA1" w:rsidRPr="00754BA1">
        <w:rPr>
          <w:color w:val="auto"/>
          <w:kern w:val="0"/>
          <w:lang w:val="en-US" w:eastAsia="en-US"/>
        </w:rPr>
        <w:t xml:space="preserve"> </w:t>
      </w:r>
      <w:r w:rsidRPr="00DA02EE">
        <w:rPr>
          <w:color w:val="auto"/>
          <w:kern w:val="0"/>
          <w:lang w:val="en-US" w:eastAsia="en-US"/>
        </w:rPr>
        <w:t xml:space="preserve"> In vegetable systems, this often involves partial substitution of mineral </w:t>
      </w:r>
      <w:proofErr w:type="spellStart"/>
      <w:r w:rsidR="00742F25" w:rsidRPr="000C1F52">
        <w:rPr>
          <w:color w:val="auto"/>
          <w:kern w:val="0"/>
          <w:highlight w:val="yellow"/>
          <w:lang w:val="en-US" w:eastAsia="en-US"/>
        </w:rPr>
        <w:t>fertilisers</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with</w:t>
      </w:r>
      <w:r w:rsidRPr="00DA02EE">
        <w:rPr>
          <w:color w:val="auto"/>
          <w:kern w:val="0"/>
          <w:lang w:val="en-US" w:eastAsia="en-US"/>
        </w:rPr>
        <w:t xml:space="preserve"> manures, composts, or crop residues, combined with improved scheduling, placement, and water–nutrient coordination. The underlying logic is that mineral </w:t>
      </w:r>
      <w:proofErr w:type="spellStart"/>
      <w:r w:rsidR="00742F25" w:rsidRPr="000C1F52">
        <w:rPr>
          <w:color w:val="auto"/>
          <w:kern w:val="0"/>
          <w:highlight w:val="yellow"/>
          <w:lang w:val="en-US" w:eastAsia="en-US"/>
        </w:rPr>
        <w:t>fertilisers</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can precisely meet rapid crop demand, while organic inputs can provide slower</w:t>
      </w:r>
      <w:r w:rsidRPr="00DA02EE">
        <w:rPr>
          <w:color w:val="auto"/>
          <w:kern w:val="0"/>
          <w:lang w:val="en-US" w:eastAsia="en-US"/>
        </w:rPr>
        <w:t xml:space="preserve"> nutrient release and simultaneously improve soil structure, microbial habitat, and nutrient retention capacity. Importantly, INM is not inherently sustainable unless it also reduces nutrient surpluses and improves synchrony between nutrient availability and crop uptake—an issue repeatedly highlighted for vegetables where the temporal mismatch between </w:t>
      </w:r>
      <w:proofErr w:type="spellStart"/>
      <w:r w:rsidR="00742F25" w:rsidRPr="000C1F52">
        <w:rPr>
          <w:color w:val="auto"/>
          <w:kern w:val="0"/>
          <w:highlight w:val="yellow"/>
          <w:lang w:val="en-US" w:eastAsia="en-US"/>
        </w:rPr>
        <w:t>fertilisation</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and up</w:t>
      </w:r>
      <w:r w:rsidRPr="00DA02EE">
        <w:rPr>
          <w:color w:val="auto"/>
          <w:kern w:val="0"/>
          <w:lang w:val="en-US" w:eastAsia="en-US"/>
        </w:rPr>
        <w:t>take can be large (</w:t>
      </w:r>
      <w:proofErr w:type="spellStart"/>
      <w:r w:rsidRPr="00DA02EE">
        <w:rPr>
          <w:color w:val="auto"/>
          <w:kern w:val="0"/>
          <w:lang w:val="en-US" w:eastAsia="en-US"/>
        </w:rPr>
        <w:t>Tei</w:t>
      </w:r>
      <w:proofErr w:type="spellEnd"/>
      <w:r w:rsidRPr="00DA02EE">
        <w:rPr>
          <w:color w:val="auto"/>
          <w:kern w:val="0"/>
          <w:lang w:val="en-US" w:eastAsia="en-US"/>
        </w:rPr>
        <w:t xml:space="preserve"> et al., 2020).</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t xml:space="preserve">A major motivation for INM in vegetables is the need to curb nitrogen-driven environmental impacts without sacrificing yield. Evidence from intensive greenhouse vegetable systems shows that nitrogen management decisions can strongly influence nitrous oxide emissions and nitrate leaching, with diminishing yield returns when nitrogen inputs exceed crop requirements. These findings underscore that environmental losses can rise sharply beyond an agronomically optimal nitrogen range, making </w:t>
      </w:r>
      <w:proofErr w:type="spellStart"/>
      <w:r w:rsidR="00742F25" w:rsidRPr="000C1F52">
        <w:rPr>
          <w:color w:val="auto"/>
          <w:kern w:val="0"/>
          <w:highlight w:val="yellow"/>
          <w:lang w:val="en-US" w:eastAsia="en-US"/>
        </w:rPr>
        <w:t>optimisation</w:t>
      </w:r>
      <w:proofErr w:type="spellEnd"/>
      <w:r w:rsidRPr="000C1F52">
        <w:rPr>
          <w:color w:val="auto"/>
          <w:kern w:val="0"/>
          <w:highlight w:val="yellow"/>
          <w:lang w:val="en-US" w:eastAsia="en-US"/>
        </w:rPr>
        <w:t>—not</w:t>
      </w:r>
      <w:r w:rsidRPr="00DA02EE">
        <w:rPr>
          <w:color w:val="auto"/>
          <w:kern w:val="0"/>
          <w:lang w:val="en-US" w:eastAsia="en-US"/>
        </w:rPr>
        <w:t xml:space="preserve"> </w:t>
      </w:r>
      <w:proofErr w:type="spellStart"/>
      <w:r w:rsidR="00742F25" w:rsidRPr="000C1F52">
        <w:rPr>
          <w:color w:val="auto"/>
          <w:kern w:val="0"/>
          <w:highlight w:val="yellow"/>
          <w:lang w:val="en-US" w:eastAsia="en-US"/>
        </w:rPr>
        <w:t>maximisation</w:t>
      </w:r>
      <w:proofErr w:type="spellEnd"/>
      <w:r w:rsidRPr="000C1F52">
        <w:rPr>
          <w:color w:val="auto"/>
          <w:kern w:val="0"/>
          <w:highlight w:val="yellow"/>
          <w:lang w:val="en-US" w:eastAsia="en-US"/>
        </w:rPr>
        <w:t>—the central</w:t>
      </w:r>
      <w:r w:rsidRPr="00DA02EE">
        <w:rPr>
          <w:color w:val="auto"/>
          <w:kern w:val="0"/>
          <w:lang w:val="en-US" w:eastAsia="en-US"/>
        </w:rPr>
        <w:t xml:space="preserve"> goal for sustainable vegetable nutrition (Zhang et al., 2021). Complementary evidence also indicates that simultaneous optimization of nitrogen and irrigation is critical in protected </w:t>
      </w:r>
      <w:r w:rsidRPr="00DA02EE">
        <w:rPr>
          <w:color w:val="auto"/>
          <w:kern w:val="0"/>
          <w:lang w:val="en-US" w:eastAsia="en-US"/>
        </w:rPr>
        <w:lastRenderedPageBreak/>
        <w:t xml:space="preserve">vegetable production, because irrigation determines nitrate transport and influences microbial pathways that produce gaseous nitrogen losses. Thus, nutrient sustainability in vegetables must be framed as a coupled water–nutrient management problem rather than </w:t>
      </w:r>
      <w:r w:rsidRPr="000C1F52">
        <w:rPr>
          <w:color w:val="auto"/>
          <w:kern w:val="0"/>
          <w:highlight w:val="yellow"/>
          <w:lang w:val="en-US" w:eastAsia="en-US"/>
        </w:rPr>
        <w:t xml:space="preserve">a </w:t>
      </w:r>
      <w:proofErr w:type="spellStart"/>
      <w:r w:rsidR="00742F25" w:rsidRPr="000C1F52">
        <w:rPr>
          <w:color w:val="auto"/>
          <w:kern w:val="0"/>
          <w:highlight w:val="yellow"/>
          <w:lang w:val="en-US" w:eastAsia="en-US"/>
        </w:rPr>
        <w:t>fertiliser</w:t>
      </w:r>
      <w:proofErr w:type="spellEnd"/>
      <w:r w:rsidRPr="000C1F52">
        <w:rPr>
          <w:color w:val="auto"/>
          <w:kern w:val="0"/>
          <w:highlight w:val="yellow"/>
          <w:lang w:val="en-US" w:eastAsia="en-US"/>
        </w:rPr>
        <w:t>-rate prob</w:t>
      </w:r>
      <w:r w:rsidRPr="00DA02EE">
        <w:rPr>
          <w:color w:val="auto"/>
          <w:kern w:val="0"/>
          <w:lang w:val="en-US" w:eastAsia="en-US"/>
        </w:rPr>
        <w:t>lem alone (Zhou et al., 202</w:t>
      </w:r>
      <w:r w:rsidR="003B31CA">
        <w:rPr>
          <w:color w:val="auto"/>
          <w:kern w:val="0"/>
          <w:lang w:val="en-US" w:eastAsia="en-US"/>
        </w:rPr>
        <w:t>4</w:t>
      </w:r>
      <w:r w:rsidRPr="00DA02EE">
        <w:rPr>
          <w:color w:val="auto"/>
          <w:kern w:val="0"/>
          <w:lang w:val="en-US" w:eastAsia="en-US"/>
        </w:rPr>
        <w:t>).</w:t>
      </w:r>
    </w:p>
    <w:p w:rsidR="00DA02EE" w:rsidRPr="00DA02EE" w:rsidRDefault="00DA02EE"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DA02EE">
        <w:rPr>
          <w:b/>
          <w:bCs/>
          <w:color w:val="auto"/>
          <w:kern w:val="0"/>
          <w:sz w:val="27"/>
          <w:szCs w:val="27"/>
          <w:lang w:val="en-US" w:eastAsia="en-US"/>
        </w:rPr>
        <w:t>1.1. Nutrient-use challenges in vegetable production</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t xml:space="preserve">Vegetables commonly exhibit rapid growth phases and high nutrient uptake rates, but the timing and magnitude of demand can vary across crops and growth stages. This makes it difficult to </w:t>
      </w:r>
      <w:proofErr w:type="spellStart"/>
      <w:r w:rsidR="00742F25" w:rsidRPr="000C1F52">
        <w:rPr>
          <w:color w:val="auto"/>
          <w:kern w:val="0"/>
          <w:highlight w:val="yellow"/>
          <w:lang w:val="en-US" w:eastAsia="en-US"/>
        </w:rPr>
        <w:t>synchronise</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 xml:space="preserve">nutrient availability with plant uptake using conventional, uniform </w:t>
      </w:r>
      <w:proofErr w:type="spellStart"/>
      <w:r w:rsidR="00742F25" w:rsidRPr="000C1F52">
        <w:rPr>
          <w:color w:val="auto"/>
          <w:kern w:val="0"/>
          <w:highlight w:val="yellow"/>
          <w:lang w:val="en-US" w:eastAsia="en-US"/>
        </w:rPr>
        <w:t>fertilisation</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schedule</w:t>
      </w:r>
      <w:r w:rsidRPr="00DA02EE">
        <w:rPr>
          <w:color w:val="auto"/>
          <w:kern w:val="0"/>
          <w:lang w:val="en-US" w:eastAsia="en-US"/>
        </w:rPr>
        <w:t xml:space="preserve">s. When nitrogen is applied too early or at excessive rates, nitrate may accumulate in soil and become susceptible to leaching or transformation into gaseous forms, especially under frequent irrigation. Even when yields remain high, these losses represent inefficiency that increases production costs and environmental burdens. As a result, nutrient management strategies for vegetables must </w:t>
      </w:r>
      <w:proofErr w:type="spellStart"/>
      <w:r w:rsidR="00742F25" w:rsidRPr="000C1F52">
        <w:rPr>
          <w:color w:val="auto"/>
          <w:kern w:val="0"/>
          <w:highlight w:val="yellow"/>
          <w:lang w:val="en-US" w:eastAsia="en-US"/>
        </w:rPr>
        <w:t>emphasise</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tim</w:t>
      </w:r>
      <w:r w:rsidRPr="00DA02EE">
        <w:rPr>
          <w:color w:val="auto"/>
          <w:kern w:val="0"/>
          <w:lang w:val="en-US" w:eastAsia="en-US"/>
        </w:rPr>
        <w:t>ing, split applications where appropriate, and system-level nutrient budgeting to reduce residual pools after harvest (</w:t>
      </w:r>
      <w:proofErr w:type="spellStart"/>
      <w:r w:rsidR="00324164" w:rsidRPr="00DA02EE">
        <w:rPr>
          <w:color w:val="auto"/>
          <w:kern w:val="0"/>
          <w:lang w:val="en-US" w:eastAsia="en-US"/>
        </w:rPr>
        <w:t>Tei</w:t>
      </w:r>
      <w:proofErr w:type="spellEnd"/>
      <w:r w:rsidR="00324164" w:rsidRPr="00DA02EE">
        <w:rPr>
          <w:color w:val="auto"/>
          <w:kern w:val="0"/>
          <w:lang w:val="en-US" w:eastAsia="en-US"/>
        </w:rPr>
        <w:t xml:space="preserve"> et al., 2020; Doran &amp; Zeiss, 2000;</w:t>
      </w:r>
      <w:r w:rsidRPr="00DA02EE">
        <w:rPr>
          <w:color w:val="auto"/>
          <w:kern w:val="0"/>
          <w:lang w:val="en-US" w:eastAsia="en-US"/>
        </w:rPr>
        <w:t>).</w:t>
      </w:r>
    </w:p>
    <w:p w:rsidR="00DA02EE" w:rsidRPr="00DA02EE" w:rsidRDefault="00DA02EE"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DA02EE">
        <w:rPr>
          <w:b/>
          <w:bCs/>
          <w:color w:val="auto"/>
          <w:kern w:val="0"/>
          <w:sz w:val="27"/>
          <w:szCs w:val="27"/>
          <w:lang w:val="en-US" w:eastAsia="en-US"/>
        </w:rPr>
        <w:t>1.2. Soil health as a performance target for INM</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t>INM is increasingly evaluated through soil health outcomes because soil health integrates multiple processes that determine both productivity and sustainability. Soil organic matter supports aggregation and water regulation, while soil microbial communities drive nutrient transformations and contribute to nutrient retention and availability. The soil health framework provides a set of measurable indicators and functional targets—such as improved structure, stable nutrient cycling, and biological activity—that can guide management beyond short-term yield outcomes (Doran &amp; Zeiss, 2000). By explicitly aiming to rebuild or maintain these functions, INM becomes a preventive strategy: it reduces the probability that vegetable systems will become locked into escalating input requirements to sustain yields.</w:t>
      </w:r>
    </w:p>
    <w:p w:rsidR="00DA02EE" w:rsidRPr="00DA02EE" w:rsidRDefault="00DA02EE"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DA02EE">
        <w:rPr>
          <w:b/>
          <w:bCs/>
          <w:color w:val="auto"/>
          <w:kern w:val="0"/>
          <w:sz w:val="27"/>
          <w:szCs w:val="27"/>
          <w:lang w:val="en-US" w:eastAsia="en-US"/>
        </w:rPr>
        <w:t>1.3. Why integrated nutrient management is central to sustainability goals</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t>Organic amendments used within INM can contribute to soil organic carbon buildup and improved soil physical and biological functioning, which can increase nutrient retention capacity and resilience. Long-term evidence across agricultural systems indicates that organic amendments can enhance soil fertility and improve soil condition, although outcomes are contingent on amendment type, rate, and overall management context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DA02EE">
        <w:rPr>
          <w:color w:val="auto"/>
          <w:kern w:val="0"/>
          <w:lang w:val="en-US" w:eastAsia="en-US"/>
        </w:rPr>
        <w:t>). Synthesis evidence also suggests that manure application can increase soil organic carbon storage, implying potential benefits for soil health trajectories when organic inputs are appropriately integrated (</w:t>
      </w:r>
      <w:r w:rsidR="003B31CA" w:rsidRPr="00C16D37">
        <w:rPr>
          <w:color w:val="222222"/>
          <w:shd w:val="clear" w:color="auto" w:fill="FFFFFF"/>
        </w:rPr>
        <w:t>Thompson et al., 2017; Padilla et al., 2020</w:t>
      </w:r>
      <w:r w:rsidR="003B31CA">
        <w:rPr>
          <w:color w:val="222222"/>
          <w:shd w:val="clear" w:color="auto" w:fill="FFFFFF"/>
        </w:rPr>
        <w:t xml:space="preserve">; </w:t>
      </w:r>
      <w:r w:rsidRPr="00DA02EE">
        <w:rPr>
          <w:color w:val="auto"/>
          <w:kern w:val="0"/>
          <w:lang w:val="en-US" w:eastAsia="en-US"/>
        </w:rPr>
        <w:t>Gross &amp; Glaser, 2021). However, the sustainability outcome depends on how INM is implemented. In intensive vegetable systems, simply adding organic inputs without reducing total nutrient loading or improving synchrony can still lead to surplus nitrogen and elevated losses. Therefore, effective INM requires explicit targets for reducing nutrient surpluses, aligning water and nutrient management, and maintaining production stability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DA02EE">
        <w:rPr>
          <w:color w:val="auto"/>
          <w:kern w:val="0"/>
          <w:lang w:val="en-US" w:eastAsia="en-US"/>
        </w:rPr>
        <w:t>; Gross &amp; G</w:t>
      </w:r>
      <w:r w:rsidR="00324164">
        <w:rPr>
          <w:color w:val="auto"/>
          <w:kern w:val="0"/>
          <w:lang w:val="en-US" w:eastAsia="en-US"/>
        </w:rPr>
        <w:t>laser, 2021; Zhang et al., 2021</w:t>
      </w:r>
      <w:r w:rsidRPr="00DA02EE">
        <w:rPr>
          <w:color w:val="auto"/>
          <w:kern w:val="0"/>
          <w:lang w:val="en-US" w:eastAsia="en-US"/>
        </w:rPr>
        <w:t>).</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p>
    <w:p w:rsidR="00DA02EE" w:rsidRPr="00DA02EE" w:rsidRDefault="00DA02EE"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DA02EE">
        <w:rPr>
          <w:b/>
          <w:bCs/>
          <w:color w:val="auto"/>
          <w:kern w:val="0"/>
          <w:sz w:val="27"/>
          <w:szCs w:val="27"/>
          <w:lang w:val="en-US" w:eastAsia="en-US"/>
        </w:rPr>
        <w:lastRenderedPageBreak/>
        <w:t>1.4. Scope and objectives</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t>This review examines integrated nutrient management in vegetable production with a focus on sustaining yield and quality while improving soil health. The objectives are to (</w:t>
      </w:r>
      <w:proofErr w:type="spellStart"/>
      <w:r w:rsidRPr="00DA02EE">
        <w:rPr>
          <w:color w:val="auto"/>
          <w:kern w:val="0"/>
          <w:lang w:val="en-US" w:eastAsia="en-US"/>
        </w:rPr>
        <w:t>i</w:t>
      </w:r>
      <w:proofErr w:type="spellEnd"/>
      <w:r w:rsidRPr="00DA02EE">
        <w:rPr>
          <w:color w:val="auto"/>
          <w:kern w:val="0"/>
          <w:lang w:val="en-US" w:eastAsia="en-US"/>
        </w:rPr>
        <w:t>) synthesize how combined organic–mineral nutrient strategies influence soil health indicators, including carbon dynamics, biological activity, and nutrient cycling capacity; (ii) evaluate evidence on yield stability and nutrient-loss risks in intensive vegetable systems, particularly protected cultivation where optimization challenges are pronounced; (iii) discuss how water–nutrient coordination shapes INM performance and environmental outcomes; and (iv) propose principles for designing soil-health-centered INM strategies that reduce nutrient surpluses while maintaining high vegetable productivity</w:t>
      </w:r>
      <w:r w:rsidR="00742F25">
        <w:rPr>
          <w:color w:val="auto"/>
          <w:kern w:val="0"/>
          <w:lang w:val="en-US" w:eastAsia="en-US"/>
        </w:rPr>
        <w:t>.</w:t>
      </w:r>
      <w:r w:rsidRPr="00DA02EE">
        <w:rPr>
          <w:color w:val="auto"/>
          <w:kern w:val="0"/>
          <w:lang w:val="en-US" w:eastAsia="en-US"/>
        </w:rPr>
        <w:t xml:space="preserve"> </w:t>
      </w:r>
    </w:p>
    <w:p w:rsidR="00DA02EE" w:rsidRDefault="00DA02EE" w:rsidP="00F505AA">
      <w:pPr>
        <w:spacing w:before="100" w:beforeAutospacing="1" w:after="100" w:afterAutospacing="1" w:line="240" w:lineRule="auto"/>
        <w:ind w:left="0" w:right="0" w:firstLine="0"/>
        <w:outlineLvl w:val="1"/>
        <w:rPr>
          <w:b/>
          <w:bCs/>
          <w:color w:val="auto"/>
          <w:kern w:val="0"/>
          <w:sz w:val="36"/>
          <w:szCs w:val="36"/>
          <w:lang w:val="en-US" w:eastAsia="en-US"/>
        </w:rPr>
      </w:pPr>
    </w:p>
    <w:p w:rsidR="00DA02EE" w:rsidRPr="00DA02EE" w:rsidRDefault="00DA02EE"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DA02EE">
        <w:rPr>
          <w:b/>
          <w:bCs/>
          <w:color w:val="auto"/>
          <w:kern w:val="0"/>
          <w:sz w:val="36"/>
          <w:szCs w:val="36"/>
          <w:lang w:val="en-US" w:eastAsia="en-US"/>
        </w:rPr>
        <w:t>2. Methods for literature selection</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t xml:space="preserve">A structured literature search was conducted using Web of Science, Scopus, Google Scholar, and PubMed for the period 2000–2025. Search strings combined terms related to integrated nutrient management and vegetable systems, including variations such as “integrated nutrient management” OR “organic substitution” OR “bio-organic fertilizer” AND “vegetable” OR “greenhouse vegetable” OR “lettuce” OR “tomato,” paired with soil health terms such as “soil organic carbon,” “microbial community,” “enzyme activity,” “nitrate leaching,” and “nitrous oxide.” Inclusion criteria </w:t>
      </w:r>
      <w:proofErr w:type="spellStart"/>
      <w:r w:rsidR="00742F25" w:rsidRPr="000C1F52">
        <w:rPr>
          <w:color w:val="auto"/>
          <w:kern w:val="0"/>
          <w:highlight w:val="yellow"/>
          <w:lang w:val="en-US" w:eastAsia="en-US"/>
        </w:rPr>
        <w:t>prioritised</w:t>
      </w:r>
      <w:proofErr w:type="spellEnd"/>
      <w:r w:rsidR="00742F25" w:rsidRPr="000C1F52">
        <w:rPr>
          <w:color w:val="auto"/>
          <w:kern w:val="0"/>
          <w:highlight w:val="yellow"/>
          <w:lang w:val="en-US" w:eastAsia="en-US"/>
        </w:rPr>
        <w:t xml:space="preserve"> </w:t>
      </w:r>
      <w:r w:rsidRPr="000C1F52">
        <w:rPr>
          <w:color w:val="auto"/>
          <w:kern w:val="0"/>
          <w:highlight w:val="yellow"/>
          <w:lang w:val="en-US" w:eastAsia="en-US"/>
        </w:rPr>
        <w:t>pee</w:t>
      </w:r>
      <w:r w:rsidRPr="00DA02EE">
        <w:rPr>
          <w:color w:val="auto"/>
          <w:kern w:val="0"/>
          <w:lang w:val="en-US" w:eastAsia="en-US"/>
        </w:rPr>
        <w:t>r-reviewed journal articles and reviews that reported (</w:t>
      </w:r>
      <w:proofErr w:type="spellStart"/>
      <w:r w:rsidRPr="00DA02EE">
        <w:rPr>
          <w:color w:val="auto"/>
          <w:kern w:val="0"/>
          <w:lang w:val="en-US" w:eastAsia="en-US"/>
        </w:rPr>
        <w:t>i</w:t>
      </w:r>
      <w:proofErr w:type="spellEnd"/>
      <w:r w:rsidRPr="00DA02EE">
        <w:rPr>
          <w:color w:val="auto"/>
          <w:kern w:val="0"/>
          <w:lang w:val="en-US" w:eastAsia="en-US"/>
        </w:rPr>
        <w:t xml:space="preserve">) vegetable yield and/or quality outcomes under combined organic and mineral nutrient strategies, and/or (ii) soil health indicators (SOC, microbial biomass/diversity, enzyme activities, nutrient pools, respiration) linked to nutrient </w:t>
      </w:r>
      <w:r w:rsidRPr="000C1F52">
        <w:rPr>
          <w:color w:val="auto"/>
          <w:kern w:val="0"/>
          <w:highlight w:val="yellow"/>
          <w:lang w:val="en-US" w:eastAsia="en-US"/>
        </w:rPr>
        <w:t xml:space="preserve">management. Long-term experiments (≥3 years) and studies in intensive vegetable settings were </w:t>
      </w:r>
      <w:proofErr w:type="spellStart"/>
      <w:r w:rsidR="00742F25" w:rsidRPr="000C1F52">
        <w:rPr>
          <w:color w:val="auto"/>
          <w:kern w:val="0"/>
          <w:highlight w:val="yellow"/>
          <w:lang w:val="en-US" w:eastAsia="en-US"/>
        </w:rPr>
        <w:t>emphasised</w:t>
      </w:r>
      <w:proofErr w:type="spellEnd"/>
      <w:r w:rsidRPr="000C1F52">
        <w:rPr>
          <w:color w:val="auto"/>
          <w:kern w:val="0"/>
          <w:highlight w:val="yellow"/>
          <w:lang w:val="en-US" w:eastAsia="en-US"/>
        </w:rPr>
        <w:t>. Exclusion criteria included non-peer-reviewed reports, purely theoretical opinion pieces without data sy</w:t>
      </w:r>
      <w:r w:rsidRPr="00DA02EE">
        <w:rPr>
          <w:color w:val="auto"/>
          <w:kern w:val="0"/>
          <w:lang w:val="en-US" w:eastAsia="en-US"/>
        </w:rPr>
        <w:t>nthesis, and studies lacking clear nutrient management definitions or measurable soil/crop outcomes.</w:t>
      </w:r>
    </w:p>
    <w:p w:rsidR="00DA02EE" w:rsidRPr="00DA02EE" w:rsidRDefault="00DA02EE" w:rsidP="00F505AA">
      <w:pPr>
        <w:spacing w:after="0" w:line="240" w:lineRule="auto"/>
        <w:ind w:left="0" w:right="0" w:firstLine="0"/>
        <w:rPr>
          <w:color w:val="auto"/>
          <w:kern w:val="0"/>
          <w:lang w:val="en-US" w:eastAsia="en-US"/>
        </w:rPr>
      </w:pPr>
    </w:p>
    <w:p w:rsidR="00893BAA" w:rsidRPr="00893BAA" w:rsidRDefault="00893BAA"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893BAA">
        <w:rPr>
          <w:b/>
          <w:bCs/>
          <w:color w:val="auto"/>
          <w:kern w:val="0"/>
          <w:sz w:val="36"/>
          <w:szCs w:val="36"/>
          <w:lang w:val="en-US" w:eastAsia="en-US"/>
        </w:rPr>
        <w:t>3. Conceptual basis of integrated nutrient management in vegetable systems</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Integrated nutrient management (INM) in vegetable systems can be understood as a design approach that deliberately combines nutrient sources and management practices to achieve two outcomes at the same time: reliable crop nutrition for high yields and quality, and maintenance or improvement of soil functions that support productivity over repeated cycles. The “integration” is not merely the physical mixing of inputs, but the coordination of nutrient supply dynamics with crop uptake patterns and the soil’s capacity to retain, transform, and buffer nutrients. Vegetables are especially sensitive to mismatch because their crop cycles are short, nutrient demand can peak rapidly, and irrigation is often frequent. As a result, INM in vegetables is best framed as a strategy to manage timing, form, and placement of nutrients within a living soil system, rather than as a fixed recipe of inputs.</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lastRenderedPageBreak/>
        <w:t>3.1. Synchrony as the core principle: matching nutrient supply with crop demand</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The central conceptual principle behind INM is synchrony—nutrients should become available in the root zone when plants can absorb them, and not when environmental pathways can remove them. In practice, synchrony requires attention to how nutrients are released from different sources. </w:t>
      </w:r>
      <w:r w:rsidRPr="000C1F52">
        <w:rPr>
          <w:color w:val="auto"/>
          <w:kern w:val="0"/>
          <w:highlight w:val="yellow"/>
          <w:lang w:val="en-US" w:eastAsia="en-US"/>
        </w:rPr>
        <w:t xml:space="preserve">Mineral </w:t>
      </w:r>
      <w:proofErr w:type="spellStart"/>
      <w:r w:rsidR="00431C93" w:rsidRPr="000C1F52">
        <w:rPr>
          <w:color w:val="auto"/>
          <w:kern w:val="0"/>
          <w:highlight w:val="yellow"/>
          <w:lang w:val="en-US" w:eastAsia="en-US"/>
        </w:rPr>
        <w:t>fertilisers</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 xml:space="preserve">provide nutrients in readily plant-available forms and can be adjusted precisely to </w:t>
      </w:r>
      <w:r w:rsidR="00431C93" w:rsidRPr="000C1F52">
        <w:rPr>
          <w:color w:val="auto"/>
          <w:kern w:val="0"/>
          <w:highlight w:val="yellow"/>
          <w:lang w:val="en-US" w:eastAsia="en-US"/>
        </w:rPr>
        <w:t xml:space="preserve">the </w:t>
      </w:r>
      <w:r w:rsidRPr="000C1F52">
        <w:rPr>
          <w:color w:val="auto"/>
          <w:kern w:val="0"/>
          <w:highlight w:val="yellow"/>
          <w:lang w:val="en-US" w:eastAsia="en-US"/>
        </w:rPr>
        <w:t>cro</w:t>
      </w:r>
      <w:r w:rsidRPr="00893BAA">
        <w:rPr>
          <w:color w:val="auto"/>
          <w:kern w:val="0"/>
          <w:lang w:val="en-US" w:eastAsia="en-US"/>
        </w:rPr>
        <w:t xml:space="preserve">p stage. Organic amendments (such as manures and composts) supply nutrients through </w:t>
      </w:r>
      <w:proofErr w:type="spellStart"/>
      <w:r w:rsidR="00431C93" w:rsidRPr="000C1F52">
        <w:rPr>
          <w:color w:val="auto"/>
          <w:kern w:val="0"/>
          <w:highlight w:val="yellow"/>
          <w:lang w:val="en-US" w:eastAsia="en-US"/>
        </w:rPr>
        <w:t>mineralisation</w:t>
      </w:r>
      <w:proofErr w:type="spellEnd"/>
      <w:r w:rsidRPr="00893BAA">
        <w:rPr>
          <w:color w:val="auto"/>
          <w:kern w:val="0"/>
          <w:lang w:val="en-US" w:eastAsia="en-US"/>
        </w:rPr>
        <w:t xml:space="preserve">, which is governed by soil temperature, moisture, microbial activity, and the biochemical composition of the amendment. This difference creates both opportunity and risk. INM can exploit the immediacy of mineral </w:t>
      </w:r>
      <w:proofErr w:type="spellStart"/>
      <w:r w:rsidR="00431C93" w:rsidRPr="000C1F52">
        <w:rPr>
          <w:color w:val="auto"/>
          <w:kern w:val="0"/>
          <w:highlight w:val="yellow"/>
          <w:lang w:val="en-US" w:eastAsia="en-US"/>
        </w:rPr>
        <w:t>fertilisers</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to pro</w:t>
      </w:r>
      <w:r w:rsidRPr="00893BAA">
        <w:rPr>
          <w:color w:val="auto"/>
          <w:kern w:val="0"/>
          <w:lang w:val="en-US" w:eastAsia="en-US"/>
        </w:rPr>
        <w:t xml:space="preserve">tect yield during peak demand while using organic inputs to </w:t>
      </w:r>
      <w:r w:rsidRPr="000C1F52">
        <w:rPr>
          <w:color w:val="auto"/>
          <w:kern w:val="0"/>
          <w:highlight w:val="yellow"/>
          <w:lang w:val="en-US" w:eastAsia="en-US"/>
        </w:rPr>
        <w:t xml:space="preserve">provide </w:t>
      </w:r>
      <w:r w:rsidR="00431C93" w:rsidRPr="000C1F52">
        <w:rPr>
          <w:color w:val="auto"/>
          <w:kern w:val="0"/>
          <w:highlight w:val="yellow"/>
          <w:lang w:val="en-US" w:eastAsia="en-US"/>
        </w:rPr>
        <w:t xml:space="preserve">a </w:t>
      </w:r>
      <w:r w:rsidRPr="000C1F52">
        <w:rPr>
          <w:color w:val="auto"/>
          <w:kern w:val="0"/>
          <w:highlight w:val="yellow"/>
          <w:lang w:val="en-US" w:eastAsia="en-US"/>
        </w:rPr>
        <w:t>back</w:t>
      </w:r>
      <w:r w:rsidRPr="00893BAA">
        <w:rPr>
          <w:color w:val="auto"/>
          <w:kern w:val="0"/>
          <w:lang w:val="en-US" w:eastAsia="en-US"/>
        </w:rPr>
        <w:t xml:space="preserve">ground nutrient supply and improve soil retention capacity. However, if organic inputs are added on top of already high mineral inputs—or if mineral inputs are not reduced to account for </w:t>
      </w:r>
      <w:proofErr w:type="spellStart"/>
      <w:r w:rsidR="00431C93" w:rsidRPr="000C1F52">
        <w:rPr>
          <w:color w:val="auto"/>
          <w:kern w:val="0"/>
          <w:highlight w:val="yellow"/>
          <w:lang w:val="en-US" w:eastAsia="en-US"/>
        </w:rPr>
        <w:t>mineralisation</w:t>
      </w:r>
      <w:proofErr w:type="spellEnd"/>
      <w:r w:rsidRPr="000C1F52">
        <w:rPr>
          <w:color w:val="auto"/>
          <w:kern w:val="0"/>
          <w:highlight w:val="yellow"/>
          <w:lang w:val="en-US" w:eastAsia="en-US"/>
        </w:rPr>
        <w:t>—</w:t>
      </w:r>
      <w:r w:rsidRPr="00893BAA">
        <w:rPr>
          <w:color w:val="auto"/>
          <w:kern w:val="0"/>
          <w:lang w:val="en-US" w:eastAsia="en-US"/>
        </w:rPr>
        <w:t>then synchrony fails and surpluses build, increasing loss potential and weakening nutrient-use efficiency.</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From a conceptual standpoint, synchrony is not a single-season goal; it is cumulative across rotations. In intensive vegetable production, residual nitrate after harvest can become a repeating legacy pool, and each additional surplus application increases the likelihood that the system becomes structurally dependent on high inputs, even when plant uptake efficiency is low. INM therefore involves not only “feeding the crop,” but also managing post-harvest nutrient residues and reducing the probability that nutrients remain vulnerable in the soil profile during periods of low uptake.</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3.2. Managing fast and slow nutrient pools through organic–mineral complementarity</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A second conceptual pillar is the deliberate management of fast and slow nutrient pools. Mineral fertilizers primarily contribute to fast pools (immediately available nutrients), while organic amendments contribute to slower pools that release nutrients over time and influence soil organic carbon (SOC) and aggregation. Long-term soil fertility benefits from organic amendments are often explained through SOC-mediated improvements in soil structure, cation exchange capacity, and microbial habitat, which can increase nutrient retention and support more stable nutrient cycling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893BAA">
        <w:rPr>
          <w:color w:val="auto"/>
          <w:kern w:val="0"/>
          <w:lang w:val="en-US" w:eastAsia="en-US"/>
        </w:rPr>
        <w:t>). At the same time, evidence syntheses indicate that manure application can increase SOC storage, which is relevant for vegetable systems where repeated disturbance can otherwise reduce SOC over time (Gross &amp; Glaser, 2021). Conceptually, these SOC-linked improvements matter because they shift soils toward greater buffering capacity: the soil becomes better able to retain nutrients against leaching, provide sustained nutrient availability, and maintain root-zone conditions that support uptake.</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Yet the complementarity between organic and mineral sources should be viewed as conditional rather than automatic. Organic inputs vary in nutrient concentration, carbon quality, and decomposition rate, meaning they can either smooth nutrient supply or unintentionally create nutrient surges. The conceptual implication for INM is that organic inputs are not “free nutrients” added on top of </w:t>
      </w:r>
      <w:r w:rsidRPr="000C1F52">
        <w:rPr>
          <w:color w:val="auto"/>
          <w:kern w:val="0"/>
          <w:highlight w:val="yellow"/>
          <w:lang w:val="en-US" w:eastAsia="en-US"/>
        </w:rPr>
        <w:t xml:space="preserve">mineral </w:t>
      </w:r>
      <w:proofErr w:type="spellStart"/>
      <w:r w:rsidR="00431C93" w:rsidRPr="000C1F52">
        <w:rPr>
          <w:color w:val="auto"/>
          <w:kern w:val="0"/>
          <w:highlight w:val="yellow"/>
          <w:lang w:val="en-US" w:eastAsia="en-US"/>
        </w:rPr>
        <w:t>fertilisation</w:t>
      </w:r>
      <w:proofErr w:type="spellEnd"/>
      <w:r w:rsidRPr="000C1F52">
        <w:rPr>
          <w:color w:val="auto"/>
          <w:kern w:val="0"/>
          <w:highlight w:val="yellow"/>
          <w:lang w:val="en-US" w:eastAsia="en-US"/>
        </w:rPr>
        <w:t>; they</w:t>
      </w:r>
      <w:r w:rsidRPr="00893BAA">
        <w:rPr>
          <w:color w:val="auto"/>
          <w:kern w:val="0"/>
          <w:lang w:val="en-US" w:eastAsia="en-US"/>
        </w:rPr>
        <w:t xml:space="preserve"> are nutrient sources that must be integrated within a nutrient budget and calibrated to the crop’s temporal demand. The most robust INM designs therefore</w:t>
      </w:r>
      <w:r w:rsidR="00431C93">
        <w:rPr>
          <w:color w:val="auto"/>
          <w:kern w:val="0"/>
          <w:lang w:val="en-US" w:eastAsia="en-US"/>
        </w:rPr>
        <w:t>,</w:t>
      </w:r>
      <w:r w:rsidRPr="00893BAA">
        <w:rPr>
          <w:color w:val="auto"/>
          <w:kern w:val="0"/>
          <w:lang w:val="en-US" w:eastAsia="en-US"/>
        </w:rPr>
        <w:t xml:space="preserve"> treat organic amendments as part of the planned </w:t>
      </w:r>
      <w:r w:rsidRPr="00893BAA">
        <w:rPr>
          <w:color w:val="auto"/>
          <w:kern w:val="0"/>
          <w:lang w:val="en-US" w:eastAsia="en-US"/>
        </w:rPr>
        <w:lastRenderedPageBreak/>
        <w:t xml:space="preserve">nutrient supply curve across the season and across the rotation, with mineral </w:t>
      </w:r>
      <w:proofErr w:type="spellStart"/>
      <w:r w:rsidR="00431C93" w:rsidRPr="000C1F52">
        <w:rPr>
          <w:color w:val="auto"/>
          <w:kern w:val="0"/>
          <w:highlight w:val="yellow"/>
          <w:lang w:val="en-US" w:eastAsia="en-US"/>
        </w:rPr>
        <w:t>fertilisation</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used t</w:t>
      </w:r>
      <w:r w:rsidRPr="00893BAA">
        <w:rPr>
          <w:color w:val="auto"/>
          <w:kern w:val="0"/>
          <w:lang w:val="en-US" w:eastAsia="en-US"/>
        </w:rPr>
        <w:t>o correct deficits rather than to maintain habitual high rates.</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3.3. Vegetables as high-risk systems for nitrogen losses: why integration must include water management</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Vegetable systems, particularly greenhouse or protected systems, present a distinct conceptual challenge: they are often irrigated frequently, soils are warm, and cropping may be continuous or nearly continuous. These conditions accelerate nitrogen transformations and increase the mobility of nitrate, making the system highly sensitive to small mismatches between supply and uptake. Modeling evidence from greenhouse vegetable systems illustrates that increasing nitrogen application can raise nitrous oxide emissions and nitrate leaching without guaranteeing yield gains once nitrogen inputs exceed the crop’s effective requirement, emphasizing diminishing returns and the importance of optimization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r w:rsidRPr="00893BAA">
        <w:rPr>
          <w:color w:val="auto"/>
          <w:kern w:val="0"/>
          <w:lang w:val="en-US" w:eastAsia="en-US"/>
        </w:rPr>
        <w:t>Zhang et al., 2021). This points to a key conceptual lesson: in intensive vegetable systems, the “cost” of excess nitrogen is not linear; once surpluses occur, losses can increase quickly while yields plateau.</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Because irrigation controls the movement of nitrate and shapes soil aeration, integration in vegetable INM must explicitly include water. Evidence from protected vegetable contexts shows </w:t>
      </w:r>
      <w:r w:rsidRPr="000C1F52">
        <w:rPr>
          <w:color w:val="auto"/>
          <w:kern w:val="0"/>
          <w:highlight w:val="yellow"/>
          <w:lang w:val="en-US" w:eastAsia="en-US"/>
        </w:rPr>
        <w:t xml:space="preserve">that </w:t>
      </w:r>
      <w:proofErr w:type="spellStart"/>
      <w:r w:rsidR="00431C93" w:rsidRPr="000C1F52">
        <w:rPr>
          <w:color w:val="auto"/>
          <w:kern w:val="0"/>
          <w:highlight w:val="yellow"/>
          <w:lang w:val="en-US" w:eastAsia="en-US"/>
        </w:rPr>
        <w:t>optimising</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nitr</w:t>
      </w:r>
      <w:r w:rsidRPr="00893BAA">
        <w:rPr>
          <w:color w:val="auto"/>
          <w:kern w:val="0"/>
          <w:lang w:val="en-US" w:eastAsia="en-US"/>
        </w:rPr>
        <w:t>ogen and water together can reduce greenhouse gas emissions while sustaining production, reinforcing the idea that nutrient management cannot be conceptually separated from irrigation management in these systems (Zhou et al., 2023). Therefore, the conceptual basis of INM in vegetables should be described as water–nutrient co-management: nutrient form and timing are designed in tandem with irrigation scheduling to keep nutrients in the root zone during uptake windows and to reduce exposure of nitrate to leaching or denitrification pathways.</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3.4. Soil health as the mechanism that links INM to long-term stability</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A defining advantage of INM is its potential to improve soil health in ways that sustain productivity across multiple vegetable cycles. The conceptual mechanism is that organic amendments contribute carbon and promote aggregation, which improves water regulation and root functioning, while also supporting microbial communities that drive nutrient cycling. Long-term organic amendment use has been repeatedly associated with improved soil fertility attributes, though the direction and magnitude depend on management and environmental context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893BAA">
        <w:rPr>
          <w:color w:val="auto"/>
          <w:kern w:val="0"/>
          <w:lang w:val="en-US" w:eastAsia="en-US"/>
        </w:rPr>
        <w:t>). At a broader scale, synthesis evidence indicates that manure applications can increase SOC storage (Gross &amp; Glaser, 2021</w:t>
      </w:r>
      <w:r w:rsidR="003B31CA">
        <w:rPr>
          <w:color w:val="auto"/>
          <w:kern w:val="0"/>
          <w:lang w:val="en-US" w:eastAsia="en-US"/>
        </w:rPr>
        <w:t xml:space="preserve">; </w:t>
      </w:r>
      <w:proofErr w:type="spellStart"/>
      <w:r w:rsidR="003B31CA" w:rsidRPr="00C16D37">
        <w:rPr>
          <w:color w:val="222222"/>
          <w:shd w:val="clear" w:color="auto" w:fill="FFFFFF"/>
        </w:rPr>
        <w:t>Brust</w:t>
      </w:r>
      <w:proofErr w:type="spellEnd"/>
      <w:r w:rsidR="003B31CA" w:rsidRPr="00C16D37">
        <w:rPr>
          <w:color w:val="222222"/>
          <w:shd w:val="clear" w:color="auto" w:fill="FFFFFF"/>
        </w:rPr>
        <w:t>, 2019; Fernández et al., 2022</w:t>
      </w:r>
      <w:r w:rsidRPr="00893BAA">
        <w:rPr>
          <w:color w:val="auto"/>
          <w:kern w:val="0"/>
          <w:lang w:val="en-US" w:eastAsia="en-US"/>
        </w:rPr>
        <w:t>), which is conceptually important because SOC supports nutrient buffering and resilience against stress. In intensive vegetable systems where productivity depends on repeated cycles, these soil function gains can translate into yield stability and reduced vulnerability to input inefficiency.</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However, INM should be </w:t>
      </w:r>
      <w:proofErr w:type="spellStart"/>
      <w:r w:rsidR="00431C93" w:rsidRPr="000C1F52">
        <w:rPr>
          <w:color w:val="auto"/>
          <w:kern w:val="0"/>
          <w:highlight w:val="yellow"/>
          <w:lang w:val="en-US" w:eastAsia="en-US"/>
        </w:rPr>
        <w:t>conceptualised</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as a co</w:t>
      </w:r>
      <w:r w:rsidRPr="00893BAA">
        <w:rPr>
          <w:color w:val="auto"/>
          <w:kern w:val="0"/>
          <w:lang w:val="en-US" w:eastAsia="en-US"/>
        </w:rPr>
        <w:t>ntrolled system intervention rather than a generic sustainability label. If organic inputs are added without adjusting mineral inputs, or if water management continues to promote nutrient transport beyond the root zone, then the theoretical benefits of integration can be lost</w:t>
      </w:r>
      <w:r w:rsidR="00431C93">
        <w:rPr>
          <w:color w:val="auto"/>
          <w:kern w:val="0"/>
          <w:lang w:val="en-US" w:eastAsia="en-US"/>
        </w:rPr>
        <w:t>,</w:t>
      </w:r>
      <w:r w:rsidRPr="00893BAA">
        <w:rPr>
          <w:color w:val="auto"/>
          <w:kern w:val="0"/>
          <w:lang w:val="en-US" w:eastAsia="en-US"/>
        </w:rPr>
        <w:t xml:space="preserve"> and environmental burdens can remain high (Zhang et al., 2021; Zhou et al., 2023). Thus, the conceptual basis of INM in vegetables is </w:t>
      </w:r>
      <w:r w:rsidRPr="000C1F52">
        <w:rPr>
          <w:color w:val="auto"/>
          <w:kern w:val="0"/>
          <w:highlight w:val="yellow"/>
          <w:lang w:val="en-US" w:eastAsia="en-US"/>
        </w:rPr>
        <w:t xml:space="preserve">best </w:t>
      </w:r>
      <w:proofErr w:type="spellStart"/>
      <w:r w:rsidR="00431C93" w:rsidRPr="000C1F52">
        <w:rPr>
          <w:color w:val="auto"/>
          <w:kern w:val="0"/>
          <w:highlight w:val="yellow"/>
          <w:lang w:val="en-US" w:eastAsia="en-US"/>
        </w:rPr>
        <w:t>summarised</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as the intentiona</w:t>
      </w:r>
      <w:r w:rsidRPr="00893BAA">
        <w:rPr>
          <w:color w:val="auto"/>
          <w:kern w:val="0"/>
          <w:lang w:val="en-US" w:eastAsia="en-US"/>
        </w:rPr>
        <w:t xml:space="preserve">l steering of nutrient flows and soil processes—through </w:t>
      </w:r>
      <w:r w:rsidRPr="00893BAA">
        <w:rPr>
          <w:color w:val="auto"/>
          <w:kern w:val="0"/>
          <w:lang w:val="en-US" w:eastAsia="en-US"/>
        </w:rPr>
        <w:lastRenderedPageBreak/>
        <w:t>calibrated organic–mineral supply and coordinated irrigation—toward simultaneous yield and soil health targets.</w:t>
      </w:r>
    </w:p>
    <w:p w:rsidR="00893BAA" w:rsidRPr="00893BAA" w:rsidRDefault="00893BAA"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893BAA">
        <w:rPr>
          <w:b/>
          <w:bCs/>
          <w:color w:val="auto"/>
          <w:kern w:val="0"/>
          <w:sz w:val="36"/>
          <w:szCs w:val="36"/>
          <w:lang w:val="en-US" w:eastAsia="en-US"/>
        </w:rPr>
        <w:t>4. Soil health pathways under INM</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Integrated nutrient management (INM) influences soil health through interconnected physical, chemical, and biological pathways that collectively regulate how nutrients are stored, transformed, and delivered to vegetable crops. In intensive vegetable systems, these pathways matter because high nutrient loading, frequent irrigation, and repeated disturbance can cause soils to shift toward low buffering capacity: nutrients become either rapidly lost (for example</w:t>
      </w:r>
      <w:r w:rsidR="00431C93">
        <w:rPr>
          <w:color w:val="auto"/>
          <w:kern w:val="0"/>
          <w:lang w:val="en-US" w:eastAsia="en-US"/>
        </w:rPr>
        <w:t>,</w:t>
      </w:r>
      <w:r w:rsidRPr="00893BAA">
        <w:rPr>
          <w:color w:val="auto"/>
          <w:kern w:val="0"/>
          <w:lang w:val="en-US" w:eastAsia="en-US"/>
        </w:rPr>
        <w:t xml:space="preserve"> as nitrate leaching) or progressively accumulated in forms that are agronomically inefficient and environmentally risky. The soil health value of INM lies in its potential to rebuild soil organic matter, strengthen aggregation, and support microbial processes that improve nutrient cycling efficiency and </w:t>
      </w:r>
      <w:proofErr w:type="spellStart"/>
      <w:r w:rsidR="00431C93" w:rsidRPr="000C1F52">
        <w:rPr>
          <w:color w:val="auto"/>
          <w:kern w:val="0"/>
          <w:highlight w:val="yellow"/>
          <w:lang w:val="en-US" w:eastAsia="en-US"/>
        </w:rPr>
        <w:t>stabilise</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crop p</w:t>
      </w:r>
      <w:r w:rsidRPr="00893BAA">
        <w:rPr>
          <w:color w:val="auto"/>
          <w:kern w:val="0"/>
          <w:lang w:val="en-US" w:eastAsia="en-US"/>
        </w:rPr>
        <w:t>erformance. Yet these outcomes depend on how INM is designed, especially whether organic inputs are integrated with reduced mineral inputs and aligned with crop uptake windows rather than layered on top of already surplus nutrient regimes.</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4.1. Soil organic carbon dynamics and structural improvement</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Soil organic carbon (SOC) is a foundational soil health attribute because it supports aggregation, water retention, and nutrient buffering. INM often increases SOC by adding carbon-rich organic amendments, and these SOC gains can improve the soil’s capacity to sustain repeated vegetable cycles. Long-term evidence across cropping systems indicates that organic amendments can improve soil fertility and related properties, reflecting SOC-mediated benefits such as improved structure and nutrient retention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893BAA">
        <w:rPr>
          <w:color w:val="auto"/>
          <w:kern w:val="0"/>
          <w:lang w:val="en-US" w:eastAsia="en-US"/>
        </w:rPr>
        <w:t>). Similarly, synthesis evidence suggests that manure applications can increase SOC storage, supporting the general expectation that organic inputs within INM can shift carbon trajectories upward, which is especially valuable in vegetable systems where frequent cultivation can otherwise accelerate SOC decline (Gross &amp; Glaser, 2021).</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However, SOC outcomes under INM are not simply determined by carbon additions; they also depend on microbial processing and the balance between carbon inputs and carbon losses through respiration. Evidence from greenhouse vegetable soils illustrates this nuance: organic amendment can increase soil respiration by decreasing SOC recalcitrance and increasing carbon-degrading microbial activity, indicating that organic inputs may stimulate microbial decomposition processes that offset some of the carbon gains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r w:rsidR="003B31CA">
        <w:rPr>
          <w:color w:val="auto"/>
          <w:kern w:val="0"/>
          <w:lang w:val="en-US" w:eastAsia="en-US"/>
        </w:rPr>
        <w:t>Luan et al., 2020a</w:t>
      </w:r>
      <w:r w:rsidRPr="00893BAA">
        <w:rPr>
          <w:color w:val="auto"/>
          <w:kern w:val="0"/>
          <w:lang w:val="en-US" w:eastAsia="en-US"/>
        </w:rPr>
        <w:t>). This finding highlights a critical soil health pathway: INM can improve soil biological activity and nutrient cycling, but if implemented without attention to stabilization mechanisms, it can also accelerate carbon turnover. Conceptually, the soil health objective in vegetable INM is therefore not merely to “add carbon,” but to foster conditions where a meaningful fraction of added carbon becomes stabilized in aggregates or protected pools, contributing to longer-term improvements in soil structure and nutrient retention capacity.</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The structural dimension of SOC changes is particularly important for vegetables. Improved aggregation increases porosity and infiltration, enhancing root-zone aeration and water distribution. These physical improvements interact with nutrient dynamics by slowing nutrient movement through the profile and increasing the soil’s ability to retain nutrients in </w:t>
      </w:r>
      <w:r w:rsidRPr="00893BAA">
        <w:rPr>
          <w:color w:val="auto"/>
          <w:kern w:val="0"/>
          <w:lang w:val="en-US" w:eastAsia="en-US"/>
        </w:rPr>
        <w:lastRenderedPageBreak/>
        <w:t>the root zone. In intensive greenhouse vegetable production, where irrigation and fertigation are common, structural improvements can support better water–nutrient synchrony by reducing preferential flow and improving the uniformity of nutrient availability.</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4.2. Microbial communities, enzyme activities, and nutrient transformation</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INM affects soil health strongly through microbial community composition and function, because microbes regulate </w:t>
      </w:r>
      <w:proofErr w:type="spellStart"/>
      <w:r w:rsidR="00431C93" w:rsidRPr="000C1F52">
        <w:rPr>
          <w:color w:val="auto"/>
          <w:kern w:val="0"/>
          <w:highlight w:val="yellow"/>
          <w:lang w:val="en-US" w:eastAsia="en-US"/>
        </w:rPr>
        <w:t>mineralisation</w:t>
      </w:r>
      <w:proofErr w:type="spellEnd"/>
      <w:r w:rsidRPr="000C1F52">
        <w:rPr>
          <w:color w:val="auto"/>
          <w:kern w:val="0"/>
          <w:highlight w:val="yellow"/>
          <w:lang w:val="en-US" w:eastAsia="en-US"/>
        </w:rPr>
        <w:t xml:space="preserve">, </w:t>
      </w:r>
      <w:proofErr w:type="spellStart"/>
      <w:r w:rsidR="00431C93" w:rsidRPr="000C1F52">
        <w:rPr>
          <w:color w:val="auto"/>
          <w:kern w:val="0"/>
          <w:highlight w:val="yellow"/>
          <w:lang w:val="en-US" w:eastAsia="en-US"/>
        </w:rPr>
        <w:t>immobilisation</w:t>
      </w:r>
      <w:proofErr w:type="spellEnd"/>
      <w:r w:rsidRPr="000C1F52">
        <w:rPr>
          <w:color w:val="auto"/>
          <w:kern w:val="0"/>
          <w:highlight w:val="yellow"/>
          <w:lang w:val="en-US" w:eastAsia="en-US"/>
        </w:rPr>
        <w:t>, and</w:t>
      </w:r>
      <w:r w:rsidRPr="00893BAA">
        <w:rPr>
          <w:color w:val="auto"/>
          <w:kern w:val="0"/>
          <w:lang w:val="en-US" w:eastAsia="en-US"/>
        </w:rPr>
        <w:t xml:space="preserve"> enzyme-mediated transformations that determine the timing and form of nutrient availability. Organic amendments supply substrates and alter soil microhabitats, while mineral </w:t>
      </w:r>
      <w:proofErr w:type="spellStart"/>
      <w:r w:rsidR="00431C93" w:rsidRPr="000C1F52">
        <w:rPr>
          <w:color w:val="auto"/>
          <w:kern w:val="0"/>
          <w:highlight w:val="yellow"/>
          <w:lang w:val="en-US" w:eastAsia="en-US"/>
        </w:rPr>
        <w:t>fertilisers</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can change p</w:t>
      </w:r>
      <w:r w:rsidRPr="00893BAA">
        <w:rPr>
          <w:color w:val="auto"/>
          <w:kern w:val="0"/>
          <w:lang w:val="en-US" w:eastAsia="en-US"/>
        </w:rPr>
        <w:t xml:space="preserve">H, osmotic conditions, and nutrient stoichiometry—each of which shapes microbial communities. In greenhouse vegetable systems, substituting manure for chemical </w:t>
      </w:r>
      <w:proofErr w:type="spellStart"/>
      <w:r w:rsidR="00431C93" w:rsidRPr="000C1F52">
        <w:rPr>
          <w:color w:val="auto"/>
          <w:kern w:val="0"/>
          <w:highlight w:val="yellow"/>
          <w:lang w:val="en-US" w:eastAsia="en-US"/>
        </w:rPr>
        <w:t>fertiliser</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has</w:t>
      </w:r>
      <w:r w:rsidRPr="00893BAA">
        <w:rPr>
          <w:color w:val="auto"/>
          <w:kern w:val="0"/>
          <w:lang w:val="en-US" w:eastAsia="en-US"/>
        </w:rPr>
        <w:t xml:space="preserve"> been shown to affect microbial diversity, structure, and functional potential, demonstrating that nutrient source decisions are also microbial ecology decisions (</w:t>
      </w:r>
      <w:r w:rsidR="003B31CA">
        <w:rPr>
          <w:color w:val="auto"/>
          <w:kern w:val="0"/>
          <w:lang w:val="en-US" w:eastAsia="en-US"/>
        </w:rPr>
        <w:t>Luan et al., 2020b</w:t>
      </w:r>
      <w:r w:rsidRPr="00893BAA">
        <w:rPr>
          <w:color w:val="auto"/>
          <w:kern w:val="0"/>
          <w:lang w:val="en-US" w:eastAsia="en-US"/>
        </w:rPr>
        <w:t>). This pathway is critical because microbial community changes can alter nutrient release patterns, nitrogen transformation rates, and the balance between nutrient retention versus loss processes.</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Enzyme activities provide a functional window into these microbial shifts. Phosphatases are especially relevant in vegetable systems because phosphorus inputs are often high and phosphorus cycling is strongly mediated by microbial demand and enzyme-driven release from organic pools. Long-term organic </w:t>
      </w:r>
      <w:proofErr w:type="spellStart"/>
      <w:r w:rsidR="00431C93" w:rsidRPr="000C1F52">
        <w:rPr>
          <w:color w:val="auto"/>
          <w:kern w:val="0"/>
          <w:highlight w:val="yellow"/>
          <w:lang w:val="en-US" w:eastAsia="en-US"/>
        </w:rPr>
        <w:t>fertiliser</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substi</w:t>
      </w:r>
      <w:r w:rsidRPr="00893BAA">
        <w:rPr>
          <w:color w:val="auto"/>
          <w:kern w:val="0"/>
          <w:lang w:val="en-US" w:eastAsia="en-US"/>
        </w:rPr>
        <w:t>tution in greenhouse vegetable systems has been reported to increase vegetable yields and modify soil phosphorus pools, while also enhancing phosphatase activities and shifting microbial community properties (</w:t>
      </w:r>
      <w:r w:rsidR="003B31CA" w:rsidRPr="00C16D37">
        <w:rPr>
          <w:color w:val="222222"/>
          <w:shd w:val="clear" w:color="auto" w:fill="FFFFFF"/>
        </w:rPr>
        <w:t>Mukherjee et al., 2020; Jackson et al., 2004</w:t>
      </w:r>
      <w:r w:rsidR="003B31CA">
        <w:rPr>
          <w:color w:val="222222"/>
          <w:shd w:val="clear" w:color="auto" w:fill="FFFFFF"/>
        </w:rPr>
        <w:t xml:space="preserve">; </w:t>
      </w:r>
      <w:r w:rsidRPr="00893BAA">
        <w:rPr>
          <w:color w:val="auto"/>
          <w:kern w:val="0"/>
          <w:lang w:val="en-US" w:eastAsia="en-US"/>
        </w:rPr>
        <w:t xml:space="preserve">Zhang et al., 2022). This indicates that INM can influence soil health by moving nutrient supply from reliance on repeated mineral additions toward greater biologically mediated </w:t>
      </w:r>
      <w:proofErr w:type="spellStart"/>
      <w:r w:rsidR="00431C93" w:rsidRPr="000C1F52">
        <w:rPr>
          <w:color w:val="auto"/>
          <w:kern w:val="0"/>
          <w:highlight w:val="yellow"/>
          <w:lang w:val="en-US" w:eastAsia="en-US"/>
        </w:rPr>
        <w:t>mobilisation</w:t>
      </w:r>
      <w:proofErr w:type="spellEnd"/>
      <w:r w:rsidRPr="000C1F52">
        <w:rPr>
          <w:color w:val="auto"/>
          <w:kern w:val="0"/>
          <w:highlight w:val="yellow"/>
          <w:lang w:val="en-US" w:eastAsia="en-US"/>
        </w:rPr>
        <w:t>, im</w:t>
      </w:r>
      <w:r w:rsidRPr="00893BAA">
        <w:rPr>
          <w:color w:val="auto"/>
          <w:kern w:val="0"/>
          <w:lang w:val="en-US" w:eastAsia="en-US"/>
        </w:rPr>
        <w:t>proving the soil’s functional capacity to supply nutrients when plants require them.</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At the same time, microbial stimulation does not automatically equate to better sustainability. Increased microbial activity can speed nutrient transformations, potentially increasing nitrate accumulation under conditions that promote nitrification or increasing gaseous losses under conditions that </w:t>
      </w:r>
      <w:proofErr w:type="spellStart"/>
      <w:r w:rsidRPr="00893BAA">
        <w:rPr>
          <w:color w:val="auto"/>
          <w:kern w:val="0"/>
          <w:lang w:val="en-US" w:eastAsia="en-US"/>
        </w:rPr>
        <w:t>favo</w:t>
      </w:r>
      <w:r w:rsidR="00431C93">
        <w:rPr>
          <w:color w:val="auto"/>
          <w:kern w:val="0"/>
          <w:lang w:val="en-US" w:eastAsia="en-US"/>
        </w:rPr>
        <w:t>u</w:t>
      </w:r>
      <w:r w:rsidRPr="00893BAA">
        <w:rPr>
          <w:color w:val="auto"/>
          <w:kern w:val="0"/>
          <w:lang w:val="en-US" w:eastAsia="en-US"/>
        </w:rPr>
        <w:t>r</w:t>
      </w:r>
      <w:proofErr w:type="spellEnd"/>
      <w:r w:rsidRPr="00893BAA">
        <w:rPr>
          <w:color w:val="auto"/>
          <w:kern w:val="0"/>
          <w:lang w:val="en-US" w:eastAsia="en-US"/>
        </w:rPr>
        <w:t xml:space="preserve"> denitrification. Thus, INM outcomes depend on whether microbial shifts are coupled with management that controls exposure of transformed nutrients to loss pathways—particularly important in intensively irrigated vegetable systems.</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4.3. Soil chemical regulation: nitrate pools, nutrient surpluses, and loss pathways</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A defining soil health challenge in intensive vegetable systems is the buildup of reactive nutrient pools, particularly nitrate, that are vulnerable to leaching and gaseous losses. This challenge is most pronounced in greenhouse vegetable systems, where repeated </w:t>
      </w:r>
      <w:proofErr w:type="spellStart"/>
      <w:r w:rsidR="00431C93" w:rsidRPr="000C1F52">
        <w:rPr>
          <w:color w:val="auto"/>
          <w:kern w:val="0"/>
          <w:highlight w:val="yellow"/>
          <w:lang w:val="en-US" w:eastAsia="en-US"/>
        </w:rPr>
        <w:t>fertilisation</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and warm soils accelerate nitrogen cycling. Biogeochemical mode</w:t>
      </w:r>
      <w:r w:rsidR="00431C93" w:rsidRPr="000C1F52">
        <w:rPr>
          <w:color w:val="auto"/>
          <w:kern w:val="0"/>
          <w:highlight w:val="yellow"/>
          <w:lang w:val="en-US" w:eastAsia="en-US"/>
        </w:rPr>
        <w:t>l</w:t>
      </w:r>
      <w:r w:rsidRPr="000C1F52">
        <w:rPr>
          <w:color w:val="auto"/>
          <w:kern w:val="0"/>
          <w:highlight w:val="yellow"/>
          <w:lang w:val="en-US" w:eastAsia="en-US"/>
        </w:rPr>
        <w:t>ling evidence shows that increasing nitrogen inputs can</w:t>
      </w:r>
      <w:r w:rsidRPr="00893BAA">
        <w:rPr>
          <w:color w:val="auto"/>
          <w:kern w:val="0"/>
          <w:lang w:val="en-US" w:eastAsia="en-US"/>
        </w:rPr>
        <w:t xml:space="preserve"> increase nitrous oxide emissions and nitrate leaching, while yield gains may be limited once nitrogen exceeds crop requirements, reinforcing that nutrient surpluses degrade environmental performance without necessarily improving production (Zhang et al., 2021). This aligns with the soil health perspective that excessive available nutrient pools represent dysfunction: the soil is unable to retain and regulate nutrients in synchrony with crop uptake.</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lastRenderedPageBreak/>
        <w:t xml:space="preserve">Water management is integral to this pathway. In protected vegetable production, irrigation determines nitrate transport beyond the root zone and influences soil aeration, which affects microbial nitrogen transformations and associated emissions. Evidence suggests that </w:t>
      </w:r>
      <w:proofErr w:type="spellStart"/>
      <w:r w:rsidR="00431C93" w:rsidRPr="000C1F52">
        <w:rPr>
          <w:color w:val="auto"/>
          <w:kern w:val="0"/>
          <w:highlight w:val="yellow"/>
          <w:lang w:val="en-US" w:eastAsia="en-US"/>
        </w:rPr>
        <w:t>optimising</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nitrogen and w</w:t>
      </w:r>
      <w:r w:rsidRPr="00893BAA">
        <w:rPr>
          <w:color w:val="auto"/>
          <w:kern w:val="0"/>
          <w:lang w:val="en-US" w:eastAsia="en-US"/>
        </w:rPr>
        <w:t>ater management can reduce greenhouse gas emissions in greenhouse vegetable systems, indicating that soil health improvements under INM require water–nutrient co-management rather than nutrient adjustments alone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r w:rsidRPr="00893BAA">
        <w:rPr>
          <w:color w:val="auto"/>
          <w:kern w:val="0"/>
          <w:lang w:val="en-US" w:eastAsia="en-US"/>
        </w:rPr>
        <w:t>Zhou et al., 2023). From a soil health standpoint, INM should therefore aim to reduce the size and persistence of vulnerable nitrate pools through calibrated nutrient inputs, appropriate irrigation scheduling, and nutrient forms or application methods that maintain nutrients within the effective rooting zone during periods of uptake.</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Overall, soil health pathways under INM can be </w:t>
      </w:r>
      <w:proofErr w:type="spellStart"/>
      <w:r w:rsidR="00431C93" w:rsidRPr="000C1F52">
        <w:rPr>
          <w:color w:val="auto"/>
          <w:kern w:val="0"/>
          <w:highlight w:val="yellow"/>
          <w:lang w:val="en-US" w:eastAsia="en-US"/>
        </w:rPr>
        <w:t>summarised</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as a co</w:t>
      </w:r>
      <w:r w:rsidRPr="00893BAA">
        <w:rPr>
          <w:color w:val="auto"/>
          <w:kern w:val="0"/>
          <w:lang w:val="en-US" w:eastAsia="en-US"/>
        </w:rPr>
        <w:t xml:space="preserve">upled system of carbon management, microbial functional regulation, and chemical buffering. INM strengthens soil health when organic inputs increase SOC in a </w:t>
      </w:r>
      <w:proofErr w:type="spellStart"/>
      <w:r w:rsidR="00431C93" w:rsidRPr="000C1F52">
        <w:rPr>
          <w:color w:val="auto"/>
          <w:kern w:val="0"/>
          <w:highlight w:val="yellow"/>
          <w:lang w:val="en-US" w:eastAsia="en-US"/>
        </w:rPr>
        <w:t>stabilised</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form,</w:t>
      </w:r>
      <w:r w:rsidRPr="00893BAA">
        <w:rPr>
          <w:color w:val="auto"/>
          <w:kern w:val="0"/>
          <w:lang w:val="en-US" w:eastAsia="en-US"/>
        </w:rPr>
        <w:t xml:space="preserve"> microbial communities support efficient nutrient cycling without accelerating losses, and nutrient supply </w:t>
      </w:r>
      <w:r w:rsidRPr="000C1F52">
        <w:rPr>
          <w:color w:val="auto"/>
          <w:kern w:val="0"/>
          <w:highlight w:val="yellow"/>
          <w:lang w:val="en-US" w:eastAsia="en-US"/>
        </w:rPr>
        <w:t xml:space="preserve">is </w:t>
      </w:r>
      <w:proofErr w:type="spellStart"/>
      <w:r w:rsidR="00431C93" w:rsidRPr="000C1F52">
        <w:rPr>
          <w:color w:val="auto"/>
          <w:kern w:val="0"/>
          <w:highlight w:val="yellow"/>
          <w:lang w:val="en-US" w:eastAsia="en-US"/>
        </w:rPr>
        <w:t>synchronise</w:t>
      </w:r>
      <w:r w:rsidR="00431C93" w:rsidRPr="00893BAA">
        <w:rPr>
          <w:color w:val="auto"/>
          <w:kern w:val="0"/>
          <w:lang w:val="en-US" w:eastAsia="en-US"/>
        </w:rPr>
        <w:t>d</w:t>
      </w:r>
      <w:proofErr w:type="spellEnd"/>
      <w:r w:rsidR="00431C93" w:rsidRPr="00893BAA">
        <w:rPr>
          <w:color w:val="auto"/>
          <w:kern w:val="0"/>
          <w:lang w:val="en-US" w:eastAsia="en-US"/>
        </w:rPr>
        <w:t xml:space="preserve"> </w:t>
      </w:r>
      <w:r w:rsidRPr="00893BAA">
        <w:rPr>
          <w:color w:val="auto"/>
          <w:kern w:val="0"/>
          <w:lang w:val="en-US" w:eastAsia="en-US"/>
        </w:rPr>
        <w:t>with irrigation and crop uptake to prevent surplus accumulation and leaching/emission risks (</w:t>
      </w:r>
      <w:r w:rsidR="003B31CA">
        <w:rPr>
          <w:color w:val="auto"/>
          <w:kern w:val="0"/>
          <w:lang w:val="en-US" w:eastAsia="en-US"/>
        </w:rPr>
        <w:t>Luan et al., 2020b</w:t>
      </w:r>
      <w:r w:rsidRPr="00893BAA">
        <w:rPr>
          <w:color w:val="auto"/>
          <w:kern w:val="0"/>
          <w:lang w:val="en-US" w:eastAsia="en-US"/>
        </w:rPr>
        <w:t>; Zhang et al., 2022; Zhou et al., 2023).</w:t>
      </w:r>
    </w:p>
    <w:p w:rsidR="00DA02EE" w:rsidRPr="00DA02EE" w:rsidRDefault="00DA02EE" w:rsidP="00F505AA">
      <w:pPr>
        <w:spacing w:after="0" w:line="240" w:lineRule="auto"/>
        <w:ind w:left="0" w:right="0" w:firstLine="0"/>
        <w:rPr>
          <w:color w:val="auto"/>
          <w:kern w:val="0"/>
          <w:lang w:val="en-US" w:eastAsia="en-US"/>
        </w:rPr>
      </w:pPr>
    </w:p>
    <w:p w:rsidR="00893BAA" w:rsidRPr="00893BAA" w:rsidRDefault="00893BAA"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893BAA">
        <w:rPr>
          <w:b/>
          <w:bCs/>
          <w:color w:val="auto"/>
          <w:kern w:val="0"/>
          <w:sz w:val="36"/>
          <w:szCs w:val="36"/>
          <w:lang w:val="en-US" w:eastAsia="en-US"/>
        </w:rPr>
        <w:t>5. Evidence of INM performance in vegetable systems</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Evidence on integrated nutrient management (INM) performance in vegetable systems is strongest where studies evaluate outcomes across multiple seasons and measure both production responses and soil or environmental indicators. Because vegetables are typically managed under high nutrient inputs and frequent irrigation, the performance of INM is best judged by its ability to maintain yield and quality while reducing nutrient surpluses, strengthening soil biological functioning, and limiting losses such as nitrate leaching and greenhouse gas emissions. The studies available in this section collectively show that INM is most effective when it is implemented as a combined strategy—organic substitution paired with </w:t>
      </w:r>
      <w:proofErr w:type="spellStart"/>
      <w:r w:rsidR="00431C93" w:rsidRPr="000C1F52">
        <w:rPr>
          <w:color w:val="auto"/>
          <w:kern w:val="0"/>
          <w:highlight w:val="yellow"/>
          <w:lang w:val="en-US" w:eastAsia="en-US"/>
        </w:rPr>
        <w:t>optimisation</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of total nutrien</w:t>
      </w:r>
      <w:r w:rsidRPr="00893BAA">
        <w:rPr>
          <w:color w:val="auto"/>
          <w:kern w:val="0"/>
          <w:lang w:val="en-US" w:eastAsia="en-US"/>
        </w:rPr>
        <w:t>t rates and water management—rather than as an additive approach that increases inputs from multiple sources.</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5.1. Greenhouse vegetable systems: yield, nutrient losses, and soil biology</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Greenhouse vegetable production provides a particularly informative testing ground for INM because nutrient and water management are tightly controlled</w:t>
      </w:r>
      <w:r w:rsidR="00431C93">
        <w:rPr>
          <w:color w:val="auto"/>
          <w:kern w:val="0"/>
          <w:lang w:val="en-US" w:eastAsia="en-US"/>
        </w:rPr>
        <w:t>,</w:t>
      </w:r>
      <w:r w:rsidRPr="00893BAA">
        <w:rPr>
          <w:color w:val="auto"/>
          <w:kern w:val="0"/>
          <w:lang w:val="en-US" w:eastAsia="en-US"/>
        </w:rPr>
        <w:t xml:space="preserve"> and production intensity is high. In these systems, nutrient surpluses can accumulate quickly, making the environmental consequences of over</w:t>
      </w:r>
      <w:r w:rsidRPr="000C1F52">
        <w:rPr>
          <w:color w:val="auto"/>
          <w:kern w:val="0"/>
          <w:highlight w:val="yellow"/>
          <w:lang w:val="en-US" w:eastAsia="en-US"/>
        </w:rPr>
        <w:t>-</w:t>
      </w:r>
      <w:proofErr w:type="spellStart"/>
      <w:r w:rsidR="00431C93" w:rsidRPr="000C1F52">
        <w:rPr>
          <w:color w:val="auto"/>
          <w:kern w:val="0"/>
          <w:highlight w:val="yellow"/>
          <w:lang w:val="en-US" w:eastAsia="en-US"/>
        </w:rPr>
        <w:t>fertilisation</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especially pronounced. Process-based mode</w:t>
      </w:r>
      <w:r w:rsidR="00431C93" w:rsidRPr="000C1F52">
        <w:rPr>
          <w:color w:val="auto"/>
          <w:kern w:val="0"/>
          <w:highlight w:val="yellow"/>
          <w:lang w:val="en-US" w:eastAsia="en-US"/>
        </w:rPr>
        <w:t>l</w:t>
      </w:r>
      <w:r w:rsidRPr="000C1F52">
        <w:rPr>
          <w:color w:val="auto"/>
          <w:kern w:val="0"/>
          <w:highlight w:val="yellow"/>
          <w:lang w:val="en-US" w:eastAsia="en-US"/>
        </w:rPr>
        <w:t>ling evidence indicates that nitrogen management is a key lever for reducing environmental impacts without sacrificing yield. Specifically, asse</w:t>
      </w:r>
      <w:r w:rsidRPr="00893BAA">
        <w:rPr>
          <w:color w:val="auto"/>
          <w:kern w:val="0"/>
          <w:lang w:val="en-US" w:eastAsia="en-US"/>
        </w:rPr>
        <w:t>ssments using a biogeochemical model show that higher nitrogen inputs can substantially increase nitrous oxide emissions and nitrate leaching from greenhouse vegetable systems, while the yield response may be limited when nitrogen exceeds crop requirement thresholds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r w:rsidRPr="00893BAA">
        <w:rPr>
          <w:color w:val="auto"/>
          <w:kern w:val="0"/>
          <w:lang w:val="en-US" w:eastAsia="en-US"/>
        </w:rPr>
        <w:t>Zhang et al., 2021). This pattern is important because it provides a quantitative basis for a core INM claim: beyond a certain point, additional nitrogen does not proportionally improve production but does intensify environmental loss pathways.</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lastRenderedPageBreak/>
        <w:t xml:space="preserve">The same </w:t>
      </w:r>
      <w:r w:rsidRPr="000C1F52">
        <w:rPr>
          <w:color w:val="auto"/>
          <w:kern w:val="0"/>
          <w:highlight w:val="yellow"/>
          <w:lang w:val="en-US" w:eastAsia="en-US"/>
        </w:rPr>
        <w:t>mode</w:t>
      </w:r>
      <w:r w:rsidR="00431C93" w:rsidRPr="000C1F52">
        <w:rPr>
          <w:color w:val="auto"/>
          <w:kern w:val="0"/>
          <w:highlight w:val="yellow"/>
          <w:lang w:val="en-US" w:eastAsia="en-US"/>
        </w:rPr>
        <w:t>l</w:t>
      </w:r>
      <w:r w:rsidRPr="000C1F52">
        <w:rPr>
          <w:color w:val="auto"/>
          <w:kern w:val="0"/>
          <w:highlight w:val="yellow"/>
          <w:lang w:val="en-US" w:eastAsia="en-US"/>
        </w:rPr>
        <w:t xml:space="preserve">ling evidence also implies that “integrated” strategies that improve synchrony—through </w:t>
      </w:r>
      <w:proofErr w:type="spellStart"/>
      <w:r w:rsidR="00431C93" w:rsidRPr="000C1F52">
        <w:rPr>
          <w:color w:val="auto"/>
          <w:kern w:val="0"/>
          <w:highlight w:val="yellow"/>
          <w:lang w:val="en-US" w:eastAsia="en-US"/>
        </w:rPr>
        <w:t>optimised</w:t>
      </w:r>
      <w:proofErr w:type="spellEnd"/>
      <w:r w:rsidR="00431C93" w:rsidRPr="00893BAA">
        <w:rPr>
          <w:color w:val="auto"/>
          <w:kern w:val="0"/>
          <w:lang w:val="en-US" w:eastAsia="en-US"/>
        </w:rPr>
        <w:t xml:space="preserve"> </w:t>
      </w:r>
      <w:r w:rsidRPr="00893BAA">
        <w:rPr>
          <w:color w:val="auto"/>
          <w:kern w:val="0"/>
          <w:lang w:val="en-US" w:eastAsia="en-US"/>
        </w:rPr>
        <w:t>rates and timing—can preserve yields while reducing losses (Zhang et al., 2021). This supports the idea that INM should be evaluated not as a yield-</w:t>
      </w:r>
      <w:proofErr w:type="spellStart"/>
      <w:r w:rsidR="00431C93" w:rsidRPr="000C1F52">
        <w:rPr>
          <w:color w:val="auto"/>
          <w:kern w:val="0"/>
          <w:highlight w:val="yellow"/>
          <w:lang w:val="en-US" w:eastAsia="en-US"/>
        </w:rPr>
        <w:t>maximising</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 xml:space="preserve">framework but as an efficiency-and-soil-health framework that aims to position </w:t>
      </w:r>
      <w:proofErr w:type="spellStart"/>
      <w:r w:rsidR="00431C93" w:rsidRPr="000C1F52">
        <w:rPr>
          <w:color w:val="auto"/>
          <w:kern w:val="0"/>
          <w:highlight w:val="yellow"/>
          <w:lang w:val="en-US" w:eastAsia="en-US"/>
        </w:rPr>
        <w:t>fertilisation</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closer to the agronomic optimum and reduce surplus-driven externalities. For greenhouse</w:t>
      </w:r>
      <w:r w:rsidRPr="00893BAA">
        <w:rPr>
          <w:color w:val="auto"/>
          <w:kern w:val="0"/>
          <w:lang w:val="en-US" w:eastAsia="en-US"/>
        </w:rPr>
        <w:t xml:space="preserve"> vegetables, this interpretation is especially relevant because warm conditions, frequent irrigation, and repeated cropping cycles can amplify nitrification and nitrate mobility, making even modest oversupply environmentally consequential.</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Water management emerges as an equally decisive factor in greenhouse INM performance. Evidence from intensive greenhouse vegetable rotations shows that optimizing nitrogen and water management together can reduce greenhouse gas emissions while sustaining production, reinforcing that nutrient strategies that ignore irrigation dynamics may fail to deliver expected benefits (</w:t>
      </w:r>
      <w:r w:rsidR="003B31CA" w:rsidRPr="00C16D37">
        <w:rPr>
          <w:color w:val="222222"/>
          <w:shd w:val="clear" w:color="auto" w:fill="FFFFFF"/>
        </w:rPr>
        <w:t xml:space="preserve">Shubha et al., 2021; </w:t>
      </w:r>
      <w:proofErr w:type="spellStart"/>
      <w:r w:rsidR="003B31CA" w:rsidRPr="00C16D37">
        <w:rPr>
          <w:color w:val="222222"/>
          <w:shd w:val="clear" w:color="auto" w:fill="FFFFFF"/>
        </w:rPr>
        <w:t>Olle</w:t>
      </w:r>
      <w:proofErr w:type="spellEnd"/>
      <w:r w:rsidR="003B31CA" w:rsidRPr="00C16D37">
        <w:rPr>
          <w:color w:val="222222"/>
          <w:shd w:val="clear" w:color="auto" w:fill="FFFFFF"/>
        </w:rPr>
        <w:t xml:space="preserve"> &amp; Williams, 2021</w:t>
      </w:r>
      <w:r w:rsidR="003B31CA">
        <w:rPr>
          <w:color w:val="222222"/>
          <w:shd w:val="clear" w:color="auto" w:fill="FFFFFF"/>
        </w:rPr>
        <w:t xml:space="preserve">; </w:t>
      </w:r>
      <w:r w:rsidRPr="00893BAA">
        <w:rPr>
          <w:color w:val="auto"/>
          <w:kern w:val="0"/>
          <w:lang w:val="en-US" w:eastAsia="en-US"/>
        </w:rPr>
        <w:t>Zhou et al., 2023). In practical terms, this means that the performance of INM in greenhouse vegetables is not governed solely by the share of organic versus mineral nutrients, but by how those nutrients interact with irrigation scheduling to determine nitrate transport, soil aeration, and microbial nitrogen transformation pathways. Thus, the most convincing greenhouse evidence supports “co-</w:t>
      </w:r>
      <w:proofErr w:type="spellStart"/>
      <w:r w:rsidR="00431C93" w:rsidRPr="00DD1199">
        <w:rPr>
          <w:color w:val="auto"/>
          <w:kern w:val="0"/>
          <w:highlight w:val="yellow"/>
          <w:lang w:val="en-US" w:eastAsia="en-US"/>
        </w:rPr>
        <w:t>optimisation</w:t>
      </w:r>
      <w:proofErr w:type="spellEnd"/>
      <w:r w:rsidRPr="00893BAA">
        <w:rPr>
          <w:color w:val="auto"/>
          <w:kern w:val="0"/>
          <w:lang w:val="en-US" w:eastAsia="en-US"/>
        </w:rPr>
        <w:t xml:space="preserve">” as a defining feature of successful INM, </w:t>
      </w:r>
      <w:r w:rsidRPr="00DD1199">
        <w:rPr>
          <w:color w:val="auto"/>
          <w:kern w:val="0"/>
          <w:highlight w:val="yellow"/>
          <w:lang w:val="en-US" w:eastAsia="en-US"/>
        </w:rPr>
        <w:t xml:space="preserve">where </w:t>
      </w:r>
      <w:proofErr w:type="spellStart"/>
      <w:r w:rsidR="00431C93" w:rsidRPr="00DD1199">
        <w:rPr>
          <w:color w:val="auto"/>
          <w:kern w:val="0"/>
          <w:highlight w:val="yellow"/>
          <w:lang w:val="en-US" w:eastAsia="en-US"/>
        </w:rPr>
        <w:t>fertiliser</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decisions</w:t>
      </w:r>
      <w:r w:rsidRPr="00893BAA">
        <w:rPr>
          <w:color w:val="auto"/>
          <w:kern w:val="0"/>
          <w:lang w:val="en-US" w:eastAsia="en-US"/>
        </w:rPr>
        <w:t xml:space="preserve"> are made simultaneously with irrigation decisions (Zhou et al., 2023; Zhang et al., 2021).</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5.2. Long-term organic substitution and phosphorus-related functional outcomes</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Long-term organic substitution experiments are central to evidence-based INM because they capture slow-changing soil health outcomes that single-season trials often miss. In a greenhouse vegetable system evaluated over a decade, organic </w:t>
      </w:r>
      <w:proofErr w:type="spellStart"/>
      <w:r w:rsidR="00431C93" w:rsidRPr="00DD1199">
        <w:rPr>
          <w:color w:val="auto"/>
          <w:kern w:val="0"/>
          <w:highlight w:val="yellow"/>
          <w:lang w:val="en-US" w:eastAsia="en-US"/>
        </w:rPr>
        <w:t>fertiliser</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substitu</w:t>
      </w:r>
      <w:r w:rsidRPr="00893BAA">
        <w:rPr>
          <w:color w:val="auto"/>
          <w:kern w:val="0"/>
          <w:lang w:val="en-US" w:eastAsia="en-US"/>
        </w:rPr>
        <w:t xml:space="preserve">tion strategies influenced not only vegetable yields but also soil phosphorus pools and enzyme activities linked to phosphorus cycling. In that context, a decade of organic </w:t>
      </w:r>
      <w:proofErr w:type="spellStart"/>
      <w:r w:rsidR="00431C93" w:rsidRPr="00DD1199">
        <w:rPr>
          <w:color w:val="auto"/>
          <w:kern w:val="0"/>
          <w:highlight w:val="yellow"/>
          <w:lang w:val="en-US" w:eastAsia="en-US"/>
        </w:rPr>
        <w:t>fertiliser</w:t>
      </w:r>
      <w:proofErr w:type="spellEnd"/>
      <w:r w:rsidR="00431C93" w:rsidRPr="00893BAA">
        <w:rPr>
          <w:color w:val="auto"/>
          <w:kern w:val="0"/>
          <w:lang w:val="en-US" w:eastAsia="en-US"/>
        </w:rPr>
        <w:t xml:space="preserve"> </w:t>
      </w:r>
      <w:r w:rsidRPr="00893BAA">
        <w:rPr>
          <w:color w:val="auto"/>
          <w:kern w:val="0"/>
          <w:lang w:val="en-US" w:eastAsia="en-US"/>
        </w:rPr>
        <w:t xml:space="preserve">substitution increased vegetable yields and altered soil phosphorus fractions, while enhancing phosphatase activities and shifting microbial community attributes (Zhang et al., 2022). The evidence is important for two reasons. First, it demonstrates that INM can sustain or improve yields over the long term, countering concerns that reducing mineral </w:t>
      </w:r>
      <w:proofErr w:type="spellStart"/>
      <w:r w:rsidR="00431C93" w:rsidRPr="00DD1199">
        <w:rPr>
          <w:color w:val="auto"/>
          <w:kern w:val="0"/>
          <w:highlight w:val="yellow"/>
          <w:lang w:val="en-US" w:eastAsia="en-US"/>
        </w:rPr>
        <w:t>fertiliser</w:t>
      </w:r>
      <w:proofErr w:type="spellEnd"/>
      <w:r w:rsidR="00431C93" w:rsidRPr="00893BAA">
        <w:rPr>
          <w:color w:val="auto"/>
          <w:kern w:val="0"/>
          <w:lang w:val="en-US" w:eastAsia="en-US"/>
        </w:rPr>
        <w:t xml:space="preserve"> </w:t>
      </w:r>
      <w:r w:rsidRPr="00893BAA">
        <w:rPr>
          <w:color w:val="auto"/>
          <w:kern w:val="0"/>
          <w:lang w:val="en-US" w:eastAsia="en-US"/>
        </w:rPr>
        <w:t>reliance necessarily compromises vegetable productivity. Second, it indicates that INM can shift soil functioning toward improved biologically mediated nutrient cycling, as reflected by elevated phosphatase activities and changes in microbial properties (Zhang et al., 2022).</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These findings are particularly relevant in vegetable systems where phosphorus is frequently over-applied and can accumulate. By strengthening enzymatic pathways and microbial pools associated with phosphorus transformations, INM may help reduce the dependence on repetitive mineral phosphorus inputs over time. The practical implication is that INM performance should not be evaluated solely in terms of immediate yield response, but also by whether the system becomes more capable of supplying nutrients through internal cycling and improved soil biological activity (</w:t>
      </w:r>
      <w:r w:rsidR="003B31CA" w:rsidRPr="00C16D37">
        <w:rPr>
          <w:color w:val="222222"/>
          <w:shd w:val="clear" w:color="auto" w:fill="FFFFFF"/>
        </w:rPr>
        <w:t xml:space="preserve">Brandt et al., 2011; </w:t>
      </w:r>
      <w:proofErr w:type="spellStart"/>
      <w:r w:rsidR="003B31CA" w:rsidRPr="00C16D37">
        <w:rPr>
          <w:color w:val="222222"/>
          <w:shd w:val="clear" w:color="auto" w:fill="FFFFFF"/>
        </w:rPr>
        <w:t>Willekens</w:t>
      </w:r>
      <w:proofErr w:type="spellEnd"/>
      <w:r w:rsidR="003B31CA" w:rsidRPr="00C16D37">
        <w:rPr>
          <w:color w:val="222222"/>
          <w:shd w:val="clear" w:color="auto" w:fill="FFFFFF"/>
        </w:rPr>
        <w:t xml:space="preserve"> et al., 2014</w:t>
      </w:r>
      <w:r w:rsidRPr="00893BAA">
        <w:rPr>
          <w:color w:val="auto"/>
          <w:kern w:val="0"/>
          <w:lang w:val="en-US" w:eastAsia="en-US"/>
        </w:rPr>
        <w:t>).</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5.3. Microbiome responses to nutrient source integration</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Soil microbial communities are increasingly recognized as both indicators and drivers of INM performance because they control nutrient </w:t>
      </w:r>
      <w:proofErr w:type="spellStart"/>
      <w:r w:rsidR="00431C93" w:rsidRPr="00DD1199">
        <w:rPr>
          <w:color w:val="auto"/>
          <w:kern w:val="0"/>
          <w:highlight w:val="yellow"/>
          <w:lang w:val="en-US" w:eastAsia="en-US"/>
        </w:rPr>
        <w:t>mineralisation</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and</w:t>
      </w:r>
      <w:r w:rsidRPr="00893BAA">
        <w:rPr>
          <w:color w:val="auto"/>
          <w:kern w:val="0"/>
          <w:lang w:val="en-US" w:eastAsia="en-US"/>
        </w:rPr>
        <w:t xml:space="preserve"> transformations that govern nutrient availability and loss. Evidence from greenhouse vegetable systems shows that </w:t>
      </w:r>
      <w:r w:rsidRPr="00893BAA">
        <w:rPr>
          <w:color w:val="auto"/>
          <w:kern w:val="0"/>
          <w:lang w:val="en-US" w:eastAsia="en-US"/>
        </w:rPr>
        <w:lastRenderedPageBreak/>
        <w:t xml:space="preserve">substituting manure for chemical </w:t>
      </w:r>
      <w:proofErr w:type="spellStart"/>
      <w:r w:rsidR="00431C93" w:rsidRPr="00DD1199">
        <w:rPr>
          <w:color w:val="auto"/>
          <w:kern w:val="0"/>
          <w:highlight w:val="yellow"/>
          <w:lang w:val="en-US" w:eastAsia="en-US"/>
        </w:rPr>
        <w:t>fertiliser</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aff</w:t>
      </w:r>
      <w:r w:rsidRPr="00893BAA">
        <w:rPr>
          <w:color w:val="auto"/>
          <w:kern w:val="0"/>
          <w:lang w:val="en-US" w:eastAsia="en-US"/>
        </w:rPr>
        <w:t>ects soil microbial community diversity, structure, and functional potential (</w:t>
      </w:r>
      <w:r w:rsidR="003B31CA">
        <w:rPr>
          <w:color w:val="auto"/>
          <w:kern w:val="0"/>
          <w:lang w:val="en-US" w:eastAsia="en-US"/>
        </w:rPr>
        <w:t>Luan et al., 2020b</w:t>
      </w:r>
      <w:r w:rsidRPr="00893BAA">
        <w:rPr>
          <w:color w:val="auto"/>
          <w:kern w:val="0"/>
          <w:lang w:val="en-US" w:eastAsia="en-US"/>
        </w:rPr>
        <w:t xml:space="preserve">). This suggests that organic substitution can reshape microbial communities in ways that potentially improve nutrient cycling efficiency and soil biological functioning, although the direction of agronomic benefit depends on the balance between nutrient </w:t>
      </w:r>
      <w:proofErr w:type="spellStart"/>
      <w:r w:rsidR="00431C93" w:rsidRPr="00DD1199">
        <w:rPr>
          <w:color w:val="auto"/>
          <w:kern w:val="0"/>
          <w:highlight w:val="yellow"/>
          <w:lang w:val="en-US" w:eastAsia="en-US"/>
        </w:rPr>
        <w:t>mineralisation</w:t>
      </w:r>
      <w:proofErr w:type="spellEnd"/>
      <w:r w:rsidR="00431C93" w:rsidRPr="00893BAA">
        <w:rPr>
          <w:color w:val="auto"/>
          <w:kern w:val="0"/>
          <w:lang w:val="en-US" w:eastAsia="en-US"/>
        </w:rPr>
        <w:t xml:space="preserve"> </w:t>
      </w:r>
      <w:r w:rsidRPr="00893BAA">
        <w:rPr>
          <w:color w:val="auto"/>
          <w:kern w:val="0"/>
          <w:lang w:val="en-US" w:eastAsia="en-US"/>
        </w:rPr>
        <w:t>and loss risks.</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Further evidence indicates that organic amendments can stimulate microbial activity in ways that increase soil respiration, reflecting intensified decomposition processes in greenhouse vegetable soils. Organic amendment was reported to increase soil respiration through reduced SOC recalcitrance and increased carbon-degrading microbial activity, illustrating that biological stimulation is a double-edged mechanism: it can accelerate nutrient cycling and increase short-term availability, yet it can also increase carbon turnover unless </w:t>
      </w:r>
      <w:proofErr w:type="spellStart"/>
      <w:r w:rsidR="00431C93" w:rsidRPr="00DD1199">
        <w:rPr>
          <w:color w:val="auto"/>
          <w:kern w:val="0"/>
          <w:highlight w:val="yellow"/>
          <w:lang w:val="en-US" w:eastAsia="en-US"/>
        </w:rPr>
        <w:t>stabilisation</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pro</w:t>
      </w:r>
      <w:r w:rsidRPr="00893BAA">
        <w:rPr>
          <w:color w:val="auto"/>
          <w:kern w:val="0"/>
          <w:lang w:val="en-US" w:eastAsia="en-US"/>
        </w:rPr>
        <w:t>cesses keep pace (</w:t>
      </w:r>
      <w:r w:rsidR="003B31CA">
        <w:rPr>
          <w:color w:val="auto"/>
          <w:kern w:val="0"/>
          <w:lang w:val="en-US" w:eastAsia="en-US"/>
        </w:rPr>
        <w:t>Luan et al., 2020a</w:t>
      </w:r>
      <w:r w:rsidRPr="00893BAA">
        <w:rPr>
          <w:color w:val="auto"/>
          <w:kern w:val="0"/>
          <w:lang w:val="en-US" w:eastAsia="en-US"/>
        </w:rPr>
        <w:t>). In INM performance terms, these microbial and carbon responses imply that organic substitution should be managed to support long-term carbon retention, not only short-term fertility. This is especially relevant in greenhouse vegetables</w:t>
      </w:r>
      <w:r w:rsidR="00431C93">
        <w:rPr>
          <w:color w:val="auto"/>
          <w:kern w:val="0"/>
          <w:lang w:val="en-US" w:eastAsia="en-US"/>
        </w:rPr>
        <w:t>,</w:t>
      </w:r>
      <w:r w:rsidRPr="00893BAA">
        <w:rPr>
          <w:color w:val="auto"/>
          <w:kern w:val="0"/>
          <w:lang w:val="en-US" w:eastAsia="en-US"/>
        </w:rPr>
        <w:t xml:space="preserve"> where repeated amendment and warm soil conditions can enhance decomposition intensity.</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 xml:space="preserve">5.4. Reduced </w:t>
      </w:r>
      <w:r w:rsidRPr="00DD1199">
        <w:rPr>
          <w:b/>
          <w:bCs/>
          <w:color w:val="auto"/>
          <w:kern w:val="0"/>
          <w:sz w:val="27"/>
          <w:szCs w:val="27"/>
          <w:highlight w:val="yellow"/>
          <w:lang w:val="en-US" w:eastAsia="en-US"/>
        </w:rPr>
        <w:t xml:space="preserve">chemical </w:t>
      </w:r>
      <w:proofErr w:type="spellStart"/>
      <w:r w:rsidR="00431C93" w:rsidRPr="00DD1199">
        <w:rPr>
          <w:b/>
          <w:bCs/>
          <w:color w:val="auto"/>
          <w:kern w:val="0"/>
          <w:sz w:val="27"/>
          <w:szCs w:val="27"/>
          <w:highlight w:val="yellow"/>
          <w:lang w:val="en-US" w:eastAsia="en-US"/>
        </w:rPr>
        <w:t>fertiliser</w:t>
      </w:r>
      <w:proofErr w:type="spellEnd"/>
      <w:r w:rsidR="00431C93" w:rsidRPr="00DD1199">
        <w:rPr>
          <w:b/>
          <w:bCs/>
          <w:color w:val="auto"/>
          <w:kern w:val="0"/>
          <w:sz w:val="27"/>
          <w:szCs w:val="27"/>
          <w:highlight w:val="yellow"/>
          <w:lang w:val="en-US" w:eastAsia="en-US"/>
        </w:rPr>
        <w:t xml:space="preserve"> </w:t>
      </w:r>
      <w:r w:rsidRPr="00DD1199">
        <w:rPr>
          <w:b/>
          <w:bCs/>
          <w:color w:val="auto"/>
          <w:kern w:val="0"/>
          <w:sz w:val="27"/>
          <w:szCs w:val="27"/>
          <w:highlight w:val="yellow"/>
          <w:lang w:val="en-US" w:eastAsia="en-US"/>
        </w:rPr>
        <w:t>combi</w:t>
      </w:r>
      <w:r w:rsidRPr="00893BAA">
        <w:rPr>
          <w:b/>
          <w:bCs/>
          <w:color w:val="auto"/>
          <w:kern w:val="0"/>
          <w:sz w:val="27"/>
          <w:szCs w:val="27"/>
          <w:lang w:val="en-US" w:eastAsia="en-US"/>
        </w:rPr>
        <w:t>ned with bio-organic strategies in open vegetable production</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Beyond manure and compost substitution, evidence also supports INM approaches that combine reduced chemical </w:t>
      </w:r>
      <w:proofErr w:type="spellStart"/>
      <w:r w:rsidR="00431C93" w:rsidRPr="00DD1199">
        <w:rPr>
          <w:color w:val="auto"/>
          <w:kern w:val="0"/>
          <w:highlight w:val="yellow"/>
          <w:lang w:val="en-US" w:eastAsia="en-US"/>
        </w:rPr>
        <w:t>fertiliser</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with b</w:t>
      </w:r>
      <w:r w:rsidRPr="00893BAA">
        <w:rPr>
          <w:color w:val="auto"/>
          <w:kern w:val="0"/>
          <w:lang w:val="en-US" w:eastAsia="en-US"/>
        </w:rPr>
        <w:t xml:space="preserve">io-organic </w:t>
      </w:r>
      <w:proofErr w:type="spellStart"/>
      <w:r w:rsidR="00431C93" w:rsidRPr="00DD1199">
        <w:rPr>
          <w:color w:val="auto"/>
          <w:kern w:val="0"/>
          <w:highlight w:val="yellow"/>
          <w:lang w:val="en-US" w:eastAsia="en-US"/>
        </w:rPr>
        <w:t>fertiliser</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to influence</w:t>
      </w:r>
      <w:r w:rsidRPr="00893BAA">
        <w:rPr>
          <w:color w:val="auto"/>
          <w:kern w:val="0"/>
          <w:lang w:val="en-US" w:eastAsia="en-US"/>
        </w:rPr>
        <w:t xml:space="preserve"> microbial communities and crop outcomes. In lettuce production, reduced chemical </w:t>
      </w:r>
      <w:proofErr w:type="spellStart"/>
      <w:r w:rsidR="00431C93" w:rsidRPr="00DD1199">
        <w:rPr>
          <w:color w:val="auto"/>
          <w:kern w:val="0"/>
          <w:highlight w:val="yellow"/>
          <w:lang w:val="en-US" w:eastAsia="en-US"/>
        </w:rPr>
        <w:t>fertiliser</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combined</w:t>
      </w:r>
      <w:r w:rsidRPr="00893BAA">
        <w:rPr>
          <w:color w:val="auto"/>
          <w:kern w:val="0"/>
          <w:lang w:val="en-US" w:eastAsia="en-US"/>
        </w:rPr>
        <w:t xml:space="preserve"> with bio-organic </w:t>
      </w:r>
      <w:proofErr w:type="spellStart"/>
      <w:r w:rsidR="00431C93" w:rsidRPr="00DD1199">
        <w:rPr>
          <w:color w:val="auto"/>
          <w:kern w:val="0"/>
          <w:highlight w:val="yellow"/>
          <w:lang w:val="en-US" w:eastAsia="en-US"/>
        </w:rPr>
        <w:t>fertiliser</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a</w:t>
      </w:r>
      <w:r w:rsidRPr="00893BAA">
        <w:rPr>
          <w:color w:val="auto"/>
          <w:kern w:val="0"/>
          <w:lang w:val="en-US" w:eastAsia="en-US"/>
        </w:rPr>
        <w:t>ffected the soil microbial community and improved yield and quality parameters, demonstrating that microbial community management can be integrated into nutrient strategies for high-value vegetables (</w:t>
      </w:r>
      <w:proofErr w:type="spellStart"/>
      <w:r w:rsidRPr="00893BAA">
        <w:rPr>
          <w:color w:val="auto"/>
          <w:kern w:val="0"/>
          <w:lang w:val="en-US" w:eastAsia="en-US"/>
        </w:rPr>
        <w:t>Jin</w:t>
      </w:r>
      <w:proofErr w:type="spellEnd"/>
      <w:r w:rsidRPr="00893BAA">
        <w:rPr>
          <w:color w:val="auto"/>
          <w:kern w:val="0"/>
          <w:lang w:val="en-US" w:eastAsia="en-US"/>
        </w:rPr>
        <w:t xml:space="preserve"> et al., 2022). This evidence indicates that INM performance may be enhanced when nutrient reductions are paired with biologically active amendments that support nutrient acquisition and rhizosphere functioning. At the same time, these approaches require careful site-specific validation because microbial outcomes and yield responses can vary with soil type, climate, and baseline fertility conditions.</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Taken together, the evidence base in this section suggests that INM can maintain or improve vegetable yields while improving soil biological functioning and reducing environmental losses, particularly when implemented through rate </w:t>
      </w:r>
      <w:proofErr w:type="spellStart"/>
      <w:r w:rsidR="00431C93" w:rsidRPr="00DD1199">
        <w:rPr>
          <w:color w:val="auto"/>
          <w:kern w:val="0"/>
          <w:highlight w:val="yellow"/>
          <w:lang w:val="en-US" w:eastAsia="en-US"/>
        </w:rPr>
        <w:t>optimisation</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an</w:t>
      </w:r>
      <w:r w:rsidRPr="00893BAA">
        <w:rPr>
          <w:color w:val="auto"/>
          <w:kern w:val="0"/>
          <w:lang w:val="en-US" w:eastAsia="en-US"/>
        </w:rPr>
        <w:t xml:space="preserve">d water–nutrient co-management rather than additive input stacking (Zhang et al., 2021; </w:t>
      </w:r>
      <w:r w:rsidR="003B31CA">
        <w:rPr>
          <w:color w:val="auto"/>
          <w:kern w:val="0"/>
          <w:lang w:val="en-US" w:eastAsia="en-US"/>
        </w:rPr>
        <w:t>Luan et al., 2020a</w:t>
      </w:r>
      <w:r w:rsidRPr="00893BAA">
        <w:rPr>
          <w:color w:val="auto"/>
          <w:kern w:val="0"/>
          <w:lang w:val="en-US" w:eastAsia="en-US"/>
        </w:rPr>
        <w:t>).</w:t>
      </w:r>
    </w:p>
    <w:p w:rsidR="00893BAA" w:rsidRPr="00893BAA" w:rsidRDefault="00893BAA"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893BAA">
        <w:rPr>
          <w:b/>
          <w:bCs/>
          <w:color w:val="auto"/>
          <w:kern w:val="0"/>
          <w:sz w:val="36"/>
          <w:szCs w:val="36"/>
          <w:lang w:val="en-US" w:eastAsia="en-US"/>
        </w:rPr>
        <w:t>6. Nutrient-specific considerations in INM for vegetables</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Integrated nutrient management (INM) in vegetable systems becomes most effective when it is translated from a general “blend organic and mineral sources” idea into nutrient-specific strategies. Vegetables respond strongly to the timing and balance of individual nutrients because many crops have short growth cycles, rapid nutrient uptake phases, and quality attributes that are sensitive to both deficiency and oversupply. For this reason, nutrient-specific INM is not only about choosing inputs, but also about shaping nutrient release patterns, </w:t>
      </w:r>
      <w:proofErr w:type="spellStart"/>
      <w:r w:rsidR="00431C93" w:rsidRPr="00DD1199">
        <w:rPr>
          <w:color w:val="auto"/>
          <w:kern w:val="0"/>
          <w:highlight w:val="yellow"/>
          <w:lang w:val="en-US" w:eastAsia="en-US"/>
        </w:rPr>
        <w:t>synchronising</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su</w:t>
      </w:r>
      <w:r w:rsidRPr="00893BAA">
        <w:rPr>
          <w:color w:val="auto"/>
          <w:kern w:val="0"/>
          <w:lang w:val="en-US" w:eastAsia="en-US"/>
        </w:rPr>
        <w:t xml:space="preserve">pply with crop demand, and preventing the build-up of soil pools that elevate loss risk or reduce long-term soil health. In practice, this requires that each nutrient be managed according to its dominant risk pathway in vegetable systems: nitrogen </w:t>
      </w:r>
      <w:r w:rsidRPr="00893BAA">
        <w:rPr>
          <w:color w:val="auto"/>
          <w:kern w:val="0"/>
          <w:lang w:val="en-US" w:eastAsia="en-US"/>
        </w:rPr>
        <w:lastRenderedPageBreak/>
        <w:t>(N) primarily through leaching and gaseous losses, phosphorus (P) through accumulation and runoff/erosion risks, and potassium (K) through rapid crop removal and soil exchange dynamics. Even where data are most abundant for N and P, a nutrient-specific INM framework is valuable because it clarifies which processes must be controlled to deliver yield and soil health outcomes simultaneously.</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6.1. Nitrogen: balancing yield protection with loss prevention</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Nitrogen is typically the most yield-responsive nutrient in vegetable systems and also the nutrient most associated with environmental losses. A common reason for over-application is the desire to avoid any risk of growth limitation, since many vegetables have narrow market windows</w:t>
      </w:r>
      <w:r w:rsidR="00431C93">
        <w:rPr>
          <w:color w:val="auto"/>
          <w:kern w:val="0"/>
          <w:lang w:val="en-US" w:eastAsia="en-US"/>
        </w:rPr>
        <w:t>,</w:t>
      </w:r>
      <w:r w:rsidRPr="00893BAA">
        <w:rPr>
          <w:color w:val="auto"/>
          <w:kern w:val="0"/>
          <w:lang w:val="en-US" w:eastAsia="en-US"/>
        </w:rPr>
        <w:t xml:space="preserve"> and quality penalties can be severe. However, “insurance” N often creates a mismatch between supply and crop demand, leaving elevated nitrate in the soil profile after harvest or during periods when uptake is low. This residual nitrate is vulnerable to movement with water and to microbially mediated transformation into gaseous forms, making N management a central sustainability challenge in vegetable production (</w:t>
      </w:r>
      <w:proofErr w:type="spellStart"/>
      <w:r w:rsidRPr="00893BAA">
        <w:rPr>
          <w:color w:val="auto"/>
          <w:kern w:val="0"/>
          <w:lang w:val="en-US" w:eastAsia="en-US"/>
        </w:rPr>
        <w:t>Tei</w:t>
      </w:r>
      <w:proofErr w:type="spellEnd"/>
      <w:r w:rsidRPr="00893BAA">
        <w:rPr>
          <w:color w:val="auto"/>
          <w:kern w:val="0"/>
          <w:lang w:val="en-US" w:eastAsia="en-US"/>
        </w:rPr>
        <w:t xml:space="preserve"> et al., 2020).</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A nutrient-specific INM perspective </w:t>
      </w:r>
      <w:proofErr w:type="spellStart"/>
      <w:r w:rsidR="00431C93" w:rsidRPr="00DD1199">
        <w:rPr>
          <w:color w:val="auto"/>
          <w:kern w:val="0"/>
          <w:highlight w:val="yellow"/>
          <w:lang w:val="en-US" w:eastAsia="en-US"/>
        </w:rPr>
        <w:t>emphasises</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that t</w:t>
      </w:r>
      <w:r w:rsidRPr="00893BAA">
        <w:rPr>
          <w:color w:val="auto"/>
          <w:kern w:val="0"/>
          <w:lang w:val="en-US" w:eastAsia="en-US"/>
        </w:rPr>
        <w:t xml:space="preserve">he performance of combined organic–mineral strategies depends on how total available N is budgeted, not merely on which materials are used. Organic amendments contribute plant-available N via </w:t>
      </w:r>
      <w:proofErr w:type="spellStart"/>
      <w:r w:rsidR="00431C93" w:rsidRPr="00DD1199">
        <w:rPr>
          <w:color w:val="auto"/>
          <w:kern w:val="0"/>
          <w:highlight w:val="yellow"/>
          <w:lang w:val="en-US" w:eastAsia="en-US"/>
        </w:rPr>
        <w:t>mineralisation</w:t>
      </w:r>
      <w:proofErr w:type="spellEnd"/>
      <w:r w:rsidRPr="00DD1199">
        <w:rPr>
          <w:color w:val="auto"/>
          <w:kern w:val="0"/>
          <w:highlight w:val="yellow"/>
          <w:lang w:val="en-US" w:eastAsia="en-US"/>
        </w:rPr>
        <w:t xml:space="preserve">, and the rate of </w:t>
      </w:r>
      <w:proofErr w:type="spellStart"/>
      <w:r w:rsidR="00431C93" w:rsidRPr="00DD1199">
        <w:rPr>
          <w:color w:val="auto"/>
          <w:kern w:val="0"/>
          <w:highlight w:val="yellow"/>
          <w:lang w:val="en-US" w:eastAsia="en-US"/>
        </w:rPr>
        <w:t>mineralisation</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is strongly influenced by temperature, moist</w:t>
      </w:r>
      <w:r w:rsidRPr="00893BAA">
        <w:rPr>
          <w:color w:val="auto"/>
          <w:kern w:val="0"/>
          <w:lang w:val="en-US" w:eastAsia="en-US"/>
        </w:rPr>
        <w:t xml:space="preserve">ure, and the biochemical characteristics of the amendment. If mineral </w:t>
      </w:r>
      <w:proofErr w:type="spellStart"/>
      <w:r w:rsidR="00431C93" w:rsidRPr="00DD1199">
        <w:rPr>
          <w:color w:val="auto"/>
          <w:kern w:val="0"/>
          <w:highlight w:val="yellow"/>
          <w:lang w:val="en-US" w:eastAsia="en-US"/>
        </w:rPr>
        <w:t>fertiliser</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N is</w:t>
      </w:r>
      <w:r w:rsidRPr="00893BAA">
        <w:rPr>
          <w:color w:val="auto"/>
          <w:kern w:val="0"/>
          <w:lang w:val="en-US" w:eastAsia="en-US"/>
        </w:rPr>
        <w:t xml:space="preserve"> not reduced to account for </w:t>
      </w:r>
      <w:proofErr w:type="spellStart"/>
      <w:r w:rsidR="00431C93" w:rsidRPr="00893BAA">
        <w:rPr>
          <w:color w:val="auto"/>
          <w:kern w:val="0"/>
          <w:lang w:val="en-US" w:eastAsia="en-US"/>
        </w:rPr>
        <w:t>mi</w:t>
      </w:r>
      <w:r w:rsidR="00431C93" w:rsidRPr="00DD1199">
        <w:rPr>
          <w:color w:val="auto"/>
          <w:kern w:val="0"/>
          <w:highlight w:val="yellow"/>
          <w:lang w:val="en-US" w:eastAsia="en-US"/>
        </w:rPr>
        <w:t>neralisation</w:t>
      </w:r>
      <w:proofErr w:type="spellEnd"/>
      <w:r w:rsidRPr="00893BAA">
        <w:rPr>
          <w:color w:val="auto"/>
          <w:kern w:val="0"/>
          <w:lang w:val="en-US" w:eastAsia="en-US"/>
        </w:rPr>
        <w:t>, integrated strategies can inadvertently increase total available N, raising the probability of leaching and emissions. The risk is especially high in intensively managed vegetable soils where warm conditions and frequent irrigation can accelerate nitrification and nitrate accumulation. Importantly, evidence from greenhouse vegetable systems indicates that increasing N input can substantially increase nitrous oxide emissions and nitrate leaching while yield responses may plateau once N exceeds the crop’s requirement range, demonstrating that environmental losses rise sharply when N is applied beyond the agronomic optimum (</w:t>
      </w:r>
      <w:proofErr w:type="spellStart"/>
      <w:r w:rsidR="003B31CA" w:rsidRPr="00C16D37">
        <w:rPr>
          <w:color w:val="222222"/>
          <w:shd w:val="clear" w:color="auto" w:fill="FFFFFF"/>
        </w:rPr>
        <w:t>Aulakh</w:t>
      </w:r>
      <w:proofErr w:type="spellEnd"/>
      <w:r w:rsidR="003B31CA" w:rsidRPr="00C16D37">
        <w:rPr>
          <w:color w:val="222222"/>
          <w:shd w:val="clear" w:color="auto" w:fill="FFFFFF"/>
        </w:rPr>
        <w:t xml:space="preserve"> et al., 2022</w:t>
      </w:r>
      <w:r w:rsidR="003B31CA">
        <w:rPr>
          <w:color w:val="222222"/>
          <w:shd w:val="clear" w:color="auto" w:fill="FFFFFF"/>
        </w:rPr>
        <w:t xml:space="preserve">; </w:t>
      </w:r>
      <w:r w:rsidRPr="00893BAA">
        <w:rPr>
          <w:color w:val="auto"/>
          <w:kern w:val="0"/>
          <w:lang w:val="en-US" w:eastAsia="en-US"/>
        </w:rPr>
        <w:t xml:space="preserve">Zhang et al., 2021). This reinforces a core nutrient-specific INM rule: the </w:t>
      </w:r>
      <w:r w:rsidRPr="00DD1199">
        <w:rPr>
          <w:color w:val="auto"/>
          <w:kern w:val="0"/>
          <w:highlight w:val="yellow"/>
          <w:lang w:val="en-US" w:eastAsia="en-US"/>
        </w:rPr>
        <w:t xml:space="preserve">goal is to </w:t>
      </w:r>
      <w:proofErr w:type="spellStart"/>
      <w:r w:rsidR="00431C93" w:rsidRPr="00DD1199">
        <w:rPr>
          <w:color w:val="auto"/>
          <w:kern w:val="0"/>
          <w:highlight w:val="yellow"/>
          <w:lang w:val="en-US" w:eastAsia="en-US"/>
        </w:rPr>
        <w:t>optimise</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 xml:space="preserve">available N to the crop’s uptake capacity rather than </w:t>
      </w:r>
      <w:proofErr w:type="spellStart"/>
      <w:r w:rsidR="00431C93" w:rsidRPr="00DD1199">
        <w:rPr>
          <w:color w:val="auto"/>
          <w:kern w:val="0"/>
          <w:highlight w:val="yellow"/>
          <w:lang w:val="en-US" w:eastAsia="en-US"/>
        </w:rPr>
        <w:t>maximise</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application.</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Vegetable systems also differ from many field crops in that harvest timing often leaves soil exposed with high residual nitrate, making post-harvest periods critical. Temperate-system evidence </w:t>
      </w:r>
      <w:proofErr w:type="spellStart"/>
      <w:r w:rsidR="00431C93" w:rsidRPr="00DD1199">
        <w:rPr>
          <w:color w:val="auto"/>
          <w:kern w:val="0"/>
          <w:highlight w:val="yellow"/>
          <w:lang w:val="en-US" w:eastAsia="en-US"/>
        </w:rPr>
        <w:t>emphasises</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that</w:t>
      </w:r>
      <w:r w:rsidRPr="00893BAA">
        <w:rPr>
          <w:color w:val="auto"/>
          <w:kern w:val="0"/>
          <w:lang w:val="en-US" w:eastAsia="en-US"/>
        </w:rPr>
        <w:t xml:space="preserve"> nitrate leaching is strongly shaped by management decisions that influence residual soil nitrate and water movement through the profile (Di &amp; Cameron, 2002). In a vegetable-specific context, this implies that N-focused INM must plan for the whole cropping window, including the late-season and post-harvest phases when nitrate pools are most prone to loss. Therefore, the nutrient-specific design challenge is to structure N supply so that readily available nitrate does not persist when plant uptake is declining. Practically, this means that organic substitution should be paired with appropriately reduced mineral N rates and with timing strategies (such as staged applications) that align the highest availability with peak uptake, consistent with broader vegetable N management principles (</w:t>
      </w:r>
      <w:proofErr w:type="spellStart"/>
      <w:r w:rsidRPr="00893BAA">
        <w:rPr>
          <w:color w:val="auto"/>
          <w:kern w:val="0"/>
          <w:lang w:val="en-US" w:eastAsia="en-US"/>
        </w:rPr>
        <w:t>Tei</w:t>
      </w:r>
      <w:proofErr w:type="spellEnd"/>
      <w:r w:rsidRPr="00893BAA">
        <w:rPr>
          <w:color w:val="auto"/>
          <w:kern w:val="0"/>
          <w:lang w:val="en-US" w:eastAsia="en-US"/>
        </w:rPr>
        <w:t xml:space="preserve"> et al., 2020).</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6.2. Phosphorus: avoiding accumulation while sustaining availability</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Phosphorus behaves differently from nitrogen in vegetable soils because it is less mobile in most soil conditions but can accumulate when inputs exceed crop removal. In high-input </w:t>
      </w:r>
      <w:r w:rsidRPr="00893BAA">
        <w:rPr>
          <w:color w:val="auto"/>
          <w:kern w:val="0"/>
          <w:lang w:val="en-US" w:eastAsia="en-US"/>
        </w:rPr>
        <w:lastRenderedPageBreak/>
        <w:t xml:space="preserve">vegetable production, P is often applied routinely, sometimes without sufficient adjustment for existing soil P levels or the crop’s realistic removal rates. Over time, this can lead to large pools of soil test P and other labile fractions, which increases the risk of P transfer to water bodies through runoff or erosion and can reduce the economic efficiency of </w:t>
      </w:r>
      <w:proofErr w:type="spellStart"/>
      <w:r w:rsidR="00431C93" w:rsidRPr="00DD1199">
        <w:rPr>
          <w:color w:val="auto"/>
          <w:kern w:val="0"/>
          <w:highlight w:val="yellow"/>
          <w:lang w:val="en-US" w:eastAsia="en-US"/>
        </w:rPr>
        <w:t>fertilisation</w:t>
      </w:r>
      <w:proofErr w:type="spellEnd"/>
      <w:r w:rsidRPr="00DD1199">
        <w:rPr>
          <w:color w:val="auto"/>
          <w:kern w:val="0"/>
          <w:highlight w:val="yellow"/>
          <w:lang w:val="en-US" w:eastAsia="en-US"/>
        </w:rPr>
        <w:t>. Nutrient</w:t>
      </w:r>
      <w:r w:rsidRPr="00893BAA">
        <w:rPr>
          <w:color w:val="auto"/>
          <w:kern w:val="0"/>
          <w:lang w:val="en-US" w:eastAsia="en-US"/>
        </w:rPr>
        <w:t>-specific INM for P</w:t>
      </w:r>
      <w:r w:rsidR="00431C93">
        <w:rPr>
          <w:color w:val="auto"/>
          <w:kern w:val="0"/>
          <w:lang w:val="en-US" w:eastAsia="en-US"/>
        </w:rPr>
        <w:t>,</w:t>
      </w:r>
      <w:r w:rsidRPr="00893BAA">
        <w:rPr>
          <w:color w:val="auto"/>
          <w:kern w:val="0"/>
          <w:lang w:val="en-US" w:eastAsia="en-US"/>
        </w:rPr>
        <w:t xml:space="preserve"> therefore</w:t>
      </w:r>
      <w:r w:rsidR="00431C93">
        <w:rPr>
          <w:color w:val="auto"/>
          <w:kern w:val="0"/>
          <w:lang w:val="en-US" w:eastAsia="en-US"/>
        </w:rPr>
        <w:t>,</w:t>
      </w:r>
      <w:r w:rsidRPr="00893BAA">
        <w:rPr>
          <w:color w:val="auto"/>
          <w:kern w:val="0"/>
          <w:lang w:val="en-US" w:eastAsia="en-US"/>
        </w:rPr>
        <w:t xml:space="preserve"> focuses less on acute seasonal loss pathways and more on long-term balance and soil functional capacity to supply P without continual surpluses.</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Within INM, organic amendments can influence P availability by adding both inorganic and organic P forms and by stimulating biological processes that </w:t>
      </w:r>
      <w:proofErr w:type="spellStart"/>
      <w:r w:rsidR="00431C93" w:rsidRPr="00DD1199">
        <w:rPr>
          <w:color w:val="auto"/>
          <w:kern w:val="0"/>
          <w:highlight w:val="yellow"/>
          <w:lang w:val="en-US" w:eastAsia="en-US"/>
        </w:rPr>
        <w:t>mobilise</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P. Long</w:t>
      </w:r>
      <w:r w:rsidRPr="00893BAA">
        <w:rPr>
          <w:color w:val="auto"/>
          <w:kern w:val="0"/>
          <w:lang w:val="en-US" w:eastAsia="en-US"/>
        </w:rPr>
        <w:t xml:space="preserve">-term evidence from greenhouse vegetable systems shows that a decade of </w:t>
      </w:r>
      <w:r w:rsidRPr="00DD1199">
        <w:rPr>
          <w:color w:val="auto"/>
          <w:kern w:val="0"/>
          <w:highlight w:val="yellow"/>
          <w:lang w:val="en-US" w:eastAsia="en-US"/>
        </w:rPr>
        <w:t xml:space="preserve">organic </w:t>
      </w:r>
      <w:proofErr w:type="spellStart"/>
      <w:r w:rsidR="00431C93" w:rsidRPr="00DD1199">
        <w:rPr>
          <w:color w:val="auto"/>
          <w:kern w:val="0"/>
          <w:highlight w:val="yellow"/>
          <w:lang w:val="en-US" w:eastAsia="en-US"/>
        </w:rPr>
        <w:t>fertiliser</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substitu</w:t>
      </w:r>
      <w:r w:rsidRPr="00893BAA">
        <w:rPr>
          <w:color w:val="auto"/>
          <w:kern w:val="0"/>
          <w:lang w:val="en-US" w:eastAsia="en-US"/>
        </w:rPr>
        <w:t xml:space="preserve">tion altered soil P pools and increased phosphatase activities alongside yield benefits, indicating that INM can shift P cycling toward greater biologically mediated </w:t>
      </w:r>
      <w:proofErr w:type="spellStart"/>
      <w:r w:rsidR="00431C93" w:rsidRPr="00DD1199">
        <w:rPr>
          <w:color w:val="auto"/>
          <w:kern w:val="0"/>
          <w:highlight w:val="yellow"/>
          <w:lang w:val="en-US" w:eastAsia="en-US"/>
        </w:rPr>
        <w:t>mobilisation</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r</w:t>
      </w:r>
      <w:r w:rsidRPr="00893BAA">
        <w:rPr>
          <w:color w:val="auto"/>
          <w:kern w:val="0"/>
          <w:lang w:val="en-US" w:eastAsia="en-US"/>
        </w:rPr>
        <w:t>ather than sole dependence on repeated mineral inputs (Zhang et al., 2022). This is an important nutrient-specific message because phosphatase enzymes are directly linked to the release of phosphate from organic compounds; higher activity suggests a strengthened soil biological capacity to transform P into plant-available forms. Consequently, nutrient-specific P management under INM should treat organic materials not just as sources of P, but as drivers of P cycling processes that can reduce the need for surplus applications over time.</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However, nutrient-specific P INM also requires discipline in nutrient accounting. Organic amendments can contain substantial P, and repeated applications aimed primarily at meeting N needs can unintentionally over-supply P, especially when manures are used. This means that nutrient-specific INM must sometimes decouple N and P planning: in soils already high in available P, the strategy may require limiting high-P organic inputs or using materials with lower P content, while meeting N needs through alternative sources and improved timing. The conceptual objective is to maintain adequate plant-available P for yield and quality while preventing the gradual build-up of excessive soil P pools (Zhang et al., 2022).</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6.3. Potassium and nutrient balance considerations under INM</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Although N and P often dominate sustainability discussions, potassium is frequently removed in large quantities by vegetable harvests, particularly when marketable biomass is high. In nutrient-specific INM, K management should be treated as a balance problem: K deficits can emerge rapidly when removal is high and replenishment is inconsistent, while excess K can create nutrient antagonisms that affect uptake of other cations. Organic amendments can supply K, but the contribution depends on amendment type and handling, and K release is generally faster than P because much K is present in soluble forms. For vegetables, nutrient-specific INM therefore requires periodic assessment of K status and a willingness to adjust mineral K supplementation even when N and P are supplied partly through organic sources, ensuring that yield and quality are not constrained by hidden imbalances.</w:t>
      </w:r>
    </w:p>
    <w:p w:rsidR="00893BAA" w:rsidRPr="00893BAA" w:rsidRDefault="00893BA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893BAA">
        <w:rPr>
          <w:b/>
          <w:bCs/>
          <w:color w:val="auto"/>
          <w:kern w:val="0"/>
          <w:sz w:val="27"/>
          <w:szCs w:val="27"/>
          <w:lang w:val="en-US" w:eastAsia="en-US"/>
        </w:rPr>
        <w:t>6.4. Integrating nutrient-specific strategies into a single INM plan</w:t>
      </w:r>
    </w:p>
    <w:p w:rsidR="00893BAA" w:rsidRPr="00893BAA" w:rsidRDefault="00893BAA" w:rsidP="00F505AA">
      <w:pPr>
        <w:spacing w:before="100" w:beforeAutospacing="1" w:after="100" w:afterAutospacing="1" w:line="240" w:lineRule="auto"/>
        <w:ind w:left="0" w:right="0" w:firstLine="0"/>
        <w:rPr>
          <w:color w:val="auto"/>
          <w:kern w:val="0"/>
          <w:lang w:val="en-US" w:eastAsia="en-US"/>
        </w:rPr>
      </w:pPr>
      <w:r w:rsidRPr="00893BAA">
        <w:rPr>
          <w:color w:val="auto"/>
          <w:kern w:val="0"/>
          <w:lang w:val="en-US" w:eastAsia="en-US"/>
        </w:rPr>
        <w:t xml:space="preserve">A practical INM plan for vegetables is strongest when it integrates nutrient-specific rules into one coherent budgeting and timing approach. For nitrogen, the central </w:t>
      </w:r>
      <w:r w:rsidRPr="00DD1199">
        <w:rPr>
          <w:color w:val="auto"/>
          <w:kern w:val="0"/>
          <w:highlight w:val="yellow"/>
          <w:lang w:val="en-US" w:eastAsia="en-US"/>
        </w:rPr>
        <w:t xml:space="preserve">criterion is </w:t>
      </w:r>
      <w:proofErr w:type="spellStart"/>
      <w:r w:rsidR="00431C93" w:rsidRPr="00DD1199">
        <w:rPr>
          <w:color w:val="auto"/>
          <w:kern w:val="0"/>
          <w:highlight w:val="yellow"/>
          <w:lang w:val="en-US" w:eastAsia="en-US"/>
        </w:rPr>
        <w:t>minimising</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persistent</w:t>
      </w:r>
      <w:r w:rsidRPr="00893BAA">
        <w:rPr>
          <w:color w:val="auto"/>
          <w:kern w:val="0"/>
          <w:lang w:val="en-US" w:eastAsia="en-US"/>
        </w:rPr>
        <w:t xml:space="preserve"> surplus nitrate pools while meeting peak uptake demand (</w:t>
      </w:r>
      <w:proofErr w:type="spellStart"/>
      <w:r w:rsidRPr="00893BAA">
        <w:rPr>
          <w:color w:val="auto"/>
          <w:kern w:val="0"/>
          <w:lang w:val="en-US" w:eastAsia="en-US"/>
        </w:rPr>
        <w:t>Tei</w:t>
      </w:r>
      <w:proofErr w:type="spellEnd"/>
      <w:r w:rsidRPr="00893BAA">
        <w:rPr>
          <w:color w:val="auto"/>
          <w:kern w:val="0"/>
          <w:lang w:val="en-US" w:eastAsia="en-US"/>
        </w:rPr>
        <w:t xml:space="preserve"> et al., 2020; Di &amp; Cameron, 2002; Zhang et al., 2021). For phosphorus, the central criterion is avoiding long-term accumulation by aligning inputs with realistic removal and leveraging biologically mediated cycling where possible (Zhang et al., 2022). The integration step is crucial because </w:t>
      </w:r>
      <w:r w:rsidRPr="00893BAA">
        <w:rPr>
          <w:color w:val="auto"/>
          <w:kern w:val="0"/>
          <w:lang w:val="en-US" w:eastAsia="en-US"/>
        </w:rPr>
        <w:lastRenderedPageBreak/>
        <w:t>vegetable systems are sensitive to both short-term nutrient availability and long-term soil function trajectories; nutrient-specific INM provides the operational logic for achieving both outcomes without relying on excessive inputs.</w:t>
      </w:r>
    </w:p>
    <w:p w:rsidR="00DA02EE" w:rsidRPr="00DA02EE" w:rsidRDefault="00DA02EE" w:rsidP="00F505AA">
      <w:pPr>
        <w:spacing w:after="0" w:line="240" w:lineRule="auto"/>
        <w:ind w:left="0" w:right="0" w:firstLine="0"/>
        <w:rPr>
          <w:color w:val="auto"/>
          <w:kern w:val="0"/>
          <w:lang w:val="en-US" w:eastAsia="en-US"/>
        </w:rPr>
      </w:pPr>
    </w:p>
    <w:p w:rsidR="00AF279A" w:rsidRPr="00AF279A" w:rsidRDefault="00AF279A"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AF279A">
        <w:rPr>
          <w:b/>
          <w:bCs/>
          <w:color w:val="auto"/>
          <w:kern w:val="0"/>
          <w:sz w:val="36"/>
          <w:szCs w:val="36"/>
          <w:lang w:val="en-US" w:eastAsia="en-US"/>
        </w:rPr>
        <w:t>7. Environmental performance and climate relevance</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Environmental performance is a decisive criterion for evaluating integrated nutrient management (INM) in vegetable systems because these systems often operate at high nutrient intensity, with frequent irrigation and repeated cropping cycles that increase the probability of nutrient losses. From an environmental standpoint, the most consequential losses are typically reactive nitrogen pathways—nitrate leaching to groundwater and surface waters, and gaseous nitrogen losses as nitrous oxide—because they simultaneously reduce nutrient-use efficiency and create off-site impacts. Climate relevance is closely linked to this nitrogen problem, because nitrous oxide is a powerful greenhouse gas and also affects stratospheric ozone chemistry, making agricultural nitrogen management a cross-cutting issue for both climate mitigation and atmospheric protection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proofErr w:type="spellStart"/>
      <w:r w:rsidRPr="00AF279A">
        <w:rPr>
          <w:color w:val="auto"/>
          <w:kern w:val="0"/>
          <w:lang w:val="en-US" w:eastAsia="en-US"/>
        </w:rPr>
        <w:t>Ravishankara</w:t>
      </w:r>
      <w:proofErr w:type="spellEnd"/>
      <w:r w:rsidRPr="00AF279A">
        <w:rPr>
          <w:color w:val="auto"/>
          <w:kern w:val="0"/>
          <w:lang w:val="en-US" w:eastAsia="en-US"/>
        </w:rPr>
        <w:t xml:space="preserve"> et al., 2009). In vegetable systems, INM is therefore environmentally meaningful only when it moves beyond input substitution and delivers measurable reductions in nitrogen losses while sustaining yields.</w:t>
      </w:r>
    </w:p>
    <w:p w:rsidR="00AF279A" w:rsidRPr="00AF279A" w:rsidRDefault="00AF279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AF279A">
        <w:rPr>
          <w:b/>
          <w:bCs/>
          <w:color w:val="auto"/>
          <w:kern w:val="0"/>
          <w:sz w:val="27"/>
          <w:szCs w:val="27"/>
          <w:lang w:val="en-US" w:eastAsia="en-US"/>
        </w:rPr>
        <w:t>7.1. Reactive nitrogen losses: nitrate leaching and nitrous oxide as co-dominant concerns</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 xml:space="preserve">INM is frequently promoted as a means to reduce nitrate leaching and nitrous oxide emissions by improving synchrony between nutrient supply and crop demand. This synchrony is particularly challenging in intensive vegetable production because nitrogen inputs are often applied in excess as a yield and quality safeguard, while irrigation practices can rapidly transport nitrate beyond the root zone. In greenhouse vegetable systems, the environmental risks intensify because warm conditions promote rapid nitrogen </w:t>
      </w:r>
      <w:r w:rsidRPr="00DD1199">
        <w:rPr>
          <w:color w:val="auto"/>
          <w:kern w:val="0"/>
          <w:highlight w:val="yellow"/>
          <w:lang w:val="en-US" w:eastAsia="en-US"/>
        </w:rPr>
        <w:t xml:space="preserve">transformations and cropping can be continuous, leaving limited recovery periods for soil nutrient pools to </w:t>
      </w:r>
      <w:proofErr w:type="spellStart"/>
      <w:r w:rsidR="00431C93" w:rsidRPr="00DD1199">
        <w:rPr>
          <w:color w:val="auto"/>
          <w:kern w:val="0"/>
          <w:highlight w:val="yellow"/>
          <w:lang w:val="en-US" w:eastAsia="en-US"/>
        </w:rPr>
        <w:t>stabilis</w:t>
      </w:r>
      <w:r w:rsidR="00431C93" w:rsidRPr="00AF279A">
        <w:rPr>
          <w:color w:val="auto"/>
          <w:kern w:val="0"/>
          <w:lang w:val="en-US" w:eastAsia="en-US"/>
        </w:rPr>
        <w:t>e</w:t>
      </w:r>
      <w:proofErr w:type="spellEnd"/>
      <w:r w:rsidRPr="00AF279A">
        <w:rPr>
          <w:color w:val="auto"/>
          <w:kern w:val="0"/>
          <w:lang w:val="en-US" w:eastAsia="en-US"/>
        </w:rPr>
        <w:t>.</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Evidence from a greenhouse vegetable context, evaluated using a process-based biogeochemical model, indicates that increasing nitrogen inputs can raise nitrous oxide emissions and nitrate leaching substantially while yielding only limited production gains once nitrogen exceeds crop requirements (Zhang et al., 2021). This evidence is environmentally important because it illustrates a non-linear loss pattern: when systems operate in surplus nitrogen regimes, marginal additions of nitrogen can produce disproportionately large increases in losses. In this framing, INM strategies are environmentally effective when they reduce total nitrogen surpluses and improve timing—rather than when they simply shift the nitrogen source from synthetic fertilizers to organic inputs without adjusting total available nitrogen. The same general logic applies to nitrate leaching and nitrous oxide because both are “surplus-driven” pathways: nitrate leaching rises when nitrate pools are large and water movement is high, and nitrous oxide emissions rise when microbial nitrogen transformations occur in ways that create nitrous oxide as a by-product under favorable moisture and oxygen conditions.</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lastRenderedPageBreak/>
        <w:t>From a climate-relevance perspective, nitrous oxide deserves special emphasis. Beyond its role as a greenhouse gas, nitrous oxide has been identified as the dominant ozone-depleting substance emitted in the 21st century under many scenarios, linking agricultural nitrogen management to stratospheric ozone protection as well as climate goals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proofErr w:type="spellStart"/>
      <w:r w:rsidRPr="00AF279A">
        <w:rPr>
          <w:color w:val="auto"/>
          <w:kern w:val="0"/>
          <w:lang w:val="en-US" w:eastAsia="en-US"/>
        </w:rPr>
        <w:t>Ravishankara</w:t>
      </w:r>
      <w:proofErr w:type="spellEnd"/>
      <w:r w:rsidRPr="00AF279A">
        <w:rPr>
          <w:color w:val="auto"/>
          <w:kern w:val="0"/>
          <w:lang w:val="en-US" w:eastAsia="en-US"/>
        </w:rPr>
        <w:t xml:space="preserve"> et al., 2009). For intensive vegetable systems, this implies that INM should be evaluated not only by local water-quality outcomes, but also by its ability to reduce nitrous oxide intensity per unit of vegetable yield—an efficiency metric that integrates productivity and climate performance.</w:t>
      </w:r>
    </w:p>
    <w:p w:rsidR="00AF279A" w:rsidRPr="00AF279A" w:rsidRDefault="00AF279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AF279A">
        <w:rPr>
          <w:b/>
          <w:bCs/>
          <w:color w:val="auto"/>
          <w:kern w:val="0"/>
          <w:sz w:val="27"/>
          <w:szCs w:val="27"/>
          <w:lang w:val="en-US" w:eastAsia="en-US"/>
        </w:rPr>
        <w:t>7.2. Carbon dynamics and soil organic carbon: mitigation potential with management contingencies</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While nitrogen dominates short-term environmental risks, carbon dynamics shape longer-term sustainability and climate relevance. Organic amendments within INM can contribute to carbon sequestration by increasing soil organic carbon (SOC), potentially improving soil health and buffering capacity while also offering climate mitigation co-benefits. A synthesis of manure application effects indicates that manure can increase SOC storage, suggesting that organic inputs may shift soil carbon trajectories upward when consistently applied and managed appropriately (Gross &amp; Glaser, 2021). For vegetable systems, where intensive cultivation and multiple cropping cycles can accelerate SOC depletion, this potential SOC gain is particularly relevant.</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 xml:space="preserve">However, the climate benefit of SOC accumulation is not automatic. The net mitigation outcome depends on whether carbon inputs result in stable SOC pools rather than short-lived carbon that is rapidly </w:t>
      </w:r>
      <w:proofErr w:type="spellStart"/>
      <w:r w:rsidR="00431C93" w:rsidRPr="00DD1199">
        <w:rPr>
          <w:color w:val="auto"/>
          <w:kern w:val="0"/>
          <w:highlight w:val="yellow"/>
          <w:lang w:val="en-US" w:eastAsia="en-US"/>
        </w:rPr>
        <w:t>mineralised</w:t>
      </w:r>
      <w:proofErr w:type="spellEnd"/>
      <w:r w:rsidRPr="00AF279A">
        <w:rPr>
          <w:color w:val="auto"/>
          <w:kern w:val="0"/>
          <w:lang w:val="en-US" w:eastAsia="en-US"/>
        </w:rPr>
        <w:t xml:space="preserve">. Although SOC stock increases are an encouraging signal, INM strategies must be implemented in ways that do not simultaneously increase nitrous oxide emissions through excessive nitrogen loading or poorly </w:t>
      </w:r>
      <w:proofErr w:type="spellStart"/>
      <w:r w:rsidR="00431C93" w:rsidRPr="00DD1199">
        <w:rPr>
          <w:color w:val="auto"/>
          <w:kern w:val="0"/>
          <w:highlight w:val="yellow"/>
          <w:lang w:val="en-US" w:eastAsia="en-US"/>
        </w:rPr>
        <w:t>synchronised</w:t>
      </w:r>
      <w:proofErr w:type="spellEnd"/>
      <w:r w:rsidR="00431C93" w:rsidRPr="00DD1199">
        <w:rPr>
          <w:color w:val="auto"/>
          <w:kern w:val="0"/>
          <w:highlight w:val="yellow"/>
          <w:lang w:val="en-US" w:eastAsia="en-US"/>
        </w:rPr>
        <w:t xml:space="preserve"> </w:t>
      </w:r>
      <w:r w:rsidRPr="00DD1199">
        <w:rPr>
          <w:color w:val="auto"/>
          <w:kern w:val="0"/>
          <w:highlight w:val="yellow"/>
          <w:lang w:val="en-US" w:eastAsia="en-US"/>
        </w:rPr>
        <w:t>nutr</w:t>
      </w:r>
      <w:r w:rsidRPr="00AF279A">
        <w:rPr>
          <w:color w:val="auto"/>
          <w:kern w:val="0"/>
          <w:lang w:val="en-US" w:eastAsia="en-US"/>
        </w:rPr>
        <w:t xml:space="preserve">ient release. From an environmental performance perspective, this means that carbon-oriented INM should be coupled with nitrogen </w:t>
      </w:r>
      <w:proofErr w:type="spellStart"/>
      <w:r w:rsidR="00431C93" w:rsidRPr="00DD1199">
        <w:rPr>
          <w:color w:val="auto"/>
          <w:kern w:val="0"/>
          <w:highlight w:val="yellow"/>
          <w:lang w:val="en-US" w:eastAsia="en-US"/>
        </w:rPr>
        <w:t>optimisation</w:t>
      </w:r>
      <w:proofErr w:type="spellEnd"/>
      <w:r w:rsidRPr="00DD1199">
        <w:rPr>
          <w:color w:val="auto"/>
          <w:kern w:val="0"/>
          <w:highlight w:val="yellow"/>
          <w:lang w:val="en-US" w:eastAsia="en-US"/>
        </w:rPr>
        <w:t>:</w:t>
      </w:r>
      <w:r w:rsidRPr="00AF279A">
        <w:rPr>
          <w:color w:val="auto"/>
          <w:kern w:val="0"/>
          <w:lang w:val="en-US" w:eastAsia="en-US"/>
        </w:rPr>
        <w:t xml:space="preserve"> SOC gains are most climate-relevant when they occur alongside reductions in reactive nitrogen losses, rather than in parallel with increasing nitrogen surpluses.</w:t>
      </w:r>
    </w:p>
    <w:p w:rsidR="00AF279A" w:rsidRPr="00AF279A" w:rsidRDefault="00AF279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AF279A">
        <w:rPr>
          <w:b/>
          <w:bCs/>
          <w:color w:val="auto"/>
          <w:kern w:val="0"/>
          <w:sz w:val="27"/>
          <w:szCs w:val="27"/>
          <w:lang w:val="en-US" w:eastAsia="en-US"/>
        </w:rPr>
        <w:t>7.3. Biochar as a complementary carbon amendment in INM: yield and environmental implications</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Biochar has been proposed as a complementary amendment within INM because it can add relatively stable carbon and may influence nutrient retention and soil physical properties. Meta-analytic evidence indicates that combined biochar and fertilizer applications can affect yield outcomes, implying potential synergy between carbon amendments and nutrient inputs under some conditions (Bai et al., 2022). For vegetable systems, this synergy is conceptually attractive because it suggests that INM can be expanded beyond “organic vs. mineral” inputs toward integrated carbon–nutrient designs that target both productivity and environmental buffering.</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 xml:space="preserve">At the same time, environmental performance should be treated as a system property rather than a single-input effect. Biochar’s value for sustainability depends on context: soil texture, baseline fertility, irrigation regime, </w:t>
      </w:r>
      <w:r w:rsidRPr="000C1F52">
        <w:rPr>
          <w:color w:val="auto"/>
          <w:kern w:val="0"/>
          <w:highlight w:val="yellow"/>
          <w:lang w:val="en-US" w:eastAsia="en-US"/>
        </w:rPr>
        <w:t xml:space="preserve">and </w:t>
      </w:r>
      <w:proofErr w:type="spellStart"/>
      <w:r w:rsidR="00431C93" w:rsidRPr="000C1F52">
        <w:rPr>
          <w:color w:val="auto"/>
          <w:kern w:val="0"/>
          <w:highlight w:val="yellow"/>
          <w:lang w:val="en-US" w:eastAsia="en-US"/>
        </w:rPr>
        <w:t>fertiliser</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prac</w:t>
      </w:r>
      <w:r w:rsidRPr="00AF279A">
        <w:rPr>
          <w:color w:val="auto"/>
          <w:kern w:val="0"/>
          <w:lang w:val="en-US" w:eastAsia="en-US"/>
        </w:rPr>
        <w:t xml:space="preserve">tices can all influence whether biochar improves nutrient-use efficiency or merely adds carbon without reducing losses. In an INM framing, the key is whether biochar or other carbon amendments help reduce the size and </w:t>
      </w:r>
      <w:r w:rsidRPr="00AF279A">
        <w:rPr>
          <w:color w:val="auto"/>
          <w:kern w:val="0"/>
          <w:lang w:val="en-US" w:eastAsia="en-US"/>
        </w:rPr>
        <w:lastRenderedPageBreak/>
        <w:t xml:space="preserve">mobility of reactive nutrient pools and support management that keeps nutrients within the root zone during crop uptake. Thus, evidence that biochar–fertilizer combinations influence yields (Bai et al., 2022) should be interpreted as a signal that carbon amendments can modify nutrient-response dynamics, but not as a guarantee of reduced emissions or leaching unless integrated with rate and </w:t>
      </w:r>
      <w:r w:rsidRPr="000C1F52">
        <w:rPr>
          <w:color w:val="auto"/>
          <w:kern w:val="0"/>
          <w:highlight w:val="yellow"/>
          <w:lang w:val="en-US" w:eastAsia="en-US"/>
        </w:rPr>
        <w:t xml:space="preserve">timing </w:t>
      </w:r>
      <w:proofErr w:type="spellStart"/>
      <w:r w:rsidR="00431C93" w:rsidRPr="000C1F52">
        <w:rPr>
          <w:color w:val="auto"/>
          <w:kern w:val="0"/>
          <w:highlight w:val="yellow"/>
          <w:lang w:val="en-US" w:eastAsia="en-US"/>
        </w:rPr>
        <w:t>optimisation</w:t>
      </w:r>
      <w:proofErr w:type="spellEnd"/>
      <w:r w:rsidRPr="000C1F52">
        <w:rPr>
          <w:color w:val="auto"/>
          <w:kern w:val="0"/>
          <w:highlight w:val="yellow"/>
          <w:lang w:val="en-US" w:eastAsia="en-US"/>
        </w:rPr>
        <w:t>.</w:t>
      </w:r>
    </w:p>
    <w:p w:rsidR="00AF279A" w:rsidRPr="00AF279A" w:rsidRDefault="00AF279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AF279A">
        <w:rPr>
          <w:b/>
          <w:bCs/>
          <w:color w:val="auto"/>
          <w:kern w:val="0"/>
          <w:sz w:val="27"/>
          <w:szCs w:val="27"/>
          <w:lang w:val="en-US" w:eastAsia="en-US"/>
        </w:rPr>
        <w:t>7.4. Integrating mitigation across water, nitrogen, and carbon: performance targets for vegetable INM</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 xml:space="preserve">The environmental performance of INM in vegetables is best evaluated through coupled outcomes: yield stability, nitrate leaching reduction, nitrous oxide mitigation, and improved soil carbon trajectories. Evidence from greenhouse vegetable systems </w:t>
      </w:r>
      <w:proofErr w:type="spellStart"/>
      <w:r w:rsidR="00431C93" w:rsidRPr="000C1F52">
        <w:rPr>
          <w:color w:val="auto"/>
          <w:kern w:val="0"/>
          <w:highlight w:val="yellow"/>
          <w:lang w:val="en-US" w:eastAsia="en-US"/>
        </w:rPr>
        <w:t>emphasises</w:t>
      </w:r>
      <w:proofErr w:type="spellEnd"/>
      <w:r w:rsidR="00431C93" w:rsidRPr="00AF279A">
        <w:rPr>
          <w:color w:val="auto"/>
          <w:kern w:val="0"/>
          <w:lang w:val="en-US" w:eastAsia="en-US"/>
        </w:rPr>
        <w:t xml:space="preserve"> </w:t>
      </w:r>
      <w:r w:rsidRPr="00AF279A">
        <w:rPr>
          <w:color w:val="auto"/>
          <w:kern w:val="0"/>
          <w:lang w:val="en-US" w:eastAsia="en-US"/>
        </w:rPr>
        <w:t xml:space="preserve">that nitrogen management strongly controls nitrous oxide emissions and nitrate leaching, with large mitigation potential when nitrogen is </w:t>
      </w:r>
      <w:proofErr w:type="spellStart"/>
      <w:r w:rsidR="00431C93" w:rsidRPr="000C1F52">
        <w:rPr>
          <w:color w:val="auto"/>
          <w:kern w:val="0"/>
          <w:highlight w:val="yellow"/>
          <w:lang w:val="en-US" w:eastAsia="en-US"/>
        </w:rPr>
        <w:t>optimised</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rather than ap</w:t>
      </w:r>
      <w:r w:rsidRPr="00AF279A">
        <w:rPr>
          <w:color w:val="auto"/>
          <w:kern w:val="0"/>
          <w:lang w:val="en-US" w:eastAsia="en-US"/>
        </w:rPr>
        <w:t>plied in surplus regimes (Zhang et al., 2021). Because nitrous oxide is climatically potent and linked to ozone depletion, reducing its emissions through better nitrogen management strengthens both climate and atmospheric protection outcomes (</w:t>
      </w:r>
      <w:proofErr w:type="spellStart"/>
      <w:r w:rsidRPr="00AF279A">
        <w:rPr>
          <w:color w:val="auto"/>
          <w:kern w:val="0"/>
          <w:lang w:val="en-US" w:eastAsia="en-US"/>
        </w:rPr>
        <w:t>Ravishankara</w:t>
      </w:r>
      <w:proofErr w:type="spellEnd"/>
      <w:r w:rsidRPr="00AF279A">
        <w:rPr>
          <w:color w:val="auto"/>
          <w:kern w:val="0"/>
          <w:lang w:val="en-US" w:eastAsia="en-US"/>
        </w:rPr>
        <w:t xml:space="preserve"> et al., 2009). Meanwhile, building SOC through organic inputs can strengthen soil resilience and may contribute to climate mitigation, supported by synthesis evidence of SOC increases under manure application (Gross &amp; Glaser, 2021). Biochar-based strategies may further expand INM options by offering a carbon amendment that can interact with fertilization to influence productivity (Bai et al., 2022), although the environmental benefits require explicit integration with nutrient and water management.</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In sum, INM becomes climate-relevant in vegetable production when it reduces reactive nitrogen losses and nitrous oxide emissions per unit yield while maintaining or improving soil carbon status. This requires treating nitrogen optimization as the primary mitigation lever in intensive systems (Zhang et al., 2021), embedding that lever within the broader climate context of nitrous oxide impacts (</w:t>
      </w:r>
      <w:proofErr w:type="spellStart"/>
      <w:r w:rsidRPr="00AF279A">
        <w:rPr>
          <w:color w:val="auto"/>
          <w:kern w:val="0"/>
          <w:lang w:val="en-US" w:eastAsia="en-US"/>
        </w:rPr>
        <w:t>Ravishankara</w:t>
      </w:r>
      <w:proofErr w:type="spellEnd"/>
      <w:r w:rsidRPr="00AF279A">
        <w:rPr>
          <w:color w:val="auto"/>
          <w:kern w:val="0"/>
          <w:lang w:val="en-US" w:eastAsia="en-US"/>
        </w:rPr>
        <w:t xml:space="preserve"> et al., 2009), and pursuing soil-carbon-building strategies whose net benefits are supported by evidence and constrained by nitrogen surplus control (Gross &amp; Glaser, 2021; Bai et al., 2022).</w:t>
      </w:r>
    </w:p>
    <w:p w:rsidR="00DA02EE" w:rsidRPr="00DA02EE" w:rsidRDefault="00DA02EE" w:rsidP="00F505AA">
      <w:pPr>
        <w:spacing w:after="0" w:line="240" w:lineRule="auto"/>
        <w:ind w:left="0" w:right="0" w:firstLine="0"/>
        <w:rPr>
          <w:color w:val="auto"/>
          <w:kern w:val="0"/>
          <w:lang w:val="en-US" w:eastAsia="en-US"/>
        </w:rPr>
      </w:pPr>
    </w:p>
    <w:p w:rsidR="00AF279A" w:rsidRPr="00AF279A" w:rsidRDefault="00AF279A"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AF279A">
        <w:rPr>
          <w:b/>
          <w:bCs/>
          <w:color w:val="auto"/>
          <w:kern w:val="0"/>
          <w:sz w:val="36"/>
          <w:szCs w:val="36"/>
          <w:lang w:val="en-US" w:eastAsia="en-US"/>
        </w:rPr>
        <w:t>8. Practical design principles for soil-health-</w:t>
      </w:r>
      <w:proofErr w:type="spellStart"/>
      <w:r w:rsidRPr="000C1F52">
        <w:rPr>
          <w:b/>
          <w:bCs/>
          <w:color w:val="auto"/>
          <w:kern w:val="0"/>
          <w:sz w:val="36"/>
          <w:szCs w:val="36"/>
          <w:highlight w:val="yellow"/>
          <w:lang w:val="en-US" w:eastAsia="en-US"/>
        </w:rPr>
        <w:t>centred</w:t>
      </w:r>
      <w:proofErr w:type="spellEnd"/>
      <w:r w:rsidRPr="000C1F52">
        <w:rPr>
          <w:b/>
          <w:bCs/>
          <w:color w:val="auto"/>
          <w:kern w:val="0"/>
          <w:sz w:val="36"/>
          <w:szCs w:val="36"/>
          <w:highlight w:val="yellow"/>
          <w:lang w:val="en-US" w:eastAsia="en-US"/>
        </w:rPr>
        <w:t xml:space="preserve"> INM</w:t>
      </w:r>
      <w:r w:rsidRPr="00AF279A">
        <w:rPr>
          <w:b/>
          <w:bCs/>
          <w:color w:val="auto"/>
          <w:kern w:val="0"/>
          <w:sz w:val="36"/>
          <w:szCs w:val="36"/>
          <w:lang w:val="en-US" w:eastAsia="en-US"/>
        </w:rPr>
        <w:t xml:space="preserve"> in vegetables</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A soil-health-</w:t>
      </w:r>
      <w:proofErr w:type="spellStart"/>
      <w:r w:rsidRPr="00DD1199">
        <w:rPr>
          <w:color w:val="auto"/>
          <w:kern w:val="0"/>
          <w:highlight w:val="yellow"/>
          <w:lang w:val="en-US" w:eastAsia="en-US"/>
        </w:rPr>
        <w:t>centred</w:t>
      </w:r>
      <w:proofErr w:type="spellEnd"/>
      <w:r w:rsidRPr="00DD1199">
        <w:rPr>
          <w:color w:val="auto"/>
          <w:kern w:val="0"/>
          <w:highlight w:val="yellow"/>
          <w:lang w:val="en-US" w:eastAsia="en-US"/>
        </w:rPr>
        <w:t xml:space="preserve"> integrat</w:t>
      </w:r>
      <w:r w:rsidRPr="00AF279A">
        <w:rPr>
          <w:color w:val="auto"/>
          <w:kern w:val="0"/>
          <w:lang w:val="en-US" w:eastAsia="en-US"/>
        </w:rPr>
        <w:t>ed nutrient management (INM) strategy for vegetables must be designed as a coordinated system rather than a set of loosely connected input substitutions. Vegetables are typically cultivated under high nutrient intensity and, in many regions, frequent irrigation. Under these conditions, yield can remain high even when soils are gradually losing organic matter or accumulating surplus nutrients, which means that management success cannot be inferred from yield alone. A practical INM framework therefore begins by defining explicit performance targets that include both crop outcomes (yield and quality) and soil health outcomes (organic carbon trajectory, biological activity, and nutrient retention behavior). From there, decisions about organic amendments, mineral fertilizers, and irrigation must be aligned to shape nutrient flows in ways that sustain plant uptake while reducing residual pools prone to loss.</w:t>
      </w:r>
    </w:p>
    <w:p w:rsidR="00AF279A" w:rsidRPr="00AF279A" w:rsidRDefault="00AF279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AF279A">
        <w:rPr>
          <w:b/>
          <w:bCs/>
          <w:color w:val="auto"/>
          <w:kern w:val="0"/>
          <w:sz w:val="27"/>
          <w:szCs w:val="27"/>
          <w:lang w:val="en-US" w:eastAsia="en-US"/>
        </w:rPr>
        <w:lastRenderedPageBreak/>
        <w:t>8.1. Start with explicit targets: yield stability plus soil-function benchmarks</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 xml:space="preserve">The first design principle is to shift from input-based goals (“apply manure plus </w:t>
      </w:r>
      <w:proofErr w:type="spellStart"/>
      <w:r w:rsidR="00431C93" w:rsidRPr="000C1F52">
        <w:rPr>
          <w:color w:val="auto"/>
          <w:kern w:val="0"/>
          <w:highlight w:val="yellow"/>
          <w:lang w:val="en-US" w:eastAsia="en-US"/>
        </w:rPr>
        <w:t>fertiliser</w:t>
      </w:r>
      <w:proofErr w:type="spellEnd"/>
      <w:r w:rsidRPr="000C1F52">
        <w:rPr>
          <w:color w:val="auto"/>
          <w:kern w:val="0"/>
          <w:highlight w:val="yellow"/>
          <w:lang w:val="en-US" w:eastAsia="en-US"/>
        </w:rPr>
        <w:t>”) to outco</w:t>
      </w:r>
      <w:r w:rsidRPr="00AF279A">
        <w:rPr>
          <w:color w:val="auto"/>
          <w:kern w:val="0"/>
          <w:lang w:val="en-US" w:eastAsia="en-US"/>
        </w:rPr>
        <w:t xml:space="preserve">me-based goals (“maintain yield while improving soil function and reducing nutrient surplus”). Soil health benchmarks are useful precisely because they capture slow degradation processes that short-term yield data can miss. A soil health framing </w:t>
      </w:r>
      <w:proofErr w:type="spellStart"/>
      <w:r w:rsidR="00431C93" w:rsidRPr="000C1F52">
        <w:rPr>
          <w:color w:val="auto"/>
          <w:kern w:val="0"/>
          <w:highlight w:val="yellow"/>
          <w:lang w:val="en-US" w:eastAsia="en-US"/>
        </w:rPr>
        <w:t>emphasises</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that so</w:t>
      </w:r>
      <w:r w:rsidRPr="00AF279A">
        <w:rPr>
          <w:color w:val="auto"/>
          <w:kern w:val="0"/>
          <w:lang w:val="en-US" w:eastAsia="en-US"/>
        </w:rPr>
        <w:t>ils should maintain their capacity to function as living systems, supporting productivity through physical structure, nutrient cycling, and biological activity (Doran &amp; Zeiss, 2000). In practical INM planning, this means routinely tracking indicators that reflect these functions, such as organic carbon trends, biological activity proxies, and nutrient availability patterns.</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Long-term evidence indicates that organic amendments can improve soil fertility and related properties, supporting the inclusion of organic inputs as a structural component of soil-health-</w:t>
      </w:r>
      <w:proofErr w:type="spellStart"/>
      <w:r w:rsidRPr="00AF279A">
        <w:rPr>
          <w:color w:val="auto"/>
          <w:kern w:val="0"/>
          <w:lang w:val="en-US" w:eastAsia="en-US"/>
        </w:rPr>
        <w:t>centred</w:t>
      </w:r>
      <w:proofErr w:type="spellEnd"/>
      <w:r w:rsidRPr="00AF279A">
        <w:rPr>
          <w:color w:val="auto"/>
          <w:kern w:val="0"/>
          <w:lang w:val="en-US" w:eastAsia="en-US"/>
        </w:rPr>
        <w:t xml:space="preserve"> INM (</w:t>
      </w:r>
      <w:proofErr w:type="spellStart"/>
      <w:r w:rsidR="002F3625">
        <w:rPr>
          <w:color w:val="auto"/>
          <w:kern w:val="0"/>
          <w:lang w:val="en-US" w:eastAsia="en-US"/>
        </w:rPr>
        <w:t>Diacono</w:t>
      </w:r>
      <w:proofErr w:type="spellEnd"/>
      <w:r w:rsidR="002F3625">
        <w:rPr>
          <w:color w:val="auto"/>
          <w:kern w:val="0"/>
          <w:lang w:val="en-US" w:eastAsia="en-US"/>
        </w:rPr>
        <w:t xml:space="preserve"> &amp; </w:t>
      </w:r>
      <w:proofErr w:type="spellStart"/>
      <w:r w:rsidR="002F3625">
        <w:rPr>
          <w:color w:val="auto"/>
          <w:kern w:val="0"/>
          <w:lang w:val="en-US" w:eastAsia="en-US"/>
        </w:rPr>
        <w:t>Montemurro</w:t>
      </w:r>
      <w:proofErr w:type="spellEnd"/>
      <w:r w:rsidR="002F3625">
        <w:rPr>
          <w:color w:val="auto"/>
          <w:kern w:val="0"/>
          <w:lang w:val="en-US" w:eastAsia="en-US"/>
        </w:rPr>
        <w:t>, 2011</w:t>
      </w:r>
      <w:r w:rsidRPr="00AF279A">
        <w:rPr>
          <w:color w:val="auto"/>
          <w:kern w:val="0"/>
          <w:lang w:val="en-US" w:eastAsia="en-US"/>
        </w:rPr>
        <w:t>). Synthesis evidence also suggests that manure application can increase soil organic carbon storage (Gross &amp; Glaser, 2021), which strengthens the practical justification for organic inputs in systems where soil carbon decline is a concern. However, translating these findings into practice requires setting measurable soil-function goals, not simply increasing amendment rates. For intensive vegetable systems, the goal should be a positive or stable soil organic carbon trajectory alongside stable yield and quality.</w:t>
      </w:r>
    </w:p>
    <w:p w:rsidR="00AF279A" w:rsidRPr="00AF279A" w:rsidRDefault="00AF279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AF279A">
        <w:rPr>
          <w:b/>
          <w:bCs/>
          <w:color w:val="auto"/>
          <w:kern w:val="0"/>
          <w:sz w:val="27"/>
          <w:szCs w:val="27"/>
          <w:lang w:val="en-US" w:eastAsia="en-US"/>
        </w:rPr>
        <w:t>8.2. Treat nitrogen as the primary risk nutrient and design for “surplus prevention”</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A second design principle is to treat nitrogen as the dominant environmental risk nutrient in many vegetable systems and to build INM around preventing persistent nitrogen surpluses. In greenhouse and other intensive vegetable production systems, evidence indicates that increasing nitrogen application can increase nitrous oxide emissions and nitrate leaching</w:t>
      </w:r>
      <w:r w:rsidR="00431C93">
        <w:rPr>
          <w:color w:val="auto"/>
          <w:kern w:val="0"/>
          <w:lang w:val="en-US" w:eastAsia="en-US"/>
        </w:rPr>
        <w:t>,</w:t>
      </w:r>
      <w:r w:rsidRPr="00AF279A">
        <w:rPr>
          <w:color w:val="auto"/>
          <w:kern w:val="0"/>
          <w:lang w:val="en-US" w:eastAsia="en-US"/>
        </w:rPr>
        <w:t xml:space="preserve"> while yields may show diminishing returns once nitrogen exceeds crop requirements (Zhang et al., 2021). This implies a practical rule: in soil-health-</w:t>
      </w:r>
      <w:proofErr w:type="spellStart"/>
      <w:r w:rsidRPr="000C1F52">
        <w:rPr>
          <w:color w:val="auto"/>
          <w:kern w:val="0"/>
          <w:highlight w:val="yellow"/>
          <w:lang w:val="en-US" w:eastAsia="en-US"/>
        </w:rPr>
        <w:t>centred</w:t>
      </w:r>
      <w:proofErr w:type="spellEnd"/>
      <w:r w:rsidRPr="000C1F52">
        <w:rPr>
          <w:color w:val="auto"/>
          <w:kern w:val="0"/>
          <w:highlight w:val="yellow"/>
          <w:lang w:val="en-US" w:eastAsia="en-US"/>
        </w:rPr>
        <w:t xml:space="preserve"> INM, organic subst</w:t>
      </w:r>
      <w:r w:rsidRPr="00AF279A">
        <w:rPr>
          <w:color w:val="auto"/>
          <w:kern w:val="0"/>
          <w:lang w:val="en-US" w:eastAsia="en-US"/>
        </w:rPr>
        <w:t>itution must be accompanied by reductions in mineral nitrogen and careful budgeting of total plant-available nitrogen, otherwise integration becomes “input stacking” that worsens environmental performance.</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Because nitrogen losses and transformations are strongly shaped by irrigation, the nitrogen-focused design rule must be paired with water–nutrient coordination. Evidence from greenhouse vegetable production indicates that optimizing nitrogen and water together can reduce greenhouse gas emissions while sustaining production, highlighting the practical necessity of co-designing irrigation schedules with nutrient timing and form (</w:t>
      </w:r>
      <w:proofErr w:type="spellStart"/>
      <w:r w:rsidR="000656B9" w:rsidRPr="000656B9">
        <w:rPr>
          <w:color w:val="auto"/>
          <w:kern w:val="0"/>
          <w:lang w:val="en-US" w:eastAsia="en-US"/>
        </w:rPr>
        <w:t>Giltrap</w:t>
      </w:r>
      <w:proofErr w:type="spellEnd"/>
      <w:r w:rsidR="000656B9" w:rsidRPr="000656B9">
        <w:rPr>
          <w:color w:val="auto"/>
          <w:kern w:val="0"/>
          <w:lang w:val="en-US" w:eastAsia="en-US"/>
        </w:rPr>
        <w:t xml:space="preserve"> </w:t>
      </w:r>
      <w:r w:rsidR="000656B9">
        <w:rPr>
          <w:color w:val="auto"/>
          <w:kern w:val="0"/>
          <w:lang w:val="en-US" w:eastAsia="en-US"/>
        </w:rPr>
        <w:t xml:space="preserve">et al., 2010; </w:t>
      </w:r>
      <w:r w:rsidRPr="00AF279A">
        <w:rPr>
          <w:color w:val="auto"/>
          <w:kern w:val="0"/>
          <w:lang w:val="en-US" w:eastAsia="en-US"/>
        </w:rPr>
        <w:t>Zhou et al., 202</w:t>
      </w:r>
      <w:r w:rsidR="003B31CA">
        <w:rPr>
          <w:color w:val="auto"/>
          <w:kern w:val="0"/>
          <w:lang w:val="en-US" w:eastAsia="en-US"/>
        </w:rPr>
        <w:t>4</w:t>
      </w:r>
      <w:r w:rsidRPr="00AF279A">
        <w:rPr>
          <w:color w:val="auto"/>
          <w:kern w:val="0"/>
          <w:lang w:val="en-US" w:eastAsia="en-US"/>
        </w:rPr>
        <w:t>). In operational terms, this means that fertilizer scheduling should be linked to irrigation events and crop uptake phases so that the root zone remains a sink for nutrients rather than a conduit for leaching or a hotspot for denitrification-related emissions.</w:t>
      </w:r>
    </w:p>
    <w:p w:rsidR="00AF279A" w:rsidRPr="00AF279A" w:rsidRDefault="00AF279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AF279A">
        <w:rPr>
          <w:b/>
          <w:bCs/>
          <w:color w:val="auto"/>
          <w:kern w:val="0"/>
          <w:sz w:val="27"/>
          <w:szCs w:val="27"/>
          <w:lang w:val="en-US" w:eastAsia="en-US"/>
        </w:rPr>
        <w:t>8.3. Use organic inputs to build soil function, but manage carbon turnover and microbial responses</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 xml:space="preserve">Organic inputs are often the most visible feature of INM, but their soil-health value depends on how they alter carbon dynamics and microbial functioning. In greenhouse vegetable systems, organic amendment has been shown to increase soil respiration by decreasing soil </w:t>
      </w:r>
      <w:r w:rsidRPr="00AF279A">
        <w:rPr>
          <w:color w:val="auto"/>
          <w:kern w:val="0"/>
          <w:lang w:val="en-US" w:eastAsia="en-US"/>
        </w:rPr>
        <w:lastRenderedPageBreak/>
        <w:t>organic carbon recalcitrance and increasing carbon-degrading microbial activity (Luan et al., 2020</w:t>
      </w:r>
      <w:r w:rsidR="003B31CA">
        <w:rPr>
          <w:color w:val="auto"/>
          <w:kern w:val="0"/>
          <w:lang w:val="en-US" w:eastAsia="en-US"/>
        </w:rPr>
        <w:t>a</w:t>
      </w:r>
      <w:r w:rsidRPr="00AF279A">
        <w:rPr>
          <w:color w:val="auto"/>
          <w:kern w:val="0"/>
          <w:lang w:val="en-US" w:eastAsia="en-US"/>
        </w:rPr>
        <w:t xml:space="preserve">). This finding is practically important because it shows that organic additions can stimulate decomposition, which may reduce the net carbon benefit unless </w:t>
      </w:r>
      <w:proofErr w:type="spellStart"/>
      <w:r w:rsidR="00431C93" w:rsidRPr="000C1F52">
        <w:rPr>
          <w:color w:val="auto"/>
          <w:kern w:val="0"/>
          <w:highlight w:val="yellow"/>
          <w:lang w:val="en-US" w:eastAsia="en-US"/>
        </w:rPr>
        <w:t>stabilisation</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mechan</w:t>
      </w:r>
      <w:r w:rsidRPr="00AF279A">
        <w:rPr>
          <w:color w:val="auto"/>
          <w:kern w:val="0"/>
          <w:lang w:val="en-US" w:eastAsia="en-US"/>
        </w:rPr>
        <w:t>isms are supported. Therefore, a soil-health-</w:t>
      </w:r>
      <w:proofErr w:type="spellStart"/>
      <w:r w:rsidRPr="000C1F52">
        <w:rPr>
          <w:color w:val="auto"/>
          <w:kern w:val="0"/>
          <w:highlight w:val="yellow"/>
          <w:lang w:val="en-US" w:eastAsia="en-US"/>
        </w:rPr>
        <w:t>centred</w:t>
      </w:r>
      <w:proofErr w:type="spellEnd"/>
      <w:r w:rsidRPr="000C1F52">
        <w:rPr>
          <w:color w:val="auto"/>
          <w:kern w:val="0"/>
          <w:highlight w:val="yellow"/>
          <w:lang w:val="en-US" w:eastAsia="en-US"/>
        </w:rPr>
        <w:t xml:space="preserve"> INM design</w:t>
      </w:r>
      <w:r w:rsidRPr="00AF279A">
        <w:rPr>
          <w:color w:val="auto"/>
          <w:kern w:val="0"/>
          <w:lang w:val="en-US" w:eastAsia="en-US"/>
        </w:rPr>
        <w:t xml:space="preserve"> should not only increase carbon inputs but also create conditions that </w:t>
      </w:r>
      <w:proofErr w:type="spellStart"/>
      <w:r w:rsidRPr="00AF279A">
        <w:rPr>
          <w:color w:val="auto"/>
          <w:kern w:val="0"/>
          <w:lang w:val="en-US" w:eastAsia="en-US"/>
        </w:rPr>
        <w:t>favo</w:t>
      </w:r>
      <w:r w:rsidR="00431C93">
        <w:rPr>
          <w:color w:val="auto"/>
          <w:kern w:val="0"/>
          <w:lang w:val="en-US" w:eastAsia="en-US"/>
        </w:rPr>
        <w:t>u</w:t>
      </w:r>
      <w:r w:rsidRPr="00AF279A">
        <w:rPr>
          <w:color w:val="auto"/>
          <w:kern w:val="0"/>
          <w:lang w:val="en-US" w:eastAsia="en-US"/>
        </w:rPr>
        <w:t>r</w:t>
      </w:r>
      <w:proofErr w:type="spellEnd"/>
      <w:r w:rsidRPr="00AF279A">
        <w:rPr>
          <w:color w:val="auto"/>
          <w:kern w:val="0"/>
          <w:lang w:val="en-US" w:eastAsia="en-US"/>
        </w:rPr>
        <w:t xml:space="preserve"> carbon retention, such as avoiding unnecessary disturbance and ensuring that organic amendments are integrated into a broader management system that does not accelerate carbon losses.</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 xml:space="preserve">Microbial community shifts </w:t>
      </w:r>
      <w:proofErr w:type="gramStart"/>
      <w:r w:rsidRPr="00AF279A">
        <w:rPr>
          <w:color w:val="auto"/>
          <w:kern w:val="0"/>
          <w:lang w:val="en-US" w:eastAsia="en-US"/>
        </w:rPr>
        <w:t>are</w:t>
      </w:r>
      <w:proofErr w:type="gramEnd"/>
      <w:r w:rsidRPr="00AF279A">
        <w:rPr>
          <w:color w:val="auto"/>
          <w:kern w:val="0"/>
          <w:lang w:val="en-US" w:eastAsia="en-US"/>
        </w:rPr>
        <w:t xml:space="preserve"> another practical dimension. Substituting manure for chemical </w:t>
      </w:r>
      <w:proofErr w:type="spellStart"/>
      <w:r w:rsidR="00431C93" w:rsidRPr="000C1F52">
        <w:rPr>
          <w:color w:val="auto"/>
          <w:kern w:val="0"/>
          <w:highlight w:val="yellow"/>
          <w:lang w:val="en-US" w:eastAsia="en-US"/>
        </w:rPr>
        <w:t>fertiliser</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has been sho</w:t>
      </w:r>
      <w:r w:rsidRPr="00AF279A">
        <w:rPr>
          <w:color w:val="auto"/>
          <w:kern w:val="0"/>
          <w:lang w:val="en-US" w:eastAsia="en-US"/>
        </w:rPr>
        <w:t>wn to affect soil microbial community diversity, structure, and function in greenhouse vegetable systems (</w:t>
      </w:r>
      <w:r w:rsidR="003B31CA">
        <w:rPr>
          <w:color w:val="auto"/>
          <w:kern w:val="0"/>
          <w:lang w:val="en-US" w:eastAsia="en-US"/>
        </w:rPr>
        <w:t>Luan et al., 2020b</w:t>
      </w:r>
      <w:r w:rsidRPr="00AF279A">
        <w:rPr>
          <w:color w:val="auto"/>
          <w:kern w:val="0"/>
          <w:lang w:val="en-US" w:eastAsia="en-US"/>
        </w:rPr>
        <w:t>). From a design perspective, this implies that nutrient-source decisions should be treated as decisions about soil biological trajectories. Practically, this supports the use of organic inputs that provide diverse carbon substrates and support microbial functions linked to nutrient cycling, while maintaining rate discipline to avoid surplus nitrogen that could drive environmentally harmful transformations.</w:t>
      </w:r>
    </w:p>
    <w:p w:rsidR="00AF279A" w:rsidRPr="00AF279A" w:rsidRDefault="00AF279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AF279A">
        <w:rPr>
          <w:b/>
          <w:bCs/>
          <w:color w:val="auto"/>
          <w:kern w:val="0"/>
          <w:sz w:val="27"/>
          <w:szCs w:val="27"/>
          <w:lang w:val="en-US" w:eastAsia="en-US"/>
        </w:rPr>
        <w:t>8.4. Address phosphorus through functional cycling and long-term balance rather than short-term response</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In vegetable systems, phosphorus is often applied routinely and can accumulate when inputs exceed crop removal. Soil-health</w:t>
      </w:r>
      <w:r w:rsidRPr="000C1F52">
        <w:rPr>
          <w:color w:val="auto"/>
          <w:kern w:val="0"/>
          <w:highlight w:val="yellow"/>
          <w:lang w:val="en-US" w:eastAsia="en-US"/>
        </w:rPr>
        <w:t>-</w:t>
      </w:r>
      <w:proofErr w:type="spellStart"/>
      <w:r w:rsidRPr="000C1F52">
        <w:rPr>
          <w:color w:val="auto"/>
          <w:kern w:val="0"/>
          <w:highlight w:val="yellow"/>
          <w:lang w:val="en-US" w:eastAsia="en-US"/>
        </w:rPr>
        <w:t>centred</w:t>
      </w:r>
      <w:proofErr w:type="spellEnd"/>
      <w:r w:rsidRPr="00AF279A">
        <w:rPr>
          <w:color w:val="auto"/>
          <w:kern w:val="0"/>
          <w:lang w:val="en-US" w:eastAsia="en-US"/>
        </w:rPr>
        <w:t xml:space="preserve"> INM should therefore design phosphorus management around long-term balance and soil functional capacity rather than repeated surplus application. Long-term </w:t>
      </w:r>
      <w:r w:rsidRPr="00DD1199">
        <w:rPr>
          <w:color w:val="auto"/>
          <w:kern w:val="0"/>
          <w:highlight w:val="yellow"/>
          <w:lang w:val="en-US" w:eastAsia="en-US"/>
        </w:rPr>
        <w:t xml:space="preserve">organic </w:t>
      </w:r>
      <w:proofErr w:type="spellStart"/>
      <w:r w:rsidR="00431C93" w:rsidRPr="000C1F52">
        <w:rPr>
          <w:color w:val="auto"/>
          <w:kern w:val="0"/>
          <w:highlight w:val="yellow"/>
          <w:lang w:val="en-US" w:eastAsia="en-US"/>
        </w:rPr>
        <w:t>fertiliser</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su</w:t>
      </w:r>
      <w:r w:rsidRPr="00AF279A">
        <w:rPr>
          <w:color w:val="auto"/>
          <w:kern w:val="0"/>
          <w:lang w:val="en-US" w:eastAsia="en-US"/>
        </w:rPr>
        <w:t xml:space="preserve">bstitution evidence from greenhouse vegetables shows yield improvements alongside changes in soil phosphorus pools and increases in phosphatase activities, indicating that INM can strengthen biologically mediated phosphorus cycling (Zhang et al., 2022). In practice, this supports designing INM so that phosphorus inputs are aligned with crop removal and soil test status, while encouraging soil biological processes that </w:t>
      </w:r>
      <w:proofErr w:type="spellStart"/>
      <w:r w:rsidR="00431C93" w:rsidRPr="000C1F52">
        <w:rPr>
          <w:color w:val="auto"/>
          <w:kern w:val="0"/>
          <w:highlight w:val="yellow"/>
          <w:lang w:val="en-US" w:eastAsia="en-US"/>
        </w:rPr>
        <w:t>mobilise</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pho</w:t>
      </w:r>
      <w:r w:rsidRPr="00AF279A">
        <w:rPr>
          <w:color w:val="auto"/>
          <w:kern w:val="0"/>
          <w:lang w:val="en-US" w:eastAsia="en-US"/>
        </w:rPr>
        <w:t>sphorus from organic pools, potentially reducing reliance on repeated mineral phosphorus additions.</w:t>
      </w:r>
    </w:p>
    <w:p w:rsidR="00AF279A" w:rsidRPr="00AF279A" w:rsidRDefault="00AF279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AF279A">
        <w:rPr>
          <w:b/>
          <w:bCs/>
          <w:color w:val="auto"/>
          <w:kern w:val="0"/>
          <w:sz w:val="27"/>
          <w:szCs w:val="27"/>
          <w:lang w:val="en-US" w:eastAsia="en-US"/>
        </w:rPr>
        <w:t>8.5. Prefer integrated organic strategies that improve stoichiometry and function</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The way organic materials are combined can matter. Evidence from a decade-long greenhouse vegetable context indicates that organic substitution strategies can improve yields and soil phosphorus cycling attributes, and that integrated organic approaches can strengthen soil functional indicators (Zhang et al., 2022). Practically, this suggests that soil-health-</w:t>
      </w:r>
      <w:proofErr w:type="spellStart"/>
      <w:r w:rsidRPr="00AF279A">
        <w:rPr>
          <w:color w:val="auto"/>
          <w:kern w:val="0"/>
          <w:lang w:val="en-US" w:eastAsia="en-US"/>
        </w:rPr>
        <w:t>centred</w:t>
      </w:r>
      <w:proofErr w:type="spellEnd"/>
      <w:r w:rsidRPr="00AF279A">
        <w:rPr>
          <w:color w:val="auto"/>
          <w:kern w:val="0"/>
          <w:lang w:val="en-US" w:eastAsia="en-US"/>
        </w:rPr>
        <w:t xml:space="preserve"> INM should pay attention to carbon–nutrient stoichiometry and material diversity. Combining organic inputs with differing decomposition rates and nutrient profiles can help </w:t>
      </w:r>
      <w:proofErr w:type="spellStart"/>
      <w:r w:rsidR="00431C93" w:rsidRPr="000C1F52">
        <w:rPr>
          <w:color w:val="auto"/>
          <w:kern w:val="0"/>
          <w:highlight w:val="yellow"/>
          <w:lang w:val="en-US" w:eastAsia="en-US"/>
        </w:rPr>
        <w:t>stabilise</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nutr</w:t>
      </w:r>
      <w:r w:rsidRPr="00AF279A">
        <w:rPr>
          <w:color w:val="auto"/>
          <w:kern w:val="0"/>
          <w:lang w:val="en-US" w:eastAsia="en-US"/>
        </w:rPr>
        <w:t>ient release and support a wider range of microbial functions, provided total nutrient loading remains controlled.</w:t>
      </w:r>
    </w:p>
    <w:p w:rsidR="00AF279A" w:rsidRPr="00AF279A" w:rsidRDefault="00AF279A" w:rsidP="00F505AA">
      <w:pPr>
        <w:spacing w:before="100" w:beforeAutospacing="1" w:after="100" w:afterAutospacing="1" w:line="240" w:lineRule="auto"/>
        <w:ind w:left="0" w:right="0" w:firstLine="0"/>
        <w:outlineLvl w:val="2"/>
        <w:rPr>
          <w:b/>
          <w:bCs/>
          <w:color w:val="auto"/>
          <w:kern w:val="0"/>
          <w:sz w:val="27"/>
          <w:szCs w:val="27"/>
          <w:lang w:val="en-US" w:eastAsia="en-US"/>
        </w:rPr>
      </w:pPr>
      <w:r w:rsidRPr="00AF279A">
        <w:rPr>
          <w:b/>
          <w:bCs/>
          <w:color w:val="auto"/>
          <w:kern w:val="0"/>
          <w:sz w:val="27"/>
          <w:szCs w:val="27"/>
          <w:lang w:val="en-US" w:eastAsia="en-US"/>
        </w:rPr>
        <w:t>8.6. Monitoring and adaptive adjustment: the operational backbone of soil-health-</w:t>
      </w:r>
      <w:proofErr w:type="spellStart"/>
      <w:r w:rsidRPr="00AF279A">
        <w:rPr>
          <w:b/>
          <w:bCs/>
          <w:color w:val="auto"/>
          <w:kern w:val="0"/>
          <w:sz w:val="27"/>
          <w:szCs w:val="27"/>
          <w:lang w:val="en-US" w:eastAsia="en-US"/>
        </w:rPr>
        <w:t>c</w:t>
      </w:r>
      <w:r w:rsidRPr="000C1F52">
        <w:rPr>
          <w:b/>
          <w:bCs/>
          <w:color w:val="auto"/>
          <w:kern w:val="0"/>
          <w:sz w:val="27"/>
          <w:szCs w:val="27"/>
          <w:highlight w:val="yellow"/>
          <w:lang w:val="en-US" w:eastAsia="en-US"/>
        </w:rPr>
        <w:t>entred</w:t>
      </w:r>
      <w:proofErr w:type="spellEnd"/>
      <w:r w:rsidRPr="00AF279A">
        <w:rPr>
          <w:b/>
          <w:bCs/>
          <w:color w:val="auto"/>
          <w:kern w:val="0"/>
          <w:sz w:val="27"/>
          <w:szCs w:val="27"/>
          <w:lang w:val="en-US" w:eastAsia="en-US"/>
        </w:rPr>
        <w:t xml:space="preserve"> INM</w:t>
      </w:r>
    </w:p>
    <w:p w:rsidR="00AF279A" w:rsidRPr="00AF279A" w:rsidRDefault="00AF279A" w:rsidP="00F505AA">
      <w:pPr>
        <w:spacing w:before="100" w:beforeAutospacing="1" w:after="100" w:afterAutospacing="1" w:line="240" w:lineRule="auto"/>
        <w:ind w:left="0" w:right="0" w:firstLine="0"/>
        <w:rPr>
          <w:color w:val="auto"/>
          <w:kern w:val="0"/>
          <w:lang w:val="en-US" w:eastAsia="en-US"/>
        </w:rPr>
      </w:pPr>
      <w:r w:rsidRPr="00AF279A">
        <w:rPr>
          <w:color w:val="auto"/>
          <w:kern w:val="0"/>
          <w:lang w:val="en-US" w:eastAsia="en-US"/>
        </w:rPr>
        <w:t xml:space="preserve">Because organic amendments vary in nutrient content and </w:t>
      </w:r>
      <w:proofErr w:type="spellStart"/>
      <w:r w:rsidRPr="000C1F52">
        <w:rPr>
          <w:color w:val="auto"/>
          <w:kern w:val="0"/>
          <w:highlight w:val="yellow"/>
          <w:lang w:val="en-US" w:eastAsia="en-US"/>
        </w:rPr>
        <w:t>minerali</w:t>
      </w:r>
      <w:r w:rsidR="00431C93" w:rsidRPr="000C1F52">
        <w:rPr>
          <w:color w:val="auto"/>
          <w:kern w:val="0"/>
          <w:highlight w:val="yellow"/>
          <w:lang w:val="en-US" w:eastAsia="en-US"/>
        </w:rPr>
        <w:t>sation</w:t>
      </w:r>
      <w:proofErr w:type="spellEnd"/>
      <w:r w:rsidR="00431C93">
        <w:rPr>
          <w:color w:val="auto"/>
          <w:kern w:val="0"/>
          <w:lang w:val="en-US" w:eastAsia="en-US"/>
        </w:rPr>
        <w:t xml:space="preserve"> </w:t>
      </w:r>
      <w:proofErr w:type="spellStart"/>
      <w:r w:rsidR="00431C93" w:rsidRPr="00DD1199">
        <w:rPr>
          <w:color w:val="auto"/>
          <w:kern w:val="0"/>
          <w:highlight w:val="yellow"/>
          <w:lang w:val="en-US" w:eastAsia="en-US"/>
        </w:rPr>
        <w:t>behaviou</w:t>
      </w:r>
      <w:r w:rsidRPr="00DD1199">
        <w:rPr>
          <w:color w:val="auto"/>
          <w:kern w:val="0"/>
          <w:highlight w:val="yellow"/>
          <w:lang w:val="en-US" w:eastAsia="en-US"/>
        </w:rPr>
        <w:t>r</w:t>
      </w:r>
      <w:proofErr w:type="spellEnd"/>
      <w:r w:rsidRPr="00DD1199">
        <w:rPr>
          <w:color w:val="auto"/>
          <w:kern w:val="0"/>
          <w:highlight w:val="yellow"/>
          <w:lang w:val="en-US" w:eastAsia="en-US"/>
        </w:rPr>
        <w:t>, monit</w:t>
      </w:r>
      <w:r w:rsidRPr="00AF279A">
        <w:rPr>
          <w:color w:val="auto"/>
          <w:kern w:val="0"/>
          <w:lang w:val="en-US" w:eastAsia="en-US"/>
        </w:rPr>
        <w:t>oring and adaptive management are not optional in soil-health-</w:t>
      </w:r>
      <w:proofErr w:type="spellStart"/>
      <w:r w:rsidRPr="00AF279A">
        <w:rPr>
          <w:color w:val="auto"/>
          <w:kern w:val="0"/>
          <w:lang w:val="en-US" w:eastAsia="en-US"/>
        </w:rPr>
        <w:t>centred</w:t>
      </w:r>
      <w:proofErr w:type="spellEnd"/>
      <w:r w:rsidRPr="00AF279A">
        <w:rPr>
          <w:color w:val="auto"/>
          <w:kern w:val="0"/>
          <w:lang w:val="en-US" w:eastAsia="en-US"/>
        </w:rPr>
        <w:t xml:space="preserve"> INM—they are the operational backbone. This means routinely assessing soil nutrient status and adjusting </w:t>
      </w:r>
      <w:r w:rsidRPr="00AF279A">
        <w:rPr>
          <w:color w:val="auto"/>
          <w:kern w:val="0"/>
          <w:lang w:val="en-US" w:eastAsia="en-US"/>
        </w:rPr>
        <w:lastRenderedPageBreak/>
        <w:t xml:space="preserve">mineral </w:t>
      </w:r>
      <w:proofErr w:type="spellStart"/>
      <w:r w:rsidR="00431C93" w:rsidRPr="000C1F52">
        <w:rPr>
          <w:color w:val="auto"/>
          <w:kern w:val="0"/>
          <w:highlight w:val="yellow"/>
          <w:lang w:val="en-US" w:eastAsia="en-US"/>
        </w:rPr>
        <w:t>fertiliser</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rates b</w:t>
      </w:r>
      <w:r w:rsidRPr="00AF279A">
        <w:rPr>
          <w:color w:val="auto"/>
          <w:kern w:val="0"/>
          <w:lang w:val="en-US" w:eastAsia="en-US"/>
        </w:rPr>
        <w:t>ased on the estimated nutrient contribution of organic inputs, while also observing soil health trajectories through indicators consistent with the soil health concept (Doran &amp; Zeiss, 2000). The environmental evidence from greenhouse systems makes clear that management must remain responsive: as soon as nitrogen surpluses emerge, losses can rise sharply (Zhang et al., 2021), and water management can amplify or reduce those losses (Zhou et al., 202</w:t>
      </w:r>
      <w:r w:rsidR="003B31CA">
        <w:rPr>
          <w:color w:val="auto"/>
          <w:kern w:val="0"/>
          <w:lang w:val="en-US" w:eastAsia="en-US"/>
        </w:rPr>
        <w:t>4</w:t>
      </w:r>
      <w:r w:rsidRPr="00AF279A">
        <w:rPr>
          <w:color w:val="auto"/>
          <w:kern w:val="0"/>
          <w:lang w:val="en-US" w:eastAsia="en-US"/>
        </w:rPr>
        <w:t>). Therefore, the practical design principle is iterative control—budget, apply, monitor, and recalibrate—so that the system moves toward stable yield with improving soil function rather than toward hidden degradation beneath high short-term productivity.</w:t>
      </w:r>
    </w:p>
    <w:p w:rsidR="00DA02EE" w:rsidRPr="00DA02EE" w:rsidRDefault="00DA02EE" w:rsidP="00F505AA">
      <w:pPr>
        <w:spacing w:after="0" w:line="240" w:lineRule="auto"/>
        <w:ind w:left="0" w:right="0" w:firstLine="0"/>
        <w:rPr>
          <w:color w:val="auto"/>
          <w:kern w:val="0"/>
          <w:lang w:val="en-US" w:eastAsia="en-US"/>
        </w:rPr>
      </w:pPr>
    </w:p>
    <w:p w:rsidR="00DA02EE" w:rsidRPr="00DA02EE" w:rsidRDefault="00DA02EE"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DA02EE">
        <w:rPr>
          <w:b/>
          <w:bCs/>
          <w:color w:val="auto"/>
          <w:kern w:val="0"/>
          <w:sz w:val="36"/>
          <w:szCs w:val="36"/>
          <w:lang w:val="en-US" w:eastAsia="en-US"/>
        </w:rPr>
        <w:t>9. Research gaps and future directions</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t xml:space="preserve">Despite strong evidence that INM can improve soil health and sustain yields, several research gaps limit broad implementation in vegetable systems. First, prediction of nutrient </w:t>
      </w:r>
      <w:proofErr w:type="spellStart"/>
      <w:r w:rsidR="00431C93" w:rsidRPr="000C1F52">
        <w:rPr>
          <w:color w:val="auto"/>
          <w:kern w:val="0"/>
          <w:highlight w:val="yellow"/>
          <w:lang w:val="en-US" w:eastAsia="en-US"/>
        </w:rPr>
        <w:t>mineralisation</w:t>
      </w:r>
      <w:proofErr w:type="spellEnd"/>
      <w:r w:rsidR="00431C93" w:rsidRPr="000C1F52">
        <w:rPr>
          <w:color w:val="auto"/>
          <w:kern w:val="0"/>
          <w:highlight w:val="yellow"/>
          <w:lang w:val="en-US" w:eastAsia="en-US"/>
        </w:rPr>
        <w:t xml:space="preserve"> </w:t>
      </w:r>
      <w:r w:rsidRPr="000C1F52">
        <w:rPr>
          <w:color w:val="auto"/>
          <w:kern w:val="0"/>
          <w:highlight w:val="yellow"/>
          <w:lang w:val="en-US" w:eastAsia="en-US"/>
        </w:rPr>
        <w:t>and synchr</w:t>
      </w:r>
      <w:r w:rsidRPr="00DA02EE">
        <w:rPr>
          <w:color w:val="auto"/>
          <w:kern w:val="0"/>
          <w:lang w:val="en-US" w:eastAsia="en-US"/>
        </w:rPr>
        <w:t>ony remains challenging, especially under protected cultivation with highly variable temperature–moisture regimes. Second, the causal links between microbial community “structure” and functionally meaningful outcomes (nutrient retention, disease suppression, yield stability) require more mechanistic and multi-season evidence. Third, many INM studies focus on one nutrient (often nitrogen) while phosphorus accumulation and micronutrient imbalances may continue unnoticed; integrated nutrient budgeting across N–P–K and key micronutrients should be more common, especially in high-input vegetables. Fourth, scaling soil health measurement into practical decision tools remains incomplete; developing indicator sets that are sensitive, low-cost, and meaningful for vegetables is a major translational need.</w:t>
      </w:r>
    </w:p>
    <w:p w:rsidR="00DA02EE" w:rsidRPr="00DA02EE" w:rsidRDefault="00DA02EE" w:rsidP="00F505AA">
      <w:pPr>
        <w:spacing w:before="100" w:beforeAutospacing="1" w:after="100" w:afterAutospacing="1" w:line="240" w:lineRule="auto"/>
        <w:ind w:left="0" w:right="0" w:firstLine="0"/>
        <w:rPr>
          <w:color w:val="auto"/>
          <w:kern w:val="0"/>
          <w:lang w:val="en-US" w:eastAsia="en-US"/>
        </w:rPr>
      </w:pPr>
      <w:r w:rsidRPr="00DA02EE">
        <w:rPr>
          <w:color w:val="auto"/>
          <w:kern w:val="0"/>
          <w:lang w:val="en-US" w:eastAsia="en-US"/>
        </w:rPr>
        <w:t xml:space="preserve">Emerging opportunities include microbiome-informed bio-organic </w:t>
      </w:r>
      <w:proofErr w:type="spellStart"/>
      <w:r w:rsidR="00431C93" w:rsidRPr="000C1F52">
        <w:rPr>
          <w:color w:val="auto"/>
          <w:kern w:val="0"/>
          <w:highlight w:val="yellow"/>
          <w:lang w:val="en-US" w:eastAsia="en-US"/>
        </w:rPr>
        <w:t>fertilisers</w:t>
      </w:r>
      <w:proofErr w:type="spellEnd"/>
      <w:r w:rsidR="00431C93" w:rsidRPr="00DA02EE">
        <w:rPr>
          <w:color w:val="auto"/>
          <w:kern w:val="0"/>
          <w:lang w:val="en-US" w:eastAsia="en-US"/>
        </w:rPr>
        <w:t xml:space="preserve"> </w:t>
      </w:r>
      <w:r w:rsidRPr="00DA02EE">
        <w:rPr>
          <w:color w:val="auto"/>
          <w:kern w:val="0"/>
          <w:lang w:val="en-US" w:eastAsia="en-US"/>
        </w:rPr>
        <w:t>and precision strategies that integrate soil sensing, irrigation scheduling, and crop growth modeling to align nutrient supply with demand at fine temporal scales. Over time, INM in vegetables is likely to shift from “input blending” to “process steering,” where carbon inputs, microbial pathways, and nutrient transformations are managed explicitly to achieve soil function targets alongside yield goals.</w:t>
      </w:r>
    </w:p>
    <w:p w:rsidR="00DA02EE" w:rsidRPr="00DA02EE" w:rsidRDefault="00DA02EE" w:rsidP="00F505AA">
      <w:pPr>
        <w:spacing w:after="0" w:line="240" w:lineRule="auto"/>
        <w:ind w:left="0" w:right="0" w:firstLine="0"/>
        <w:rPr>
          <w:color w:val="auto"/>
          <w:kern w:val="0"/>
          <w:lang w:val="en-US" w:eastAsia="en-US"/>
        </w:rPr>
      </w:pPr>
    </w:p>
    <w:p w:rsidR="00DA02EE" w:rsidRDefault="00DA02EE"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DA02EE">
        <w:rPr>
          <w:b/>
          <w:bCs/>
          <w:color w:val="auto"/>
          <w:kern w:val="0"/>
          <w:sz w:val="36"/>
          <w:szCs w:val="36"/>
          <w:lang w:val="en-US" w:eastAsia="en-US"/>
        </w:rPr>
        <w:t>10. Conclusions</w:t>
      </w:r>
    </w:p>
    <w:p w:rsidR="001A1F0F" w:rsidRPr="001A1F0F" w:rsidRDefault="001A1F0F" w:rsidP="00F505AA">
      <w:pPr>
        <w:spacing w:before="100" w:beforeAutospacing="1" w:after="100" w:afterAutospacing="1" w:line="240" w:lineRule="auto"/>
        <w:ind w:left="0" w:right="0" w:firstLine="0"/>
        <w:outlineLvl w:val="1"/>
        <w:rPr>
          <w:bCs/>
          <w:color w:val="auto"/>
          <w:kern w:val="0"/>
          <w:lang w:val="en-US" w:eastAsia="en-US"/>
        </w:rPr>
      </w:pPr>
      <w:r w:rsidRPr="001A1F0F">
        <w:rPr>
          <w:bCs/>
          <w:color w:val="auto"/>
          <w:kern w:val="0"/>
          <w:lang w:val="en-US" w:eastAsia="en-US"/>
        </w:rPr>
        <w:t>This review concludes that</w:t>
      </w:r>
      <w:r>
        <w:rPr>
          <w:bCs/>
          <w:color w:val="auto"/>
          <w:kern w:val="0"/>
          <w:lang w:val="en-US" w:eastAsia="en-US"/>
        </w:rPr>
        <w:t>:</w:t>
      </w:r>
      <w:bookmarkStart w:id="0" w:name="_GoBack"/>
      <w:bookmarkEnd w:id="0"/>
    </w:p>
    <w:p w:rsidR="00AF279A" w:rsidRDefault="00AF279A" w:rsidP="00EE66BC">
      <w:pPr>
        <w:pStyle w:val="NormalWeb"/>
        <w:numPr>
          <w:ilvl w:val="0"/>
          <w:numId w:val="1"/>
        </w:numPr>
        <w:jc w:val="both"/>
      </w:pPr>
      <w:r>
        <w:t>Integrated nutrient management (INM) is a practical pathway to sustain high vegetable yields and quality while improving soil health, because it aligns nutrient supply with crop demand and strengthens the soil processes that regulate nutrient cycling and retention.</w:t>
      </w:r>
    </w:p>
    <w:p w:rsidR="00AF279A" w:rsidRDefault="00AF279A" w:rsidP="00EE66BC">
      <w:pPr>
        <w:pStyle w:val="NormalWeb"/>
        <w:numPr>
          <w:ilvl w:val="0"/>
          <w:numId w:val="1"/>
        </w:numPr>
        <w:jc w:val="both"/>
      </w:pPr>
      <w:r>
        <w:t>Soil-health-</w:t>
      </w:r>
      <w:proofErr w:type="spellStart"/>
      <w:r>
        <w:t>centred</w:t>
      </w:r>
      <w:proofErr w:type="spellEnd"/>
      <w:r>
        <w:t xml:space="preserve"> INM works best when organic inputs are used to build soil organic matter, aggregation, and biological activity, while mineral </w:t>
      </w:r>
      <w:proofErr w:type="spellStart"/>
      <w:r w:rsidR="00431C93" w:rsidRPr="000C1F52">
        <w:rPr>
          <w:highlight w:val="yellow"/>
        </w:rPr>
        <w:t>fertilisers</w:t>
      </w:r>
      <w:proofErr w:type="spellEnd"/>
      <w:r w:rsidR="00431C93">
        <w:t xml:space="preserve"> </w:t>
      </w:r>
      <w:r>
        <w:t>are used strategically to meet peak nutrient demand without creating persistent surplus pools.</w:t>
      </w:r>
    </w:p>
    <w:p w:rsidR="00AF279A" w:rsidRDefault="00AF279A" w:rsidP="00EE66BC">
      <w:pPr>
        <w:pStyle w:val="NormalWeb"/>
        <w:numPr>
          <w:ilvl w:val="0"/>
          <w:numId w:val="1"/>
        </w:numPr>
        <w:jc w:val="both"/>
      </w:pPr>
      <w:r>
        <w:t xml:space="preserve">Nitrogen should be treated as the primary “risk nutrient” in intensive vegetable systems; the most consistent sustainability gains come from preventing surplus </w:t>
      </w:r>
      <w:r>
        <w:lastRenderedPageBreak/>
        <w:t xml:space="preserve">nitrogen through budgeting, split applications, and tight coordination between </w:t>
      </w:r>
      <w:proofErr w:type="spellStart"/>
      <w:r w:rsidR="00431C93" w:rsidRPr="00DD1199">
        <w:rPr>
          <w:highlight w:val="yellow"/>
        </w:rPr>
        <w:t>f</w:t>
      </w:r>
      <w:r w:rsidR="00431C93" w:rsidRPr="000C1F52">
        <w:rPr>
          <w:highlight w:val="yellow"/>
        </w:rPr>
        <w:t>ertilisation</w:t>
      </w:r>
      <w:proofErr w:type="spellEnd"/>
      <w:r w:rsidR="00431C93" w:rsidRPr="000C1F52">
        <w:rPr>
          <w:highlight w:val="yellow"/>
        </w:rPr>
        <w:t xml:space="preserve"> </w:t>
      </w:r>
      <w:r w:rsidRPr="000C1F52">
        <w:rPr>
          <w:highlight w:val="yellow"/>
        </w:rPr>
        <w:t>a</w:t>
      </w:r>
      <w:r>
        <w:t>nd irrigation.</w:t>
      </w:r>
    </w:p>
    <w:p w:rsidR="00AF279A" w:rsidRDefault="00AF279A" w:rsidP="00EE66BC">
      <w:pPr>
        <w:pStyle w:val="NormalWeb"/>
        <w:numPr>
          <w:ilvl w:val="0"/>
          <w:numId w:val="1"/>
        </w:numPr>
        <w:jc w:val="both"/>
      </w:pPr>
      <w:r w:rsidRPr="000C1F52">
        <w:rPr>
          <w:highlight w:val="yellow"/>
        </w:rPr>
        <w:t xml:space="preserve">Phosphorus management under INM should </w:t>
      </w:r>
      <w:proofErr w:type="spellStart"/>
      <w:r w:rsidR="00431C93" w:rsidRPr="000C1F52">
        <w:rPr>
          <w:highlight w:val="yellow"/>
        </w:rPr>
        <w:t>emphasise</w:t>
      </w:r>
      <w:proofErr w:type="spellEnd"/>
      <w:r w:rsidR="00431C93" w:rsidRPr="000C1F52">
        <w:rPr>
          <w:highlight w:val="yellow"/>
        </w:rPr>
        <w:t xml:space="preserve"> </w:t>
      </w:r>
      <w:r w:rsidRPr="000C1F52">
        <w:rPr>
          <w:highlight w:val="yellow"/>
        </w:rPr>
        <w:t>long-term balance and functional cycling, avoiding routine over-application and reducing the li</w:t>
      </w:r>
      <w:r>
        <w:t>kelihood of soil phosphorus accumulation that can threaten environmental quality.</w:t>
      </w:r>
    </w:p>
    <w:p w:rsidR="00AF279A" w:rsidRDefault="00AF279A" w:rsidP="00EE66BC">
      <w:pPr>
        <w:pStyle w:val="NormalWeb"/>
        <w:numPr>
          <w:ilvl w:val="0"/>
          <w:numId w:val="1"/>
        </w:numPr>
        <w:jc w:val="both"/>
      </w:pPr>
      <w:r>
        <w:t>The success of INM depends on whole-system design rather than input substitution alone; integrating water management, crop rotation, amendment quality, and application timing is essential for reliable performance.</w:t>
      </w:r>
    </w:p>
    <w:p w:rsidR="00AF279A" w:rsidRDefault="00AF279A" w:rsidP="00EE66BC">
      <w:pPr>
        <w:pStyle w:val="NormalWeb"/>
        <w:numPr>
          <w:ilvl w:val="0"/>
          <w:numId w:val="1"/>
        </w:numPr>
        <w:jc w:val="both"/>
      </w:pPr>
      <w:r>
        <w:t xml:space="preserve">Biological responses are central to outcomes: INM can enhance microbial activity and nutrient transformations, but these benefits require management that supports carbon </w:t>
      </w:r>
      <w:proofErr w:type="spellStart"/>
      <w:r w:rsidR="00431C93" w:rsidRPr="000C1F52">
        <w:rPr>
          <w:highlight w:val="yellow"/>
        </w:rPr>
        <w:t>stabilisation</w:t>
      </w:r>
      <w:proofErr w:type="spellEnd"/>
      <w:r w:rsidR="00431C93" w:rsidRPr="000C1F52">
        <w:rPr>
          <w:highlight w:val="yellow"/>
        </w:rPr>
        <w:t xml:space="preserve"> </w:t>
      </w:r>
      <w:r w:rsidRPr="000C1F52">
        <w:rPr>
          <w:highlight w:val="yellow"/>
        </w:rPr>
        <w:t>and</w:t>
      </w:r>
      <w:r>
        <w:t xml:space="preserve"> avoids conditions that accelerate losses.</w:t>
      </w:r>
    </w:p>
    <w:p w:rsidR="00AF279A" w:rsidRDefault="00AF279A" w:rsidP="00EE66BC">
      <w:pPr>
        <w:pStyle w:val="NormalWeb"/>
        <w:numPr>
          <w:ilvl w:val="0"/>
          <w:numId w:val="1"/>
        </w:numPr>
        <w:jc w:val="both"/>
      </w:pPr>
      <w:r>
        <w:t>Effective implementation requires monitoring and adaptive adjustment, including routine assessment of soil fertility status, organic amendment contributions, and indicators of soil function, so that management stays aligned with both productivity and soil health goals.</w:t>
      </w:r>
    </w:p>
    <w:p w:rsidR="00AF279A" w:rsidRDefault="00AF279A" w:rsidP="00EE66BC">
      <w:pPr>
        <w:pStyle w:val="NormalWeb"/>
        <w:numPr>
          <w:ilvl w:val="0"/>
          <w:numId w:val="1"/>
        </w:numPr>
        <w:jc w:val="both"/>
      </w:pPr>
      <w:r>
        <w:t>Overall, INM can shift vegetable production from short-term input dependence toward long-term resilience by building soils that are more efficient at supplying nutrients, buffering stress, and sustaining stable yields across repeated cycles.</w:t>
      </w:r>
    </w:p>
    <w:p w:rsidR="00DA02EE" w:rsidRPr="00DA02EE" w:rsidRDefault="00DA02EE" w:rsidP="00F505AA">
      <w:pPr>
        <w:spacing w:after="0" w:line="240" w:lineRule="auto"/>
        <w:ind w:left="0" w:right="0" w:firstLine="0"/>
        <w:rPr>
          <w:color w:val="auto"/>
          <w:kern w:val="0"/>
          <w:lang w:val="en-US" w:eastAsia="en-US"/>
        </w:rPr>
      </w:pPr>
    </w:p>
    <w:p w:rsidR="00DA02EE" w:rsidRPr="00DA02EE" w:rsidRDefault="00DA02EE"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DA02EE">
        <w:rPr>
          <w:b/>
          <w:bCs/>
          <w:color w:val="auto"/>
          <w:kern w:val="0"/>
          <w:sz w:val="36"/>
          <w:szCs w:val="36"/>
          <w:lang w:val="en-US" w:eastAsia="en-US"/>
        </w:rPr>
        <w:t>11. Limitations</w:t>
      </w:r>
    </w:p>
    <w:p w:rsidR="00AF279A" w:rsidRPr="00DD1199" w:rsidRDefault="00AF279A" w:rsidP="00EE66BC">
      <w:pPr>
        <w:pStyle w:val="NormalWeb"/>
        <w:numPr>
          <w:ilvl w:val="1"/>
          <w:numId w:val="2"/>
        </w:numPr>
        <w:ind w:left="567" w:hanging="283"/>
        <w:jc w:val="both"/>
        <w:rPr>
          <w:highlight w:val="yellow"/>
        </w:rPr>
      </w:pPr>
      <w:r>
        <w:t xml:space="preserve">Evidence quality varies across regions and production systems; long-term, multi-season trials in diverse vegetable crops and soils remain limited, reducing the certainty of broad </w:t>
      </w:r>
      <w:proofErr w:type="spellStart"/>
      <w:r w:rsidR="00431C93" w:rsidRPr="00DD1199">
        <w:rPr>
          <w:highlight w:val="yellow"/>
        </w:rPr>
        <w:t>generalisation</w:t>
      </w:r>
      <w:proofErr w:type="spellEnd"/>
      <w:r w:rsidRPr="00DD1199">
        <w:rPr>
          <w:highlight w:val="yellow"/>
        </w:rPr>
        <w:t>.</w:t>
      </w:r>
    </w:p>
    <w:p w:rsidR="00AF279A" w:rsidRDefault="00AF279A" w:rsidP="00EE66BC">
      <w:pPr>
        <w:pStyle w:val="NormalWeb"/>
        <w:numPr>
          <w:ilvl w:val="1"/>
          <w:numId w:val="2"/>
        </w:numPr>
        <w:ind w:left="567" w:hanging="283"/>
        <w:jc w:val="both"/>
      </w:pPr>
      <w:r>
        <w:t>Many studies differ in amendment type, nutrient analysis methods, application rates, and measurement indicators, making direct comparison and unified recommendations difficult.</w:t>
      </w:r>
    </w:p>
    <w:p w:rsidR="00AF279A" w:rsidRDefault="00AF279A" w:rsidP="00EE66BC">
      <w:pPr>
        <w:pStyle w:val="NormalWeb"/>
        <w:numPr>
          <w:ilvl w:val="1"/>
          <w:numId w:val="2"/>
        </w:numPr>
        <w:ind w:left="567" w:hanging="283"/>
        <w:jc w:val="both"/>
      </w:pPr>
      <w:r>
        <w:t>Soil biological indicators are often measured inconsistently and are not always linked to clear functional outcomes, limiting their immediate usefulness for on-farm decision-making.</w:t>
      </w:r>
    </w:p>
    <w:p w:rsidR="00AF279A" w:rsidRDefault="00AF279A" w:rsidP="00EE66BC">
      <w:pPr>
        <w:pStyle w:val="NormalWeb"/>
        <w:numPr>
          <w:ilvl w:val="1"/>
          <w:numId w:val="2"/>
        </w:numPr>
        <w:ind w:left="567" w:hanging="283"/>
        <w:jc w:val="both"/>
      </w:pPr>
      <w:r>
        <w:t xml:space="preserve">The review </w:t>
      </w:r>
      <w:proofErr w:type="spellStart"/>
      <w:r w:rsidR="00431C93" w:rsidRPr="000C1F52">
        <w:rPr>
          <w:highlight w:val="yellow"/>
        </w:rPr>
        <w:t>emph</w:t>
      </w:r>
      <w:r w:rsidR="00431C93">
        <w:t>asises</w:t>
      </w:r>
      <w:proofErr w:type="spellEnd"/>
      <w:r w:rsidR="00431C93">
        <w:t xml:space="preserve"> </w:t>
      </w:r>
      <w:r>
        <w:t xml:space="preserve">nutrient and soil-health outcomes, but economic </w:t>
      </w:r>
      <w:r w:rsidRPr="000C1F52">
        <w:rPr>
          <w:highlight w:val="yellow"/>
        </w:rPr>
        <w:t xml:space="preserve">feasibility, </w:t>
      </w:r>
      <w:proofErr w:type="spellStart"/>
      <w:r w:rsidRPr="000C1F52">
        <w:rPr>
          <w:highlight w:val="yellow"/>
        </w:rPr>
        <w:t>labo</w:t>
      </w:r>
      <w:r w:rsidR="00431C93" w:rsidRPr="000C1F52">
        <w:rPr>
          <w:highlight w:val="yellow"/>
        </w:rPr>
        <w:t>u</w:t>
      </w:r>
      <w:r w:rsidRPr="000C1F52">
        <w:rPr>
          <w:highlight w:val="yellow"/>
        </w:rPr>
        <w:t>r</w:t>
      </w:r>
      <w:proofErr w:type="spellEnd"/>
      <w:r w:rsidRPr="000C1F52">
        <w:rPr>
          <w:highlight w:val="yellow"/>
        </w:rPr>
        <w:t xml:space="preserve"> requirements, and adoption barriers are not treated in depth despite their importance for real-w</w:t>
      </w:r>
      <w:r>
        <w:t>orld implementation.</w:t>
      </w:r>
    </w:p>
    <w:p w:rsidR="00AF279A" w:rsidRDefault="00AF279A" w:rsidP="00EE66BC">
      <w:pPr>
        <w:pStyle w:val="NormalWeb"/>
        <w:numPr>
          <w:ilvl w:val="1"/>
          <w:numId w:val="2"/>
        </w:numPr>
        <w:ind w:left="567" w:hanging="283"/>
        <w:jc w:val="both"/>
      </w:pPr>
      <w:r>
        <w:t>Potential risks associated with organic inputs (variable nutrient release, salt loading, or contaminant concerns) are acknowledged conceptually but are not comprehensively evaluated across contexts.</w:t>
      </w:r>
    </w:p>
    <w:p w:rsidR="00AF279A" w:rsidRDefault="00AF279A" w:rsidP="00F505AA">
      <w:pPr>
        <w:spacing w:before="100" w:beforeAutospacing="1" w:after="100" w:afterAutospacing="1" w:line="240" w:lineRule="auto"/>
        <w:ind w:left="0" w:right="0" w:firstLine="0"/>
        <w:rPr>
          <w:color w:val="auto"/>
          <w:kern w:val="0"/>
          <w:lang w:val="en-US" w:eastAsia="en-US"/>
        </w:rPr>
      </w:pPr>
    </w:p>
    <w:p w:rsidR="003D5935" w:rsidRDefault="003D5935" w:rsidP="00F505AA">
      <w:pPr>
        <w:spacing w:before="100" w:beforeAutospacing="1" w:after="100" w:afterAutospacing="1" w:line="240" w:lineRule="auto"/>
        <w:ind w:left="0" w:right="0" w:firstLine="0"/>
        <w:rPr>
          <w:color w:val="auto"/>
          <w:kern w:val="0"/>
          <w:lang w:val="en-US" w:eastAsia="en-US"/>
        </w:rPr>
      </w:pPr>
    </w:p>
    <w:p w:rsidR="003D5935" w:rsidRPr="00005ED1" w:rsidRDefault="003D5935" w:rsidP="00F505AA">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rsidR="003D5935" w:rsidRPr="00005ED1" w:rsidRDefault="003D5935" w:rsidP="00F505AA">
      <w:pPr>
        <w:pStyle w:val="NoSpacing"/>
        <w:rPr>
          <w:rFonts w:ascii="Arial" w:hAnsi="Arial" w:cs="Arial"/>
          <w:highlight w:val="yellow"/>
        </w:rPr>
      </w:pPr>
    </w:p>
    <w:p w:rsidR="003D5935" w:rsidRPr="00005ED1" w:rsidRDefault="003D5935" w:rsidP="00F505A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3D5935" w:rsidRDefault="003D5935" w:rsidP="00F505AA">
      <w:pPr>
        <w:pStyle w:val="NoSpacing"/>
        <w:rPr>
          <w:rFonts w:ascii="Arial" w:hAnsi="Arial" w:cs="Arial"/>
        </w:rPr>
      </w:pPr>
    </w:p>
    <w:bookmarkEnd w:id="3"/>
    <w:p w:rsidR="003D5935" w:rsidRPr="00DA02EE" w:rsidRDefault="003D5935" w:rsidP="00F505AA">
      <w:pPr>
        <w:spacing w:before="100" w:beforeAutospacing="1" w:after="100" w:afterAutospacing="1" w:line="240" w:lineRule="auto"/>
        <w:ind w:left="0" w:right="0" w:firstLine="0"/>
        <w:rPr>
          <w:color w:val="auto"/>
          <w:kern w:val="0"/>
          <w:lang w:val="en-US" w:eastAsia="en-US"/>
        </w:rPr>
      </w:pPr>
    </w:p>
    <w:p w:rsidR="00DA02EE" w:rsidRPr="00DA02EE" w:rsidRDefault="00DA02EE" w:rsidP="00F505AA">
      <w:pPr>
        <w:spacing w:before="100" w:beforeAutospacing="1" w:after="100" w:afterAutospacing="1" w:line="240" w:lineRule="auto"/>
        <w:ind w:left="0" w:right="0" w:firstLine="0"/>
        <w:outlineLvl w:val="1"/>
        <w:rPr>
          <w:b/>
          <w:bCs/>
          <w:color w:val="auto"/>
          <w:kern w:val="0"/>
          <w:sz w:val="36"/>
          <w:szCs w:val="36"/>
          <w:lang w:val="en-US" w:eastAsia="en-US"/>
        </w:rPr>
      </w:pPr>
      <w:r w:rsidRPr="00DA02EE">
        <w:rPr>
          <w:b/>
          <w:bCs/>
          <w:color w:val="auto"/>
          <w:kern w:val="0"/>
          <w:sz w:val="36"/>
          <w:szCs w:val="36"/>
          <w:lang w:val="en-US" w:eastAsia="en-US"/>
        </w:rPr>
        <w:t xml:space="preserve">References </w:t>
      </w:r>
    </w:p>
    <w:p w:rsidR="00170C08" w:rsidRPr="008D29F0" w:rsidRDefault="00170C08" w:rsidP="00EE66BC">
      <w:pPr>
        <w:pStyle w:val="ListParagraph"/>
        <w:numPr>
          <w:ilvl w:val="0"/>
          <w:numId w:val="3"/>
        </w:numPr>
        <w:rPr>
          <w:rFonts w:eastAsia="Calibri"/>
          <w:color w:val="222222"/>
          <w:shd w:val="clear" w:color="auto" w:fill="FFFFFF"/>
        </w:rPr>
      </w:pPr>
      <w:proofErr w:type="spellStart"/>
      <w:r w:rsidRPr="008D29F0">
        <w:rPr>
          <w:rFonts w:eastAsia="Calibri"/>
          <w:color w:val="222222"/>
          <w:shd w:val="clear" w:color="auto" w:fill="FFFFFF"/>
        </w:rPr>
        <w:t>Aulakh</w:t>
      </w:r>
      <w:proofErr w:type="spellEnd"/>
      <w:r w:rsidRPr="008D29F0">
        <w:rPr>
          <w:rFonts w:eastAsia="Calibri"/>
          <w:color w:val="222222"/>
          <w:shd w:val="clear" w:color="auto" w:fill="FFFFFF"/>
        </w:rPr>
        <w:t>, C. S., Sharma, S., Thakur, M., &amp; Kaur, P. (2022). A review of the influences of organic farming on soil quality, crop productivity and produce quality. </w:t>
      </w:r>
      <w:r w:rsidRPr="008D29F0">
        <w:rPr>
          <w:rFonts w:eastAsia="Calibri"/>
          <w:i/>
          <w:iCs/>
          <w:color w:val="222222"/>
          <w:shd w:val="clear" w:color="auto" w:fill="FFFFFF"/>
        </w:rPr>
        <w:t>Journal of Plant Nutrition</w:t>
      </w:r>
      <w:r w:rsidRPr="008D29F0">
        <w:rPr>
          <w:rFonts w:eastAsia="Calibri"/>
          <w:color w:val="222222"/>
          <w:shd w:val="clear" w:color="auto" w:fill="FFFFFF"/>
        </w:rPr>
        <w:t>, </w:t>
      </w:r>
      <w:r w:rsidRPr="008D29F0">
        <w:rPr>
          <w:rFonts w:eastAsia="Calibri"/>
          <w:i/>
          <w:iCs/>
          <w:color w:val="222222"/>
          <w:shd w:val="clear" w:color="auto" w:fill="FFFFFF"/>
        </w:rPr>
        <w:t>45</w:t>
      </w:r>
      <w:r w:rsidRPr="008D29F0">
        <w:rPr>
          <w:rFonts w:eastAsia="Calibri"/>
          <w:color w:val="222222"/>
          <w:shd w:val="clear" w:color="auto" w:fill="FFFFFF"/>
        </w:rPr>
        <w:t xml:space="preserve">(12), 1884-1905. </w:t>
      </w:r>
      <w:hyperlink r:id="rId8" w:history="1">
        <w:r w:rsidR="00B567DD" w:rsidRPr="008D29F0">
          <w:rPr>
            <w:rFonts w:eastAsia="Calibri"/>
            <w:color w:val="0563C1"/>
            <w:u w:val="single"/>
            <w:shd w:val="clear" w:color="auto" w:fill="FFFFFF"/>
          </w:rPr>
          <w:t>https://doi.org/10.1080/01904167.2022.2027976</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r w:rsidRPr="008D29F0">
        <w:rPr>
          <w:rFonts w:eastAsia="Calibri"/>
          <w:color w:val="222222"/>
          <w:shd w:val="clear" w:color="auto" w:fill="FFFFFF"/>
        </w:rPr>
        <w:t xml:space="preserve">Bai, S. H., </w:t>
      </w:r>
      <w:proofErr w:type="spellStart"/>
      <w:r w:rsidRPr="008D29F0">
        <w:rPr>
          <w:rFonts w:eastAsia="Calibri"/>
          <w:color w:val="222222"/>
          <w:shd w:val="clear" w:color="auto" w:fill="FFFFFF"/>
        </w:rPr>
        <w:t>Omidvar</w:t>
      </w:r>
      <w:proofErr w:type="spellEnd"/>
      <w:r w:rsidRPr="008D29F0">
        <w:rPr>
          <w:rFonts w:eastAsia="Calibri"/>
          <w:color w:val="222222"/>
          <w:shd w:val="clear" w:color="auto" w:fill="FFFFFF"/>
        </w:rPr>
        <w:t xml:space="preserve">, N., </w:t>
      </w:r>
      <w:proofErr w:type="spellStart"/>
      <w:r w:rsidRPr="008D29F0">
        <w:rPr>
          <w:rFonts w:eastAsia="Calibri"/>
          <w:color w:val="222222"/>
          <w:shd w:val="clear" w:color="auto" w:fill="FFFFFF"/>
        </w:rPr>
        <w:t>Gallart</w:t>
      </w:r>
      <w:proofErr w:type="spellEnd"/>
      <w:r w:rsidRPr="008D29F0">
        <w:rPr>
          <w:rFonts w:eastAsia="Calibri"/>
          <w:color w:val="222222"/>
          <w:shd w:val="clear" w:color="auto" w:fill="FFFFFF"/>
        </w:rPr>
        <w:t xml:space="preserve">, M., </w:t>
      </w:r>
      <w:proofErr w:type="spellStart"/>
      <w:r w:rsidRPr="008D29F0">
        <w:rPr>
          <w:rFonts w:eastAsia="Calibri"/>
          <w:color w:val="222222"/>
          <w:shd w:val="clear" w:color="auto" w:fill="FFFFFF"/>
        </w:rPr>
        <w:t>Kämper</w:t>
      </w:r>
      <w:proofErr w:type="spellEnd"/>
      <w:r w:rsidRPr="008D29F0">
        <w:rPr>
          <w:rFonts w:eastAsia="Calibri"/>
          <w:color w:val="222222"/>
          <w:shd w:val="clear" w:color="auto" w:fill="FFFFFF"/>
        </w:rPr>
        <w:t xml:space="preserve">, W., </w:t>
      </w:r>
      <w:proofErr w:type="spellStart"/>
      <w:r w:rsidRPr="008D29F0">
        <w:rPr>
          <w:rFonts w:eastAsia="Calibri"/>
          <w:color w:val="222222"/>
          <w:shd w:val="clear" w:color="auto" w:fill="FFFFFF"/>
        </w:rPr>
        <w:t>Tahmasbian</w:t>
      </w:r>
      <w:proofErr w:type="spellEnd"/>
      <w:r w:rsidRPr="008D29F0">
        <w:rPr>
          <w:rFonts w:eastAsia="Calibri"/>
          <w:color w:val="222222"/>
          <w:shd w:val="clear" w:color="auto" w:fill="FFFFFF"/>
        </w:rPr>
        <w:t xml:space="preserve">, I., Farrar, M. B., ... &amp; van </w:t>
      </w:r>
      <w:proofErr w:type="spellStart"/>
      <w:r w:rsidRPr="008D29F0">
        <w:rPr>
          <w:rFonts w:eastAsia="Calibri"/>
          <w:color w:val="222222"/>
          <w:shd w:val="clear" w:color="auto" w:fill="FFFFFF"/>
        </w:rPr>
        <w:t>Zwieten</w:t>
      </w:r>
      <w:proofErr w:type="spellEnd"/>
      <w:r w:rsidRPr="008D29F0">
        <w:rPr>
          <w:rFonts w:eastAsia="Calibri"/>
          <w:color w:val="222222"/>
          <w:shd w:val="clear" w:color="auto" w:fill="FFFFFF"/>
        </w:rPr>
        <w:t>, L. (2022). Combined effects of biochar and fertilizer applications on yield: A review and meta-analysis. </w:t>
      </w:r>
      <w:r w:rsidRPr="008D29F0">
        <w:rPr>
          <w:rFonts w:eastAsia="Calibri"/>
          <w:i/>
          <w:iCs/>
          <w:color w:val="222222"/>
          <w:shd w:val="clear" w:color="auto" w:fill="FFFFFF"/>
        </w:rPr>
        <w:t>Science of the Total Environment</w:t>
      </w:r>
      <w:r w:rsidRPr="008D29F0">
        <w:rPr>
          <w:rFonts w:eastAsia="Calibri"/>
          <w:color w:val="222222"/>
          <w:shd w:val="clear" w:color="auto" w:fill="FFFFFF"/>
        </w:rPr>
        <w:t>, </w:t>
      </w:r>
      <w:r w:rsidRPr="008D29F0">
        <w:rPr>
          <w:rFonts w:eastAsia="Calibri"/>
          <w:i/>
          <w:iCs/>
          <w:color w:val="222222"/>
          <w:shd w:val="clear" w:color="auto" w:fill="FFFFFF"/>
        </w:rPr>
        <w:t>808</w:t>
      </w:r>
      <w:r w:rsidRPr="008D29F0">
        <w:rPr>
          <w:rFonts w:eastAsia="Calibri"/>
          <w:color w:val="222222"/>
          <w:shd w:val="clear" w:color="auto" w:fill="FFFFFF"/>
        </w:rPr>
        <w:t xml:space="preserve">, 152073. </w:t>
      </w:r>
      <w:hyperlink r:id="rId9" w:history="1">
        <w:r w:rsidRPr="008D29F0">
          <w:rPr>
            <w:rFonts w:eastAsia="Calibri"/>
            <w:color w:val="0563C1"/>
            <w:u w:val="single"/>
            <w:lang w:val="en-US"/>
          </w:rPr>
          <w:t>https://doi.org/10.1016/j.scitotenv.2021.152073</w:t>
        </w:r>
      </w:hyperlink>
      <w:r w:rsidRPr="008D29F0">
        <w:rPr>
          <w:rFonts w:eastAsia="Calibri"/>
          <w:lang w:val="en-US"/>
        </w:rPr>
        <w:t xml:space="preserve"> </w:t>
      </w:r>
    </w:p>
    <w:p w:rsidR="00170C08" w:rsidRPr="008D29F0" w:rsidRDefault="00170C08" w:rsidP="00EE66BC">
      <w:pPr>
        <w:pStyle w:val="ListParagraph"/>
        <w:numPr>
          <w:ilvl w:val="0"/>
          <w:numId w:val="3"/>
        </w:numPr>
        <w:rPr>
          <w:rFonts w:eastAsia="Calibri"/>
          <w:color w:val="222222"/>
          <w:shd w:val="clear" w:color="auto" w:fill="FFFFFF"/>
        </w:rPr>
      </w:pPr>
      <w:r w:rsidRPr="008D29F0">
        <w:rPr>
          <w:rFonts w:eastAsia="Calibri"/>
          <w:color w:val="222222"/>
          <w:shd w:val="clear" w:color="auto" w:fill="FFFFFF"/>
        </w:rPr>
        <w:t xml:space="preserve">Brandt, K., </w:t>
      </w:r>
      <w:proofErr w:type="spellStart"/>
      <w:r w:rsidRPr="008D29F0">
        <w:rPr>
          <w:rFonts w:eastAsia="Calibri"/>
          <w:color w:val="222222"/>
          <w:shd w:val="clear" w:color="auto" w:fill="FFFFFF"/>
        </w:rPr>
        <w:t>Leifert</w:t>
      </w:r>
      <w:proofErr w:type="spellEnd"/>
      <w:r w:rsidRPr="008D29F0">
        <w:rPr>
          <w:rFonts w:eastAsia="Calibri"/>
          <w:color w:val="222222"/>
          <w:shd w:val="clear" w:color="auto" w:fill="FFFFFF"/>
        </w:rPr>
        <w:t>, C., Sanderson, R., &amp; Seal, C. J. (2011). Agroecosystem management and nutritional quality of plant foods: the case of organic fruits and vegetables. </w:t>
      </w:r>
      <w:r w:rsidRPr="008D29F0">
        <w:rPr>
          <w:rFonts w:eastAsia="Calibri"/>
          <w:i/>
          <w:iCs/>
          <w:color w:val="222222"/>
          <w:shd w:val="clear" w:color="auto" w:fill="FFFFFF"/>
        </w:rPr>
        <w:t>Critical Reviews in Plant Sciences</w:t>
      </w:r>
      <w:r w:rsidRPr="008D29F0">
        <w:rPr>
          <w:rFonts w:eastAsia="Calibri"/>
          <w:color w:val="222222"/>
          <w:shd w:val="clear" w:color="auto" w:fill="FFFFFF"/>
        </w:rPr>
        <w:t>, </w:t>
      </w:r>
      <w:r w:rsidRPr="008D29F0">
        <w:rPr>
          <w:rFonts w:eastAsia="Calibri"/>
          <w:i/>
          <w:iCs/>
          <w:color w:val="222222"/>
          <w:shd w:val="clear" w:color="auto" w:fill="FFFFFF"/>
        </w:rPr>
        <w:t>30</w:t>
      </w:r>
      <w:r w:rsidRPr="008D29F0">
        <w:rPr>
          <w:rFonts w:eastAsia="Calibri"/>
          <w:color w:val="222222"/>
          <w:shd w:val="clear" w:color="auto" w:fill="FFFFFF"/>
        </w:rPr>
        <w:t xml:space="preserve">(1-2), 177-197. </w:t>
      </w:r>
      <w:hyperlink r:id="rId10" w:history="1">
        <w:r w:rsidR="00B567DD" w:rsidRPr="008D29F0">
          <w:rPr>
            <w:rFonts w:eastAsia="Calibri"/>
            <w:color w:val="0563C1"/>
            <w:u w:val="single"/>
            <w:shd w:val="clear" w:color="auto" w:fill="FFFFFF"/>
          </w:rPr>
          <w:t>https://doi.org/10.1080/07352689.2011.554417</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rPr>
          <w:rFonts w:eastAsia="Calibri"/>
          <w:color w:val="222222"/>
          <w:shd w:val="clear" w:color="auto" w:fill="FFFFFF"/>
        </w:rPr>
      </w:pPr>
      <w:proofErr w:type="spellStart"/>
      <w:r w:rsidRPr="008D29F0">
        <w:rPr>
          <w:rFonts w:eastAsia="Calibri"/>
          <w:color w:val="222222"/>
          <w:shd w:val="clear" w:color="auto" w:fill="FFFFFF"/>
        </w:rPr>
        <w:t>Brust</w:t>
      </w:r>
      <w:proofErr w:type="spellEnd"/>
      <w:r w:rsidRPr="008D29F0">
        <w:rPr>
          <w:rFonts w:eastAsia="Calibri"/>
          <w:color w:val="222222"/>
          <w:shd w:val="clear" w:color="auto" w:fill="FFFFFF"/>
        </w:rPr>
        <w:t>, G. E. (2019). Management strategies for organic vegetable fertility. In </w:t>
      </w:r>
      <w:r w:rsidRPr="008D29F0">
        <w:rPr>
          <w:rFonts w:eastAsia="Calibri"/>
          <w:i/>
          <w:iCs/>
          <w:color w:val="222222"/>
          <w:shd w:val="clear" w:color="auto" w:fill="FFFFFF"/>
        </w:rPr>
        <w:t>Safety and practice for organic food</w:t>
      </w:r>
      <w:r w:rsidRPr="008D29F0">
        <w:rPr>
          <w:rFonts w:eastAsia="Calibri"/>
          <w:color w:val="222222"/>
          <w:shd w:val="clear" w:color="auto" w:fill="FFFFFF"/>
        </w:rPr>
        <w:t xml:space="preserve"> (pp. 193-212). Academic Press. </w:t>
      </w:r>
      <w:hyperlink r:id="rId11" w:history="1">
        <w:r w:rsidR="00B567DD" w:rsidRPr="008D29F0">
          <w:rPr>
            <w:rFonts w:eastAsia="Calibri"/>
            <w:color w:val="0563C1"/>
            <w:u w:val="single"/>
            <w:shd w:val="clear" w:color="auto" w:fill="FFFFFF"/>
          </w:rPr>
          <w:t>https://doi.org/10.1016/B978-0-12-812060-6.00009-X</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r w:rsidRPr="008D29F0">
        <w:rPr>
          <w:rFonts w:eastAsia="Calibri"/>
          <w:color w:val="222222"/>
          <w:shd w:val="clear" w:color="auto" w:fill="FFFFFF"/>
        </w:rPr>
        <w:t>Di, H. J., &amp; Cameron, K. C. (2002). Nitrate leaching in temperate agroecosystems: sources, factors and mitigating strategies. </w:t>
      </w:r>
      <w:r w:rsidRPr="008D29F0">
        <w:rPr>
          <w:rFonts w:eastAsia="Calibri"/>
          <w:i/>
          <w:iCs/>
          <w:color w:val="222222"/>
          <w:shd w:val="clear" w:color="auto" w:fill="FFFFFF"/>
        </w:rPr>
        <w:t>Nutrient cycling in agroecosystems</w:t>
      </w:r>
      <w:r w:rsidRPr="008D29F0">
        <w:rPr>
          <w:rFonts w:eastAsia="Calibri"/>
          <w:color w:val="222222"/>
          <w:shd w:val="clear" w:color="auto" w:fill="FFFFFF"/>
        </w:rPr>
        <w:t>, </w:t>
      </w:r>
      <w:r w:rsidRPr="008D29F0">
        <w:rPr>
          <w:rFonts w:eastAsia="Calibri"/>
          <w:i/>
          <w:iCs/>
          <w:color w:val="222222"/>
          <w:shd w:val="clear" w:color="auto" w:fill="FFFFFF"/>
        </w:rPr>
        <w:t>64</w:t>
      </w:r>
      <w:r w:rsidRPr="008D29F0">
        <w:rPr>
          <w:rFonts w:eastAsia="Calibri"/>
          <w:color w:val="222222"/>
          <w:shd w:val="clear" w:color="auto" w:fill="FFFFFF"/>
        </w:rPr>
        <w:t xml:space="preserve">(3), 237-256. </w:t>
      </w:r>
      <w:hyperlink r:id="rId12" w:history="1">
        <w:r w:rsidRPr="008D29F0">
          <w:rPr>
            <w:rFonts w:eastAsia="Calibri"/>
            <w:color w:val="0563C1"/>
            <w:u w:val="single"/>
            <w:lang w:val="en-US"/>
          </w:rPr>
          <w:t>https://doi.org/10.1023/A:1021471531188</w:t>
        </w:r>
      </w:hyperlink>
      <w:r w:rsidRPr="008D29F0">
        <w:rPr>
          <w:rFonts w:eastAsia="Calibri"/>
          <w:lang w:val="en-US"/>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proofErr w:type="spellStart"/>
      <w:r w:rsidRPr="008D29F0">
        <w:rPr>
          <w:rFonts w:eastAsia="Calibri"/>
          <w:color w:val="222222"/>
          <w:shd w:val="clear" w:color="auto" w:fill="FFFFFF"/>
        </w:rPr>
        <w:t>Diacono</w:t>
      </w:r>
      <w:proofErr w:type="spellEnd"/>
      <w:r w:rsidRPr="008D29F0">
        <w:rPr>
          <w:rFonts w:eastAsia="Calibri"/>
          <w:color w:val="222222"/>
          <w:shd w:val="clear" w:color="auto" w:fill="FFFFFF"/>
        </w:rPr>
        <w:t xml:space="preserve">, M., &amp; </w:t>
      </w:r>
      <w:proofErr w:type="spellStart"/>
      <w:r w:rsidRPr="008D29F0">
        <w:rPr>
          <w:rFonts w:eastAsia="Calibri"/>
          <w:color w:val="222222"/>
          <w:shd w:val="clear" w:color="auto" w:fill="FFFFFF"/>
        </w:rPr>
        <w:t>Montemurro</w:t>
      </w:r>
      <w:proofErr w:type="spellEnd"/>
      <w:r w:rsidRPr="008D29F0">
        <w:rPr>
          <w:rFonts w:eastAsia="Calibri"/>
          <w:color w:val="222222"/>
          <w:shd w:val="clear" w:color="auto" w:fill="FFFFFF"/>
        </w:rPr>
        <w:t>, F. (2011). Long-term effects of organic amendments on soil fertility. In </w:t>
      </w:r>
      <w:r w:rsidRPr="008D29F0">
        <w:rPr>
          <w:rFonts w:eastAsia="Calibri"/>
          <w:i/>
          <w:iCs/>
          <w:color w:val="222222"/>
          <w:shd w:val="clear" w:color="auto" w:fill="FFFFFF"/>
        </w:rPr>
        <w:t>Sustainable agriculture volume 2</w:t>
      </w:r>
      <w:r w:rsidRPr="008D29F0">
        <w:rPr>
          <w:rFonts w:eastAsia="Calibri"/>
          <w:color w:val="222222"/>
          <w:shd w:val="clear" w:color="auto" w:fill="FFFFFF"/>
        </w:rPr>
        <w:t xml:space="preserve"> (pp. 761-786). Dordrecht: Springer Netherlands. </w:t>
      </w:r>
      <w:hyperlink r:id="rId13" w:history="1">
        <w:r w:rsidRPr="008D29F0">
          <w:rPr>
            <w:rFonts w:eastAsia="Calibri"/>
            <w:color w:val="0563C1"/>
            <w:u w:val="single"/>
            <w:lang w:val="en-US"/>
          </w:rPr>
          <w:t>https://doi.org/10.1051/agro/2009040</w:t>
        </w:r>
      </w:hyperlink>
      <w:r w:rsidRPr="008D29F0">
        <w:rPr>
          <w:rFonts w:eastAsia="Calibri"/>
          <w:lang w:val="en-US"/>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r w:rsidRPr="008D29F0">
        <w:rPr>
          <w:rFonts w:eastAsia="Calibri"/>
          <w:color w:val="222222"/>
          <w:shd w:val="clear" w:color="auto" w:fill="FFFFFF"/>
        </w:rPr>
        <w:t>Doran, J. W., &amp; Zeiss, M. R. (2000). Soil health and sustainability: managing the biotic component of soil quality. </w:t>
      </w:r>
      <w:r w:rsidRPr="008D29F0">
        <w:rPr>
          <w:rFonts w:eastAsia="Calibri"/>
          <w:i/>
          <w:iCs/>
          <w:color w:val="222222"/>
          <w:shd w:val="clear" w:color="auto" w:fill="FFFFFF"/>
        </w:rPr>
        <w:t>Applied soil ecology</w:t>
      </w:r>
      <w:r w:rsidRPr="008D29F0">
        <w:rPr>
          <w:rFonts w:eastAsia="Calibri"/>
          <w:color w:val="222222"/>
          <w:shd w:val="clear" w:color="auto" w:fill="FFFFFF"/>
        </w:rPr>
        <w:t>, </w:t>
      </w:r>
      <w:r w:rsidRPr="008D29F0">
        <w:rPr>
          <w:rFonts w:eastAsia="Calibri"/>
          <w:i/>
          <w:iCs/>
          <w:color w:val="222222"/>
          <w:shd w:val="clear" w:color="auto" w:fill="FFFFFF"/>
        </w:rPr>
        <w:t>15</w:t>
      </w:r>
      <w:r w:rsidRPr="008D29F0">
        <w:rPr>
          <w:rFonts w:eastAsia="Calibri"/>
          <w:color w:val="222222"/>
          <w:shd w:val="clear" w:color="auto" w:fill="FFFFFF"/>
        </w:rPr>
        <w:t xml:space="preserve">(1), 3-11. </w:t>
      </w:r>
      <w:hyperlink r:id="rId14" w:history="1">
        <w:r w:rsidRPr="008D29F0">
          <w:rPr>
            <w:rFonts w:eastAsia="Calibri"/>
            <w:color w:val="0563C1"/>
            <w:u w:val="single"/>
            <w:lang w:val="en-US"/>
          </w:rPr>
          <w:t>https://doi.org/10.1016/S0929-1393(00)00067-6</w:t>
        </w:r>
      </w:hyperlink>
      <w:r w:rsidRPr="008D29F0">
        <w:rPr>
          <w:rFonts w:eastAsia="Calibri"/>
          <w:lang w:val="en-US"/>
        </w:rPr>
        <w:t xml:space="preserve"> </w:t>
      </w:r>
    </w:p>
    <w:p w:rsidR="00170C08" w:rsidRPr="008D29F0" w:rsidRDefault="00170C08" w:rsidP="00EE66BC">
      <w:pPr>
        <w:pStyle w:val="ListParagraph"/>
        <w:numPr>
          <w:ilvl w:val="0"/>
          <w:numId w:val="3"/>
        </w:numPr>
        <w:rPr>
          <w:rFonts w:eastAsia="Calibri"/>
          <w:color w:val="222222"/>
          <w:shd w:val="clear" w:color="auto" w:fill="FFFFFF"/>
        </w:rPr>
      </w:pPr>
      <w:r w:rsidRPr="008D29F0">
        <w:rPr>
          <w:rFonts w:eastAsia="Calibri"/>
          <w:color w:val="222222"/>
          <w:shd w:val="clear" w:color="auto" w:fill="FFFFFF"/>
        </w:rPr>
        <w:t xml:space="preserve">Fernández, J. A., </w:t>
      </w:r>
      <w:proofErr w:type="spellStart"/>
      <w:r w:rsidRPr="008D29F0">
        <w:rPr>
          <w:rFonts w:eastAsia="Calibri"/>
          <w:color w:val="222222"/>
          <w:shd w:val="clear" w:color="auto" w:fill="FFFFFF"/>
        </w:rPr>
        <w:t>Ayastuy</w:t>
      </w:r>
      <w:proofErr w:type="spellEnd"/>
      <w:r w:rsidRPr="008D29F0">
        <w:rPr>
          <w:rFonts w:eastAsia="Calibri"/>
          <w:color w:val="222222"/>
          <w:shd w:val="clear" w:color="auto" w:fill="FFFFFF"/>
        </w:rPr>
        <w:t xml:space="preserve">, M. E., Belladonna, D. P., </w:t>
      </w:r>
      <w:proofErr w:type="spellStart"/>
      <w:r w:rsidRPr="008D29F0">
        <w:rPr>
          <w:rFonts w:eastAsia="Calibri"/>
          <w:color w:val="222222"/>
          <w:shd w:val="clear" w:color="auto" w:fill="FFFFFF"/>
        </w:rPr>
        <w:t>Comezaña</w:t>
      </w:r>
      <w:proofErr w:type="spellEnd"/>
      <w:r w:rsidRPr="008D29F0">
        <w:rPr>
          <w:rFonts w:eastAsia="Calibri"/>
          <w:color w:val="222222"/>
          <w:shd w:val="clear" w:color="auto" w:fill="FFFFFF"/>
        </w:rPr>
        <w:t xml:space="preserve">, M. M., Contreras, J., de Maria </w:t>
      </w:r>
      <w:proofErr w:type="spellStart"/>
      <w:r w:rsidRPr="008D29F0">
        <w:rPr>
          <w:rFonts w:eastAsia="Calibri"/>
          <w:color w:val="222222"/>
          <w:shd w:val="clear" w:color="auto" w:fill="FFFFFF"/>
        </w:rPr>
        <w:t>Mourão</w:t>
      </w:r>
      <w:proofErr w:type="spellEnd"/>
      <w:r w:rsidRPr="008D29F0">
        <w:rPr>
          <w:rFonts w:eastAsia="Calibri"/>
          <w:color w:val="222222"/>
          <w:shd w:val="clear" w:color="auto" w:fill="FFFFFF"/>
        </w:rPr>
        <w:t>, I., ... &amp; Rodríguez, R. A. (2022). Current trends in organic vegetable crop production: practices and techniques. </w:t>
      </w:r>
      <w:proofErr w:type="spellStart"/>
      <w:r w:rsidRPr="008D29F0">
        <w:rPr>
          <w:rFonts w:eastAsia="Calibri"/>
          <w:i/>
          <w:iCs/>
          <w:color w:val="222222"/>
          <w:shd w:val="clear" w:color="auto" w:fill="FFFFFF"/>
        </w:rPr>
        <w:t>Horticulturae</w:t>
      </w:r>
      <w:proofErr w:type="spellEnd"/>
      <w:r w:rsidRPr="008D29F0">
        <w:rPr>
          <w:rFonts w:eastAsia="Calibri"/>
          <w:color w:val="222222"/>
          <w:shd w:val="clear" w:color="auto" w:fill="FFFFFF"/>
        </w:rPr>
        <w:t>, </w:t>
      </w:r>
      <w:r w:rsidRPr="008D29F0">
        <w:rPr>
          <w:rFonts w:eastAsia="Calibri"/>
          <w:i/>
          <w:iCs/>
          <w:color w:val="222222"/>
          <w:shd w:val="clear" w:color="auto" w:fill="FFFFFF"/>
        </w:rPr>
        <w:t>8</w:t>
      </w:r>
      <w:r w:rsidRPr="008D29F0">
        <w:rPr>
          <w:rFonts w:eastAsia="Calibri"/>
          <w:color w:val="222222"/>
          <w:shd w:val="clear" w:color="auto" w:fill="FFFFFF"/>
        </w:rPr>
        <w:t xml:space="preserve">(10), 893. </w:t>
      </w:r>
      <w:hyperlink r:id="rId15" w:history="1">
        <w:r w:rsidR="00B567DD" w:rsidRPr="008D29F0">
          <w:rPr>
            <w:rFonts w:eastAsia="Calibri"/>
            <w:color w:val="0563C1"/>
            <w:u w:val="single"/>
            <w:shd w:val="clear" w:color="auto" w:fill="FFFFFF"/>
          </w:rPr>
          <w:t>https://doi.org/10.3390/horticulturae8100893</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rPr>
          <w:rFonts w:eastAsia="Calibri"/>
          <w:color w:val="222222"/>
          <w:shd w:val="clear" w:color="auto" w:fill="FFFFFF"/>
        </w:rPr>
      </w:pPr>
      <w:r w:rsidRPr="008D29F0">
        <w:rPr>
          <w:rFonts w:eastAsia="Calibri"/>
          <w:color w:val="222222"/>
          <w:shd w:val="clear" w:color="auto" w:fill="FFFFFF"/>
        </w:rPr>
        <w:t>Gaskell, M., &amp; Smith, R. (2007). Nitrogen sources for organic vegetable crops. </w:t>
      </w:r>
      <w:proofErr w:type="spellStart"/>
      <w:r w:rsidRPr="008D29F0">
        <w:rPr>
          <w:rFonts w:eastAsia="Calibri"/>
          <w:i/>
          <w:iCs/>
          <w:color w:val="222222"/>
          <w:shd w:val="clear" w:color="auto" w:fill="FFFFFF"/>
        </w:rPr>
        <w:t>HortTechnology</w:t>
      </w:r>
      <w:proofErr w:type="spellEnd"/>
      <w:r w:rsidRPr="008D29F0">
        <w:rPr>
          <w:rFonts w:eastAsia="Calibri"/>
          <w:color w:val="222222"/>
          <w:shd w:val="clear" w:color="auto" w:fill="FFFFFF"/>
        </w:rPr>
        <w:t>, </w:t>
      </w:r>
      <w:r w:rsidRPr="008D29F0">
        <w:rPr>
          <w:rFonts w:eastAsia="Calibri"/>
          <w:i/>
          <w:iCs/>
          <w:color w:val="222222"/>
          <w:shd w:val="clear" w:color="auto" w:fill="FFFFFF"/>
        </w:rPr>
        <w:t>17</w:t>
      </w:r>
      <w:r w:rsidRPr="008D29F0">
        <w:rPr>
          <w:rFonts w:eastAsia="Calibri"/>
          <w:color w:val="222222"/>
          <w:shd w:val="clear" w:color="auto" w:fill="FFFFFF"/>
        </w:rPr>
        <w:t xml:space="preserve">(4), 431-441. </w:t>
      </w:r>
      <w:hyperlink r:id="rId16" w:history="1">
        <w:r w:rsidR="00B567DD" w:rsidRPr="008D29F0">
          <w:rPr>
            <w:rFonts w:eastAsia="Calibri"/>
            <w:color w:val="0563C1"/>
            <w:u w:val="single"/>
            <w:shd w:val="clear" w:color="auto" w:fill="FFFFFF"/>
          </w:rPr>
          <w:t>https://doi.org/10.21273/HORTTECH.17.4.431</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proofErr w:type="spellStart"/>
      <w:r w:rsidRPr="008D29F0">
        <w:rPr>
          <w:rFonts w:eastAsia="Calibri"/>
          <w:color w:val="222222"/>
          <w:shd w:val="clear" w:color="auto" w:fill="FFFFFF"/>
        </w:rPr>
        <w:t>Giltrap</w:t>
      </w:r>
      <w:proofErr w:type="spellEnd"/>
      <w:r w:rsidRPr="008D29F0">
        <w:rPr>
          <w:rFonts w:eastAsia="Calibri"/>
          <w:color w:val="222222"/>
          <w:shd w:val="clear" w:color="auto" w:fill="FFFFFF"/>
        </w:rPr>
        <w:t>, D. L., Li, C., &amp; Saggar, S. (2010). DNDC: A process-based model of greenhouse gas fluxes from agricultural soils. </w:t>
      </w:r>
      <w:r w:rsidRPr="008D29F0">
        <w:rPr>
          <w:rFonts w:eastAsia="Calibri"/>
          <w:i/>
          <w:iCs/>
          <w:color w:val="222222"/>
          <w:shd w:val="clear" w:color="auto" w:fill="FFFFFF"/>
        </w:rPr>
        <w:t>Agriculture, ecosystems &amp; environment</w:t>
      </w:r>
      <w:r w:rsidRPr="008D29F0">
        <w:rPr>
          <w:rFonts w:eastAsia="Calibri"/>
          <w:color w:val="222222"/>
          <w:shd w:val="clear" w:color="auto" w:fill="FFFFFF"/>
        </w:rPr>
        <w:t>, </w:t>
      </w:r>
      <w:r w:rsidRPr="008D29F0">
        <w:rPr>
          <w:rFonts w:eastAsia="Calibri"/>
          <w:i/>
          <w:iCs/>
          <w:color w:val="222222"/>
          <w:shd w:val="clear" w:color="auto" w:fill="FFFFFF"/>
        </w:rPr>
        <w:t>136</w:t>
      </w:r>
      <w:r w:rsidRPr="008D29F0">
        <w:rPr>
          <w:rFonts w:eastAsia="Calibri"/>
          <w:color w:val="222222"/>
          <w:shd w:val="clear" w:color="auto" w:fill="FFFFFF"/>
        </w:rPr>
        <w:t xml:space="preserve">(3-4), 292-300. </w:t>
      </w:r>
      <w:hyperlink r:id="rId17" w:history="1">
        <w:r w:rsidRPr="008D29F0">
          <w:rPr>
            <w:rFonts w:eastAsia="Calibri"/>
            <w:color w:val="0563C1"/>
            <w:u w:val="single"/>
            <w:lang w:val="en-US"/>
          </w:rPr>
          <w:t>https://doi.org/10.1016/j.agee.2009.06.014</w:t>
        </w:r>
      </w:hyperlink>
      <w:r w:rsidRPr="008D29F0">
        <w:rPr>
          <w:rFonts w:eastAsia="Calibri"/>
          <w:lang w:val="en-US"/>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r w:rsidRPr="008D29F0">
        <w:rPr>
          <w:rFonts w:eastAsia="Calibri"/>
          <w:color w:val="222222"/>
          <w:shd w:val="clear" w:color="auto" w:fill="FFFFFF"/>
        </w:rPr>
        <w:t>Gross, A., &amp; Glaser, B. (2021). Meta-analysis on how manure application changes soil organic carbon storage. </w:t>
      </w:r>
      <w:r w:rsidRPr="008D29F0">
        <w:rPr>
          <w:rFonts w:eastAsia="Calibri"/>
          <w:i/>
          <w:iCs/>
          <w:color w:val="222222"/>
          <w:shd w:val="clear" w:color="auto" w:fill="FFFFFF"/>
        </w:rPr>
        <w:t>Scientific reports</w:t>
      </w:r>
      <w:r w:rsidRPr="008D29F0">
        <w:rPr>
          <w:rFonts w:eastAsia="Calibri"/>
          <w:color w:val="222222"/>
          <w:shd w:val="clear" w:color="auto" w:fill="FFFFFF"/>
        </w:rPr>
        <w:t>, </w:t>
      </w:r>
      <w:r w:rsidRPr="008D29F0">
        <w:rPr>
          <w:rFonts w:eastAsia="Calibri"/>
          <w:i/>
          <w:iCs/>
          <w:color w:val="222222"/>
          <w:shd w:val="clear" w:color="auto" w:fill="FFFFFF"/>
        </w:rPr>
        <w:t>11</w:t>
      </w:r>
      <w:r w:rsidRPr="008D29F0">
        <w:rPr>
          <w:rFonts w:eastAsia="Calibri"/>
          <w:color w:val="222222"/>
          <w:shd w:val="clear" w:color="auto" w:fill="FFFFFF"/>
        </w:rPr>
        <w:t xml:space="preserve">(1), 5516. </w:t>
      </w:r>
      <w:hyperlink r:id="rId18" w:history="1">
        <w:r w:rsidRPr="008D29F0">
          <w:rPr>
            <w:rFonts w:eastAsia="Calibri"/>
            <w:color w:val="0563C1"/>
            <w:u w:val="single"/>
            <w:lang w:val="en-US"/>
          </w:rPr>
          <w:t>https://doi.org/10.1038/s41598-021-82739-7</w:t>
        </w:r>
      </w:hyperlink>
      <w:r w:rsidRPr="008D29F0">
        <w:rPr>
          <w:rFonts w:eastAsia="Calibri"/>
          <w:lang w:val="en-US"/>
        </w:rPr>
        <w:t xml:space="preserve"> </w:t>
      </w:r>
    </w:p>
    <w:p w:rsidR="00170C08" w:rsidRPr="008D29F0" w:rsidRDefault="00170C08" w:rsidP="00EE66BC">
      <w:pPr>
        <w:pStyle w:val="ListParagraph"/>
        <w:numPr>
          <w:ilvl w:val="0"/>
          <w:numId w:val="3"/>
        </w:numPr>
        <w:rPr>
          <w:rFonts w:eastAsia="Calibri"/>
          <w:color w:val="222222"/>
          <w:shd w:val="clear" w:color="auto" w:fill="FFFFFF"/>
        </w:rPr>
      </w:pPr>
      <w:r w:rsidRPr="008D29F0">
        <w:rPr>
          <w:rFonts w:eastAsia="Calibri"/>
          <w:color w:val="222222"/>
          <w:shd w:val="clear" w:color="auto" w:fill="FFFFFF"/>
        </w:rPr>
        <w:t>Jackson, L. E., Ramirez, I., Yokota, R., Fennimore, S. A., Koike, S. T., Henderson, D. M., ... &amp; Klonsky, K. (2004). On-farm assessment of organic matter and tillage management on vegetable yield, soil, weeds, pests, and economics in California. </w:t>
      </w:r>
      <w:r w:rsidRPr="008D29F0">
        <w:rPr>
          <w:rFonts w:eastAsia="Calibri"/>
          <w:i/>
          <w:iCs/>
          <w:color w:val="222222"/>
          <w:shd w:val="clear" w:color="auto" w:fill="FFFFFF"/>
        </w:rPr>
        <w:t>Agriculture, Ecosystems &amp; Environment</w:t>
      </w:r>
      <w:r w:rsidRPr="008D29F0">
        <w:rPr>
          <w:rFonts w:eastAsia="Calibri"/>
          <w:color w:val="222222"/>
          <w:shd w:val="clear" w:color="auto" w:fill="FFFFFF"/>
        </w:rPr>
        <w:t>, </w:t>
      </w:r>
      <w:r w:rsidRPr="008D29F0">
        <w:rPr>
          <w:rFonts w:eastAsia="Calibri"/>
          <w:i/>
          <w:iCs/>
          <w:color w:val="222222"/>
          <w:shd w:val="clear" w:color="auto" w:fill="FFFFFF"/>
        </w:rPr>
        <w:t>103</w:t>
      </w:r>
      <w:r w:rsidRPr="008D29F0">
        <w:rPr>
          <w:rFonts w:eastAsia="Calibri"/>
          <w:color w:val="222222"/>
          <w:shd w:val="clear" w:color="auto" w:fill="FFFFFF"/>
        </w:rPr>
        <w:t xml:space="preserve">(3), 443-463. </w:t>
      </w:r>
      <w:hyperlink r:id="rId19" w:history="1">
        <w:r w:rsidR="00B567DD" w:rsidRPr="008D29F0">
          <w:rPr>
            <w:rFonts w:eastAsia="Calibri"/>
            <w:color w:val="0563C1"/>
            <w:u w:val="single"/>
            <w:shd w:val="clear" w:color="auto" w:fill="FFFFFF"/>
          </w:rPr>
          <w:t>https://doi.org/10.1016/j.agee.2003.11.013</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proofErr w:type="spellStart"/>
      <w:r w:rsidRPr="008D29F0">
        <w:rPr>
          <w:rFonts w:eastAsia="Calibri"/>
          <w:color w:val="222222"/>
          <w:shd w:val="clear" w:color="auto" w:fill="FFFFFF"/>
        </w:rPr>
        <w:t>Jin</w:t>
      </w:r>
      <w:proofErr w:type="spellEnd"/>
      <w:r w:rsidRPr="008D29F0">
        <w:rPr>
          <w:rFonts w:eastAsia="Calibri"/>
          <w:color w:val="222222"/>
          <w:shd w:val="clear" w:color="auto" w:fill="FFFFFF"/>
        </w:rPr>
        <w:t xml:space="preserve">, N., </w:t>
      </w:r>
      <w:proofErr w:type="spellStart"/>
      <w:r w:rsidRPr="008D29F0">
        <w:rPr>
          <w:rFonts w:eastAsia="Calibri"/>
          <w:color w:val="222222"/>
          <w:shd w:val="clear" w:color="auto" w:fill="FFFFFF"/>
        </w:rPr>
        <w:t>Jin</w:t>
      </w:r>
      <w:proofErr w:type="spellEnd"/>
      <w:r w:rsidRPr="008D29F0">
        <w:rPr>
          <w:rFonts w:eastAsia="Calibri"/>
          <w:color w:val="222222"/>
          <w:shd w:val="clear" w:color="auto" w:fill="FFFFFF"/>
        </w:rPr>
        <w:t>, L., Wang, S., Li, J., Liu, F., Liu, Z., ... &amp; Yu, J. (2022). Reduced chemical fertilizer combined with bio-organic fertilizer affects the soil microbial community and yield and quality of lettuce. </w:t>
      </w:r>
      <w:r w:rsidRPr="008D29F0">
        <w:rPr>
          <w:rFonts w:eastAsia="Calibri"/>
          <w:i/>
          <w:iCs/>
          <w:color w:val="222222"/>
          <w:shd w:val="clear" w:color="auto" w:fill="FFFFFF"/>
        </w:rPr>
        <w:t>Frontiers in Microbiology</w:t>
      </w:r>
      <w:r w:rsidRPr="008D29F0">
        <w:rPr>
          <w:rFonts w:eastAsia="Calibri"/>
          <w:color w:val="222222"/>
          <w:shd w:val="clear" w:color="auto" w:fill="FFFFFF"/>
        </w:rPr>
        <w:t>, </w:t>
      </w:r>
      <w:r w:rsidRPr="008D29F0">
        <w:rPr>
          <w:rFonts w:eastAsia="Calibri"/>
          <w:i/>
          <w:iCs/>
          <w:color w:val="222222"/>
          <w:shd w:val="clear" w:color="auto" w:fill="FFFFFF"/>
        </w:rPr>
        <w:t>13</w:t>
      </w:r>
      <w:r w:rsidRPr="008D29F0">
        <w:rPr>
          <w:rFonts w:eastAsia="Calibri"/>
          <w:color w:val="222222"/>
          <w:shd w:val="clear" w:color="auto" w:fill="FFFFFF"/>
        </w:rPr>
        <w:t xml:space="preserve">, 863325. </w:t>
      </w:r>
      <w:hyperlink r:id="rId20" w:history="1">
        <w:r w:rsidRPr="008D29F0">
          <w:rPr>
            <w:rFonts w:eastAsia="Calibri"/>
            <w:color w:val="0563C1"/>
            <w:u w:val="single"/>
            <w:lang w:val="en-US"/>
          </w:rPr>
          <w:t>https://doi.org/10.3389/fmicb.2022.863325</w:t>
        </w:r>
      </w:hyperlink>
      <w:r w:rsidRPr="008D29F0">
        <w:rPr>
          <w:rFonts w:eastAsia="Calibri"/>
          <w:lang w:val="en-US"/>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r w:rsidRPr="008D29F0">
        <w:rPr>
          <w:rFonts w:eastAsia="Calibri"/>
          <w:color w:val="222222"/>
          <w:shd w:val="clear" w:color="auto" w:fill="FFFFFF"/>
        </w:rPr>
        <w:t xml:space="preserve">Luan, H., Gao, W., Huang, S., Tang, J., Li, M., Zhang, H., ... &amp; </w:t>
      </w:r>
      <w:proofErr w:type="spellStart"/>
      <w:r w:rsidRPr="008D29F0">
        <w:rPr>
          <w:rFonts w:eastAsia="Calibri"/>
          <w:color w:val="222222"/>
          <w:shd w:val="clear" w:color="auto" w:fill="FFFFFF"/>
        </w:rPr>
        <w:t>Masiliūnas</w:t>
      </w:r>
      <w:proofErr w:type="spellEnd"/>
      <w:r w:rsidRPr="008D29F0">
        <w:rPr>
          <w:rFonts w:eastAsia="Calibri"/>
          <w:color w:val="222222"/>
          <w:shd w:val="clear" w:color="auto" w:fill="FFFFFF"/>
        </w:rPr>
        <w:t>, D. (2020a). Substitution of manure for chemical fertilizer affects soil microbial community diversity, structure and function in greenhouse vegetable production systems. </w:t>
      </w:r>
      <w:proofErr w:type="spellStart"/>
      <w:r w:rsidRPr="008D29F0">
        <w:rPr>
          <w:rFonts w:eastAsia="Calibri"/>
          <w:i/>
          <w:iCs/>
          <w:color w:val="222222"/>
          <w:shd w:val="clear" w:color="auto" w:fill="FFFFFF"/>
        </w:rPr>
        <w:t>PLoS</w:t>
      </w:r>
      <w:proofErr w:type="spellEnd"/>
      <w:r w:rsidRPr="008D29F0">
        <w:rPr>
          <w:rFonts w:eastAsia="Calibri"/>
          <w:i/>
          <w:iCs/>
          <w:color w:val="222222"/>
          <w:shd w:val="clear" w:color="auto" w:fill="FFFFFF"/>
        </w:rPr>
        <w:t xml:space="preserve"> One</w:t>
      </w:r>
      <w:r w:rsidRPr="008D29F0">
        <w:rPr>
          <w:rFonts w:eastAsia="Calibri"/>
          <w:color w:val="222222"/>
          <w:shd w:val="clear" w:color="auto" w:fill="FFFFFF"/>
        </w:rPr>
        <w:t>, </w:t>
      </w:r>
      <w:r w:rsidRPr="008D29F0">
        <w:rPr>
          <w:rFonts w:eastAsia="Calibri"/>
          <w:i/>
          <w:iCs/>
          <w:color w:val="222222"/>
          <w:shd w:val="clear" w:color="auto" w:fill="FFFFFF"/>
        </w:rPr>
        <w:t>15</w:t>
      </w:r>
      <w:r w:rsidRPr="008D29F0">
        <w:rPr>
          <w:rFonts w:eastAsia="Calibri"/>
          <w:color w:val="222222"/>
          <w:shd w:val="clear" w:color="auto" w:fill="FFFFFF"/>
        </w:rPr>
        <w:t xml:space="preserve">(2), e0214041. </w:t>
      </w:r>
      <w:hyperlink r:id="rId21" w:history="1">
        <w:r w:rsidRPr="008D29F0">
          <w:rPr>
            <w:rFonts w:eastAsia="Calibri"/>
            <w:color w:val="0563C1"/>
            <w:u w:val="single"/>
            <w:lang w:val="en-US"/>
          </w:rPr>
          <w:t>https://doi.org/10.1371/journal.pone.0214041</w:t>
        </w:r>
      </w:hyperlink>
      <w:r w:rsidRPr="008D29F0">
        <w:rPr>
          <w:rFonts w:eastAsia="Calibri"/>
          <w:lang w:val="en-US"/>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r w:rsidRPr="008D29F0">
        <w:rPr>
          <w:rFonts w:eastAsia="Calibri"/>
          <w:color w:val="222222"/>
          <w:shd w:val="clear" w:color="auto" w:fill="FFFFFF"/>
        </w:rPr>
        <w:lastRenderedPageBreak/>
        <w:t xml:space="preserve">Luan, H., Gao, W., Huang, S., Tang, J., Li, M., Zhang, H., ... &amp; </w:t>
      </w:r>
      <w:proofErr w:type="spellStart"/>
      <w:r w:rsidRPr="008D29F0">
        <w:rPr>
          <w:rFonts w:eastAsia="Calibri"/>
          <w:color w:val="222222"/>
          <w:shd w:val="clear" w:color="auto" w:fill="FFFFFF"/>
        </w:rPr>
        <w:t>Masiliūnas</w:t>
      </w:r>
      <w:proofErr w:type="spellEnd"/>
      <w:r w:rsidRPr="008D29F0">
        <w:rPr>
          <w:rFonts w:eastAsia="Calibri"/>
          <w:color w:val="222222"/>
          <w:shd w:val="clear" w:color="auto" w:fill="FFFFFF"/>
        </w:rPr>
        <w:t>, D. (2020b). Organic amendment increases soil respiration in a greenhouse vegetable production system through decreasing soil organic carbon recalcitrance and increasing carbon-degrading microbial activity. </w:t>
      </w:r>
      <w:r w:rsidRPr="008D29F0">
        <w:rPr>
          <w:rFonts w:eastAsia="Calibri"/>
          <w:i/>
          <w:iCs/>
          <w:color w:val="222222"/>
          <w:shd w:val="clear" w:color="auto" w:fill="FFFFFF"/>
        </w:rPr>
        <w:t>Journal of Soils and Sediments</w:t>
      </w:r>
      <w:r w:rsidRPr="008D29F0">
        <w:rPr>
          <w:rFonts w:eastAsia="Calibri"/>
          <w:color w:val="222222"/>
          <w:shd w:val="clear" w:color="auto" w:fill="FFFFFF"/>
        </w:rPr>
        <w:t>, </w:t>
      </w:r>
      <w:r w:rsidRPr="008D29F0">
        <w:rPr>
          <w:rFonts w:eastAsia="Calibri"/>
          <w:i/>
          <w:iCs/>
          <w:color w:val="222222"/>
          <w:shd w:val="clear" w:color="auto" w:fill="FFFFFF"/>
        </w:rPr>
        <w:t>20</w:t>
      </w:r>
      <w:r w:rsidRPr="008D29F0">
        <w:rPr>
          <w:rFonts w:eastAsia="Calibri"/>
          <w:color w:val="222222"/>
          <w:shd w:val="clear" w:color="auto" w:fill="FFFFFF"/>
        </w:rPr>
        <w:t>(7), 2877-2892.</w:t>
      </w:r>
      <w:r w:rsidRPr="008D29F0">
        <w:rPr>
          <w:rFonts w:eastAsia="Calibri"/>
          <w:lang w:val="en-US"/>
        </w:rPr>
        <w:t xml:space="preserve">  </w:t>
      </w:r>
      <w:hyperlink r:id="rId22" w:history="1">
        <w:r w:rsidRPr="008D29F0">
          <w:rPr>
            <w:rFonts w:eastAsia="Calibri"/>
            <w:color w:val="0563C1"/>
            <w:u w:val="single"/>
            <w:lang w:val="en-US"/>
          </w:rPr>
          <w:t>https://doi.org/10.1007/s11368-020-02625-z</w:t>
        </w:r>
      </w:hyperlink>
      <w:r w:rsidRPr="008D29F0">
        <w:rPr>
          <w:rFonts w:eastAsia="Calibri"/>
          <w:lang w:val="en-US"/>
        </w:rPr>
        <w:t xml:space="preserve"> </w:t>
      </w:r>
    </w:p>
    <w:p w:rsidR="00170C08" w:rsidRPr="008D29F0" w:rsidRDefault="00170C08" w:rsidP="00EE66BC">
      <w:pPr>
        <w:pStyle w:val="ListParagraph"/>
        <w:numPr>
          <w:ilvl w:val="0"/>
          <w:numId w:val="3"/>
        </w:numPr>
        <w:rPr>
          <w:rFonts w:eastAsia="Calibri"/>
          <w:color w:val="222222"/>
          <w:shd w:val="clear" w:color="auto" w:fill="FFFFFF"/>
        </w:rPr>
      </w:pPr>
      <w:r w:rsidRPr="008D29F0">
        <w:rPr>
          <w:rFonts w:eastAsia="Calibri"/>
          <w:color w:val="222222"/>
          <w:shd w:val="clear" w:color="auto" w:fill="FFFFFF"/>
        </w:rPr>
        <w:t xml:space="preserve">Mukherjee, A., Omondi, E. C., </w:t>
      </w:r>
      <w:proofErr w:type="spellStart"/>
      <w:r w:rsidRPr="008D29F0">
        <w:rPr>
          <w:rFonts w:eastAsia="Calibri"/>
          <w:color w:val="222222"/>
          <w:shd w:val="clear" w:color="auto" w:fill="FFFFFF"/>
        </w:rPr>
        <w:t>Hepperly</w:t>
      </w:r>
      <w:proofErr w:type="spellEnd"/>
      <w:r w:rsidRPr="008D29F0">
        <w:rPr>
          <w:rFonts w:eastAsia="Calibri"/>
          <w:color w:val="222222"/>
          <w:shd w:val="clear" w:color="auto" w:fill="FFFFFF"/>
        </w:rPr>
        <w:t>, P. R., Seidel, R., &amp; Heller, W. P. (2020). Impacts of Organic and Conventional Management on the Nutritional Level of Vegetables. </w:t>
      </w:r>
      <w:r w:rsidR="00B567DD" w:rsidRPr="008D29F0">
        <w:rPr>
          <w:rFonts w:eastAsia="Calibri"/>
          <w:i/>
          <w:iCs/>
          <w:color w:val="222222"/>
        </w:rPr>
        <w:t>Sustainability</w:t>
      </w:r>
      <w:r w:rsidRPr="008D29F0">
        <w:rPr>
          <w:rFonts w:eastAsia="Calibri"/>
          <w:color w:val="222222"/>
          <w:shd w:val="clear" w:color="auto" w:fill="FFFFFF"/>
        </w:rPr>
        <w:t>, </w:t>
      </w:r>
      <w:r w:rsidR="00B567DD" w:rsidRPr="008D29F0">
        <w:rPr>
          <w:rFonts w:eastAsia="Calibri"/>
          <w:i/>
          <w:iCs/>
          <w:color w:val="222222"/>
        </w:rPr>
        <w:t>12</w:t>
      </w:r>
      <w:r w:rsidRPr="008D29F0">
        <w:rPr>
          <w:rFonts w:eastAsia="Calibri"/>
          <w:color w:val="222222"/>
          <w:shd w:val="clear" w:color="auto" w:fill="FFFFFF"/>
        </w:rPr>
        <w:t xml:space="preserve">(21), 8965. </w:t>
      </w:r>
      <w:hyperlink r:id="rId23" w:history="1">
        <w:r w:rsidR="00B567DD" w:rsidRPr="008D29F0">
          <w:rPr>
            <w:rFonts w:eastAsia="Calibri"/>
            <w:color w:val="0563C1"/>
            <w:u w:val="single"/>
            <w:shd w:val="clear" w:color="auto" w:fill="FFFFFF"/>
          </w:rPr>
          <w:t>https://doi.org/10.3390/su12218965</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rPr>
          <w:rFonts w:eastAsia="Calibri"/>
          <w:color w:val="222222"/>
          <w:shd w:val="clear" w:color="auto" w:fill="FFFFFF"/>
        </w:rPr>
      </w:pPr>
      <w:proofErr w:type="spellStart"/>
      <w:r w:rsidRPr="008D29F0">
        <w:rPr>
          <w:rFonts w:eastAsia="Calibri"/>
          <w:color w:val="222222"/>
          <w:shd w:val="clear" w:color="auto" w:fill="FFFFFF"/>
        </w:rPr>
        <w:t>Olle</w:t>
      </w:r>
      <w:proofErr w:type="spellEnd"/>
      <w:r w:rsidRPr="008D29F0">
        <w:rPr>
          <w:rFonts w:eastAsia="Calibri"/>
          <w:color w:val="222222"/>
          <w:shd w:val="clear" w:color="auto" w:fill="FFFFFF"/>
        </w:rPr>
        <w:t>, M., &amp; Williams, I. H. (2021). Organic cultivation of vegetables. In </w:t>
      </w:r>
      <w:r w:rsidRPr="008D29F0">
        <w:rPr>
          <w:rFonts w:eastAsia="Calibri"/>
          <w:i/>
          <w:iCs/>
          <w:color w:val="222222"/>
          <w:shd w:val="clear" w:color="auto" w:fill="FFFFFF"/>
        </w:rPr>
        <w:t>Sustainable Agriculture Reviews 52</w:t>
      </w:r>
      <w:r w:rsidRPr="008D29F0">
        <w:rPr>
          <w:rFonts w:eastAsia="Calibri"/>
          <w:color w:val="222222"/>
          <w:shd w:val="clear" w:color="auto" w:fill="FFFFFF"/>
        </w:rPr>
        <w:t xml:space="preserve"> (pp. 1-19). Cham: Springer International Publishing. </w:t>
      </w:r>
      <w:hyperlink r:id="rId24" w:history="1">
        <w:r w:rsidR="00B567DD" w:rsidRPr="008D29F0">
          <w:rPr>
            <w:rFonts w:eastAsia="Calibri"/>
            <w:color w:val="0563C1"/>
            <w:u w:val="single"/>
            <w:shd w:val="clear" w:color="auto" w:fill="FFFFFF"/>
          </w:rPr>
          <w:t>https://doi.org/10.1007/978-3-030-73245-5_1</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rPr>
          <w:rFonts w:eastAsia="Calibri"/>
          <w:color w:val="222222"/>
          <w:shd w:val="clear" w:color="auto" w:fill="FFFFFF"/>
        </w:rPr>
      </w:pPr>
      <w:r w:rsidRPr="008D29F0">
        <w:rPr>
          <w:rFonts w:eastAsia="Calibri"/>
          <w:color w:val="222222"/>
          <w:shd w:val="clear" w:color="auto" w:fill="FFFFFF"/>
        </w:rPr>
        <w:t xml:space="preserve">Padilla, F. M., </w:t>
      </w:r>
      <w:proofErr w:type="spellStart"/>
      <w:r w:rsidRPr="008D29F0">
        <w:rPr>
          <w:rFonts w:eastAsia="Calibri"/>
          <w:color w:val="222222"/>
          <w:shd w:val="clear" w:color="auto" w:fill="FFFFFF"/>
        </w:rPr>
        <w:t>Farneselli</w:t>
      </w:r>
      <w:proofErr w:type="spellEnd"/>
      <w:r w:rsidRPr="008D29F0">
        <w:rPr>
          <w:rFonts w:eastAsia="Calibri"/>
          <w:color w:val="222222"/>
          <w:shd w:val="clear" w:color="auto" w:fill="FFFFFF"/>
        </w:rPr>
        <w:t xml:space="preserve">, M., </w:t>
      </w:r>
      <w:proofErr w:type="spellStart"/>
      <w:r w:rsidRPr="008D29F0">
        <w:rPr>
          <w:rFonts w:eastAsia="Calibri"/>
          <w:color w:val="222222"/>
          <w:shd w:val="clear" w:color="auto" w:fill="FFFFFF"/>
        </w:rPr>
        <w:t>Gianquinto</w:t>
      </w:r>
      <w:proofErr w:type="spellEnd"/>
      <w:r w:rsidRPr="008D29F0">
        <w:rPr>
          <w:rFonts w:eastAsia="Calibri"/>
          <w:color w:val="222222"/>
          <w:shd w:val="clear" w:color="auto" w:fill="FFFFFF"/>
        </w:rPr>
        <w:t xml:space="preserve">, G., </w:t>
      </w:r>
      <w:proofErr w:type="spellStart"/>
      <w:r w:rsidRPr="008D29F0">
        <w:rPr>
          <w:rFonts w:eastAsia="Calibri"/>
          <w:color w:val="222222"/>
          <w:shd w:val="clear" w:color="auto" w:fill="FFFFFF"/>
        </w:rPr>
        <w:t>Tei</w:t>
      </w:r>
      <w:proofErr w:type="spellEnd"/>
      <w:r w:rsidRPr="008D29F0">
        <w:rPr>
          <w:rFonts w:eastAsia="Calibri"/>
          <w:color w:val="222222"/>
          <w:shd w:val="clear" w:color="auto" w:fill="FFFFFF"/>
        </w:rPr>
        <w:t>, F., &amp; Thompson, R. B. (2020). Monitoring nitrogen status of vegetable crops and soils for optimal nitrogen management. </w:t>
      </w:r>
      <w:r w:rsidRPr="008D29F0">
        <w:rPr>
          <w:rFonts w:eastAsia="Calibri"/>
          <w:i/>
          <w:iCs/>
          <w:color w:val="222222"/>
          <w:shd w:val="clear" w:color="auto" w:fill="FFFFFF"/>
        </w:rPr>
        <w:t>Agricultural Water Management</w:t>
      </w:r>
      <w:r w:rsidRPr="008D29F0">
        <w:rPr>
          <w:rFonts w:eastAsia="Calibri"/>
          <w:color w:val="222222"/>
          <w:shd w:val="clear" w:color="auto" w:fill="FFFFFF"/>
        </w:rPr>
        <w:t>, </w:t>
      </w:r>
      <w:r w:rsidRPr="008D29F0">
        <w:rPr>
          <w:rFonts w:eastAsia="Calibri"/>
          <w:i/>
          <w:iCs/>
          <w:color w:val="222222"/>
          <w:shd w:val="clear" w:color="auto" w:fill="FFFFFF"/>
        </w:rPr>
        <w:t>241</w:t>
      </w:r>
      <w:r w:rsidRPr="008D29F0">
        <w:rPr>
          <w:rFonts w:eastAsia="Calibri"/>
          <w:color w:val="222222"/>
          <w:shd w:val="clear" w:color="auto" w:fill="FFFFFF"/>
        </w:rPr>
        <w:t xml:space="preserve">, 106356. </w:t>
      </w:r>
      <w:hyperlink r:id="rId25" w:history="1">
        <w:r w:rsidR="00B567DD" w:rsidRPr="008D29F0">
          <w:rPr>
            <w:rFonts w:eastAsia="Calibri"/>
            <w:color w:val="0563C1"/>
            <w:u w:val="single"/>
            <w:shd w:val="clear" w:color="auto" w:fill="FFFFFF"/>
          </w:rPr>
          <w:t>https://doi.org/10.1016/j.agwat.2020.106356</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proofErr w:type="spellStart"/>
      <w:r w:rsidRPr="008D29F0">
        <w:rPr>
          <w:rFonts w:eastAsia="Calibri"/>
          <w:color w:val="222222"/>
          <w:shd w:val="clear" w:color="auto" w:fill="FFFFFF"/>
        </w:rPr>
        <w:t>Ravishankara</w:t>
      </w:r>
      <w:proofErr w:type="spellEnd"/>
      <w:r w:rsidRPr="008D29F0">
        <w:rPr>
          <w:rFonts w:eastAsia="Calibri"/>
          <w:color w:val="222222"/>
          <w:shd w:val="clear" w:color="auto" w:fill="FFFFFF"/>
        </w:rPr>
        <w:t xml:space="preserve">, A. R., Daniel, J. S., &amp; </w:t>
      </w:r>
      <w:proofErr w:type="spellStart"/>
      <w:r w:rsidRPr="008D29F0">
        <w:rPr>
          <w:rFonts w:eastAsia="Calibri"/>
          <w:color w:val="222222"/>
          <w:shd w:val="clear" w:color="auto" w:fill="FFFFFF"/>
        </w:rPr>
        <w:t>Portmann</w:t>
      </w:r>
      <w:proofErr w:type="spellEnd"/>
      <w:r w:rsidRPr="008D29F0">
        <w:rPr>
          <w:rFonts w:eastAsia="Calibri"/>
          <w:color w:val="222222"/>
          <w:shd w:val="clear" w:color="auto" w:fill="FFFFFF"/>
        </w:rPr>
        <w:t>, R. W. (2009). Nitrous oxide (N2O): the dominant ozone-depleting substance emitted in the 21st century. </w:t>
      </w:r>
      <w:r w:rsidRPr="008D29F0">
        <w:rPr>
          <w:rFonts w:eastAsia="Calibri"/>
          <w:i/>
          <w:iCs/>
          <w:color w:val="222222"/>
          <w:shd w:val="clear" w:color="auto" w:fill="FFFFFF"/>
        </w:rPr>
        <w:t>science</w:t>
      </w:r>
      <w:r w:rsidRPr="008D29F0">
        <w:rPr>
          <w:rFonts w:eastAsia="Calibri"/>
          <w:color w:val="222222"/>
          <w:shd w:val="clear" w:color="auto" w:fill="FFFFFF"/>
        </w:rPr>
        <w:t>, </w:t>
      </w:r>
      <w:r w:rsidRPr="008D29F0">
        <w:rPr>
          <w:rFonts w:eastAsia="Calibri"/>
          <w:i/>
          <w:iCs/>
          <w:color w:val="222222"/>
          <w:shd w:val="clear" w:color="auto" w:fill="FFFFFF"/>
        </w:rPr>
        <w:t>326</w:t>
      </w:r>
      <w:r w:rsidRPr="008D29F0">
        <w:rPr>
          <w:rFonts w:eastAsia="Calibri"/>
          <w:color w:val="222222"/>
          <w:shd w:val="clear" w:color="auto" w:fill="FFFFFF"/>
        </w:rPr>
        <w:t xml:space="preserve">(5949), 123-125. </w:t>
      </w:r>
      <w:hyperlink r:id="rId26" w:history="1">
        <w:r w:rsidRPr="008D29F0">
          <w:rPr>
            <w:rFonts w:eastAsia="Calibri"/>
            <w:color w:val="0563C1"/>
            <w:u w:val="single"/>
            <w:lang w:val="en-US"/>
          </w:rPr>
          <w:t>https://doi.org/10.1126/science.1176985</w:t>
        </w:r>
      </w:hyperlink>
      <w:r w:rsidRPr="008D29F0">
        <w:rPr>
          <w:rFonts w:eastAsia="Calibri"/>
          <w:lang w:val="en-US"/>
        </w:rPr>
        <w:t xml:space="preserve"> </w:t>
      </w:r>
    </w:p>
    <w:p w:rsidR="00170C08" w:rsidRPr="008D29F0" w:rsidRDefault="00170C08" w:rsidP="00EE66BC">
      <w:pPr>
        <w:pStyle w:val="ListParagraph"/>
        <w:numPr>
          <w:ilvl w:val="0"/>
          <w:numId w:val="3"/>
        </w:numPr>
        <w:rPr>
          <w:rFonts w:eastAsia="Calibri"/>
          <w:color w:val="222222"/>
          <w:shd w:val="clear" w:color="auto" w:fill="FFFFFF"/>
        </w:rPr>
      </w:pPr>
      <w:r w:rsidRPr="008D29F0">
        <w:rPr>
          <w:rFonts w:eastAsia="Calibri"/>
          <w:color w:val="222222"/>
          <w:shd w:val="clear" w:color="auto" w:fill="FFFFFF"/>
        </w:rPr>
        <w:t>Shubha, K., Singh, N. R., Mukherjee, A., Dubey, A. K., &amp; Ray, R. K. (2021). Organic vegetable production and its impact on soil, environment and society. In </w:t>
      </w:r>
      <w:r w:rsidRPr="008D29F0">
        <w:rPr>
          <w:rFonts w:eastAsia="Calibri"/>
          <w:i/>
          <w:iCs/>
          <w:color w:val="222222"/>
          <w:shd w:val="clear" w:color="auto" w:fill="FFFFFF"/>
        </w:rPr>
        <w:t>Advances in Organic Farming</w:t>
      </w:r>
      <w:r w:rsidRPr="008D29F0">
        <w:rPr>
          <w:rFonts w:eastAsia="Calibri"/>
          <w:color w:val="222222"/>
          <w:shd w:val="clear" w:color="auto" w:fill="FFFFFF"/>
        </w:rPr>
        <w:t xml:space="preserve"> (pp. 191-208). Woodhead Publishing. </w:t>
      </w:r>
      <w:hyperlink r:id="rId27" w:history="1">
        <w:r w:rsidR="00B567DD" w:rsidRPr="008D29F0">
          <w:rPr>
            <w:rFonts w:eastAsia="Calibri"/>
            <w:color w:val="0563C1"/>
            <w:u w:val="single"/>
            <w:shd w:val="clear" w:color="auto" w:fill="FFFFFF"/>
          </w:rPr>
          <w:t>https://doi.org/10.1016/B978-0-12-822358-1.00008-0</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proofErr w:type="spellStart"/>
      <w:r w:rsidRPr="008D29F0">
        <w:rPr>
          <w:rFonts w:eastAsia="Calibri"/>
          <w:color w:val="222222"/>
          <w:shd w:val="clear" w:color="auto" w:fill="FFFFFF"/>
        </w:rPr>
        <w:t>Tei</w:t>
      </w:r>
      <w:proofErr w:type="spellEnd"/>
      <w:r w:rsidRPr="008D29F0">
        <w:rPr>
          <w:rFonts w:eastAsia="Calibri"/>
          <w:color w:val="222222"/>
          <w:shd w:val="clear" w:color="auto" w:fill="FFFFFF"/>
        </w:rPr>
        <w:t xml:space="preserve">, F., De Neve, S., de </w:t>
      </w:r>
      <w:proofErr w:type="spellStart"/>
      <w:r w:rsidRPr="008D29F0">
        <w:rPr>
          <w:rFonts w:eastAsia="Calibri"/>
          <w:color w:val="222222"/>
          <w:shd w:val="clear" w:color="auto" w:fill="FFFFFF"/>
        </w:rPr>
        <w:t>Haan</w:t>
      </w:r>
      <w:proofErr w:type="spellEnd"/>
      <w:r w:rsidRPr="008D29F0">
        <w:rPr>
          <w:rFonts w:eastAsia="Calibri"/>
          <w:color w:val="222222"/>
          <w:shd w:val="clear" w:color="auto" w:fill="FFFFFF"/>
        </w:rPr>
        <w:t>, J., &amp; Kristensen, H. L. (2020). Nitrogen management of vegetable crops. </w:t>
      </w:r>
      <w:r w:rsidRPr="008D29F0">
        <w:rPr>
          <w:rFonts w:eastAsia="Calibri"/>
          <w:i/>
          <w:iCs/>
          <w:color w:val="222222"/>
          <w:shd w:val="clear" w:color="auto" w:fill="FFFFFF"/>
        </w:rPr>
        <w:t>Agricultural Water Management</w:t>
      </w:r>
      <w:r w:rsidRPr="008D29F0">
        <w:rPr>
          <w:rFonts w:eastAsia="Calibri"/>
          <w:color w:val="222222"/>
          <w:shd w:val="clear" w:color="auto" w:fill="FFFFFF"/>
        </w:rPr>
        <w:t>, </w:t>
      </w:r>
      <w:r w:rsidRPr="008D29F0">
        <w:rPr>
          <w:rFonts w:eastAsia="Calibri"/>
          <w:i/>
          <w:iCs/>
          <w:color w:val="222222"/>
          <w:shd w:val="clear" w:color="auto" w:fill="FFFFFF"/>
        </w:rPr>
        <w:t>240</w:t>
      </w:r>
      <w:r w:rsidRPr="008D29F0">
        <w:rPr>
          <w:rFonts w:eastAsia="Calibri"/>
          <w:color w:val="222222"/>
          <w:shd w:val="clear" w:color="auto" w:fill="FFFFFF"/>
        </w:rPr>
        <w:t xml:space="preserve">, 106316. </w:t>
      </w:r>
      <w:hyperlink r:id="rId28" w:history="1">
        <w:r w:rsidRPr="008D29F0">
          <w:rPr>
            <w:rFonts w:eastAsia="Calibri"/>
            <w:color w:val="0563C1"/>
            <w:u w:val="single"/>
            <w:lang w:val="en-US"/>
          </w:rPr>
          <w:t>https://doi.org/10.1016/j.agwat.2020.106316</w:t>
        </w:r>
      </w:hyperlink>
      <w:r w:rsidRPr="008D29F0">
        <w:rPr>
          <w:rFonts w:eastAsia="Calibri"/>
          <w:lang w:val="en-US"/>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r w:rsidRPr="008D29F0">
        <w:rPr>
          <w:rFonts w:eastAsia="Calibri"/>
          <w:color w:val="222222"/>
          <w:shd w:val="clear" w:color="auto" w:fill="FFFFFF"/>
        </w:rPr>
        <w:t xml:space="preserve">Thompson, R. B., Gallardo, M., &amp; </w:t>
      </w:r>
      <w:proofErr w:type="spellStart"/>
      <w:r w:rsidRPr="008D29F0">
        <w:rPr>
          <w:rFonts w:eastAsia="Calibri"/>
          <w:color w:val="222222"/>
          <w:shd w:val="clear" w:color="auto" w:fill="FFFFFF"/>
        </w:rPr>
        <w:t>Voogt</w:t>
      </w:r>
      <w:proofErr w:type="spellEnd"/>
      <w:r w:rsidRPr="008D29F0">
        <w:rPr>
          <w:rFonts w:eastAsia="Calibri"/>
          <w:color w:val="222222"/>
          <w:shd w:val="clear" w:color="auto" w:fill="FFFFFF"/>
        </w:rPr>
        <w:t>, W. (2014). Optimizing nitrogen and water inputs for greenhouse vegetable production. In </w:t>
      </w:r>
      <w:r w:rsidRPr="008D29F0">
        <w:rPr>
          <w:rFonts w:eastAsia="Calibri"/>
          <w:i/>
          <w:iCs/>
          <w:color w:val="222222"/>
          <w:shd w:val="clear" w:color="auto" w:fill="FFFFFF"/>
        </w:rPr>
        <w:t>XXIX International Horticultural Congress on Horticulture: Sustaining Lives, Livelihoods and Landscapes (IHC2014): 1107</w:t>
      </w:r>
      <w:r w:rsidRPr="008D29F0">
        <w:rPr>
          <w:rFonts w:eastAsia="Calibri"/>
          <w:color w:val="222222"/>
          <w:shd w:val="clear" w:color="auto" w:fill="FFFFFF"/>
        </w:rPr>
        <w:t xml:space="preserve"> (pp. 15-30). </w:t>
      </w:r>
      <w:hyperlink r:id="rId29" w:history="1">
        <w:r w:rsidRPr="008D29F0">
          <w:rPr>
            <w:rFonts w:eastAsia="Calibri"/>
            <w:color w:val="0563C1"/>
            <w:u w:val="single"/>
            <w:lang w:val="en-US"/>
          </w:rPr>
          <w:t>https://doi.org/10.17660/ActaHortic.2015.1107.2</w:t>
        </w:r>
      </w:hyperlink>
      <w:r w:rsidRPr="008D29F0">
        <w:rPr>
          <w:rFonts w:eastAsia="Calibri"/>
          <w:lang w:val="en-US"/>
        </w:rPr>
        <w:t xml:space="preserve"> </w:t>
      </w:r>
    </w:p>
    <w:p w:rsidR="00170C08" w:rsidRPr="008D29F0" w:rsidRDefault="00170C08" w:rsidP="00EE66BC">
      <w:pPr>
        <w:pStyle w:val="ListParagraph"/>
        <w:numPr>
          <w:ilvl w:val="0"/>
          <w:numId w:val="3"/>
        </w:numPr>
        <w:rPr>
          <w:rFonts w:eastAsia="Calibri"/>
          <w:color w:val="222222"/>
          <w:shd w:val="clear" w:color="auto" w:fill="FFFFFF"/>
        </w:rPr>
      </w:pPr>
      <w:r w:rsidRPr="008D29F0">
        <w:rPr>
          <w:rFonts w:eastAsia="Calibri"/>
          <w:color w:val="222222"/>
          <w:shd w:val="clear" w:color="auto" w:fill="FFFFFF"/>
        </w:rPr>
        <w:t>Thompson, R. B., Tremblay, N., Fink, M., Gallardo, M., &amp; Padilla, F. M. (2017). Tools and strategies for sustainable nitrogen fertilisation of vegetable crops. In </w:t>
      </w:r>
      <w:r w:rsidRPr="008D29F0">
        <w:rPr>
          <w:rFonts w:eastAsia="Calibri"/>
          <w:i/>
          <w:iCs/>
          <w:color w:val="222222"/>
          <w:shd w:val="clear" w:color="auto" w:fill="FFFFFF"/>
        </w:rPr>
        <w:t>Advances in research on fertilization management of vegetable crops</w:t>
      </w:r>
      <w:r w:rsidRPr="008D29F0">
        <w:rPr>
          <w:rFonts w:eastAsia="Calibri"/>
          <w:color w:val="222222"/>
          <w:shd w:val="clear" w:color="auto" w:fill="FFFFFF"/>
        </w:rPr>
        <w:t xml:space="preserve"> (pp. 11-63). Cham: Springer International Publishing. </w:t>
      </w:r>
      <w:hyperlink r:id="rId30" w:history="1">
        <w:r w:rsidR="00B567DD" w:rsidRPr="008D29F0">
          <w:rPr>
            <w:rFonts w:eastAsia="Calibri"/>
            <w:color w:val="0563C1"/>
            <w:u w:val="single"/>
            <w:shd w:val="clear" w:color="auto" w:fill="FFFFFF"/>
          </w:rPr>
          <w:t>https://doi.org/10.1007/978-3-319-53626-2_2</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rPr>
          <w:rFonts w:eastAsia="Calibri"/>
          <w:color w:val="222222"/>
          <w:shd w:val="clear" w:color="auto" w:fill="FFFFFF"/>
        </w:rPr>
      </w:pPr>
      <w:r w:rsidRPr="008D29F0">
        <w:rPr>
          <w:rFonts w:eastAsia="Calibri"/>
          <w:color w:val="222222"/>
          <w:shd w:val="clear" w:color="auto" w:fill="FFFFFF"/>
        </w:rPr>
        <w:t>Valenzuela, H. (2024). Optimizing the nitrogen use efficiency in vegetable crops. </w:t>
      </w:r>
      <w:r w:rsidRPr="008D29F0">
        <w:rPr>
          <w:rFonts w:eastAsia="Calibri"/>
          <w:i/>
          <w:iCs/>
          <w:color w:val="222222"/>
          <w:shd w:val="clear" w:color="auto" w:fill="FFFFFF"/>
        </w:rPr>
        <w:t>Nitrogen</w:t>
      </w:r>
      <w:r w:rsidRPr="008D29F0">
        <w:rPr>
          <w:rFonts w:eastAsia="Calibri"/>
          <w:color w:val="222222"/>
          <w:shd w:val="clear" w:color="auto" w:fill="FFFFFF"/>
        </w:rPr>
        <w:t>, </w:t>
      </w:r>
      <w:r w:rsidRPr="008D29F0">
        <w:rPr>
          <w:rFonts w:eastAsia="Calibri"/>
          <w:i/>
          <w:iCs/>
          <w:color w:val="222222"/>
          <w:shd w:val="clear" w:color="auto" w:fill="FFFFFF"/>
        </w:rPr>
        <w:t>5</w:t>
      </w:r>
      <w:r w:rsidRPr="008D29F0">
        <w:rPr>
          <w:rFonts w:eastAsia="Calibri"/>
          <w:color w:val="222222"/>
          <w:shd w:val="clear" w:color="auto" w:fill="FFFFFF"/>
        </w:rPr>
        <w:t xml:space="preserve">(1), 106-143. </w:t>
      </w:r>
      <w:hyperlink r:id="rId31" w:history="1">
        <w:r w:rsidR="00B567DD" w:rsidRPr="008D29F0">
          <w:rPr>
            <w:rFonts w:eastAsia="Calibri"/>
            <w:color w:val="0563C1"/>
            <w:u w:val="single"/>
            <w:shd w:val="clear" w:color="auto" w:fill="FFFFFF"/>
          </w:rPr>
          <w:t>https://doi.org/10.3390/nitrogen5010008</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rPr>
          <w:rFonts w:eastAsia="Calibri"/>
          <w:color w:val="222222"/>
          <w:shd w:val="clear" w:color="auto" w:fill="FFFFFF"/>
        </w:rPr>
      </w:pPr>
      <w:proofErr w:type="spellStart"/>
      <w:r w:rsidRPr="008D29F0">
        <w:rPr>
          <w:rFonts w:eastAsia="Calibri"/>
          <w:color w:val="222222"/>
          <w:shd w:val="clear" w:color="auto" w:fill="FFFFFF"/>
        </w:rPr>
        <w:t>Willekens</w:t>
      </w:r>
      <w:proofErr w:type="spellEnd"/>
      <w:r w:rsidRPr="008D29F0">
        <w:rPr>
          <w:rFonts w:eastAsia="Calibri"/>
          <w:color w:val="222222"/>
          <w:shd w:val="clear" w:color="auto" w:fill="FFFFFF"/>
        </w:rPr>
        <w:t xml:space="preserve">, K., </w:t>
      </w:r>
      <w:proofErr w:type="spellStart"/>
      <w:r w:rsidRPr="008D29F0">
        <w:rPr>
          <w:rFonts w:eastAsia="Calibri"/>
          <w:color w:val="222222"/>
          <w:shd w:val="clear" w:color="auto" w:fill="FFFFFF"/>
        </w:rPr>
        <w:t>Vandecasteele</w:t>
      </w:r>
      <w:proofErr w:type="spellEnd"/>
      <w:r w:rsidRPr="008D29F0">
        <w:rPr>
          <w:rFonts w:eastAsia="Calibri"/>
          <w:color w:val="222222"/>
          <w:shd w:val="clear" w:color="auto" w:fill="FFFFFF"/>
        </w:rPr>
        <w:t>, B., Buchan, D., &amp; De Neve, S. (2014). Soil quality is positively affected by reduced tillage and compost in an intensive vegetable cropping system. </w:t>
      </w:r>
      <w:r w:rsidRPr="008D29F0">
        <w:rPr>
          <w:rFonts w:eastAsia="Calibri"/>
          <w:i/>
          <w:iCs/>
          <w:color w:val="222222"/>
          <w:shd w:val="clear" w:color="auto" w:fill="FFFFFF"/>
        </w:rPr>
        <w:t>Applied Soil Ecology</w:t>
      </w:r>
      <w:r w:rsidRPr="008D29F0">
        <w:rPr>
          <w:rFonts w:eastAsia="Calibri"/>
          <w:color w:val="222222"/>
          <w:shd w:val="clear" w:color="auto" w:fill="FFFFFF"/>
        </w:rPr>
        <w:t>, </w:t>
      </w:r>
      <w:r w:rsidRPr="008D29F0">
        <w:rPr>
          <w:rFonts w:eastAsia="Calibri"/>
          <w:i/>
          <w:iCs/>
          <w:color w:val="222222"/>
          <w:shd w:val="clear" w:color="auto" w:fill="FFFFFF"/>
        </w:rPr>
        <w:t>82</w:t>
      </w:r>
      <w:r w:rsidRPr="008D29F0">
        <w:rPr>
          <w:rFonts w:eastAsia="Calibri"/>
          <w:color w:val="222222"/>
          <w:shd w:val="clear" w:color="auto" w:fill="FFFFFF"/>
        </w:rPr>
        <w:t xml:space="preserve">, 61-71. </w:t>
      </w:r>
      <w:hyperlink r:id="rId32" w:history="1">
        <w:r w:rsidR="00B567DD" w:rsidRPr="008D29F0">
          <w:rPr>
            <w:rFonts w:eastAsia="Calibri"/>
            <w:color w:val="0563C1"/>
            <w:u w:val="single"/>
            <w:shd w:val="clear" w:color="auto" w:fill="FFFFFF"/>
          </w:rPr>
          <w:t>https://doi.org/10.1016/j.apsoil.2014.05.009</w:t>
        </w:r>
      </w:hyperlink>
      <w:r w:rsidRPr="008D29F0">
        <w:rPr>
          <w:rFonts w:eastAsia="Calibri"/>
          <w:color w:val="222222"/>
          <w:shd w:val="clear" w:color="auto" w:fill="FFFFFF"/>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r w:rsidRPr="008D29F0">
        <w:rPr>
          <w:rFonts w:eastAsia="Calibri"/>
          <w:color w:val="222222"/>
          <w:shd w:val="clear" w:color="auto" w:fill="FFFFFF"/>
        </w:rPr>
        <w:t>Zhang, J., Li, H., Deng, J., &amp; Wang, L. (2021). Assessing impacts of nitrogen management on nitrous oxide emissions and nitrate leaching from greenhouse vegetable systems using a biogeochemical model. </w:t>
      </w:r>
      <w:proofErr w:type="spellStart"/>
      <w:r w:rsidRPr="008D29F0">
        <w:rPr>
          <w:rFonts w:eastAsia="Calibri"/>
          <w:i/>
          <w:iCs/>
          <w:color w:val="222222"/>
          <w:shd w:val="clear" w:color="auto" w:fill="FFFFFF"/>
        </w:rPr>
        <w:t>Geoderma</w:t>
      </w:r>
      <w:proofErr w:type="spellEnd"/>
      <w:r w:rsidRPr="008D29F0">
        <w:rPr>
          <w:rFonts w:eastAsia="Calibri"/>
          <w:color w:val="222222"/>
          <w:shd w:val="clear" w:color="auto" w:fill="FFFFFF"/>
        </w:rPr>
        <w:t>, </w:t>
      </w:r>
      <w:r w:rsidRPr="008D29F0">
        <w:rPr>
          <w:rFonts w:eastAsia="Calibri"/>
          <w:i/>
          <w:iCs/>
          <w:color w:val="222222"/>
          <w:shd w:val="clear" w:color="auto" w:fill="FFFFFF"/>
        </w:rPr>
        <w:t>382</w:t>
      </w:r>
      <w:r w:rsidRPr="008D29F0">
        <w:rPr>
          <w:rFonts w:eastAsia="Calibri"/>
          <w:color w:val="222222"/>
          <w:shd w:val="clear" w:color="auto" w:fill="FFFFFF"/>
        </w:rPr>
        <w:t xml:space="preserve">, 114701. </w:t>
      </w:r>
      <w:hyperlink r:id="rId33" w:history="1">
        <w:r w:rsidRPr="008D29F0">
          <w:rPr>
            <w:rFonts w:eastAsia="Calibri"/>
            <w:color w:val="0563C1"/>
            <w:u w:val="single"/>
            <w:lang w:val="en-US"/>
          </w:rPr>
          <w:t>https://doi.org/10.1016/j.geoderma.2020.114701</w:t>
        </w:r>
      </w:hyperlink>
      <w:r w:rsidRPr="008D29F0">
        <w:rPr>
          <w:rFonts w:eastAsia="Calibri"/>
          <w:lang w:val="en-US"/>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r w:rsidRPr="008D29F0">
        <w:rPr>
          <w:rFonts w:eastAsia="Calibri"/>
          <w:color w:val="222222"/>
          <w:shd w:val="clear" w:color="auto" w:fill="FFFFFF"/>
        </w:rPr>
        <w:t>Zhang, Y. J., Wei, G. A. O., ZHANG, H. Z., &amp; HUANG, S. W. (2022). Effects of a decade of organic fertilizer substitution on vegetable yield and soil phosphorus pools, phosphatase activities, and the microbial community in a greenhouse vegetable production system. </w:t>
      </w:r>
      <w:r w:rsidRPr="008D29F0">
        <w:rPr>
          <w:rFonts w:eastAsia="Calibri"/>
          <w:i/>
          <w:iCs/>
          <w:color w:val="222222"/>
          <w:shd w:val="clear" w:color="auto" w:fill="FFFFFF"/>
        </w:rPr>
        <w:t>Journal of Integrative Agriculture</w:t>
      </w:r>
      <w:r w:rsidRPr="008D29F0">
        <w:rPr>
          <w:rFonts w:eastAsia="Calibri"/>
          <w:color w:val="222222"/>
          <w:shd w:val="clear" w:color="auto" w:fill="FFFFFF"/>
        </w:rPr>
        <w:t>, </w:t>
      </w:r>
      <w:r w:rsidRPr="008D29F0">
        <w:rPr>
          <w:rFonts w:eastAsia="Calibri"/>
          <w:i/>
          <w:iCs/>
          <w:color w:val="222222"/>
          <w:shd w:val="clear" w:color="auto" w:fill="FFFFFF"/>
        </w:rPr>
        <w:t>21</w:t>
      </w:r>
      <w:r w:rsidRPr="008D29F0">
        <w:rPr>
          <w:rFonts w:eastAsia="Calibri"/>
          <w:color w:val="222222"/>
          <w:shd w:val="clear" w:color="auto" w:fill="FFFFFF"/>
        </w:rPr>
        <w:t xml:space="preserve">(7), 2119-2133. </w:t>
      </w:r>
      <w:hyperlink r:id="rId34" w:history="1">
        <w:r w:rsidRPr="008D29F0">
          <w:rPr>
            <w:rFonts w:eastAsia="Calibri"/>
            <w:color w:val="0563C1"/>
            <w:u w:val="single"/>
            <w:lang w:val="en-US"/>
          </w:rPr>
          <w:t>https://doi.org/10.1016/S2095-3119(21)63715-2</w:t>
        </w:r>
      </w:hyperlink>
      <w:r w:rsidRPr="008D29F0">
        <w:rPr>
          <w:rFonts w:eastAsia="Calibri"/>
          <w:lang w:val="en-US"/>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r w:rsidRPr="008D29F0">
        <w:rPr>
          <w:rFonts w:eastAsia="Calibri"/>
          <w:color w:val="222222"/>
          <w:shd w:val="clear" w:color="auto" w:fill="FFFFFF"/>
        </w:rPr>
        <w:t>Zhou, P., Bai, X., Wang, H., Yang, M., Bao, L., Deng, X., ... &amp; Zhou, J. (2023). Optimizing nitrogen and water management for sustainable greenhouse vegetable production with less greenhouse gas emissions. </w:t>
      </w:r>
      <w:r w:rsidRPr="008D29F0">
        <w:rPr>
          <w:rFonts w:eastAsia="Calibri"/>
          <w:i/>
          <w:iCs/>
          <w:color w:val="222222"/>
          <w:shd w:val="clear" w:color="auto" w:fill="FFFFFF"/>
        </w:rPr>
        <w:t>Agriculture, Ecosystems &amp; Environment</w:t>
      </w:r>
      <w:r w:rsidRPr="008D29F0">
        <w:rPr>
          <w:rFonts w:eastAsia="Calibri"/>
          <w:color w:val="222222"/>
          <w:shd w:val="clear" w:color="auto" w:fill="FFFFFF"/>
        </w:rPr>
        <w:t>, </w:t>
      </w:r>
      <w:r w:rsidRPr="008D29F0">
        <w:rPr>
          <w:rFonts w:eastAsia="Calibri"/>
          <w:i/>
          <w:iCs/>
          <w:color w:val="222222"/>
          <w:shd w:val="clear" w:color="auto" w:fill="FFFFFF"/>
        </w:rPr>
        <w:t>352</w:t>
      </w:r>
      <w:r w:rsidRPr="008D29F0">
        <w:rPr>
          <w:rFonts w:eastAsia="Calibri"/>
          <w:color w:val="222222"/>
          <w:shd w:val="clear" w:color="auto" w:fill="FFFFFF"/>
        </w:rPr>
        <w:t xml:space="preserve">, 108529. </w:t>
      </w:r>
      <w:hyperlink r:id="rId35" w:history="1">
        <w:r w:rsidRPr="008D29F0">
          <w:rPr>
            <w:rFonts w:eastAsia="Calibri"/>
            <w:color w:val="0563C1"/>
            <w:u w:val="single"/>
            <w:lang w:val="en-US"/>
          </w:rPr>
          <w:t>https://doi.org/10.1016/j.agee.2023.108529</w:t>
        </w:r>
      </w:hyperlink>
      <w:r w:rsidRPr="008D29F0">
        <w:rPr>
          <w:rFonts w:eastAsia="Calibri"/>
          <w:lang w:val="en-US"/>
        </w:rPr>
        <w:t xml:space="preserve"> </w:t>
      </w:r>
    </w:p>
    <w:p w:rsidR="00170C08" w:rsidRPr="008D29F0" w:rsidRDefault="00170C08" w:rsidP="00EE66BC">
      <w:pPr>
        <w:pStyle w:val="ListParagraph"/>
        <w:numPr>
          <w:ilvl w:val="0"/>
          <w:numId w:val="3"/>
        </w:numPr>
        <w:spacing w:before="100" w:beforeAutospacing="1" w:after="100" w:afterAutospacing="1" w:line="240" w:lineRule="auto"/>
        <w:rPr>
          <w:rFonts w:eastAsia="Calibri"/>
          <w:lang w:val="en-US"/>
        </w:rPr>
      </w:pPr>
      <w:r w:rsidRPr="008D29F0">
        <w:rPr>
          <w:rFonts w:eastAsia="Calibri"/>
          <w:color w:val="222222"/>
          <w:shd w:val="clear" w:color="auto" w:fill="FFFFFF"/>
        </w:rPr>
        <w:lastRenderedPageBreak/>
        <w:t xml:space="preserve">Zhou, S., Chang, T., Zhang, Y., </w:t>
      </w:r>
      <w:proofErr w:type="spellStart"/>
      <w:r w:rsidRPr="008D29F0">
        <w:rPr>
          <w:rFonts w:eastAsia="Calibri"/>
          <w:color w:val="222222"/>
          <w:shd w:val="clear" w:color="auto" w:fill="FFFFFF"/>
        </w:rPr>
        <w:t>Shaghaleh</w:t>
      </w:r>
      <w:proofErr w:type="spellEnd"/>
      <w:r w:rsidRPr="008D29F0">
        <w:rPr>
          <w:rFonts w:eastAsia="Calibri"/>
          <w:color w:val="222222"/>
          <w:shd w:val="clear" w:color="auto" w:fill="FFFFFF"/>
        </w:rPr>
        <w:t>, H., Zhang, J., Yang, X., ... &amp; Hamoud, Y. A. (2024). Organic fertilizer compost alters the microbial composition and network structure in strongly acidic soil. </w:t>
      </w:r>
      <w:r w:rsidRPr="008D29F0">
        <w:rPr>
          <w:rFonts w:eastAsia="Calibri"/>
          <w:i/>
          <w:iCs/>
          <w:color w:val="222222"/>
          <w:shd w:val="clear" w:color="auto" w:fill="FFFFFF"/>
        </w:rPr>
        <w:t>Applied Soil Ecology</w:t>
      </w:r>
      <w:r w:rsidRPr="008D29F0">
        <w:rPr>
          <w:rFonts w:eastAsia="Calibri"/>
          <w:color w:val="222222"/>
          <w:shd w:val="clear" w:color="auto" w:fill="FFFFFF"/>
        </w:rPr>
        <w:t>, </w:t>
      </w:r>
      <w:r w:rsidRPr="008D29F0">
        <w:rPr>
          <w:rFonts w:eastAsia="Calibri"/>
          <w:i/>
          <w:iCs/>
          <w:color w:val="222222"/>
          <w:shd w:val="clear" w:color="auto" w:fill="FFFFFF"/>
        </w:rPr>
        <w:t>195</w:t>
      </w:r>
      <w:r w:rsidRPr="008D29F0">
        <w:rPr>
          <w:rFonts w:eastAsia="Calibri"/>
          <w:color w:val="222222"/>
          <w:shd w:val="clear" w:color="auto" w:fill="FFFFFF"/>
        </w:rPr>
        <w:t xml:space="preserve">, 105263. </w:t>
      </w:r>
      <w:hyperlink r:id="rId36" w:history="1">
        <w:r w:rsidRPr="008D29F0">
          <w:rPr>
            <w:rFonts w:eastAsia="Calibri"/>
            <w:color w:val="0563C1"/>
            <w:u w:val="single"/>
            <w:lang w:val="en-US"/>
          </w:rPr>
          <w:t>https://doi.org/10.1016/j.apsoil.2023.105263</w:t>
        </w:r>
      </w:hyperlink>
      <w:r w:rsidRPr="008D29F0">
        <w:rPr>
          <w:rFonts w:eastAsia="Calibri"/>
          <w:lang w:val="en-US"/>
        </w:rPr>
        <w:t xml:space="preserve"> </w:t>
      </w:r>
    </w:p>
    <w:p w:rsidR="00423B71" w:rsidRPr="008D29F0" w:rsidRDefault="00423B71" w:rsidP="00EE66BC">
      <w:pPr>
        <w:pStyle w:val="ListParagraph"/>
        <w:numPr>
          <w:ilvl w:val="0"/>
          <w:numId w:val="3"/>
        </w:numPr>
        <w:spacing w:before="100" w:beforeAutospacing="1" w:after="100" w:afterAutospacing="1" w:line="240" w:lineRule="auto"/>
        <w:rPr>
          <w:rFonts w:eastAsia="Calibri"/>
          <w:highlight w:val="yellow"/>
          <w:lang w:val="en-US"/>
        </w:rPr>
      </w:pPr>
      <w:r w:rsidRPr="008D29F0">
        <w:rPr>
          <w:rFonts w:eastAsia="Calibri"/>
          <w:highlight w:val="yellow"/>
          <w:lang w:val="en-US"/>
        </w:rPr>
        <w:t xml:space="preserve">Paramesh, V., Mohan Kumar, R., </w:t>
      </w:r>
      <w:proofErr w:type="spellStart"/>
      <w:r w:rsidRPr="008D29F0">
        <w:rPr>
          <w:rFonts w:eastAsia="Calibri"/>
          <w:highlight w:val="yellow"/>
          <w:lang w:val="en-US"/>
        </w:rPr>
        <w:t>Rajanna</w:t>
      </w:r>
      <w:proofErr w:type="spellEnd"/>
      <w:r w:rsidRPr="008D29F0">
        <w:rPr>
          <w:rFonts w:eastAsia="Calibri"/>
          <w:highlight w:val="yellow"/>
          <w:lang w:val="en-US"/>
        </w:rPr>
        <w:t xml:space="preserve">, G. A., Gowda, S., Nath, A. J., </w:t>
      </w:r>
      <w:proofErr w:type="spellStart"/>
      <w:r w:rsidRPr="008D29F0">
        <w:rPr>
          <w:rFonts w:eastAsia="Calibri"/>
          <w:highlight w:val="yellow"/>
          <w:lang w:val="en-US"/>
        </w:rPr>
        <w:t>Madival</w:t>
      </w:r>
      <w:proofErr w:type="spellEnd"/>
      <w:r w:rsidRPr="008D29F0">
        <w:rPr>
          <w:rFonts w:eastAsia="Calibri"/>
          <w:highlight w:val="yellow"/>
          <w:lang w:val="en-US"/>
        </w:rPr>
        <w:t xml:space="preserve">, Y., ... &amp; </w:t>
      </w:r>
      <w:proofErr w:type="spellStart"/>
      <w:r w:rsidRPr="008D29F0">
        <w:rPr>
          <w:rFonts w:eastAsia="Calibri"/>
          <w:highlight w:val="yellow"/>
          <w:lang w:val="en-US"/>
        </w:rPr>
        <w:t>Toraskar</w:t>
      </w:r>
      <w:proofErr w:type="spellEnd"/>
      <w:r w:rsidRPr="008D29F0">
        <w:rPr>
          <w:rFonts w:eastAsia="Calibri"/>
          <w:highlight w:val="yellow"/>
          <w:lang w:val="en-US"/>
        </w:rPr>
        <w:t>, S. (2023). Integrated nutrient management for improving crop yields, soil properties, and reducing greenhouse gas emissions. Frontiers in Sustainable Food Systems, 7, 1173258.</w:t>
      </w:r>
    </w:p>
    <w:p w:rsidR="00423B71" w:rsidRPr="008D29F0" w:rsidRDefault="00423B71" w:rsidP="00EE66BC">
      <w:pPr>
        <w:pStyle w:val="ListParagraph"/>
        <w:numPr>
          <w:ilvl w:val="0"/>
          <w:numId w:val="3"/>
        </w:numPr>
        <w:spacing w:before="100" w:beforeAutospacing="1" w:after="100" w:afterAutospacing="1" w:line="240" w:lineRule="auto"/>
        <w:rPr>
          <w:rFonts w:eastAsia="Calibri"/>
          <w:lang w:val="en-US"/>
        </w:rPr>
      </w:pPr>
      <w:proofErr w:type="spellStart"/>
      <w:r w:rsidRPr="008D29F0">
        <w:rPr>
          <w:rFonts w:eastAsia="Calibri"/>
          <w:highlight w:val="yellow"/>
          <w:lang w:val="en-US"/>
        </w:rPr>
        <w:t>Urmi</w:t>
      </w:r>
      <w:proofErr w:type="spellEnd"/>
      <w:r w:rsidRPr="008D29F0">
        <w:rPr>
          <w:rFonts w:eastAsia="Calibri"/>
          <w:highlight w:val="yellow"/>
          <w:lang w:val="en-US"/>
        </w:rPr>
        <w:t xml:space="preserve">, T. A., Rahman, M. M., Islam, M. M., Islam, M. A., Jahan, N. A., Mia, M. A. B., ... &amp; </w:t>
      </w:r>
      <w:proofErr w:type="spellStart"/>
      <w:r w:rsidRPr="008D29F0">
        <w:rPr>
          <w:rFonts w:eastAsia="Calibri"/>
          <w:highlight w:val="yellow"/>
          <w:lang w:val="en-US"/>
        </w:rPr>
        <w:t>Kalaji</w:t>
      </w:r>
      <w:proofErr w:type="spellEnd"/>
      <w:r w:rsidRPr="008D29F0">
        <w:rPr>
          <w:rFonts w:eastAsia="Calibri"/>
          <w:highlight w:val="yellow"/>
          <w:lang w:val="en-US"/>
        </w:rPr>
        <w:t>, H. M. (2022). Integrated nutrient management for rice yield, soil fertility, and carbon sequestration. Plants, 11(1), 138.</w:t>
      </w:r>
    </w:p>
    <w:p w:rsidR="002F3625" w:rsidRDefault="002F3625" w:rsidP="00F505AA">
      <w:pPr>
        <w:spacing w:before="100" w:beforeAutospacing="1" w:after="100" w:afterAutospacing="1" w:line="240" w:lineRule="auto"/>
        <w:ind w:left="0" w:firstLine="0"/>
        <w:rPr>
          <w:kern w:val="0"/>
          <w:lang w:val="en-US"/>
        </w:rPr>
      </w:pPr>
    </w:p>
    <w:p w:rsidR="00187CBB" w:rsidRPr="00E16C81" w:rsidRDefault="00187CBB" w:rsidP="00F505AA"/>
    <w:sectPr w:rsidR="00187CBB" w:rsidRPr="00E16C81" w:rsidSect="00CB6EB6">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6BC" w:rsidRDefault="00EE66BC" w:rsidP="00F47903">
      <w:pPr>
        <w:spacing w:after="0" w:line="240" w:lineRule="auto"/>
      </w:pPr>
      <w:r>
        <w:separator/>
      </w:r>
    </w:p>
  </w:endnote>
  <w:endnote w:type="continuationSeparator" w:id="0">
    <w:p w:rsidR="00EE66BC" w:rsidRDefault="00EE66BC" w:rsidP="00F4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F47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F47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F47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6BC" w:rsidRDefault="00EE66BC" w:rsidP="00F47903">
      <w:pPr>
        <w:spacing w:after="0" w:line="240" w:lineRule="auto"/>
      </w:pPr>
      <w:r>
        <w:separator/>
      </w:r>
    </w:p>
  </w:footnote>
  <w:footnote w:type="continuationSeparator" w:id="0">
    <w:p w:rsidR="00EE66BC" w:rsidRDefault="00EE66BC" w:rsidP="00F47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EE66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020313"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EE66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020314"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903" w:rsidRDefault="00EE66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020312"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12D18"/>
    <w:multiLevelType w:val="hybridMultilevel"/>
    <w:tmpl w:val="3984D41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F6AD3"/>
    <w:multiLevelType w:val="hybridMultilevel"/>
    <w:tmpl w:val="8368D13C"/>
    <w:lvl w:ilvl="0" w:tplc="0409000F">
      <w:start w:val="1"/>
      <w:numFmt w:val="decimal"/>
      <w:lvlText w:val="%1."/>
      <w:lvlJc w:val="left"/>
      <w:pPr>
        <w:ind w:left="720" w:hanging="360"/>
      </w:pPr>
    </w:lvl>
    <w:lvl w:ilvl="1" w:tplc="71F4322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272D5"/>
    <w:multiLevelType w:val="hybridMultilevel"/>
    <w:tmpl w:val="34724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EwsTQ2NjY1NzIxszBR0lEKTi0uzszPAykwrAUA3VmTSywAAAA="/>
  </w:docVars>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1F52"/>
    <w:rsid w:val="000C4F0E"/>
    <w:rsid w:val="000D461E"/>
    <w:rsid w:val="000D6AAA"/>
    <w:rsid w:val="000D7028"/>
    <w:rsid w:val="000D7DCE"/>
    <w:rsid w:val="000E67D1"/>
    <w:rsid w:val="000E709D"/>
    <w:rsid w:val="000F14D5"/>
    <w:rsid w:val="000F27AA"/>
    <w:rsid w:val="00102F0C"/>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1F0F"/>
    <w:rsid w:val="001A3703"/>
    <w:rsid w:val="001A6A2C"/>
    <w:rsid w:val="001A7A4E"/>
    <w:rsid w:val="001B2FA4"/>
    <w:rsid w:val="001B5753"/>
    <w:rsid w:val="001E2BEA"/>
    <w:rsid w:val="001E6EC5"/>
    <w:rsid w:val="00202F35"/>
    <w:rsid w:val="0022042D"/>
    <w:rsid w:val="002312EA"/>
    <w:rsid w:val="00235DCC"/>
    <w:rsid w:val="0024324D"/>
    <w:rsid w:val="00246BC3"/>
    <w:rsid w:val="00257AC1"/>
    <w:rsid w:val="00260455"/>
    <w:rsid w:val="00260B1D"/>
    <w:rsid w:val="002673C8"/>
    <w:rsid w:val="00267B17"/>
    <w:rsid w:val="00271A26"/>
    <w:rsid w:val="002778DD"/>
    <w:rsid w:val="00284F1F"/>
    <w:rsid w:val="00286EB8"/>
    <w:rsid w:val="002A01F2"/>
    <w:rsid w:val="002A4C47"/>
    <w:rsid w:val="002B76E6"/>
    <w:rsid w:val="002C0DF9"/>
    <w:rsid w:val="002C48BB"/>
    <w:rsid w:val="002D0FD7"/>
    <w:rsid w:val="002D6FFA"/>
    <w:rsid w:val="002E0776"/>
    <w:rsid w:val="002F0434"/>
    <w:rsid w:val="002F3625"/>
    <w:rsid w:val="002F4C0C"/>
    <w:rsid w:val="00307595"/>
    <w:rsid w:val="0031286E"/>
    <w:rsid w:val="00316D75"/>
    <w:rsid w:val="00324164"/>
    <w:rsid w:val="00332243"/>
    <w:rsid w:val="0033735F"/>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0513"/>
    <w:rsid w:val="003C31E9"/>
    <w:rsid w:val="003C4000"/>
    <w:rsid w:val="003D5935"/>
    <w:rsid w:val="003E35A3"/>
    <w:rsid w:val="003E61B2"/>
    <w:rsid w:val="003F02C5"/>
    <w:rsid w:val="003F6E91"/>
    <w:rsid w:val="00400005"/>
    <w:rsid w:val="00405181"/>
    <w:rsid w:val="004132B1"/>
    <w:rsid w:val="004148C1"/>
    <w:rsid w:val="004148F5"/>
    <w:rsid w:val="00416C8C"/>
    <w:rsid w:val="00423B71"/>
    <w:rsid w:val="00431C93"/>
    <w:rsid w:val="00445A92"/>
    <w:rsid w:val="00450568"/>
    <w:rsid w:val="0045531D"/>
    <w:rsid w:val="00456E20"/>
    <w:rsid w:val="004615AF"/>
    <w:rsid w:val="00462739"/>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8AC"/>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11B14"/>
    <w:rsid w:val="00713825"/>
    <w:rsid w:val="00720F41"/>
    <w:rsid w:val="00721966"/>
    <w:rsid w:val="00725E07"/>
    <w:rsid w:val="00737A32"/>
    <w:rsid w:val="00742F25"/>
    <w:rsid w:val="00754BA1"/>
    <w:rsid w:val="00755BDC"/>
    <w:rsid w:val="00761CB6"/>
    <w:rsid w:val="00773599"/>
    <w:rsid w:val="00774395"/>
    <w:rsid w:val="0078275D"/>
    <w:rsid w:val="00783E9E"/>
    <w:rsid w:val="00786C67"/>
    <w:rsid w:val="00796571"/>
    <w:rsid w:val="007B0665"/>
    <w:rsid w:val="007B0E74"/>
    <w:rsid w:val="007B437D"/>
    <w:rsid w:val="007B66A6"/>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461BC"/>
    <w:rsid w:val="00852537"/>
    <w:rsid w:val="00854F50"/>
    <w:rsid w:val="00855A4C"/>
    <w:rsid w:val="00856AFD"/>
    <w:rsid w:val="0087023A"/>
    <w:rsid w:val="00870945"/>
    <w:rsid w:val="00872F5F"/>
    <w:rsid w:val="00876190"/>
    <w:rsid w:val="008811F8"/>
    <w:rsid w:val="00881487"/>
    <w:rsid w:val="00883166"/>
    <w:rsid w:val="00893BAA"/>
    <w:rsid w:val="008A2470"/>
    <w:rsid w:val="008A4BFC"/>
    <w:rsid w:val="008A7416"/>
    <w:rsid w:val="008D29F0"/>
    <w:rsid w:val="008E71C6"/>
    <w:rsid w:val="008F3850"/>
    <w:rsid w:val="00904403"/>
    <w:rsid w:val="00916DED"/>
    <w:rsid w:val="00921557"/>
    <w:rsid w:val="00925CAF"/>
    <w:rsid w:val="009302A6"/>
    <w:rsid w:val="00935182"/>
    <w:rsid w:val="00944906"/>
    <w:rsid w:val="00951A3D"/>
    <w:rsid w:val="009536DC"/>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7055A"/>
    <w:rsid w:val="00A8506E"/>
    <w:rsid w:val="00A94050"/>
    <w:rsid w:val="00A97AEF"/>
    <w:rsid w:val="00AA06F7"/>
    <w:rsid w:val="00AA2B64"/>
    <w:rsid w:val="00AA4644"/>
    <w:rsid w:val="00AA4B35"/>
    <w:rsid w:val="00AB0C7A"/>
    <w:rsid w:val="00AB1103"/>
    <w:rsid w:val="00AD7B8B"/>
    <w:rsid w:val="00AE651D"/>
    <w:rsid w:val="00AE79C2"/>
    <w:rsid w:val="00AF279A"/>
    <w:rsid w:val="00AF7425"/>
    <w:rsid w:val="00B06888"/>
    <w:rsid w:val="00B1065D"/>
    <w:rsid w:val="00B451DB"/>
    <w:rsid w:val="00B567DD"/>
    <w:rsid w:val="00B6043D"/>
    <w:rsid w:val="00B84C19"/>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52CEA"/>
    <w:rsid w:val="00D63323"/>
    <w:rsid w:val="00D71250"/>
    <w:rsid w:val="00D75C9D"/>
    <w:rsid w:val="00D90471"/>
    <w:rsid w:val="00D9293B"/>
    <w:rsid w:val="00D95D20"/>
    <w:rsid w:val="00DA02EE"/>
    <w:rsid w:val="00DA04B1"/>
    <w:rsid w:val="00DA3203"/>
    <w:rsid w:val="00DB0FD3"/>
    <w:rsid w:val="00DC3E34"/>
    <w:rsid w:val="00DC5FB9"/>
    <w:rsid w:val="00DC6BC2"/>
    <w:rsid w:val="00DC74C9"/>
    <w:rsid w:val="00DD02B6"/>
    <w:rsid w:val="00DD1199"/>
    <w:rsid w:val="00DD451C"/>
    <w:rsid w:val="00DD62DF"/>
    <w:rsid w:val="00DE0A9F"/>
    <w:rsid w:val="00DE544F"/>
    <w:rsid w:val="00DF20BB"/>
    <w:rsid w:val="00DF5AB4"/>
    <w:rsid w:val="00E00090"/>
    <w:rsid w:val="00E125DA"/>
    <w:rsid w:val="00E16C81"/>
    <w:rsid w:val="00E20962"/>
    <w:rsid w:val="00E22310"/>
    <w:rsid w:val="00E3113F"/>
    <w:rsid w:val="00E40B47"/>
    <w:rsid w:val="00E52157"/>
    <w:rsid w:val="00E6358B"/>
    <w:rsid w:val="00E643E8"/>
    <w:rsid w:val="00E6564A"/>
    <w:rsid w:val="00E7044C"/>
    <w:rsid w:val="00E76785"/>
    <w:rsid w:val="00E84B62"/>
    <w:rsid w:val="00E93BAE"/>
    <w:rsid w:val="00E97626"/>
    <w:rsid w:val="00E97CB8"/>
    <w:rsid w:val="00E97F4E"/>
    <w:rsid w:val="00EA45FD"/>
    <w:rsid w:val="00EA7C0C"/>
    <w:rsid w:val="00EC042F"/>
    <w:rsid w:val="00EC266D"/>
    <w:rsid w:val="00EC4D6C"/>
    <w:rsid w:val="00EE2E7D"/>
    <w:rsid w:val="00EE66BC"/>
    <w:rsid w:val="00EF4D40"/>
    <w:rsid w:val="00EF4D87"/>
    <w:rsid w:val="00EF5941"/>
    <w:rsid w:val="00F13040"/>
    <w:rsid w:val="00F133C3"/>
    <w:rsid w:val="00F278AB"/>
    <w:rsid w:val="00F36C5B"/>
    <w:rsid w:val="00F43253"/>
    <w:rsid w:val="00F43CC2"/>
    <w:rsid w:val="00F45317"/>
    <w:rsid w:val="00F4728A"/>
    <w:rsid w:val="00F47903"/>
    <w:rsid w:val="00F505AA"/>
    <w:rsid w:val="00F533A4"/>
    <w:rsid w:val="00F6047F"/>
    <w:rsid w:val="00F754E8"/>
    <w:rsid w:val="00FA03AB"/>
    <w:rsid w:val="00FA1C67"/>
    <w:rsid w:val="00FA5C8B"/>
    <w:rsid w:val="00FA7231"/>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67B205"/>
  <w15:docId w15:val="{5E07E596-5189-4967-827A-83642475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7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903"/>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F47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903"/>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agro/2009040" TargetMode="External"/><Relationship Id="rId18" Type="http://schemas.openxmlformats.org/officeDocument/2006/relationships/hyperlink" Target="https://doi.org/10.1038/s41598-021-82739-7" TargetMode="External"/><Relationship Id="rId26" Type="http://schemas.openxmlformats.org/officeDocument/2006/relationships/hyperlink" Target="https://doi.org/10.1126/science.1176985" TargetMode="External"/><Relationship Id="rId39" Type="http://schemas.openxmlformats.org/officeDocument/2006/relationships/footer" Target="footer1.xml"/><Relationship Id="rId21" Type="http://schemas.openxmlformats.org/officeDocument/2006/relationships/hyperlink" Target="https://doi.org/10.1371/journal.pone.0214041" TargetMode="External"/><Relationship Id="rId34" Type="http://schemas.openxmlformats.org/officeDocument/2006/relationships/hyperlink" Target="https://doi.org/10.1016/S2095-3119(21)63715-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273/HORTTECH.17.4.431" TargetMode="External"/><Relationship Id="rId20" Type="http://schemas.openxmlformats.org/officeDocument/2006/relationships/hyperlink" Target="https://doi.org/10.3389/fmicb.2022.863325" TargetMode="External"/><Relationship Id="rId29" Type="http://schemas.openxmlformats.org/officeDocument/2006/relationships/hyperlink" Target="https://doi.org/10.17660/ActaHortic.2015.1107.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B978-0-12-812060-6.00009-X" TargetMode="External"/><Relationship Id="rId24" Type="http://schemas.openxmlformats.org/officeDocument/2006/relationships/hyperlink" Target="https://doi.org/10.1007/978-3-030-73245-5_1" TargetMode="External"/><Relationship Id="rId32" Type="http://schemas.openxmlformats.org/officeDocument/2006/relationships/hyperlink" Target="https://doi.org/10.1016/j.apsoil.2014.05.00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horticulturae8100893" TargetMode="External"/><Relationship Id="rId23" Type="http://schemas.openxmlformats.org/officeDocument/2006/relationships/hyperlink" Target="https://doi.org/10.3390/su12218965" TargetMode="External"/><Relationship Id="rId28" Type="http://schemas.openxmlformats.org/officeDocument/2006/relationships/hyperlink" Target="https://doi.org/10.1016/j.agwat.2020.106316" TargetMode="External"/><Relationship Id="rId36" Type="http://schemas.openxmlformats.org/officeDocument/2006/relationships/hyperlink" Target="https://doi.org/10.1016/j.apsoil.2023.105263" TargetMode="External"/><Relationship Id="rId10" Type="http://schemas.openxmlformats.org/officeDocument/2006/relationships/hyperlink" Target="https://doi.org/10.1080/07352689.2011.554417" TargetMode="External"/><Relationship Id="rId19" Type="http://schemas.openxmlformats.org/officeDocument/2006/relationships/hyperlink" Target="https://doi.org/10.1016/j.agee.2003.11.013" TargetMode="External"/><Relationship Id="rId31" Type="http://schemas.openxmlformats.org/officeDocument/2006/relationships/hyperlink" Target="https://doi.org/10.3390/nitrogen501000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scitotenv.2021.152073" TargetMode="External"/><Relationship Id="rId14" Type="http://schemas.openxmlformats.org/officeDocument/2006/relationships/hyperlink" Target="https://doi.org/10.1016/S0929-1393(00)00067-6" TargetMode="External"/><Relationship Id="rId22" Type="http://schemas.openxmlformats.org/officeDocument/2006/relationships/hyperlink" Target="https://doi.org/10.1007/s11368-020-02625-z" TargetMode="External"/><Relationship Id="rId27" Type="http://schemas.openxmlformats.org/officeDocument/2006/relationships/hyperlink" Target="https://doi.org/10.1016/B978-0-12-822358-1.00008-0" TargetMode="External"/><Relationship Id="rId30" Type="http://schemas.openxmlformats.org/officeDocument/2006/relationships/hyperlink" Target="https://doi.org/10.1007/978-3-319-53626-2_2" TargetMode="External"/><Relationship Id="rId35" Type="http://schemas.openxmlformats.org/officeDocument/2006/relationships/hyperlink" Target="https://doi.org/10.1016/j.agee.2023.108529" TargetMode="External"/><Relationship Id="rId43" Type="http://schemas.openxmlformats.org/officeDocument/2006/relationships/fontTable" Target="fontTable.xml"/><Relationship Id="rId8" Type="http://schemas.openxmlformats.org/officeDocument/2006/relationships/hyperlink" Target="https://doi.org/10.1080/01904167.2022.2027976" TargetMode="External"/><Relationship Id="rId3" Type="http://schemas.openxmlformats.org/officeDocument/2006/relationships/styles" Target="styles.xml"/><Relationship Id="rId12" Type="http://schemas.openxmlformats.org/officeDocument/2006/relationships/hyperlink" Target="https://doi.org/10.1023/A:1021471531188" TargetMode="External"/><Relationship Id="rId17" Type="http://schemas.openxmlformats.org/officeDocument/2006/relationships/hyperlink" Target="https://doi.org/10.1016/j.agee.2009.06.014" TargetMode="External"/><Relationship Id="rId25" Type="http://schemas.openxmlformats.org/officeDocument/2006/relationships/hyperlink" Target="https://doi.org/10.1016/j.agwat.2020.106356" TargetMode="External"/><Relationship Id="rId33" Type="http://schemas.openxmlformats.org/officeDocument/2006/relationships/hyperlink" Target="https://doi.org/10.1016/j.geoderma.2020.114701"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5A064-94A6-4144-9B6D-C2CD6DB8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7549</TotalTime>
  <Pages>23</Pages>
  <Words>11688</Words>
  <Characters>66623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 GP 005</cp:lastModifiedBy>
  <cp:revision>121</cp:revision>
  <cp:lastPrinted>2025-12-13T07:14:00Z</cp:lastPrinted>
  <dcterms:created xsi:type="dcterms:W3CDTF">2025-09-24T12:44:00Z</dcterms:created>
  <dcterms:modified xsi:type="dcterms:W3CDTF">2026-02-07T06:33:00Z</dcterms:modified>
</cp:coreProperties>
</file>