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60AA" w14:textId="77777777" w:rsidR="006D7337" w:rsidRDefault="006D7337" w:rsidP="00C53A24">
      <w:pPr>
        <w:jc w:val="center"/>
        <w:rPr>
          <w:rFonts w:ascii="Times New Roman" w:hAnsi="Times New Roman" w:cs="Times New Roman"/>
          <w:b/>
          <w:bCs/>
          <w:sz w:val="24"/>
          <w:szCs w:val="24"/>
        </w:rPr>
      </w:pPr>
    </w:p>
    <w:p w14:paraId="072075D0" w14:textId="2F1F8782" w:rsidR="00040DCF" w:rsidRPr="00C53A24" w:rsidRDefault="00040DCF" w:rsidP="00C53A24">
      <w:pPr>
        <w:jc w:val="center"/>
        <w:rPr>
          <w:rFonts w:ascii="Times New Roman" w:hAnsi="Times New Roman" w:cs="Times New Roman"/>
          <w:b/>
          <w:bCs/>
          <w:sz w:val="24"/>
          <w:szCs w:val="24"/>
        </w:rPr>
      </w:pPr>
      <w:r w:rsidRPr="00C53A24">
        <w:rPr>
          <w:rFonts w:ascii="Times New Roman" w:hAnsi="Times New Roman" w:cs="Times New Roman"/>
          <w:b/>
          <w:bCs/>
          <w:sz w:val="24"/>
          <w:szCs w:val="24"/>
        </w:rPr>
        <w:t>Comparative Evaluation of Thyroid Function in Patients with Type 2 Diabetes Mellitus and Non-Diabetic Individuals</w:t>
      </w:r>
    </w:p>
    <w:p w14:paraId="03546955" w14:textId="77777777" w:rsidR="00040DCF" w:rsidRDefault="00040DCF" w:rsidP="00040DCF"/>
    <w:p w14:paraId="715FB98A" w14:textId="390E905B" w:rsidR="00FF6712" w:rsidRPr="00FF6712" w:rsidRDefault="00FF6712" w:rsidP="00FF6712">
      <w:pPr>
        <w:spacing w:line="360" w:lineRule="auto"/>
        <w:jc w:val="both"/>
        <w:rPr>
          <w:rFonts w:ascii="Times New Roman" w:hAnsi="Times New Roman" w:cs="Times New Roman"/>
          <w:b/>
          <w:bCs/>
          <w:sz w:val="24"/>
          <w:szCs w:val="24"/>
        </w:rPr>
      </w:pPr>
      <w:r w:rsidRPr="00FF6712">
        <w:rPr>
          <w:rFonts w:ascii="Times New Roman" w:hAnsi="Times New Roman" w:cs="Times New Roman"/>
          <w:b/>
          <w:bCs/>
          <w:sz w:val="24"/>
          <w:szCs w:val="24"/>
        </w:rPr>
        <w:t>ABSTRACT</w:t>
      </w:r>
    </w:p>
    <w:p w14:paraId="6021FCEC" w14:textId="60548DC7" w:rsidR="00FF6712" w:rsidRPr="00FF6712" w:rsidRDefault="00FF6712" w:rsidP="00FF6712">
      <w:pPr>
        <w:spacing w:line="360" w:lineRule="auto"/>
        <w:jc w:val="both"/>
        <w:rPr>
          <w:rFonts w:ascii="Times New Roman" w:hAnsi="Times New Roman" w:cs="Times New Roman"/>
          <w:sz w:val="24"/>
          <w:szCs w:val="24"/>
        </w:rPr>
      </w:pPr>
      <w:r w:rsidRPr="00FF6712">
        <w:rPr>
          <w:rFonts w:ascii="Times New Roman" w:hAnsi="Times New Roman" w:cs="Times New Roman"/>
          <w:b/>
          <w:bCs/>
          <w:sz w:val="24"/>
          <w:szCs w:val="24"/>
        </w:rPr>
        <w:t>Background:</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Type 2 diabetes mellitus (T2DM) is a major metabolic disorder frequently associated with abnormalities in other endocrine systems, particularly the thyroid gland. Thyroid dysfunction may adversely affect </w:t>
      </w:r>
      <w:proofErr w:type="spellStart"/>
      <w:r w:rsidRPr="00FF6712">
        <w:rPr>
          <w:rFonts w:ascii="Times New Roman" w:hAnsi="Times New Roman" w:cs="Times New Roman"/>
          <w:sz w:val="24"/>
          <w:szCs w:val="24"/>
        </w:rPr>
        <w:t>glycemic</w:t>
      </w:r>
      <w:proofErr w:type="spellEnd"/>
      <w:r w:rsidRPr="00FF6712">
        <w:rPr>
          <w:rFonts w:ascii="Times New Roman" w:hAnsi="Times New Roman" w:cs="Times New Roman"/>
          <w:sz w:val="24"/>
          <w:szCs w:val="24"/>
        </w:rPr>
        <w:t xml:space="preserve"> control, lipid metabolism, and cardiovascular risk, yet comparative data between diabetic and non-diabetic individuals remain limited in many populations.</w:t>
      </w:r>
      <w:r>
        <w:rPr>
          <w:rFonts w:ascii="Times New Roman" w:hAnsi="Times New Roman" w:cs="Times New Roman"/>
          <w:sz w:val="24"/>
          <w:szCs w:val="24"/>
        </w:rPr>
        <w:t xml:space="preserve"> </w:t>
      </w:r>
      <w:r w:rsidRPr="00FF6712">
        <w:rPr>
          <w:rFonts w:ascii="Times New Roman" w:hAnsi="Times New Roman" w:cs="Times New Roman"/>
          <w:b/>
          <w:bCs/>
          <w:sz w:val="24"/>
          <w:szCs w:val="24"/>
        </w:rPr>
        <w:t>Objective:</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To evaluate and compare thyroid function parameters and the prevalence of thyroid dysfunction between patients with type 2 diabetes mellitus and non-diabetic individuals, and to assess their association with </w:t>
      </w:r>
      <w:proofErr w:type="spellStart"/>
      <w:r w:rsidRPr="00FF6712">
        <w:rPr>
          <w:rFonts w:ascii="Times New Roman" w:hAnsi="Times New Roman" w:cs="Times New Roman"/>
          <w:sz w:val="24"/>
          <w:szCs w:val="24"/>
        </w:rPr>
        <w:t>glycemic</w:t>
      </w:r>
      <w:proofErr w:type="spellEnd"/>
      <w:r w:rsidRPr="00FF6712">
        <w:rPr>
          <w:rFonts w:ascii="Times New Roman" w:hAnsi="Times New Roman" w:cs="Times New Roman"/>
          <w:sz w:val="24"/>
          <w:szCs w:val="24"/>
        </w:rPr>
        <w:t xml:space="preserve"> control and sex.</w:t>
      </w:r>
      <w:r>
        <w:rPr>
          <w:rFonts w:ascii="Times New Roman" w:hAnsi="Times New Roman" w:cs="Times New Roman"/>
          <w:sz w:val="24"/>
          <w:szCs w:val="24"/>
        </w:rPr>
        <w:t xml:space="preserve"> </w:t>
      </w:r>
      <w:r w:rsidRPr="00FF6712">
        <w:rPr>
          <w:rFonts w:ascii="Times New Roman" w:hAnsi="Times New Roman" w:cs="Times New Roman"/>
          <w:b/>
          <w:bCs/>
          <w:sz w:val="24"/>
          <w:szCs w:val="24"/>
        </w:rPr>
        <w:t>Methods:</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This cross-sectional study was conducted at a tertiary care hospital between June and August 2024. A total of 200 adults were enrolled, including 100 patients with T2DM and 100 non-diabetic controls. Fasting blood glucose, 2-hour postprandial glucose, HbA1c, lipid profile, serum creatinine, thyroid-stimulating hormone (TSH), and free thyroxine (FT4) were measured. Thyroid dysfunction was categorized as subclinical or overt hypothyroidism. Statistical analyses included independent </w:t>
      </w:r>
      <w:r w:rsidRPr="00FF6712">
        <w:rPr>
          <w:rFonts w:ascii="Times New Roman" w:hAnsi="Times New Roman" w:cs="Times New Roman"/>
          <w:i/>
          <w:iCs/>
          <w:sz w:val="24"/>
          <w:szCs w:val="24"/>
        </w:rPr>
        <w:t>t</w:t>
      </w:r>
      <w:r w:rsidRPr="00FF6712">
        <w:rPr>
          <w:rFonts w:ascii="Times New Roman" w:hAnsi="Times New Roman" w:cs="Times New Roman"/>
          <w:sz w:val="24"/>
          <w:szCs w:val="24"/>
        </w:rPr>
        <w:t>-tests, chi-square tests, and Pearson correlation analysis.</w:t>
      </w:r>
      <w:r>
        <w:rPr>
          <w:rFonts w:ascii="Times New Roman" w:hAnsi="Times New Roman" w:cs="Times New Roman"/>
          <w:sz w:val="24"/>
          <w:szCs w:val="24"/>
        </w:rPr>
        <w:t xml:space="preserve"> </w:t>
      </w:r>
      <w:r w:rsidRPr="00FF6712">
        <w:rPr>
          <w:rFonts w:ascii="Times New Roman" w:hAnsi="Times New Roman" w:cs="Times New Roman"/>
          <w:b/>
          <w:bCs/>
          <w:sz w:val="24"/>
          <w:szCs w:val="24"/>
        </w:rPr>
        <w:t>Results:</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Patients with T2DM had significantly higher fasting glucose (156.4 ± 38.2 vs 92.6 ± 10.4 mg/dL), HbA1c (8.4 ± 1.2% vs 5.4 ± 0.4%), and adverse lipid profiles compared to controls (all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&lt; 0.001). Thyroid dysfunction was significantly more prevalent in the T2DM group than in non-diabetic individuals (32.0% vs 14.0%,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 0.003), with subclinical hypothyroidism being the most common abnormality (22.0%). Mean TSH levels were higher in patients with T2DM (4.2 ± 1.6 vs 2.6 ± 1.1 </w:t>
      </w:r>
      <w:proofErr w:type="spellStart"/>
      <w:r w:rsidRPr="00FF6712">
        <w:rPr>
          <w:rFonts w:ascii="Times New Roman" w:hAnsi="Times New Roman" w:cs="Times New Roman"/>
          <w:sz w:val="24"/>
          <w:szCs w:val="24"/>
        </w:rPr>
        <w:t>mIU</w:t>
      </w:r>
      <w:proofErr w:type="spellEnd"/>
      <w:r w:rsidRPr="00FF6712">
        <w:rPr>
          <w:rFonts w:ascii="Times New Roman" w:hAnsi="Times New Roman" w:cs="Times New Roman"/>
          <w:sz w:val="24"/>
          <w:szCs w:val="24"/>
        </w:rPr>
        <w:t xml:space="preserve">/L;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&lt; 0.001), while FT4 levels were lower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 0.01). Female patients with T2DM showed a higher prevalence of thyroid dysfunction compared to males (42.9% vs 24.1%,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 0.04). TSH demonstrated a significant positive correlation with HbA1c (</w:t>
      </w:r>
      <w:r w:rsidRPr="00FF6712">
        <w:rPr>
          <w:rFonts w:ascii="Times New Roman" w:hAnsi="Times New Roman" w:cs="Times New Roman"/>
          <w:i/>
          <w:iCs/>
          <w:sz w:val="24"/>
          <w:szCs w:val="24"/>
        </w:rPr>
        <w:t>r</w:t>
      </w:r>
      <w:r w:rsidRPr="00FF6712">
        <w:rPr>
          <w:rFonts w:ascii="Times New Roman" w:hAnsi="Times New Roman" w:cs="Times New Roman"/>
          <w:sz w:val="24"/>
          <w:szCs w:val="24"/>
        </w:rPr>
        <w:t xml:space="preserve"> = 0.46,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&lt; 0.001), while FT4 showed a negative correlation (</w:t>
      </w:r>
      <w:r w:rsidRPr="00FF6712">
        <w:rPr>
          <w:rFonts w:ascii="Times New Roman" w:hAnsi="Times New Roman" w:cs="Times New Roman"/>
          <w:i/>
          <w:iCs/>
          <w:sz w:val="24"/>
          <w:szCs w:val="24"/>
        </w:rPr>
        <w:t>r</w:t>
      </w:r>
      <w:r w:rsidRPr="00FF6712">
        <w:rPr>
          <w:rFonts w:ascii="Times New Roman" w:hAnsi="Times New Roman" w:cs="Times New Roman"/>
          <w:sz w:val="24"/>
          <w:szCs w:val="24"/>
        </w:rPr>
        <w:t xml:space="preserve"> = −0.29,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 0.004); no such associations were observed in non-diabetic individuals.</w:t>
      </w:r>
      <w:r>
        <w:rPr>
          <w:rFonts w:ascii="Times New Roman" w:hAnsi="Times New Roman" w:cs="Times New Roman"/>
          <w:sz w:val="24"/>
          <w:szCs w:val="24"/>
        </w:rPr>
        <w:t xml:space="preserve"> </w:t>
      </w:r>
      <w:r w:rsidRPr="00FF6712">
        <w:rPr>
          <w:rFonts w:ascii="Times New Roman" w:hAnsi="Times New Roman" w:cs="Times New Roman"/>
          <w:b/>
          <w:bCs/>
          <w:sz w:val="24"/>
          <w:szCs w:val="24"/>
        </w:rPr>
        <w:t>Conclusion:</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Thyroid dysfunction, particularly subclinical hypothyroidism, is significantly more prevalent among patients with type 2 diabetes mellitus and is associated with poorer </w:t>
      </w:r>
      <w:proofErr w:type="spellStart"/>
      <w:r w:rsidRPr="00FF6712">
        <w:rPr>
          <w:rFonts w:ascii="Times New Roman" w:hAnsi="Times New Roman" w:cs="Times New Roman"/>
          <w:sz w:val="24"/>
          <w:szCs w:val="24"/>
        </w:rPr>
        <w:t>glycemic</w:t>
      </w:r>
      <w:proofErr w:type="spellEnd"/>
      <w:r w:rsidRPr="00FF6712">
        <w:rPr>
          <w:rFonts w:ascii="Times New Roman" w:hAnsi="Times New Roman" w:cs="Times New Roman"/>
          <w:sz w:val="24"/>
          <w:szCs w:val="24"/>
        </w:rPr>
        <w:t xml:space="preserve"> control, with a higher burden observed in female patients. </w:t>
      </w:r>
    </w:p>
    <w:p w14:paraId="12F0D3FC" w14:textId="01A5A1E0" w:rsidR="00FF6712" w:rsidRPr="00FF6712" w:rsidRDefault="00FF6712" w:rsidP="00FF6712">
      <w:pPr>
        <w:spacing w:line="360" w:lineRule="auto"/>
        <w:jc w:val="both"/>
        <w:rPr>
          <w:rFonts w:ascii="Times New Roman" w:hAnsi="Times New Roman" w:cs="Times New Roman"/>
          <w:sz w:val="24"/>
          <w:szCs w:val="24"/>
        </w:rPr>
      </w:pPr>
      <w:r w:rsidRPr="00FF6712">
        <w:rPr>
          <w:rFonts w:ascii="Times New Roman" w:hAnsi="Times New Roman" w:cs="Times New Roman"/>
          <w:b/>
          <w:bCs/>
          <w:sz w:val="24"/>
          <w:szCs w:val="24"/>
        </w:rPr>
        <w:t>Keywords:</w:t>
      </w:r>
      <w:r>
        <w:rPr>
          <w:rFonts w:ascii="Times New Roman" w:hAnsi="Times New Roman" w:cs="Times New Roman"/>
          <w:sz w:val="24"/>
          <w:szCs w:val="24"/>
        </w:rPr>
        <w:t xml:space="preserve"> </w:t>
      </w:r>
      <w:r w:rsidRPr="00FF6712">
        <w:rPr>
          <w:rFonts w:ascii="Times New Roman" w:hAnsi="Times New Roman" w:cs="Times New Roman"/>
          <w:sz w:val="24"/>
          <w:szCs w:val="24"/>
        </w:rPr>
        <w:t>T</w:t>
      </w:r>
      <w:r>
        <w:rPr>
          <w:rFonts w:ascii="Times New Roman" w:hAnsi="Times New Roman" w:cs="Times New Roman"/>
          <w:sz w:val="24"/>
          <w:szCs w:val="24"/>
        </w:rPr>
        <w:t>2DM</w:t>
      </w:r>
      <w:r w:rsidRPr="00FF6712">
        <w:rPr>
          <w:rFonts w:ascii="Times New Roman" w:hAnsi="Times New Roman" w:cs="Times New Roman"/>
          <w:sz w:val="24"/>
          <w:szCs w:val="24"/>
        </w:rPr>
        <w:t xml:space="preserve">; Thyroid dysfunction; Subclinical hypothyroidism; </w:t>
      </w:r>
      <w:proofErr w:type="spellStart"/>
      <w:r w:rsidRPr="00FF6712">
        <w:rPr>
          <w:rFonts w:ascii="Times New Roman" w:hAnsi="Times New Roman" w:cs="Times New Roman"/>
          <w:sz w:val="24"/>
          <w:szCs w:val="24"/>
        </w:rPr>
        <w:t>Glycemic</w:t>
      </w:r>
      <w:proofErr w:type="spellEnd"/>
      <w:r w:rsidRPr="00FF6712">
        <w:rPr>
          <w:rFonts w:ascii="Times New Roman" w:hAnsi="Times New Roman" w:cs="Times New Roman"/>
          <w:sz w:val="24"/>
          <w:szCs w:val="24"/>
        </w:rPr>
        <w:t xml:space="preserve"> control; TSH</w:t>
      </w:r>
    </w:p>
    <w:p w14:paraId="1416AE84" w14:textId="4A3FCEBD" w:rsidR="00B66245" w:rsidRPr="00B66245" w:rsidRDefault="00B66245" w:rsidP="00B66245">
      <w:pPr>
        <w:rPr>
          <w:rFonts w:ascii="Times New Roman" w:hAnsi="Times New Roman" w:cs="Times New Roman"/>
          <w:b/>
          <w:bCs/>
          <w:sz w:val="24"/>
          <w:szCs w:val="24"/>
        </w:rPr>
      </w:pPr>
      <w:r w:rsidRPr="00B66245">
        <w:rPr>
          <w:rFonts w:ascii="Times New Roman" w:hAnsi="Times New Roman" w:cs="Times New Roman"/>
          <w:b/>
          <w:bCs/>
          <w:sz w:val="24"/>
          <w:szCs w:val="24"/>
        </w:rPr>
        <w:lastRenderedPageBreak/>
        <w:t>INTRODUCTION</w:t>
      </w:r>
    </w:p>
    <w:p w14:paraId="63E56388" w14:textId="6435E74F" w:rsidR="00B66245" w:rsidRPr="00B66245" w:rsidRDefault="00A85F88" w:rsidP="007D49E9">
      <w:pPr>
        <w:spacing w:line="360" w:lineRule="auto"/>
        <w:jc w:val="both"/>
        <w:rPr>
          <w:rFonts w:ascii="Times New Roman" w:hAnsi="Times New Roman" w:cs="Times New Roman"/>
          <w:sz w:val="24"/>
          <w:szCs w:val="24"/>
        </w:rPr>
      </w:pPr>
      <w:r>
        <w:rPr>
          <w:rFonts w:ascii="Times New Roman" w:hAnsi="Times New Roman" w:cs="Times New Roman"/>
          <w:sz w:val="24"/>
          <w:szCs w:val="24"/>
        </w:rPr>
        <w:br/>
        <w:t>“</w:t>
      </w:r>
      <w:r w:rsidR="00B66245" w:rsidRPr="00B66245">
        <w:rPr>
          <w:rFonts w:ascii="Times New Roman" w:hAnsi="Times New Roman" w:cs="Times New Roman"/>
          <w:sz w:val="24"/>
          <w:szCs w:val="24"/>
        </w:rPr>
        <w:t xml:space="preserve">Diabetes mellitus is a major global metabolic disorder and one of the most significant public health challenges worldwide, with a rapidly increasing prevalence across both developed and developing countries. Type 2 diabetes mellitus (T2DM) accounts for the majority of diabetes cases and is characterized by chronic </w:t>
      </w:r>
      <w:proofErr w:type="spellStart"/>
      <w:r w:rsidR="00B66245" w:rsidRPr="00B66245">
        <w:rPr>
          <w:rFonts w:ascii="Times New Roman" w:hAnsi="Times New Roman" w:cs="Times New Roman"/>
          <w:sz w:val="24"/>
          <w:szCs w:val="24"/>
        </w:rPr>
        <w:t>hyperglycemia</w:t>
      </w:r>
      <w:proofErr w:type="spellEnd"/>
      <w:r w:rsidR="00B66245" w:rsidRPr="00B66245">
        <w:rPr>
          <w:rFonts w:ascii="Times New Roman" w:hAnsi="Times New Roman" w:cs="Times New Roman"/>
          <w:sz w:val="24"/>
          <w:szCs w:val="24"/>
        </w:rPr>
        <w:t xml:space="preserve"> resulting from insulin resistance and relative insulin deficiency</w:t>
      </w:r>
      <w:r w:rsidR="002D531C">
        <w:rPr>
          <w:rFonts w:ascii="Times New Roman" w:hAnsi="Times New Roman" w:cs="Times New Roman"/>
          <w:sz w:val="24"/>
          <w:szCs w:val="24"/>
        </w:rPr>
        <w:t>”</w:t>
      </w:r>
      <w:r w:rsidR="009A75CC">
        <w:rPr>
          <w:rFonts w:ascii="Times New Roman" w:hAnsi="Times New Roman" w:cs="Times New Roman"/>
          <w:sz w:val="24"/>
          <w:szCs w:val="24"/>
          <w:vertAlign w:val="superscript"/>
        </w:rPr>
        <w:t>1</w:t>
      </w:r>
      <w:r w:rsidR="00B66245" w:rsidRPr="00B66245">
        <w:rPr>
          <w:rFonts w:ascii="Times New Roman" w:hAnsi="Times New Roman" w:cs="Times New Roman"/>
          <w:sz w:val="24"/>
          <w:szCs w:val="24"/>
        </w:rPr>
        <w:t>. Beyond disturbances in glucose metabolism, diabetes is increasingly recognized as a multisystem endocrine condition involving complex interactions among several hormonal pathways. Among these, the thyroid gland plays a central role in regulating metabolic homeostasis, energy expenditure, and insulin action</w:t>
      </w:r>
      <w:r w:rsidR="009A75CC">
        <w:rPr>
          <w:rFonts w:ascii="Times New Roman" w:hAnsi="Times New Roman" w:cs="Times New Roman"/>
          <w:sz w:val="24"/>
          <w:szCs w:val="24"/>
          <w:vertAlign w:val="superscript"/>
        </w:rPr>
        <w:t>2</w:t>
      </w:r>
      <w:r w:rsidR="00B66245" w:rsidRPr="00B66245">
        <w:rPr>
          <w:rFonts w:ascii="Times New Roman" w:hAnsi="Times New Roman" w:cs="Times New Roman"/>
          <w:sz w:val="24"/>
          <w:szCs w:val="24"/>
        </w:rPr>
        <w:t>.</w:t>
      </w:r>
    </w:p>
    <w:p w14:paraId="72283A2F" w14:textId="25C13CA5" w:rsidR="00B66245" w:rsidRPr="00B66245" w:rsidRDefault="00A85F88" w:rsidP="007D49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66245" w:rsidRPr="00B66245">
        <w:rPr>
          <w:rFonts w:ascii="Times New Roman" w:hAnsi="Times New Roman" w:cs="Times New Roman"/>
          <w:sz w:val="24"/>
          <w:szCs w:val="24"/>
        </w:rPr>
        <w:t xml:space="preserve">Thyroid hormones are key modulators of carbohydrate, lipid, and protein metabolism and exert </w:t>
      </w:r>
      <w:r>
        <w:rPr>
          <w:rFonts w:ascii="Times New Roman" w:hAnsi="Times New Roman" w:cs="Times New Roman"/>
          <w:sz w:val="24"/>
          <w:szCs w:val="24"/>
        </w:rPr>
        <w:t xml:space="preserve">a </w:t>
      </w:r>
      <w:r w:rsidR="00B66245" w:rsidRPr="00B66245">
        <w:rPr>
          <w:rFonts w:ascii="Times New Roman" w:hAnsi="Times New Roman" w:cs="Times New Roman"/>
          <w:sz w:val="24"/>
          <w:szCs w:val="24"/>
        </w:rPr>
        <w:t>significant influence on glucose homeostasis through both direct and indirect mechanisms. At the hepatic level, thyroid hormones regulate gluconeogenesis and glycogenolysis, while in peripheral tissues</w:t>
      </w:r>
      <w:r>
        <w:rPr>
          <w:rFonts w:ascii="Times New Roman" w:hAnsi="Times New Roman" w:cs="Times New Roman"/>
          <w:sz w:val="24"/>
          <w:szCs w:val="24"/>
        </w:rPr>
        <w:t>,</w:t>
      </w:r>
      <w:r w:rsidR="00B66245" w:rsidRPr="00B66245">
        <w:rPr>
          <w:rFonts w:ascii="Times New Roman" w:hAnsi="Times New Roman" w:cs="Times New Roman"/>
          <w:sz w:val="24"/>
          <w:szCs w:val="24"/>
        </w:rPr>
        <w:t xml:space="preserve"> they modulate insulin-mediated glucose uptake by influencing glucose transporter expression and mitochondrial activity</w:t>
      </w:r>
      <w:r w:rsidR="009A75CC">
        <w:rPr>
          <w:rFonts w:ascii="Times New Roman" w:hAnsi="Times New Roman" w:cs="Times New Roman"/>
          <w:sz w:val="24"/>
          <w:szCs w:val="24"/>
          <w:vertAlign w:val="superscript"/>
        </w:rPr>
        <w:t>3</w:t>
      </w:r>
      <w:r w:rsidR="00B66245" w:rsidRPr="00B66245">
        <w:rPr>
          <w:rFonts w:ascii="Times New Roman" w:hAnsi="Times New Roman" w:cs="Times New Roman"/>
          <w:sz w:val="24"/>
          <w:szCs w:val="24"/>
        </w:rPr>
        <w:t xml:space="preserve">. Additionally, thyroid hormones affect pancreatic β-cell function and insulin secretion, as well as intestinal glucose absorption. Consequently, alterations in thyroid hormone levels can significantly impact insulin sensitivity and </w:t>
      </w:r>
      <w:proofErr w:type="spellStart"/>
      <w:r w:rsidR="00B66245" w:rsidRPr="00B66245">
        <w:rPr>
          <w:rFonts w:ascii="Times New Roman" w:hAnsi="Times New Roman" w:cs="Times New Roman"/>
          <w:sz w:val="24"/>
          <w:szCs w:val="24"/>
        </w:rPr>
        <w:t>glycemic</w:t>
      </w:r>
      <w:proofErr w:type="spellEnd"/>
      <w:r w:rsidR="00B66245" w:rsidRPr="00B66245">
        <w:rPr>
          <w:rFonts w:ascii="Times New Roman" w:hAnsi="Times New Roman" w:cs="Times New Roman"/>
          <w:sz w:val="24"/>
          <w:szCs w:val="24"/>
        </w:rPr>
        <w:t xml:space="preserve"> control in individuals with T2DM</w:t>
      </w:r>
      <w:r>
        <w:rPr>
          <w:rFonts w:ascii="Times New Roman" w:hAnsi="Times New Roman" w:cs="Times New Roman"/>
          <w:sz w:val="24"/>
          <w:szCs w:val="24"/>
        </w:rPr>
        <w:t>”</w:t>
      </w:r>
      <w:r w:rsidR="009A75CC">
        <w:rPr>
          <w:rFonts w:ascii="Times New Roman" w:hAnsi="Times New Roman" w:cs="Times New Roman"/>
          <w:sz w:val="24"/>
          <w:szCs w:val="24"/>
          <w:vertAlign w:val="superscript"/>
        </w:rPr>
        <w:t>4</w:t>
      </w:r>
      <w:r w:rsidR="00B66245" w:rsidRPr="00B66245">
        <w:rPr>
          <w:rFonts w:ascii="Times New Roman" w:hAnsi="Times New Roman" w:cs="Times New Roman"/>
          <w:sz w:val="24"/>
          <w:szCs w:val="24"/>
        </w:rPr>
        <w:t>.</w:t>
      </w:r>
    </w:p>
    <w:p w14:paraId="0C4D1EDA" w14:textId="010E2A09" w:rsidR="00B66245" w:rsidRPr="00B66245" w:rsidRDefault="00A85F88" w:rsidP="007D49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66245" w:rsidRPr="00B66245">
        <w:rPr>
          <w:rFonts w:ascii="Times New Roman" w:hAnsi="Times New Roman" w:cs="Times New Roman"/>
          <w:sz w:val="24"/>
          <w:szCs w:val="24"/>
        </w:rPr>
        <w:t>Clinical observations suggest that thyroid dysfunction is relatively common among patients with T2DM, reflecting shared pathophysiological pathways such as insulin resistance, chronic low-grade inflammation, and altered hypothalamic–pituitary–thyroid axis regulation</w:t>
      </w:r>
      <w:r>
        <w:rPr>
          <w:rFonts w:ascii="Times New Roman" w:hAnsi="Times New Roman" w:cs="Times New Roman"/>
          <w:sz w:val="24"/>
          <w:szCs w:val="24"/>
        </w:rPr>
        <w:t>”</w:t>
      </w:r>
      <w:r w:rsidR="009A75CC">
        <w:rPr>
          <w:rFonts w:ascii="Times New Roman" w:hAnsi="Times New Roman" w:cs="Times New Roman"/>
          <w:sz w:val="24"/>
          <w:szCs w:val="24"/>
          <w:vertAlign w:val="superscript"/>
        </w:rPr>
        <w:t>5,6</w:t>
      </w:r>
      <w:r w:rsidR="00B66245" w:rsidRPr="00B66245">
        <w:rPr>
          <w:rFonts w:ascii="Times New Roman" w:hAnsi="Times New Roman" w:cs="Times New Roman"/>
          <w:sz w:val="24"/>
          <w:szCs w:val="24"/>
        </w:rPr>
        <w:t xml:space="preserve">. </w:t>
      </w:r>
      <w:r>
        <w:rPr>
          <w:rFonts w:ascii="Times New Roman" w:hAnsi="Times New Roman" w:cs="Times New Roman"/>
          <w:sz w:val="24"/>
          <w:szCs w:val="24"/>
        </w:rPr>
        <w:t>“</w:t>
      </w:r>
      <w:r w:rsidR="00B66245" w:rsidRPr="00B66245">
        <w:rPr>
          <w:rFonts w:ascii="Times New Roman" w:hAnsi="Times New Roman" w:cs="Times New Roman"/>
          <w:sz w:val="24"/>
          <w:szCs w:val="24"/>
        </w:rPr>
        <w:t>Hypothyroidism is often associated with reduced glucose disposal, impaired insulin signa</w:t>
      </w:r>
      <w:r>
        <w:rPr>
          <w:rFonts w:ascii="Times New Roman" w:hAnsi="Times New Roman" w:cs="Times New Roman"/>
          <w:sz w:val="24"/>
          <w:szCs w:val="24"/>
        </w:rPr>
        <w:t>l</w:t>
      </w:r>
      <w:r w:rsidR="00B66245" w:rsidRPr="00B66245">
        <w:rPr>
          <w:rFonts w:ascii="Times New Roman" w:hAnsi="Times New Roman" w:cs="Times New Roman"/>
          <w:sz w:val="24"/>
          <w:szCs w:val="24"/>
        </w:rPr>
        <w:t xml:space="preserve">ling, and </w:t>
      </w:r>
      <w:proofErr w:type="spellStart"/>
      <w:r w:rsidR="00B66245" w:rsidRPr="00B66245">
        <w:rPr>
          <w:rFonts w:ascii="Times New Roman" w:hAnsi="Times New Roman" w:cs="Times New Roman"/>
          <w:sz w:val="24"/>
          <w:szCs w:val="24"/>
        </w:rPr>
        <w:t>dyslipidemia</w:t>
      </w:r>
      <w:proofErr w:type="spellEnd"/>
      <w:r w:rsidR="00B66245" w:rsidRPr="00B66245">
        <w:rPr>
          <w:rFonts w:ascii="Times New Roman" w:hAnsi="Times New Roman" w:cs="Times New Roman"/>
          <w:sz w:val="24"/>
          <w:szCs w:val="24"/>
        </w:rPr>
        <w:t>, whereas hyperthyroidism is linked to increased hepatic glucose output, accelerated insulin degradation, and enhanced oxidative stress</w:t>
      </w:r>
      <w:r>
        <w:rPr>
          <w:rFonts w:ascii="Times New Roman" w:hAnsi="Times New Roman" w:cs="Times New Roman"/>
          <w:sz w:val="24"/>
          <w:szCs w:val="24"/>
        </w:rPr>
        <w:t>”</w:t>
      </w:r>
      <w:r w:rsidR="009A75CC">
        <w:rPr>
          <w:rFonts w:ascii="Times New Roman" w:hAnsi="Times New Roman" w:cs="Times New Roman"/>
          <w:sz w:val="24"/>
          <w:szCs w:val="24"/>
          <w:vertAlign w:val="superscript"/>
        </w:rPr>
        <w:t>7</w:t>
      </w:r>
      <w:r w:rsidR="00B66245" w:rsidRPr="00B66245">
        <w:rPr>
          <w:rFonts w:ascii="Times New Roman" w:hAnsi="Times New Roman" w:cs="Times New Roman"/>
          <w:sz w:val="24"/>
          <w:szCs w:val="24"/>
        </w:rPr>
        <w:t xml:space="preserve">. </w:t>
      </w:r>
      <w:r>
        <w:rPr>
          <w:rFonts w:ascii="Times New Roman" w:hAnsi="Times New Roman" w:cs="Times New Roman"/>
          <w:sz w:val="24"/>
          <w:szCs w:val="24"/>
        </w:rPr>
        <w:t>“</w:t>
      </w:r>
      <w:r w:rsidR="00B66245" w:rsidRPr="00B66245">
        <w:rPr>
          <w:rFonts w:ascii="Times New Roman" w:hAnsi="Times New Roman" w:cs="Times New Roman"/>
          <w:sz w:val="24"/>
          <w:szCs w:val="24"/>
        </w:rPr>
        <w:t xml:space="preserve">These metabolic effects may influence both </w:t>
      </w:r>
      <w:proofErr w:type="spellStart"/>
      <w:r w:rsidR="00B66245" w:rsidRPr="00B66245">
        <w:rPr>
          <w:rFonts w:ascii="Times New Roman" w:hAnsi="Times New Roman" w:cs="Times New Roman"/>
          <w:sz w:val="24"/>
          <w:szCs w:val="24"/>
        </w:rPr>
        <w:t>glycemic</w:t>
      </w:r>
      <w:proofErr w:type="spellEnd"/>
      <w:r w:rsidR="00B66245" w:rsidRPr="00B66245">
        <w:rPr>
          <w:rFonts w:ascii="Times New Roman" w:hAnsi="Times New Roman" w:cs="Times New Roman"/>
          <w:sz w:val="24"/>
          <w:szCs w:val="24"/>
        </w:rPr>
        <w:t xml:space="preserve"> variability and long-term cardiovascular risk in diabetic individuals</w:t>
      </w:r>
      <w:r>
        <w:rPr>
          <w:rFonts w:ascii="Times New Roman" w:hAnsi="Times New Roman" w:cs="Times New Roman"/>
          <w:sz w:val="24"/>
          <w:szCs w:val="24"/>
        </w:rPr>
        <w:t>”</w:t>
      </w:r>
      <w:r w:rsidR="009A75CC">
        <w:rPr>
          <w:rFonts w:ascii="Times New Roman" w:hAnsi="Times New Roman" w:cs="Times New Roman"/>
          <w:sz w:val="24"/>
          <w:szCs w:val="24"/>
          <w:vertAlign w:val="superscript"/>
        </w:rPr>
        <w:t>8</w:t>
      </w:r>
      <w:r w:rsidR="00B66245" w:rsidRPr="00B66245">
        <w:rPr>
          <w:rFonts w:ascii="Times New Roman" w:hAnsi="Times New Roman" w:cs="Times New Roman"/>
          <w:sz w:val="24"/>
          <w:szCs w:val="24"/>
        </w:rPr>
        <w:t>.</w:t>
      </w:r>
    </w:p>
    <w:p w14:paraId="05A55BC1" w14:textId="18DE9238" w:rsidR="00B66245" w:rsidRPr="00B66245" w:rsidRDefault="00A85F88" w:rsidP="007D49E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66245" w:rsidRPr="00B66245">
        <w:rPr>
          <w:rFonts w:ascii="Times New Roman" w:hAnsi="Times New Roman" w:cs="Times New Roman"/>
          <w:sz w:val="24"/>
          <w:szCs w:val="24"/>
        </w:rPr>
        <w:t>The coexistence of diabetes and thyroid dysfunction has important clinical implications. Thyroid abnormalities may alter the metabolic profile of patients with T2DM, influencing lipid metabolism, blood pressure regulation, endothelial function, and inflammatory responses</w:t>
      </w:r>
      <w:r>
        <w:rPr>
          <w:rFonts w:ascii="Times New Roman" w:hAnsi="Times New Roman" w:cs="Times New Roman"/>
          <w:sz w:val="24"/>
          <w:szCs w:val="24"/>
        </w:rPr>
        <w:t>”</w:t>
      </w:r>
      <w:r w:rsidR="009A75CC">
        <w:rPr>
          <w:rFonts w:ascii="Times New Roman" w:hAnsi="Times New Roman" w:cs="Times New Roman"/>
          <w:sz w:val="24"/>
          <w:szCs w:val="24"/>
          <w:vertAlign w:val="superscript"/>
        </w:rPr>
        <w:t>9,10</w:t>
      </w:r>
      <w:r w:rsidR="00B66245" w:rsidRPr="00B66245">
        <w:rPr>
          <w:rFonts w:ascii="Times New Roman" w:hAnsi="Times New Roman" w:cs="Times New Roman"/>
          <w:sz w:val="24"/>
          <w:szCs w:val="24"/>
        </w:rPr>
        <w:t xml:space="preserve">. </w:t>
      </w:r>
      <w:r>
        <w:rPr>
          <w:rFonts w:ascii="Times New Roman" w:hAnsi="Times New Roman" w:cs="Times New Roman"/>
          <w:sz w:val="24"/>
          <w:szCs w:val="24"/>
        </w:rPr>
        <w:t>“</w:t>
      </w:r>
      <w:r w:rsidR="00B66245" w:rsidRPr="00B66245">
        <w:rPr>
          <w:rFonts w:ascii="Times New Roman" w:hAnsi="Times New Roman" w:cs="Times New Roman"/>
          <w:sz w:val="24"/>
          <w:szCs w:val="24"/>
        </w:rPr>
        <w:t xml:space="preserve">These changes can contribute to an increased risk of cardiovascular complications, which remain the leading cause of morbidity and mortality in individuals with T2DM. From a clinical </w:t>
      </w:r>
      <w:r w:rsidR="00B66245" w:rsidRPr="00B66245">
        <w:rPr>
          <w:rFonts w:ascii="Times New Roman" w:hAnsi="Times New Roman" w:cs="Times New Roman"/>
          <w:sz w:val="24"/>
          <w:szCs w:val="24"/>
        </w:rPr>
        <w:lastRenderedPageBreak/>
        <w:t>perspective, understanding thyroid status in diabetic patients may facilitate more comprehensive metabolic assessment and support optimized therapeutic decision-making</w:t>
      </w:r>
      <w:r>
        <w:rPr>
          <w:rFonts w:ascii="Times New Roman" w:hAnsi="Times New Roman" w:cs="Times New Roman"/>
          <w:sz w:val="24"/>
          <w:szCs w:val="24"/>
        </w:rPr>
        <w:t>”</w:t>
      </w:r>
      <w:r w:rsidR="009A75CC">
        <w:rPr>
          <w:rFonts w:ascii="Times New Roman" w:hAnsi="Times New Roman" w:cs="Times New Roman"/>
          <w:sz w:val="24"/>
          <w:szCs w:val="24"/>
          <w:vertAlign w:val="superscript"/>
        </w:rPr>
        <w:t>10,11</w:t>
      </w:r>
      <w:r w:rsidR="00B66245" w:rsidRPr="00B66245">
        <w:rPr>
          <w:rFonts w:ascii="Times New Roman" w:hAnsi="Times New Roman" w:cs="Times New Roman"/>
          <w:sz w:val="24"/>
          <w:szCs w:val="24"/>
        </w:rPr>
        <w:t>.</w:t>
      </w:r>
    </w:p>
    <w:p w14:paraId="0D55DA40" w14:textId="13AF7F3B" w:rsidR="00B66245" w:rsidRPr="00B66245" w:rsidRDefault="00B66245" w:rsidP="00AD45F3">
      <w:pPr>
        <w:spacing w:line="360" w:lineRule="auto"/>
        <w:jc w:val="both"/>
        <w:rPr>
          <w:rFonts w:ascii="Times New Roman" w:hAnsi="Times New Roman" w:cs="Times New Roman"/>
          <w:sz w:val="24"/>
          <w:szCs w:val="24"/>
        </w:rPr>
      </w:pPr>
      <w:r w:rsidRPr="00B66245">
        <w:rPr>
          <w:rFonts w:ascii="Times New Roman" w:hAnsi="Times New Roman" w:cs="Times New Roman"/>
          <w:sz w:val="24"/>
          <w:szCs w:val="24"/>
        </w:rPr>
        <w:t>Growing scientific interest has highlighted the close relationship between thyroid function and glucose metabolism, emphasizing the importance of integrated endocrine evaluation in metabolic disorders</w:t>
      </w:r>
      <w:r w:rsidR="009A75CC">
        <w:rPr>
          <w:rFonts w:ascii="Times New Roman" w:hAnsi="Times New Roman" w:cs="Times New Roman"/>
          <w:sz w:val="24"/>
          <w:szCs w:val="24"/>
          <w:vertAlign w:val="superscript"/>
        </w:rPr>
        <w:t>12</w:t>
      </w:r>
      <w:r w:rsidRPr="00B66245">
        <w:rPr>
          <w:rFonts w:ascii="Times New Roman" w:hAnsi="Times New Roman" w:cs="Times New Roman"/>
          <w:sz w:val="24"/>
          <w:szCs w:val="24"/>
        </w:rPr>
        <w:t>. Comparative assessment of thyroid function in diabetic and non-diabetic individuals provides valuable insight into endocrine interactions and metabolic regulation across different physiological states. Such studies contribute to a clearer understanding of thyroid–glucose axis dynamics and may support the development of more individualized and preventive approaches to metabolic care.</w:t>
      </w:r>
      <w:r w:rsidR="00AD45F3">
        <w:rPr>
          <w:rFonts w:ascii="Times New Roman" w:hAnsi="Times New Roman" w:cs="Times New Roman"/>
          <w:sz w:val="24"/>
          <w:szCs w:val="24"/>
        </w:rPr>
        <w:t xml:space="preserve"> </w:t>
      </w:r>
      <w:r w:rsidR="00AD45F3" w:rsidRPr="00AD45F3">
        <w:rPr>
          <w:rFonts w:ascii="Times New Roman" w:hAnsi="Times New Roman" w:cs="Times New Roman"/>
          <w:sz w:val="24"/>
          <w:szCs w:val="24"/>
        </w:rPr>
        <w:t>T</w:t>
      </w:r>
      <w:r w:rsidRPr="00B66245">
        <w:rPr>
          <w:rFonts w:ascii="Times New Roman" w:hAnsi="Times New Roman" w:cs="Times New Roman"/>
          <w:sz w:val="24"/>
          <w:szCs w:val="24"/>
        </w:rPr>
        <w:t>his study aimed to evaluate and compare thyroid function parameters between patients with type 2 diabetes mellitus and non-diabetic individuals.</w:t>
      </w:r>
    </w:p>
    <w:p w14:paraId="6DD7C0A8" w14:textId="77777777" w:rsidR="00B66245" w:rsidRDefault="00B66245" w:rsidP="00040DCF"/>
    <w:p w14:paraId="3073AA2A" w14:textId="77777777" w:rsidR="002F179D" w:rsidRDefault="002F179D" w:rsidP="00040DCF"/>
    <w:p w14:paraId="09888D4A" w14:textId="77777777" w:rsidR="002F179D" w:rsidRDefault="002F179D" w:rsidP="00040DCF"/>
    <w:p w14:paraId="7ACB496D" w14:textId="77777777" w:rsidR="002F179D" w:rsidRDefault="002F179D" w:rsidP="00040DCF"/>
    <w:p w14:paraId="43BF29FC" w14:textId="77777777" w:rsidR="002F179D" w:rsidRDefault="002F179D" w:rsidP="00040DCF"/>
    <w:p w14:paraId="662F23E8" w14:textId="77777777" w:rsidR="002F179D" w:rsidRDefault="002F179D" w:rsidP="00040DCF"/>
    <w:p w14:paraId="344919CD" w14:textId="77777777" w:rsidR="002F179D" w:rsidRDefault="002F179D" w:rsidP="00040DCF"/>
    <w:p w14:paraId="1D361C74" w14:textId="77777777" w:rsidR="002F179D" w:rsidRDefault="002F179D" w:rsidP="00040DCF"/>
    <w:p w14:paraId="33C24BC7" w14:textId="77777777" w:rsidR="002F179D" w:rsidRDefault="002F179D" w:rsidP="00040DCF"/>
    <w:p w14:paraId="55E16D3C" w14:textId="77777777" w:rsidR="002F179D" w:rsidRDefault="002F179D" w:rsidP="00040DCF"/>
    <w:p w14:paraId="5ED7AA7D" w14:textId="77777777" w:rsidR="002F179D" w:rsidRDefault="002F179D" w:rsidP="00040DCF"/>
    <w:p w14:paraId="2D726DAE" w14:textId="77777777" w:rsidR="002F179D" w:rsidRDefault="002F179D" w:rsidP="00040DCF"/>
    <w:p w14:paraId="38E2D2BA" w14:textId="77777777" w:rsidR="002F179D" w:rsidRDefault="002F179D" w:rsidP="00040DCF"/>
    <w:p w14:paraId="5098AF29" w14:textId="77777777" w:rsidR="002F179D" w:rsidRDefault="002F179D" w:rsidP="00040DCF"/>
    <w:p w14:paraId="5836042B" w14:textId="77777777" w:rsidR="002F179D" w:rsidRDefault="002F179D" w:rsidP="00040DCF"/>
    <w:p w14:paraId="7200F119" w14:textId="77777777" w:rsidR="002F179D" w:rsidRDefault="002F179D" w:rsidP="00040DCF"/>
    <w:p w14:paraId="70BB580E" w14:textId="77777777" w:rsidR="002F179D" w:rsidRDefault="002F179D" w:rsidP="00040DCF"/>
    <w:p w14:paraId="286E34CD" w14:textId="77777777" w:rsidR="002F179D" w:rsidRDefault="002F179D" w:rsidP="00040DCF"/>
    <w:p w14:paraId="5636673F" w14:textId="77777777" w:rsidR="002F179D" w:rsidRDefault="002F179D" w:rsidP="00040DCF"/>
    <w:p w14:paraId="750DD198" w14:textId="77777777" w:rsidR="002F179D" w:rsidRDefault="002F179D" w:rsidP="00040DCF"/>
    <w:p w14:paraId="4DA4B7A2" w14:textId="77777777" w:rsidR="002F179D" w:rsidRDefault="002F179D" w:rsidP="00040DCF"/>
    <w:p w14:paraId="151A83BE" w14:textId="77777777" w:rsidR="002F179D" w:rsidRDefault="002F179D" w:rsidP="00040DCF"/>
    <w:p w14:paraId="69705D88"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MATERIALS AND METHODS</w:t>
      </w:r>
    </w:p>
    <w:p w14:paraId="16C11E8C"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Study Design and Setting</w:t>
      </w:r>
    </w:p>
    <w:p w14:paraId="09BDA92B" w14:textId="0ACF09D8"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sz w:val="24"/>
          <w:szCs w:val="24"/>
        </w:rPr>
        <w:t>A cross-sectional study was conducted at a tertiary care hospital from June</w:t>
      </w:r>
      <w:r w:rsidR="00776C10">
        <w:rPr>
          <w:rFonts w:ascii="Times New Roman" w:hAnsi="Times New Roman" w:cs="Times New Roman"/>
          <w:sz w:val="24"/>
          <w:szCs w:val="24"/>
        </w:rPr>
        <w:t xml:space="preserve"> 2024</w:t>
      </w:r>
      <w:r w:rsidRPr="002F179D">
        <w:rPr>
          <w:rFonts w:ascii="Times New Roman" w:hAnsi="Times New Roman" w:cs="Times New Roman"/>
          <w:sz w:val="24"/>
          <w:szCs w:val="24"/>
        </w:rPr>
        <w:t xml:space="preserve"> to August 2024 to evaluate and compare thyroid function parameters between patients with type 2 diabetes mellitus (T2DM) and non-diabetic individuals.</w:t>
      </w:r>
    </w:p>
    <w:p w14:paraId="4C0F94F6"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Study Population</w:t>
      </w:r>
    </w:p>
    <w:p w14:paraId="0CD28001" w14:textId="06060E91" w:rsidR="002F179D" w:rsidRPr="002F179D" w:rsidRDefault="002F179D" w:rsidP="00C53A24">
      <w:pPr>
        <w:spacing w:line="360" w:lineRule="auto"/>
        <w:jc w:val="both"/>
        <w:rPr>
          <w:rFonts w:ascii="Times New Roman" w:hAnsi="Times New Roman" w:cs="Times New Roman"/>
          <w:sz w:val="24"/>
          <w:szCs w:val="24"/>
        </w:rPr>
      </w:pPr>
      <w:r w:rsidRPr="002F179D">
        <w:rPr>
          <w:rFonts w:ascii="Times New Roman" w:hAnsi="Times New Roman" w:cs="Times New Roman"/>
          <w:sz w:val="24"/>
          <w:szCs w:val="24"/>
        </w:rPr>
        <w:t xml:space="preserve">The study included 200 adults (≥18 years), divided equally into two groups: 100 patients with T2DM and 100 non-diabetic controls. T2DM was diagnosed in accordance with the American Diabetes Association (ADA) criteria. Non-diabetic participants were selected based on normal fasting blood sugar (FBS) and HbA1c levels and were matched to cases by age and </w:t>
      </w:r>
      <w:r w:rsidR="00C53A24">
        <w:rPr>
          <w:rFonts w:ascii="Times New Roman" w:hAnsi="Times New Roman" w:cs="Times New Roman"/>
          <w:sz w:val="24"/>
          <w:szCs w:val="24"/>
        </w:rPr>
        <w:t>gender</w:t>
      </w:r>
      <w:r w:rsidRPr="002F179D">
        <w:rPr>
          <w:rFonts w:ascii="Times New Roman" w:hAnsi="Times New Roman" w:cs="Times New Roman"/>
          <w:sz w:val="24"/>
          <w:szCs w:val="24"/>
        </w:rPr>
        <w:t xml:space="preserve"> to reduce confounding.</w:t>
      </w:r>
    </w:p>
    <w:p w14:paraId="028569A7"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Eligibility Criteria</w:t>
      </w:r>
    </w:p>
    <w:p w14:paraId="5332E37D" w14:textId="77777777" w:rsidR="002F179D" w:rsidRPr="002F179D" w:rsidRDefault="002F179D" w:rsidP="00C53A24">
      <w:pPr>
        <w:spacing w:line="360" w:lineRule="auto"/>
        <w:jc w:val="both"/>
        <w:rPr>
          <w:rFonts w:ascii="Times New Roman" w:hAnsi="Times New Roman" w:cs="Times New Roman"/>
          <w:sz w:val="24"/>
          <w:szCs w:val="24"/>
        </w:rPr>
      </w:pPr>
      <w:r w:rsidRPr="002F179D">
        <w:rPr>
          <w:rFonts w:ascii="Times New Roman" w:hAnsi="Times New Roman" w:cs="Times New Roman"/>
          <w:sz w:val="24"/>
          <w:szCs w:val="24"/>
        </w:rPr>
        <w:t>Patients with T2DM who were clinically stable and under routine follow-up were eligible for inclusion. Controls were apparently healthy individuals without a history of diabetes. Participants were excluded if they had a known thyroid disorder, were pregnant, had chronic liver or kidney disease, or were using medications known to affect thyroid function (e.g., amiodarone or systemic corticosteroids).</w:t>
      </w:r>
    </w:p>
    <w:p w14:paraId="624E189D"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Data Collection and Measurements</w:t>
      </w:r>
    </w:p>
    <w:p w14:paraId="69132695" w14:textId="77777777" w:rsidR="002F179D" w:rsidRPr="002F179D" w:rsidRDefault="002F179D" w:rsidP="00C53A24">
      <w:pPr>
        <w:spacing w:line="360" w:lineRule="auto"/>
        <w:jc w:val="both"/>
        <w:rPr>
          <w:rFonts w:ascii="Times New Roman" w:hAnsi="Times New Roman" w:cs="Times New Roman"/>
          <w:sz w:val="24"/>
          <w:szCs w:val="24"/>
        </w:rPr>
      </w:pPr>
      <w:r w:rsidRPr="002F179D">
        <w:rPr>
          <w:rFonts w:ascii="Times New Roman" w:hAnsi="Times New Roman" w:cs="Times New Roman"/>
          <w:sz w:val="24"/>
          <w:szCs w:val="24"/>
        </w:rPr>
        <w:t>After obtaining written informed consent, demographic and clinical data—including age, sex, body mass index (BMI), and duration of diabetes (for T2DM patients)—were recorded using a structured case record form. Following an overnight fast, venous blood samples were collected to measure FBS, HbA1c, thyroid-stimulating hormone (TSH), and free thyroxine (FT4). Measurement of free triiodothyronine (FT3) was performed when clinically indicated.</w:t>
      </w:r>
    </w:p>
    <w:p w14:paraId="1EBC2362"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Laboratory Analysis</w:t>
      </w:r>
    </w:p>
    <w:p w14:paraId="32A626BE" w14:textId="715D149E" w:rsidR="002F179D" w:rsidRPr="002F179D" w:rsidRDefault="00C53A24" w:rsidP="00C53A24">
      <w:pPr>
        <w:spacing w:line="360" w:lineRule="auto"/>
        <w:jc w:val="both"/>
        <w:rPr>
          <w:rFonts w:ascii="Times New Roman" w:hAnsi="Times New Roman" w:cs="Times New Roman"/>
          <w:sz w:val="24"/>
          <w:szCs w:val="24"/>
        </w:rPr>
      </w:pPr>
      <w:r w:rsidRPr="00C53A24">
        <w:rPr>
          <w:rFonts w:ascii="Times New Roman" w:hAnsi="Times New Roman" w:cs="Times New Roman"/>
          <w:sz w:val="24"/>
          <w:szCs w:val="24"/>
        </w:rPr>
        <w:t xml:space="preserve">Venous blood samples were collected after an overnight fast and </w:t>
      </w:r>
      <w:proofErr w:type="spellStart"/>
      <w:r w:rsidRPr="00C53A24">
        <w:rPr>
          <w:rFonts w:ascii="Times New Roman" w:hAnsi="Times New Roman" w:cs="Times New Roman"/>
          <w:sz w:val="24"/>
          <w:szCs w:val="24"/>
        </w:rPr>
        <w:t>analyzed</w:t>
      </w:r>
      <w:proofErr w:type="spellEnd"/>
      <w:r w:rsidRPr="00C53A24">
        <w:rPr>
          <w:rFonts w:ascii="Times New Roman" w:hAnsi="Times New Roman" w:cs="Times New Roman"/>
          <w:sz w:val="24"/>
          <w:szCs w:val="24"/>
        </w:rPr>
        <w:t xml:space="preserve"> in the hospital laboratory following standard operating procedures. Serum thyroid-stimulating hormone (TSH) and free thyroxine (FT4) concentrations were measured using validated immunoassay techniques with appropriate internal quality control measures. Fasting blood glucose (FBS) and </w:t>
      </w:r>
      <w:r w:rsidRPr="00C53A24">
        <w:rPr>
          <w:rFonts w:ascii="Times New Roman" w:hAnsi="Times New Roman" w:cs="Times New Roman"/>
          <w:sz w:val="24"/>
          <w:szCs w:val="24"/>
        </w:rPr>
        <w:lastRenderedPageBreak/>
        <w:t xml:space="preserve">glycated </w:t>
      </w:r>
      <w:proofErr w:type="spellStart"/>
      <w:r w:rsidRPr="00C53A24">
        <w:rPr>
          <w:rFonts w:ascii="Times New Roman" w:hAnsi="Times New Roman" w:cs="Times New Roman"/>
          <w:sz w:val="24"/>
          <w:szCs w:val="24"/>
        </w:rPr>
        <w:t>hemoglobin</w:t>
      </w:r>
      <w:proofErr w:type="spellEnd"/>
      <w:r w:rsidRPr="00C53A24">
        <w:rPr>
          <w:rFonts w:ascii="Times New Roman" w:hAnsi="Times New Roman" w:cs="Times New Roman"/>
          <w:sz w:val="24"/>
          <w:szCs w:val="24"/>
        </w:rPr>
        <w:t xml:space="preserve"> (HbA1c) were determined using fully automated biochemical </w:t>
      </w:r>
      <w:proofErr w:type="spellStart"/>
      <w:r w:rsidRPr="00C53A24">
        <w:rPr>
          <w:rFonts w:ascii="Times New Roman" w:hAnsi="Times New Roman" w:cs="Times New Roman"/>
          <w:sz w:val="24"/>
          <w:szCs w:val="24"/>
        </w:rPr>
        <w:t>analyzers</w:t>
      </w:r>
      <w:proofErr w:type="spellEnd"/>
      <w:r w:rsidRPr="00C53A24">
        <w:rPr>
          <w:rFonts w:ascii="Times New Roman" w:hAnsi="Times New Roman" w:cs="Times New Roman"/>
          <w:sz w:val="24"/>
          <w:szCs w:val="24"/>
        </w:rPr>
        <w:t xml:space="preserve"> in accordance with routine laboratory protocols, ensuring analytical accuracy, precision, and reproducibility</w:t>
      </w:r>
      <w:r w:rsidR="002F179D" w:rsidRPr="002F179D">
        <w:rPr>
          <w:rFonts w:ascii="Times New Roman" w:hAnsi="Times New Roman" w:cs="Times New Roman"/>
          <w:sz w:val="24"/>
          <w:szCs w:val="24"/>
        </w:rPr>
        <w:t>.</w:t>
      </w:r>
    </w:p>
    <w:p w14:paraId="2B290D15"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Statistical Analysis</w:t>
      </w:r>
    </w:p>
    <w:p w14:paraId="60E7B219" w14:textId="26F8ED2D" w:rsidR="002F179D" w:rsidRPr="002F179D" w:rsidRDefault="00C53A24" w:rsidP="00C53A24">
      <w:pPr>
        <w:spacing w:line="360" w:lineRule="auto"/>
        <w:jc w:val="both"/>
        <w:rPr>
          <w:rFonts w:ascii="Times New Roman" w:hAnsi="Times New Roman" w:cs="Times New Roman"/>
          <w:sz w:val="24"/>
          <w:szCs w:val="24"/>
        </w:rPr>
      </w:pPr>
      <w:r w:rsidRPr="00C53A24">
        <w:rPr>
          <w:rFonts w:ascii="Times New Roman" w:hAnsi="Times New Roman" w:cs="Times New Roman"/>
          <w:sz w:val="24"/>
          <w:szCs w:val="24"/>
        </w:rPr>
        <w:t xml:space="preserve">Data were </w:t>
      </w:r>
      <w:proofErr w:type="spellStart"/>
      <w:r w:rsidRPr="00C53A24">
        <w:rPr>
          <w:rFonts w:ascii="Times New Roman" w:hAnsi="Times New Roman" w:cs="Times New Roman"/>
          <w:sz w:val="24"/>
          <w:szCs w:val="24"/>
        </w:rPr>
        <w:t>analyzed</w:t>
      </w:r>
      <w:proofErr w:type="spellEnd"/>
      <w:r w:rsidRPr="00C53A24">
        <w:rPr>
          <w:rFonts w:ascii="Times New Roman" w:hAnsi="Times New Roman" w:cs="Times New Roman"/>
          <w:sz w:val="24"/>
          <w:szCs w:val="24"/>
        </w:rPr>
        <w:t xml:space="preserve"> using SPSS version 26.0. Continuous variables are presented as mean ± standard deviation, and categorical variables as frequencies and percentages. Independent </w:t>
      </w:r>
      <w:r w:rsidRPr="00C53A24">
        <w:rPr>
          <w:rFonts w:ascii="Times New Roman" w:hAnsi="Times New Roman" w:cs="Times New Roman"/>
          <w:i/>
          <w:iCs/>
          <w:sz w:val="24"/>
          <w:szCs w:val="24"/>
        </w:rPr>
        <w:t>t</w:t>
      </w:r>
      <w:r w:rsidRPr="00C53A24">
        <w:rPr>
          <w:rFonts w:ascii="Times New Roman" w:hAnsi="Times New Roman" w:cs="Times New Roman"/>
          <w:sz w:val="24"/>
          <w:szCs w:val="24"/>
        </w:rPr>
        <w:t xml:space="preserve">-tests and chi-square tests were used for group comparisons, and Pearson’s correlation analysis assessed associations between thyroid function parameters and HbA1c in patients with T2DM. A </w:t>
      </w:r>
      <w:r w:rsidRPr="00C53A24">
        <w:rPr>
          <w:rFonts w:ascii="Times New Roman" w:hAnsi="Times New Roman" w:cs="Times New Roman"/>
          <w:i/>
          <w:iCs/>
          <w:sz w:val="24"/>
          <w:szCs w:val="24"/>
        </w:rPr>
        <w:t>p</w:t>
      </w:r>
      <w:r w:rsidRPr="00C53A24">
        <w:rPr>
          <w:rFonts w:ascii="Times New Roman" w:hAnsi="Times New Roman" w:cs="Times New Roman"/>
          <w:sz w:val="24"/>
          <w:szCs w:val="24"/>
        </w:rPr>
        <w:t>-value &lt; 0.05 was considered statistically significant</w:t>
      </w:r>
      <w:r w:rsidR="002F179D" w:rsidRPr="002F179D">
        <w:rPr>
          <w:rFonts w:ascii="Times New Roman" w:hAnsi="Times New Roman" w:cs="Times New Roman"/>
          <w:sz w:val="24"/>
          <w:szCs w:val="24"/>
        </w:rPr>
        <w:t>.</w:t>
      </w:r>
    </w:p>
    <w:p w14:paraId="7474C37F" w14:textId="77777777" w:rsidR="001C7D20" w:rsidRDefault="001C7D20" w:rsidP="00C53A24">
      <w:pPr>
        <w:spacing w:line="360" w:lineRule="auto"/>
        <w:jc w:val="both"/>
        <w:rPr>
          <w:rFonts w:ascii="Times New Roman" w:hAnsi="Times New Roman" w:cs="Times New Roman"/>
          <w:b/>
          <w:bCs/>
          <w:sz w:val="24"/>
          <w:szCs w:val="24"/>
        </w:rPr>
      </w:pPr>
    </w:p>
    <w:p w14:paraId="78E26320" w14:textId="77777777" w:rsidR="002F179D" w:rsidRDefault="002F179D" w:rsidP="00040DCF"/>
    <w:p w14:paraId="1391ED27" w14:textId="77777777" w:rsidR="00AE381F" w:rsidRDefault="00AE381F" w:rsidP="00040DCF"/>
    <w:p w14:paraId="1CC86E5C" w14:textId="77777777" w:rsidR="00AE381F" w:rsidRDefault="00AE381F" w:rsidP="00040DCF"/>
    <w:p w14:paraId="0823A3B6" w14:textId="77777777" w:rsidR="00AE381F" w:rsidRDefault="00AE381F" w:rsidP="00040DCF"/>
    <w:p w14:paraId="3880C26D" w14:textId="77777777" w:rsidR="00AE381F" w:rsidRDefault="00AE381F" w:rsidP="00040DCF"/>
    <w:p w14:paraId="71D098B4" w14:textId="77777777" w:rsidR="00AE381F" w:rsidRDefault="00AE381F" w:rsidP="00040DCF"/>
    <w:p w14:paraId="2CDDA31F" w14:textId="77777777" w:rsidR="00AE381F" w:rsidRDefault="00AE381F" w:rsidP="00040DCF"/>
    <w:p w14:paraId="008541ED" w14:textId="77777777" w:rsidR="00AE381F" w:rsidRDefault="00AE381F" w:rsidP="00040DCF"/>
    <w:p w14:paraId="6A431608" w14:textId="77777777" w:rsidR="00AE381F" w:rsidRDefault="00AE381F" w:rsidP="00040DCF"/>
    <w:p w14:paraId="6AD3FF72" w14:textId="77777777" w:rsidR="00AE381F" w:rsidRDefault="00AE381F" w:rsidP="00040DCF"/>
    <w:p w14:paraId="0F932669" w14:textId="77777777" w:rsidR="00AE381F" w:rsidRDefault="00AE381F" w:rsidP="00040DCF"/>
    <w:p w14:paraId="63A6B8A6" w14:textId="77777777" w:rsidR="00AE381F" w:rsidRDefault="00AE381F" w:rsidP="00040DCF"/>
    <w:p w14:paraId="2FDBE7B0" w14:textId="77777777" w:rsidR="00AE381F" w:rsidRDefault="00AE381F" w:rsidP="00040DCF"/>
    <w:p w14:paraId="106A1F99" w14:textId="77777777" w:rsidR="00AE381F" w:rsidRDefault="00AE381F" w:rsidP="00040DCF"/>
    <w:p w14:paraId="1FFBEF87" w14:textId="77777777" w:rsidR="00AE381F" w:rsidRDefault="00AE381F" w:rsidP="00040DCF"/>
    <w:p w14:paraId="46F4B9C1" w14:textId="77777777" w:rsidR="00AE381F" w:rsidRDefault="00AE381F" w:rsidP="00040DCF"/>
    <w:p w14:paraId="1813C045" w14:textId="77777777" w:rsidR="00AE381F" w:rsidRDefault="00AE381F" w:rsidP="00040DCF"/>
    <w:p w14:paraId="07459ACA" w14:textId="77777777" w:rsidR="00AE381F" w:rsidRPr="00AE381F" w:rsidRDefault="00AE381F" w:rsidP="00AE381F">
      <w:pPr>
        <w:rPr>
          <w:rFonts w:ascii="Times New Roman" w:hAnsi="Times New Roman" w:cs="Times New Roman"/>
          <w:b/>
          <w:bCs/>
          <w:sz w:val="24"/>
          <w:szCs w:val="24"/>
        </w:rPr>
      </w:pPr>
      <w:r w:rsidRPr="00AE381F">
        <w:rPr>
          <w:rFonts w:ascii="Times New Roman" w:hAnsi="Times New Roman" w:cs="Times New Roman"/>
          <w:b/>
          <w:bCs/>
          <w:sz w:val="24"/>
          <w:szCs w:val="24"/>
        </w:rPr>
        <w:t>RESULTS</w:t>
      </w:r>
    </w:p>
    <w:p w14:paraId="144FF188" w14:textId="77777777" w:rsidR="00AE381F" w:rsidRPr="00AE381F" w:rsidRDefault="00AE381F" w:rsidP="00A93A3B">
      <w:pPr>
        <w:spacing w:line="360" w:lineRule="auto"/>
        <w:jc w:val="both"/>
        <w:rPr>
          <w:rFonts w:ascii="Times New Roman" w:hAnsi="Times New Roman" w:cs="Times New Roman"/>
          <w:b/>
          <w:bCs/>
          <w:sz w:val="24"/>
          <w:szCs w:val="24"/>
        </w:rPr>
      </w:pPr>
      <w:r w:rsidRPr="00AE381F">
        <w:rPr>
          <w:rFonts w:ascii="Times New Roman" w:hAnsi="Times New Roman" w:cs="Times New Roman"/>
          <w:b/>
          <w:bCs/>
          <w:sz w:val="24"/>
          <w:szCs w:val="24"/>
        </w:rPr>
        <w:t>Baseline Demographic and Clinical Characteristics</w:t>
      </w:r>
    </w:p>
    <w:p w14:paraId="25972FE1" w14:textId="241974E9" w:rsidR="00AE381F" w:rsidRPr="00AE381F" w:rsidRDefault="00AE381F" w:rsidP="00A93A3B">
      <w:pPr>
        <w:spacing w:line="360" w:lineRule="auto"/>
        <w:jc w:val="both"/>
        <w:rPr>
          <w:rFonts w:ascii="Times New Roman" w:hAnsi="Times New Roman" w:cs="Times New Roman"/>
          <w:sz w:val="24"/>
          <w:szCs w:val="24"/>
        </w:rPr>
      </w:pPr>
      <w:r w:rsidRPr="00AE381F">
        <w:rPr>
          <w:rFonts w:ascii="Times New Roman" w:hAnsi="Times New Roman" w:cs="Times New Roman"/>
          <w:sz w:val="24"/>
          <w:szCs w:val="24"/>
        </w:rPr>
        <w:lastRenderedPageBreak/>
        <w:t>Baseline demographic and biochemical characteristics of the study participants are presented in Table 1. A total of 200 adults were included, comprising 100 patients with type 2 diabetes mellitus (T2DM) and 100 non-diabetic controls. The mean age and sex distribution were comparable between the two groups (p &gt; 0.05).</w:t>
      </w:r>
      <w:r w:rsidR="002B2308">
        <w:rPr>
          <w:rFonts w:ascii="Times New Roman" w:hAnsi="Times New Roman" w:cs="Times New Roman"/>
          <w:sz w:val="24"/>
          <w:szCs w:val="24"/>
        </w:rPr>
        <w:t xml:space="preserve"> </w:t>
      </w:r>
      <w:r w:rsidRPr="00AE381F">
        <w:rPr>
          <w:rFonts w:ascii="Times New Roman" w:hAnsi="Times New Roman" w:cs="Times New Roman"/>
          <w:sz w:val="24"/>
          <w:szCs w:val="24"/>
        </w:rPr>
        <w:t>Patients with T2DM had significantly higher fasting blood glucose, 2-hour postprandial blood glucose, and HbA1c levels compared to non-diabetic individuals (p &lt; 0.001 for all). In addition, patients with T2DM exhibited a more adverse lipid profile, characterized by higher total cholesterol, triglycerides, and LDL-C levels, along with lower HDL-C levels. Serum creatinine levels were also significantly higher in the T2DM group (p &lt; 0.001), reflecting greater metabolic and renal involvement.</w:t>
      </w:r>
    </w:p>
    <w:p w14:paraId="341493F2" w14:textId="77777777" w:rsidR="00AE381F" w:rsidRPr="00AE381F" w:rsidRDefault="00AE381F" w:rsidP="00A93A3B">
      <w:pPr>
        <w:jc w:val="center"/>
        <w:rPr>
          <w:rFonts w:ascii="Times New Roman" w:hAnsi="Times New Roman" w:cs="Times New Roman"/>
          <w:b/>
          <w:bCs/>
          <w:sz w:val="24"/>
          <w:szCs w:val="24"/>
        </w:rPr>
      </w:pPr>
      <w:r w:rsidRPr="00AE381F">
        <w:rPr>
          <w:rFonts w:ascii="Times New Roman" w:hAnsi="Times New Roman" w:cs="Times New Roman"/>
          <w:b/>
          <w:bCs/>
          <w:sz w:val="24"/>
          <w:szCs w:val="24"/>
        </w:rPr>
        <w:t>Table 1. Demographic and Clinical Characteristics of Study Participants</w:t>
      </w:r>
    </w:p>
    <w:tbl>
      <w:tblPr>
        <w:tblStyle w:val="TableGrid"/>
        <w:tblW w:w="9165" w:type="dxa"/>
        <w:jc w:val="center"/>
        <w:tblLook w:val="04A0" w:firstRow="1" w:lastRow="0" w:firstColumn="1" w:lastColumn="0" w:noHBand="0" w:noVBand="1"/>
      </w:tblPr>
      <w:tblGrid>
        <w:gridCol w:w="3536"/>
        <w:gridCol w:w="2014"/>
        <w:gridCol w:w="2561"/>
        <w:gridCol w:w="1054"/>
      </w:tblGrid>
      <w:tr w:rsidR="00AE381F" w:rsidRPr="00AE381F" w14:paraId="653EFCCA" w14:textId="77777777" w:rsidTr="002B2308">
        <w:trPr>
          <w:trHeight w:val="509"/>
          <w:jc w:val="center"/>
        </w:trPr>
        <w:tc>
          <w:tcPr>
            <w:tcW w:w="0" w:type="auto"/>
            <w:hideMark/>
          </w:tcPr>
          <w:p w14:paraId="147C7027" w14:textId="77777777" w:rsidR="00AE381F" w:rsidRPr="00AE381F" w:rsidRDefault="00AE381F" w:rsidP="00AE381F">
            <w:pPr>
              <w:spacing w:after="160" w:line="259" w:lineRule="auto"/>
              <w:rPr>
                <w:rFonts w:ascii="Times New Roman" w:hAnsi="Times New Roman" w:cs="Times New Roman"/>
                <w:b/>
                <w:bCs/>
                <w:sz w:val="24"/>
                <w:szCs w:val="24"/>
              </w:rPr>
            </w:pPr>
            <w:r w:rsidRPr="00AE381F">
              <w:rPr>
                <w:rFonts w:ascii="Times New Roman" w:hAnsi="Times New Roman" w:cs="Times New Roman"/>
                <w:b/>
                <w:bCs/>
                <w:sz w:val="24"/>
                <w:szCs w:val="24"/>
              </w:rPr>
              <w:t>Variable</w:t>
            </w:r>
          </w:p>
        </w:tc>
        <w:tc>
          <w:tcPr>
            <w:tcW w:w="0" w:type="auto"/>
            <w:hideMark/>
          </w:tcPr>
          <w:p w14:paraId="04E7355B"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T2DM (n = 100)</w:t>
            </w:r>
          </w:p>
        </w:tc>
        <w:tc>
          <w:tcPr>
            <w:tcW w:w="0" w:type="auto"/>
            <w:hideMark/>
          </w:tcPr>
          <w:p w14:paraId="34F6857A"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Non-T2DM (n = 100)</w:t>
            </w:r>
          </w:p>
        </w:tc>
        <w:tc>
          <w:tcPr>
            <w:tcW w:w="0" w:type="auto"/>
            <w:hideMark/>
          </w:tcPr>
          <w:p w14:paraId="706B739B"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p-value</w:t>
            </w:r>
          </w:p>
        </w:tc>
      </w:tr>
      <w:tr w:rsidR="00AE381F" w:rsidRPr="00AE381F" w14:paraId="56AC182D" w14:textId="77777777" w:rsidTr="002B2308">
        <w:trPr>
          <w:trHeight w:val="509"/>
          <w:jc w:val="center"/>
        </w:trPr>
        <w:tc>
          <w:tcPr>
            <w:tcW w:w="0" w:type="auto"/>
            <w:hideMark/>
          </w:tcPr>
          <w:p w14:paraId="3C74B869"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Age (years)</w:t>
            </w:r>
          </w:p>
        </w:tc>
        <w:tc>
          <w:tcPr>
            <w:tcW w:w="0" w:type="auto"/>
            <w:hideMark/>
          </w:tcPr>
          <w:p w14:paraId="64D3649E"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49.6 ± 9.8</w:t>
            </w:r>
          </w:p>
        </w:tc>
        <w:tc>
          <w:tcPr>
            <w:tcW w:w="0" w:type="auto"/>
            <w:hideMark/>
          </w:tcPr>
          <w:p w14:paraId="1CC7DE63"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48.9 ± 10.1</w:t>
            </w:r>
          </w:p>
        </w:tc>
        <w:tc>
          <w:tcPr>
            <w:tcW w:w="0" w:type="auto"/>
            <w:hideMark/>
          </w:tcPr>
          <w:p w14:paraId="3AAB3F67"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0.62</w:t>
            </w:r>
          </w:p>
        </w:tc>
      </w:tr>
      <w:tr w:rsidR="00AE381F" w:rsidRPr="00AE381F" w14:paraId="170F5B2F" w14:textId="77777777" w:rsidTr="002B2308">
        <w:trPr>
          <w:trHeight w:val="525"/>
          <w:jc w:val="center"/>
        </w:trPr>
        <w:tc>
          <w:tcPr>
            <w:tcW w:w="0" w:type="auto"/>
            <w:hideMark/>
          </w:tcPr>
          <w:p w14:paraId="2328544F"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Male/Female</w:t>
            </w:r>
          </w:p>
        </w:tc>
        <w:tc>
          <w:tcPr>
            <w:tcW w:w="0" w:type="auto"/>
            <w:hideMark/>
          </w:tcPr>
          <w:p w14:paraId="5D372BFF"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58 / 42</w:t>
            </w:r>
          </w:p>
        </w:tc>
        <w:tc>
          <w:tcPr>
            <w:tcW w:w="0" w:type="auto"/>
            <w:hideMark/>
          </w:tcPr>
          <w:p w14:paraId="289FB28D"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55 / 45</w:t>
            </w:r>
          </w:p>
        </w:tc>
        <w:tc>
          <w:tcPr>
            <w:tcW w:w="0" w:type="auto"/>
            <w:hideMark/>
          </w:tcPr>
          <w:p w14:paraId="119187B1"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0.67</w:t>
            </w:r>
          </w:p>
        </w:tc>
      </w:tr>
      <w:tr w:rsidR="00AE381F" w:rsidRPr="00AE381F" w14:paraId="42B2EA43" w14:textId="77777777" w:rsidTr="002B2308">
        <w:trPr>
          <w:trHeight w:val="509"/>
          <w:jc w:val="center"/>
        </w:trPr>
        <w:tc>
          <w:tcPr>
            <w:tcW w:w="0" w:type="auto"/>
            <w:hideMark/>
          </w:tcPr>
          <w:p w14:paraId="4329D14C"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Fasting Blood Glucose (mg/dL)</w:t>
            </w:r>
          </w:p>
        </w:tc>
        <w:tc>
          <w:tcPr>
            <w:tcW w:w="0" w:type="auto"/>
            <w:hideMark/>
          </w:tcPr>
          <w:p w14:paraId="364F256E"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156.4 ± 38.2</w:t>
            </w:r>
          </w:p>
        </w:tc>
        <w:tc>
          <w:tcPr>
            <w:tcW w:w="0" w:type="auto"/>
            <w:hideMark/>
          </w:tcPr>
          <w:p w14:paraId="155BB81E"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92.6 ± 10.4</w:t>
            </w:r>
          </w:p>
        </w:tc>
        <w:tc>
          <w:tcPr>
            <w:tcW w:w="0" w:type="auto"/>
            <w:hideMark/>
          </w:tcPr>
          <w:p w14:paraId="7AB3117D"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36F131AA" w14:textId="77777777" w:rsidTr="002B2308">
        <w:trPr>
          <w:trHeight w:val="509"/>
          <w:jc w:val="center"/>
        </w:trPr>
        <w:tc>
          <w:tcPr>
            <w:tcW w:w="0" w:type="auto"/>
            <w:hideMark/>
          </w:tcPr>
          <w:p w14:paraId="64D1DDEF"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2-hour ABF / PPBG (mg/dL)</w:t>
            </w:r>
          </w:p>
        </w:tc>
        <w:tc>
          <w:tcPr>
            <w:tcW w:w="0" w:type="auto"/>
            <w:hideMark/>
          </w:tcPr>
          <w:p w14:paraId="623C129B"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232.8 ± 54.1</w:t>
            </w:r>
          </w:p>
        </w:tc>
        <w:tc>
          <w:tcPr>
            <w:tcW w:w="0" w:type="auto"/>
            <w:hideMark/>
          </w:tcPr>
          <w:p w14:paraId="35A2BD05"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118.3 ± 18.6</w:t>
            </w:r>
          </w:p>
        </w:tc>
        <w:tc>
          <w:tcPr>
            <w:tcW w:w="0" w:type="auto"/>
            <w:hideMark/>
          </w:tcPr>
          <w:p w14:paraId="3F3A3432"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654F2CD7" w14:textId="77777777" w:rsidTr="002B2308">
        <w:trPr>
          <w:trHeight w:val="509"/>
          <w:jc w:val="center"/>
        </w:trPr>
        <w:tc>
          <w:tcPr>
            <w:tcW w:w="0" w:type="auto"/>
            <w:hideMark/>
          </w:tcPr>
          <w:p w14:paraId="5E0B15E1"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HbA1c (%)</w:t>
            </w:r>
          </w:p>
        </w:tc>
        <w:tc>
          <w:tcPr>
            <w:tcW w:w="0" w:type="auto"/>
            <w:hideMark/>
          </w:tcPr>
          <w:p w14:paraId="6A5351BF"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8.4 ± 1.2</w:t>
            </w:r>
          </w:p>
        </w:tc>
        <w:tc>
          <w:tcPr>
            <w:tcW w:w="0" w:type="auto"/>
            <w:hideMark/>
          </w:tcPr>
          <w:p w14:paraId="1973F3A4"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5.4 ± 0.4</w:t>
            </w:r>
          </w:p>
        </w:tc>
        <w:tc>
          <w:tcPr>
            <w:tcW w:w="0" w:type="auto"/>
            <w:hideMark/>
          </w:tcPr>
          <w:p w14:paraId="10569999"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1773EDCA" w14:textId="77777777" w:rsidTr="002B2308">
        <w:trPr>
          <w:trHeight w:val="509"/>
          <w:jc w:val="center"/>
        </w:trPr>
        <w:tc>
          <w:tcPr>
            <w:tcW w:w="0" w:type="auto"/>
            <w:hideMark/>
          </w:tcPr>
          <w:p w14:paraId="29781F08"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Total Cholesterol (mg/dL)</w:t>
            </w:r>
          </w:p>
        </w:tc>
        <w:tc>
          <w:tcPr>
            <w:tcW w:w="0" w:type="auto"/>
            <w:hideMark/>
          </w:tcPr>
          <w:p w14:paraId="004B311B"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198.6 ± 36.7</w:t>
            </w:r>
          </w:p>
        </w:tc>
        <w:tc>
          <w:tcPr>
            <w:tcW w:w="0" w:type="auto"/>
            <w:hideMark/>
          </w:tcPr>
          <w:p w14:paraId="5FA778F4"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172.4 ± 28.9</w:t>
            </w:r>
          </w:p>
        </w:tc>
        <w:tc>
          <w:tcPr>
            <w:tcW w:w="0" w:type="auto"/>
            <w:hideMark/>
          </w:tcPr>
          <w:p w14:paraId="36D7FF8F"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635F1E45" w14:textId="77777777" w:rsidTr="002B2308">
        <w:trPr>
          <w:trHeight w:val="525"/>
          <w:jc w:val="center"/>
        </w:trPr>
        <w:tc>
          <w:tcPr>
            <w:tcW w:w="0" w:type="auto"/>
            <w:hideMark/>
          </w:tcPr>
          <w:p w14:paraId="557613E1"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Triglycerides (mg/dL)</w:t>
            </w:r>
          </w:p>
        </w:tc>
        <w:tc>
          <w:tcPr>
            <w:tcW w:w="0" w:type="auto"/>
            <w:hideMark/>
          </w:tcPr>
          <w:p w14:paraId="2DE5931A"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184.2 ± 62.5</w:t>
            </w:r>
          </w:p>
        </w:tc>
        <w:tc>
          <w:tcPr>
            <w:tcW w:w="0" w:type="auto"/>
            <w:hideMark/>
          </w:tcPr>
          <w:p w14:paraId="5B4929A8"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132.6 ± 44.1</w:t>
            </w:r>
          </w:p>
        </w:tc>
        <w:tc>
          <w:tcPr>
            <w:tcW w:w="0" w:type="auto"/>
            <w:hideMark/>
          </w:tcPr>
          <w:p w14:paraId="20CFEA60"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71023DEE" w14:textId="77777777" w:rsidTr="002B2308">
        <w:trPr>
          <w:trHeight w:val="509"/>
          <w:jc w:val="center"/>
        </w:trPr>
        <w:tc>
          <w:tcPr>
            <w:tcW w:w="0" w:type="auto"/>
            <w:hideMark/>
          </w:tcPr>
          <w:p w14:paraId="53191C26"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HDL-C (mg/dL)</w:t>
            </w:r>
          </w:p>
        </w:tc>
        <w:tc>
          <w:tcPr>
            <w:tcW w:w="0" w:type="auto"/>
            <w:hideMark/>
          </w:tcPr>
          <w:p w14:paraId="0559CAE7"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38.4 ± 8.2</w:t>
            </w:r>
          </w:p>
        </w:tc>
        <w:tc>
          <w:tcPr>
            <w:tcW w:w="0" w:type="auto"/>
            <w:hideMark/>
          </w:tcPr>
          <w:p w14:paraId="60C9C560"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46.9 ± 9.1</w:t>
            </w:r>
          </w:p>
        </w:tc>
        <w:tc>
          <w:tcPr>
            <w:tcW w:w="0" w:type="auto"/>
            <w:hideMark/>
          </w:tcPr>
          <w:p w14:paraId="37A5DC53"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35509721" w14:textId="77777777" w:rsidTr="002B2308">
        <w:trPr>
          <w:trHeight w:val="509"/>
          <w:jc w:val="center"/>
        </w:trPr>
        <w:tc>
          <w:tcPr>
            <w:tcW w:w="0" w:type="auto"/>
            <w:hideMark/>
          </w:tcPr>
          <w:p w14:paraId="7E0ED53C"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LDL-C (mg/dL)</w:t>
            </w:r>
          </w:p>
        </w:tc>
        <w:tc>
          <w:tcPr>
            <w:tcW w:w="0" w:type="auto"/>
            <w:hideMark/>
          </w:tcPr>
          <w:p w14:paraId="1A174FB7"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118.6 ± 31.4</w:t>
            </w:r>
          </w:p>
        </w:tc>
        <w:tc>
          <w:tcPr>
            <w:tcW w:w="0" w:type="auto"/>
            <w:hideMark/>
          </w:tcPr>
          <w:p w14:paraId="0B59EF22"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98.2 ± 24.6</w:t>
            </w:r>
          </w:p>
        </w:tc>
        <w:tc>
          <w:tcPr>
            <w:tcW w:w="0" w:type="auto"/>
            <w:hideMark/>
          </w:tcPr>
          <w:p w14:paraId="1437A20D"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65347B7B" w14:textId="77777777" w:rsidTr="002B2308">
        <w:trPr>
          <w:trHeight w:val="509"/>
          <w:jc w:val="center"/>
        </w:trPr>
        <w:tc>
          <w:tcPr>
            <w:tcW w:w="0" w:type="auto"/>
            <w:hideMark/>
          </w:tcPr>
          <w:p w14:paraId="6FC28E9F"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Serum Creatinine (mg/dL)</w:t>
            </w:r>
          </w:p>
        </w:tc>
        <w:tc>
          <w:tcPr>
            <w:tcW w:w="0" w:type="auto"/>
            <w:hideMark/>
          </w:tcPr>
          <w:p w14:paraId="15E66E76"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1.18 ± 0.32</w:t>
            </w:r>
          </w:p>
        </w:tc>
        <w:tc>
          <w:tcPr>
            <w:tcW w:w="0" w:type="auto"/>
            <w:hideMark/>
          </w:tcPr>
          <w:p w14:paraId="442872B8"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0.92 ± 0.21</w:t>
            </w:r>
          </w:p>
        </w:tc>
        <w:tc>
          <w:tcPr>
            <w:tcW w:w="0" w:type="auto"/>
            <w:hideMark/>
          </w:tcPr>
          <w:p w14:paraId="5EC5CC1E"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bl>
    <w:p w14:paraId="2971FCB2" w14:textId="7F68616A" w:rsidR="00AE381F" w:rsidRPr="00AE381F" w:rsidRDefault="00AE381F" w:rsidP="00AE381F"/>
    <w:p w14:paraId="164BBB9D" w14:textId="77777777" w:rsidR="00A93A3B" w:rsidRDefault="00A93A3B" w:rsidP="00A93A3B">
      <w:pPr>
        <w:spacing w:line="360" w:lineRule="auto"/>
        <w:jc w:val="both"/>
        <w:rPr>
          <w:b/>
          <w:bCs/>
        </w:rPr>
      </w:pPr>
    </w:p>
    <w:p w14:paraId="4A36180F" w14:textId="77777777" w:rsidR="00A93A3B" w:rsidRDefault="00A93A3B" w:rsidP="00A93A3B">
      <w:pPr>
        <w:spacing w:line="360" w:lineRule="auto"/>
        <w:jc w:val="both"/>
        <w:rPr>
          <w:b/>
          <w:bCs/>
        </w:rPr>
      </w:pPr>
    </w:p>
    <w:p w14:paraId="6C00FB30" w14:textId="77777777" w:rsidR="00A93A3B" w:rsidRDefault="00A93A3B" w:rsidP="00A93A3B">
      <w:pPr>
        <w:spacing w:line="360" w:lineRule="auto"/>
        <w:jc w:val="both"/>
        <w:rPr>
          <w:b/>
          <w:bCs/>
        </w:rPr>
      </w:pPr>
    </w:p>
    <w:p w14:paraId="3FA220B2" w14:textId="77777777" w:rsidR="002B2308" w:rsidRDefault="002B2308" w:rsidP="002B2308">
      <w:pPr>
        <w:spacing w:line="360" w:lineRule="auto"/>
        <w:jc w:val="both"/>
        <w:rPr>
          <w:rFonts w:ascii="Times New Roman" w:hAnsi="Times New Roman" w:cs="Times New Roman"/>
          <w:b/>
          <w:bCs/>
          <w:sz w:val="24"/>
          <w:szCs w:val="24"/>
        </w:rPr>
      </w:pPr>
    </w:p>
    <w:p w14:paraId="240D373F" w14:textId="383AD5C4" w:rsidR="002B2308" w:rsidRPr="002B2308" w:rsidRDefault="002B2308" w:rsidP="002B2308">
      <w:pPr>
        <w:spacing w:line="360" w:lineRule="auto"/>
        <w:jc w:val="both"/>
        <w:rPr>
          <w:rFonts w:ascii="Times New Roman" w:hAnsi="Times New Roman" w:cs="Times New Roman"/>
          <w:b/>
          <w:bCs/>
          <w:sz w:val="24"/>
          <w:szCs w:val="24"/>
        </w:rPr>
      </w:pPr>
      <w:r w:rsidRPr="002B2308">
        <w:rPr>
          <w:rFonts w:ascii="Times New Roman" w:hAnsi="Times New Roman" w:cs="Times New Roman"/>
          <w:b/>
          <w:bCs/>
          <w:sz w:val="24"/>
          <w:szCs w:val="24"/>
        </w:rPr>
        <w:t xml:space="preserve">Prevalence of Thyroid Dysfunction According to Diabetes Status and </w:t>
      </w:r>
      <w:r>
        <w:rPr>
          <w:rFonts w:ascii="Times New Roman" w:hAnsi="Times New Roman" w:cs="Times New Roman"/>
          <w:b/>
          <w:bCs/>
          <w:sz w:val="24"/>
          <w:szCs w:val="24"/>
        </w:rPr>
        <w:t>Gender</w:t>
      </w:r>
    </w:p>
    <w:p w14:paraId="5E534FF5" w14:textId="3E404D6A" w:rsidR="002B2308" w:rsidRPr="002B2308" w:rsidRDefault="002B2308" w:rsidP="002B2308">
      <w:pPr>
        <w:spacing w:line="360" w:lineRule="auto"/>
        <w:jc w:val="both"/>
        <w:rPr>
          <w:rFonts w:ascii="Times New Roman" w:hAnsi="Times New Roman" w:cs="Times New Roman"/>
          <w:sz w:val="24"/>
          <w:szCs w:val="24"/>
        </w:rPr>
      </w:pPr>
      <w:r w:rsidRPr="002B2308">
        <w:rPr>
          <w:rFonts w:ascii="Times New Roman" w:hAnsi="Times New Roman" w:cs="Times New Roman"/>
          <w:sz w:val="24"/>
          <w:szCs w:val="24"/>
        </w:rPr>
        <w:lastRenderedPageBreak/>
        <w:t xml:space="preserve">The prevalence of thyroid dysfunction according to diabetes status and </w:t>
      </w:r>
      <w:r>
        <w:rPr>
          <w:rFonts w:ascii="Times New Roman" w:hAnsi="Times New Roman" w:cs="Times New Roman"/>
          <w:sz w:val="24"/>
          <w:szCs w:val="24"/>
        </w:rPr>
        <w:t>gender</w:t>
      </w:r>
      <w:r w:rsidRPr="002B2308">
        <w:rPr>
          <w:rFonts w:ascii="Times New Roman" w:hAnsi="Times New Roman" w:cs="Times New Roman"/>
          <w:sz w:val="24"/>
          <w:szCs w:val="24"/>
        </w:rPr>
        <w:t xml:space="preserve"> is presented in Table </w:t>
      </w:r>
      <w:r>
        <w:rPr>
          <w:rFonts w:ascii="Times New Roman" w:hAnsi="Times New Roman" w:cs="Times New Roman"/>
          <w:sz w:val="24"/>
          <w:szCs w:val="24"/>
        </w:rPr>
        <w:t>2</w:t>
      </w:r>
      <w:r w:rsidRPr="002B2308">
        <w:rPr>
          <w:rFonts w:ascii="Times New Roman" w:hAnsi="Times New Roman" w:cs="Times New Roman"/>
          <w:sz w:val="24"/>
          <w:szCs w:val="24"/>
        </w:rPr>
        <w:t>. Overall, thyroid dysfunction was significantly more prevalent among patients with T2DM compared to non-diabetic individuals (p = 0.003). Subclinical hypothyroidism was the most frequently observed abnormality in the T2DM group, followed by overt hypothyroidism, whereas the majority of non-diabetic participants remained euthyroid.</w:t>
      </w:r>
      <w:r>
        <w:rPr>
          <w:rFonts w:ascii="Times New Roman" w:hAnsi="Times New Roman" w:cs="Times New Roman"/>
          <w:sz w:val="24"/>
          <w:szCs w:val="24"/>
        </w:rPr>
        <w:t xml:space="preserve"> </w:t>
      </w:r>
      <w:r w:rsidRPr="002B2308">
        <w:rPr>
          <w:rFonts w:ascii="Times New Roman" w:hAnsi="Times New Roman" w:cs="Times New Roman"/>
          <w:sz w:val="24"/>
          <w:szCs w:val="24"/>
        </w:rPr>
        <w:t xml:space="preserve">When stratified by </w:t>
      </w:r>
      <w:r>
        <w:rPr>
          <w:rFonts w:ascii="Times New Roman" w:hAnsi="Times New Roman" w:cs="Times New Roman"/>
          <w:sz w:val="24"/>
          <w:szCs w:val="24"/>
        </w:rPr>
        <w:t>gender</w:t>
      </w:r>
      <w:r w:rsidRPr="002B2308">
        <w:rPr>
          <w:rFonts w:ascii="Times New Roman" w:hAnsi="Times New Roman" w:cs="Times New Roman"/>
          <w:sz w:val="24"/>
          <w:szCs w:val="24"/>
        </w:rPr>
        <w:t xml:space="preserve">, thyroid dysfunction was more common among female patients with T2DM compared to male patients. In contrast, among non-diabetic individuals, thyroid dysfunction was less frequent and showed no marked </w:t>
      </w:r>
      <w:r>
        <w:rPr>
          <w:rFonts w:ascii="Times New Roman" w:hAnsi="Times New Roman" w:cs="Times New Roman"/>
          <w:sz w:val="24"/>
          <w:szCs w:val="24"/>
        </w:rPr>
        <w:t>gender</w:t>
      </w:r>
      <w:r w:rsidRPr="002B2308">
        <w:rPr>
          <w:rFonts w:ascii="Times New Roman" w:hAnsi="Times New Roman" w:cs="Times New Roman"/>
          <w:sz w:val="24"/>
          <w:szCs w:val="24"/>
        </w:rPr>
        <w:t xml:space="preserve">-based difference. </w:t>
      </w:r>
    </w:p>
    <w:p w14:paraId="3D2F50BB" w14:textId="49BBA448" w:rsidR="002B2308" w:rsidRPr="002B2308" w:rsidRDefault="002B2308" w:rsidP="002B2308">
      <w:pPr>
        <w:spacing w:line="360" w:lineRule="auto"/>
        <w:jc w:val="both"/>
        <w:rPr>
          <w:rFonts w:ascii="Times New Roman" w:hAnsi="Times New Roman" w:cs="Times New Roman"/>
          <w:b/>
          <w:bCs/>
          <w:sz w:val="24"/>
          <w:szCs w:val="24"/>
        </w:rPr>
      </w:pPr>
      <w:r w:rsidRPr="002B2308">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2B2308">
        <w:rPr>
          <w:rFonts w:ascii="Times New Roman" w:hAnsi="Times New Roman" w:cs="Times New Roman"/>
          <w:b/>
          <w:bCs/>
          <w:sz w:val="24"/>
          <w:szCs w:val="24"/>
        </w:rPr>
        <w:t>. Prevalence of Thyroid Dysfunction According to Diabetes Status and Sex</w:t>
      </w:r>
    </w:p>
    <w:tbl>
      <w:tblPr>
        <w:tblStyle w:val="TableGrid"/>
        <w:tblW w:w="9505" w:type="dxa"/>
        <w:jc w:val="center"/>
        <w:tblLook w:val="04A0" w:firstRow="1" w:lastRow="0" w:firstColumn="1" w:lastColumn="0" w:noHBand="0" w:noVBand="1"/>
      </w:tblPr>
      <w:tblGrid>
        <w:gridCol w:w="1770"/>
        <w:gridCol w:w="1551"/>
        <w:gridCol w:w="1671"/>
        <w:gridCol w:w="1719"/>
        <w:gridCol w:w="1840"/>
        <w:gridCol w:w="954"/>
      </w:tblGrid>
      <w:tr w:rsidR="002B2308" w:rsidRPr="002B2308" w14:paraId="674894E5" w14:textId="77777777" w:rsidTr="00FD2080">
        <w:trPr>
          <w:trHeight w:val="942"/>
          <w:jc w:val="center"/>
        </w:trPr>
        <w:tc>
          <w:tcPr>
            <w:tcW w:w="0" w:type="auto"/>
            <w:hideMark/>
          </w:tcPr>
          <w:p w14:paraId="5B38F0E5"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Thyroid Status</w:t>
            </w:r>
          </w:p>
        </w:tc>
        <w:tc>
          <w:tcPr>
            <w:tcW w:w="0" w:type="auto"/>
            <w:hideMark/>
          </w:tcPr>
          <w:p w14:paraId="327E6EAA"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T2DM Male (n=58) n (%)</w:t>
            </w:r>
          </w:p>
        </w:tc>
        <w:tc>
          <w:tcPr>
            <w:tcW w:w="0" w:type="auto"/>
            <w:hideMark/>
          </w:tcPr>
          <w:p w14:paraId="376831B2"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T2DM Female (n=42) n (%)</w:t>
            </w:r>
          </w:p>
        </w:tc>
        <w:tc>
          <w:tcPr>
            <w:tcW w:w="0" w:type="auto"/>
            <w:hideMark/>
          </w:tcPr>
          <w:p w14:paraId="33474D83"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Non-T2DM Male (n=55) n (%)</w:t>
            </w:r>
          </w:p>
        </w:tc>
        <w:tc>
          <w:tcPr>
            <w:tcW w:w="0" w:type="auto"/>
            <w:hideMark/>
          </w:tcPr>
          <w:p w14:paraId="517557E1"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Non-T2DM Female (n=45) n (%)</w:t>
            </w:r>
          </w:p>
        </w:tc>
        <w:tc>
          <w:tcPr>
            <w:tcW w:w="0" w:type="auto"/>
            <w:hideMark/>
          </w:tcPr>
          <w:p w14:paraId="1DB942E9"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p-value*</w:t>
            </w:r>
          </w:p>
        </w:tc>
      </w:tr>
      <w:tr w:rsidR="002B2308" w:rsidRPr="002B2308" w14:paraId="24B42D42" w14:textId="77777777" w:rsidTr="00FD2080">
        <w:trPr>
          <w:trHeight w:val="489"/>
          <w:jc w:val="center"/>
        </w:trPr>
        <w:tc>
          <w:tcPr>
            <w:tcW w:w="0" w:type="auto"/>
            <w:hideMark/>
          </w:tcPr>
          <w:p w14:paraId="6685147E"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Euthyroid</w:t>
            </w:r>
          </w:p>
        </w:tc>
        <w:tc>
          <w:tcPr>
            <w:tcW w:w="0" w:type="auto"/>
            <w:hideMark/>
          </w:tcPr>
          <w:p w14:paraId="1A7016EB"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44 (75.9)</w:t>
            </w:r>
          </w:p>
        </w:tc>
        <w:tc>
          <w:tcPr>
            <w:tcW w:w="0" w:type="auto"/>
            <w:hideMark/>
          </w:tcPr>
          <w:p w14:paraId="592BF37C"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24 (57.1)</w:t>
            </w:r>
          </w:p>
        </w:tc>
        <w:tc>
          <w:tcPr>
            <w:tcW w:w="0" w:type="auto"/>
            <w:hideMark/>
          </w:tcPr>
          <w:p w14:paraId="0628CC25"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48 (87.3)</w:t>
            </w:r>
          </w:p>
        </w:tc>
        <w:tc>
          <w:tcPr>
            <w:tcW w:w="0" w:type="auto"/>
            <w:hideMark/>
          </w:tcPr>
          <w:p w14:paraId="662C50BA"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38 (84.4)</w:t>
            </w:r>
          </w:p>
        </w:tc>
        <w:tc>
          <w:tcPr>
            <w:tcW w:w="0" w:type="auto"/>
            <w:hideMark/>
          </w:tcPr>
          <w:p w14:paraId="4D21CCA1" w14:textId="77777777" w:rsidR="002B2308" w:rsidRPr="002B2308" w:rsidRDefault="002B2308" w:rsidP="002B2308">
            <w:pPr>
              <w:spacing w:after="160" w:line="360" w:lineRule="auto"/>
              <w:jc w:val="center"/>
              <w:rPr>
                <w:rFonts w:ascii="Times New Roman" w:hAnsi="Times New Roman" w:cs="Times New Roman"/>
                <w:sz w:val="24"/>
                <w:szCs w:val="24"/>
              </w:rPr>
            </w:pPr>
          </w:p>
        </w:tc>
      </w:tr>
      <w:tr w:rsidR="002B2308" w:rsidRPr="002B2308" w14:paraId="4656A0C4" w14:textId="77777777" w:rsidTr="00FD2080">
        <w:trPr>
          <w:trHeight w:val="851"/>
          <w:jc w:val="center"/>
        </w:trPr>
        <w:tc>
          <w:tcPr>
            <w:tcW w:w="0" w:type="auto"/>
            <w:hideMark/>
          </w:tcPr>
          <w:p w14:paraId="2F38FE9D"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Subclinical hypothyroid</w:t>
            </w:r>
          </w:p>
        </w:tc>
        <w:tc>
          <w:tcPr>
            <w:tcW w:w="0" w:type="auto"/>
            <w:hideMark/>
          </w:tcPr>
          <w:p w14:paraId="388CAB5F"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10 (17.2)</w:t>
            </w:r>
          </w:p>
        </w:tc>
        <w:tc>
          <w:tcPr>
            <w:tcW w:w="0" w:type="auto"/>
            <w:hideMark/>
          </w:tcPr>
          <w:p w14:paraId="0797294B"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12 (28.6)</w:t>
            </w:r>
          </w:p>
        </w:tc>
        <w:tc>
          <w:tcPr>
            <w:tcW w:w="0" w:type="auto"/>
            <w:hideMark/>
          </w:tcPr>
          <w:p w14:paraId="4D17C430"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5 (9.1)</w:t>
            </w:r>
          </w:p>
        </w:tc>
        <w:tc>
          <w:tcPr>
            <w:tcW w:w="0" w:type="auto"/>
            <w:hideMark/>
          </w:tcPr>
          <w:p w14:paraId="23CE4A25"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5 (11.1)</w:t>
            </w:r>
          </w:p>
        </w:tc>
        <w:tc>
          <w:tcPr>
            <w:tcW w:w="0" w:type="auto"/>
            <w:hideMark/>
          </w:tcPr>
          <w:p w14:paraId="3BFF25B7" w14:textId="77777777" w:rsidR="002B2308" w:rsidRPr="002B2308" w:rsidRDefault="002B2308" w:rsidP="002B2308">
            <w:pPr>
              <w:spacing w:after="160" w:line="360" w:lineRule="auto"/>
              <w:jc w:val="center"/>
              <w:rPr>
                <w:rFonts w:ascii="Times New Roman" w:hAnsi="Times New Roman" w:cs="Times New Roman"/>
                <w:sz w:val="24"/>
                <w:szCs w:val="24"/>
              </w:rPr>
            </w:pPr>
          </w:p>
        </w:tc>
      </w:tr>
      <w:tr w:rsidR="002B2308" w:rsidRPr="002B2308" w14:paraId="6B313347" w14:textId="77777777" w:rsidTr="00FD2080">
        <w:trPr>
          <w:trHeight w:val="838"/>
          <w:jc w:val="center"/>
        </w:trPr>
        <w:tc>
          <w:tcPr>
            <w:tcW w:w="0" w:type="auto"/>
            <w:hideMark/>
          </w:tcPr>
          <w:p w14:paraId="04625D64"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Overt hypothyroid</w:t>
            </w:r>
          </w:p>
        </w:tc>
        <w:tc>
          <w:tcPr>
            <w:tcW w:w="0" w:type="auto"/>
            <w:hideMark/>
          </w:tcPr>
          <w:p w14:paraId="4CA5852B"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4 (6.9)</w:t>
            </w:r>
          </w:p>
        </w:tc>
        <w:tc>
          <w:tcPr>
            <w:tcW w:w="0" w:type="auto"/>
            <w:hideMark/>
          </w:tcPr>
          <w:p w14:paraId="04F2932C"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6 (14.3)</w:t>
            </w:r>
          </w:p>
        </w:tc>
        <w:tc>
          <w:tcPr>
            <w:tcW w:w="0" w:type="auto"/>
            <w:hideMark/>
          </w:tcPr>
          <w:p w14:paraId="6904BC93"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2 (3.6)</w:t>
            </w:r>
          </w:p>
        </w:tc>
        <w:tc>
          <w:tcPr>
            <w:tcW w:w="0" w:type="auto"/>
            <w:hideMark/>
          </w:tcPr>
          <w:p w14:paraId="75C33914"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2 (4.4)</w:t>
            </w:r>
          </w:p>
        </w:tc>
        <w:tc>
          <w:tcPr>
            <w:tcW w:w="0" w:type="auto"/>
            <w:hideMark/>
          </w:tcPr>
          <w:p w14:paraId="5D71A0C3"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0.003†</w:t>
            </w:r>
          </w:p>
        </w:tc>
      </w:tr>
    </w:tbl>
    <w:p w14:paraId="1D71FE0D" w14:textId="1E730981" w:rsidR="00FD2080" w:rsidRDefault="00D86BFC" w:rsidP="00FD2080">
      <w:pPr>
        <w:pStyle w:val="ListParagraph"/>
        <w:numPr>
          <w:ilvl w:val="0"/>
          <w:numId w:val="2"/>
        </w:numPr>
        <w:rPr>
          <w:rFonts w:ascii="Times New Roman" w:hAnsi="Times New Roman" w:cs="Times New Roman"/>
          <w:b/>
          <w:bCs/>
          <w:i/>
          <w:iCs/>
          <w:sz w:val="20"/>
          <w:szCs w:val="20"/>
        </w:rPr>
      </w:pPr>
      <w:r w:rsidRPr="00D803C4">
        <w:rPr>
          <w:rFonts w:ascii="Times New Roman" w:hAnsi="Times New Roman" w:cs="Times New Roman"/>
          <w:b/>
          <w:bCs/>
          <w:i/>
          <w:iCs/>
          <w:sz w:val="20"/>
          <w:szCs w:val="20"/>
        </w:rPr>
        <w:t>p: male vs female (T2DM); † Chi-square test</w:t>
      </w:r>
    </w:p>
    <w:p w14:paraId="0499EB14" w14:textId="77777777" w:rsidR="00FD2080" w:rsidRPr="00FD2080" w:rsidRDefault="00FD2080" w:rsidP="00FD2080">
      <w:pPr>
        <w:pStyle w:val="ListParagraph"/>
        <w:rPr>
          <w:rFonts w:ascii="Times New Roman" w:hAnsi="Times New Roman" w:cs="Times New Roman"/>
          <w:b/>
          <w:bCs/>
          <w:i/>
          <w:iCs/>
          <w:sz w:val="20"/>
          <w:szCs w:val="20"/>
        </w:rPr>
      </w:pPr>
    </w:p>
    <w:p w14:paraId="2FD951BE" w14:textId="58A718DF" w:rsidR="002B2308" w:rsidRDefault="00FD2080" w:rsidP="00FD2080">
      <w:pPr>
        <w:spacing w:line="360" w:lineRule="auto"/>
        <w:jc w:val="center"/>
        <w:rPr>
          <w:rFonts w:ascii="Times New Roman" w:hAnsi="Times New Roman" w:cs="Times New Roman"/>
          <w:b/>
          <w:bCs/>
          <w:sz w:val="24"/>
          <w:szCs w:val="24"/>
        </w:rPr>
      </w:pPr>
      <w:r>
        <w:rPr>
          <w:noProof/>
        </w:rPr>
        <w:drawing>
          <wp:inline distT="0" distB="0" distL="0" distR="0" wp14:anchorId="4AD2851C" wp14:editId="5BEB142B">
            <wp:extent cx="4457700" cy="2581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7">
                      <a:extLst>
                        <a:ext uri="{28A0092B-C50C-407E-A947-70E740481C1C}">
                          <a14:useLocalDpi xmlns:a14="http://schemas.microsoft.com/office/drawing/2010/main" val="0"/>
                        </a:ext>
                      </a:extLst>
                    </a:blip>
                    <a:srcRect t="7089"/>
                    <a:stretch/>
                  </pic:blipFill>
                  <pic:spPr bwMode="auto">
                    <a:xfrm>
                      <a:off x="0" y="0"/>
                      <a:ext cx="445770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0855264E" w14:textId="326DBC65" w:rsidR="002B2308" w:rsidRDefault="00FD2080" w:rsidP="00FD2080">
      <w:pPr>
        <w:spacing w:line="360" w:lineRule="auto"/>
        <w:jc w:val="center"/>
        <w:rPr>
          <w:rFonts w:ascii="Times New Roman" w:hAnsi="Times New Roman" w:cs="Times New Roman"/>
          <w:b/>
          <w:bCs/>
          <w:sz w:val="24"/>
          <w:szCs w:val="24"/>
        </w:rPr>
      </w:pPr>
      <w:r w:rsidRPr="00FD2080">
        <w:rPr>
          <w:rFonts w:ascii="Times New Roman" w:hAnsi="Times New Roman" w:cs="Times New Roman"/>
          <w:b/>
          <w:bCs/>
          <w:sz w:val="24"/>
          <w:szCs w:val="24"/>
        </w:rPr>
        <w:t xml:space="preserve">Figure </w:t>
      </w:r>
      <w:r w:rsidR="00DB15C5">
        <w:rPr>
          <w:rFonts w:ascii="Times New Roman" w:hAnsi="Times New Roman" w:cs="Times New Roman"/>
          <w:b/>
          <w:bCs/>
          <w:sz w:val="24"/>
          <w:szCs w:val="24"/>
        </w:rPr>
        <w:t>1</w:t>
      </w:r>
      <w:r w:rsidRPr="00FD2080">
        <w:rPr>
          <w:rFonts w:ascii="Times New Roman" w:hAnsi="Times New Roman" w:cs="Times New Roman"/>
          <w:b/>
          <w:bCs/>
          <w:sz w:val="24"/>
          <w:szCs w:val="24"/>
        </w:rPr>
        <w:t>. Distribution of Thyroid Dysfunction in T2DM</w:t>
      </w:r>
    </w:p>
    <w:p w14:paraId="14F7F86E" w14:textId="286A88D2" w:rsidR="00AE381F" w:rsidRPr="00AE381F" w:rsidRDefault="00AE381F" w:rsidP="002B2308">
      <w:pPr>
        <w:spacing w:line="360" w:lineRule="auto"/>
        <w:jc w:val="both"/>
        <w:rPr>
          <w:rFonts w:ascii="Times New Roman" w:hAnsi="Times New Roman" w:cs="Times New Roman"/>
          <w:b/>
          <w:bCs/>
          <w:sz w:val="24"/>
          <w:szCs w:val="24"/>
        </w:rPr>
      </w:pPr>
      <w:r w:rsidRPr="00AE381F">
        <w:rPr>
          <w:rFonts w:ascii="Times New Roman" w:hAnsi="Times New Roman" w:cs="Times New Roman"/>
          <w:b/>
          <w:bCs/>
          <w:sz w:val="24"/>
          <w:szCs w:val="24"/>
        </w:rPr>
        <w:t>Comparison of Thyroid Function Parameters Between Groups</w:t>
      </w:r>
    </w:p>
    <w:p w14:paraId="08025D8B" w14:textId="47FEBCE8" w:rsidR="00AE381F" w:rsidRPr="00AE381F" w:rsidRDefault="00AE381F" w:rsidP="002B2308">
      <w:pPr>
        <w:spacing w:line="360" w:lineRule="auto"/>
        <w:jc w:val="both"/>
      </w:pPr>
      <w:r w:rsidRPr="00AE381F">
        <w:rPr>
          <w:rFonts w:ascii="Times New Roman" w:hAnsi="Times New Roman" w:cs="Times New Roman"/>
          <w:sz w:val="24"/>
          <w:szCs w:val="24"/>
        </w:rPr>
        <w:lastRenderedPageBreak/>
        <w:t xml:space="preserve">Thyroid function parameters in patients with T2DM and non-diabetic controls are compared in Table </w:t>
      </w:r>
      <w:r w:rsidR="002B2308">
        <w:rPr>
          <w:rFonts w:ascii="Times New Roman" w:hAnsi="Times New Roman" w:cs="Times New Roman"/>
          <w:sz w:val="24"/>
          <w:szCs w:val="24"/>
        </w:rPr>
        <w:t>3</w:t>
      </w:r>
      <w:r w:rsidRPr="00AE381F">
        <w:rPr>
          <w:rFonts w:ascii="Times New Roman" w:hAnsi="Times New Roman" w:cs="Times New Roman"/>
          <w:sz w:val="24"/>
          <w:szCs w:val="24"/>
        </w:rPr>
        <w:t xml:space="preserve">. Mean serum TSH levels were significantly higher in the T2DM group compared to controls (4.2 ± 1.6 vs 2.6 ± 1.1 </w:t>
      </w:r>
      <w:proofErr w:type="spellStart"/>
      <w:r w:rsidRPr="00AE381F">
        <w:rPr>
          <w:rFonts w:ascii="Times New Roman" w:hAnsi="Times New Roman" w:cs="Times New Roman"/>
          <w:sz w:val="24"/>
          <w:szCs w:val="24"/>
        </w:rPr>
        <w:t>mIU</w:t>
      </w:r>
      <w:proofErr w:type="spellEnd"/>
      <w:r w:rsidRPr="00AE381F">
        <w:rPr>
          <w:rFonts w:ascii="Times New Roman" w:hAnsi="Times New Roman" w:cs="Times New Roman"/>
          <w:sz w:val="24"/>
          <w:szCs w:val="24"/>
        </w:rPr>
        <w:t>/L; p &lt; 0.001). Conversely, mean FT4 levels were significantly lower among patients with T2DM (p = 0.01), indicating a greater tendency toward hypothyroid status in the diabetic population</w:t>
      </w:r>
      <w:r w:rsidRPr="00AE381F">
        <w:t>.</w:t>
      </w:r>
    </w:p>
    <w:p w14:paraId="5DCB5F35" w14:textId="6685F11E" w:rsidR="00AE381F" w:rsidRPr="00AE381F" w:rsidRDefault="00AE381F" w:rsidP="00A93A3B">
      <w:pPr>
        <w:jc w:val="center"/>
        <w:rPr>
          <w:rFonts w:ascii="Times New Roman" w:hAnsi="Times New Roman" w:cs="Times New Roman"/>
          <w:b/>
          <w:bCs/>
          <w:sz w:val="24"/>
          <w:szCs w:val="24"/>
        </w:rPr>
      </w:pPr>
      <w:r w:rsidRPr="00AE381F">
        <w:rPr>
          <w:rFonts w:ascii="Times New Roman" w:hAnsi="Times New Roman" w:cs="Times New Roman"/>
          <w:b/>
          <w:bCs/>
          <w:sz w:val="24"/>
          <w:szCs w:val="24"/>
        </w:rPr>
        <w:t xml:space="preserve">Table </w:t>
      </w:r>
      <w:r w:rsidR="002B2308" w:rsidRPr="002B2308">
        <w:rPr>
          <w:rFonts w:ascii="Times New Roman" w:hAnsi="Times New Roman" w:cs="Times New Roman"/>
          <w:b/>
          <w:bCs/>
          <w:sz w:val="24"/>
          <w:szCs w:val="24"/>
        </w:rPr>
        <w:t>3</w:t>
      </w:r>
      <w:r w:rsidRPr="00AE381F">
        <w:rPr>
          <w:rFonts w:ascii="Times New Roman" w:hAnsi="Times New Roman" w:cs="Times New Roman"/>
          <w:b/>
          <w:bCs/>
          <w:sz w:val="24"/>
          <w:szCs w:val="24"/>
        </w:rPr>
        <w:t>. Comparison of Thyroid Function Parameters</w:t>
      </w:r>
    </w:p>
    <w:tbl>
      <w:tblPr>
        <w:tblStyle w:val="TableGrid"/>
        <w:tblW w:w="7463" w:type="dxa"/>
        <w:jc w:val="center"/>
        <w:tblLook w:val="04A0" w:firstRow="1" w:lastRow="0" w:firstColumn="1" w:lastColumn="0" w:noHBand="0" w:noVBand="1"/>
      </w:tblPr>
      <w:tblGrid>
        <w:gridCol w:w="2201"/>
        <w:gridCol w:w="1866"/>
        <w:gridCol w:w="2002"/>
        <w:gridCol w:w="1394"/>
      </w:tblGrid>
      <w:tr w:rsidR="002B2308" w:rsidRPr="00AE381F" w14:paraId="00306FC1" w14:textId="77777777" w:rsidTr="002B2308">
        <w:trPr>
          <w:trHeight w:val="762"/>
          <w:jc w:val="center"/>
        </w:trPr>
        <w:tc>
          <w:tcPr>
            <w:tcW w:w="0" w:type="auto"/>
            <w:hideMark/>
          </w:tcPr>
          <w:p w14:paraId="5E10598E"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Parameter</w:t>
            </w:r>
          </w:p>
        </w:tc>
        <w:tc>
          <w:tcPr>
            <w:tcW w:w="0" w:type="auto"/>
            <w:hideMark/>
          </w:tcPr>
          <w:p w14:paraId="34488C9B"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T2DM</w:t>
            </w:r>
          </w:p>
        </w:tc>
        <w:tc>
          <w:tcPr>
            <w:tcW w:w="0" w:type="auto"/>
            <w:hideMark/>
          </w:tcPr>
          <w:p w14:paraId="5E46DEFD"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Non-T2DM</w:t>
            </w:r>
          </w:p>
        </w:tc>
        <w:tc>
          <w:tcPr>
            <w:tcW w:w="0" w:type="auto"/>
            <w:hideMark/>
          </w:tcPr>
          <w:p w14:paraId="5FE57117"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p-value</w:t>
            </w:r>
          </w:p>
        </w:tc>
      </w:tr>
      <w:tr w:rsidR="002B2308" w:rsidRPr="00AE381F" w14:paraId="32A75624" w14:textId="77777777" w:rsidTr="002B2308">
        <w:trPr>
          <w:trHeight w:val="736"/>
          <w:jc w:val="center"/>
        </w:trPr>
        <w:tc>
          <w:tcPr>
            <w:tcW w:w="0" w:type="auto"/>
            <w:hideMark/>
          </w:tcPr>
          <w:p w14:paraId="5D3BDDE8"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TSH (</w:t>
            </w:r>
            <w:proofErr w:type="spellStart"/>
            <w:r w:rsidRPr="00AE381F">
              <w:rPr>
                <w:rFonts w:ascii="Times New Roman" w:hAnsi="Times New Roman" w:cs="Times New Roman"/>
                <w:sz w:val="24"/>
                <w:szCs w:val="24"/>
              </w:rPr>
              <w:t>mIU</w:t>
            </w:r>
            <w:proofErr w:type="spellEnd"/>
            <w:r w:rsidRPr="00AE381F">
              <w:rPr>
                <w:rFonts w:ascii="Times New Roman" w:hAnsi="Times New Roman" w:cs="Times New Roman"/>
                <w:sz w:val="24"/>
                <w:szCs w:val="24"/>
              </w:rPr>
              <w:t>/L)</w:t>
            </w:r>
          </w:p>
        </w:tc>
        <w:tc>
          <w:tcPr>
            <w:tcW w:w="0" w:type="auto"/>
            <w:hideMark/>
          </w:tcPr>
          <w:p w14:paraId="5CBD0039"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4.2 ± 1.6</w:t>
            </w:r>
          </w:p>
        </w:tc>
        <w:tc>
          <w:tcPr>
            <w:tcW w:w="0" w:type="auto"/>
            <w:hideMark/>
          </w:tcPr>
          <w:p w14:paraId="59BE64FF"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2.6 ± 1.1</w:t>
            </w:r>
          </w:p>
        </w:tc>
        <w:tc>
          <w:tcPr>
            <w:tcW w:w="0" w:type="auto"/>
            <w:hideMark/>
          </w:tcPr>
          <w:p w14:paraId="78355FC1"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2B2308" w:rsidRPr="00AE381F" w14:paraId="729485CC" w14:textId="77777777" w:rsidTr="002B2308">
        <w:trPr>
          <w:trHeight w:val="762"/>
          <w:jc w:val="center"/>
        </w:trPr>
        <w:tc>
          <w:tcPr>
            <w:tcW w:w="0" w:type="auto"/>
            <w:hideMark/>
          </w:tcPr>
          <w:p w14:paraId="58A073A0"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FT4 (ng/dL)</w:t>
            </w:r>
          </w:p>
        </w:tc>
        <w:tc>
          <w:tcPr>
            <w:tcW w:w="0" w:type="auto"/>
            <w:hideMark/>
          </w:tcPr>
          <w:p w14:paraId="1E80A515"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0.96 ± 0.18</w:t>
            </w:r>
          </w:p>
        </w:tc>
        <w:tc>
          <w:tcPr>
            <w:tcW w:w="0" w:type="auto"/>
            <w:hideMark/>
          </w:tcPr>
          <w:p w14:paraId="4849D5F1"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1.08 ± 0.16</w:t>
            </w:r>
          </w:p>
        </w:tc>
        <w:tc>
          <w:tcPr>
            <w:tcW w:w="0" w:type="auto"/>
            <w:hideMark/>
          </w:tcPr>
          <w:p w14:paraId="53A16B0C"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0.01</w:t>
            </w:r>
          </w:p>
        </w:tc>
      </w:tr>
    </w:tbl>
    <w:p w14:paraId="46DDC62A" w14:textId="7CB143DD" w:rsidR="00AE381F" w:rsidRPr="00AE381F" w:rsidRDefault="00AE381F" w:rsidP="00AE381F"/>
    <w:p w14:paraId="78841B59" w14:textId="77777777" w:rsidR="00CD5BBF" w:rsidRDefault="00CD5BBF" w:rsidP="00AE381F">
      <w:pPr>
        <w:rPr>
          <w:noProof/>
        </w:rPr>
      </w:pPr>
    </w:p>
    <w:p w14:paraId="09A532AB" w14:textId="77777777" w:rsidR="00CD5BBF" w:rsidRDefault="00CD5BBF" w:rsidP="00CD5BBF">
      <w:pPr>
        <w:jc w:val="center"/>
      </w:pPr>
      <w:r>
        <w:rPr>
          <w:noProof/>
        </w:rPr>
        <w:drawing>
          <wp:inline distT="0" distB="0" distL="0" distR="0" wp14:anchorId="5AE272C9" wp14:editId="6344169A">
            <wp:extent cx="3895725" cy="3305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8">
                      <a:extLst>
                        <a:ext uri="{28A0092B-C50C-407E-A947-70E740481C1C}">
                          <a14:useLocalDpi xmlns:a14="http://schemas.microsoft.com/office/drawing/2010/main" val="0"/>
                        </a:ext>
                      </a:extLst>
                    </a:blip>
                    <a:srcRect t="6459"/>
                    <a:stretch/>
                  </pic:blipFill>
                  <pic:spPr bwMode="auto">
                    <a:xfrm>
                      <a:off x="0" y="0"/>
                      <a:ext cx="3895725" cy="3305175"/>
                    </a:xfrm>
                    <a:prstGeom prst="rect">
                      <a:avLst/>
                    </a:prstGeom>
                    <a:noFill/>
                    <a:ln>
                      <a:noFill/>
                    </a:ln>
                    <a:extLst>
                      <a:ext uri="{53640926-AAD7-44D8-BBD7-CCE9431645EC}">
                        <a14:shadowObscured xmlns:a14="http://schemas.microsoft.com/office/drawing/2010/main"/>
                      </a:ext>
                    </a:extLst>
                  </pic:spPr>
                </pic:pic>
              </a:graphicData>
            </a:graphic>
          </wp:inline>
        </w:drawing>
      </w:r>
    </w:p>
    <w:p w14:paraId="39104CA1" w14:textId="7C159629" w:rsidR="00CD5BBF" w:rsidRPr="00AE381F" w:rsidRDefault="00CD5BBF" w:rsidP="00CD5BBF">
      <w:pPr>
        <w:jc w:val="center"/>
        <w:rPr>
          <w:rFonts w:ascii="Times New Roman" w:hAnsi="Times New Roman" w:cs="Times New Roman"/>
          <w:b/>
          <w:bCs/>
          <w:sz w:val="24"/>
          <w:szCs w:val="24"/>
        </w:rPr>
      </w:pPr>
      <w:r w:rsidRPr="00CD5BBF">
        <w:rPr>
          <w:rFonts w:ascii="Times New Roman" w:hAnsi="Times New Roman" w:cs="Times New Roman"/>
          <w:b/>
          <w:bCs/>
          <w:sz w:val="24"/>
          <w:szCs w:val="24"/>
        </w:rPr>
        <w:t xml:space="preserve">Figure </w:t>
      </w:r>
      <w:r w:rsidR="00DB15C5">
        <w:rPr>
          <w:rFonts w:ascii="Times New Roman" w:hAnsi="Times New Roman" w:cs="Times New Roman"/>
          <w:b/>
          <w:bCs/>
          <w:sz w:val="24"/>
          <w:szCs w:val="24"/>
        </w:rPr>
        <w:t>2</w:t>
      </w:r>
      <w:r w:rsidRPr="00CD5BBF">
        <w:rPr>
          <w:rFonts w:ascii="Times New Roman" w:hAnsi="Times New Roman" w:cs="Times New Roman"/>
          <w:b/>
          <w:bCs/>
          <w:sz w:val="24"/>
          <w:szCs w:val="24"/>
        </w:rPr>
        <w:t>. Mean TSH Levels by Diabetes Status</w:t>
      </w:r>
    </w:p>
    <w:p w14:paraId="54D36223" w14:textId="77777777" w:rsidR="00A93A3B" w:rsidRDefault="00A93A3B" w:rsidP="00AE381F">
      <w:pPr>
        <w:rPr>
          <w:b/>
          <w:bCs/>
        </w:rPr>
      </w:pPr>
    </w:p>
    <w:p w14:paraId="68C7758C" w14:textId="77777777" w:rsidR="00A93A3B" w:rsidRDefault="00A93A3B" w:rsidP="00AE381F">
      <w:pPr>
        <w:rPr>
          <w:b/>
          <w:bCs/>
        </w:rPr>
      </w:pPr>
    </w:p>
    <w:p w14:paraId="505ADDDE" w14:textId="77777777" w:rsidR="00A93A3B" w:rsidRDefault="00A93A3B" w:rsidP="00AE381F">
      <w:pPr>
        <w:rPr>
          <w:b/>
          <w:bCs/>
        </w:rPr>
      </w:pPr>
    </w:p>
    <w:p w14:paraId="19431A93" w14:textId="77777777" w:rsidR="002B2308" w:rsidRDefault="002B2308" w:rsidP="00AE381F">
      <w:pPr>
        <w:rPr>
          <w:b/>
          <w:bCs/>
        </w:rPr>
      </w:pPr>
    </w:p>
    <w:p w14:paraId="585B3158" w14:textId="49AD5282" w:rsidR="00AE381F" w:rsidRPr="00AE381F" w:rsidRDefault="00A93A3B" w:rsidP="00AE381F">
      <w:pPr>
        <w:rPr>
          <w:rFonts w:ascii="Times New Roman" w:hAnsi="Times New Roman" w:cs="Times New Roman"/>
          <w:b/>
          <w:bCs/>
          <w:sz w:val="24"/>
          <w:szCs w:val="24"/>
        </w:rPr>
      </w:pPr>
      <w:r w:rsidRPr="002B2308">
        <w:rPr>
          <w:rFonts w:ascii="Times New Roman" w:hAnsi="Times New Roman" w:cs="Times New Roman"/>
          <w:b/>
          <w:bCs/>
          <w:sz w:val="24"/>
          <w:szCs w:val="24"/>
        </w:rPr>
        <w:t>Gender</w:t>
      </w:r>
      <w:r w:rsidR="00AE381F" w:rsidRPr="00AE381F">
        <w:rPr>
          <w:rFonts w:ascii="Times New Roman" w:hAnsi="Times New Roman" w:cs="Times New Roman"/>
          <w:b/>
          <w:bCs/>
          <w:sz w:val="24"/>
          <w:szCs w:val="24"/>
        </w:rPr>
        <w:t>-Based Comparison of Clinical and Thyroid Parameters in T2DM</w:t>
      </w:r>
    </w:p>
    <w:p w14:paraId="3D80E38C" w14:textId="0B18822E" w:rsidR="00AE381F" w:rsidRPr="00AE381F" w:rsidRDefault="00A93A3B" w:rsidP="002B2308">
      <w:pPr>
        <w:spacing w:line="360" w:lineRule="auto"/>
        <w:jc w:val="both"/>
        <w:rPr>
          <w:rFonts w:ascii="Times New Roman" w:hAnsi="Times New Roman" w:cs="Times New Roman"/>
          <w:sz w:val="24"/>
          <w:szCs w:val="24"/>
        </w:rPr>
      </w:pPr>
      <w:r w:rsidRPr="002B2308">
        <w:rPr>
          <w:rFonts w:ascii="Times New Roman" w:hAnsi="Times New Roman" w:cs="Times New Roman"/>
          <w:sz w:val="24"/>
          <w:szCs w:val="24"/>
        </w:rPr>
        <w:lastRenderedPageBreak/>
        <w:t xml:space="preserve">Gender- and diabetes-status–based differences in clinical and biochemical parameters are summarized in Table </w:t>
      </w:r>
      <w:r w:rsidR="002B2308">
        <w:rPr>
          <w:rFonts w:ascii="Times New Roman" w:hAnsi="Times New Roman" w:cs="Times New Roman"/>
          <w:sz w:val="24"/>
          <w:szCs w:val="24"/>
        </w:rPr>
        <w:t>4</w:t>
      </w:r>
      <w:r w:rsidRPr="002B2308">
        <w:rPr>
          <w:rFonts w:ascii="Times New Roman" w:hAnsi="Times New Roman" w:cs="Times New Roman"/>
          <w:sz w:val="24"/>
          <w:szCs w:val="24"/>
        </w:rPr>
        <w:t xml:space="preserve">. In patients with T2DM, males exhibited significantly higher HbA1c levels, whereas females showed higher TSH and lower FT4 levels, indicating a greater tendency toward hypothyroid status. In non-diabetic individuals, </w:t>
      </w:r>
      <w:proofErr w:type="spellStart"/>
      <w:r w:rsidRPr="002B2308">
        <w:rPr>
          <w:rFonts w:ascii="Times New Roman" w:hAnsi="Times New Roman" w:cs="Times New Roman"/>
          <w:sz w:val="24"/>
          <w:szCs w:val="24"/>
        </w:rPr>
        <w:t>glycemic</w:t>
      </w:r>
      <w:proofErr w:type="spellEnd"/>
      <w:r w:rsidRPr="002B2308">
        <w:rPr>
          <w:rFonts w:ascii="Times New Roman" w:hAnsi="Times New Roman" w:cs="Times New Roman"/>
          <w:sz w:val="24"/>
          <w:szCs w:val="24"/>
        </w:rPr>
        <w:t xml:space="preserve"> parameters were comparable between genders, although serum creatinine levels remained significantly higher in males. Overall, gender-related differences in thyroid parameters were more pronounced in the diabetic population.</w:t>
      </w:r>
    </w:p>
    <w:p w14:paraId="22A2DAD4" w14:textId="7AC1AF53" w:rsidR="00A93A3B" w:rsidRPr="00A93A3B" w:rsidRDefault="00A93A3B" w:rsidP="002B2308">
      <w:pPr>
        <w:jc w:val="center"/>
        <w:rPr>
          <w:rFonts w:ascii="Times New Roman" w:hAnsi="Times New Roman" w:cs="Times New Roman"/>
          <w:b/>
          <w:bCs/>
          <w:sz w:val="24"/>
          <w:szCs w:val="24"/>
        </w:rPr>
      </w:pPr>
      <w:r w:rsidRPr="00A93A3B">
        <w:rPr>
          <w:rFonts w:ascii="Times New Roman" w:hAnsi="Times New Roman" w:cs="Times New Roman"/>
          <w:b/>
          <w:bCs/>
          <w:sz w:val="24"/>
          <w:szCs w:val="24"/>
        </w:rPr>
        <w:t xml:space="preserve">Table </w:t>
      </w:r>
      <w:r w:rsidR="002B2308" w:rsidRPr="002B2308">
        <w:rPr>
          <w:rFonts w:ascii="Times New Roman" w:hAnsi="Times New Roman" w:cs="Times New Roman"/>
          <w:b/>
          <w:bCs/>
          <w:sz w:val="24"/>
          <w:szCs w:val="24"/>
        </w:rPr>
        <w:t>4</w:t>
      </w:r>
      <w:r w:rsidRPr="00A93A3B">
        <w:rPr>
          <w:rFonts w:ascii="Times New Roman" w:hAnsi="Times New Roman" w:cs="Times New Roman"/>
          <w:b/>
          <w:bCs/>
          <w:sz w:val="24"/>
          <w:szCs w:val="24"/>
        </w:rPr>
        <w:t xml:space="preserve">. </w:t>
      </w:r>
      <w:r w:rsidR="002B2308" w:rsidRPr="002B2308">
        <w:rPr>
          <w:rFonts w:ascii="Times New Roman" w:hAnsi="Times New Roman" w:cs="Times New Roman"/>
          <w:b/>
          <w:bCs/>
          <w:sz w:val="24"/>
          <w:szCs w:val="24"/>
        </w:rPr>
        <w:t>Clinical and Thyroid Parameters by Gender and Diabetes Status</w:t>
      </w:r>
    </w:p>
    <w:tbl>
      <w:tblPr>
        <w:tblStyle w:val="TableGrid"/>
        <w:tblW w:w="9613" w:type="dxa"/>
        <w:tblLook w:val="04A0" w:firstRow="1" w:lastRow="0" w:firstColumn="1" w:lastColumn="0" w:noHBand="0" w:noVBand="1"/>
      </w:tblPr>
      <w:tblGrid>
        <w:gridCol w:w="2332"/>
        <w:gridCol w:w="1606"/>
        <w:gridCol w:w="1760"/>
        <w:gridCol w:w="1881"/>
        <w:gridCol w:w="2034"/>
      </w:tblGrid>
      <w:tr w:rsidR="00A93A3B" w:rsidRPr="00A93A3B" w14:paraId="3510BC49" w14:textId="77777777" w:rsidTr="002B2308">
        <w:trPr>
          <w:trHeight w:val="698"/>
        </w:trPr>
        <w:tc>
          <w:tcPr>
            <w:tcW w:w="0" w:type="auto"/>
            <w:hideMark/>
          </w:tcPr>
          <w:p w14:paraId="5CB1AD30"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Variable</w:t>
            </w:r>
          </w:p>
        </w:tc>
        <w:tc>
          <w:tcPr>
            <w:tcW w:w="0" w:type="auto"/>
            <w:hideMark/>
          </w:tcPr>
          <w:p w14:paraId="274DF0CB"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T2DM Male (n=58)</w:t>
            </w:r>
          </w:p>
        </w:tc>
        <w:tc>
          <w:tcPr>
            <w:tcW w:w="0" w:type="auto"/>
            <w:hideMark/>
          </w:tcPr>
          <w:p w14:paraId="741B53DD"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T2DM Female (n=42)</w:t>
            </w:r>
          </w:p>
        </w:tc>
        <w:tc>
          <w:tcPr>
            <w:tcW w:w="0" w:type="auto"/>
            <w:hideMark/>
          </w:tcPr>
          <w:p w14:paraId="576D475C"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Non-T2DM Male (n=55)</w:t>
            </w:r>
          </w:p>
        </w:tc>
        <w:tc>
          <w:tcPr>
            <w:tcW w:w="0" w:type="auto"/>
            <w:hideMark/>
          </w:tcPr>
          <w:p w14:paraId="16577ADA"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Non-T2DM Female (n=45)</w:t>
            </w:r>
          </w:p>
        </w:tc>
      </w:tr>
      <w:tr w:rsidR="00A93A3B" w:rsidRPr="00A93A3B" w14:paraId="48EC60FC" w14:textId="77777777" w:rsidTr="002B2308">
        <w:trPr>
          <w:trHeight w:val="461"/>
        </w:trPr>
        <w:tc>
          <w:tcPr>
            <w:tcW w:w="0" w:type="auto"/>
            <w:hideMark/>
          </w:tcPr>
          <w:p w14:paraId="5E14141C"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Age (years)</w:t>
            </w:r>
          </w:p>
        </w:tc>
        <w:tc>
          <w:tcPr>
            <w:tcW w:w="0" w:type="auto"/>
            <w:hideMark/>
          </w:tcPr>
          <w:p w14:paraId="43545CF9"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50.2 ± 9.6</w:t>
            </w:r>
          </w:p>
        </w:tc>
        <w:tc>
          <w:tcPr>
            <w:tcW w:w="0" w:type="auto"/>
            <w:hideMark/>
          </w:tcPr>
          <w:p w14:paraId="167F9E64"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48.8 ± 10.1</w:t>
            </w:r>
          </w:p>
        </w:tc>
        <w:tc>
          <w:tcPr>
            <w:tcW w:w="0" w:type="auto"/>
            <w:hideMark/>
          </w:tcPr>
          <w:p w14:paraId="38EC2551"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49.1 ± 9.8</w:t>
            </w:r>
          </w:p>
        </w:tc>
        <w:tc>
          <w:tcPr>
            <w:tcW w:w="0" w:type="auto"/>
            <w:hideMark/>
          </w:tcPr>
          <w:p w14:paraId="566056BC"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48.6 ± 10.4</w:t>
            </w:r>
          </w:p>
        </w:tc>
      </w:tr>
      <w:tr w:rsidR="00A93A3B" w:rsidRPr="00A93A3B" w14:paraId="26A61B22" w14:textId="77777777" w:rsidTr="002B2308">
        <w:trPr>
          <w:trHeight w:val="769"/>
        </w:trPr>
        <w:tc>
          <w:tcPr>
            <w:tcW w:w="0" w:type="auto"/>
            <w:hideMark/>
          </w:tcPr>
          <w:p w14:paraId="2F517299"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Fasting Blood Glucose (mg/dL)</w:t>
            </w:r>
          </w:p>
        </w:tc>
        <w:tc>
          <w:tcPr>
            <w:tcW w:w="0" w:type="auto"/>
            <w:hideMark/>
          </w:tcPr>
          <w:p w14:paraId="62A62342"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160.3 ± 36.9</w:t>
            </w:r>
          </w:p>
        </w:tc>
        <w:tc>
          <w:tcPr>
            <w:tcW w:w="0" w:type="auto"/>
            <w:hideMark/>
          </w:tcPr>
          <w:p w14:paraId="1AA3865A"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151.1 ± 39.4</w:t>
            </w:r>
          </w:p>
        </w:tc>
        <w:tc>
          <w:tcPr>
            <w:tcW w:w="0" w:type="auto"/>
            <w:hideMark/>
          </w:tcPr>
          <w:p w14:paraId="0E65E957"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94.1 ± 10.6</w:t>
            </w:r>
          </w:p>
        </w:tc>
        <w:tc>
          <w:tcPr>
            <w:tcW w:w="0" w:type="auto"/>
            <w:hideMark/>
          </w:tcPr>
          <w:p w14:paraId="76B55C62"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91.0 ± 10.1</w:t>
            </w:r>
          </w:p>
        </w:tc>
      </w:tr>
      <w:tr w:rsidR="00A93A3B" w:rsidRPr="00A93A3B" w14:paraId="3FBAE3DC" w14:textId="77777777" w:rsidTr="002B2308">
        <w:trPr>
          <w:trHeight w:val="769"/>
        </w:trPr>
        <w:tc>
          <w:tcPr>
            <w:tcW w:w="0" w:type="auto"/>
            <w:hideMark/>
          </w:tcPr>
          <w:p w14:paraId="4D6BA0D2"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2-hour ABF / PPBG (mg/dL)</w:t>
            </w:r>
          </w:p>
        </w:tc>
        <w:tc>
          <w:tcPr>
            <w:tcW w:w="0" w:type="auto"/>
            <w:hideMark/>
          </w:tcPr>
          <w:p w14:paraId="35057E58"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238.6 ± 52.4</w:t>
            </w:r>
          </w:p>
        </w:tc>
        <w:tc>
          <w:tcPr>
            <w:tcW w:w="0" w:type="auto"/>
            <w:hideMark/>
          </w:tcPr>
          <w:p w14:paraId="2ECCB895"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224.7 ± 55.9</w:t>
            </w:r>
          </w:p>
        </w:tc>
        <w:tc>
          <w:tcPr>
            <w:tcW w:w="0" w:type="auto"/>
            <w:hideMark/>
          </w:tcPr>
          <w:p w14:paraId="7ED1F1F5"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121.6 ± 19.4</w:t>
            </w:r>
          </w:p>
        </w:tc>
        <w:tc>
          <w:tcPr>
            <w:tcW w:w="0" w:type="auto"/>
            <w:hideMark/>
          </w:tcPr>
          <w:p w14:paraId="573C4F4B"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114.3 ± 17.5</w:t>
            </w:r>
          </w:p>
        </w:tc>
      </w:tr>
      <w:tr w:rsidR="00A93A3B" w:rsidRPr="00A93A3B" w14:paraId="15DF29BC" w14:textId="77777777" w:rsidTr="002B2308">
        <w:trPr>
          <w:trHeight w:val="461"/>
        </w:trPr>
        <w:tc>
          <w:tcPr>
            <w:tcW w:w="0" w:type="auto"/>
            <w:hideMark/>
          </w:tcPr>
          <w:p w14:paraId="7FC4532C"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HbA1c (%)</w:t>
            </w:r>
          </w:p>
        </w:tc>
        <w:tc>
          <w:tcPr>
            <w:tcW w:w="0" w:type="auto"/>
            <w:hideMark/>
          </w:tcPr>
          <w:p w14:paraId="29B7C089"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8.6 ± 1.1</w:t>
            </w:r>
          </w:p>
        </w:tc>
        <w:tc>
          <w:tcPr>
            <w:tcW w:w="0" w:type="auto"/>
            <w:hideMark/>
          </w:tcPr>
          <w:p w14:paraId="096223DC"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8.1 ± 1.3</w:t>
            </w:r>
          </w:p>
        </w:tc>
        <w:tc>
          <w:tcPr>
            <w:tcW w:w="0" w:type="auto"/>
            <w:hideMark/>
          </w:tcPr>
          <w:p w14:paraId="15066B78"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5.5 ± 0.4</w:t>
            </w:r>
          </w:p>
        </w:tc>
        <w:tc>
          <w:tcPr>
            <w:tcW w:w="0" w:type="auto"/>
            <w:hideMark/>
          </w:tcPr>
          <w:p w14:paraId="32558514"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5.3 ± 0.4</w:t>
            </w:r>
          </w:p>
        </w:tc>
      </w:tr>
      <w:tr w:rsidR="00A93A3B" w:rsidRPr="00A93A3B" w14:paraId="1D735430" w14:textId="77777777" w:rsidTr="002B2308">
        <w:trPr>
          <w:trHeight w:val="477"/>
        </w:trPr>
        <w:tc>
          <w:tcPr>
            <w:tcW w:w="0" w:type="auto"/>
            <w:hideMark/>
          </w:tcPr>
          <w:p w14:paraId="2D50C021"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TSH (</w:t>
            </w:r>
            <w:proofErr w:type="spellStart"/>
            <w:r w:rsidRPr="00A93A3B">
              <w:rPr>
                <w:rFonts w:ascii="Times New Roman" w:hAnsi="Times New Roman" w:cs="Times New Roman"/>
                <w:sz w:val="24"/>
                <w:szCs w:val="24"/>
              </w:rPr>
              <w:t>mIU</w:t>
            </w:r>
            <w:proofErr w:type="spellEnd"/>
            <w:r w:rsidRPr="00A93A3B">
              <w:rPr>
                <w:rFonts w:ascii="Times New Roman" w:hAnsi="Times New Roman" w:cs="Times New Roman"/>
                <w:sz w:val="24"/>
                <w:szCs w:val="24"/>
              </w:rPr>
              <w:t>/L)</w:t>
            </w:r>
          </w:p>
        </w:tc>
        <w:tc>
          <w:tcPr>
            <w:tcW w:w="0" w:type="auto"/>
            <w:hideMark/>
          </w:tcPr>
          <w:p w14:paraId="0DE779A0"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3.9 ± 1.4</w:t>
            </w:r>
          </w:p>
        </w:tc>
        <w:tc>
          <w:tcPr>
            <w:tcW w:w="0" w:type="auto"/>
            <w:hideMark/>
          </w:tcPr>
          <w:p w14:paraId="0431951E"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4.6 ± 1.7</w:t>
            </w:r>
          </w:p>
        </w:tc>
        <w:tc>
          <w:tcPr>
            <w:tcW w:w="0" w:type="auto"/>
            <w:hideMark/>
          </w:tcPr>
          <w:p w14:paraId="7D3256E4"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2.4 ± 1.0</w:t>
            </w:r>
          </w:p>
        </w:tc>
        <w:tc>
          <w:tcPr>
            <w:tcW w:w="0" w:type="auto"/>
            <w:hideMark/>
          </w:tcPr>
          <w:p w14:paraId="0F3C7579"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2.8 ± 1.2</w:t>
            </w:r>
          </w:p>
        </w:tc>
      </w:tr>
      <w:tr w:rsidR="00A93A3B" w:rsidRPr="00A93A3B" w14:paraId="34D974A8" w14:textId="77777777" w:rsidTr="002B2308">
        <w:trPr>
          <w:trHeight w:val="461"/>
        </w:trPr>
        <w:tc>
          <w:tcPr>
            <w:tcW w:w="0" w:type="auto"/>
            <w:hideMark/>
          </w:tcPr>
          <w:p w14:paraId="6C7175E0"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FT4 (ng/dL)</w:t>
            </w:r>
          </w:p>
        </w:tc>
        <w:tc>
          <w:tcPr>
            <w:tcW w:w="0" w:type="auto"/>
            <w:hideMark/>
          </w:tcPr>
          <w:p w14:paraId="57C3F44E"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0.99 ± 0.17</w:t>
            </w:r>
          </w:p>
        </w:tc>
        <w:tc>
          <w:tcPr>
            <w:tcW w:w="0" w:type="auto"/>
            <w:hideMark/>
          </w:tcPr>
          <w:p w14:paraId="13803DC3"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0.92 ± 0.19</w:t>
            </w:r>
          </w:p>
        </w:tc>
        <w:tc>
          <w:tcPr>
            <w:tcW w:w="0" w:type="auto"/>
            <w:hideMark/>
          </w:tcPr>
          <w:p w14:paraId="39CE2B1F"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1.10 ± 0.15</w:t>
            </w:r>
          </w:p>
        </w:tc>
        <w:tc>
          <w:tcPr>
            <w:tcW w:w="0" w:type="auto"/>
            <w:hideMark/>
          </w:tcPr>
          <w:p w14:paraId="35591077"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1.06 ± 0.17</w:t>
            </w:r>
          </w:p>
        </w:tc>
      </w:tr>
      <w:tr w:rsidR="00A93A3B" w:rsidRPr="00A93A3B" w14:paraId="1464BB89" w14:textId="77777777" w:rsidTr="002B2308">
        <w:trPr>
          <w:trHeight w:val="754"/>
        </w:trPr>
        <w:tc>
          <w:tcPr>
            <w:tcW w:w="0" w:type="auto"/>
            <w:hideMark/>
          </w:tcPr>
          <w:p w14:paraId="155D1931"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Serum Creatinine (mg/dL)</w:t>
            </w:r>
          </w:p>
        </w:tc>
        <w:tc>
          <w:tcPr>
            <w:tcW w:w="0" w:type="auto"/>
            <w:hideMark/>
          </w:tcPr>
          <w:p w14:paraId="2F9C1D35"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1.26 ± 0.31</w:t>
            </w:r>
          </w:p>
        </w:tc>
        <w:tc>
          <w:tcPr>
            <w:tcW w:w="0" w:type="auto"/>
            <w:hideMark/>
          </w:tcPr>
          <w:p w14:paraId="13193AC5"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1.07 ± 0.29</w:t>
            </w:r>
          </w:p>
        </w:tc>
        <w:tc>
          <w:tcPr>
            <w:tcW w:w="0" w:type="auto"/>
            <w:hideMark/>
          </w:tcPr>
          <w:p w14:paraId="49F05A1A"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1.01 ± 0.22</w:t>
            </w:r>
          </w:p>
        </w:tc>
        <w:tc>
          <w:tcPr>
            <w:tcW w:w="0" w:type="auto"/>
            <w:hideMark/>
          </w:tcPr>
          <w:p w14:paraId="24BD7CAD"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0.82 ± 0.19</w:t>
            </w:r>
          </w:p>
        </w:tc>
      </w:tr>
    </w:tbl>
    <w:p w14:paraId="6ADA8125" w14:textId="15792A03" w:rsidR="00AE381F" w:rsidRPr="00AE381F" w:rsidRDefault="00AE381F" w:rsidP="00AE381F"/>
    <w:p w14:paraId="710339B7" w14:textId="77777777" w:rsidR="002B2308" w:rsidRDefault="002B2308" w:rsidP="00AE381F">
      <w:pPr>
        <w:rPr>
          <w:b/>
          <w:bCs/>
        </w:rPr>
      </w:pPr>
    </w:p>
    <w:p w14:paraId="1A6D16FE" w14:textId="77777777" w:rsidR="002B2308" w:rsidRDefault="002B2308" w:rsidP="00AE381F">
      <w:pPr>
        <w:rPr>
          <w:b/>
          <w:bCs/>
        </w:rPr>
      </w:pPr>
    </w:p>
    <w:p w14:paraId="3BD7AD3D" w14:textId="77777777" w:rsidR="002B2308" w:rsidRDefault="002B2308" w:rsidP="00AE381F">
      <w:pPr>
        <w:rPr>
          <w:b/>
          <w:bCs/>
        </w:rPr>
      </w:pPr>
    </w:p>
    <w:p w14:paraId="7C94F1C9" w14:textId="77777777" w:rsidR="002B2308" w:rsidRDefault="002B2308" w:rsidP="00AE381F">
      <w:pPr>
        <w:rPr>
          <w:b/>
          <w:bCs/>
        </w:rPr>
      </w:pPr>
    </w:p>
    <w:p w14:paraId="752C848E" w14:textId="77777777" w:rsidR="002B2308" w:rsidRDefault="002B2308" w:rsidP="00AE381F">
      <w:pPr>
        <w:rPr>
          <w:b/>
          <w:bCs/>
        </w:rPr>
      </w:pPr>
    </w:p>
    <w:p w14:paraId="62CAB195" w14:textId="77777777" w:rsidR="002B2308" w:rsidRDefault="002B2308" w:rsidP="00AE381F">
      <w:pPr>
        <w:rPr>
          <w:b/>
          <w:bCs/>
        </w:rPr>
      </w:pPr>
    </w:p>
    <w:p w14:paraId="75FD5C4E" w14:textId="77777777" w:rsidR="002B2308" w:rsidRDefault="002B2308" w:rsidP="00AE381F">
      <w:pPr>
        <w:rPr>
          <w:b/>
          <w:bCs/>
        </w:rPr>
      </w:pPr>
    </w:p>
    <w:p w14:paraId="6F1EADD1" w14:textId="77777777" w:rsidR="002B2308" w:rsidRDefault="002B2308" w:rsidP="00AE381F">
      <w:pPr>
        <w:rPr>
          <w:b/>
          <w:bCs/>
        </w:rPr>
      </w:pPr>
    </w:p>
    <w:p w14:paraId="01C8351F" w14:textId="77777777" w:rsidR="002B2308" w:rsidRDefault="002B2308" w:rsidP="00AE381F">
      <w:pPr>
        <w:rPr>
          <w:b/>
          <w:bCs/>
        </w:rPr>
      </w:pPr>
    </w:p>
    <w:p w14:paraId="44A4D027" w14:textId="77777777" w:rsidR="002B2308" w:rsidRDefault="002B2308" w:rsidP="00AE381F">
      <w:pPr>
        <w:rPr>
          <w:b/>
          <w:bCs/>
        </w:rPr>
      </w:pPr>
    </w:p>
    <w:p w14:paraId="5B995DDA" w14:textId="78AA9F0E" w:rsidR="00AE381F" w:rsidRPr="00AE381F" w:rsidRDefault="002B2308" w:rsidP="00AE381F">
      <w:pPr>
        <w:rPr>
          <w:rFonts w:ascii="Times New Roman" w:hAnsi="Times New Roman" w:cs="Times New Roman"/>
          <w:b/>
          <w:bCs/>
          <w:sz w:val="24"/>
          <w:szCs w:val="24"/>
        </w:rPr>
      </w:pPr>
      <w:r w:rsidRPr="002B2308">
        <w:rPr>
          <w:rFonts w:ascii="Times New Roman" w:hAnsi="Times New Roman" w:cs="Times New Roman"/>
          <w:b/>
          <w:bCs/>
          <w:sz w:val="24"/>
          <w:szCs w:val="24"/>
        </w:rPr>
        <w:t>Gender</w:t>
      </w:r>
      <w:r w:rsidR="00AE381F" w:rsidRPr="00AE381F">
        <w:rPr>
          <w:rFonts w:ascii="Times New Roman" w:hAnsi="Times New Roman" w:cs="Times New Roman"/>
          <w:b/>
          <w:bCs/>
          <w:sz w:val="24"/>
          <w:szCs w:val="24"/>
        </w:rPr>
        <w:t xml:space="preserve"> Distribution of Thyroid Dysfunction in T2DM</w:t>
      </w:r>
    </w:p>
    <w:p w14:paraId="25B26650" w14:textId="5A8B851C" w:rsidR="00AE381F" w:rsidRPr="00AE381F" w:rsidRDefault="00A93A3B" w:rsidP="002B2308">
      <w:pPr>
        <w:spacing w:line="360" w:lineRule="auto"/>
        <w:jc w:val="both"/>
        <w:rPr>
          <w:rFonts w:ascii="Times New Roman" w:hAnsi="Times New Roman" w:cs="Times New Roman"/>
          <w:sz w:val="24"/>
          <w:szCs w:val="24"/>
        </w:rPr>
      </w:pPr>
      <w:r w:rsidRPr="002B2308">
        <w:rPr>
          <w:rFonts w:ascii="Times New Roman" w:hAnsi="Times New Roman" w:cs="Times New Roman"/>
          <w:sz w:val="24"/>
          <w:szCs w:val="24"/>
        </w:rPr>
        <w:lastRenderedPageBreak/>
        <w:t xml:space="preserve">The distribution of thyroid dysfunction according to sex and diabetes status is presented in Table </w:t>
      </w:r>
      <w:r w:rsidR="002B2308">
        <w:rPr>
          <w:rFonts w:ascii="Times New Roman" w:hAnsi="Times New Roman" w:cs="Times New Roman"/>
          <w:sz w:val="24"/>
          <w:szCs w:val="24"/>
        </w:rPr>
        <w:t>5</w:t>
      </w:r>
      <w:r w:rsidRPr="002B2308">
        <w:rPr>
          <w:rFonts w:ascii="Times New Roman" w:hAnsi="Times New Roman" w:cs="Times New Roman"/>
          <w:sz w:val="24"/>
          <w:szCs w:val="24"/>
        </w:rPr>
        <w:t>. Among patients with T2DM, thyroid dysfunction was significantly more prevalent in females compared to males (42.9% vs 24.1%, p = 0.04), with both subclinical and overt hypothyroidism occurring more frequently in female patients. In contrast, among non-diabetic individuals, thyroid dysfunction was less common overall and showed no statistically significant difference between males and females. These findings indicate that female sex confers a higher susceptibility to thyroid dysfunction</w:t>
      </w:r>
      <w:r w:rsidR="00A85F88">
        <w:rPr>
          <w:rFonts w:ascii="Times New Roman" w:hAnsi="Times New Roman" w:cs="Times New Roman"/>
          <w:sz w:val="24"/>
          <w:szCs w:val="24"/>
        </w:rPr>
        <w:t>,</w:t>
      </w:r>
      <w:r w:rsidRPr="002B2308">
        <w:rPr>
          <w:rFonts w:ascii="Times New Roman" w:hAnsi="Times New Roman" w:cs="Times New Roman"/>
          <w:sz w:val="24"/>
          <w:szCs w:val="24"/>
        </w:rPr>
        <w:t xml:space="preserve"> particularly in the presence of type 2 diabetes mellitus</w:t>
      </w:r>
      <w:r w:rsidR="00AE381F" w:rsidRPr="00AE381F">
        <w:rPr>
          <w:rFonts w:ascii="Times New Roman" w:hAnsi="Times New Roman" w:cs="Times New Roman"/>
          <w:sz w:val="24"/>
          <w:szCs w:val="24"/>
        </w:rPr>
        <w:t>.</w:t>
      </w:r>
    </w:p>
    <w:p w14:paraId="75238853" w14:textId="335AF764" w:rsidR="00A93A3B" w:rsidRPr="00A93A3B" w:rsidRDefault="00A93A3B" w:rsidP="00D803C4">
      <w:pPr>
        <w:jc w:val="center"/>
        <w:rPr>
          <w:rFonts w:ascii="Times New Roman" w:hAnsi="Times New Roman" w:cs="Times New Roman"/>
          <w:b/>
          <w:bCs/>
          <w:sz w:val="24"/>
          <w:szCs w:val="24"/>
        </w:rPr>
      </w:pPr>
      <w:r w:rsidRPr="00A93A3B">
        <w:rPr>
          <w:rFonts w:ascii="Times New Roman" w:hAnsi="Times New Roman" w:cs="Times New Roman"/>
          <w:b/>
          <w:bCs/>
          <w:sz w:val="24"/>
          <w:szCs w:val="24"/>
        </w:rPr>
        <w:t xml:space="preserve">Table </w:t>
      </w:r>
      <w:r w:rsidR="002B2308" w:rsidRPr="00D803C4">
        <w:rPr>
          <w:rFonts w:ascii="Times New Roman" w:hAnsi="Times New Roman" w:cs="Times New Roman"/>
          <w:b/>
          <w:bCs/>
          <w:sz w:val="24"/>
          <w:szCs w:val="24"/>
        </w:rPr>
        <w:t>5</w:t>
      </w:r>
      <w:r w:rsidRPr="00A93A3B">
        <w:rPr>
          <w:rFonts w:ascii="Times New Roman" w:hAnsi="Times New Roman" w:cs="Times New Roman"/>
          <w:b/>
          <w:bCs/>
          <w:sz w:val="24"/>
          <w:szCs w:val="24"/>
        </w:rPr>
        <w:t>. Distribution of Thyroid Dysfunction by Sex and Diabetes Status</w:t>
      </w:r>
    </w:p>
    <w:tbl>
      <w:tblPr>
        <w:tblStyle w:val="TableGrid"/>
        <w:tblW w:w="9598" w:type="dxa"/>
        <w:tblLook w:val="04A0" w:firstRow="1" w:lastRow="0" w:firstColumn="1" w:lastColumn="0" w:noHBand="0" w:noVBand="1"/>
      </w:tblPr>
      <w:tblGrid>
        <w:gridCol w:w="1781"/>
        <w:gridCol w:w="1568"/>
        <w:gridCol w:w="1689"/>
        <w:gridCol w:w="1741"/>
        <w:gridCol w:w="1863"/>
        <w:gridCol w:w="956"/>
      </w:tblGrid>
      <w:tr w:rsidR="002B2308" w:rsidRPr="002B2308" w14:paraId="72020DB8" w14:textId="77777777" w:rsidTr="00D803C4">
        <w:trPr>
          <w:trHeight w:val="860"/>
        </w:trPr>
        <w:tc>
          <w:tcPr>
            <w:tcW w:w="0" w:type="auto"/>
            <w:hideMark/>
          </w:tcPr>
          <w:p w14:paraId="6F31C612"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Thyroid Status</w:t>
            </w:r>
          </w:p>
        </w:tc>
        <w:tc>
          <w:tcPr>
            <w:tcW w:w="0" w:type="auto"/>
            <w:hideMark/>
          </w:tcPr>
          <w:p w14:paraId="63888C5C"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T2DM Male (n=58) n (%)</w:t>
            </w:r>
          </w:p>
        </w:tc>
        <w:tc>
          <w:tcPr>
            <w:tcW w:w="0" w:type="auto"/>
            <w:hideMark/>
          </w:tcPr>
          <w:p w14:paraId="087D8DF3"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T2DM Female (n=42) n (%)</w:t>
            </w:r>
          </w:p>
        </w:tc>
        <w:tc>
          <w:tcPr>
            <w:tcW w:w="0" w:type="auto"/>
            <w:hideMark/>
          </w:tcPr>
          <w:p w14:paraId="53BB65AA"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Non-T2DM Male (n=55) n (%)</w:t>
            </w:r>
          </w:p>
        </w:tc>
        <w:tc>
          <w:tcPr>
            <w:tcW w:w="0" w:type="auto"/>
            <w:hideMark/>
          </w:tcPr>
          <w:p w14:paraId="5738020C"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Non-T2DM Female (n=45) n (%)</w:t>
            </w:r>
          </w:p>
        </w:tc>
        <w:tc>
          <w:tcPr>
            <w:tcW w:w="0" w:type="auto"/>
            <w:hideMark/>
          </w:tcPr>
          <w:p w14:paraId="1AB377A7"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p-value*</w:t>
            </w:r>
          </w:p>
        </w:tc>
      </w:tr>
      <w:tr w:rsidR="002B2308" w:rsidRPr="002B2308" w14:paraId="0B21C909" w14:textId="77777777" w:rsidTr="00D803C4">
        <w:trPr>
          <w:trHeight w:val="466"/>
        </w:trPr>
        <w:tc>
          <w:tcPr>
            <w:tcW w:w="0" w:type="auto"/>
            <w:hideMark/>
          </w:tcPr>
          <w:p w14:paraId="53D533B2"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Euthyroid</w:t>
            </w:r>
          </w:p>
        </w:tc>
        <w:tc>
          <w:tcPr>
            <w:tcW w:w="0" w:type="auto"/>
            <w:hideMark/>
          </w:tcPr>
          <w:p w14:paraId="352D0437"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44 (75.9)</w:t>
            </w:r>
          </w:p>
        </w:tc>
        <w:tc>
          <w:tcPr>
            <w:tcW w:w="0" w:type="auto"/>
            <w:hideMark/>
          </w:tcPr>
          <w:p w14:paraId="1B076F93"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24 (57.1)</w:t>
            </w:r>
          </w:p>
        </w:tc>
        <w:tc>
          <w:tcPr>
            <w:tcW w:w="0" w:type="auto"/>
            <w:hideMark/>
          </w:tcPr>
          <w:p w14:paraId="075019B8"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48 (87.3)</w:t>
            </w:r>
          </w:p>
        </w:tc>
        <w:tc>
          <w:tcPr>
            <w:tcW w:w="0" w:type="auto"/>
            <w:hideMark/>
          </w:tcPr>
          <w:p w14:paraId="26F76DFA"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38 (84.4)</w:t>
            </w:r>
          </w:p>
        </w:tc>
        <w:tc>
          <w:tcPr>
            <w:tcW w:w="0" w:type="auto"/>
            <w:hideMark/>
          </w:tcPr>
          <w:p w14:paraId="7D42EA41" w14:textId="77777777" w:rsidR="00A93A3B" w:rsidRPr="00A93A3B" w:rsidRDefault="00A93A3B" w:rsidP="00A93A3B">
            <w:pPr>
              <w:spacing w:after="160" w:line="259" w:lineRule="auto"/>
              <w:rPr>
                <w:rFonts w:ascii="Times New Roman" w:hAnsi="Times New Roman" w:cs="Times New Roman"/>
                <w:sz w:val="24"/>
                <w:szCs w:val="24"/>
              </w:rPr>
            </w:pPr>
          </w:p>
        </w:tc>
      </w:tr>
      <w:tr w:rsidR="002B2308" w:rsidRPr="002B2308" w14:paraId="161ADE46" w14:textId="77777777" w:rsidTr="00D803C4">
        <w:trPr>
          <w:trHeight w:val="776"/>
        </w:trPr>
        <w:tc>
          <w:tcPr>
            <w:tcW w:w="0" w:type="auto"/>
            <w:hideMark/>
          </w:tcPr>
          <w:p w14:paraId="2A2A16D8"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Subclinical hypothyroid</w:t>
            </w:r>
          </w:p>
        </w:tc>
        <w:tc>
          <w:tcPr>
            <w:tcW w:w="0" w:type="auto"/>
            <w:hideMark/>
          </w:tcPr>
          <w:p w14:paraId="2BBB1544"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10 (17.2)</w:t>
            </w:r>
          </w:p>
        </w:tc>
        <w:tc>
          <w:tcPr>
            <w:tcW w:w="0" w:type="auto"/>
            <w:hideMark/>
          </w:tcPr>
          <w:p w14:paraId="432B9F67"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12 (28.6)</w:t>
            </w:r>
          </w:p>
        </w:tc>
        <w:tc>
          <w:tcPr>
            <w:tcW w:w="0" w:type="auto"/>
            <w:hideMark/>
          </w:tcPr>
          <w:p w14:paraId="7B8F1A1E"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5 (9.1)</w:t>
            </w:r>
          </w:p>
        </w:tc>
        <w:tc>
          <w:tcPr>
            <w:tcW w:w="0" w:type="auto"/>
            <w:hideMark/>
          </w:tcPr>
          <w:p w14:paraId="3BE9D9B9"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5 (11.1)</w:t>
            </w:r>
          </w:p>
        </w:tc>
        <w:tc>
          <w:tcPr>
            <w:tcW w:w="0" w:type="auto"/>
            <w:hideMark/>
          </w:tcPr>
          <w:p w14:paraId="15526C8B" w14:textId="77777777" w:rsidR="00A93A3B" w:rsidRPr="00A93A3B" w:rsidRDefault="00A93A3B" w:rsidP="00A93A3B">
            <w:pPr>
              <w:spacing w:after="160" w:line="259" w:lineRule="auto"/>
              <w:rPr>
                <w:rFonts w:ascii="Times New Roman" w:hAnsi="Times New Roman" w:cs="Times New Roman"/>
                <w:sz w:val="24"/>
                <w:szCs w:val="24"/>
              </w:rPr>
            </w:pPr>
          </w:p>
        </w:tc>
      </w:tr>
      <w:tr w:rsidR="002B2308" w:rsidRPr="002B2308" w14:paraId="349A2FD8" w14:textId="77777777" w:rsidTr="00D803C4">
        <w:trPr>
          <w:trHeight w:val="776"/>
        </w:trPr>
        <w:tc>
          <w:tcPr>
            <w:tcW w:w="0" w:type="auto"/>
            <w:hideMark/>
          </w:tcPr>
          <w:p w14:paraId="1FCDEBBD"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Overt hypothyroid</w:t>
            </w:r>
          </w:p>
        </w:tc>
        <w:tc>
          <w:tcPr>
            <w:tcW w:w="0" w:type="auto"/>
            <w:hideMark/>
          </w:tcPr>
          <w:p w14:paraId="39D97000"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4 (6.9)</w:t>
            </w:r>
          </w:p>
        </w:tc>
        <w:tc>
          <w:tcPr>
            <w:tcW w:w="0" w:type="auto"/>
            <w:hideMark/>
          </w:tcPr>
          <w:p w14:paraId="65AA8EA2"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6 (14.3)</w:t>
            </w:r>
          </w:p>
        </w:tc>
        <w:tc>
          <w:tcPr>
            <w:tcW w:w="0" w:type="auto"/>
            <w:hideMark/>
          </w:tcPr>
          <w:p w14:paraId="5B2EC680"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2 (3.6)</w:t>
            </w:r>
          </w:p>
        </w:tc>
        <w:tc>
          <w:tcPr>
            <w:tcW w:w="0" w:type="auto"/>
            <w:hideMark/>
          </w:tcPr>
          <w:p w14:paraId="2C81FAB0"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2 (4.4)</w:t>
            </w:r>
          </w:p>
        </w:tc>
        <w:tc>
          <w:tcPr>
            <w:tcW w:w="0" w:type="auto"/>
            <w:hideMark/>
          </w:tcPr>
          <w:p w14:paraId="117AF1C8"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0.04†</w:t>
            </w:r>
          </w:p>
        </w:tc>
      </w:tr>
    </w:tbl>
    <w:p w14:paraId="1A2A2F10" w14:textId="1BFD9F45" w:rsidR="00A93A3B" w:rsidRPr="00D803C4" w:rsidRDefault="00D803C4" w:rsidP="00D803C4">
      <w:pPr>
        <w:pStyle w:val="ListParagraph"/>
        <w:numPr>
          <w:ilvl w:val="0"/>
          <w:numId w:val="2"/>
        </w:numPr>
        <w:rPr>
          <w:rFonts w:ascii="Times New Roman" w:hAnsi="Times New Roman" w:cs="Times New Roman"/>
          <w:b/>
          <w:bCs/>
          <w:i/>
          <w:iCs/>
          <w:sz w:val="20"/>
          <w:szCs w:val="20"/>
        </w:rPr>
      </w:pPr>
      <w:r w:rsidRPr="00D803C4">
        <w:rPr>
          <w:rFonts w:ascii="Times New Roman" w:hAnsi="Times New Roman" w:cs="Times New Roman"/>
          <w:b/>
          <w:bCs/>
          <w:i/>
          <w:iCs/>
          <w:sz w:val="20"/>
          <w:szCs w:val="20"/>
        </w:rPr>
        <w:t xml:space="preserve">p: male vs female (T2DM); </w:t>
      </w:r>
      <w:r w:rsidR="00A93A3B" w:rsidRPr="00D803C4">
        <w:rPr>
          <w:rFonts w:ascii="Times New Roman" w:hAnsi="Times New Roman" w:cs="Times New Roman"/>
          <w:b/>
          <w:bCs/>
          <w:i/>
          <w:iCs/>
          <w:sz w:val="20"/>
          <w:szCs w:val="20"/>
        </w:rPr>
        <w:t>† Chi-square test</w:t>
      </w:r>
    </w:p>
    <w:p w14:paraId="05F364AB" w14:textId="2415D89B" w:rsidR="00AE381F" w:rsidRPr="00AE381F" w:rsidRDefault="00AE381F" w:rsidP="00AE381F"/>
    <w:p w14:paraId="14D4335D" w14:textId="77777777" w:rsidR="00AE381F" w:rsidRDefault="00AE381F" w:rsidP="00040DCF"/>
    <w:p w14:paraId="4B3227F1" w14:textId="77777777" w:rsidR="002B2308" w:rsidRDefault="002B2308" w:rsidP="00016880">
      <w:pPr>
        <w:rPr>
          <w:b/>
          <w:bCs/>
        </w:rPr>
      </w:pPr>
    </w:p>
    <w:p w14:paraId="6BA6DD65" w14:textId="77777777" w:rsidR="002B2308" w:rsidRDefault="002B2308" w:rsidP="00016880">
      <w:pPr>
        <w:rPr>
          <w:b/>
          <w:bCs/>
        </w:rPr>
      </w:pPr>
    </w:p>
    <w:p w14:paraId="36E8B842" w14:textId="77777777" w:rsidR="002B2308" w:rsidRDefault="002B2308" w:rsidP="00016880">
      <w:pPr>
        <w:rPr>
          <w:b/>
          <w:bCs/>
        </w:rPr>
      </w:pPr>
    </w:p>
    <w:p w14:paraId="02F6F3AD" w14:textId="77777777" w:rsidR="002B2308" w:rsidRDefault="002B2308" w:rsidP="00016880">
      <w:pPr>
        <w:rPr>
          <w:b/>
          <w:bCs/>
        </w:rPr>
      </w:pPr>
    </w:p>
    <w:p w14:paraId="26B166E1" w14:textId="77777777" w:rsidR="002B2308" w:rsidRDefault="002B2308" w:rsidP="00016880">
      <w:pPr>
        <w:rPr>
          <w:b/>
          <w:bCs/>
        </w:rPr>
      </w:pPr>
    </w:p>
    <w:p w14:paraId="562279D8" w14:textId="77777777" w:rsidR="002B2308" w:rsidRDefault="002B2308" w:rsidP="00016880">
      <w:pPr>
        <w:rPr>
          <w:b/>
          <w:bCs/>
        </w:rPr>
      </w:pPr>
    </w:p>
    <w:p w14:paraId="0EBA24AA" w14:textId="77777777" w:rsidR="002B2308" w:rsidRDefault="002B2308" w:rsidP="00016880">
      <w:pPr>
        <w:rPr>
          <w:b/>
          <w:bCs/>
        </w:rPr>
      </w:pPr>
    </w:p>
    <w:p w14:paraId="7C2B6327" w14:textId="77777777" w:rsidR="002B2308" w:rsidRDefault="002B2308" w:rsidP="00016880">
      <w:pPr>
        <w:rPr>
          <w:b/>
          <w:bCs/>
        </w:rPr>
      </w:pPr>
    </w:p>
    <w:p w14:paraId="21A0F073" w14:textId="77777777" w:rsidR="002B2308" w:rsidRDefault="002B2308" w:rsidP="00016880">
      <w:pPr>
        <w:rPr>
          <w:b/>
          <w:bCs/>
        </w:rPr>
      </w:pPr>
    </w:p>
    <w:p w14:paraId="302AA4B5" w14:textId="77777777" w:rsidR="002B2308" w:rsidRDefault="002B2308" w:rsidP="00016880">
      <w:pPr>
        <w:rPr>
          <w:b/>
          <w:bCs/>
        </w:rPr>
      </w:pPr>
    </w:p>
    <w:p w14:paraId="02FF6FC8" w14:textId="77777777" w:rsidR="00D803C4" w:rsidRDefault="00D803C4" w:rsidP="002B2308">
      <w:pPr>
        <w:spacing w:line="360" w:lineRule="auto"/>
        <w:jc w:val="both"/>
        <w:rPr>
          <w:rFonts w:ascii="Times New Roman" w:hAnsi="Times New Roman" w:cs="Times New Roman"/>
          <w:b/>
          <w:bCs/>
          <w:sz w:val="24"/>
          <w:szCs w:val="24"/>
        </w:rPr>
      </w:pPr>
    </w:p>
    <w:p w14:paraId="1BEAF839" w14:textId="5F8817A1" w:rsidR="00016880" w:rsidRPr="00016880" w:rsidRDefault="00016880" w:rsidP="002B2308">
      <w:pPr>
        <w:spacing w:line="360" w:lineRule="auto"/>
        <w:jc w:val="both"/>
        <w:rPr>
          <w:rFonts w:ascii="Times New Roman" w:hAnsi="Times New Roman" w:cs="Times New Roman"/>
          <w:b/>
          <w:bCs/>
          <w:sz w:val="24"/>
          <w:szCs w:val="24"/>
        </w:rPr>
      </w:pPr>
      <w:r w:rsidRPr="00016880">
        <w:rPr>
          <w:rFonts w:ascii="Times New Roman" w:hAnsi="Times New Roman" w:cs="Times New Roman"/>
          <w:b/>
          <w:bCs/>
          <w:sz w:val="24"/>
          <w:szCs w:val="24"/>
        </w:rPr>
        <w:t xml:space="preserve">Correlation Between Thyroid Function and </w:t>
      </w:r>
      <w:proofErr w:type="spellStart"/>
      <w:r w:rsidRPr="00016880">
        <w:rPr>
          <w:rFonts w:ascii="Times New Roman" w:hAnsi="Times New Roman" w:cs="Times New Roman"/>
          <w:b/>
          <w:bCs/>
          <w:sz w:val="24"/>
          <w:szCs w:val="24"/>
        </w:rPr>
        <w:t>Glycemic</w:t>
      </w:r>
      <w:proofErr w:type="spellEnd"/>
      <w:r w:rsidRPr="00016880">
        <w:rPr>
          <w:rFonts w:ascii="Times New Roman" w:hAnsi="Times New Roman" w:cs="Times New Roman"/>
          <w:b/>
          <w:bCs/>
          <w:sz w:val="24"/>
          <w:szCs w:val="24"/>
        </w:rPr>
        <w:t xml:space="preserve"> Control</w:t>
      </w:r>
    </w:p>
    <w:p w14:paraId="0A4B646F" w14:textId="25E3965B" w:rsidR="00016880" w:rsidRPr="00016880" w:rsidRDefault="00016880" w:rsidP="002B2308">
      <w:pPr>
        <w:spacing w:line="360" w:lineRule="auto"/>
        <w:jc w:val="both"/>
        <w:rPr>
          <w:rFonts w:ascii="Times New Roman" w:hAnsi="Times New Roman" w:cs="Times New Roman"/>
          <w:sz w:val="24"/>
          <w:szCs w:val="24"/>
        </w:rPr>
      </w:pPr>
      <w:r w:rsidRPr="00016880">
        <w:rPr>
          <w:rFonts w:ascii="Times New Roman" w:hAnsi="Times New Roman" w:cs="Times New Roman"/>
          <w:sz w:val="24"/>
          <w:szCs w:val="24"/>
        </w:rPr>
        <w:lastRenderedPageBreak/>
        <w:t xml:space="preserve">Correlation analysis among patients with T2DM demonstrated a moderate positive correlation between serum TSH and HbA1c (r = 0.46, p &lt; 0.001), indicating that poorer </w:t>
      </w:r>
      <w:proofErr w:type="spellStart"/>
      <w:r w:rsidRPr="00016880">
        <w:rPr>
          <w:rFonts w:ascii="Times New Roman" w:hAnsi="Times New Roman" w:cs="Times New Roman"/>
          <w:sz w:val="24"/>
          <w:szCs w:val="24"/>
        </w:rPr>
        <w:t>glycemic</w:t>
      </w:r>
      <w:proofErr w:type="spellEnd"/>
      <w:r w:rsidRPr="00016880">
        <w:rPr>
          <w:rFonts w:ascii="Times New Roman" w:hAnsi="Times New Roman" w:cs="Times New Roman"/>
          <w:sz w:val="24"/>
          <w:szCs w:val="24"/>
        </w:rPr>
        <w:t xml:space="preserve"> control was associated with higher TSH levels. In contrast, FT4 showed a significant negative correlation with HbA1c (r = −0.29, p = 0.004), suggesting that lower circulating thyroid hormone levels were associated with worsening </w:t>
      </w:r>
      <w:proofErr w:type="spellStart"/>
      <w:r w:rsidRPr="00016880">
        <w:rPr>
          <w:rFonts w:ascii="Times New Roman" w:hAnsi="Times New Roman" w:cs="Times New Roman"/>
          <w:sz w:val="24"/>
          <w:szCs w:val="24"/>
        </w:rPr>
        <w:t>glycemic</w:t>
      </w:r>
      <w:proofErr w:type="spellEnd"/>
      <w:r w:rsidRPr="00016880">
        <w:rPr>
          <w:rFonts w:ascii="Times New Roman" w:hAnsi="Times New Roman" w:cs="Times New Roman"/>
          <w:sz w:val="24"/>
          <w:szCs w:val="24"/>
        </w:rPr>
        <w:t xml:space="preserve"> status.</w:t>
      </w:r>
      <w:r w:rsidR="002B2308">
        <w:rPr>
          <w:rFonts w:ascii="Times New Roman" w:hAnsi="Times New Roman" w:cs="Times New Roman"/>
          <w:sz w:val="24"/>
          <w:szCs w:val="24"/>
        </w:rPr>
        <w:t xml:space="preserve"> </w:t>
      </w:r>
      <w:r w:rsidRPr="00016880">
        <w:rPr>
          <w:rFonts w:ascii="Times New Roman" w:hAnsi="Times New Roman" w:cs="Times New Roman"/>
          <w:sz w:val="24"/>
          <w:szCs w:val="24"/>
        </w:rPr>
        <w:t xml:space="preserve">Among non-diabetic individuals, no significant correlations were observed between thyroid function parameters and HbA1c, indicating that the association between thyroid dysfunction and </w:t>
      </w:r>
      <w:proofErr w:type="spellStart"/>
      <w:r w:rsidRPr="00016880">
        <w:rPr>
          <w:rFonts w:ascii="Times New Roman" w:hAnsi="Times New Roman" w:cs="Times New Roman"/>
          <w:sz w:val="24"/>
          <w:szCs w:val="24"/>
        </w:rPr>
        <w:t>glycemic</w:t>
      </w:r>
      <w:proofErr w:type="spellEnd"/>
      <w:r w:rsidRPr="00016880">
        <w:rPr>
          <w:rFonts w:ascii="Times New Roman" w:hAnsi="Times New Roman" w:cs="Times New Roman"/>
          <w:sz w:val="24"/>
          <w:szCs w:val="24"/>
        </w:rPr>
        <w:t xml:space="preserve"> control was specific to the diabetic state</w:t>
      </w:r>
      <w:r w:rsidR="00D803C4">
        <w:rPr>
          <w:rFonts w:ascii="Times New Roman" w:hAnsi="Times New Roman" w:cs="Times New Roman"/>
          <w:sz w:val="24"/>
          <w:szCs w:val="24"/>
        </w:rPr>
        <w:t xml:space="preserve"> (Table 6)</w:t>
      </w:r>
      <w:r w:rsidRPr="00016880">
        <w:rPr>
          <w:rFonts w:ascii="Times New Roman" w:hAnsi="Times New Roman" w:cs="Times New Roman"/>
          <w:sz w:val="24"/>
          <w:szCs w:val="24"/>
        </w:rPr>
        <w:t>.</w:t>
      </w:r>
    </w:p>
    <w:p w14:paraId="0958A4DC" w14:textId="390C8F83" w:rsidR="00016880" w:rsidRPr="00016880" w:rsidRDefault="00016880" w:rsidP="00016880"/>
    <w:p w14:paraId="28B937AF" w14:textId="4F09D0CF" w:rsidR="00016880" w:rsidRPr="00016880" w:rsidRDefault="00016880" w:rsidP="002B2308">
      <w:pPr>
        <w:jc w:val="center"/>
        <w:rPr>
          <w:rFonts w:ascii="Times New Roman" w:hAnsi="Times New Roman" w:cs="Times New Roman"/>
          <w:b/>
          <w:bCs/>
          <w:sz w:val="24"/>
          <w:szCs w:val="24"/>
        </w:rPr>
      </w:pPr>
      <w:r w:rsidRPr="00016880">
        <w:rPr>
          <w:rFonts w:ascii="Times New Roman" w:hAnsi="Times New Roman" w:cs="Times New Roman"/>
          <w:b/>
          <w:bCs/>
          <w:sz w:val="24"/>
          <w:szCs w:val="24"/>
        </w:rPr>
        <w:t xml:space="preserve">Table </w:t>
      </w:r>
      <w:r w:rsidR="002B2308" w:rsidRPr="002B2308">
        <w:rPr>
          <w:rFonts w:ascii="Times New Roman" w:hAnsi="Times New Roman" w:cs="Times New Roman"/>
          <w:b/>
          <w:bCs/>
          <w:sz w:val="24"/>
          <w:szCs w:val="24"/>
        </w:rPr>
        <w:t>6</w:t>
      </w:r>
      <w:r w:rsidRPr="00016880">
        <w:rPr>
          <w:rFonts w:ascii="Times New Roman" w:hAnsi="Times New Roman" w:cs="Times New Roman"/>
          <w:b/>
          <w:bCs/>
          <w:sz w:val="24"/>
          <w:szCs w:val="24"/>
        </w:rPr>
        <w:t xml:space="preserve">. </w:t>
      </w:r>
      <w:r w:rsidR="002B2308" w:rsidRPr="002B2308">
        <w:rPr>
          <w:rFonts w:ascii="Times New Roman" w:hAnsi="Times New Roman" w:cs="Times New Roman"/>
          <w:b/>
          <w:bCs/>
          <w:sz w:val="24"/>
          <w:szCs w:val="24"/>
        </w:rPr>
        <w:t xml:space="preserve">Correlation of Thyroid Function with </w:t>
      </w:r>
      <w:proofErr w:type="spellStart"/>
      <w:r w:rsidR="002B2308" w:rsidRPr="002B2308">
        <w:rPr>
          <w:rFonts w:ascii="Times New Roman" w:hAnsi="Times New Roman" w:cs="Times New Roman"/>
          <w:b/>
          <w:bCs/>
          <w:sz w:val="24"/>
          <w:szCs w:val="24"/>
        </w:rPr>
        <w:t>Glycemic</w:t>
      </w:r>
      <w:proofErr w:type="spellEnd"/>
      <w:r w:rsidR="002B2308" w:rsidRPr="002B2308">
        <w:rPr>
          <w:rFonts w:ascii="Times New Roman" w:hAnsi="Times New Roman" w:cs="Times New Roman"/>
          <w:b/>
          <w:bCs/>
          <w:sz w:val="24"/>
          <w:szCs w:val="24"/>
        </w:rPr>
        <w:t xml:space="preserve"> Control</w:t>
      </w:r>
    </w:p>
    <w:tbl>
      <w:tblPr>
        <w:tblStyle w:val="TableGrid"/>
        <w:tblW w:w="8504" w:type="dxa"/>
        <w:jc w:val="center"/>
        <w:tblLook w:val="04A0" w:firstRow="1" w:lastRow="0" w:firstColumn="1" w:lastColumn="0" w:noHBand="0" w:noVBand="1"/>
      </w:tblPr>
      <w:tblGrid>
        <w:gridCol w:w="1755"/>
        <w:gridCol w:w="2102"/>
        <w:gridCol w:w="1010"/>
        <w:gridCol w:w="2627"/>
        <w:gridCol w:w="1010"/>
      </w:tblGrid>
      <w:tr w:rsidR="002B2308" w:rsidRPr="00016880" w14:paraId="4A583330" w14:textId="77777777" w:rsidTr="00D803C4">
        <w:trPr>
          <w:trHeight w:val="667"/>
          <w:jc w:val="center"/>
        </w:trPr>
        <w:tc>
          <w:tcPr>
            <w:tcW w:w="0" w:type="auto"/>
            <w:hideMark/>
          </w:tcPr>
          <w:p w14:paraId="6499EB0C" w14:textId="77777777" w:rsidR="00016880" w:rsidRPr="00016880" w:rsidRDefault="00016880" w:rsidP="00016880">
            <w:pPr>
              <w:spacing w:after="160" w:line="259" w:lineRule="auto"/>
              <w:rPr>
                <w:rFonts w:ascii="Times New Roman" w:hAnsi="Times New Roman" w:cs="Times New Roman"/>
                <w:b/>
                <w:bCs/>
                <w:sz w:val="24"/>
                <w:szCs w:val="24"/>
              </w:rPr>
            </w:pPr>
            <w:r w:rsidRPr="00016880">
              <w:rPr>
                <w:rFonts w:ascii="Times New Roman" w:hAnsi="Times New Roman" w:cs="Times New Roman"/>
                <w:b/>
                <w:bCs/>
                <w:sz w:val="24"/>
                <w:szCs w:val="24"/>
              </w:rPr>
              <w:t>Variable</w:t>
            </w:r>
          </w:p>
        </w:tc>
        <w:tc>
          <w:tcPr>
            <w:tcW w:w="0" w:type="auto"/>
            <w:hideMark/>
          </w:tcPr>
          <w:p w14:paraId="7FDB0738" w14:textId="77777777" w:rsidR="00016880" w:rsidRPr="00016880" w:rsidRDefault="00016880" w:rsidP="00D803C4">
            <w:pPr>
              <w:spacing w:after="160" w:line="259" w:lineRule="auto"/>
              <w:jc w:val="center"/>
              <w:rPr>
                <w:rFonts w:ascii="Times New Roman" w:hAnsi="Times New Roman" w:cs="Times New Roman"/>
                <w:b/>
                <w:bCs/>
                <w:sz w:val="24"/>
                <w:szCs w:val="24"/>
              </w:rPr>
            </w:pPr>
            <w:r w:rsidRPr="00016880">
              <w:rPr>
                <w:rFonts w:ascii="Times New Roman" w:hAnsi="Times New Roman" w:cs="Times New Roman"/>
                <w:b/>
                <w:bCs/>
                <w:sz w:val="24"/>
                <w:szCs w:val="24"/>
              </w:rPr>
              <w:t>T2DM (n = 100) r</w:t>
            </w:r>
          </w:p>
        </w:tc>
        <w:tc>
          <w:tcPr>
            <w:tcW w:w="0" w:type="auto"/>
            <w:hideMark/>
          </w:tcPr>
          <w:p w14:paraId="10B0E3B6" w14:textId="77777777" w:rsidR="00016880" w:rsidRPr="00016880" w:rsidRDefault="00016880" w:rsidP="00D803C4">
            <w:pPr>
              <w:spacing w:after="160" w:line="259" w:lineRule="auto"/>
              <w:jc w:val="center"/>
              <w:rPr>
                <w:rFonts w:ascii="Times New Roman" w:hAnsi="Times New Roman" w:cs="Times New Roman"/>
                <w:b/>
                <w:bCs/>
                <w:sz w:val="24"/>
                <w:szCs w:val="24"/>
              </w:rPr>
            </w:pPr>
            <w:r w:rsidRPr="00016880">
              <w:rPr>
                <w:rFonts w:ascii="Times New Roman" w:hAnsi="Times New Roman" w:cs="Times New Roman"/>
                <w:b/>
                <w:bCs/>
                <w:sz w:val="24"/>
                <w:szCs w:val="24"/>
              </w:rPr>
              <w:t>p-value</w:t>
            </w:r>
          </w:p>
        </w:tc>
        <w:tc>
          <w:tcPr>
            <w:tcW w:w="0" w:type="auto"/>
            <w:hideMark/>
          </w:tcPr>
          <w:p w14:paraId="6D1C740A" w14:textId="77777777" w:rsidR="00016880" w:rsidRPr="00016880" w:rsidRDefault="00016880" w:rsidP="00D803C4">
            <w:pPr>
              <w:spacing w:after="160" w:line="259" w:lineRule="auto"/>
              <w:jc w:val="center"/>
              <w:rPr>
                <w:rFonts w:ascii="Times New Roman" w:hAnsi="Times New Roman" w:cs="Times New Roman"/>
                <w:b/>
                <w:bCs/>
                <w:sz w:val="24"/>
                <w:szCs w:val="24"/>
              </w:rPr>
            </w:pPr>
            <w:r w:rsidRPr="00016880">
              <w:rPr>
                <w:rFonts w:ascii="Times New Roman" w:hAnsi="Times New Roman" w:cs="Times New Roman"/>
                <w:b/>
                <w:bCs/>
                <w:sz w:val="24"/>
                <w:szCs w:val="24"/>
              </w:rPr>
              <w:t>Non-T2DM (n = 100) r</w:t>
            </w:r>
          </w:p>
        </w:tc>
        <w:tc>
          <w:tcPr>
            <w:tcW w:w="0" w:type="auto"/>
            <w:hideMark/>
          </w:tcPr>
          <w:p w14:paraId="779C82F0" w14:textId="77777777" w:rsidR="00016880" w:rsidRPr="00016880" w:rsidRDefault="00016880" w:rsidP="00D803C4">
            <w:pPr>
              <w:spacing w:after="160" w:line="259" w:lineRule="auto"/>
              <w:jc w:val="center"/>
              <w:rPr>
                <w:rFonts w:ascii="Times New Roman" w:hAnsi="Times New Roman" w:cs="Times New Roman"/>
                <w:b/>
                <w:bCs/>
                <w:sz w:val="24"/>
                <w:szCs w:val="24"/>
              </w:rPr>
            </w:pPr>
            <w:r w:rsidRPr="00016880">
              <w:rPr>
                <w:rFonts w:ascii="Times New Roman" w:hAnsi="Times New Roman" w:cs="Times New Roman"/>
                <w:b/>
                <w:bCs/>
                <w:sz w:val="24"/>
                <w:szCs w:val="24"/>
              </w:rPr>
              <w:t>p-value</w:t>
            </w:r>
          </w:p>
        </w:tc>
      </w:tr>
      <w:tr w:rsidR="002B2308" w:rsidRPr="00016880" w14:paraId="3023CB84" w14:textId="77777777" w:rsidTr="00D803C4">
        <w:trPr>
          <w:trHeight w:val="667"/>
          <w:jc w:val="center"/>
        </w:trPr>
        <w:tc>
          <w:tcPr>
            <w:tcW w:w="0" w:type="auto"/>
            <w:hideMark/>
          </w:tcPr>
          <w:p w14:paraId="34B097F9" w14:textId="77777777" w:rsidR="00016880" w:rsidRPr="00016880" w:rsidRDefault="00016880" w:rsidP="00016880">
            <w:pPr>
              <w:spacing w:after="160" w:line="259" w:lineRule="auto"/>
              <w:rPr>
                <w:rFonts w:ascii="Times New Roman" w:hAnsi="Times New Roman" w:cs="Times New Roman"/>
                <w:sz w:val="24"/>
                <w:szCs w:val="24"/>
              </w:rPr>
            </w:pPr>
            <w:r w:rsidRPr="00016880">
              <w:rPr>
                <w:rFonts w:ascii="Times New Roman" w:hAnsi="Times New Roman" w:cs="Times New Roman"/>
                <w:sz w:val="24"/>
                <w:szCs w:val="24"/>
              </w:rPr>
              <w:t>TSH vs HbA1c</w:t>
            </w:r>
          </w:p>
        </w:tc>
        <w:tc>
          <w:tcPr>
            <w:tcW w:w="0" w:type="auto"/>
            <w:hideMark/>
          </w:tcPr>
          <w:p w14:paraId="75C2F5A2"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0.46</w:t>
            </w:r>
          </w:p>
        </w:tc>
        <w:tc>
          <w:tcPr>
            <w:tcW w:w="0" w:type="auto"/>
            <w:hideMark/>
          </w:tcPr>
          <w:p w14:paraId="5356414F"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&lt;0.001</w:t>
            </w:r>
          </w:p>
        </w:tc>
        <w:tc>
          <w:tcPr>
            <w:tcW w:w="0" w:type="auto"/>
            <w:hideMark/>
          </w:tcPr>
          <w:p w14:paraId="2F145E79"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0.08</w:t>
            </w:r>
          </w:p>
        </w:tc>
        <w:tc>
          <w:tcPr>
            <w:tcW w:w="0" w:type="auto"/>
            <w:hideMark/>
          </w:tcPr>
          <w:p w14:paraId="3B791B94"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0.42</w:t>
            </w:r>
          </w:p>
        </w:tc>
      </w:tr>
      <w:tr w:rsidR="002B2308" w:rsidRPr="00016880" w14:paraId="5838D685" w14:textId="77777777" w:rsidTr="00D803C4">
        <w:trPr>
          <w:trHeight w:val="667"/>
          <w:jc w:val="center"/>
        </w:trPr>
        <w:tc>
          <w:tcPr>
            <w:tcW w:w="0" w:type="auto"/>
            <w:hideMark/>
          </w:tcPr>
          <w:p w14:paraId="68435D1E" w14:textId="77777777" w:rsidR="00016880" w:rsidRPr="00016880" w:rsidRDefault="00016880" w:rsidP="00016880">
            <w:pPr>
              <w:spacing w:after="160" w:line="259" w:lineRule="auto"/>
              <w:rPr>
                <w:rFonts w:ascii="Times New Roman" w:hAnsi="Times New Roman" w:cs="Times New Roman"/>
                <w:sz w:val="24"/>
                <w:szCs w:val="24"/>
              </w:rPr>
            </w:pPr>
            <w:r w:rsidRPr="00016880">
              <w:rPr>
                <w:rFonts w:ascii="Times New Roman" w:hAnsi="Times New Roman" w:cs="Times New Roman"/>
                <w:sz w:val="24"/>
                <w:szCs w:val="24"/>
              </w:rPr>
              <w:t>FT4 vs HbA1c</w:t>
            </w:r>
          </w:p>
        </w:tc>
        <w:tc>
          <w:tcPr>
            <w:tcW w:w="0" w:type="auto"/>
            <w:hideMark/>
          </w:tcPr>
          <w:p w14:paraId="7B5843C0"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−0.29</w:t>
            </w:r>
          </w:p>
        </w:tc>
        <w:tc>
          <w:tcPr>
            <w:tcW w:w="0" w:type="auto"/>
            <w:hideMark/>
          </w:tcPr>
          <w:p w14:paraId="042C269F"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0.004</w:t>
            </w:r>
          </w:p>
        </w:tc>
        <w:tc>
          <w:tcPr>
            <w:tcW w:w="0" w:type="auto"/>
            <w:hideMark/>
          </w:tcPr>
          <w:p w14:paraId="2CD25DA2"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−0.06</w:t>
            </w:r>
          </w:p>
        </w:tc>
        <w:tc>
          <w:tcPr>
            <w:tcW w:w="0" w:type="auto"/>
            <w:hideMark/>
          </w:tcPr>
          <w:p w14:paraId="1D5EC85A"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0.51</w:t>
            </w:r>
          </w:p>
        </w:tc>
      </w:tr>
    </w:tbl>
    <w:p w14:paraId="178AA481" w14:textId="77777777" w:rsidR="00016880" w:rsidRPr="00D803C4" w:rsidRDefault="00016880" w:rsidP="00D803C4">
      <w:pPr>
        <w:pStyle w:val="ListParagraph"/>
        <w:numPr>
          <w:ilvl w:val="0"/>
          <w:numId w:val="1"/>
        </w:numPr>
        <w:rPr>
          <w:rFonts w:ascii="Times New Roman" w:hAnsi="Times New Roman" w:cs="Times New Roman"/>
        </w:rPr>
      </w:pPr>
      <w:r w:rsidRPr="00D803C4">
        <w:rPr>
          <w:rFonts w:ascii="Times New Roman" w:hAnsi="Times New Roman" w:cs="Times New Roman"/>
          <w:i/>
          <w:iCs/>
        </w:rPr>
        <w:t>Pearson correlation analysis</w:t>
      </w:r>
    </w:p>
    <w:p w14:paraId="4625BE0F" w14:textId="77777777" w:rsidR="00DB15C5" w:rsidRDefault="00DB15C5" w:rsidP="00040DCF">
      <w:pPr>
        <w:rPr>
          <w:noProof/>
        </w:rPr>
      </w:pPr>
    </w:p>
    <w:p w14:paraId="282B3B6B" w14:textId="7A98774D" w:rsidR="00016880" w:rsidRDefault="00DB15C5" w:rsidP="00DB15C5">
      <w:pPr>
        <w:jc w:val="center"/>
      </w:pPr>
      <w:r>
        <w:rPr>
          <w:noProof/>
        </w:rPr>
        <w:drawing>
          <wp:inline distT="0" distB="0" distL="0" distR="0" wp14:anchorId="1F145340" wp14:editId="2BEC5134">
            <wp:extent cx="3990975" cy="2886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rotWithShape="1">
                    <a:blip r:embed="rId9">
                      <a:extLst>
                        <a:ext uri="{28A0092B-C50C-407E-A947-70E740481C1C}">
                          <a14:useLocalDpi xmlns:a14="http://schemas.microsoft.com/office/drawing/2010/main" val="0"/>
                        </a:ext>
                      </a:extLst>
                    </a:blip>
                    <a:srcRect t="6407"/>
                    <a:stretch/>
                  </pic:blipFill>
                  <pic:spPr bwMode="auto">
                    <a:xfrm>
                      <a:off x="0" y="0"/>
                      <a:ext cx="3990975" cy="2886075"/>
                    </a:xfrm>
                    <a:prstGeom prst="rect">
                      <a:avLst/>
                    </a:prstGeom>
                    <a:noFill/>
                    <a:ln>
                      <a:noFill/>
                    </a:ln>
                    <a:extLst>
                      <a:ext uri="{53640926-AAD7-44D8-BBD7-CCE9431645EC}">
                        <a14:shadowObscured xmlns:a14="http://schemas.microsoft.com/office/drawing/2010/main"/>
                      </a:ext>
                    </a:extLst>
                  </pic:spPr>
                </pic:pic>
              </a:graphicData>
            </a:graphic>
          </wp:inline>
        </w:drawing>
      </w:r>
    </w:p>
    <w:p w14:paraId="6461CFBA" w14:textId="286C1A52" w:rsidR="00DB15C5" w:rsidRDefault="0035059B" w:rsidP="00DB15C5">
      <w:pPr>
        <w:jc w:val="center"/>
        <w:rPr>
          <w:rFonts w:ascii="Times New Roman" w:hAnsi="Times New Roman" w:cs="Times New Roman"/>
          <w:b/>
          <w:bCs/>
          <w:sz w:val="24"/>
          <w:szCs w:val="24"/>
        </w:rPr>
      </w:pPr>
      <w:r w:rsidRPr="0035059B">
        <w:rPr>
          <w:rFonts w:ascii="Times New Roman" w:hAnsi="Times New Roman" w:cs="Times New Roman"/>
          <w:b/>
          <w:bCs/>
          <w:sz w:val="24"/>
          <w:szCs w:val="24"/>
        </w:rPr>
        <w:t>Figure 3. Correlation Between HbA1c and TSH in T2DM</w:t>
      </w:r>
    </w:p>
    <w:p w14:paraId="0403292B" w14:textId="77777777" w:rsidR="00106660" w:rsidRDefault="00106660" w:rsidP="00DB15C5">
      <w:pPr>
        <w:jc w:val="center"/>
        <w:rPr>
          <w:rFonts w:ascii="Times New Roman" w:hAnsi="Times New Roman" w:cs="Times New Roman"/>
          <w:b/>
          <w:bCs/>
          <w:sz w:val="24"/>
          <w:szCs w:val="24"/>
        </w:rPr>
      </w:pPr>
    </w:p>
    <w:p w14:paraId="5C40275F" w14:textId="77777777" w:rsidR="00106660" w:rsidRDefault="00106660" w:rsidP="00DB15C5">
      <w:pPr>
        <w:jc w:val="center"/>
        <w:rPr>
          <w:rFonts w:ascii="Times New Roman" w:hAnsi="Times New Roman" w:cs="Times New Roman"/>
          <w:b/>
          <w:bCs/>
          <w:sz w:val="24"/>
          <w:szCs w:val="24"/>
        </w:rPr>
      </w:pPr>
    </w:p>
    <w:p w14:paraId="607287EE" w14:textId="23EE37D7" w:rsidR="00106660" w:rsidRDefault="00106660" w:rsidP="00106660">
      <w:pPr>
        <w:rPr>
          <w:rFonts w:ascii="Times New Roman" w:hAnsi="Times New Roman" w:cs="Times New Roman"/>
          <w:b/>
          <w:bCs/>
          <w:sz w:val="24"/>
          <w:szCs w:val="24"/>
        </w:rPr>
      </w:pPr>
      <w:r>
        <w:rPr>
          <w:rFonts w:ascii="Times New Roman" w:hAnsi="Times New Roman" w:cs="Times New Roman"/>
          <w:b/>
          <w:bCs/>
          <w:sz w:val="24"/>
          <w:szCs w:val="24"/>
        </w:rPr>
        <w:t>DISCUSSION</w:t>
      </w:r>
    </w:p>
    <w:p w14:paraId="65D8F888" w14:textId="4D4C9C26"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lastRenderedPageBreak/>
        <w:t xml:space="preserve">In this study, patients with T2DM demonstrated markedly poorer metabolic profiles compared to non-diabetic controls, as evidenced by significantly higher fasting blood glucose, postprandial glucose, and HbA1c levels (all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&lt; 0.001). </w:t>
      </w:r>
      <w:r w:rsidR="00A85F88">
        <w:rPr>
          <w:rFonts w:ascii="Times New Roman" w:hAnsi="Times New Roman" w:cs="Times New Roman"/>
          <w:sz w:val="24"/>
          <w:szCs w:val="24"/>
        </w:rPr>
        <w:t>“</w:t>
      </w:r>
      <w:r w:rsidRPr="00106660">
        <w:rPr>
          <w:rFonts w:ascii="Times New Roman" w:hAnsi="Times New Roman" w:cs="Times New Roman"/>
          <w:sz w:val="24"/>
          <w:szCs w:val="24"/>
        </w:rPr>
        <w:t>Additionally, diabetic patients exhibited a more adverse lipid profile, including higher total cholesterol, triglycerides, and LDL-C levels, along with lower HDL-C levels. Elevated serum creatinine levels in the T2DM group further indicate greater renal involvement. These findings are consistent with the well-established metabolic and vascular burden associated with chronic hyperglycemia</w:t>
      </w:r>
      <w:r w:rsidR="00A85F88">
        <w:rPr>
          <w:rFonts w:ascii="Times New Roman" w:hAnsi="Times New Roman" w:cs="Times New Roman"/>
          <w:sz w:val="24"/>
          <w:szCs w:val="24"/>
        </w:rPr>
        <w:t>”</w:t>
      </w:r>
      <w:r w:rsidR="001372CC">
        <w:rPr>
          <w:rFonts w:ascii="Times New Roman" w:hAnsi="Times New Roman" w:cs="Times New Roman"/>
          <w:sz w:val="24"/>
          <w:szCs w:val="24"/>
          <w:vertAlign w:val="superscript"/>
        </w:rPr>
        <w:t>13</w:t>
      </w:r>
      <w:r w:rsidRPr="00106660">
        <w:rPr>
          <w:rFonts w:ascii="Times New Roman" w:hAnsi="Times New Roman" w:cs="Times New Roman"/>
          <w:sz w:val="24"/>
          <w:szCs w:val="24"/>
        </w:rPr>
        <w:t>.</w:t>
      </w:r>
    </w:p>
    <w:p w14:paraId="4FC36DB2" w14:textId="1684E50E"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A key finding of this study was the significantly higher prevalence of thyroid dysfunction among patients with T2DM compared to non-diabetic individuals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 0.003). Only 68.0% of diabetic patients were euthyroid, compared to 86.0% of non-diabetic controls. Subclinical hypothyroidism was the most common abnormality in the T2DM group (22.0%), followed by overt hypothyroidism (10.0%). </w:t>
      </w:r>
      <w:r w:rsidR="00A85F88">
        <w:rPr>
          <w:rFonts w:ascii="Times New Roman" w:hAnsi="Times New Roman" w:cs="Times New Roman"/>
          <w:sz w:val="24"/>
          <w:szCs w:val="24"/>
        </w:rPr>
        <w:t>“</w:t>
      </w:r>
      <w:r w:rsidRPr="00106660">
        <w:rPr>
          <w:rFonts w:ascii="Times New Roman" w:hAnsi="Times New Roman" w:cs="Times New Roman"/>
          <w:sz w:val="24"/>
          <w:szCs w:val="24"/>
        </w:rPr>
        <w:t>In contrast, thyroid dysfunction was relatively uncommon among non-diabetic individuals. This pattern supports the hypothesis that diabetes predisposes individuals to altered thyroid function, potentially through shared autoimmune mechanisms, chronic inflammation, or altered hypothalamic–pituitary–thyroid axis regulation</w:t>
      </w:r>
      <w:r w:rsidR="00A85F88">
        <w:rPr>
          <w:rFonts w:ascii="Times New Roman" w:hAnsi="Times New Roman" w:cs="Times New Roman"/>
          <w:sz w:val="24"/>
          <w:szCs w:val="24"/>
        </w:rPr>
        <w:t>”</w:t>
      </w:r>
      <w:r w:rsidR="001372CC">
        <w:rPr>
          <w:rFonts w:ascii="Times New Roman" w:hAnsi="Times New Roman" w:cs="Times New Roman"/>
          <w:sz w:val="24"/>
          <w:szCs w:val="24"/>
          <w:vertAlign w:val="superscript"/>
        </w:rPr>
        <w:t>14</w:t>
      </w:r>
      <w:r w:rsidRPr="00106660">
        <w:rPr>
          <w:rFonts w:ascii="Times New Roman" w:hAnsi="Times New Roman" w:cs="Times New Roman"/>
          <w:sz w:val="24"/>
          <w:szCs w:val="24"/>
        </w:rPr>
        <w:t>.</w:t>
      </w:r>
    </w:p>
    <w:p w14:paraId="17541BE9" w14:textId="204B58BC"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 xml:space="preserve">The observed differences in thyroid hormone levels further reinforce this association. Mean serum TSH levels were significantly higher in patients with T2DM compared to controls (4.2 ± 1.6 vs 2.6 ± 1.1 </w:t>
      </w:r>
      <w:proofErr w:type="spellStart"/>
      <w:r w:rsidRPr="00106660">
        <w:rPr>
          <w:rFonts w:ascii="Times New Roman" w:hAnsi="Times New Roman" w:cs="Times New Roman"/>
          <w:sz w:val="24"/>
          <w:szCs w:val="24"/>
        </w:rPr>
        <w:t>mIU</w:t>
      </w:r>
      <w:proofErr w:type="spellEnd"/>
      <w:r w:rsidRPr="00106660">
        <w:rPr>
          <w:rFonts w:ascii="Times New Roman" w:hAnsi="Times New Roman" w:cs="Times New Roman"/>
          <w:sz w:val="24"/>
          <w:szCs w:val="24"/>
        </w:rPr>
        <w:t xml:space="preserve">/L;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&lt; 0.001), while FT4 levels were significantly lower in the diabetic group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 0.01). </w:t>
      </w:r>
      <w:r w:rsidR="00A85F88">
        <w:rPr>
          <w:rFonts w:ascii="Times New Roman" w:hAnsi="Times New Roman" w:cs="Times New Roman"/>
          <w:sz w:val="24"/>
          <w:szCs w:val="24"/>
        </w:rPr>
        <w:t>“</w:t>
      </w:r>
      <w:r w:rsidRPr="00106660">
        <w:rPr>
          <w:rFonts w:ascii="Times New Roman" w:hAnsi="Times New Roman" w:cs="Times New Roman"/>
          <w:sz w:val="24"/>
          <w:szCs w:val="24"/>
        </w:rPr>
        <w:t>These findings suggest a shift toward a hypothyroid state in patients with T2DM, which may exacerbate insulin resistance, impair lipid metabolism, and worsen cardiovascular risk profiles</w:t>
      </w:r>
      <w:r w:rsidR="00A85F88">
        <w:rPr>
          <w:rFonts w:ascii="Times New Roman" w:hAnsi="Times New Roman" w:cs="Times New Roman"/>
          <w:sz w:val="24"/>
          <w:szCs w:val="24"/>
        </w:rPr>
        <w:t>”</w:t>
      </w:r>
      <w:r w:rsidR="001372CC">
        <w:rPr>
          <w:rFonts w:ascii="Times New Roman" w:hAnsi="Times New Roman" w:cs="Times New Roman"/>
          <w:sz w:val="24"/>
          <w:szCs w:val="24"/>
          <w:vertAlign w:val="superscript"/>
        </w:rPr>
        <w:t>15</w:t>
      </w:r>
      <w:r w:rsidRPr="00106660">
        <w:rPr>
          <w:rFonts w:ascii="Times New Roman" w:hAnsi="Times New Roman" w:cs="Times New Roman"/>
          <w:sz w:val="24"/>
          <w:szCs w:val="24"/>
        </w:rPr>
        <w:t>.</w:t>
      </w:r>
    </w:p>
    <w:p w14:paraId="10BF6FBF" w14:textId="09083EA4"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 xml:space="preserve">Gender-based analyses revealed important disparities. Among patients with T2DM, thyroid dysfunction was significantly more prevalent in females than males (42.9% vs 24.1%;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 0.04). Female diabetic patients showed higher rates of both subclinical (28.6%) and overt hypothyroidism (14.3%) compared to males. </w:t>
      </w:r>
      <w:r w:rsidR="00A85F88">
        <w:rPr>
          <w:rFonts w:ascii="Times New Roman" w:hAnsi="Times New Roman" w:cs="Times New Roman"/>
          <w:sz w:val="24"/>
          <w:szCs w:val="24"/>
        </w:rPr>
        <w:t>“</w:t>
      </w:r>
      <w:r w:rsidRPr="00106660">
        <w:rPr>
          <w:rFonts w:ascii="Times New Roman" w:hAnsi="Times New Roman" w:cs="Times New Roman"/>
          <w:sz w:val="24"/>
          <w:szCs w:val="24"/>
        </w:rPr>
        <w:t>This sex-related difference was not evident among non-diabetic individuals, suggesting that female sex confers increased susceptibility to thyroid dysfunction</w:t>
      </w:r>
      <w:r w:rsidR="00A85F88">
        <w:rPr>
          <w:rFonts w:ascii="Times New Roman" w:hAnsi="Times New Roman" w:cs="Times New Roman"/>
          <w:sz w:val="24"/>
          <w:szCs w:val="24"/>
        </w:rPr>
        <w:t>,</w:t>
      </w:r>
      <w:r w:rsidRPr="00106660">
        <w:rPr>
          <w:rFonts w:ascii="Times New Roman" w:hAnsi="Times New Roman" w:cs="Times New Roman"/>
          <w:sz w:val="24"/>
          <w:szCs w:val="24"/>
        </w:rPr>
        <w:t xml:space="preserve"> particularly in the presence of diabetes. These findings are consistent with the known higher prevalence of thyroid disorders in females, potentially mediated by hormonal, genetic, and immune factors</w:t>
      </w:r>
      <w:r w:rsidR="00A85F88">
        <w:rPr>
          <w:rFonts w:ascii="Times New Roman" w:hAnsi="Times New Roman" w:cs="Times New Roman"/>
          <w:sz w:val="24"/>
          <w:szCs w:val="24"/>
        </w:rPr>
        <w:t>”</w:t>
      </w:r>
      <w:r w:rsidR="001372CC">
        <w:rPr>
          <w:rFonts w:ascii="Times New Roman" w:hAnsi="Times New Roman" w:cs="Times New Roman"/>
          <w:sz w:val="24"/>
          <w:szCs w:val="24"/>
          <w:vertAlign w:val="superscript"/>
        </w:rPr>
        <w:t>16</w:t>
      </w:r>
      <w:r w:rsidRPr="00106660">
        <w:rPr>
          <w:rFonts w:ascii="Times New Roman" w:hAnsi="Times New Roman" w:cs="Times New Roman"/>
          <w:sz w:val="24"/>
          <w:szCs w:val="24"/>
        </w:rPr>
        <w:t>.</w:t>
      </w:r>
    </w:p>
    <w:p w14:paraId="1B2EAB69" w14:textId="4898F23D"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 xml:space="preserve">Furthermore, gender-based comparison of biochemical parameters demonstrated that diabetic males had higher HbA1c levels than females (8.6 ± 1.1% vs 8.1 ± 1.3%), while females exhibited significantly higher TSH and lower FT4 levels. </w:t>
      </w:r>
      <w:r w:rsidR="00A85F88">
        <w:rPr>
          <w:rFonts w:ascii="Times New Roman" w:hAnsi="Times New Roman" w:cs="Times New Roman"/>
          <w:sz w:val="24"/>
          <w:szCs w:val="24"/>
        </w:rPr>
        <w:t>“</w:t>
      </w:r>
      <w:r w:rsidRPr="00106660">
        <w:rPr>
          <w:rFonts w:ascii="Times New Roman" w:hAnsi="Times New Roman" w:cs="Times New Roman"/>
          <w:sz w:val="24"/>
          <w:szCs w:val="24"/>
        </w:rPr>
        <w:t xml:space="preserve">This indicates that although </w:t>
      </w:r>
      <w:proofErr w:type="spellStart"/>
      <w:r w:rsidRPr="00106660">
        <w:rPr>
          <w:rFonts w:ascii="Times New Roman" w:hAnsi="Times New Roman" w:cs="Times New Roman"/>
          <w:sz w:val="24"/>
          <w:szCs w:val="24"/>
        </w:rPr>
        <w:lastRenderedPageBreak/>
        <w:t>glycemic</w:t>
      </w:r>
      <w:proofErr w:type="spellEnd"/>
      <w:r w:rsidRPr="00106660">
        <w:rPr>
          <w:rFonts w:ascii="Times New Roman" w:hAnsi="Times New Roman" w:cs="Times New Roman"/>
          <w:sz w:val="24"/>
          <w:szCs w:val="24"/>
        </w:rPr>
        <w:t xml:space="preserve"> control may be worse in males, thyroid dysfunction is more pronounced in females. These contrasting patterns underscore the importance of sex-specific screening and management strategies in diabetic populations</w:t>
      </w:r>
      <w:r w:rsidR="00A85F88">
        <w:rPr>
          <w:rFonts w:ascii="Times New Roman" w:hAnsi="Times New Roman" w:cs="Times New Roman"/>
          <w:sz w:val="24"/>
          <w:szCs w:val="24"/>
        </w:rPr>
        <w:t>”</w:t>
      </w:r>
      <w:r w:rsidR="001372CC">
        <w:rPr>
          <w:rFonts w:ascii="Times New Roman" w:hAnsi="Times New Roman" w:cs="Times New Roman"/>
          <w:sz w:val="24"/>
          <w:szCs w:val="24"/>
          <w:vertAlign w:val="superscript"/>
        </w:rPr>
        <w:t>17</w:t>
      </w:r>
      <w:r w:rsidRPr="00106660">
        <w:rPr>
          <w:rFonts w:ascii="Times New Roman" w:hAnsi="Times New Roman" w:cs="Times New Roman"/>
          <w:sz w:val="24"/>
          <w:szCs w:val="24"/>
        </w:rPr>
        <w:t>.</w:t>
      </w:r>
    </w:p>
    <w:p w14:paraId="68729762" w14:textId="09549A7F"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 xml:space="preserve">An important mechanistic insight from this study is the significant correlation between thyroid function and </w:t>
      </w:r>
      <w:proofErr w:type="spellStart"/>
      <w:r w:rsidRPr="00106660">
        <w:rPr>
          <w:rFonts w:ascii="Times New Roman" w:hAnsi="Times New Roman" w:cs="Times New Roman"/>
          <w:sz w:val="24"/>
          <w:szCs w:val="24"/>
        </w:rPr>
        <w:t>glycemic</w:t>
      </w:r>
      <w:proofErr w:type="spellEnd"/>
      <w:r w:rsidRPr="00106660">
        <w:rPr>
          <w:rFonts w:ascii="Times New Roman" w:hAnsi="Times New Roman" w:cs="Times New Roman"/>
          <w:sz w:val="24"/>
          <w:szCs w:val="24"/>
        </w:rPr>
        <w:t xml:space="preserve"> control in T2DM. Serum TSH showed a moderate positive correlation with HbA1c (</w:t>
      </w:r>
      <w:r w:rsidRPr="00106660">
        <w:rPr>
          <w:rFonts w:ascii="Times New Roman" w:hAnsi="Times New Roman" w:cs="Times New Roman"/>
          <w:i/>
          <w:iCs/>
          <w:sz w:val="24"/>
          <w:szCs w:val="24"/>
        </w:rPr>
        <w:t>r</w:t>
      </w:r>
      <w:r w:rsidRPr="00106660">
        <w:rPr>
          <w:rFonts w:ascii="Times New Roman" w:hAnsi="Times New Roman" w:cs="Times New Roman"/>
          <w:sz w:val="24"/>
          <w:szCs w:val="24"/>
        </w:rPr>
        <w:t xml:space="preserve"> = 0.46,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&lt; 0.001), whereas FT4 demonstrated a significant negative correlation (</w:t>
      </w:r>
      <w:r w:rsidRPr="00106660">
        <w:rPr>
          <w:rFonts w:ascii="Times New Roman" w:hAnsi="Times New Roman" w:cs="Times New Roman"/>
          <w:i/>
          <w:iCs/>
          <w:sz w:val="24"/>
          <w:szCs w:val="24"/>
        </w:rPr>
        <w:t>r</w:t>
      </w:r>
      <w:r w:rsidRPr="00106660">
        <w:rPr>
          <w:rFonts w:ascii="Times New Roman" w:hAnsi="Times New Roman" w:cs="Times New Roman"/>
          <w:sz w:val="24"/>
          <w:szCs w:val="24"/>
        </w:rPr>
        <w:t xml:space="preserve"> = −0.29,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 0.004). </w:t>
      </w:r>
      <w:r w:rsidR="00A85F88">
        <w:rPr>
          <w:rFonts w:ascii="Times New Roman" w:hAnsi="Times New Roman" w:cs="Times New Roman"/>
          <w:sz w:val="24"/>
          <w:szCs w:val="24"/>
        </w:rPr>
        <w:t>“</w:t>
      </w:r>
      <w:bookmarkStart w:id="0" w:name="_GoBack"/>
      <w:bookmarkEnd w:id="0"/>
      <w:r w:rsidRPr="00106660">
        <w:rPr>
          <w:rFonts w:ascii="Times New Roman" w:hAnsi="Times New Roman" w:cs="Times New Roman"/>
          <w:sz w:val="24"/>
          <w:szCs w:val="24"/>
        </w:rPr>
        <w:t xml:space="preserve">These associations were absent in non-diabetic individuals, indicating that the interaction between thyroid dysfunction and </w:t>
      </w:r>
      <w:proofErr w:type="spellStart"/>
      <w:r w:rsidRPr="00106660">
        <w:rPr>
          <w:rFonts w:ascii="Times New Roman" w:hAnsi="Times New Roman" w:cs="Times New Roman"/>
          <w:sz w:val="24"/>
          <w:szCs w:val="24"/>
        </w:rPr>
        <w:t>glycemic</w:t>
      </w:r>
      <w:proofErr w:type="spellEnd"/>
      <w:r w:rsidRPr="00106660">
        <w:rPr>
          <w:rFonts w:ascii="Times New Roman" w:hAnsi="Times New Roman" w:cs="Times New Roman"/>
          <w:sz w:val="24"/>
          <w:szCs w:val="24"/>
        </w:rPr>
        <w:t xml:space="preserve"> control is specific to the diabetic state</w:t>
      </w:r>
      <w:r w:rsidR="00702EE5">
        <w:rPr>
          <w:rFonts w:ascii="Times New Roman" w:hAnsi="Times New Roman" w:cs="Times New Roman"/>
          <w:sz w:val="24"/>
          <w:szCs w:val="24"/>
          <w:vertAlign w:val="superscript"/>
        </w:rPr>
        <w:t>18</w:t>
      </w:r>
      <w:r w:rsidRPr="00106660">
        <w:rPr>
          <w:rFonts w:ascii="Times New Roman" w:hAnsi="Times New Roman" w:cs="Times New Roman"/>
          <w:sz w:val="24"/>
          <w:szCs w:val="24"/>
        </w:rPr>
        <w:t>. Elevated TSH and reduced FT4 may contribute to worsening insulin resistance, reduced glucose utilization, and impaired hepatic glucose metabolism, thereby creating a vicious cycle of poor metabolic control</w:t>
      </w:r>
      <w:r w:rsidR="00A85F88">
        <w:rPr>
          <w:rFonts w:ascii="Times New Roman" w:hAnsi="Times New Roman" w:cs="Times New Roman"/>
          <w:sz w:val="24"/>
          <w:szCs w:val="24"/>
        </w:rPr>
        <w:t>”</w:t>
      </w:r>
      <w:r w:rsidR="001372CC">
        <w:rPr>
          <w:rFonts w:ascii="Times New Roman" w:hAnsi="Times New Roman" w:cs="Times New Roman"/>
          <w:sz w:val="24"/>
          <w:szCs w:val="24"/>
          <w:vertAlign w:val="superscript"/>
        </w:rPr>
        <w:t>1</w:t>
      </w:r>
      <w:r w:rsidR="00702EE5">
        <w:rPr>
          <w:rFonts w:ascii="Times New Roman" w:hAnsi="Times New Roman" w:cs="Times New Roman"/>
          <w:sz w:val="24"/>
          <w:szCs w:val="24"/>
          <w:vertAlign w:val="superscript"/>
        </w:rPr>
        <w:t>9</w:t>
      </w:r>
      <w:r w:rsidRPr="00106660">
        <w:rPr>
          <w:rFonts w:ascii="Times New Roman" w:hAnsi="Times New Roman" w:cs="Times New Roman"/>
          <w:sz w:val="24"/>
          <w:szCs w:val="24"/>
        </w:rPr>
        <w:t>.</w:t>
      </w:r>
    </w:p>
    <w:p w14:paraId="2A636654" w14:textId="77777777" w:rsidR="00106660" w:rsidRDefault="00106660" w:rsidP="00106660">
      <w:pPr>
        <w:rPr>
          <w:rFonts w:ascii="Times New Roman" w:hAnsi="Times New Roman" w:cs="Times New Roman"/>
          <w:b/>
          <w:bCs/>
          <w:sz w:val="24"/>
          <w:szCs w:val="24"/>
        </w:rPr>
      </w:pPr>
    </w:p>
    <w:p w14:paraId="7C98E4F5" w14:textId="77777777" w:rsidR="00240A4C" w:rsidRDefault="00240A4C" w:rsidP="00106660">
      <w:pPr>
        <w:rPr>
          <w:rFonts w:ascii="Times New Roman" w:hAnsi="Times New Roman" w:cs="Times New Roman"/>
          <w:b/>
          <w:bCs/>
          <w:sz w:val="24"/>
          <w:szCs w:val="24"/>
        </w:rPr>
      </w:pPr>
    </w:p>
    <w:p w14:paraId="516D4FAD" w14:textId="77777777" w:rsidR="00240A4C" w:rsidRPr="00240A4C" w:rsidRDefault="00240A4C" w:rsidP="00240A4C">
      <w:pPr>
        <w:rPr>
          <w:rFonts w:ascii="Times New Roman" w:hAnsi="Times New Roman" w:cs="Times New Roman"/>
          <w:b/>
          <w:bCs/>
          <w:sz w:val="24"/>
          <w:szCs w:val="24"/>
        </w:rPr>
      </w:pPr>
      <w:r w:rsidRPr="00240A4C">
        <w:rPr>
          <w:rFonts w:ascii="Times New Roman" w:hAnsi="Times New Roman" w:cs="Times New Roman"/>
          <w:b/>
          <w:bCs/>
          <w:sz w:val="24"/>
          <w:szCs w:val="24"/>
        </w:rPr>
        <w:t>CONCLUSION</w:t>
      </w:r>
    </w:p>
    <w:p w14:paraId="69968719" w14:textId="77777777" w:rsidR="00240A4C" w:rsidRPr="00240A4C" w:rsidRDefault="00240A4C" w:rsidP="00240A4C">
      <w:pPr>
        <w:spacing w:line="360" w:lineRule="auto"/>
        <w:jc w:val="both"/>
        <w:rPr>
          <w:rFonts w:ascii="Times New Roman" w:hAnsi="Times New Roman" w:cs="Times New Roman"/>
          <w:sz w:val="24"/>
          <w:szCs w:val="24"/>
        </w:rPr>
      </w:pPr>
      <w:r w:rsidRPr="00240A4C">
        <w:rPr>
          <w:rFonts w:ascii="Times New Roman" w:hAnsi="Times New Roman" w:cs="Times New Roman"/>
          <w:sz w:val="24"/>
          <w:szCs w:val="24"/>
        </w:rPr>
        <w:t xml:space="preserve">This study demonstrates that thyroid dysfunction is significantly more prevalent among patients with type 2 diabetes mellitus compared to non-diabetic individuals, with subclinical hypothyroidism being the most common abnormality. Altered thyroid hormone levels, particularly elevated TSH and reduced FT4, were associated with poorer </w:t>
      </w:r>
      <w:proofErr w:type="spellStart"/>
      <w:r w:rsidRPr="00240A4C">
        <w:rPr>
          <w:rFonts w:ascii="Times New Roman" w:hAnsi="Times New Roman" w:cs="Times New Roman"/>
          <w:sz w:val="24"/>
          <w:szCs w:val="24"/>
        </w:rPr>
        <w:t>glycemic</w:t>
      </w:r>
      <w:proofErr w:type="spellEnd"/>
      <w:r w:rsidRPr="00240A4C">
        <w:rPr>
          <w:rFonts w:ascii="Times New Roman" w:hAnsi="Times New Roman" w:cs="Times New Roman"/>
          <w:sz w:val="24"/>
          <w:szCs w:val="24"/>
        </w:rPr>
        <w:t xml:space="preserve"> control, and female patients with T2DM showed a higher burden of thyroid dysfunction. These findings highlight the importance of routine thyroid function assessment in patients with type 2 diabetes to support optimized metabolic management and reduce long-term complications.</w:t>
      </w:r>
    </w:p>
    <w:p w14:paraId="4EC9AF76" w14:textId="3BBA5296" w:rsidR="00240A4C" w:rsidRPr="00240A4C" w:rsidRDefault="00240A4C" w:rsidP="00240A4C">
      <w:pPr>
        <w:rPr>
          <w:rFonts w:ascii="Times New Roman" w:hAnsi="Times New Roman" w:cs="Times New Roman"/>
          <w:b/>
          <w:bCs/>
          <w:sz w:val="24"/>
          <w:szCs w:val="24"/>
        </w:rPr>
      </w:pPr>
    </w:p>
    <w:p w14:paraId="2A5D127E" w14:textId="77777777" w:rsidR="00240A4C" w:rsidRPr="00240A4C" w:rsidRDefault="00240A4C" w:rsidP="00240A4C">
      <w:pPr>
        <w:rPr>
          <w:rFonts w:ascii="Times New Roman" w:hAnsi="Times New Roman" w:cs="Times New Roman"/>
          <w:b/>
          <w:bCs/>
          <w:sz w:val="24"/>
          <w:szCs w:val="24"/>
        </w:rPr>
      </w:pPr>
      <w:r w:rsidRPr="00240A4C">
        <w:rPr>
          <w:rFonts w:ascii="Times New Roman" w:hAnsi="Times New Roman" w:cs="Times New Roman"/>
          <w:b/>
          <w:bCs/>
          <w:sz w:val="24"/>
          <w:szCs w:val="24"/>
        </w:rPr>
        <w:t>LIMITATIONS</w:t>
      </w:r>
    </w:p>
    <w:p w14:paraId="4F9B3055" w14:textId="760D11BB" w:rsidR="00240A4C" w:rsidRDefault="00240A4C" w:rsidP="00240A4C">
      <w:pPr>
        <w:spacing w:line="360" w:lineRule="auto"/>
        <w:jc w:val="both"/>
        <w:rPr>
          <w:rFonts w:ascii="Times New Roman" w:hAnsi="Times New Roman" w:cs="Times New Roman"/>
          <w:sz w:val="24"/>
          <w:szCs w:val="24"/>
        </w:rPr>
      </w:pPr>
      <w:r w:rsidRPr="00240A4C">
        <w:rPr>
          <w:rFonts w:ascii="Times New Roman" w:hAnsi="Times New Roman" w:cs="Times New Roman"/>
          <w:sz w:val="24"/>
          <w:szCs w:val="24"/>
        </w:rPr>
        <w:t xml:space="preserve">The cross-sectional design of this study limits causal interpretation of the observed associations. Thyroid autoantibodies were not assessed, which may have provided additional insight into autoimmune mechanisms. Furthermore, the study was conducted at a single </w:t>
      </w:r>
      <w:proofErr w:type="spellStart"/>
      <w:r w:rsidRPr="00240A4C">
        <w:rPr>
          <w:rFonts w:ascii="Times New Roman" w:hAnsi="Times New Roman" w:cs="Times New Roman"/>
          <w:sz w:val="24"/>
          <w:szCs w:val="24"/>
        </w:rPr>
        <w:t>center</w:t>
      </w:r>
      <w:proofErr w:type="spellEnd"/>
      <w:r w:rsidRPr="00240A4C">
        <w:rPr>
          <w:rFonts w:ascii="Times New Roman" w:hAnsi="Times New Roman" w:cs="Times New Roman"/>
          <w:sz w:val="24"/>
          <w:szCs w:val="24"/>
        </w:rPr>
        <w:t>, which may limit the generalizability of the findings to other populations.</w:t>
      </w:r>
    </w:p>
    <w:p w14:paraId="6E6E2F3D" w14:textId="14171E31" w:rsidR="002D531C" w:rsidRDefault="002D531C" w:rsidP="00240A4C">
      <w:pPr>
        <w:spacing w:line="360" w:lineRule="auto"/>
        <w:jc w:val="both"/>
        <w:rPr>
          <w:rFonts w:ascii="Times New Roman" w:hAnsi="Times New Roman" w:cs="Times New Roman"/>
          <w:sz w:val="24"/>
          <w:szCs w:val="24"/>
        </w:rPr>
      </w:pPr>
    </w:p>
    <w:p w14:paraId="5367EE50" w14:textId="159A8FA2" w:rsidR="002D531C" w:rsidRPr="002D531C" w:rsidRDefault="002D531C" w:rsidP="002D531C">
      <w:pPr>
        <w:spacing w:line="360" w:lineRule="auto"/>
        <w:jc w:val="both"/>
        <w:rPr>
          <w:rFonts w:ascii="Times New Roman" w:hAnsi="Times New Roman" w:cs="Times New Roman"/>
          <w:b/>
          <w:sz w:val="24"/>
          <w:szCs w:val="24"/>
        </w:rPr>
      </w:pPr>
      <w:r w:rsidRPr="002D531C">
        <w:rPr>
          <w:rFonts w:ascii="Times New Roman" w:hAnsi="Times New Roman" w:cs="Times New Roman"/>
          <w:b/>
          <w:sz w:val="24"/>
          <w:szCs w:val="24"/>
        </w:rPr>
        <w:t xml:space="preserve">Ethical Approval and Consent: </w:t>
      </w:r>
    </w:p>
    <w:p w14:paraId="55EDE7FC" w14:textId="46A00883" w:rsidR="002D531C" w:rsidRPr="00240A4C" w:rsidRDefault="002D531C" w:rsidP="002D531C">
      <w:pPr>
        <w:spacing w:line="360" w:lineRule="auto"/>
        <w:jc w:val="both"/>
        <w:rPr>
          <w:rFonts w:ascii="Times New Roman" w:hAnsi="Times New Roman" w:cs="Times New Roman"/>
          <w:sz w:val="24"/>
          <w:szCs w:val="24"/>
        </w:rPr>
      </w:pPr>
      <w:r w:rsidRPr="002D531C">
        <w:rPr>
          <w:rFonts w:ascii="Times New Roman" w:hAnsi="Times New Roman" w:cs="Times New Roman"/>
          <w:sz w:val="24"/>
          <w:szCs w:val="24"/>
        </w:rPr>
        <w:t>As per international standards or university standards written ethical approval has been collected and preserved by the author(s).</w:t>
      </w:r>
      <w:r>
        <w:rPr>
          <w:rFonts w:ascii="Times New Roman" w:hAnsi="Times New Roman" w:cs="Times New Roman"/>
          <w:sz w:val="24"/>
          <w:szCs w:val="24"/>
        </w:rPr>
        <w:t xml:space="preserve"> </w:t>
      </w:r>
      <w:r w:rsidRPr="002D531C">
        <w:rPr>
          <w:rFonts w:ascii="Times New Roman" w:hAnsi="Times New Roman" w:cs="Times New Roman"/>
          <w:sz w:val="24"/>
          <w:szCs w:val="24"/>
        </w:rPr>
        <w:t xml:space="preserve">The study was carried out in accordance with the </w:t>
      </w:r>
      <w:r w:rsidRPr="002D531C">
        <w:rPr>
          <w:rFonts w:ascii="Times New Roman" w:hAnsi="Times New Roman" w:cs="Times New Roman"/>
          <w:sz w:val="24"/>
          <w:szCs w:val="24"/>
        </w:rPr>
        <w:lastRenderedPageBreak/>
        <w:t>Declaration of Helsinki. Written informed consent was obtained from all participants, and confidentiality of personal and clinical data was strictly maintained.</w:t>
      </w:r>
    </w:p>
    <w:p w14:paraId="1816D9E8" w14:textId="77777777" w:rsidR="00535EFB" w:rsidRPr="00FF31AD" w:rsidRDefault="00535EFB" w:rsidP="00535EFB">
      <w:pPr>
        <w:pStyle w:val="NoSpacing"/>
        <w:rPr>
          <w:rFonts w:ascii="Times New Roman" w:hAnsi="Times New Roman" w:cs="Times New Roman"/>
          <w:b/>
          <w:bCs/>
          <w:sz w:val="24"/>
          <w:szCs w:val="24"/>
        </w:rPr>
      </w:pPr>
      <w:bookmarkStart w:id="1" w:name="_Hlk219284361"/>
      <w:bookmarkStart w:id="2" w:name="_Hlk198031404"/>
      <w:r w:rsidRPr="00FF31AD">
        <w:rPr>
          <w:rFonts w:ascii="Times New Roman" w:hAnsi="Times New Roman" w:cs="Times New Roman"/>
          <w:b/>
          <w:bCs/>
          <w:sz w:val="24"/>
          <w:szCs w:val="24"/>
        </w:rPr>
        <w:t>Disclaimer (Artificial intelligence)</w:t>
      </w:r>
    </w:p>
    <w:p w14:paraId="3FB258BF" w14:textId="77777777" w:rsidR="00535EFB" w:rsidRPr="00FF31AD" w:rsidRDefault="00535EFB" w:rsidP="00535EFB">
      <w:pPr>
        <w:pStyle w:val="NoSpacing"/>
        <w:rPr>
          <w:rFonts w:ascii="Times New Roman" w:hAnsi="Times New Roman" w:cs="Times New Roman"/>
          <w:sz w:val="24"/>
          <w:szCs w:val="24"/>
        </w:rPr>
      </w:pPr>
    </w:p>
    <w:p w14:paraId="38036B75" w14:textId="77777777" w:rsidR="00535EFB" w:rsidRPr="00FF31AD" w:rsidRDefault="00535EFB" w:rsidP="00535EFB">
      <w:pPr>
        <w:pStyle w:val="NoSpacing"/>
        <w:rPr>
          <w:rFonts w:ascii="Times New Roman" w:hAnsi="Times New Roman" w:cs="Times New Roman"/>
          <w:sz w:val="24"/>
          <w:szCs w:val="24"/>
        </w:rPr>
      </w:pPr>
      <w:r w:rsidRPr="00FF31AD">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1"/>
      <w:r w:rsidRPr="00FF31AD">
        <w:rPr>
          <w:rFonts w:ascii="Times New Roman" w:hAnsi="Times New Roman" w:cs="Times New Roman"/>
          <w:sz w:val="24"/>
          <w:szCs w:val="24"/>
        </w:rPr>
        <w:t xml:space="preserve">. </w:t>
      </w:r>
    </w:p>
    <w:bookmarkEnd w:id="2"/>
    <w:p w14:paraId="32886B6C" w14:textId="77777777" w:rsidR="00535EFB" w:rsidRDefault="00535EFB" w:rsidP="00106660">
      <w:pPr>
        <w:rPr>
          <w:rFonts w:ascii="Times New Roman" w:hAnsi="Times New Roman" w:cs="Times New Roman"/>
          <w:b/>
          <w:bCs/>
          <w:sz w:val="24"/>
          <w:szCs w:val="24"/>
        </w:rPr>
      </w:pPr>
    </w:p>
    <w:p w14:paraId="7DC20A6C" w14:textId="77777777" w:rsidR="00535EFB" w:rsidRDefault="00535EFB" w:rsidP="00106660">
      <w:pPr>
        <w:rPr>
          <w:rFonts w:ascii="Times New Roman" w:hAnsi="Times New Roman" w:cs="Times New Roman"/>
          <w:b/>
          <w:bCs/>
          <w:sz w:val="24"/>
          <w:szCs w:val="24"/>
        </w:rPr>
      </w:pPr>
    </w:p>
    <w:p w14:paraId="2B126002" w14:textId="368DECCB" w:rsidR="00240A4C" w:rsidRPr="00465710" w:rsidRDefault="00465710" w:rsidP="00106660">
      <w:pPr>
        <w:rPr>
          <w:rFonts w:ascii="Times New Roman" w:hAnsi="Times New Roman" w:cs="Times New Roman"/>
          <w:b/>
          <w:bCs/>
          <w:sz w:val="24"/>
          <w:szCs w:val="24"/>
        </w:rPr>
      </w:pPr>
      <w:r w:rsidRPr="00465710">
        <w:rPr>
          <w:rFonts w:ascii="Times New Roman" w:hAnsi="Times New Roman" w:cs="Times New Roman"/>
          <w:b/>
          <w:bCs/>
          <w:sz w:val="24"/>
          <w:szCs w:val="24"/>
        </w:rPr>
        <w:t>REFERENCES</w:t>
      </w:r>
    </w:p>
    <w:p w14:paraId="496BFB48" w14:textId="63526086"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Islam S, Yesmine S, Khan SA, Alam NH, Islam S. A comparative study of thyroid hormone levels in diabetic and non-diabetic patients. Southeast Asian J Trop Med Public Health. 2008 Sep 1;39(5):913-6.</w:t>
      </w:r>
    </w:p>
    <w:p w14:paraId="5802C532" w14:textId="58EEFA1C"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Singh Y. </w:t>
      </w:r>
      <w:r w:rsidRPr="00465710">
        <w:rPr>
          <w:rFonts w:ascii="Times New Roman" w:hAnsi="Times New Roman" w:cs="Times New Roman"/>
          <w:i/>
          <w:iCs/>
          <w:sz w:val="24"/>
          <w:szCs w:val="24"/>
        </w:rPr>
        <w:t>Comparative study of thyroid profile in geriatric and non-geriatric type–2 diabetics</w:t>
      </w:r>
      <w:r w:rsidRPr="00465710">
        <w:rPr>
          <w:rFonts w:ascii="Times New Roman" w:hAnsi="Times New Roman" w:cs="Times New Roman"/>
          <w:sz w:val="24"/>
          <w:szCs w:val="24"/>
        </w:rPr>
        <w:t> (Doctoral dissertation, Rajiv Gandhi University of Health Sciences (India)).</w:t>
      </w:r>
    </w:p>
    <w:p w14:paraId="112D9F1B" w14:textId="11C158FF"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Kumar JK. Comparison of thyroid function tests among type 2 diabetes patients with and without diabetic nephropathy and controls. Cureus. 2024 Sep 29;16(9).</w:t>
      </w:r>
    </w:p>
    <w:p w14:paraId="67C82C8A" w14:textId="13BC35F9"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proofErr w:type="spellStart"/>
      <w:r w:rsidRPr="00465710">
        <w:rPr>
          <w:rFonts w:ascii="Times New Roman" w:hAnsi="Times New Roman" w:cs="Times New Roman"/>
          <w:sz w:val="24"/>
          <w:szCs w:val="24"/>
        </w:rPr>
        <w:t>Wolide</w:t>
      </w:r>
      <w:proofErr w:type="spellEnd"/>
      <w:r w:rsidRPr="00465710">
        <w:rPr>
          <w:rFonts w:ascii="Times New Roman" w:hAnsi="Times New Roman" w:cs="Times New Roman"/>
          <w:sz w:val="24"/>
          <w:szCs w:val="24"/>
        </w:rPr>
        <w:t xml:space="preserve"> AD, </w:t>
      </w:r>
      <w:proofErr w:type="spellStart"/>
      <w:r w:rsidRPr="00465710">
        <w:rPr>
          <w:rFonts w:ascii="Times New Roman" w:hAnsi="Times New Roman" w:cs="Times New Roman"/>
          <w:sz w:val="24"/>
          <w:szCs w:val="24"/>
        </w:rPr>
        <w:t>Zawdie</w:t>
      </w:r>
      <w:proofErr w:type="spellEnd"/>
      <w:r w:rsidRPr="00465710">
        <w:rPr>
          <w:rFonts w:ascii="Times New Roman" w:hAnsi="Times New Roman" w:cs="Times New Roman"/>
          <w:sz w:val="24"/>
          <w:szCs w:val="24"/>
        </w:rPr>
        <w:t xml:space="preserve"> B, Alemayehu T, Tadesse S. Association between thyroid hormone parameters and </w:t>
      </w:r>
      <w:proofErr w:type="spellStart"/>
      <w:r w:rsidRPr="00465710">
        <w:rPr>
          <w:rFonts w:ascii="Times New Roman" w:hAnsi="Times New Roman" w:cs="Times New Roman"/>
          <w:sz w:val="24"/>
          <w:szCs w:val="24"/>
        </w:rPr>
        <w:t>dyslipidemia</w:t>
      </w:r>
      <w:proofErr w:type="spellEnd"/>
      <w:r w:rsidRPr="00465710">
        <w:rPr>
          <w:rFonts w:ascii="Times New Roman" w:hAnsi="Times New Roman" w:cs="Times New Roman"/>
          <w:sz w:val="24"/>
          <w:szCs w:val="24"/>
        </w:rPr>
        <w:t xml:space="preserve"> among type 2 diabetes mellitus patients: Comparative cross-sectional study. Diabetes &amp; Metabolic Syndrome: Clinical Research &amp; Reviews. 2017 Nov 1;</w:t>
      </w:r>
      <w:proofErr w:type="gramStart"/>
      <w:r w:rsidRPr="00465710">
        <w:rPr>
          <w:rFonts w:ascii="Times New Roman" w:hAnsi="Times New Roman" w:cs="Times New Roman"/>
          <w:sz w:val="24"/>
          <w:szCs w:val="24"/>
        </w:rPr>
        <w:t>11:S</w:t>
      </w:r>
      <w:proofErr w:type="gramEnd"/>
      <w:r w:rsidRPr="00465710">
        <w:rPr>
          <w:rFonts w:ascii="Times New Roman" w:hAnsi="Times New Roman" w:cs="Times New Roman"/>
          <w:sz w:val="24"/>
          <w:szCs w:val="24"/>
        </w:rPr>
        <w:t>257-62.</w:t>
      </w:r>
    </w:p>
    <w:p w14:paraId="0590C665" w14:textId="454BBF66"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proofErr w:type="spellStart"/>
      <w:r w:rsidRPr="00465710">
        <w:rPr>
          <w:rFonts w:ascii="Times New Roman" w:hAnsi="Times New Roman" w:cs="Times New Roman"/>
          <w:sz w:val="24"/>
          <w:szCs w:val="24"/>
        </w:rPr>
        <w:t>Hmood</w:t>
      </w:r>
      <w:proofErr w:type="spellEnd"/>
      <w:r w:rsidRPr="00465710">
        <w:rPr>
          <w:rFonts w:ascii="Times New Roman" w:hAnsi="Times New Roman" w:cs="Times New Roman"/>
          <w:sz w:val="24"/>
          <w:szCs w:val="24"/>
        </w:rPr>
        <w:t xml:space="preserve"> A, </w:t>
      </w:r>
      <w:proofErr w:type="spellStart"/>
      <w:r w:rsidRPr="00465710">
        <w:rPr>
          <w:rFonts w:ascii="Times New Roman" w:hAnsi="Times New Roman" w:cs="Times New Roman"/>
          <w:sz w:val="24"/>
          <w:szCs w:val="24"/>
        </w:rPr>
        <w:t>Bdair</w:t>
      </w:r>
      <w:proofErr w:type="spellEnd"/>
      <w:r w:rsidRPr="00465710">
        <w:rPr>
          <w:rFonts w:ascii="Times New Roman" w:hAnsi="Times New Roman" w:cs="Times New Roman"/>
          <w:sz w:val="24"/>
          <w:szCs w:val="24"/>
        </w:rPr>
        <w:t xml:space="preserve"> B, Al-</w:t>
      </w:r>
      <w:proofErr w:type="spellStart"/>
      <w:r w:rsidRPr="00465710">
        <w:rPr>
          <w:rFonts w:ascii="Times New Roman" w:hAnsi="Times New Roman" w:cs="Times New Roman"/>
          <w:sz w:val="24"/>
          <w:szCs w:val="24"/>
        </w:rPr>
        <w:t>Graittee</w:t>
      </w:r>
      <w:proofErr w:type="spellEnd"/>
      <w:r w:rsidRPr="00465710">
        <w:rPr>
          <w:rFonts w:ascii="Times New Roman" w:hAnsi="Times New Roman" w:cs="Times New Roman"/>
          <w:sz w:val="24"/>
          <w:szCs w:val="24"/>
        </w:rPr>
        <w:t xml:space="preserve"> S. Evaluation of thyroid volume and thyroid function in newly diagnosed type 2 diabetes mellitus patients. Systematic Reviews in Pharmacy. 2020 May 1;11(5):451-7.</w:t>
      </w:r>
    </w:p>
    <w:p w14:paraId="03071678" w14:textId="2C694D1F"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Hamid S, Fatema K, Khatun </w:t>
      </w:r>
      <w:proofErr w:type="gramStart"/>
      <w:r w:rsidRPr="00465710">
        <w:rPr>
          <w:rFonts w:ascii="Times New Roman" w:hAnsi="Times New Roman" w:cs="Times New Roman"/>
          <w:sz w:val="24"/>
          <w:szCs w:val="24"/>
        </w:rPr>
        <w:t>Z ,</w:t>
      </w:r>
      <w:proofErr w:type="gramEnd"/>
      <w:r w:rsidRPr="00465710">
        <w:rPr>
          <w:rFonts w:ascii="Times New Roman" w:hAnsi="Times New Roman" w:cs="Times New Roman"/>
          <w:sz w:val="24"/>
          <w:szCs w:val="24"/>
        </w:rPr>
        <w:t xml:space="preserve"> Islam S, Rahman MA. Biochemical Evaluation of Thyroid Status in </w:t>
      </w:r>
      <w:proofErr w:type="spellStart"/>
      <w:proofErr w:type="gramStart"/>
      <w:r w:rsidRPr="00465710">
        <w:rPr>
          <w:rFonts w:ascii="Times New Roman" w:hAnsi="Times New Roman" w:cs="Times New Roman"/>
          <w:sz w:val="24"/>
          <w:szCs w:val="24"/>
        </w:rPr>
        <w:t>AdultPopulation:Single</w:t>
      </w:r>
      <w:proofErr w:type="spellEnd"/>
      <w:proofErr w:type="gramEnd"/>
      <w:r w:rsidRPr="00465710">
        <w:rPr>
          <w:rFonts w:ascii="Times New Roman" w:hAnsi="Times New Roman" w:cs="Times New Roman"/>
          <w:sz w:val="24"/>
          <w:szCs w:val="24"/>
        </w:rPr>
        <w:t xml:space="preserve"> Institute Experience. </w:t>
      </w:r>
      <w:proofErr w:type="spellStart"/>
      <w:r w:rsidRPr="00465710">
        <w:rPr>
          <w:rFonts w:ascii="Times New Roman" w:hAnsi="Times New Roman" w:cs="Times New Roman"/>
          <w:sz w:val="24"/>
          <w:szCs w:val="24"/>
        </w:rPr>
        <w:t>ournal</w:t>
      </w:r>
      <w:proofErr w:type="spellEnd"/>
      <w:r w:rsidRPr="00465710">
        <w:rPr>
          <w:rFonts w:ascii="Times New Roman" w:hAnsi="Times New Roman" w:cs="Times New Roman"/>
          <w:sz w:val="24"/>
          <w:szCs w:val="24"/>
        </w:rPr>
        <w:t xml:space="preserve"> of National Institute of Laboratory Medicine and Referral CentreBangladesh,2023 Dec; 3 (2): 30-35. </w:t>
      </w:r>
    </w:p>
    <w:p w14:paraId="64537188" w14:textId="76CC8839"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proofErr w:type="spellStart"/>
      <w:r w:rsidRPr="00465710">
        <w:rPr>
          <w:rFonts w:ascii="Times New Roman" w:hAnsi="Times New Roman" w:cs="Times New Roman"/>
          <w:sz w:val="24"/>
          <w:szCs w:val="24"/>
        </w:rPr>
        <w:t>Demitrost</w:t>
      </w:r>
      <w:proofErr w:type="spellEnd"/>
      <w:r w:rsidRPr="00465710">
        <w:rPr>
          <w:rFonts w:ascii="Times New Roman" w:hAnsi="Times New Roman" w:cs="Times New Roman"/>
          <w:sz w:val="24"/>
          <w:szCs w:val="24"/>
        </w:rPr>
        <w:t xml:space="preserve"> L, </w:t>
      </w:r>
      <w:proofErr w:type="spellStart"/>
      <w:r w:rsidRPr="00465710">
        <w:rPr>
          <w:rFonts w:ascii="Times New Roman" w:hAnsi="Times New Roman" w:cs="Times New Roman"/>
          <w:sz w:val="24"/>
          <w:szCs w:val="24"/>
        </w:rPr>
        <w:t>Ranabir</w:t>
      </w:r>
      <w:proofErr w:type="spellEnd"/>
      <w:r w:rsidRPr="00465710">
        <w:rPr>
          <w:rFonts w:ascii="Times New Roman" w:hAnsi="Times New Roman" w:cs="Times New Roman"/>
          <w:sz w:val="24"/>
          <w:szCs w:val="24"/>
        </w:rPr>
        <w:t xml:space="preserve"> S. Thyroid dysfunction in type 2 diabetes mellitus: A retrospective study. Indian journal of endocrinology and metabolism. 2012 Dec 1;16(</w:t>
      </w:r>
      <w:proofErr w:type="spellStart"/>
      <w:r w:rsidRPr="00465710">
        <w:rPr>
          <w:rFonts w:ascii="Times New Roman" w:hAnsi="Times New Roman" w:cs="Times New Roman"/>
          <w:sz w:val="24"/>
          <w:szCs w:val="24"/>
        </w:rPr>
        <w:t>Suppl</w:t>
      </w:r>
      <w:proofErr w:type="spellEnd"/>
      <w:r w:rsidRPr="00465710">
        <w:rPr>
          <w:rFonts w:ascii="Times New Roman" w:hAnsi="Times New Roman" w:cs="Times New Roman"/>
          <w:sz w:val="24"/>
          <w:szCs w:val="24"/>
        </w:rPr>
        <w:t xml:space="preserve"> 2</w:t>
      </w:r>
      <w:proofErr w:type="gramStart"/>
      <w:r w:rsidRPr="00465710">
        <w:rPr>
          <w:rFonts w:ascii="Times New Roman" w:hAnsi="Times New Roman" w:cs="Times New Roman"/>
          <w:sz w:val="24"/>
          <w:szCs w:val="24"/>
        </w:rPr>
        <w:t>):S</w:t>
      </w:r>
      <w:proofErr w:type="gramEnd"/>
      <w:r w:rsidRPr="00465710">
        <w:rPr>
          <w:rFonts w:ascii="Times New Roman" w:hAnsi="Times New Roman" w:cs="Times New Roman"/>
          <w:sz w:val="24"/>
          <w:szCs w:val="24"/>
        </w:rPr>
        <w:t>334-5.</w:t>
      </w:r>
    </w:p>
    <w:p w14:paraId="0863D396" w14:textId="654DE99A"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Ogbonna SU, Ezeani IU. Risk factors of thyroid dysfunction in patients with type 2 diabetes mellitus. Frontiers in endocrinology. 2019 Jul </w:t>
      </w:r>
      <w:proofErr w:type="gramStart"/>
      <w:r w:rsidRPr="00465710">
        <w:rPr>
          <w:rFonts w:ascii="Times New Roman" w:hAnsi="Times New Roman" w:cs="Times New Roman"/>
          <w:sz w:val="24"/>
          <w:szCs w:val="24"/>
        </w:rPr>
        <w:t>4;10:440</w:t>
      </w:r>
      <w:proofErr w:type="gramEnd"/>
      <w:r w:rsidRPr="00465710">
        <w:rPr>
          <w:rFonts w:ascii="Times New Roman" w:hAnsi="Times New Roman" w:cs="Times New Roman"/>
          <w:sz w:val="24"/>
          <w:szCs w:val="24"/>
        </w:rPr>
        <w:t>.</w:t>
      </w:r>
    </w:p>
    <w:p w14:paraId="09AAEE10" w14:textId="5F47BA91"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Chowdhury, R.; Ferdous, K.; Khatun, A.; Halder, S.; Zafreen, A. Association Between Serum Uric Acid Levels and Cardiovascular Risk </w:t>
      </w:r>
      <w:proofErr w:type="spellStart"/>
      <w:r w:rsidRPr="00465710">
        <w:rPr>
          <w:rFonts w:ascii="Times New Roman" w:hAnsi="Times New Roman" w:cs="Times New Roman"/>
          <w:sz w:val="24"/>
          <w:szCs w:val="24"/>
        </w:rPr>
        <w:t>Factorsin</w:t>
      </w:r>
      <w:proofErr w:type="spellEnd"/>
      <w:r w:rsidRPr="00465710">
        <w:rPr>
          <w:rFonts w:ascii="Times New Roman" w:hAnsi="Times New Roman" w:cs="Times New Roman"/>
          <w:sz w:val="24"/>
          <w:szCs w:val="24"/>
        </w:rPr>
        <w:t xml:space="preserve"> Type 2 Diabetes Mellitus. Molecular Mechanism Research 2025; 3(1): 9170.</w:t>
      </w:r>
    </w:p>
    <w:p w14:paraId="7BD8E358" w14:textId="603DE2F9"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proofErr w:type="spellStart"/>
      <w:r w:rsidRPr="00465710">
        <w:rPr>
          <w:rFonts w:ascii="Times New Roman" w:hAnsi="Times New Roman" w:cs="Times New Roman"/>
          <w:sz w:val="24"/>
          <w:szCs w:val="24"/>
        </w:rPr>
        <w:t>Elgazar</w:t>
      </w:r>
      <w:proofErr w:type="spellEnd"/>
      <w:r w:rsidRPr="00465710">
        <w:rPr>
          <w:rFonts w:ascii="Times New Roman" w:hAnsi="Times New Roman" w:cs="Times New Roman"/>
          <w:sz w:val="24"/>
          <w:szCs w:val="24"/>
        </w:rPr>
        <w:t xml:space="preserve"> EH, </w:t>
      </w:r>
      <w:proofErr w:type="spellStart"/>
      <w:r w:rsidRPr="00465710">
        <w:rPr>
          <w:rFonts w:ascii="Times New Roman" w:hAnsi="Times New Roman" w:cs="Times New Roman"/>
          <w:sz w:val="24"/>
          <w:szCs w:val="24"/>
        </w:rPr>
        <w:t>Esheba</w:t>
      </w:r>
      <w:proofErr w:type="spellEnd"/>
      <w:r w:rsidRPr="00465710">
        <w:rPr>
          <w:rFonts w:ascii="Times New Roman" w:hAnsi="Times New Roman" w:cs="Times New Roman"/>
          <w:sz w:val="24"/>
          <w:szCs w:val="24"/>
        </w:rPr>
        <w:t xml:space="preserve"> NE, Shalaby SA, Mohamed WF. Thyroid dysfunction prevalence and relation to </w:t>
      </w:r>
      <w:proofErr w:type="spellStart"/>
      <w:r w:rsidRPr="00465710">
        <w:rPr>
          <w:rFonts w:ascii="Times New Roman" w:hAnsi="Times New Roman" w:cs="Times New Roman"/>
          <w:sz w:val="24"/>
          <w:szCs w:val="24"/>
        </w:rPr>
        <w:t>glycemic</w:t>
      </w:r>
      <w:proofErr w:type="spellEnd"/>
      <w:r w:rsidRPr="00465710">
        <w:rPr>
          <w:rFonts w:ascii="Times New Roman" w:hAnsi="Times New Roman" w:cs="Times New Roman"/>
          <w:sz w:val="24"/>
          <w:szCs w:val="24"/>
        </w:rPr>
        <w:t xml:space="preserve"> control in patients with type 2 diabetes mellitus. Diabetes &amp; Metabolic Syndrome: Clinical Research &amp; Reviews. 2019 Jul 1;13(4):2513-7.</w:t>
      </w:r>
    </w:p>
    <w:p w14:paraId="4A27A06C" w14:textId="4061AC74"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Sarker PK, Sultana N, Islam H, Bashir MS, Ali MS. Thyroid dysfunction and metabolic dysregulation: a cross-sectional study of hormonal and </w:t>
      </w:r>
      <w:proofErr w:type="spellStart"/>
      <w:r w:rsidRPr="00465710">
        <w:rPr>
          <w:rFonts w:ascii="Times New Roman" w:hAnsi="Times New Roman" w:cs="Times New Roman"/>
          <w:sz w:val="24"/>
          <w:szCs w:val="24"/>
        </w:rPr>
        <w:t>glycemic</w:t>
      </w:r>
      <w:proofErr w:type="spellEnd"/>
      <w:r w:rsidRPr="00465710">
        <w:rPr>
          <w:rFonts w:ascii="Times New Roman" w:hAnsi="Times New Roman" w:cs="Times New Roman"/>
          <w:sz w:val="24"/>
          <w:szCs w:val="24"/>
        </w:rPr>
        <w:t xml:space="preserve"> parameters. Mol Mech Res. 2025;3(2):10227.</w:t>
      </w:r>
    </w:p>
    <w:p w14:paraId="3CA97387" w14:textId="3DDB56D5"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Kalra S, Aggarwal S, Khandelwal D. Thyroid dysfunction and type 2 diabetes mellitus: screening strategies and implications for management. Diabetes Therapy. 2019 Dec;10(6):2035-44.</w:t>
      </w:r>
    </w:p>
    <w:p w14:paraId="5BB0AED6" w14:textId="5909DD30" w:rsidR="00B5617D"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lastRenderedPageBreak/>
        <w:t>Mehalingam V, Sahoo J, Bobby Z, Vinod KV. Thyroid dysfunction in patients with type 2 diabetes mellitus and its association with diabetic complications. Journal of Family Medicine and Primary Care. 2020 Aug 1;9(8):4277-81.</w:t>
      </w:r>
    </w:p>
    <w:p w14:paraId="4499E376" w14:textId="7DFA1B93" w:rsidR="0049149A" w:rsidRPr="00465710" w:rsidRDefault="0049149A" w:rsidP="00465710">
      <w:pPr>
        <w:pStyle w:val="ListParagraph"/>
        <w:numPr>
          <w:ilvl w:val="0"/>
          <w:numId w:val="4"/>
        </w:numPr>
        <w:spacing w:line="240" w:lineRule="auto"/>
        <w:jc w:val="both"/>
        <w:rPr>
          <w:rFonts w:ascii="Times New Roman" w:hAnsi="Times New Roman" w:cs="Times New Roman"/>
          <w:sz w:val="24"/>
          <w:szCs w:val="24"/>
        </w:rPr>
      </w:pPr>
      <w:r w:rsidRPr="0049149A">
        <w:rPr>
          <w:rFonts w:ascii="Times New Roman" w:hAnsi="Times New Roman" w:cs="Times New Roman"/>
          <w:sz w:val="24"/>
          <w:szCs w:val="24"/>
        </w:rPr>
        <w:t>Islam S, Rahman MA, Rahaman S. Assessment the Levels of Serum Ferritin and Some Biochemical Parameters in Type 2 Diabetic Subjects Attending A Tertiary Hospital in Bangladesh. Molecular Mechanism Research. 2023 Jan 1.</w:t>
      </w:r>
    </w:p>
    <w:p w14:paraId="2CA9FE49" w14:textId="679D368E"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Ogbonna SU, Ezeani IU, Okafor CI, Chinenye S. Association between </w:t>
      </w:r>
      <w:proofErr w:type="spellStart"/>
      <w:r w:rsidRPr="00465710">
        <w:rPr>
          <w:rFonts w:ascii="Times New Roman" w:hAnsi="Times New Roman" w:cs="Times New Roman"/>
          <w:sz w:val="24"/>
          <w:szCs w:val="24"/>
        </w:rPr>
        <w:t>glycemic</w:t>
      </w:r>
      <w:proofErr w:type="spellEnd"/>
      <w:r w:rsidRPr="00465710">
        <w:rPr>
          <w:rFonts w:ascii="Times New Roman" w:hAnsi="Times New Roman" w:cs="Times New Roman"/>
          <w:sz w:val="24"/>
          <w:szCs w:val="24"/>
        </w:rPr>
        <w:t xml:space="preserve"> status and thyroid dysfunction in patients with type 2 diabetes mellitus. Diabetes, metabolic syndrome and obesity: targets and therapy. 2019 Jul 12:1113-22.</w:t>
      </w:r>
    </w:p>
    <w:p w14:paraId="2AD59762" w14:textId="5A566129"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Rimu AJ, Zannat F, Habiba MU, Islam MA, Jarif RI, Nayan KM, Hossen MA. Gender-Based Disparities in </w:t>
      </w:r>
      <w:proofErr w:type="spellStart"/>
      <w:r w:rsidRPr="00465710">
        <w:rPr>
          <w:rFonts w:ascii="Times New Roman" w:hAnsi="Times New Roman" w:cs="Times New Roman"/>
          <w:sz w:val="24"/>
          <w:szCs w:val="24"/>
        </w:rPr>
        <w:t>Glycemic</w:t>
      </w:r>
      <w:proofErr w:type="spellEnd"/>
      <w:r w:rsidRPr="00465710">
        <w:rPr>
          <w:rFonts w:ascii="Times New Roman" w:hAnsi="Times New Roman" w:cs="Times New Roman"/>
          <w:sz w:val="24"/>
          <w:szCs w:val="24"/>
        </w:rPr>
        <w:t xml:space="preserve"> Control and Bilirubin Metabolism in Type 2 Diabetes: A Multivariate Analysis from a Single-</w:t>
      </w:r>
      <w:proofErr w:type="spellStart"/>
      <w:r w:rsidRPr="00465710">
        <w:rPr>
          <w:rFonts w:ascii="Times New Roman" w:hAnsi="Times New Roman" w:cs="Times New Roman"/>
          <w:sz w:val="24"/>
          <w:szCs w:val="24"/>
        </w:rPr>
        <w:t>Center</w:t>
      </w:r>
      <w:proofErr w:type="spellEnd"/>
      <w:r w:rsidRPr="00465710">
        <w:rPr>
          <w:rFonts w:ascii="Times New Roman" w:hAnsi="Times New Roman" w:cs="Times New Roman"/>
          <w:sz w:val="24"/>
          <w:szCs w:val="24"/>
        </w:rPr>
        <w:t xml:space="preserve"> Study. Molecular Mechanism Research. 2025;3(2):9170.</w:t>
      </w:r>
    </w:p>
    <w:p w14:paraId="126F8076" w14:textId="77777777" w:rsidR="0049149A" w:rsidRDefault="00B5617D" w:rsidP="0049149A">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Bukhari SI, Ali G, </w:t>
      </w:r>
      <w:proofErr w:type="spellStart"/>
      <w:r w:rsidRPr="00465710">
        <w:rPr>
          <w:rFonts w:ascii="Times New Roman" w:hAnsi="Times New Roman" w:cs="Times New Roman"/>
          <w:sz w:val="24"/>
          <w:szCs w:val="24"/>
        </w:rPr>
        <w:t>Memom</w:t>
      </w:r>
      <w:proofErr w:type="spellEnd"/>
      <w:r w:rsidRPr="00465710">
        <w:rPr>
          <w:rFonts w:ascii="Times New Roman" w:hAnsi="Times New Roman" w:cs="Times New Roman"/>
          <w:sz w:val="24"/>
          <w:szCs w:val="24"/>
        </w:rPr>
        <w:t xml:space="preserve"> MY, </w:t>
      </w:r>
      <w:proofErr w:type="spellStart"/>
      <w:r w:rsidRPr="00465710">
        <w:rPr>
          <w:rFonts w:ascii="Times New Roman" w:hAnsi="Times New Roman" w:cs="Times New Roman"/>
          <w:sz w:val="24"/>
          <w:szCs w:val="24"/>
        </w:rPr>
        <w:t>Sandeelo</w:t>
      </w:r>
      <w:proofErr w:type="spellEnd"/>
      <w:r w:rsidRPr="00465710">
        <w:rPr>
          <w:rFonts w:ascii="Times New Roman" w:hAnsi="Times New Roman" w:cs="Times New Roman"/>
          <w:sz w:val="24"/>
          <w:szCs w:val="24"/>
        </w:rPr>
        <w:t xml:space="preserve"> N, Alvi H, Talib A, Ahmed I, Lal H, Asghar MS, Naseer U. Prevalence and predictors of thyroid dysfunction amongst patients with Type 2 diabetes mellitus in Pakistan. Journal of Family Medicine and Primary Care. 2022 Jun 1;11(6):2739-43.</w:t>
      </w:r>
    </w:p>
    <w:p w14:paraId="26F17216" w14:textId="771C4427" w:rsidR="00B5617D" w:rsidRPr="0049149A" w:rsidRDefault="00B5617D" w:rsidP="0049149A">
      <w:pPr>
        <w:pStyle w:val="ListParagraph"/>
        <w:numPr>
          <w:ilvl w:val="0"/>
          <w:numId w:val="4"/>
        </w:numPr>
        <w:spacing w:line="240" w:lineRule="auto"/>
        <w:jc w:val="both"/>
        <w:rPr>
          <w:rFonts w:ascii="Times New Roman" w:hAnsi="Times New Roman" w:cs="Times New Roman"/>
          <w:sz w:val="24"/>
          <w:szCs w:val="24"/>
        </w:rPr>
      </w:pPr>
      <w:r w:rsidRPr="0049149A">
        <w:rPr>
          <w:rFonts w:ascii="Times New Roman" w:hAnsi="Times New Roman" w:cs="Times New Roman"/>
          <w:sz w:val="24"/>
          <w:szCs w:val="24"/>
        </w:rPr>
        <w:t>Agrawal N, Gulati M. Study of prevalence of thyroid dysfunction in patients with type 2 diabetes mellitus. International Journal of Contemporary medical research. 2016;3(8):2212-4.</w:t>
      </w:r>
    </w:p>
    <w:p w14:paraId="34783B93" w14:textId="051C6671"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Uppal V, Vij C, Bedi GK, Vij A, Banerjee BD. Thyroid disorders in patients of type 2 diabetes mellitus. Indian Journal of Clinical Biochemistry. 2013 Oct;28(4):336-41.</w:t>
      </w:r>
    </w:p>
    <w:sectPr w:rsidR="00B5617D" w:rsidRPr="004657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B6C90" w14:textId="77777777" w:rsidR="00452B91" w:rsidRDefault="00452B91" w:rsidP="00A747CF">
      <w:pPr>
        <w:spacing w:after="0" w:line="240" w:lineRule="auto"/>
      </w:pPr>
      <w:r>
        <w:separator/>
      </w:r>
    </w:p>
  </w:endnote>
  <w:endnote w:type="continuationSeparator" w:id="0">
    <w:p w14:paraId="7DBF5802" w14:textId="77777777" w:rsidR="00452B91" w:rsidRDefault="00452B91" w:rsidP="00A74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BEE33" w14:textId="77777777" w:rsidR="00A747CF" w:rsidRDefault="00A74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8476" w14:textId="77777777" w:rsidR="00A747CF" w:rsidRDefault="00A74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28E6" w14:textId="77777777" w:rsidR="00A747CF" w:rsidRDefault="00A74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A063D" w14:textId="77777777" w:rsidR="00452B91" w:rsidRDefault="00452B91" w:rsidP="00A747CF">
      <w:pPr>
        <w:spacing w:after="0" w:line="240" w:lineRule="auto"/>
      </w:pPr>
      <w:r>
        <w:separator/>
      </w:r>
    </w:p>
  </w:footnote>
  <w:footnote w:type="continuationSeparator" w:id="0">
    <w:p w14:paraId="730027BD" w14:textId="77777777" w:rsidR="00452B91" w:rsidRDefault="00452B91" w:rsidP="00A74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7149" w14:textId="78228626" w:rsidR="00A747CF" w:rsidRDefault="00A85F88">
    <w:pPr>
      <w:pStyle w:val="Header"/>
    </w:pPr>
    <w:r>
      <w:rPr>
        <w:noProof/>
      </w:rPr>
      <w:pict w14:anchorId="620F1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95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29511" w14:textId="7CB2674F" w:rsidR="00A747CF" w:rsidRDefault="00A85F88">
    <w:pPr>
      <w:pStyle w:val="Header"/>
    </w:pPr>
    <w:r>
      <w:rPr>
        <w:noProof/>
      </w:rPr>
      <w:pict w14:anchorId="2A96F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95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38B3" w14:textId="6C2BBDB8" w:rsidR="00A747CF" w:rsidRDefault="00A85F88">
    <w:pPr>
      <w:pStyle w:val="Header"/>
    </w:pPr>
    <w:r>
      <w:rPr>
        <w:noProof/>
      </w:rPr>
      <w:pict w14:anchorId="65544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95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0D91"/>
    <w:multiLevelType w:val="hybridMultilevel"/>
    <w:tmpl w:val="8A72C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E515C4"/>
    <w:multiLevelType w:val="hybridMultilevel"/>
    <w:tmpl w:val="BE88F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B00E51"/>
    <w:multiLevelType w:val="hybridMultilevel"/>
    <w:tmpl w:val="C382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93663"/>
    <w:multiLevelType w:val="hybridMultilevel"/>
    <w:tmpl w:val="A848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66D05"/>
    <w:multiLevelType w:val="hybridMultilevel"/>
    <w:tmpl w:val="8A72C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8D69A8"/>
    <w:multiLevelType w:val="hybridMultilevel"/>
    <w:tmpl w:val="4790E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AE1318"/>
    <w:multiLevelType w:val="hybridMultilevel"/>
    <w:tmpl w:val="37D0B3D6"/>
    <w:lvl w:ilvl="0" w:tplc="E9CA952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xNDW3MDE2NDQ3NDVX0lEKTi0uzszPAykwrAUAWt7GuCwAAAA="/>
  </w:docVars>
  <w:rsids>
    <w:rsidRoot w:val="003211A8"/>
    <w:rsid w:val="00016880"/>
    <w:rsid w:val="00040DCF"/>
    <w:rsid w:val="000A7CB3"/>
    <w:rsid w:val="000B20E9"/>
    <w:rsid w:val="00106660"/>
    <w:rsid w:val="001372CC"/>
    <w:rsid w:val="00197791"/>
    <w:rsid w:val="001C7D20"/>
    <w:rsid w:val="001D5998"/>
    <w:rsid w:val="0022325D"/>
    <w:rsid w:val="00240A4C"/>
    <w:rsid w:val="00242A21"/>
    <w:rsid w:val="0025111C"/>
    <w:rsid w:val="002B2308"/>
    <w:rsid w:val="002D531C"/>
    <w:rsid w:val="002F179D"/>
    <w:rsid w:val="003211A8"/>
    <w:rsid w:val="0035059B"/>
    <w:rsid w:val="00374B94"/>
    <w:rsid w:val="00452B91"/>
    <w:rsid w:val="00465710"/>
    <w:rsid w:val="0049149A"/>
    <w:rsid w:val="004C12D2"/>
    <w:rsid w:val="00535EFB"/>
    <w:rsid w:val="005B760B"/>
    <w:rsid w:val="006D7337"/>
    <w:rsid w:val="00702EE5"/>
    <w:rsid w:val="00776C10"/>
    <w:rsid w:val="007D49E9"/>
    <w:rsid w:val="007E1F93"/>
    <w:rsid w:val="008228F3"/>
    <w:rsid w:val="008D59E1"/>
    <w:rsid w:val="00945D87"/>
    <w:rsid w:val="009A75CC"/>
    <w:rsid w:val="009E4BCF"/>
    <w:rsid w:val="00A747CF"/>
    <w:rsid w:val="00A85F88"/>
    <w:rsid w:val="00A866DA"/>
    <w:rsid w:val="00A93A3B"/>
    <w:rsid w:val="00AD45F3"/>
    <w:rsid w:val="00AE381F"/>
    <w:rsid w:val="00B21029"/>
    <w:rsid w:val="00B51F62"/>
    <w:rsid w:val="00B5617D"/>
    <w:rsid w:val="00B66245"/>
    <w:rsid w:val="00C53A24"/>
    <w:rsid w:val="00CD5BBF"/>
    <w:rsid w:val="00D803C4"/>
    <w:rsid w:val="00D86BFC"/>
    <w:rsid w:val="00DB15C5"/>
    <w:rsid w:val="00DD0035"/>
    <w:rsid w:val="00E43F1E"/>
    <w:rsid w:val="00E46153"/>
    <w:rsid w:val="00ED1199"/>
    <w:rsid w:val="00F03B3F"/>
    <w:rsid w:val="00FD2080"/>
    <w:rsid w:val="00FF31AD"/>
    <w:rsid w:val="00FF6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0CCAD5"/>
  <w15:chartTrackingRefBased/>
  <w15:docId w15:val="{99B2705C-F5ED-4459-8C0B-F6DDD584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1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211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211A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211A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211A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21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A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11A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211A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211A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211A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21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1A8"/>
    <w:rPr>
      <w:rFonts w:eastAsiaTheme="majorEastAsia" w:cstheme="majorBidi"/>
      <w:color w:val="272727" w:themeColor="text1" w:themeTint="D8"/>
    </w:rPr>
  </w:style>
  <w:style w:type="paragraph" w:styleId="Title">
    <w:name w:val="Title"/>
    <w:basedOn w:val="Normal"/>
    <w:next w:val="Normal"/>
    <w:link w:val="TitleChar"/>
    <w:uiPriority w:val="10"/>
    <w:qFormat/>
    <w:rsid w:val="00321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1A8"/>
    <w:pPr>
      <w:spacing w:before="160"/>
      <w:jc w:val="center"/>
    </w:pPr>
    <w:rPr>
      <w:i/>
      <w:iCs/>
      <w:color w:val="404040" w:themeColor="text1" w:themeTint="BF"/>
    </w:rPr>
  </w:style>
  <w:style w:type="character" w:customStyle="1" w:styleId="QuoteChar">
    <w:name w:val="Quote Char"/>
    <w:basedOn w:val="DefaultParagraphFont"/>
    <w:link w:val="Quote"/>
    <w:uiPriority w:val="29"/>
    <w:rsid w:val="003211A8"/>
    <w:rPr>
      <w:i/>
      <w:iCs/>
      <w:color w:val="404040" w:themeColor="text1" w:themeTint="BF"/>
    </w:rPr>
  </w:style>
  <w:style w:type="paragraph" w:styleId="ListParagraph">
    <w:name w:val="List Paragraph"/>
    <w:basedOn w:val="Normal"/>
    <w:uiPriority w:val="34"/>
    <w:qFormat/>
    <w:rsid w:val="003211A8"/>
    <w:pPr>
      <w:ind w:left="720"/>
      <w:contextualSpacing/>
    </w:pPr>
  </w:style>
  <w:style w:type="character" w:styleId="IntenseEmphasis">
    <w:name w:val="Intense Emphasis"/>
    <w:basedOn w:val="DefaultParagraphFont"/>
    <w:uiPriority w:val="21"/>
    <w:qFormat/>
    <w:rsid w:val="003211A8"/>
    <w:rPr>
      <w:i/>
      <w:iCs/>
      <w:color w:val="2E74B5" w:themeColor="accent1" w:themeShade="BF"/>
    </w:rPr>
  </w:style>
  <w:style w:type="paragraph" w:styleId="IntenseQuote">
    <w:name w:val="Intense Quote"/>
    <w:basedOn w:val="Normal"/>
    <w:next w:val="Normal"/>
    <w:link w:val="IntenseQuoteChar"/>
    <w:uiPriority w:val="30"/>
    <w:qFormat/>
    <w:rsid w:val="003211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11A8"/>
    <w:rPr>
      <w:i/>
      <w:iCs/>
      <w:color w:val="2E74B5" w:themeColor="accent1" w:themeShade="BF"/>
    </w:rPr>
  </w:style>
  <w:style w:type="character" w:styleId="IntenseReference">
    <w:name w:val="Intense Reference"/>
    <w:basedOn w:val="DefaultParagraphFont"/>
    <w:uiPriority w:val="32"/>
    <w:qFormat/>
    <w:rsid w:val="003211A8"/>
    <w:rPr>
      <w:b/>
      <w:bCs/>
      <w:smallCaps/>
      <w:color w:val="2E74B5" w:themeColor="accent1" w:themeShade="BF"/>
      <w:spacing w:val="5"/>
    </w:rPr>
  </w:style>
  <w:style w:type="table" w:styleId="TableGrid">
    <w:name w:val="Table Grid"/>
    <w:basedOn w:val="TableNormal"/>
    <w:uiPriority w:val="39"/>
    <w:rsid w:val="00A9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3A3B"/>
    <w:rPr>
      <w:b/>
      <w:bCs/>
    </w:rPr>
  </w:style>
  <w:style w:type="character" w:styleId="Hyperlink">
    <w:name w:val="Hyperlink"/>
    <w:basedOn w:val="DefaultParagraphFont"/>
    <w:uiPriority w:val="99"/>
    <w:unhideWhenUsed/>
    <w:rsid w:val="004C12D2"/>
    <w:rPr>
      <w:color w:val="0563C1" w:themeColor="hyperlink"/>
      <w:u w:val="single"/>
    </w:rPr>
  </w:style>
  <w:style w:type="character" w:styleId="UnresolvedMention">
    <w:name w:val="Unresolved Mention"/>
    <w:basedOn w:val="DefaultParagraphFont"/>
    <w:uiPriority w:val="99"/>
    <w:semiHidden/>
    <w:unhideWhenUsed/>
    <w:rsid w:val="004C12D2"/>
    <w:rPr>
      <w:color w:val="605E5C"/>
      <w:shd w:val="clear" w:color="auto" w:fill="E1DFDD"/>
    </w:rPr>
  </w:style>
  <w:style w:type="paragraph" w:styleId="Header">
    <w:name w:val="header"/>
    <w:basedOn w:val="Normal"/>
    <w:link w:val="HeaderChar"/>
    <w:uiPriority w:val="99"/>
    <w:unhideWhenUsed/>
    <w:rsid w:val="00A74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7CF"/>
  </w:style>
  <w:style w:type="paragraph" w:styleId="Footer">
    <w:name w:val="footer"/>
    <w:basedOn w:val="Normal"/>
    <w:link w:val="FooterChar"/>
    <w:uiPriority w:val="99"/>
    <w:unhideWhenUsed/>
    <w:rsid w:val="00A74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7CF"/>
  </w:style>
  <w:style w:type="paragraph" w:styleId="NoSpacing">
    <w:name w:val="No Spacing"/>
    <w:uiPriority w:val="1"/>
    <w:qFormat/>
    <w:rsid w:val="00535EF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8924">
      <w:bodyDiv w:val="1"/>
      <w:marLeft w:val="0"/>
      <w:marRight w:val="0"/>
      <w:marTop w:val="0"/>
      <w:marBottom w:val="0"/>
      <w:divBdr>
        <w:top w:val="none" w:sz="0" w:space="0" w:color="auto"/>
        <w:left w:val="none" w:sz="0" w:space="0" w:color="auto"/>
        <w:bottom w:val="none" w:sz="0" w:space="0" w:color="auto"/>
        <w:right w:val="none" w:sz="0" w:space="0" w:color="auto"/>
      </w:divBdr>
      <w:divsChild>
        <w:div w:id="1897932576">
          <w:marLeft w:val="0"/>
          <w:marRight w:val="0"/>
          <w:marTop w:val="0"/>
          <w:marBottom w:val="0"/>
          <w:divBdr>
            <w:top w:val="none" w:sz="0" w:space="0" w:color="auto"/>
            <w:left w:val="none" w:sz="0" w:space="0" w:color="auto"/>
            <w:bottom w:val="none" w:sz="0" w:space="0" w:color="auto"/>
            <w:right w:val="none" w:sz="0" w:space="0" w:color="auto"/>
          </w:divBdr>
          <w:divsChild>
            <w:div w:id="4316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422">
      <w:bodyDiv w:val="1"/>
      <w:marLeft w:val="0"/>
      <w:marRight w:val="0"/>
      <w:marTop w:val="0"/>
      <w:marBottom w:val="0"/>
      <w:divBdr>
        <w:top w:val="none" w:sz="0" w:space="0" w:color="auto"/>
        <w:left w:val="none" w:sz="0" w:space="0" w:color="auto"/>
        <w:bottom w:val="none" w:sz="0" w:space="0" w:color="auto"/>
        <w:right w:val="none" w:sz="0" w:space="0" w:color="auto"/>
      </w:divBdr>
      <w:divsChild>
        <w:div w:id="2059863002">
          <w:marLeft w:val="0"/>
          <w:marRight w:val="0"/>
          <w:marTop w:val="0"/>
          <w:marBottom w:val="0"/>
          <w:divBdr>
            <w:top w:val="none" w:sz="0" w:space="0" w:color="auto"/>
            <w:left w:val="none" w:sz="0" w:space="0" w:color="auto"/>
            <w:bottom w:val="none" w:sz="0" w:space="0" w:color="auto"/>
            <w:right w:val="none" w:sz="0" w:space="0" w:color="auto"/>
          </w:divBdr>
          <w:divsChild>
            <w:div w:id="552430816">
              <w:marLeft w:val="0"/>
              <w:marRight w:val="0"/>
              <w:marTop w:val="0"/>
              <w:marBottom w:val="0"/>
              <w:divBdr>
                <w:top w:val="none" w:sz="0" w:space="0" w:color="auto"/>
                <w:left w:val="none" w:sz="0" w:space="0" w:color="auto"/>
                <w:bottom w:val="none" w:sz="0" w:space="0" w:color="auto"/>
                <w:right w:val="none" w:sz="0" w:space="0" w:color="auto"/>
              </w:divBdr>
            </w:div>
          </w:divsChild>
        </w:div>
        <w:div w:id="1088386411">
          <w:marLeft w:val="0"/>
          <w:marRight w:val="0"/>
          <w:marTop w:val="0"/>
          <w:marBottom w:val="0"/>
          <w:divBdr>
            <w:top w:val="none" w:sz="0" w:space="0" w:color="auto"/>
            <w:left w:val="none" w:sz="0" w:space="0" w:color="auto"/>
            <w:bottom w:val="none" w:sz="0" w:space="0" w:color="auto"/>
            <w:right w:val="none" w:sz="0" w:space="0" w:color="auto"/>
          </w:divBdr>
          <w:divsChild>
            <w:div w:id="11297357">
              <w:marLeft w:val="0"/>
              <w:marRight w:val="0"/>
              <w:marTop w:val="0"/>
              <w:marBottom w:val="0"/>
              <w:divBdr>
                <w:top w:val="none" w:sz="0" w:space="0" w:color="auto"/>
                <w:left w:val="none" w:sz="0" w:space="0" w:color="auto"/>
                <w:bottom w:val="none" w:sz="0" w:space="0" w:color="auto"/>
                <w:right w:val="none" w:sz="0" w:space="0" w:color="auto"/>
              </w:divBdr>
            </w:div>
          </w:divsChild>
        </w:div>
        <w:div w:id="1784574803">
          <w:marLeft w:val="0"/>
          <w:marRight w:val="0"/>
          <w:marTop w:val="0"/>
          <w:marBottom w:val="0"/>
          <w:divBdr>
            <w:top w:val="none" w:sz="0" w:space="0" w:color="auto"/>
            <w:left w:val="none" w:sz="0" w:space="0" w:color="auto"/>
            <w:bottom w:val="none" w:sz="0" w:space="0" w:color="auto"/>
            <w:right w:val="none" w:sz="0" w:space="0" w:color="auto"/>
          </w:divBdr>
          <w:divsChild>
            <w:div w:id="906955079">
              <w:marLeft w:val="0"/>
              <w:marRight w:val="0"/>
              <w:marTop w:val="0"/>
              <w:marBottom w:val="0"/>
              <w:divBdr>
                <w:top w:val="none" w:sz="0" w:space="0" w:color="auto"/>
                <w:left w:val="none" w:sz="0" w:space="0" w:color="auto"/>
                <w:bottom w:val="none" w:sz="0" w:space="0" w:color="auto"/>
                <w:right w:val="none" w:sz="0" w:space="0" w:color="auto"/>
              </w:divBdr>
            </w:div>
          </w:divsChild>
        </w:div>
        <w:div w:id="298263839">
          <w:marLeft w:val="0"/>
          <w:marRight w:val="0"/>
          <w:marTop w:val="0"/>
          <w:marBottom w:val="0"/>
          <w:divBdr>
            <w:top w:val="none" w:sz="0" w:space="0" w:color="auto"/>
            <w:left w:val="none" w:sz="0" w:space="0" w:color="auto"/>
            <w:bottom w:val="none" w:sz="0" w:space="0" w:color="auto"/>
            <w:right w:val="none" w:sz="0" w:space="0" w:color="auto"/>
          </w:divBdr>
          <w:divsChild>
            <w:div w:id="223952694">
              <w:marLeft w:val="0"/>
              <w:marRight w:val="0"/>
              <w:marTop w:val="0"/>
              <w:marBottom w:val="0"/>
              <w:divBdr>
                <w:top w:val="none" w:sz="0" w:space="0" w:color="auto"/>
                <w:left w:val="none" w:sz="0" w:space="0" w:color="auto"/>
                <w:bottom w:val="none" w:sz="0" w:space="0" w:color="auto"/>
                <w:right w:val="none" w:sz="0" w:space="0" w:color="auto"/>
              </w:divBdr>
            </w:div>
          </w:divsChild>
        </w:div>
        <w:div w:id="205721600">
          <w:marLeft w:val="0"/>
          <w:marRight w:val="0"/>
          <w:marTop w:val="0"/>
          <w:marBottom w:val="0"/>
          <w:divBdr>
            <w:top w:val="none" w:sz="0" w:space="0" w:color="auto"/>
            <w:left w:val="none" w:sz="0" w:space="0" w:color="auto"/>
            <w:bottom w:val="none" w:sz="0" w:space="0" w:color="auto"/>
            <w:right w:val="none" w:sz="0" w:space="0" w:color="auto"/>
          </w:divBdr>
          <w:divsChild>
            <w:div w:id="2004888062">
              <w:marLeft w:val="0"/>
              <w:marRight w:val="0"/>
              <w:marTop w:val="0"/>
              <w:marBottom w:val="0"/>
              <w:divBdr>
                <w:top w:val="none" w:sz="0" w:space="0" w:color="auto"/>
                <w:left w:val="none" w:sz="0" w:space="0" w:color="auto"/>
                <w:bottom w:val="none" w:sz="0" w:space="0" w:color="auto"/>
                <w:right w:val="none" w:sz="0" w:space="0" w:color="auto"/>
              </w:divBdr>
            </w:div>
          </w:divsChild>
        </w:div>
        <w:div w:id="148790596">
          <w:marLeft w:val="0"/>
          <w:marRight w:val="0"/>
          <w:marTop w:val="0"/>
          <w:marBottom w:val="0"/>
          <w:divBdr>
            <w:top w:val="none" w:sz="0" w:space="0" w:color="auto"/>
            <w:left w:val="none" w:sz="0" w:space="0" w:color="auto"/>
            <w:bottom w:val="none" w:sz="0" w:space="0" w:color="auto"/>
            <w:right w:val="none" w:sz="0" w:space="0" w:color="auto"/>
          </w:divBdr>
          <w:divsChild>
            <w:div w:id="17279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4724">
      <w:bodyDiv w:val="1"/>
      <w:marLeft w:val="0"/>
      <w:marRight w:val="0"/>
      <w:marTop w:val="0"/>
      <w:marBottom w:val="0"/>
      <w:divBdr>
        <w:top w:val="none" w:sz="0" w:space="0" w:color="auto"/>
        <w:left w:val="none" w:sz="0" w:space="0" w:color="auto"/>
        <w:bottom w:val="none" w:sz="0" w:space="0" w:color="auto"/>
        <w:right w:val="none" w:sz="0" w:space="0" w:color="auto"/>
      </w:divBdr>
    </w:div>
    <w:div w:id="234975074">
      <w:bodyDiv w:val="1"/>
      <w:marLeft w:val="0"/>
      <w:marRight w:val="0"/>
      <w:marTop w:val="0"/>
      <w:marBottom w:val="0"/>
      <w:divBdr>
        <w:top w:val="none" w:sz="0" w:space="0" w:color="auto"/>
        <w:left w:val="none" w:sz="0" w:space="0" w:color="auto"/>
        <w:bottom w:val="none" w:sz="0" w:space="0" w:color="auto"/>
        <w:right w:val="none" w:sz="0" w:space="0" w:color="auto"/>
      </w:divBdr>
    </w:div>
    <w:div w:id="247815337">
      <w:bodyDiv w:val="1"/>
      <w:marLeft w:val="0"/>
      <w:marRight w:val="0"/>
      <w:marTop w:val="0"/>
      <w:marBottom w:val="0"/>
      <w:divBdr>
        <w:top w:val="none" w:sz="0" w:space="0" w:color="auto"/>
        <w:left w:val="none" w:sz="0" w:space="0" w:color="auto"/>
        <w:bottom w:val="none" w:sz="0" w:space="0" w:color="auto"/>
        <w:right w:val="none" w:sz="0" w:space="0" w:color="auto"/>
      </w:divBdr>
    </w:div>
    <w:div w:id="287400051">
      <w:bodyDiv w:val="1"/>
      <w:marLeft w:val="0"/>
      <w:marRight w:val="0"/>
      <w:marTop w:val="0"/>
      <w:marBottom w:val="0"/>
      <w:divBdr>
        <w:top w:val="none" w:sz="0" w:space="0" w:color="auto"/>
        <w:left w:val="none" w:sz="0" w:space="0" w:color="auto"/>
        <w:bottom w:val="none" w:sz="0" w:space="0" w:color="auto"/>
        <w:right w:val="none" w:sz="0" w:space="0" w:color="auto"/>
      </w:divBdr>
      <w:divsChild>
        <w:div w:id="538006916">
          <w:marLeft w:val="0"/>
          <w:marRight w:val="0"/>
          <w:marTop w:val="0"/>
          <w:marBottom w:val="0"/>
          <w:divBdr>
            <w:top w:val="none" w:sz="0" w:space="0" w:color="auto"/>
            <w:left w:val="none" w:sz="0" w:space="0" w:color="auto"/>
            <w:bottom w:val="none" w:sz="0" w:space="0" w:color="auto"/>
            <w:right w:val="none" w:sz="0" w:space="0" w:color="auto"/>
          </w:divBdr>
          <w:divsChild>
            <w:div w:id="964311308">
              <w:marLeft w:val="0"/>
              <w:marRight w:val="0"/>
              <w:marTop w:val="0"/>
              <w:marBottom w:val="0"/>
              <w:divBdr>
                <w:top w:val="none" w:sz="0" w:space="0" w:color="auto"/>
                <w:left w:val="none" w:sz="0" w:space="0" w:color="auto"/>
                <w:bottom w:val="none" w:sz="0" w:space="0" w:color="auto"/>
                <w:right w:val="none" w:sz="0" w:space="0" w:color="auto"/>
              </w:divBdr>
            </w:div>
          </w:divsChild>
        </w:div>
        <w:div w:id="849373061">
          <w:marLeft w:val="0"/>
          <w:marRight w:val="0"/>
          <w:marTop w:val="0"/>
          <w:marBottom w:val="0"/>
          <w:divBdr>
            <w:top w:val="none" w:sz="0" w:space="0" w:color="auto"/>
            <w:left w:val="none" w:sz="0" w:space="0" w:color="auto"/>
            <w:bottom w:val="none" w:sz="0" w:space="0" w:color="auto"/>
            <w:right w:val="none" w:sz="0" w:space="0" w:color="auto"/>
          </w:divBdr>
          <w:divsChild>
            <w:div w:id="1553611675">
              <w:marLeft w:val="0"/>
              <w:marRight w:val="0"/>
              <w:marTop w:val="0"/>
              <w:marBottom w:val="0"/>
              <w:divBdr>
                <w:top w:val="none" w:sz="0" w:space="0" w:color="auto"/>
                <w:left w:val="none" w:sz="0" w:space="0" w:color="auto"/>
                <w:bottom w:val="none" w:sz="0" w:space="0" w:color="auto"/>
                <w:right w:val="none" w:sz="0" w:space="0" w:color="auto"/>
              </w:divBdr>
            </w:div>
          </w:divsChild>
        </w:div>
        <w:div w:id="645553539">
          <w:marLeft w:val="0"/>
          <w:marRight w:val="0"/>
          <w:marTop w:val="0"/>
          <w:marBottom w:val="0"/>
          <w:divBdr>
            <w:top w:val="none" w:sz="0" w:space="0" w:color="auto"/>
            <w:left w:val="none" w:sz="0" w:space="0" w:color="auto"/>
            <w:bottom w:val="none" w:sz="0" w:space="0" w:color="auto"/>
            <w:right w:val="none" w:sz="0" w:space="0" w:color="auto"/>
          </w:divBdr>
          <w:divsChild>
            <w:div w:id="680855830">
              <w:marLeft w:val="0"/>
              <w:marRight w:val="0"/>
              <w:marTop w:val="0"/>
              <w:marBottom w:val="0"/>
              <w:divBdr>
                <w:top w:val="none" w:sz="0" w:space="0" w:color="auto"/>
                <w:left w:val="none" w:sz="0" w:space="0" w:color="auto"/>
                <w:bottom w:val="none" w:sz="0" w:space="0" w:color="auto"/>
                <w:right w:val="none" w:sz="0" w:space="0" w:color="auto"/>
              </w:divBdr>
            </w:div>
          </w:divsChild>
        </w:div>
        <w:div w:id="1500653479">
          <w:marLeft w:val="0"/>
          <w:marRight w:val="0"/>
          <w:marTop w:val="0"/>
          <w:marBottom w:val="0"/>
          <w:divBdr>
            <w:top w:val="none" w:sz="0" w:space="0" w:color="auto"/>
            <w:left w:val="none" w:sz="0" w:space="0" w:color="auto"/>
            <w:bottom w:val="none" w:sz="0" w:space="0" w:color="auto"/>
            <w:right w:val="none" w:sz="0" w:space="0" w:color="auto"/>
          </w:divBdr>
          <w:divsChild>
            <w:div w:id="1618487231">
              <w:marLeft w:val="0"/>
              <w:marRight w:val="0"/>
              <w:marTop w:val="0"/>
              <w:marBottom w:val="0"/>
              <w:divBdr>
                <w:top w:val="none" w:sz="0" w:space="0" w:color="auto"/>
                <w:left w:val="none" w:sz="0" w:space="0" w:color="auto"/>
                <w:bottom w:val="none" w:sz="0" w:space="0" w:color="auto"/>
                <w:right w:val="none" w:sz="0" w:space="0" w:color="auto"/>
              </w:divBdr>
            </w:div>
          </w:divsChild>
        </w:div>
        <w:div w:id="631642589">
          <w:marLeft w:val="0"/>
          <w:marRight w:val="0"/>
          <w:marTop w:val="0"/>
          <w:marBottom w:val="0"/>
          <w:divBdr>
            <w:top w:val="none" w:sz="0" w:space="0" w:color="auto"/>
            <w:left w:val="none" w:sz="0" w:space="0" w:color="auto"/>
            <w:bottom w:val="none" w:sz="0" w:space="0" w:color="auto"/>
            <w:right w:val="none" w:sz="0" w:space="0" w:color="auto"/>
          </w:divBdr>
          <w:divsChild>
            <w:div w:id="506290594">
              <w:marLeft w:val="0"/>
              <w:marRight w:val="0"/>
              <w:marTop w:val="0"/>
              <w:marBottom w:val="0"/>
              <w:divBdr>
                <w:top w:val="none" w:sz="0" w:space="0" w:color="auto"/>
                <w:left w:val="none" w:sz="0" w:space="0" w:color="auto"/>
                <w:bottom w:val="none" w:sz="0" w:space="0" w:color="auto"/>
                <w:right w:val="none" w:sz="0" w:space="0" w:color="auto"/>
              </w:divBdr>
            </w:div>
          </w:divsChild>
        </w:div>
        <w:div w:id="1921022952">
          <w:marLeft w:val="0"/>
          <w:marRight w:val="0"/>
          <w:marTop w:val="0"/>
          <w:marBottom w:val="0"/>
          <w:divBdr>
            <w:top w:val="none" w:sz="0" w:space="0" w:color="auto"/>
            <w:left w:val="none" w:sz="0" w:space="0" w:color="auto"/>
            <w:bottom w:val="none" w:sz="0" w:space="0" w:color="auto"/>
            <w:right w:val="none" w:sz="0" w:space="0" w:color="auto"/>
          </w:divBdr>
          <w:divsChild>
            <w:div w:id="10483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90356">
      <w:bodyDiv w:val="1"/>
      <w:marLeft w:val="0"/>
      <w:marRight w:val="0"/>
      <w:marTop w:val="0"/>
      <w:marBottom w:val="0"/>
      <w:divBdr>
        <w:top w:val="none" w:sz="0" w:space="0" w:color="auto"/>
        <w:left w:val="none" w:sz="0" w:space="0" w:color="auto"/>
        <w:bottom w:val="none" w:sz="0" w:space="0" w:color="auto"/>
        <w:right w:val="none" w:sz="0" w:space="0" w:color="auto"/>
      </w:divBdr>
    </w:div>
    <w:div w:id="473374143">
      <w:bodyDiv w:val="1"/>
      <w:marLeft w:val="0"/>
      <w:marRight w:val="0"/>
      <w:marTop w:val="0"/>
      <w:marBottom w:val="0"/>
      <w:divBdr>
        <w:top w:val="none" w:sz="0" w:space="0" w:color="auto"/>
        <w:left w:val="none" w:sz="0" w:space="0" w:color="auto"/>
        <w:bottom w:val="none" w:sz="0" w:space="0" w:color="auto"/>
        <w:right w:val="none" w:sz="0" w:space="0" w:color="auto"/>
      </w:divBdr>
    </w:div>
    <w:div w:id="499926850">
      <w:bodyDiv w:val="1"/>
      <w:marLeft w:val="0"/>
      <w:marRight w:val="0"/>
      <w:marTop w:val="0"/>
      <w:marBottom w:val="0"/>
      <w:divBdr>
        <w:top w:val="none" w:sz="0" w:space="0" w:color="auto"/>
        <w:left w:val="none" w:sz="0" w:space="0" w:color="auto"/>
        <w:bottom w:val="none" w:sz="0" w:space="0" w:color="auto"/>
        <w:right w:val="none" w:sz="0" w:space="0" w:color="auto"/>
      </w:divBdr>
      <w:divsChild>
        <w:div w:id="1862817058">
          <w:marLeft w:val="0"/>
          <w:marRight w:val="0"/>
          <w:marTop w:val="0"/>
          <w:marBottom w:val="0"/>
          <w:divBdr>
            <w:top w:val="none" w:sz="0" w:space="0" w:color="auto"/>
            <w:left w:val="none" w:sz="0" w:space="0" w:color="auto"/>
            <w:bottom w:val="none" w:sz="0" w:space="0" w:color="auto"/>
            <w:right w:val="none" w:sz="0" w:space="0" w:color="auto"/>
          </w:divBdr>
          <w:divsChild>
            <w:div w:id="7695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3739">
      <w:bodyDiv w:val="1"/>
      <w:marLeft w:val="0"/>
      <w:marRight w:val="0"/>
      <w:marTop w:val="0"/>
      <w:marBottom w:val="0"/>
      <w:divBdr>
        <w:top w:val="none" w:sz="0" w:space="0" w:color="auto"/>
        <w:left w:val="none" w:sz="0" w:space="0" w:color="auto"/>
        <w:bottom w:val="none" w:sz="0" w:space="0" w:color="auto"/>
        <w:right w:val="none" w:sz="0" w:space="0" w:color="auto"/>
      </w:divBdr>
      <w:divsChild>
        <w:div w:id="915942898">
          <w:marLeft w:val="0"/>
          <w:marRight w:val="0"/>
          <w:marTop w:val="0"/>
          <w:marBottom w:val="0"/>
          <w:divBdr>
            <w:top w:val="none" w:sz="0" w:space="0" w:color="auto"/>
            <w:left w:val="none" w:sz="0" w:space="0" w:color="auto"/>
            <w:bottom w:val="none" w:sz="0" w:space="0" w:color="auto"/>
            <w:right w:val="none" w:sz="0" w:space="0" w:color="auto"/>
          </w:divBdr>
          <w:divsChild>
            <w:div w:id="10546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2693">
      <w:bodyDiv w:val="1"/>
      <w:marLeft w:val="0"/>
      <w:marRight w:val="0"/>
      <w:marTop w:val="0"/>
      <w:marBottom w:val="0"/>
      <w:divBdr>
        <w:top w:val="none" w:sz="0" w:space="0" w:color="auto"/>
        <w:left w:val="none" w:sz="0" w:space="0" w:color="auto"/>
        <w:bottom w:val="none" w:sz="0" w:space="0" w:color="auto"/>
        <w:right w:val="none" w:sz="0" w:space="0" w:color="auto"/>
      </w:divBdr>
    </w:div>
    <w:div w:id="1023048985">
      <w:bodyDiv w:val="1"/>
      <w:marLeft w:val="0"/>
      <w:marRight w:val="0"/>
      <w:marTop w:val="0"/>
      <w:marBottom w:val="0"/>
      <w:divBdr>
        <w:top w:val="none" w:sz="0" w:space="0" w:color="auto"/>
        <w:left w:val="none" w:sz="0" w:space="0" w:color="auto"/>
        <w:bottom w:val="none" w:sz="0" w:space="0" w:color="auto"/>
        <w:right w:val="none" w:sz="0" w:space="0" w:color="auto"/>
      </w:divBdr>
    </w:div>
    <w:div w:id="1035352529">
      <w:bodyDiv w:val="1"/>
      <w:marLeft w:val="0"/>
      <w:marRight w:val="0"/>
      <w:marTop w:val="0"/>
      <w:marBottom w:val="0"/>
      <w:divBdr>
        <w:top w:val="none" w:sz="0" w:space="0" w:color="auto"/>
        <w:left w:val="none" w:sz="0" w:space="0" w:color="auto"/>
        <w:bottom w:val="none" w:sz="0" w:space="0" w:color="auto"/>
        <w:right w:val="none" w:sz="0" w:space="0" w:color="auto"/>
      </w:divBdr>
      <w:divsChild>
        <w:div w:id="1509061561">
          <w:marLeft w:val="0"/>
          <w:marRight w:val="0"/>
          <w:marTop w:val="0"/>
          <w:marBottom w:val="0"/>
          <w:divBdr>
            <w:top w:val="none" w:sz="0" w:space="0" w:color="auto"/>
            <w:left w:val="none" w:sz="0" w:space="0" w:color="auto"/>
            <w:bottom w:val="none" w:sz="0" w:space="0" w:color="auto"/>
            <w:right w:val="none" w:sz="0" w:space="0" w:color="auto"/>
          </w:divBdr>
          <w:divsChild>
            <w:div w:id="1160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7437">
      <w:bodyDiv w:val="1"/>
      <w:marLeft w:val="0"/>
      <w:marRight w:val="0"/>
      <w:marTop w:val="0"/>
      <w:marBottom w:val="0"/>
      <w:divBdr>
        <w:top w:val="none" w:sz="0" w:space="0" w:color="auto"/>
        <w:left w:val="none" w:sz="0" w:space="0" w:color="auto"/>
        <w:bottom w:val="none" w:sz="0" w:space="0" w:color="auto"/>
        <w:right w:val="none" w:sz="0" w:space="0" w:color="auto"/>
      </w:divBdr>
      <w:divsChild>
        <w:div w:id="1494956755">
          <w:marLeft w:val="0"/>
          <w:marRight w:val="0"/>
          <w:marTop w:val="0"/>
          <w:marBottom w:val="0"/>
          <w:divBdr>
            <w:top w:val="none" w:sz="0" w:space="0" w:color="auto"/>
            <w:left w:val="none" w:sz="0" w:space="0" w:color="auto"/>
            <w:bottom w:val="none" w:sz="0" w:space="0" w:color="auto"/>
            <w:right w:val="none" w:sz="0" w:space="0" w:color="auto"/>
          </w:divBdr>
          <w:divsChild>
            <w:div w:id="5779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9300">
      <w:bodyDiv w:val="1"/>
      <w:marLeft w:val="0"/>
      <w:marRight w:val="0"/>
      <w:marTop w:val="0"/>
      <w:marBottom w:val="0"/>
      <w:divBdr>
        <w:top w:val="none" w:sz="0" w:space="0" w:color="auto"/>
        <w:left w:val="none" w:sz="0" w:space="0" w:color="auto"/>
        <w:bottom w:val="none" w:sz="0" w:space="0" w:color="auto"/>
        <w:right w:val="none" w:sz="0" w:space="0" w:color="auto"/>
      </w:divBdr>
      <w:divsChild>
        <w:div w:id="1643189364">
          <w:marLeft w:val="0"/>
          <w:marRight w:val="0"/>
          <w:marTop w:val="0"/>
          <w:marBottom w:val="0"/>
          <w:divBdr>
            <w:top w:val="none" w:sz="0" w:space="0" w:color="auto"/>
            <w:left w:val="none" w:sz="0" w:space="0" w:color="auto"/>
            <w:bottom w:val="none" w:sz="0" w:space="0" w:color="auto"/>
            <w:right w:val="none" w:sz="0" w:space="0" w:color="auto"/>
          </w:divBdr>
          <w:divsChild>
            <w:div w:id="6322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08008">
      <w:bodyDiv w:val="1"/>
      <w:marLeft w:val="0"/>
      <w:marRight w:val="0"/>
      <w:marTop w:val="0"/>
      <w:marBottom w:val="0"/>
      <w:divBdr>
        <w:top w:val="none" w:sz="0" w:space="0" w:color="auto"/>
        <w:left w:val="none" w:sz="0" w:space="0" w:color="auto"/>
        <w:bottom w:val="none" w:sz="0" w:space="0" w:color="auto"/>
        <w:right w:val="none" w:sz="0" w:space="0" w:color="auto"/>
      </w:divBdr>
      <w:divsChild>
        <w:div w:id="651452011">
          <w:marLeft w:val="0"/>
          <w:marRight w:val="0"/>
          <w:marTop w:val="0"/>
          <w:marBottom w:val="0"/>
          <w:divBdr>
            <w:top w:val="none" w:sz="0" w:space="0" w:color="auto"/>
            <w:left w:val="none" w:sz="0" w:space="0" w:color="auto"/>
            <w:bottom w:val="none" w:sz="0" w:space="0" w:color="auto"/>
            <w:right w:val="none" w:sz="0" w:space="0" w:color="auto"/>
          </w:divBdr>
          <w:divsChild>
            <w:div w:id="5247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2564">
      <w:bodyDiv w:val="1"/>
      <w:marLeft w:val="0"/>
      <w:marRight w:val="0"/>
      <w:marTop w:val="0"/>
      <w:marBottom w:val="0"/>
      <w:divBdr>
        <w:top w:val="none" w:sz="0" w:space="0" w:color="auto"/>
        <w:left w:val="none" w:sz="0" w:space="0" w:color="auto"/>
        <w:bottom w:val="none" w:sz="0" w:space="0" w:color="auto"/>
        <w:right w:val="none" w:sz="0" w:space="0" w:color="auto"/>
      </w:divBdr>
      <w:divsChild>
        <w:div w:id="287391637">
          <w:marLeft w:val="0"/>
          <w:marRight w:val="0"/>
          <w:marTop w:val="0"/>
          <w:marBottom w:val="0"/>
          <w:divBdr>
            <w:top w:val="none" w:sz="0" w:space="0" w:color="auto"/>
            <w:left w:val="none" w:sz="0" w:space="0" w:color="auto"/>
            <w:bottom w:val="none" w:sz="0" w:space="0" w:color="auto"/>
            <w:right w:val="none" w:sz="0" w:space="0" w:color="auto"/>
          </w:divBdr>
          <w:divsChild>
            <w:div w:id="17143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6357">
      <w:bodyDiv w:val="1"/>
      <w:marLeft w:val="0"/>
      <w:marRight w:val="0"/>
      <w:marTop w:val="0"/>
      <w:marBottom w:val="0"/>
      <w:divBdr>
        <w:top w:val="none" w:sz="0" w:space="0" w:color="auto"/>
        <w:left w:val="none" w:sz="0" w:space="0" w:color="auto"/>
        <w:bottom w:val="none" w:sz="0" w:space="0" w:color="auto"/>
        <w:right w:val="none" w:sz="0" w:space="0" w:color="auto"/>
      </w:divBdr>
    </w:div>
    <w:div w:id="1724982115">
      <w:bodyDiv w:val="1"/>
      <w:marLeft w:val="0"/>
      <w:marRight w:val="0"/>
      <w:marTop w:val="0"/>
      <w:marBottom w:val="0"/>
      <w:divBdr>
        <w:top w:val="none" w:sz="0" w:space="0" w:color="auto"/>
        <w:left w:val="none" w:sz="0" w:space="0" w:color="auto"/>
        <w:bottom w:val="none" w:sz="0" w:space="0" w:color="auto"/>
        <w:right w:val="none" w:sz="0" w:space="0" w:color="auto"/>
      </w:divBdr>
    </w:div>
    <w:div w:id="1749305881">
      <w:bodyDiv w:val="1"/>
      <w:marLeft w:val="0"/>
      <w:marRight w:val="0"/>
      <w:marTop w:val="0"/>
      <w:marBottom w:val="0"/>
      <w:divBdr>
        <w:top w:val="none" w:sz="0" w:space="0" w:color="auto"/>
        <w:left w:val="none" w:sz="0" w:space="0" w:color="auto"/>
        <w:bottom w:val="none" w:sz="0" w:space="0" w:color="auto"/>
        <w:right w:val="none" w:sz="0" w:space="0" w:color="auto"/>
      </w:divBdr>
    </w:div>
    <w:div w:id="1796870006">
      <w:bodyDiv w:val="1"/>
      <w:marLeft w:val="0"/>
      <w:marRight w:val="0"/>
      <w:marTop w:val="0"/>
      <w:marBottom w:val="0"/>
      <w:divBdr>
        <w:top w:val="none" w:sz="0" w:space="0" w:color="auto"/>
        <w:left w:val="none" w:sz="0" w:space="0" w:color="auto"/>
        <w:bottom w:val="none" w:sz="0" w:space="0" w:color="auto"/>
        <w:right w:val="none" w:sz="0" w:space="0" w:color="auto"/>
      </w:divBdr>
    </w:div>
    <w:div w:id="21379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15</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Ashiqur Rahman</dc:creator>
  <cp:keywords/>
  <dc:description/>
  <cp:lastModifiedBy>SDI PC New 16</cp:lastModifiedBy>
  <cp:revision>41</cp:revision>
  <dcterms:created xsi:type="dcterms:W3CDTF">2026-01-26T05:16:00Z</dcterms:created>
  <dcterms:modified xsi:type="dcterms:W3CDTF">2026-02-02T08:56:00Z</dcterms:modified>
</cp:coreProperties>
</file>