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E73" w:rsidRDefault="004C285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Waterpipe Tobacco Smoke–Induced Renal and Hepatic Toxicity and Associated Heavy Metal and Polycyclic Aromatic Hydrocarbon Levels in Female Albino Rats</w:t>
      </w:r>
    </w:p>
    <w:p w:rsidR="00B66E73" w:rsidRDefault="00B66E73">
      <w:pPr>
        <w:keepNext/>
        <w:keepLines/>
        <w:spacing w:before="240" w:line="240" w:lineRule="auto"/>
        <w:jc w:val="center"/>
        <w:outlineLvl w:val="0"/>
        <w:rPr>
          <w:rFonts w:ascii="Times New Roman" w:eastAsia="SimSun" w:hAnsi="Times New Roman"/>
          <w:b/>
          <w:bCs/>
          <w:color w:val="000000"/>
          <w:kern w:val="2"/>
          <w:sz w:val="24"/>
          <w:szCs w:val="24"/>
        </w:rPr>
      </w:pPr>
    </w:p>
    <w:p w:rsidR="00B66E73" w:rsidRDefault="004C285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w:t>
      </w:r>
    </w:p>
    <w:p w:rsidR="00B66E73" w:rsidRDefault="004C2859">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B66E73" w:rsidRDefault="00F11C04">
      <w:pPr>
        <w:spacing w:after="0" w:line="240" w:lineRule="auto"/>
        <w:jc w:val="both"/>
        <w:rPr>
          <w:rFonts w:ascii="Times New Roman" w:hAnsi="Times New Roman" w:cs="Times New Roman"/>
          <w:sz w:val="24"/>
          <w:szCs w:val="24"/>
        </w:rPr>
      </w:pPr>
      <w:r w:rsidRPr="00F11C04">
        <w:rPr>
          <w:rFonts w:ascii="Times New Roman" w:hAnsi="Times New Roman" w:cs="Times New Roman"/>
          <w:sz w:val="24"/>
          <w:szCs w:val="24"/>
        </w:rPr>
        <w:t xml:space="preserve">The widespread use of water pipe tobacco (WPT) has raised concerns regarding potential health risks associated with inhalation of tobacco smoke and its constituents, including polycyclic aromatic Hydrocarbons (PAHs). </w:t>
      </w:r>
      <w:r w:rsidR="004C2859">
        <w:rPr>
          <w:rFonts w:ascii="Times New Roman" w:hAnsi="Times New Roman" w:cs="Times New Roman"/>
          <w:sz w:val="24"/>
          <w:szCs w:val="24"/>
        </w:rPr>
        <w:t>This study evaluated the effect of water pipe tobacco smoke on renal and hepatic biomarkers in blood serum of female albino rats. Fifteen (15) female albino rats weighing between 100g to 150g were used for the experiment and randomized into three groups of five animals each. Group 1 served as the control which was animals not exposed to water pipe tobacco (shisha) smoke, while group 2 and 3 were animals exposed to water pipe tobacco smoke at the duration of 30 seconds and 50 seconds per cycle for 15 minutes respectively for a period of 13 days. All exposures of the animals to the water pipe tobacco smoke were conducted in an enclosed improvised glass inhalation chamber coupled to a vacuum pump and water pipe tobacco (shisha) pot to generate the smoke. Blood serum samples collected were subjected to various biochemical assays to determine renal and hepatic biomarkers, heavy metals including PAHs</w:t>
      </w:r>
      <w:bookmarkStart w:id="0" w:name="_GoBack"/>
      <w:bookmarkEnd w:id="0"/>
      <w:r w:rsidR="004C2859">
        <w:rPr>
          <w:rFonts w:ascii="Times New Roman" w:hAnsi="Times New Roman" w:cs="Times New Roman"/>
          <w:sz w:val="24"/>
          <w:szCs w:val="24"/>
        </w:rPr>
        <w:t>. Results revealed gradual to significant dose-dependent alterations in both hepatic and renal biomarkers in the shisha-exposed groups accompanied by evident electrolyte imbalance. Oxidative stress markers showed a decreased superoxide dismutase activity and increased malondialdehyde levels in the exposed groups. Elevated concentrations of heavy metals were observed and several components of PAHs detected at varying concentrations. Generally, these findings indicate that the exposure to water pipe tobacco smoke adversely affects renal and hepatic functions and poses a significant health risk. The observed alteration in the hepatic and renal biomarkers together with accumulation of heavy metals and PAHs may be attributed to the toxic mixture of constituents present in the water pipe tobacco smoke.</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Water pipe-tobacco, toxicity, inhalation chamber, effects, biomarkers.</w:t>
      </w:r>
    </w:p>
    <w:p w:rsidR="00B66E73" w:rsidRDefault="00B66E73">
      <w:pPr>
        <w:spacing w:after="0" w:line="360" w:lineRule="auto"/>
        <w:jc w:val="both"/>
        <w:rPr>
          <w:rFonts w:ascii="Times New Roman" w:hAnsi="Times New Roman" w:cs="Times New Roman"/>
          <w:sz w:val="24"/>
          <w:szCs w:val="24"/>
        </w:rPr>
      </w:pPr>
    </w:p>
    <w:p w:rsidR="00B66E73" w:rsidRDefault="004C2859">
      <w:pPr>
        <w:pStyle w:val="Heading1"/>
        <w:spacing w:before="0"/>
        <w:jc w:val="both"/>
      </w:pPr>
      <w:r>
        <w:rPr>
          <w:rFonts w:ascii="Calibri" w:eastAsia="Calibri" w:hAnsi="Calibri"/>
          <w:b w:val="0"/>
          <w:color w:val="auto"/>
          <w:kern w:val="0"/>
          <w:szCs w:val="24"/>
        </w:rPr>
        <w:t>1.1</w:t>
      </w:r>
      <w:r>
        <w:t xml:space="preserve">    INTRODUCTION </w:t>
      </w:r>
    </w:p>
    <w:p w:rsidR="00B66E73" w:rsidRDefault="004C2859">
      <w:pPr>
        <w:spacing w:after="0" w:line="360" w:lineRule="auto"/>
        <w:contextualSpacing/>
        <w:jc w:val="both"/>
        <w:rPr>
          <w:rFonts w:ascii="Times New Roman" w:hAnsi="Times New Roman" w:cs="Times New Roman"/>
          <w:b/>
          <w:bCs/>
          <w:sz w:val="24"/>
          <w:szCs w:val="24"/>
        </w:rPr>
      </w:pPr>
      <w:r>
        <w:rPr>
          <w:rFonts w:ascii="Times New Roman" w:hAnsi="Times New Roman" w:cs="Times New Roman"/>
          <w:sz w:val="24"/>
          <w:szCs w:val="24"/>
        </w:rPr>
        <w:t xml:space="preserve">Water pipe tobacco (WPT), also known as hookah or shisha while often perceived as less harmful than cigarettes has been associated with various adverse health effects. Water pipe tobacco smoke has been found to contain a complex mixture of chemicals, many of which are known or suspected carcinogens (Masjedi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2023). The widespread use of water pipe tobacco (WPT) has raised concerns regarding potential health risks associated with inhalation of tobacco smoke and its constituents, including PAHs (Kassem </w:t>
      </w:r>
      <w:r>
        <w:rPr>
          <w:rFonts w:ascii="Times New Roman" w:hAnsi="Times New Roman" w:cs="Times New Roman"/>
          <w:i/>
          <w:iCs/>
          <w:sz w:val="24"/>
          <w:szCs w:val="24"/>
        </w:rPr>
        <w:t>et al.,</w:t>
      </w:r>
      <w:r>
        <w:rPr>
          <w:rFonts w:ascii="Times New Roman" w:hAnsi="Times New Roman" w:cs="Times New Roman"/>
          <w:sz w:val="24"/>
          <w:szCs w:val="24"/>
        </w:rPr>
        <w:t xml:space="preserve"> 2024). Shisha smoking originated in ancient Persia and India, and has traditionally been a social activity, often associated with relaxation, hospitality, and cultural identity (Gautam </w:t>
      </w:r>
      <w:r>
        <w:rPr>
          <w:rFonts w:ascii="Times New Roman" w:hAnsi="Times New Roman" w:cs="Times New Roman"/>
          <w:i/>
          <w:iCs/>
          <w:sz w:val="24"/>
          <w:szCs w:val="24"/>
        </w:rPr>
        <w:t>et al</w:t>
      </w:r>
      <w:r>
        <w:rPr>
          <w:rFonts w:ascii="Times New Roman" w:hAnsi="Times New Roman" w:cs="Times New Roman"/>
          <w:sz w:val="24"/>
          <w:szCs w:val="24"/>
        </w:rPr>
        <w:t xml:space="preserve">., 2022). In recent decades, however, there has been a global surge in the popularity of WPT, particularly among </w:t>
      </w:r>
      <w:r>
        <w:rPr>
          <w:rFonts w:ascii="Times New Roman" w:hAnsi="Times New Roman" w:cs="Times New Roman"/>
          <w:sz w:val="24"/>
          <w:szCs w:val="24"/>
        </w:rPr>
        <w:lastRenderedPageBreak/>
        <w:t xml:space="preserve">young adults (Soule </w:t>
      </w:r>
      <w:r>
        <w:rPr>
          <w:rFonts w:ascii="Times New Roman" w:hAnsi="Times New Roman" w:cs="Times New Roman"/>
          <w:i/>
          <w:iCs/>
          <w:sz w:val="24"/>
          <w:szCs w:val="24"/>
        </w:rPr>
        <w:t>et al.,</w:t>
      </w:r>
      <w:r>
        <w:rPr>
          <w:rFonts w:ascii="Times New Roman" w:hAnsi="Times New Roman" w:cs="Times New Roman"/>
          <w:sz w:val="24"/>
          <w:szCs w:val="24"/>
        </w:rPr>
        <w:t xml:space="preserve"> 2015; Ramôa </w:t>
      </w:r>
      <w:r>
        <w:rPr>
          <w:rFonts w:ascii="Times New Roman" w:hAnsi="Times New Roman" w:cs="Times New Roman"/>
          <w:i/>
          <w:iCs/>
          <w:sz w:val="24"/>
          <w:szCs w:val="24"/>
        </w:rPr>
        <w:t>et al.,</w:t>
      </w:r>
      <w:r>
        <w:rPr>
          <w:rFonts w:ascii="Times New Roman" w:hAnsi="Times New Roman" w:cs="Times New Roman"/>
          <w:sz w:val="24"/>
          <w:szCs w:val="24"/>
        </w:rPr>
        <w:t xml:space="preserve"> 2017). This trend is attributed to various factors, including the proliferation of WPT cafes and lounges, the introduction of flavored tobacco products, and the perception of WPT as a less harmful alternative to cigarettes (Huang </w:t>
      </w:r>
      <w:r>
        <w:rPr>
          <w:rFonts w:ascii="Times New Roman" w:hAnsi="Times New Roman" w:cs="Times New Roman"/>
          <w:i/>
          <w:iCs/>
          <w:sz w:val="24"/>
          <w:szCs w:val="24"/>
        </w:rPr>
        <w:t>et al.,</w:t>
      </w:r>
      <w:r>
        <w:rPr>
          <w:rFonts w:ascii="Times New Roman" w:hAnsi="Times New Roman" w:cs="Times New Roman"/>
          <w:sz w:val="24"/>
          <w:szCs w:val="24"/>
        </w:rPr>
        <w:t xml:space="preserve"> 2017). </w:t>
      </w:r>
      <w:r>
        <w:rPr>
          <w:rFonts w:ascii="Times New Roman" w:hAnsi="Times New Roman" w:cs="Times New Roman"/>
          <w:kern w:val="2"/>
          <w:sz w:val="24"/>
          <w:szCs w:val="24"/>
        </w:rPr>
        <w:t>The communal aspect of WPT use, coupled with the misconception of its safety, has fueled its rising popularity, particularly among young adults and women (</w:t>
      </w:r>
      <w:r>
        <w:rPr>
          <w:rFonts w:ascii="Times New Roman" w:hAnsi="Times New Roman" w:cs="Times New Roman"/>
          <w:color w:val="222222"/>
          <w:kern w:val="2"/>
          <w:sz w:val="24"/>
          <w:szCs w:val="24"/>
          <w:shd w:val="clear" w:color="FFFFFF" w:fill="FFFFFF"/>
        </w:rPr>
        <w:t xml:space="preserve">Haddad </w:t>
      </w:r>
      <w:r>
        <w:rPr>
          <w:rFonts w:ascii="Times New Roman" w:hAnsi="Times New Roman" w:cs="Times New Roman"/>
          <w:i/>
          <w:iCs/>
          <w:color w:val="222222"/>
          <w:kern w:val="2"/>
          <w:sz w:val="24"/>
          <w:szCs w:val="24"/>
          <w:shd w:val="clear" w:color="FFFFFF" w:fill="FFFFFF"/>
        </w:rPr>
        <w:t>et al</w:t>
      </w:r>
      <w:r>
        <w:rPr>
          <w:rFonts w:ascii="Times New Roman" w:hAnsi="Times New Roman" w:cs="Times New Roman"/>
          <w:color w:val="222222"/>
          <w:kern w:val="2"/>
          <w:sz w:val="24"/>
          <w:szCs w:val="24"/>
          <w:shd w:val="clear" w:color="FFFFFF" w:fill="FFFFFF"/>
        </w:rPr>
        <w:t xml:space="preserve">., 2015; Bhatnagar </w:t>
      </w:r>
      <w:r>
        <w:rPr>
          <w:rFonts w:ascii="Times New Roman" w:hAnsi="Times New Roman" w:cs="Times New Roman"/>
          <w:i/>
          <w:iCs/>
          <w:color w:val="222222"/>
          <w:kern w:val="2"/>
          <w:sz w:val="24"/>
          <w:szCs w:val="24"/>
          <w:shd w:val="clear" w:color="FFFFFF" w:fill="FFFFFF"/>
        </w:rPr>
        <w:t>et al</w:t>
      </w:r>
      <w:r>
        <w:rPr>
          <w:rFonts w:ascii="Times New Roman" w:hAnsi="Times New Roman" w:cs="Times New Roman"/>
          <w:color w:val="222222"/>
          <w:kern w:val="2"/>
          <w:sz w:val="24"/>
          <w:szCs w:val="24"/>
          <w:shd w:val="clear" w:color="FFFFFF" w:fill="FFFFFF"/>
        </w:rPr>
        <w:t xml:space="preserve">., 2019; Makvandi </w:t>
      </w:r>
      <w:r>
        <w:rPr>
          <w:rFonts w:ascii="Times New Roman" w:hAnsi="Times New Roman" w:cs="Times New Roman"/>
          <w:i/>
          <w:iCs/>
          <w:color w:val="222222"/>
          <w:kern w:val="2"/>
          <w:sz w:val="24"/>
          <w:szCs w:val="24"/>
          <w:shd w:val="clear" w:color="FFFFFF" w:fill="FFFFFF"/>
        </w:rPr>
        <w:t>et al</w:t>
      </w:r>
      <w:r>
        <w:rPr>
          <w:rFonts w:ascii="Times New Roman" w:hAnsi="Times New Roman" w:cs="Times New Roman"/>
          <w:color w:val="222222"/>
          <w:kern w:val="2"/>
          <w:sz w:val="24"/>
          <w:szCs w:val="24"/>
          <w:shd w:val="clear" w:color="FFFFFF" w:fill="FFFFFF"/>
        </w:rPr>
        <w:t>., 2021</w:t>
      </w:r>
      <w:r>
        <w:rPr>
          <w:rFonts w:ascii="Times New Roman" w:hAnsi="Times New Roman" w:cs="Times New Roman"/>
          <w:kern w:val="2"/>
          <w:sz w:val="24"/>
          <w:szCs w:val="24"/>
        </w:rPr>
        <w:t>).</w:t>
      </w:r>
      <w:r>
        <w:rPr>
          <w:rFonts w:ascii="Times New Roman" w:hAnsi="Times New Roman" w:cs="Times New Roman"/>
          <w:sz w:val="24"/>
          <w:szCs w:val="24"/>
        </w:rPr>
        <w:t xml:space="preserve"> While WPT smoking may be perceived as less harmful than cigarette smoking, research suggests that both activities pose significant health risks. The health risks associated with water pipe tobacco (WPT) smoking are multi-faceted and extend beyond the respiratory system.  In the respiratory system, WPT smoking can cause acute and chronic respiratory problems. Short-term effects include irritation of the airways, coughing, and wheezing (Haddad et al., 2016; Mogassabi et al., 2019). Chronic exposure to WPT smoke has been associated with the development of chronic obstructive pulmonary disease (COPD), a progressive lung condition characterized by airflow obstruction and breathing difficulties (Khabour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2018; Ghosh </w:t>
      </w:r>
      <w:r>
        <w:rPr>
          <w:rFonts w:ascii="Times New Roman" w:hAnsi="Times New Roman" w:cs="Times New Roman"/>
          <w:i/>
          <w:iCs/>
          <w:sz w:val="24"/>
          <w:szCs w:val="24"/>
        </w:rPr>
        <w:t>et al.,</w:t>
      </w:r>
      <w:r>
        <w:rPr>
          <w:rFonts w:ascii="Times New Roman" w:hAnsi="Times New Roman" w:cs="Times New Roman"/>
          <w:sz w:val="24"/>
          <w:szCs w:val="24"/>
        </w:rPr>
        <w:t xml:space="preserve"> 2020). Additionally, WPT smoking may exacerbate asthma symptoms and increase the risk of respiratory infections (Bhatnagar et al., 2019). Water pipe tobacco smoking also poses significant cardiovascular risks. Studies have shown that WPT use can lead to increased heart rate, blood pressure, and arterial stiffness, all of which are risk factors for cardiovascular disease (Ghosh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Water pipe tobacco smokers are exposed to many of the same toxicants found in cigarette smoke, including nicotine, carbon monoxide, and heavy metals (Aboaziza &amp; Eissenberg, 2015). Moreover, WPT sessions often last longer than cigarette smoking, resulting in greater exposure. Although WPT smoke is filtered through water, this process does not eliminate all toxins (Hauser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2020). </w:t>
      </w:r>
      <w:r>
        <w:rPr>
          <w:rFonts w:ascii="Times New Roman" w:hAnsi="Times New Roman" w:cs="Times New Roman"/>
          <w:kern w:val="2"/>
          <w:sz w:val="24"/>
          <w:szCs w:val="24"/>
        </w:rPr>
        <w:t xml:space="preserve">Heavy metals like lead, cadmium, and arsenic are of primary concern due to their documented toxicity to humans (Flora &amp; </w:t>
      </w:r>
      <w:r>
        <w:rPr>
          <w:rFonts w:ascii="Times New Roman" w:hAnsi="Times New Roman" w:cs="Times New Roman"/>
          <w:color w:val="222222"/>
          <w:kern w:val="2"/>
          <w:sz w:val="24"/>
          <w:szCs w:val="24"/>
          <w:shd w:val="clear" w:color="FFFFFF" w:fill="FFFFFF"/>
        </w:rPr>
        <w:t>Agrawal, 2017; Rahman &amp; Singh, 2019</w:t>
      </w:r>
      <w:r>
        <w:rPr>
          <w:rFonts w:ascii="Times New Roman" w:hAnsi="Times New Roman" w:cs="Times New Roman"/>
          <w:kern w:val="2"/>
          <w:sz w:val="24"/>
          <w:szCs w:val="24"/>
        </w:rPr>
        <w:t>). Arsenic, another potent carcinogen, is associated with cancers of the skin, lung, and bladder, alongside cardiovascular and neurological disorders (</w:t>
      </w:r>
      <w:r>
        <w:rPr>
          <w:rFonts w:ascii="Times New Roman" w:hAnsi="Times New Roman" w:cs="Times New Roman"/>
          <w:color w:val="222222"/>
          <w:kern w:val="2"/>
          <w:sz w:val="24"/>
          <w:szCs w:val="24"/>
          <w:shd w:val="clear" w:color="FFFFFF" w:fill="FFFFFF"/>
        </w:rPr>
        <w:t xml:space="preserve">Prakash &amp; Verma, 2021; Martínez-Castillo </w:t>
      </w:r>
      <w:r>
        <w:rPr>
          <w:rFonts w:ascii="Times New Roman" w:hAnsi="Times New Roman" w:cs="Times New Roman"/>
          <w:i/>
          <w:iCs/>
          <w:color w:val="222222"/>
          <w:kern w:val="2"/>
          <w:sz w:val="24"/>
          <w:szCs w:val="24"/>
          <w:shd w:val="clear" w:color="FFFFFF" w:fill="FFFFFF"/>
        </w:rPr>
        <w:t>et al</w:t>
      </w:r>
      <w:r>
        <w:rPr>
          <w:rFonts w:ascii="Times New Roman" w:hAnsi="Times New Roman" w:cs="Times New Roman"/>
          <w:color w:val="222222"/>
          <w:kern w:val="2"/>
          <w:sz w:val="24"/>
          <w:szCs w:val="24"/>
          <w:shd w:val="clear" w:color="FFFFFF" w:fill="FFFFFF"/>
        </w:rPr>
        <w:t>., 2021</w:t>
      </w:r>
      <w:r>
        <w:rPr>
          <w:rFonts w:ascii="Times New Roman" w:hAnsi="Times New Roman" w:cs="Times New Roman"/>
          <w:kern w:val="2"/>
          <w:sz w:val="24"/>
          <w:szCs w:val="24"/>
        </w:rPr>
        <w:t>). More so</w:t>
      </w:r>
      <w:r>
        <w:rPr>
          <w:rFonts w:ascii="Times New Roman" w:hAnsi="Times New Roman" w:cs="Times New Roman"/>
          <w:sz w:val="24"/>
          <w:szCs w:val="24"/>
        </w:rPr>
        <w:t xml:space="preserve">, emerging evidence suggests that WPT smoking may expose users to substantial levels of PAHs, raising concerns about the potential for adverse health consequences, particularly in young adults who may be more vulnerable to the long-term effects of exposure (Abadi </w:t>
      </w:r>
      <w:r>
        <w:rPr>
          <w:rFonts w:ascii="Times New Roman" w:hAnsi="Times New Roman" w:cs="Times New Roman"/>
          <w:i/>
          <w:iCs/>
          <w:sz w:val="24"/>
          <w:szCs w:val="24"/>
        </w:rPr>
        <w:t xml:space="preserve">et al., </w:t>
      </w:r>
      <w:r>
        <w:rPr>
          <w:rFonts w:ascii="Times New Roman" w:hAnsi="Times New Roman" w:cs="Times New Roman"/>
          <w:sz w:val="24"/>
          <w:szCs w:val="24"/>
        </w:rPr>
        <w:t>2023).</w:t>
      </w:r>
      <w:r>
        <w:rPr>
          <w:rFonts w:ascii="Times New Roman" w:hAnsi="Times New Roman" w:cs="Times New Roman"/>
          <w:kern w:val="2"/>
          <w:sz w:val="24"/>
          <w:szCs w:val="24"/>
        </w:rPr>
        <w:t xml:space="preserve"> </w:t>
      </w:r>
      <w:r>
        <w:rPr>
          <w:rFonts w:ascii="Times New Roman" w:hAnsi="Times New Roman" w:cs="Times New Roman"/>
          <w:sz w:val="24"/>
          <w:szCs w:val="24"/>
        </w:rPr>
        <w:t xml:space="preserve">Some studies have found that WPT smoke may contain even higher levels of certain carcinogens, such as PAHs, than cigarette smoke (Kim </w:t>
      </w:r>
      <w:r>
        <w:rPr>
          <w:rFonts w:ascii="Times New Roman" w:hAnsi="Times New Roman" w:cs="Times New Roman"/>
          <w:i/>
          <w:iCs/>
          <w:sz w:val="24"/>
          <w:szCs w:val="24"/>
        </w:rPr>
        <w:t>et al.,</w:t>
      </w:r>
      <w:r>
        <w:rPr>
          <w:rFonts w:ascii="Times New Roman" w:hAnsi="Times New Roman" w:cs="Times New Roman"/>
          <w:sz w:val="24"/>
          <w:szCs w:val="24"/>
        </w:rPr>
        <w:t xml:space="preserve"> 2016). These compounds have been linked to various types of cancer, including lung, bladder, and oral cancers (Bhatnagar </w:t>
      </w:r>
      <w:r>
        <w:rPr>
          <w:rFonts w:ascii="Times New Roman" w:hAnsi="Times New Roman" w:cs="Times New Roman"/>
          <w:i/>
          <w:iCs/>
          <w:sz w:val="24"/>
          <w:szCs w:val="24"/>
        </w:rPr>
        <w:t>et al.,</w:t>
      </w:r>
      <w:r>
        <w:rPr>
          <w:rFonts w:ascii="Times New Roman" w:hAnsi="Times New Roman" w:cs="Times New Roman"/>
          <w:sz w:val="24"/>
          <w:szCs w:val="24"/>
        </w:rPr>
        <w:t xml:space="preserve"> 2019).  Polycyclic aromatic hydrocarbons exhibit a wide range of adverse health effects, including genotoxicity, </w:t>
      </w:r>
      <w:r>
        <w:rPr>
          <w:rFonts w:ascii="Times New Roman" w:hAnsi="Times New Roman" w:cs="Times New Roman"/>
          <w:sz w:val="24"/>
          <w:szCs w:val="24"/>
        </w:rPr>
        <w:lastRenderedPageBreak/>
        <w:t>immunotoxicity, reproductive toxicity, and developmental toxicity (Sun</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2021; Ramesh </w:t>
      </w:r>
      <w:r>
        <w:rPr>
          <w:rFonts w:ascii="Times New Roman" w:hAnsi="Times New Roman" w:cs="Times New Roman"/>
          <w:i/>
          <w:iCs/>
          <w:sz w:val="24"/>
          <w:szCs w:val="24"/>
        </w:rPr>
        <w:t>et al.,</w:t>
      </w:r>
      <w:r>
        <w:rPr>
          <w:rFonts w:ascii="Times New Roman" w:hAnsi="Times New Roman" w:cs="Times New Roman"/>
          <w:sz w:val="24"/>
          <w:szCs w:val="24"/>
        </w:rPr>
        <w:t xml:space="preserve"> 2022). </w:t>
      </w:r>
    </w:p>
    <w:p w:rsidR="00B66E73" w:rsidRDefault="004C2859">
      <w:pPr>
        <w:spacing w:after="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1.2   Composition of water pipe tobacco</w:t>
      </w:r>
    </w:p>
    <w:p w:rsidR="00B66E73" w:rsidRDefault="004C2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pipe tobacco, commonly known as hookah tobacco or shisa is composed of finely cut tobacco, molasses or honey, glycerin, and various flavorings, creating a moist blend distinct from traditional cigarettes (Maziak, 2011). The tobacco leaves which are the primary component, providing nicotine and other alkaloids. Molasses or honey which is used as a binder and sweetener, adding to the flavor and moisture content. Glycerin helps maintain moisture and produce thick smoke while flavourings enhance the smoking experience, such as fruit, mint, or spices. Additionally, water pipe smoke contains a range of harmful chemicals, including tar, carbon monoxide, heavy metals, and carcinogenic compounds, similar to those found in cigarette smoke (Jamil </w:t>
      </w:r>
      <w:r>
        <w:rPr>
          <w:rFonts w:ascii="Times New Roman" w:hAnsi="Times New Roman" w:cs="Times New Roman"/>
          <w:i/>
          <w:iCs/>
          <w:sz w:val="24"/>
          <w:szCs w:val="24"/>
        </w:rPr>
        <w:t>et al.,</w:t>
      </w:r>
      <w:r>
        <w:rPr>
          <w:rFonts w:ascii="Times New Roman" w:hAnsi="Times New Roman" w:cs="Times New Roman"/>
          <w:sz w:val="24"/>
          <w:szCs w:val="24"/>
        </w:rPr>
        <w:t xml:space="preserve"> 2011). This tobacco is prepared by loosely packing it into a bowl, covering it with perforated foil, and heating it with charcoal, allowing smoke to pass through water before inhalation, which cools and filters it to some extent (Smith-Simone et al., 2008).  </w:t>
      </w:r>
    </w:p>
    <w:p w:rsidR="00B66E73" w:rsidRDefault="004C28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Toxicology of Water Pipe Tobacco</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toxic compounds of water pipe smoking are not well studied compared with those in cigarettes. Notably, the concentration and amount of these compounds may vary widely, based on the type of water pipe, tobacco or charcoal used. Nicotine, tar, carbon monoxide (CO), polycyclic aromatic hydrocarbons (PAH) aldehydes, furanic compounds, phenolic compounds, heterocyclic compounds, ultrafine particles and inorganic compounds such as heavy metals, have all been identified in water pipe smoke (Jamal </w:t>
      </w:r>
      <w:r>
        <w:rPr>
          <w:rFonts w:ascii="Times New Roman" w:hAnsi="Times New Roman" w:cs="Times New Roman"/>
          <w:i/>
          <w:sz w:val="24"/>
          <w:szCs w:val="24"/>
        </w:rPr>
        <w:t>et al.</w:t>
      </w:r>
      <w:r>
        <w:rPr>
          <w:rFonts w:ascii="Times New Roman" w:hAnsi="Times New Roman" w:cs="Times New Roman"/>
          <w:sz w:val="24"/>
          <w:szCs w:val="24"/>
        </w:rPr>
        <w:t>, 2011).</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Health Effects of Water Pipe Tobacco Smoke on The Liver</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Water pipe tobacco, also known as hookah or shisha, can significantly harm the liver due to the high levels of toxic substances such as nicotine, carbon monoxide, heavy metals, and carcinogens present in the smoke. These toxins increase oxidative stress and cause cellular damage and inflammation in the liver, which can lead to conditions like fatty liver disease, liver fibrosis, and even liver cancer (Patel </w:t>
      </w:r>
      <w:r>
        <w:rPr>
          <w:rFonts w:ascii="Times New Roman" w:hAnsi="Times New Roman" w:cs="Times New Roman"/>
          <w:i/>
          <w:iCs/>
          <w:sz w:val="24"/>
          <w:szCs w:val="24"/>
        </w:rPr>
        <w:t>et al</w:t>
      </w:r>
      <w:r>
        <w:rPr>
          <w:rFonts w:ascii="Times New Roman" w:hAnsi="Times New Roman" w:cs="Times New Roman"/>
          <w:sz w:val="24"/>
          <w:szCs w:val="24"/>
        </w:rPr>
        <w:t>., 2019). Chronic inflammation from prolonged exposure can promote fibrosis, impeding liver function, and nicotine can adversely affect lipid metabolism, exacerbating non-alcoholic fatty liver disease (NAFLD).</w:t>
      </w:r>
    </w:p>
    <w:p w:rsidR="00B66E73" w:rsidRDefault="00B66E73">
      <w:pPr>
        <w:spacing w:after="0" w:line="360" w:lineRule="auto"/>
        <w:jc w:val="both"/>
        <w:rPr>
          <w:rFonts w:ascii="Times New Roman" w:hAnsi="Times New Roman" w:cs="Times New Roman"/>
          <w:b/>
          <w:bCs/>
          <w:sz w:val="24"/>
          <w:szCs w:val="24"/>
        </w:rPr>
      </w:pPr>
    </w:p>
    <w:p w:rsidR="00B66E73" w:rsidRDefault="00B66E73">
      <w:pPr>
        <w:spacing w:after="0" w:line="360" w:lineRule="auto"/>
        <w:jc w:val="both"/>
        <w:rPr>
          <w:rFonts w:ascii="Times New Roman" w:hAnsi="Times New Roman" w:cs="Times New Roman"/>
          <w:b/>
          <w:bCs/>
          <w:sz w:val="24"/>
          <w:szCs w:val="24"/>
        </w:rPr>
      </w:pP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Health Effects of Water Pipe Tobacco smoke on The Kidney</w:t>
      </w:r>
    </w:p>
    <w:p w:rsidR="00B66E73" w:rsidRDefault="004C2859">
      <w:pPr>
        <w:spacing w:after="0" w:line="360" w:lineRule="auto"/>
        <w:jc w:val="both"/>
        <w:rPr>
          <w:rFonts w:ascii="Times New Roman" w:eastAsia="SimSun" w:hAnsi="Times New Roman" w:cs="Times New Roman"/>
          <w:b/>
          <w:bCs/>
          <w:sz w:val="24"/>
          <w:szCs w:val="24"/>
        </w:rPr>
      </w:pPr>
      <w:r>
        <w:rPr>
          <w:rFonts w:ascii="Times New Roman" w:hAnsi="Times New Roman" w:cs="Times New Roman"/>
          <w:sz w:val="24"/>
          <w:szCs w:val="24"/>
        </w:rPr>
        <w:lastRenderedPageBreak/>
        <w:t xml:space="preserve">The increasing worldwide prevalence of chronic kidney disease (CKD) and the growth in the number of patients reaching end-stage kidney disease have prompted nephrologists to identify factors that increase the risk of renal disease. In recent years it has become clear that water pipe tobacco smoking is an important independent risk factor for CKD and that it has deleterious effects on renal function (Hallan and Orth, 2011). Smoking is a significant risk factor for renal cancer, particularly renal cell carcinomas. There is a higher mortality rate in heavy smokers and a reduced rate of disease in those who have quit for a period of years; suggesting that cancer progression may be more aggressive in smokers (Tsivian </w:t>
      </w:r>
      <w:r>
        <w:rPr>
          <w:rFonts w:ascii="Times New Roman" w:hAnsi="Times New Roman" w:cs="Times New Roman"/>
          <w:i/>
          <w:iCs/>
          <w:sz w:val="24"/>
          <w:szCs w:val="24"/>
        </w:rPr>
        <w:t>et al.,</w:t>
      </w:r>
      <w:r>
        <w:rPr>
          <w:rFonts w:ascii="Times New Roman" w:hAnsi="Times New Roman" w:cs="Times New Roman"/>
          <w:sz w:val="24"/>
          <w:szCs w:val="24"/>
        </w:rPr>
        <w:t xml:space="preserve"> 2011). </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1.6 Inhalation Chamber/Smoking Device</w:t>
      </w:r>
    </w:p>
    <w:p w:rsidR="00B66E73" w:rsidRDefault="004C2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inhalation chamber/ smoking device was designed with a special smoking description suitable for the exposure of rats to waterpipe-tobacco smoke. The setup is composed of the following components; (1) Water pipe tobacco pot. (</w:t>
      </w:r>
      <w:proofErr w:type="gramStart"/>
      <w:r>
        <w:rPr>
          <w:rFonts w:ascii="Times New Roman" w:hAnsi="Times New Roman" w:cs="Times New Roman"/>
          <w:sz w:val="24"/>
          <w:szCs w:val="24"/>
        </w:rPr>
        <w:t>2)An</w:t>
      </w:r>
      <w:proofErr w:type="gramEnd"/>
      <w:r>
        <w:rPr>
          <w:rFonts w:ascii="Times New Roman" w:hAnsi="Times New Roman" w:cs="Times New Roman"/>
          <w:sz w:val="24"/>
          <w:szCs w:val="24"/>
        </w:rPr>
        <w:t xml:space="preserve"> inhalation chamber made of glass about the size that can accommodate up to 8 rats.  (3) A vacuum pump provided by the department of Chemistry Rivers State University used to pump smoke to the inhalation chamber (4) Connector hose. The whole set up is illustrated in Figure 1.</w:t>
      </w:r>
    </w:p>
    <w:p w:rsidR="00B66E73" w:rsidRDefault="00BC2F28">
      <w:pPr>
        <w:spacing w:after="0" w:line="360" w:lineRule="auto"/>
        <w:jc w:val="both"/>
        <w:rPr>
          <w:rFonts w:ascii="Times New Roman" w:hAnsi="Times New Roman" w:cs="Times New Roman"/>
          <w:sz w:val="24"/>
          <w:szCs w:val="24"/>
        </w:rPr>
      </w:pPr>
      <w:r>
        <w:rPr>
          <w:noProof/>
        </w:rPr>
        <w:drawing>
          <wp:anchor distT="0" distB="0" distL="0" distR="0" simplePos="0" relativeHeight="2" behindDoc="0" locked="0" layoutInCell="1" allowOverlap="1">
            <wp:simplePos x="0" y="0"/>
            <wp:positionH relativeFrom="page">
              <wp:posOffset>1239520</wp:posOffset>
            </wp:positionH>
            <wp:positionV relativeFrom="page">
              <wp:posOffset>3954145</wp:posOffset>
            </wp:positionV>
            <wp:extent cx="3352796" cy="3124200"/>
            <wp:effectExtent l="0" t="0" r="0" b="0"/>
            <wp:wrapNone/>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8" cstate="print"/>
                    <a:srcRect/>
                    <a:stretch/>
                  </pic:blipFill>
                  <pic:spPr>
                    <a:xfrm>
                      <a:off x="0" y="0"/>
                      <a:ext cx="3352796" cy="3124200"/>
                    </a:xfrm>
                    <a:prstGeom prst="rect">
                      <a:avLst/>
                    </a:prstGeom>
                    <a:ln>
                      <a:noFill/>
                    </a:ln>
                  </pic:spPr>
                </pic:pic>
              </a:graphicData>
            </a:graphic>
          </wp:anchor>
        </w:drawing>
      </w: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jc w:val="center"/>
        <w:rPr>
          <w:rFonts w:ascii="Times New Roman" w:hAnsi="Times New Roman" w:cs="Times New Roman"/>
          <w:b/>
          <w:bCs/>
          <w:sz w:val="24"/>
          <w:szCs w:val="24"/>
        </w:rPr>
      </w:pPr>
    </w:p>
    <w:p w:rsidR="00B66E73" w:rsidRDefault="00B66E73">
      <w:pPr>
        <w:spacing w:after="0" w:line="360" w:lineRule="auto"/>
        <w:rPr>
          <w:rFonts w:ascii="Times New Roman" w:hAnsi="Times New Roman" w:cs="Times New Roman"/>
          <w:b/>
          <w:bCs/>
          <w:sz w:val="24"/>
          <w:szCs w:val="24"/>
        </w:rPr>
      </w:pPr>
    </w:p>
    <w:p w:rsidR="00B66E73" w:rsidRDefault="00B66E73">
      <w:pPr>
        <w:spacing w:after="0" w:line="360" w:lineRule="auto"/>
        <w:rPr>
          <w:rFonts w:ascii="Times New Roman" w:hAnsi="Times New Roman" w:cs="Times New Roman"/>
          <w:b/>
          <w:bCs/>
          <w:sz w:val="24"/>
          <w:szCs w:val="24"/>
        </w:rPr>
      </w:pPr>
    </w:p>
    <w:p w:rsidR="00B66E73" w:rsidRDefault="00B66E73">
      <w:pPr>
        <w:spacing w:after="0" w:line="360" w:lineRule="auto"/>
        <w:rPr>
          <w:rFonts w:ascii="Times New Roman" w:hAnsi="Times New Roman" w:cs="Times New Roman"/>
          <w:b/>
          <w:bCs/>
          <w:sz w:val="24"/>
          <w:szCs w:val="24"/>
        </w:rPr>
      </w:pPr>
    </w:p>
    <w:p w:rsidR="00B66E73" w:rsidRDefault="00B66E73">
      <w:pPr>
        <w:spacing w:after="0" w:line="360" w:lineRule="auto"/>
        <w:rPr>
          <w:rFonts w:ascii="Times New Roman" w:hAnsi="Times New Roman" w:cs="Times New Roman"/>
          <w:b/>
          <w:bCs/>
          <w:sz w:val="24"/>
          <w:szCs w:val="24"/>
        </w:rPr>
      </w:pPr>
    </w:p>
    <w:p w:rsidR="00B66E73" w:rsidRDefault="00B66E73">
      <w:pPr>
        <w:spacing w:after="0" w:line="360" w:lineRule="auto"/>
        <w:rPr>
          <w:rFonts w:ascii="Times New Roman" w:hAnsi="Times New Roman" w:cs="Times New Roman"/>
          <w:b/>
          <w:bCs/>
          <w:sz w:val="24"/>
          <w:szCs w:val="24"/>
        </w:rPr>
      </w:pPr>
    </w:p>
    <w:p w:rsidR="00B66E73" w:rsidRDefault="004C2859">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Fig 1: Experimental set up of the Improvised glass inhalation chamber used to expose the Rats to Water pipe tobacco smoke.</w:t>
      </w:r>
    </w:p>
    <w:p w:rsidR="00B66E73" w:rsidRDefault="00B66E73">
      <w:pPr>
        <w:spacing w:line="360" w:lineRule="auto"/>
        <w:rPr>
          <w:rFonts w:ascii="Times New Roman" w:hAnsi="Times New Roman" w:cs="Times New Roman"/>
          <w:sz w:val="24"/>
          <w:szCs w:val="24"/>
        </w:rPr>
      </w:pPr>
    </w:p>
    <w:p w:rsidR="00B66E73" w:rsidRDefault="00B66E73">
      <w:pPr>
        <w:spacing w:line="360" w:lineRule="auto"/>
        <w:rPr>
          <w:rFonts w:ascii="Times New Roman" w:hAnsi="Times New Roman" w:cs="Times New Roman"/>
          <w:sz w:val="24"/>
          <w:szCs w:val="24"/>
        </w:rPr>
      </w:pPr>
    </w:p>
    <w:p w:rsidR="00B66E73" w:rsidRDefault="004C2859">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1.7 </w:t>
      </w:r>
      <w:r>
        <w:rPr>
          <w:rFonts w:ascii="Times New Roman" w:hAnsi="Times New Roman" w:cs="Times New Roman"/>
          <w:b/>
          <w:sz w:val="24"/>
          <w:szCs w:val="24"/>
        </w:rPr>
        <w:t>Research</w:t>
      </w:r>
      <w:r>
        <w:rPr>
          <w:rFonts w:ascii="Times New Roman" w:hAnsi="Times New Roman" w:cs="Times New Roman"/>
          <w:b/>
          <w:bCs/>
          <w:sz w:val="24"/>
          <w:szCs w:val="24"/>
        </w:rPr>
        <w:t xml:space="preserve"> Design</w:t>
      </w:r>
    </w:p>
    <w:p w:rsidR="00B66E73" w:rsidRDefault="004C2859">
      <w:pPr>
        <w:spacing w:line="360" w:lineRule="auto"/>
        <w:rPr>
          <w:rFonts w:ascii="Times New Roman" w:hAnsi="Times New Roman" w:cs="Times New Roman"/>
          <w:b/>
          <w:bCs/>
          <w:sz w:val="24"/>
          <w:szCs w:val="24"/>
        </w:rPr>
      </w:pPr>
      <w:r>
        <w:rPr>
          <w:rFonts w:ascii="Times New Roman" w:hAnsi="Times New Roman" w:cs="Times New Roman"/>
          <w:sz w:val="24"/>
          <w:szCs w:val="24"/>
        </w:rPr>
        <w:t>This study evaluated waterpipe tobacco smoke–induced renal and hepatic toxicity and associated heavy metal and polycyclic aromatic hydrocarbon levels in female albino rats.</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t>Exposure protocol</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Fifteen (15) female albino rats weighing between 100-150g used for the experiment were obtained from the animal house of Physiology Department, College of Medical Sciences, Rivers State University. The animals were randomized into three groups of five animals each. Group 1 served as the control, which were rats not exposed to shisha smoke. Group 2 animals were to exposed to shisha smoke for 30 seconds per cycle and allowed to take fresh air for 30 seconds while group 3 was exposed to shisha smoke for 50 seconds and also allowed to take fresh air for 30 seconds in between time via an opening in the chamber that expels smoke, thereafter the exposure process was repeated continuously for a cycle of 15 minutes per day. Exposures of animals to water pipe tobacco smoke were conducted in an enclosed improvised inhalation chamber coupled to a shisha pot and vacuum pump to generate smoke. The experiment lasted for 13 days and the animals were sacrificed prior to laboratory analysis. </w:t>
      </w:r>
    </w:p>
    <w:p w:rsidR="00B66E73" w:rsidRDefault="004C2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 Sample collection</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Blood samples were collected from the experimental animals and samples centrifuged at 3500rpm for 5 minutes and the serum separated transferred into plain sample bottles for the various biochemical assay. The serum was used to determine renal and hepatic biomarkers, heavy metals as well as polycyclic aromatic hydrocarbons.</w:t>
      </w:r>
    </w:p>
    <w:p w:rsidR="00B66E73" w:rsidRDefault="004C2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2.0 Laboratory procedures</w:t>
      </w:r>
    </w:p>
    <w:p w:rsidR="00B66E73" w:rsidRDefault="004C2859">
      <w:pPr>
        <w:spacing w:after="0" w:line="360" w:lineRule="auto"/>
        <w:rPr>
          <w:rFonts w:ascii="Times New Roman" w:hAnsi="Times New Roman" w:cs="Times New Roman"/>
          <w:b/>
          <w:sz w:val="24"/>
          <w:szCs w:val="24"/>
          <w:lang w:val="en-IN"/>
        </w:rPr>
      </w:pPr>
      <w:r>
        <w:rPr>
          <w:rFonts w:ascii="Times New Roman" w:hAnsi="Times New Roman" w:cs="Times New Roman"/>
          <w:b/>
          <w:sz w:val="24"/>
          <w:szCs w:val="24"/>
        </w:rPr>
        <w:t xml:space="preserve">2.1 </w:t>
      </w:r>
      <w:r>
        <w:rPr>
          <w:rFonts w:ascii="Times New Roman" w:hAnsi="Times New Roman" w:cs="Times New Roman"/>
          <w:b/>
          <w:sz w:val="24"/>
          <w:szCs w:val="24"/>
          <w:lang w:val="en-IN"/>
        </w:rPr>
        <w:t>Hepatic Biomarkers Assay</w:t>
      </w:r>
    </w:p>
    <w:p w:rsidR="00B66E73" w:rsidRDefault="004C285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AST and ALT were determined using Reitman and Frankel method while ALP was determined according to the method of Kochmar, J.F and moss, D.W.</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Bilirubin was determined according to the method of </w:t>
      </w:r>
      <w:r>
        <w:rPr>
          <w:rFonts w:ascii="Times New Roman" w:hAnsi="Times New Roman" w:cs="Times New Roman"/>
          <w:sz w:val="24"/>
          <w:szCs w:val="24"/>
        </w:rPr>
        <w:t xml:space="preserve">Jendrasik and Grof. </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Total Protein was carried out using </w:t>
      </w:r>
      <w:r>
        <w:rPr>
          <w:rFonts w:ascii="Times New Roman" w:hAnsi="Times New Roman" w:cs="Times New Roman"/>
          <w:sz w:val="24"/>
          <w:szCs w:val="24"/>
        </w:rPr>
        <w:t xml:space="preserve">biuret method and </w:t>
      </w:r>
      <w:r>
        <w:rPr>
          <w:rFonts w:ascii="Times New Roman" w:hAnsi="Times New Roman" w:cs="Times New Roman"/>
          <w:bCs/>
          <w:sz w:val="24"/>
          <w:szCs w:val="24"/>
        </w:rPr>
        <w:t>albumin</w:t>
      </w:r>
      <w:r>
        <w:rPr>
          <w:rFonts w:ascii="Times New Roman" w:hAnsi="Times New Roman" w:cs="Times New Roman"/>
          <w:sz w:val="24"/>
          <w:szCs w:val="24"/>
        </w:rPr>
        <w:t xml:space="preserve"> assayed according to Bromocresol Green (BCG) method.</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Renal Assay</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Creatinine</w:t>
      </w:r>
      <w:r>
        <w:rPr>
          <w:rFonts w:ascii="Times New Roman" w:hAnsi="Times New Roman" w:cs="Times New Roman"/>
          <w:sz w:val="24"/>
          <w:szCs w:val="24"/>
        </w:rPr>
        <w:t xml:space="preserve"> and </w:t>
      </w:r>
      <w:r>
        <w:rPr>
          <w:rFonts w:ascii="Times New Roman" w:hAnsi="Times New Roman" w:cs="Times New Roman"/>
          <w:bCs/>
          <w:sz w:val="24"/>
          <w:szCs w:val="24"/>
        </w:rPr>
        <w:t>Urea were assayed using biochemical auto-analyzer while electrolytes were determined using ion selective electrode (ISE) method.</w:t>
      </w:r>
    </w:p>
    <w:p w:rsidR="00B66E73" w:rsidRDefault="004C285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 Oxidative Biomakers Assay</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Malondialdehyde (MDA) was assayed using </w:t>
      </w:r>
      <w:r>
        <w:rPr>
          <w:rFonts w:ascii="Times New Roman" w:hAnsi="Times New Roman" w:cs="Times New Roman"/>
          <w:sz w:val="24"/>
          <w:szCs w:val="24"/>
        </w:rPr>
        <w:t xml:space="preserve">Ohkawa and Ohishi method while </w:t>
      </w:r>
      <w:r>
        <w:rPr>
          <w:rFonts w:ascii="Times New Roman" w:hAnsi="Times New Roman" w:cs="Times New Roman"/>
          <w:bCs/>
          <w:sz w:val="24"/>
          <w:szCs w:val="24"/>
        </w:rPr>
        <w:t>superoxide dismutase (SOD) was assayed using</w:t>
      </w:r>
      <w:r>
        <w:rPr>
          <w:rFonts w:ascii="Times New Roman" w:hAnsi="Times New Roman" w:cs="Times New Roman"/>
          <w:sz w:val="24"/>
          <w:szCs w:val="24"/>
        </w:rPr>
        <w:t xml:space="preserve"> Misra and Fridovich method.</w:t>
      </w:r>
    </w:p>
    <w:p w:rsidR="00B66E73" w:rsidRDefault="004C2859">
      <w:pPr>
        <w:pStyle w:val="Heading3"/>
        <w:spacing w:line="360" w:lineRule="auto"/>
        <w:jc w:val="both"/>
        <w:rPr>
          <w:rFonts w:ascii="Times New Roman" w:hAnsi="Times New Roman" w:cs="Times New Roman"/>
          <w:b/>
          <w:color w:val="auto"/>
        </w:rPr>
      </w:pPr>
      <w:r>
        <w:rPr>
          <w:rFonts w:ascii="Times New Roman" w:hAnsi="Times New Roman" w:cs="Times New Roman"/>
          <w:b/>
          <w:color w:val="auto"/>
        </w:rPr>
        <w:lastRenderedPageBreak/>
        <w:t>2.4 Heavy Metal Analysis</w:t>
      </w:r>
    </w:p>
    <w:p w:rsidR="00B66E73" w:rsidRDefault="004C2859">
      <w:pPr>
        <w:tabs>
          <w:tab w:val="left" w:pos="0"/>
        </w:tabs>
        <w:spacing w:after="0" w:line="360" w:lineRule="auto"/>
        <w:jc w:val="both"/>
        <w:rPr>
          <w:rFonts w:ascii="Times New Roman" w:hAnsi="Times New Roman" w:cs="Times New Roman"/>
          <w:bCs/>
        </w:rPr>
      </w:pPr>
      <w:r>
        <w:rPr>
          <w:rFonts w:ascii="Times New Roman" w:hAnsi="Times New Roman" w:cs="Times New Roman"/>
          <w:bCs/>
        </w:rPr>
        <w:t>The heavy metals were determined using atomic absorption spectroscopy (AAS)</w:t>
      </w:r>
    </w:p>
    <w:p w:rsidR="00B66E73" w:rsidRDefault="004C2859">
      <w:pPr>
        <w:pStyle w:val="Heading3"/>
        <w:spacing w:line="360" w:lineRule="auto"/>
        <w:jc w:val="both"/>
        <w:rPr>
          <w:rFonts w:ascii="Times New Roman" w:hAnsi="Times New Roman" w:cs="Times New Roman"/>
          <w:b/>
          <w:bCs/>
          <w:color w:val="auto"/>
        </w:rPr>
      </w:pPr>
      <w:bookmarkStart w:id="1" w:name="_Toc180426742"/>
      <w:r>
        <w:rPr>
          <w:rFonts w:ascii="Times New Roman" w:hAnsi="Times New Roman" w:cs="Times New Roman"/>
          <w:b/>
          <w:color w:val="auto"/>
        </w:rPr>
        <w:t>2.5 Sample</w:t>
      </w:r>
      <w:r>
        <w:rPr>
          <w:rFonts w:ascii="Times New Roman" w:hAnsi="Times New Roman" w:cs="Times New Roman"/>
          <w:b/>
          <w:bCs/>
          <w:color w:val="auto"/>
        </w:rPr>
        <w:t xml:space="preserve"> </w:t>
      </w:r>
      <w:bookmarkEnd w:id="1"/>
      <w:r>
        <w:rPr>
          <w:rFonts w:ascii="Times New Roman" w:hAnsi="Times New Roman" w:cs="Times New Roman"/>
          <w:b/>
          <w:bCs/>
          <w:color w:val="auto"/>
        </w:rPr>
        <w:t>digestion for Heavy metals Analysis</w:t>
      </w:r>
    </w:p>
    <w:p w:rsidR="00B66E73" w:rsidRDefault="004C2859">
      <w:pPr>
        <w:tabs>
          <w:tab w:val="left" w:pos="0"/>
        </w:tabs>
        <w:spacing w:line="360" w:lineRule="auto"/>
        <w:jc w:val="both"/>
        <w:rPr>
          <w:rFonts w:ascii="Times New Roman" w:hAnsi="Times New Roman" w:cs="Times New Roman"/>
          <w:bCs/>
        </w:rPr>
      </w:pPr>
      <w:r>
        <w:rPr>
          <w:rFonts w:ascii="Times New Roman" w:hAnsi="Times New Roman" w:cs="Times New Roman"/>
          <w:bCs/>
        </w:rPr>
        <w:t>The serum samples were diluted 1:10 with distilled water and 1% HNO3 and 0.1% HCl were added for digestion.</w:t>
      </w:r>
    </w:p>
    <w:p w:rsidR="00B66E73" w:rsidRDefault="004C2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2.6 Statistical analysis</w:t>
      </w:r>
    </w:p>
    <w:p w:rsidR="00B66E73" w:rsidRDefault="004C2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from the study were subjected to statistical analysis of variance (ANOVA) using statistical package for social science (SPSS) version 27. The results were expressed as mean </w:t>
      </w:r>
      <w:r>
        <w:rPr>
          <w:rFonts w:ascii="Times New Roman" w:hAnsi="Times New Roman" w:cs="Times New Roman"/>
          <w:sz w:val="24"/>
          <w:szCs w:val="24"/>
          <w:u w:val="single"/>
        </w:rPr>
        <w:t>+</w:t>
      </w:r>
      <w:r>
        <w:rPr>
          <w:rFonts w:ascii="Times New Roman" w:hAnsi="Times New Roman" w:cs="Times New Roman"/>
          <w:sz w:val="24"/>
          <w:szCs w:val="24"/>
        </w:rPr>
        <w:t xml:space="preserve"> standard deviation. Comparison of the various mean was done using one –way ANOVA and mean values considered statistically significant at p</w:t>
      </w:r>
      <w:r>
        <w:rPr>
          <w:rFonts w:ascii="Times New Roman" w:hAnsi="Times New Roman" w:cs="Times New Roman"/>
          <w:sz w:val="24"/>
          <w:szCs w:val="24"/>
          <w:u w:val="single"/>
        </w:rPr>
        <w:t>&lt;</w:t>
      </w:r>
      <w:r>
        <w:rPr>
          <w:rFonts w:ascii="Times New Roman" w:hAnsi="Times New Roman" w:cs="Times New Roman"/>
          <w:sz w:val="24"/>
          <w:szCs w:val="24"/>
        </w:rPr>
        <w:t xml:space="preserve"> 0.05.</w:t>
      </w:r>
    </w:p>
    <w:p w:rsidR="00B66E73" w:rsidRDefault="004C2859">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2.7  Results</w:t>
      </w:r>
      <w:proofErr w:type="gramEnd"/>
      <w:r w:rsidR="00AF3E8A">
        <w:rPr>
          <w:rFonts w:ascii="Times New Roman" w:hAnsi="Times New Roman" w:cs="Times New Roman"/>
          <w:b/>
          <w:sz w:val="24"/>
          <w:szCs w:val="24"/>
        </w:rPr>
        <w:t xml:space="preserve"> and </w:t>
      </w:r>
      <w:r w:rsidR="00AF3E8A" w:rsidRPr="00AF3E8A">
        <w:rPr>
          <w:rFonts w:ascii="Times New Roman" w:hAnsi="Times New Roman" w:cs="Times New Roman"/>
          <w:b/>
          <w:sz w:val="24"/>
          <w:szCs w:val="24"/>
        </w:rPr>
        <w:t>Discussion</w:t>
      </w:r>
    </w:p>
    <w:p w:rsidR="00B66E73" w:rsidRDefault="004C285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Effect of Water Pipe Tobacco Smoke on the Renal markers in Female Albino Rats </w:t>
      </w:r>
    </w:p>
    <w:tbl>
      <w:tblPr>
        <w:tblW w:w="10719" w:type="dxa"/>
        <w:tblInd w:w="-567"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843"/>
        <w:gridCol w:w="1234"/>
        <w:gridCol w:w="1585"/>
        <w:gridCol w:w="1328"/>
        <w:gridCol w:w="1592"/>
        <w:gridCol w:w="1585"/>
        <w:gridCol w:w="1552"/>
      </w:tblGrid>
      <w:tr w:rsidR="00B66E73">
        <w:trPr>
          <w:trHeight w:val="801"/>
        </w:trPr>
        <w:tc>
          <w:tcPr>
            <w:tcW w:w="1843" w:type="dxa"/>
            <w:tcBorders>
              <w:top w:val="single" w:sz="4" w:space="0" w:color="auto"/>
              <w:bottom w:val="single" w:sz="4" w:space="0" w:color="auto"/>
            </w:tcBorders>
          </w:tcPr>
          <w:p w:rsidR="00B66E73" w:rsidRDefault="004C2859">
            <w:pPr>
              <w:widowControl w:val="0"/>
              <w:autoSpaceDE w:val="0"/>
              <w:autoSpaceDN w:val="0"/>
              <w:spacing w:before="29" w:after="0" w:line="240" w:lineRule="auto"/>
              <w:ind w:left="104"/>
              <w:rPr>
                <w:rFonts w:ascii="Times New Roman" w:eastAsia="Times New Roman" w:hAnsi="Times New Roman" w:cs="Times New Roman"/>
                <w:b/>
                <w:bCs/>
                <w:sz w:val="24"/>
              </w:rPr>
            </w:pPr>
            <w:r>
              <w:rPr>
                <w:rFonts w:ascii="Times New Roman" w:eastAsia="Times New Roman" w:hAnsi="Times New Roman" w:cs="Times New Roman"/>
                <w:b/>
                <w:bCs/>
                <w:sz w:val="24"/>
              </w:rPr>
              <w:t>PARAMETERS</w:t>
            </w:r>
          </w:p>
        </w:tc>
        <w:tc>
          <w:tcPr>
            <w:tcW w:w="1234" w:type="dxa"/>
            <w:tcBorders>
              <w:top w:val="single" w:sz="4" w:space="0" w:color="auto"/>
              <w:bottom w:val="single" w:sz="4" w:space="0" w:color="auto"/>
            </w:tcBorders>
          </w:tcPr>
          <w:p w:rsidR="00B66E73" w:rsidRDefault="004C2859">
            <w:pPr>
              <w:widowControl w:val="0"/>
              <w:autoSpaceDE w:val="0"/>
              <w:autoSpaceDN w:val="0"/>
              <w:spacing w:before="29" w:after="0" w:line="240" w:lineRule="auto"/>
              <w:ind w:left="203"/>
              <w:rPr>
                <w:rFonts w:ascii="Times New Roman" w:eastAsia="Times New Roman" w:hAnsi="Times New Roman" w:cs="Times New Roman"/>
                <w:b/>
                <w:bCs/>
                <w:sz w:val="24"/>
              </w:rPr>
            </w:pPr>
            <w:r>
              <w:rPr>
                <w:rFonts w:ascii="Times New Roman" w:eastAsia="Times New Roman" w:hAnsi="Times New Roman" w:cs="Times New Roman"/>
                <w:b/>
                <w:bCs/>
                <w:sz w:val="24"/>
              </w:rPr>
              <w:t>Urea</w:t>
            </w:r>
          </w:p>
          <w:p w:rsidR="00B66E73" w:rsidRDefault="00B66E73">
            <w:pPr>
              <w:widowControl w:val="0"/>
              <w:autoSpaceDE w:val="0"/>
              <w:autoSpaceDN w:val="0"/>
              <w:spacing w:after="0" w:line="240" w:lineRule="auto"/>
              <w:rPr>
                <w:rFonts w:ascii="Times New Roman" w:eastAsia="Times New Roman" w:hAnsi="Times New Roman" w:cs="Times New Roman"/>
                <w:b/>
                <w:bCs/>
                <w:sz w:val="24"/>
              </w:rPr>
            </w:pPr>
          </w:p>
          <w:p w:rsidR="00B66E73" w:rsidRDefault="004C2859">
            <w:pPr>
              <w:widowControl w:val="0"/>
              <w:autoSpaceDE w:val="0"/>
              <w:autoSpaceDN w:val="0"/>
              <w:spacing w:after="0" w:line="240" w:lineRule="auto"/>
              <w:ind w:left="203"/>
              <w:rPr>
                <w:rFonts w:ascii="Times New Roman" w:eastAsia="Times New Roman" w:hAnsi="Times New Roman" w:cs="Times New Roman"/>
                <w:b/>
                <w:bCs/>
                <w:sz w:val="24"/>
              </w:rPr>
            </w:pPr>
            <w:r>
              <w:rPr>
                <w:rFonts w:ascii="Times New Roman" w:eastAsia="Times New Roman" w:hAnsi="Times New Roman" w:cs="Times New Roman"/>
                <w:b/>
                <w:bCs/>
                <w:sz w:val="24"/>
              </w:rPr>
              <w:t>mmol/l</w:t>
            </w:r>
          </w:p>
        </w:tc>
        <w:tc>
          <w:tcPr>
            <w:tcW w:w="1585" w:type="dxa"/>
            <w:tcBorders>
              <w:top w:val="single" w:sz="4" w:space="0" w:color="auto"/>
              <w:bottom w:val="single" w:sz="4" w:space="0" w:color="auto"/>
            </w:tcBorders>
          </w:tcPr>
          <w:p w:rsidR="00B66E73" w:rsidRDefault="004C2859">
            <w:pPr>
              <w:widowControl w:val="0"/>
              <w:autoSpaceDE w:val="0"/>
              <w:autoSpaceDN w:val="0"/>
              <w:spacing w:before="29" w:after="0" w:line="240" w:lineRule="auto"/>
              <w:ind w:left="111"/>
              <w:rPr>
                <w:rFonts w:ascii="Times New Roman" w:eastAsia="Times New Roman" w:hAnsi="Times New Roman" w:cs="Times New Roman"/>
                <w:b/>
                <w:bCs/>
                <w:sz w:val="24"/>
              </w:rPr>
            </w:pPr>
            <w:r>
              <w:rPr>
                <w:rFonts w:ascii="Times New Roman" w:eastAsia="Times New Roman" w:hAnsi="Times New Roman" w:cs="Times New Roman"/>
                <w:b/>
                <w:bCs/>
                <w:sz w:val="24"/>
              </w:rPr>
              <w:t>Creatinine</w:t>
            </w:r>
          </w:p>
          <w:p w:rsidR="00B66E73" w:rsidRDefault="00B66E73">
            <w:pPr>
              <w:widowControl w:val="0"/>
              <w:autoSpaceDE w:val="0"/>
              <w:autoSpaceDN w:val="0"/>
              <w:spacing w:after="0" w:line="240" w:lineRule="auto"/>
              <w:rPr>
                <w:rFonts w:ascii="Times New Roman" w:eastAsia="Times New Roman" w:hAnsi="Times New Roman" w:cs="Times New Roman"/>
                <w:b/>
                <w:bCs/>
                <w:sz w:val="24"/>
              </w:rPr>
            </w:pPr>
          </w:p>
          <w:p w:rsidR="00B66E73" w:rsidRDefault="004C2859">
            <w:pPr>
              <w:widowControl w:val="0"/>
              <w:autoSpaceDE w:val="0"/>
              <w:autoSpaceDN w:val="0"/>
              <w:spacing w:after="0" w:line="240" w:lineRule="auto"/>
              <w:ind w:left="111"/>
              <w:rPr>
                <w:rFonts w:ascii="Times New Roman" w:eastAsia="Times New Roman" w:hAnsi="Times New Roman" w:cs="Times New Roman"/>
                <w:b/>
                <w:bCs/>
                <w:sz w:val="24"/>
              </w:rPr>
            </w:pPr>
            <w:r>
              <w:rPr>
                <w:rFonts w:ascii="Times New Roman" w:eastAsia="Times New Roman" w:hAnsi="Times New Roman" w:cs="Times New Roman"/>
                <w:b/>
                <w:bCs/>
                <w:sz w:val="24"/>
              </w:rPr>
              <w:t>mmol/l</w:t>
            </w:r>
          </w:p>
        </w:tc>
        <w:tc>
          <w:tcPr>
            <w:tcW w:w="1328" w:type="dxa"/>
            <w:tcBorders>
              <w:top w:val="single" w:sz="4" w:space="0" w:color="auto"/>
              <w:bottom w:val="single" w:sz="4" w:space="0" w:color="auto"/>
            </w:tcBorders>
          </w:tcPr>
          <w:p w:rsidR="00B66E73" w:rsidRDefault="004C2859">
            <w:pPr>
              <w:widowControl w:val="0"/>
              <w:autoSpaceDE w:val="0"/>
              <w:autoSpaceDN w:val="0"/>
              <w:spacing w:before="35" w:after="0" w:line="151" w:lineRule="auto"/>
              <w:ind w:left="107"/>
              <w:rPr>
                <w:rFonts w:ascii="Times New Roman" w:eastAsia="Times New Roman" w:hAnsi="Times New Roman" w:cs="Times New Roman"/>
                <w:b/>
                <w:bCs/>
                <w:sz w:val="16"/>
              </w:rPr>
            </w:pPr>
            <w:r>
              <w:rPr>
                <w:rFonts w:ascii="Times New Roman" w:eastAsia="Times New Roman" w:hAnsi="Times New Roman" w:cs="Times New Roman"/>
                <w:b/>
                <w:bCs/>
                <w:position w:val="-10"/>
                <w:sz w:val="24"/>
              </w:rPr>
              <w:t>K</w:t>
            </w:r>
            <w:r>
              <w:rPr>
                <w:rFonts w:ascii="Times New Roman" w:eastAsia="Times New Roman" w:hAnsi="Times New Roman" w:cs="Times New Roman"/>
                <w:b/>
                <w:bCs/>
                <w:sz w:val="16"/>
              </w:rPr>
              <w:t>+</w:t>
            </w:r>
          </w:p>
          <w:p w:rsidR="00B66E73" w:rsidRDefault="00B66E73">
            <w:pPr>
              <w:widowControl w:val="0"/>
              <w:autoSpaceDE w:val="0"/>
              <w:autoSpaceDN w:val="0"/>
              <w:spacing w:before="1" w:after="0" w:line="240" w:lineRule="auto"/>
              <w:rPr>
                <w:rFonts w:ascii="Times New Roman" w:eastAsia="Times New Roman" w:hAnsi="Times New Roman" w:cs="Times New Roman"/>
                <w:b/>
                <w:bCs/>
                <w:sz w:val="29"/>
              </w:rPr>
            </w:pPr>
          </w:p>
          <w:p w:rsidR="00B66E73" w:rsidRDefault="004C2859">
            <w:pPr>
              <w:widowControl w:val="0"/>
              <w:autoSpaceDE w:val="0"/>
              <w:autoSpaceDN w:val="0"/>
              <w:spacing w:after="0" w:line="240" w:lineRule="auto"/>
              <w:ind w:left="107"/>
              <w:rPr>
                <w:rFonts w:ascii="Times New Roman" w:eastAsia="Times New Roman" w:hAnsi="Times New Roman" w:cs="Times New Roman"/>
                <w:b/>
                <w:bCs/>
                <w:sz w:val="24"/>
              </w:rPr>
            </w:pPr>
            <w:r>
              <w:rPr>
                <w:rFonts w:ascii="Times New Roman" w:eastAsia="Times New Roman" w:hAnsi="Times New Roman" w:cs="Times New Roman"/>
                <w:b/>
                <w:bCs/>
                <w:sz w:val="24"/>
              </w:rPr>
              <w:t>mmol/l</w:t>
            </w:r>
          </w:p>
        </w:tc>
        <w:tc>
          <w:tcPr>
            <w:tcW w:w="1592" w:type="dxa"/>
            <w:tcBorders>
              <w:top w:val="single" w:sz="4" w:space="0" w:color="auto"/>
              <w:bottom w:val="single" w:sz="4" w:space="0" w:color="auto"/>
            </w:tcBorders>
          </w:tcPr>
          <w:p w:rsidR="00B66E73" w:rsidRDefault="004C2859">
            <w:pPr>
              <w:widowControl w:val="0"/>
              <w:autoSpaceDE w:val="0"/>
              <w:autoSpaceDN w:val="0"/>
              <w:spacing w:before="29" w:after="0" w:line="240" w:lineRule="auto"/>
              <w:ind w:left="105"/>
              <w:rPr>
                <w:rFonts w:ascii="Times New Roman" w:eastAsia="Times New Roman" w:hAnsi="Times New Roman" w:cs="Times New Roman"/>
                <w:b/>
                <w:bCs/>
                <w:sz w:val="24"/>
              </w:rPr>
            </w:pPr>
            <w:r>
              <w:rPr>
                <w:rFonts w:ascii="Times New Roman" w:eastAsia="Times New Roman" w:hAnsi="Times New Roman" w:cs="Times New Roman"/>
                <w:b/>
                <w:bCs/>
                <w:sz w:val="24"/>
              </w:rPr>
              <w:t>Na</w:t>
            </w:r>
            <w:r>
              <w:rPr>
                <w:rFonts w:ascii="Times New Roman" w:eastAsia="Times New Roman" w:hAnsi="Times New Roman" w:cs="Times New Roman"/>
                <w:b/>
                <w:bCs/>
                <w:sz w:val="16"/>
                <w:vertAlign w:val="superscript"/>
              </w:rPr>
              <w:t>+</w:t>
            </w:r>
          </w:p>
          <w:p w:rsidR="00B66E73" w:rsidRDefault="00B66E73">
            <w:pPr>
              <w:widowControl w:val="0"/>
              <w:autoSpaceDE w:val="0"/>
              <w:autoSpaceDN w:val="0"/>
              <w:spacing w:after="0" w:line="240" w:lineRule="auto"/>
              <w:rPr>
                <w:rFonts w:ascii="Times New Roman" w:eastAsia="Times New Roman" w:hAnsi="Times New Roman" w:cs="Times New Roman"/>
                <w:b/>
                <w:bCs/>
                <w:sz w:val="24"/>
              </w:rPr>
            </w:pPr>
          </w:p>
          <w:p w:rsidR="00B66E73" w:rsidRDefault="004C2859">
            <w:pPr>
              <w:widowControl w:val="0"/>
              <w:autoSpaceDE w:val="0"/>
              <w:autoSpaceDN w:val="0"/>
              <w:spacing w:after="0" w:line="240" w:lineRule="auto"/>
              <w:ind w:left="105"/>
              <w:rPr>
                <w:rFonts w:ascii="Times New Roman" w:eastAsia="Times New Roman" w:hAnsi="Times New Roman" w:cs="Times New Roman"/>
                <w:b/>
                <w:bCs/>
                <w:sz w:val="24"/>
              </w:rPr>
            </w:pPr>
            <w:r>
              <w:rPr>
                <w:rFonts w:ascii="Times New Roman" w:eastAsia="Times New Roman" w:hAnsi="Times New Roman" w:cs="Times New Roman"/>
                <w:b/>
                <w:bCs/>
                <w:sz w:val="24"/>
              </w:rPr>
              <w:t>mmol/l</w:t>
            </w:r>
          </w:p>
        </w:tc>
        <w:tc>
          <w:tcPr>
            <w:tcW w:w="1585" w:type="dxa"/>
            <w:tcBorders>
              <w:top w:val="single" w:sz="4" w:space="0" w:color="auto"/>
              <w:bottom w:val="single" w:sz="4" w:space="0" w:color="auto"/>
            </w:tcBorders>
          </w:tcPr>
          <w:p w:rsidR="00B66E73" w:rsidRDefault="004C2859">
            <w:pPr>
              <w:widowControl w:val="0"/>
              <w:autoSpaceDE w:val="0"/>
              <w:autoSpaceDN w:val="0"/>
              <w:spacing w:before="29" w:after="0" w:line="240" w:lineRule="auto"/>
              <w:ind w:left="109"/>
              <w:rPr>
                <w:rFonts w:ascii="Times New Roman" w:eastAsia="Times New Roman" w:hAnsi="Times New Roman" w:cs="Times New Roman"/>
                <w:b/>
                <w:bCs/>
                <w:sz w:val="24"/>
              </w:rPr>
            </w:pPr>
            <w:r>
              <w:rPr>
                <w:rFonts w:ascii="Times New Roman" w:eastAsia="Times New Roman" w:hAnsi="Times New Roman" w:cs="Times New Roman"/>
                <w:b/>
                <w:bCs/>
                <w:sz w:val="24"/>
              </w:rPr>
              <w:t>Cl</w:t>
            </w:r>
            <w:r>
              <w:rPr>
                <w:rFonts w:ascii="Times New Roman" w:eastAsia="Times New Roman" w:hAnsi="Times New Roman" w:cs="Times New Roman"/>
                <w:b/>
                <w:bCs/>
                <w:sz w:val="24"/>
                <w:vertAlign w:val="superscript"/>
              </w:rPr>
              <w:t>-</w:t>
            </w:r>
          </w:p>
          <w:p w:rsidR="00B66E73" w:rsidRDefault="00B66E73">
            <w:pPr>
              <w:widowControl w:val="0"/>
              <w:autoSpaceDE w:val="0"/>
              <w:autoSpaceDN w:val="0"/>
              <w:spacing w:after="0" w:line="240" w:lineRule="auto"/>
              <w:rPr>
                <w:rFonts w:ascii="Times New Roman" w:eastAsia="Times New Roman" w:hAnsi="Times New Roman" w:cs="Times New Roman"/>
                <w:b/>
                <w:bCs/>
                <w:sz w:val="24"/>
              </w:rPr>
            </w:pPr>
          </w:p>
          <w:p w:rsidR="00B66E73" w:rsidRDefault="004C2859">
            <w:pPr>
              <w:widowControl w:val="0"/>
              <w:autoSpaceDE w:val="0"/>
              <w:autoSpaceDN w:val="0"/>
              <w:spacing w:after="0" w:line="240" w:lineRule="auto"/>
              <w:ind w:left="109"/>
              <w:rPr>
                <w:rFonts w:ascii="Times New Roman" w:eastAsia="Times New Roman" w:hAnsi="Times New Roman" w:cs="Times New Roman"/>
                <w:b/>
                <w:bCs/>
                <w:sz w:val="24"/>
              </w:rPr>
            </w:pPr>
            <w:r>
              <w:rPr>
                <w:rFonts w:ascii="Times New Roman" w:eastAsia="Times New Roman" w:hAnsi="Times New Roman" w:cs="Times New Roman"/>
                <w:b/>
                <w:bCs/>
                <w:sz w:val="24"/>
              </w:rPr>
              <w:t>mmol/l</w:t>
            </w:r>
          </w:p>
        </w:tc>
        <w:tc>
          <w:tcPr>
            <w:tcW w:w="1552" w:type="dxa"/>
            <w:tcBorders>
              <w:top w:val="single" w:sz="4" w:space="0" w:color="auto"/>
              <w:bottom w:val="single" w:sz="4" w:space="0" w:color="auto"/>
            </w:tcBorders>
          </w:tcPr>
          <w:p w:rsidR="00B66E73" w:rsidRDefault="004C2859">
            <w:pPr>
              <w:widowControl w:val="0"/>
              <w:autoSpaceDE w:val="0"/>
              <w:autoSpaceDN w:val="0"/>
              <w:spacing w:after="0" w:line="104" w:lineRule="exact"/>
              <w:ind w:right="34"/>
              <w:jc w:val="center"/>
              <w:rPr>
                <w:rFonts w:ascii="Times New Roman" w:eastAsia="Times New Roman" w:hAnsi="Times New Roman" w:cs="Times New Roman"/>
                <w:b/>
                <w:bCs/>
                <w:sz w:val="16"/>
              </w:rPr>
            </w:pPr>
            <w:r>
              <w:rPr>
                <w:rFonts w:ascii="Times New Roman" w:eastAsia="Times New Roman" w:hAnsi="Times New Roman" w:cs="Times New Roman"/>
                <w:b/>
                <w:bCs/>
                <w:sz w:val="16"/>
              </w:rPr>
              <w:t>-</w:t>
            </w:r>
          </w:p>
          <w:p w:rsidR="00B66E73" w:rsidRDefault="004C2859">
            <w:pPr>
              <w:widowControl w:val="0"/>
              <w:autoSpaceDE w:val="0"/>
              <w:autoSpaceDN w:val="0"/>
              <w:spacing w:after="0" w:line="202" w:lineRule="exact"/>
              <w:ind w:left="105"/>
              <w:rPr>
                <w:rFonts w:ascii="Times New Roman" w:eastAsia="Times New Roman" w:hAnsi="Times New Roman" w:cs="Times New Roman"/>
                <w:b/>
                <w:bCs/>
                <w:sz w:val="24"/>
              </w:rPr>
            </w:pPr>
            <w:bookmarkStart w:id="2" w:name="_Hlk219747514"/>
            <w:r>
              <w:rPr>
                <w:rFonts w:ascii="Times New Roman" w:eastAsia="Times New Roman" w:hAnsi="Times New Roman" w:cs="Times New Roman"/>
                <w:b/>
                <w:bCs/>
                <w:sz w:val="24"/>
              </w:rPr>
              <w:t>HCO</w:t>
            </w:r>
            <w:r>
              <w:rPr>
                <w:rFonts w:ascii="Times New Roman" w:eastAsia="Times New Roman" w:hAnsi="Times New Roman" w:cs="Times New Roman"/>
                <w:b/>
                <w:bCs/>
                <w:sz w:val="24"/>
                <w:vertAlign w:val="subscript"/>
              </w:rPr>
              <w:t>3</w:t>
            </w:r>
          </w:p>
          <w:bookmarkEnd w:id="2"/>
          <w:p w:rsidR="00B66E73" w:rsidRDefault="00B66E73">
            <w:pPr>
              <w:widowControl w:val="0"/>
              <w:autoSpaceDE w:val="0"/>
              <w:autoSpaceDN w:val="0"/>
              <w:spacing w:after="0" w:line="240" w:lineRule="auto"/>
              <w:rPr>
                <w:rFonts w:ascii="Times New Roman" w:eastAsia="Times New Roman" w:hAnsi="Times New Roman" w:cs="Times New Roman"/>
                <w:b/>
                <w:bCs/>
                <w:sz w:val="24"/>
              </w:rPr>
            </w:pPr>
          </w:p>
          <w:p w:rsidR="00B66E73" w:rsidRDefault="004C2859">
            <w:pPr>
              <w:widowControl w:val="0"/>
              <w:autoSpaceDE w:val="0"/>
              <w:autoSpaceDN w:val="0"/>
              <w:spacing w:after="0" w:line="240" w:lineRule="auto"/>
              <w:ind w:left="105"/>
              <w:rPr>
                <w:rFonts w:ascii="Times New Roman" w:eastAsia="Times New Roman" w:hAnsi="Times New Roman" w:cs="Times New Roman"/>
                <w:b/>
                <w:bCs/>
                <w:sz w:val="24"/>
              </w:rPr>
            </w:pPr>
            <w:r>
              <w:rPr>
                <w:rFonts w:ascii="Times New Roman" w:eastAsia="Times New Roman" w:hAnsi="Times New Roman" w:cs="Times New Roman"/>
                <w:b/>
                <w:bCs/>
                <w:sz w:val="24"/>
              </w:rPr>
              <w:t>µ/ml</w:t>
            </w:r>
          </w:p>
        </w:tc>
      </w:tr>
      <w:tr w:rsidR="00B66E73">
        <w:trPr>
          <w:trHeight w:val="726"/>
        </w:trPr>
        <w:tc>
          <w:tcPr>
            <w:tcW w:w="1843" w:type="dxa"/>
            <w:tcBorders>
              <w:top w:val="single" w:sz="4" w:space="0" w:color="auto"/>
            </w:tcBorders>
          </w:tcPr>
          <w:p w:rsidR="00B66E73" w:rsidRDefault="004C2859">
            <w:pPr>
              <w:widowControl w:val="0"/>
              <w:autoSpaceDE w:val="0"/>
              <w:autoSpaceDN w:val="0"/>
              <w:spacing w:before="157" w:after="0" w:line="240" w:lineRule="auto"/>
              <w:ind w:left="104"/>
              <w:rPr>
                <w:rFonts w:ascii="Times New Roman" w:eastAsia="Times New Roman" w:hAnsi="Times New Roman" w:cs="Times New Roman"/>
                <w:sz w:val="24"/>
              </w:rPr>
            </w:pPr>
            <w:r>
              <w:rPr>
                <w:rFonts w:ascii="Times New Roman" w:eastAsia="Times New Roman" w:hAnsi="Times New Roman" w:cs="Times New Roman"/>
                <w:sz w:val="24"/>
              </w:rPr>
              <w:t>Group 1(Control)</w:t>
            </w:r>
          </w:p>
        </w:tc>
        <w:tc>
          <w:tcPr>
            <w:tcW w:w="1234" w:type="dxa"/>
            <w:tcBorders>
              <w:top w:val="single" w:sz="4" w:space="0" w:color="auto"/>
            </w:tcBorders>
          </w:tcPr>
          <w:p w:rsidR="00B66E73" w:rsidRDefault="004C2859">
            <w:pPr>
              <w:widowControl w:val="0"/>
              <w:autoSpaceDE w:val="0"/>
              <w:autoSpaceDN w:val="0"/>
              <w:spacing w:before="157" w:after="0" w:line="240" w:lineRule="auto"/>
              <w:ind w:left="184" w:right="93"/>
              <w:jc w:val="center"/>
              <w:rPr>
                <w:rFonts w:ascii="Times New Roman" w:eastAsia="Times New Roman" w:hAnsi="Times New Roman" w:cs="Times New Roman"/>
                <w:sz w:val="24"/>
              </w:rPr>
            </w:pPr>
            <w:r>
              <w:rPr>
                <w:rFonts w:ascii="Times New Roman" w:eastAsia="Times New Roman" w:hAnsi="Times New Roman" w:cs="Times New Roman"/>
                <w:sz w:val="24"/>
              </w:rPr>
              <w:t>3.20±0.10</w:t>
            </w:r>
          </w:p>
        </w:tc>
        <w:tc>
          <w:tcPr>
            <w:tcW w:w="1585" w:type="dxa"/>
            <w:tcBorders>
              <w:top w:val="single" w:sz="4" w:space="0" w:color="auto"/>
            </w:tcBorders>
          </w:tcPr>
          <w:p w:rsidR="00B66E73" w:rsidRDefault="004C2859">
            <w:pPr>
              <w:widowControl w:val="0"/>
              <w:autoSpaceDE w:val="0"/>
              <w:autoSpaceDN w:val="0"/>
              <w:spacing w:before="157" w:after="0" w:line="240" w:lineRule="auto"/>
              <w:ind w:left="111"/>
              <w:rPr>
                <w:rFonts w:ascii="Times New Roman" w:eastAsia="Times New Roman" w:hAnsi="Times New Roman" w:cs="Times New Roman"/>
                <w:sz w:val="24"/>
              </w:rPr>
            </w:pPr>
            <w:r>
              <w:rPr>
                <w:rFonts w:ascii="Times New Roman" w:eastAsia="Times New Roman" w:hAnsi="Times New Roman" w:cs="Times New Roman"/>
                <w:sz w:val="24"/>
              </w:rPr>
              <w:t>62.33±2.52</w:t>
            </w:r>
          </w:p>
        </w:tc>
        <w:tc>
          <w:tcPr>
            <w:tcW w:w="1328" w:type="dxa"/>
            <w:tcBorders>
              <w:top w:val="single" w:sz="4" w:space="0" w:color="auto"/>
            </w:tcBorders>
          </w:tcPr>
          <w:p w:rsidR="00B66E73" w:rsidRDefault="004C2859">
            <w:pPr>
              <w:widowControl w:val="0"/>
              <w:autoSpaceDE w:val="0"/>
              <w:autoSpaceDN w:val="0"/>
              <w:spacing w:before="157" w:after="0" w:line="240" w:lineRule="auto"/>
              <w:ind w:left="88" w:right="88"/>
              <w:jc w:val="center"/>
              <w:rPr>
                <w:rFonts w:ascii="Times New Roman" w:eastAsia="Times New Roman" w:hAnsi="Times New Roman" w:cs="Times New Roman"/>
                <w:sz w:val="24"/>
              </w:rPr>
            </w:pPr>
            <w:r>
              <w:rPr>
                <w:rFonts w:ascii="Times New Roman" w:eastAsia="Times New Roman" w:hAnsi="Times New Roman" w:cs="Times New Roman"/>
                <w:sz w:val="24"/>
              </w:rPr>
              <w:t>3.10±0.10</w:t>
            </w:r>
          </w:p>
        </w:tc>
        <w:tc>
          <w:tcPr>
            <w:tcW w:w="1592" w:type="dxa"/>
            <w:tcBorders>
              <w:top w:val="single" w:sz="4" w:space="0" w:color="auto"/>
            </w:tcBorders>
          </w:tcPr>
          <w:p w:rsidR="00B66E73" w:rsidRDefault="004C2859">
            <w:pPr>
              <w:widowControl w:val="0"/>
              <w:autoSpaceDE w:val="0"/>
              <w:autoSpaceDN w:val="0"/>
              <w:spacing w:before="157" w:after="0" w:line="240" w:lineRule="auto"/>
              <w:ind w:right="129"/>
              <w:jc w:val="right"/>
              <w:rPr>
                <w:rFonts w:ascii="Times New Roman" w:eastAsia="Times New Roman" w:hAnsi="Times New Roman" w:cs="Times New Roman"/>
                <w:sz w:val="24"/>
              </w:rPr>
            </w:pPr>
            <w:r>
              <w:rPr>
                <w:rFonts w:ascii="Times New Roman" w:eastAsia="Times New Roman" w:hAnsi="Times New Roman" w:cs="Times New Roman"/>
                <w:sz w:val="24"/>
              </w:rPr>
              <w:t>116.50±3.50</w:t>
            </w:r>
          </w:p>
        </w:tc>
        <w:tc>
          <w:tcPr>
            <w:tcW w:w="1585" w:type="dxa"/>
            <w:tcBorders>
              <w:top w:val="single" w:sz="4" w:space="0" w:color="auto"/>
            </w:tcBorders>
          </w:tcPr>
          <w:p w:rsidR="00B66E73" w:rsidRDefault="004C2859">
            <w:pPr>
              <w:widowControl w:val="0"/>
              <w:autoSpaceDE w:val="0"/>
              <w:autoSpaceDN w:val="0"/>
              <w:spacing w:before="157" w:after="0" w:line="240" w:lineRule="auto"/>
              <w:ind w:left="109"/>
              <w:rPr>
                <w:rFonts w:ascii="Times New Roman" w:eastAsia="Times New Roman" w:hAnsi="Times New Roman" w:cs="Times New Roman"/>
                <w:sz w:val="24"/>
              </w:rPr>
            </w:pPr>
            <w:r>
              <w:rPr>
                <w:rFonts w:ascii="Times New Roman" w:eastAsia="Times New Roman" w:hAnsi="Times New Roman" w:cs="Times New Roman"/>
                <w:sz w:val="24"/>
              </w:rPr>
              <w:t>66.50±4.50</w:t>
            </w:r>
          </w:p>
        </w:tc>
        <w:tc>
          <w:tcPr>
            <w:tcW w:w="1552" w:type="dxa"/>
            <w:tcBorders>
              <w:top w:val="single" w:sz="4" w:space="0" w:color="auto"/>
            </w:tcBorders>
          </w:tcPr>
          <w:p w:rsidR="00B66E73" w:rsidRDefault="004C2859">
            <w:pPr>
              <w:widowControl w:val="0"/>
              <w:autoSpaceDE w:val="0"/>
              <w:autoSpaceDN w:val="0"/>
              <w:spacing w:before="157"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26.00±1.50</w:t>
            </w:r>
          </w:p>
        </w:tc>
      </w:tr>
      <w:tr w:rsidR="00B66E73">
        <w:trPr>
          <w:trHeight w:val="719"/>
        </w:trPr>
        <w:tc>
          <w:tcPr>
            <w:tcW w:w="1843" w:type="dxa"/>
          </w:tcPr>
          <w:p w:rsidR="00B66E73" w:rsidRDefault="004C2859">
            <w:pPr>
              <w:widowControl w:val="0"/>
              <w:autoSpaceDE w:val="0"/>
              <w:autoSpaceDN w:val="0"/>
              <w:spacing w:before="153" w:after="0" w:line="240" w:lineRule="auto"/>
              <w:ind w:left="104"/>
              <w:rPr>
                <w:rFonts w:ascii="Times New Roman" w:eastAsia="Times New Roman" w:hAnsi="Times New Roman" w:cs="Times New Roman"/>
                <w:sz w:val="24"/>
              </w:rPr>
            </w:pPr>
            <w:r>
              <w:rPr>
                <w:rFonts w:ascii="Times New Roman" w:eastAsia="Times New Roman" w:hAnsi="Times New Roman" w:cs="Times New Roman"/>
                <w:sz w:val="24"/>
              </w:rPr>
              <w:t>Group 2</w:t>
            </w:r>
            <w:r>
              <w:rPr>
                <w:rFonts w:ascii="Times New Roman" w:eastAsia="Times New Roman" w:hAnsi="Times New Roman" w:cs="Times New Roman"/>
                <w:spacing w:val="-11"/>
                <w:sz w:val="24"/>
              </w:rPr>
              <w:t xml:space="preserve"> </w:t>
            </w:r>
          </w:p>
        </w:tc>
        <w:tc>
          <w:tcPr>
            <w:tcW w:w="1234" w:type="dxa"/>
          </w:tcPr>
          <w:p w:rsidR="00B66E73" w:rsidRDefault="004C2859">
            <w:pPr>
              <w:widowControl w:val="0"/>
              <w:autoSpaceDE w:val="0"/>
              <w:autoSpaceDN w:val="0"/>
              <w:spacing w:before="153" w:after="0" w:line="240" w:lineRule="auto"/>
              <w:ind w:left="184" w:right="93"/>
              <w:jc w:val="center"/>
              <w:rPr>
                <w:rFonts w:ascii="Times New Roman" w:eastAsia="Times New Roman" w:hAnsi="Times New Roman" w:cs="Times New Roman"/>
                <w:sz w:val="24"/>
              </w:rPr>
            </w:pPr>
            <w:r>
              <w:rPr>
                <w:rFonts w:ascii="Times New Roman" w:eastAsia="Times New Roman" w:hAnsi="Times New Roman" w:cs="Times New Roman"/>
                <w:sz w:val="24"/>
              </w:rPr>
              <w:t>3.85±1.05</w:t>
            </w:r>
          </w:p>
        </w:tc>
        <w:tc>
          <w:tcPr>
            <w:tcW w:w="1585" w:type="dxa"/>
          </w:tcPr>
          <w:p w:rsidR="00B66E73" w:rsidRDefault="004C2859">
            <w:pPr>
              <w:widowControl w:val="0"/>
              <w:autoSpaceDE w:val="0"/>
              <w:autoSpaceDN w:val="0"/>
              <w:spacing w:before="153" w:after="0" w:line="240" w:lineRule="auto"/>
              <w:ind w:left="111"/>
              <w:rPr>
                <w:rFonts w:ascii="Times New Roman" w:eastAsia="Times New Roman" w:hAnsi="Times New Roman" w:cs="Times New Roman"/>
                <w:sz w:val="24"/>
              </w:rPr>
            </w:pPr>
            <w:r>
              <w:rPr>
                <w:rFonts w:ascii="Times New Roman" w:eastAsia="Times New Roman" w:hAnsi="Times New Roman" w:cs="Times New Roman"/>
                <w:sz w:val="24"/>
              </w:rPr>
              <w:t>63.50±1.50</w:t>
            </w:r>
          </w:p>
        </w:tc>
        <w:tc>
          <w:tcPr>
            <w:tcW w:w="1328" w:type="dxa"/>
          </w:tcPr>
          <w:p w:rsidR="00B66E73" w:rsidRDefault="004C2859">
            <w:pPr>
              <w:widowControl w:val="0"/>
              <w:autoSpaceDE w:val="0"/>
              <w:autoSpaceDN w:val="0"/>
              <w:spacing w:before="153" w:after="0" w:line="240" w:lineRule="auto"/>
              <w:ind w:left="88" w:right="88"/>
              <w:jc w:val="center"/>
              <w:rPr>
                <w:rFonts w:ascii="Times New Roman" w:eastAsia="Times New Roman" w:hAnsi="Times New Roman" w:cs="Times New Roman"/>
                <w:sz w:val="24"/>
              </w:rPr>
            </w:pPr>
            <w:r>
              <w:rPr>
                <w:rFonts w:ascii="Times New Roman" w:eastAsia="Times New Roman" w:hAnsi="Times New Roman" w:cs="Times New Roman"/>
                <w:sz w:val="24"/>
              </w:rPr>
              <w:t>3.20±0.10</w:t>
            </w:r>
          </w:p>
        </w:tc>
        <w:tc>
          <w:tcPr>
            <w:tcW w:w="1592" w:type="dxa"/>
          </w:tcPr>
          <w:p w:rsidR="00B66E73" w:rsidRDefault="004C2859">
            <w:pPr>
              <w:widowControl w:val="0"/>
              <w:autoSpaceDE w:val="0"/>
              <w:autoSpaceDN w:val="0"/>
              <w:spacing w:before="153" w:after="0" w:line="240" w:lineRule="auto"/>
              <w:ind w:right="119"/>
              <w:jc w:val="right"/>
              <w:rPr>
                <w:rFonts w:ascii="Times New Roman" w:eastAsia="Times New Roman" w:hAnsi="Times New Roman" w:cs="Times New Roman"/>
                <w:sz w:val="24"/>
              </w:rPr>
            </w:pPr>
            <w:r>
              <w:rPr>
                <w:rFonts w:ascii="Times New Roman" w:eastAsia="Times New Roman" w:hAnsi="Times New Roman" w:cs="Times New Roman"/>
                <w:sz w:val="24"/>
              </w:rPr>
              <w:t>121.00±4.00</w:t>
            </w:r>
          </w:p>
        </w:tc>
        <w:tc>
          <w:tcPr>
            <w:tcW w:w="1585" w:type="dxa"/>
          </w:tcPr>
          <w:p w:rsidR="00B66E73" w:rsidRDefault="004C2859">
            <w:pPr>
              <w:widowControl w:val="0"/>
              <w:autoSpaceDE w:val="0"/>
              <w:autoSpaceDN w:val="0"/>
              <w:spacing w:before="153" w:after="0" w:line="240" w:lineRule="auto"/>
              <w:ind w:left="109"/>
              <w:rPr>
                <w:rFonts w:ascii="Times New Roman" w:eastAsia="Times New Roman" w:hAnsi="Times New Roman" w:cs="Times New Roman"/>
                <w:sz w:val="24"/>
              </w:rPr>
            </w:pPr>
            <w:r>
              <w:rPr>
                <w:rFonts w:ascii="Times New Roman" w:eastAsia="Times New Roman" w:hAnsi="Times New Roman" w:cs="Times New Roman"/>
                <w:sz w:val="24"/>
              </w:rPr>
              <w:t>67.50±2.50</w:t>
            </w:r>
          </w:p>
        </w:tc>
        <w:tc>
          <w:tcPr>
            <w:tcW w:w="1552" w:type="dxa"/>
          </w:tcPr>
          <w:p w:rsidR="00B66E73" w:rsidRDefault="004C2859">
            <w:pPr>
              <w:widowControl w:val="0"/>
              <w:autoSpaceDE w:val="0"/>
              <w:autoSpaceDN w:val="0"/>
              <w:spacing w:before="153" w:after="0" w:line="240" w:lineRule="auto"/>
              <w:ind w:left="105"/>
              <w:rPr>
                <w:rFonts w:ascii="Times New Roman" w:eastAsia="Times New Roman" w:hAnsi="Times New Roman" w:cs="Times New Roman"/>
                <w:sz w:val="24"/>
              </w:rPr>
            </w:pPr>
            <w:r>
              <w:rPr>
                <w:rFonts w:ascii="Times New Roman" w:eastAsia="Times New Roman" w:hAnsi="Times New Roman" w:cs="Times New Roman"/>
                <w:sz w:val="24"/>
              </w:rPr>
              <w:t>23.67±1.53</w:t>
            </w:r>
          </w:p>
        </w:tc>
      </w:tr>
      <w:tr w:rsidR="00B66E73">
        <w:trPr>
          <w:trHeight w:val="558"/>
        </w:trPr>
        <w:tc>
          <w:tcPr>
            <w:tcW w:w="1843" w:type="dxa"/>
          </w:tcPr>
          <w:p w:rsidR="00B66E73" w:rsidRDefault="004C2859">
            <w:pPr>
              <w:widowControl w:val="0"/>
              <w:autoSpaceDE w:val="0"/>
              <w:autoSpaceDN w:val="0"/>
              <w:spacing w:before="153" w:after="0" w:line="256" w:lineRule="exact"/>
              <w:ind w:left="104"/>
              <w:rPr>
                <w:rFonts w:ascii="Times New Roman" w:eastAsia="Times New Roman" w:hAnsi="Times New Roman" w:cs="Times New Roman"/>
                <w:sz w:val="24"/>
              </w:rPr>
            </w:pPr>
            <w:r>
              <w:rPr>
                <w:rFonts w:ascii="Times New Roman" w:eastAsia="Times New Roman" w:hAnsi="Times New Roman" w:cs="Times New Roman"/>
                <w:sz w:val="24"/>
              </w:rPr>
              <w:t>Group 3</w:t>
            </w:r>
          </w:p>
        </w:tc>
        <w:tc>
          <w:tcPr>
            <w:tcW w:w="1234" w:type="dxa"/>
          </w:tcPr>
          <w:p w:rsidR="00B66E73" w:rsidRDefault="004C2859">
            <w:pPr>
              <w:widowControl w:val="0"/>
              <w:autoSpaceDE w:val="0"/>
              <w:autoSpaceDN w:val="0"/>
              <w:spacing w:before="153" w:after="0" w:line="256" w:lineRule="exact"/>
              <w:ind w:left="184" w:right="93"/>
              <w:jc w:val="center"/>
              <w:rPr>
                <w:rFonts w:ascii="Times New Roman" w:eastAsia="Times New Roman" w:hAnsi="Times New Roman" w:cs="Times New Roman"/>
                <w:sz w:val="24"/>
              </w:rPr>
            </w:pPr>
            <w:r>
              <w:rPr>
                <w:rFonts w:ascii="Times New Roman" w:eastAsia="Times New Roman" w:hAnsi="Times New Roman" w:cs="Times New Roman"/>
                <w:sz w:val="24"/>
              </w:rPr>
              <w:t>2.93±0.12</w:t>
            </w:r>
          </w:p>
        </w:tc>
        <w:tc>
          <w:tcPr>
            <w:tcW w:w="1585" w:type="dxa"/>
          </w:tcPr>
          <w:p w:rsidR="00B66E73" w:rsidRDefault="004C2859">
            <w:pPr>
              <w:widowControl w:val="0"/>
              <w:autoSpaceDE w:val="0"/>
              <w:autoSpaceDN w:val="0"/>
              <w:spacing w:before="153" w:after="0" w:line="256" w:lineRule="exact"/>
              <w:ind w:left="111"/>
              <w:rPr>
                <w:rFonts w:ascii="Times New Roman" w:eastAsia="Times New Roman" w:hAnsi="Times New Roman" w:cs="Times New Roman"/>
                <w:sz w:val="24"/>
              </w:rPr>
            </w:pPr>
            <w:r>
              <w:rPr>
                <w:rFonts w:ascii="Times New Roman" w:eastAsia="Times New Roman" w:hAnsi="Times New Roman" w:cs="Times New Roman"/>
                <w:sz w:val="24"/>
              </w:rPr>
              <w:t>78.50±18.50</w:t>
            </w:r>
          </w:p>
        </w:tc>
        <w:tc>
          <w:tcPr>
            <w:tcW w:w="1328" w:type="dxa"/>
          </w:tcPr>
          <w:p w:rsidR="00B66E73" w:rsidRDefault="004C2859">
            <w:pPr>
              <w:widowControl w:val="0"/>
              <w:autoSpaceDE w:val="0"/>
              <w:autoSpaceDN w:val="0"/>
              <w:spacing w:before="153" w:after="0" w:line="256" w:lineRule="exact"/>
              <w:ind w:left="88" w:right="88"/>
              <w:jc w:val="center"/>
              <w:rPr>
                <w:rFonts w:ascii="Times New Roman" w:eastAsia="Times New Roman" w:hAnsi="Times New Roman" w:cs="Times New Roman"/>
                <w:sz w:val="24"/>
              </w:rPr>
            </w:pPr>
            <w:r>
              <w:rPr>
                <w:rFonts w:ascii="Times New Roman" w:eastAsia="Times New Roman" w:hAnsi="Times New Roman" w:cs="Times New Roman"/>
                <w:sz w:val="24"/>
              </w:rPr>
              <w:t>3.33±0.12</w:t>
            </w:r>
          </w:p>
        </w:tc>
        <w:tc>
          <w:tcPr>
            <w:tcW w:w="1592" w:type="dxa"/>
          </w:tcPr>
          <w:p w:rsidR="00B66E73" w:rsidRDefault="004C2859">
            <w:pPr>
              <w:widowControl w:val="0"/>
              <w:autoSpaceDE w:val="0"/>
              <w:autoSpaceDN w:val="0"/>
              <w:spacing w:before="153" w:after="0" w:line="256" w:lineRule="exact"/>
              <w:ind w:right="110"/>
              <w:jc w:val="right"/>
              <w:rPr>
                <w:rFonts w:ascii="Times New Roman" w:eastAsia="Times New Roman" w:hAnsi="Times New Roman" w:cs="Times New Roman"/>
                <w:sz w:val="24"/>
              </w:rPr>
            </w:pPr>
            <w:r>
              <w:rPr>
                <w:rFonts w:ascii="Times New Roman" w:eastAsia="Times New Roman" w:hAnsi="Times New Roman" w:cs="Times New Roman"/>
                <w:sz w:val="24"/>
              </w:rPr>
              <w:t>125.67±3.21</w:t>
            </w:r>
          </w:p>
        </w:tc>
        <w:tc>
          <w:tcPr>
            <w:tcW w:w="1585" w:type="dxa"/>
          </w:tcPr>
          <w:p w:rsidR="00B66E73" w:rsidRDefault="004C2859">
            <w:pPr>
              <w:widowControl w:val="0"/>
              <w:autoSpaceDE w:val="0"/>
              <w:autoSpaceDN w:val="0"/>
              <w:spacing w:before="153" w:after="0" w:line="256" w:lineRule="exact"/>
              <w:ind w:left="109"/>
              <w:rPr>
                <w:rFonts w:ascii="Times New Roman" w:eastAsia="Times New Roman" w:hAnsi="Times New Roman" w:cs="Times New Roman"/>
                <w:sz w:val="24"/>
              </w:rPr>
            </w:pPr>
            <w:r>
              <w:rPr>
                <w:rFonts w:ascii="Times New Roman" w:eastAsia="Times New Roman" w:hAnsi="Times New Roman" w:cs="Times New Roman"/>
                <w:sz w:val="24"/>
              </w:rPr>
              <w:t>70.67±14.15</w:t>
            </w:r>
          </w:p>
        </w:tc>
        <w:tc>
          <w:tcPr>
            <w:tcW w:w="1552" w:type="dxa"/>
          </w:tcPr>
          <w:p w:rsidR="00B66E73" w:rsidRDefault="004C2859">
            <w:pPr>
              <w:widowControl w:val="0"/>
              <w:autoSpaceDE w:val="0"/>
              <w:autoSpaceDN w:val="0"/>
              <w:spacing w:before="153" w:after="0" w:line="256" w:lineRule="exact"/>
              <w:ind w:left="105"/>
              <w:rPr>
                <w:rFonts w:ascii="Times New Roman" w:eastAsia="Times New Roman" w:hAnsi="Times New Roman" w:cs="Times New Roman"/>
                <w:sz w:val="24"/>
              </w:rPr>
            </w:pPr>
            <w:r>
              <w:rPr>
                <w:rFonts w:ascii="Times New Roman" w:eastAsia="Times New Roman" w:hAnsi="Times New Roman" w:cs="Times New Roman"/>
                <w:sz w:val="24"/>
              </w:rPr>
              <w:t>22.00±1.00</w:t>
            </w:r>
          </w:p>
        </w:tc>
      </w:tr>
    </w:tbl>
    <w:p w:rsidR="00B66E73" w:rsidRDefault="00B66E73">
      <w:pPr>
        <w:spacing w:after="0" w:line="276" w:lineRule="auto"/>
        <w:rPr>
          <w:rFonts w:ascii="Times New Roman" w:hAnsi="Times New Roman" w:cs="Times New Roman"/>
          <w:b/>
          <w:bCs/>
          <w:sz w:val="24"/>
          <w:szCs w:val="24"/>
        </w:rPr>
      </w:pPr>
    </w:p>
    <w:p w:rsidR="00B66E73" w:rsidRDefault="00B66E73">
      <w:pPr>
        <w:spacing w:after="0" w:line="276" w:lineRule="auto"/>
        <w:jc w:val="center"/>
        <w:rPr>
          <w:rFonts w:ascii="Times New Roman" w:hAnsi="Times New Roman" w:cs="Times New Roman"/>
          <w:b/>
          <w:bCs/>
          <w:sz w:val="24"/>
          <w:szCs w:val="24"/>
        </w:rPr>
      </w:pPr>
    </w:p>
    <w:p w:rsidR="00B66E73" w:rsidRDefault="00B66E73">
      <w:pPr>
        <w:spacing w:after="0" w:line="276" w:lineRule="auto"/>
        <w:rPr>
          <w:rFonts w:ascii="Times New Roman" w:hAnsi="Times New Roman" w:cs="Times New Roman"/>
          <w:b/>
          <w:bCs/>
          <w:sz w:val="24"/>
          <w:szCs w:val="24"/>
        </w:rPr>
      </w:pPr>
    </w:p>
    <w:p w:rsidR="00B66E73" w:rsidRDefault="004C2859">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2: Effect of Water Pipe Tobacco Smoke on the Hepatic and Oxidative Markers in </w:t>
      </w:r>
      <w:proofErr w:type="gramStart"/>
      <w:r>
        <w:rPr>
          <w:rFonts w:ascii="Times New Roman" w:hAnsi="Times New Roman" w:cs="Times New Roman"/>
          <w:b/>
          <w:bCs/>
          <w:sz w:val="24"/>
          <w:szCs w:val="24"/>
        </w:rPr>
        <w:t>Female  Albino</w:t>
      </w:r>
      <w:proofErr w:type="gramEnd"/>
      <w:r>
        <w:rPr>
          <w:rFonts w:ascii="Times New Roman" w:hAnsi="Times New Roman" w:cs="Times New Roman"/>
          <w:b/>
          <w:bCs/>
          <w:sz w:val="24"/>
          <w:szCs w:val="24"/>
        </w:rPr>
        <w:t xml:space="preserve"> Rats</w:t>
      </w:r>
    </w:p>
    <w:tbl>
      <w:tblPr>
        <w:tblW w:w="9245" w:type="dxa"/>
        <w:tblInd w:w="159" w:type="dxa"/>
        <w:tblLayout w:type="fixed"/>
        <w:tblCellMar>
          <w:left w:w="0" w:type="dxa"/>
          <w:right w:w="0" w:type="dxa"/>
        </w:tblCellMar>
        <w:tblLook w:val="01E0" w:firstRow="1" w:lastRow="1" w:firstColumn="1" w:lastColumn="1" w:noHBand="0" w:noVBand="0"/>
      </w:tblPr>
      <w:tblGrid>
        <w:gridCol w:w="2382"/>
        <w:gridCol w:w="2221"/>
        <w:gridCol w:w="2028"/>
        <w:gridCol w:w="2614"/>
      </w:tblGrid>
      <w:tr w:rsidR="00B66E73">
        <w:trPr>
          <w:trHeight w:val="413"/>
        </w:trPr>
        <w:tc>
          <w:tcPr>
            <w:tcW w:w="2382" w:type="dxa"/>
            <w:tcBorders>
              <w:top w:val="single" w:sz="4" w:space="0" w:color="auto"/>
            </w:tcBorders>
          </w:tcPr>
          <w:p w:rsidR="00B66E73" w:rsidRDefault="004C2859">
            <w:pPr>
              <w:widowControl w:val="0"/>
              <w:autoSpaceDE w:val="0"/>
              <w:autoSpaceDN w:val="0"/>
              <w:spacing w:after="0" w:line="273" w:lineRule="exact"/>
              <w:ind w:left="108"/>
              <w:rPr>
                <w:rFonts w:ascii="Times New Roman" w:eastAsia="Times New Roman" w:hAnsi="Times New Roman" w:cs="Times New Roman"/>
                <w:b/>
                <w:sz w:val="24"/>
              </w:rPr>
            </w:pPr>
            <w:bookmarkStart w:id="3" w:name="_Hlk183662676"/>
            <w:r>
              <w:rPr>
                <w:rFonts w:ascii="Times New Roman" w:eastAsia="Times New Roman" w:hAnsi="Times New Roman" w:cs="Times New Roman"/>
                <w:b/>
                <w:sz w:val="24"/>
              </w:rPr>
              <w:t>PARAMETERS</w:t>
            </w:r>
          </w:p>
        </w:tc>
        <w:tc>
          <w:tcPr>
            <w:tcW w:w="2221" w:type="dxa"/>
            <w:tcBorders>
              <w:top w:val="single" w:sz="4" w:space="0" w:color="auto"/>
            </w:tcBorders>
          </w:tcPr>
          <w:p w:rsidR="00B66E73" w:rsidRDefault="004C2859">
            <w:pPr>
              <w:widowControl w:val="0"/>
              <w:autoSpaceDE w:val="0"/>
              <w:autoSpaceDN w:val="0"/>
              <w:spacing w:after="0" w:line="273" w:lineRule="exact"/>
              <w:ind w:left="611"/>
              <w:rPr>
                <w:rFonts w:ascii="Times New Roman" w:eastAsia="Times New Roman" w:hAnsi="Times New Roman" w:cs="Times New Roman"/>
                <w:b/>
                <w:sz w:val="24"/>
              </w:rPr>
            </w:pPr>
            <w:r>
              <w:rPr>
                <w:rFonts w:ascii="Times New Roman" w:eastAsia="Times New Roman" w:hAnsi="Times New Roman" w:cs="Times New Roman"/>
                <w:b/>
                <w:sz w:val="24"/>
              </w:rPr>
              <w:t>GROUPS</w:t>
            </w:r>
          </w:p>
        </w:tc>
        <w:tc>
          <w:tcPr>
            <w:tcW w:w="2028" w:type="dxa"/>
            <w:tcBorders>
              <w:top w:val="single" w:sz="4" w:space="0" w:color="auto"/>
            </w:tcBorders>
          </w:tcPr>
          <w:p w:rsidR="00B66E73" w:rsidRDefault="00B66E73">
            <w:pPr>
              <w:widowControl w:val="0"/>
              <w:autoSpaceDE w:val="0"/>
              <w:autoSpaceDN w:val="0"/>
              <w:spacing w:after="0" w:line="240" w:lineRule="auto"/>
              <w:rPr>
                <w:rFonts w:ascii="Times New Roman" w:eastAsia="Times New Roman" w:hAnsi="Times New Roman" w:cs="Times New Roman"/>
              </w:rPr>
            </w:pPr>
          </w:p>
        </w:tc>
        <w:tc>
          <w:tcPr>
            <w:tcW w:w="2614" w:type="dxa"/>
            <w:tcBorders>
              <w:top w:val="single" w:sz="4" w:space="0" w:color="auto"/>
            </w:tcBorders>
          </w:tcPr>
          <w:p w:rsidR="00B66E73" w:rsidRDefault="00B66E73">
            <w:pPr>
              <w:widowControl w:val="0"/>
              <w:autoSpaceDE w:val="0"/>
              <w:autoSpaceDN w:val="0"/>
              <w:spacing w:after="0" w:line="240" w:lineRule="auto"/>
              <w:rPr>
                <w:rFonts w:ascii="Times New Roman" w:eastAsia="Times New Roman" w:hAnsi="Times New Roman" w:cs="Times New Roman"/>
              </w:rPr>
            </w:pPr>
          </w:p>
        </w:tc>
      </w:tr>
      <w:tr w:rsidR="00B66E73">
        <w:trPr>
          <w:trHeight w:val="108"/>
        </w:trPr>
        <w:tc>
          <w:tcPr>
            <w:tcW w:w="2382" w:type="dxa"/>
            <w:tcBorders>
              <w:bottom w:val="single" w:sz="4" w:space="0" w:color="auto"/>
            </w:tcBorders>
          </w:tcPr>
          <w:p w:rsidR="00B66E73" w:rsidRDefault="00B66E73">
            <w:pPr>
              <w:widowControl w:val="0"/>
              <w:autoSpaceDE w:val="0"/>
              <w:autoSpaceDN w:val="0"/>
              <w:spacing w:after="0" w:line="240" w:lineRule="auto"/>
              <w:rPr>
                <w:rFonts w:ascii="Times New Roman" w:eastAsia="Times New Roman" w:hAnsi="Times New Roman" w:cs="Times New Roman"/>
              </w:rPr>
            </w:pPr>
          </w:p>
        </w:tc>
        <w:tc>
          <w:tcPr>
            <w:tcW w:w="2221" w:type="dxa"/>
            <w:tcBorders>
              <w:bottom w:val="single" w:sz="4" w:space="0" w:color="auto"/>
            </w:tcBorders>
          </w:tcPr>
          <w:p w:rsidR="00B66E73" w:rsidRDefault="004C2859">
            <w:pPr>
              <w:widowControl w:val="0"/>
              <w:autoSpaceDE w:val="0"/>
              <w:autoSpaceDN w:val="0"/>
              <w:spacing w:before="130"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GROUP</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1</w:t>
            </w:r>
          </w:p>
        </w:tc>
        <w:tc>
          <w:tcPr>
            <w:tcW w:w="2028" w:type="dxa"/>
            <w:tcBorders>
              <w:bottom w:val="single" w:sz="4" w:space="0" w:color="auto"/>
            </w:tcBorders>
          </w:tcPr>
          <w:p w:rsidR="00B66E73" w:rsidRDefault="004C2859">
            <w:pPr>
              <w:widowControl w:val="0"/>
              <w:autoSpaceDE w:val="0"/>
              <w:autoSpaceDN w:val="0"/>
              <w:spacing w:before="130"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GROUP</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2</w:t>
            </w:r>
          </w:p>
        </w:tc>
        <w:tc>
          <w:tcPr>
            <w:tcW w:w="2614" w:type="dxa"/>
            <w:tcBorders>
              <w:bottom w:val="single" w:sz="4" w:space="0" w:color="auto"/>
            </w:tcBorders>
          </w:tcPr>
          <w:p w:rsidR="00B66E73" w:rsidRDefault="004C2859">
            <w:pPr>
              <w:widowControl w:val="0"/>
              <w:autoSpaceDE w:val="0"/>
              <w:autoSpaceDN w:val="0"/>
              <w:spacing w:before="130"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GROUP</w:t>
            </w:r>
            <w:r>
              <w:rPr>
                <w:rFonts w:ascii="Times New Roman" w:eastAsia="Times New Roman" w:hAnsi="Times New Roman" w:cs="Times New Roman"/>
                <w:spacing w:val="-11"/>
                <w:sz w:val="24"/>
              </w:rPr>
              <w:t xml:space="preserve"> </w:t>
            </w:r>
            <w:r>
              <w:rPr>
                <w:rFonts w:ascii="Times New Roman" w:eastAsia="Times New Roman" w:hAnsi="Times New Roman" w:cs="Times New Roman"/>
                <w:sz w:val="24"/>
              </w:rPr>
              <w:t>3</w:t>
            </w:r>
          </w:p>
        </w:tc>
      </w:tr>
      <w:tr w:rsidR="00B66E73">
        <w:trPr>
          <w:trHeight w:val="558"/>
        </w:trPr>
        <w:tc>
          <w:tcPr>
            <w:tcW w:w="2382" w:type="dxa"/>
            <w:tcBorders>
              <w:top w:val="single" w:sz="4" w:space="0" w:color="auto"/>
            </w:tcBorders>
          </w:tcPr>
          <w:p w:rsidR="00B66E73" w:rsidRDefault="004C2859">
            <w:pPr>
              <w:widowControl w:val="0"/>
              <w:autoSpaceDE w:val="0"/>
              <w:autoSpaceDN w:val="0"/>
              <w:spacing w:before="159" w:after="0" w:line="240" w:lineRule="auto"/>
              <w:ind w:left="108"/>
              <w:rPr>
                <w:rFonts w:ascii="Times New Roman" w:eastAsia="Times New Roman" w:hAnsi="Times New Roman" w:cs="Times New Roman"/>
                <w:sz w:val="24"/>
              </w:rPr>
            </w:pPr>
            <w:r>
              <w:rPr>
                <w:rFonts w:ascii="Times New Roman" w:eastAsia="Times New Roman" w:hAnsi="Times New Roman" w:cs="Times New Roman"/>
                <w:sz w:val="24"/>
              </w:rPr>
              <w:t>AST</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µ/l</w:t>
            </w:r>
          </w:p>
        </w:tc>
        <w:tc>
          <w:tcPr>
            <w:tcW w:w="2221" w:type="dxa"/>
            <w:tcBorders>
              <w:top w:val="single" w:sz="4" w:space="0" w:color="auto"/>
            </w:tcBorders>
          </w:tcPr>
          <w:p w:rsidR="00B66E73" w:rsidRDefault="004C2859">
            <w:pPr>
              <w:widowControl w:val="0"/>
              <w:autoSpaceDE w:val="0"/>
              <w:autoSpaceDN w:val="0"/>
              <w:spacing w:before="159"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33.00±9.00</w:t>
            </w:r>
          </w:p>
        </w:tc>
        <w:tc>
          <w:tcPr>
            <w:tcW w:w="2028" w:type="dxa"/>
            <w:tcBorders>
              <w:top w:val="single" w:sz="4" w:space="0" w:color="auto"/>
            </w:tcBorders>
          </w:tcPr>
          <w:p w:rsidR="00B66E73" w:rsidRDefault="004C2859">
            <w:pPr>
              <w:widowControl w:val="0"/>
              <w:autoSpaceDE w:val="0"/>
              <w:autoSpaceDN w:val="0"/>
              <w:spacing w:before="159"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38.00±1.00</w:t>
            </w:r>
          </w:p>
        </w:tc>
        <w:tc>
          <w:tcPr>
            <w:tcW w:w="2614" w:type="dxa"/>
            <w:tcBorders>
              <w:top w:val="single" w:sz="4" w:space="0" w:color="auto"/>
            </w:tcBorders>
          </w:tcPr>
          <w:p w:rsidR="00B66E73" w:rsidRDefault="004C2859">
            <w:pPr>
              <w:widowControl w:val="0"/>
              <w:autoSpaceDE w:val="0"/>
              <w:autoSpaceDN w:val="0"/>
              <w:spacing w:before="159"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47.00±1.00</w:t>
            </w:r>
          </w:p>
        </w:tc>
      </w:tr>
      <w:tr w:rsidR="00B66E73">
        <w:trPr>
          <w:trHeight w:val="552"/>
        </w:trPr>
        <w:tc>
          <w:tcPr>
            <w:tcW w:w="2382" w:type="dxa"/>
          </w:tcPr>
          <w:p w:rsidR="00B66E73" w:rsidRDefault="004C2859">
            <w:pPr>
              <w:widowControl w:val="0"/>
              <w:autoSpaceDE w:val="0"/>
              <w:autoSpaceDN w:val="0"/>
              <w:spacing w:before="153" w:after="0" w:line="240" w:lineRule="auto"/>
              <w:ind w:left="108"/>
              <w:rPr>
                <w:rFonts w:ascii="Times New Roman" w:eastAsia="Times New Roman" w:hAnsi="Times New Roman" w:cs="Times New Roman"/>
                <w:sz w:val="24"/>
              </w:rPr>
            </w:pPr>
            <w:r>
              <w:rPr>
                <w:rFonts w:ascii="Times New Roman" w:eastAsia="Times New Roman" w:hAnsi="Times New Roman" w:cs="Times New Roman"/>
                <w:spacing w:val="-1"/>
                <w:sz w:val="24"/>
              </w:rPr>
              <w:t>ALT</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1"/>
                <w:sz w:val="24"/>
              </w:rPr>
              <w:t>µ/l</w:t>
            </w:r>
          </w:p>
        </w:tc>
        <w:tc>
          <w:tcPr>
            <w:tcW w:w="2221" w:type="dxa"/>
          </w:tcPr>
          <w:p w:rsidR="00B66E73" w:rsidRDefault="004C2859">
            <w:pPr>
              <w:widowControl w:val="0"/>
              <w:autoSpaceDE w:val="0"/>
              <w:autoSpaceDN w:val="0"/>
              <w:spacing w:before="153"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20.00±1.00</w:t>
            </w:r>
          </w:p>
        </w:tc>
        <w:tc>
          <w:tcPr>
            <w:tcW w:w="2028" w:type="dxa"/>
          </w:tcPr>
          <w:p w:rsidR="00B66E73" w:rsidRDefault="004C2859">
            <w:pPr>
              <w:widowControl w:val="0"/>
              <w:autoSpaceDE w:val="0"/>
              <w:autoSpaceDN w:val="0"/>
              <w:spacing w:before="153"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22.00±1.00</w:t>
            </w:r>
          </w:p>
        </w:tc>
        <w:tc>
          <w:tcPr>
            <w:tcW w:w="2614" w:type="dxa"/>
          </w:tcPr>
          <w:p w:rsidR="00B66E73" w:rsidRDefault="004C2859">
            <w:pPr>
              <w:widowControl w:val="0"/>
              <w:autoSpaceDE w:val="0"/>
              <w:autoSpaceDN w:val="0"/>
              <w:spacing w:before="153"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31.70±6.51</w:t>
            </w:r>
          </w:p>
        </w:tc>
      </w:tr>
      <w:tr w:rsidR="00B66E73">
        <w:trPr>
          <w:trHeight w:val="552"/>
        </w:trPr>
        <w:tc>
          <w:tcPr>
            <w:tcW w:w="2382" w:type="dxa"/>
          </w:tcPr>
          <w:p w:rsidR="00B66E73" w:rsidRDefault="004C2859">
            <w:pPr>
              <w:widowControl w:val="0"/>
              <w:autoSpaceDE w:val="0"/>
              <w:autoSpaceDN w:val="0"/>
              <w:spacing w:before="153" w:after="0" w:line="240" w:lineRule="auto"/>
              <w:ind w:left="108"/>
              <w:rPr>
                <w:rFonts w:ascii="Times New Roman" w:eastAsia="Times New Roman" w:hAnsi="Times New Roman" w:cs="Times New Roman"/>
                <w:sz w:val="24"/>
              </w:rPr>
            </w:pPr>
            <w:r>
              <w:rPr>
                <w:rFonts w:ascii="Times New Roman" w:eastAsia="Times New Roman" w:hAnsi="Times New Roman" w:cs="Times New Roman"/>
                <w:sz w:val="24"/>
              </w:rPr>
              <w:t>ALP</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g/l</w:t>
            </w:r>
          </w:p>
        </w:tc>
        <w:tc>
          <w:tcPr>
            <w:tcW w:w="2221" w:type="dxa"/>
          </w:tcPr>
          <w:p w:rsidR="00B66E73" w:rsidRDefault="004C2859">
            <w:pPr>
              <w:widowControl w:val="0"/>
              <w:autoSpaceDE w:val="0"/>
              <w:autoSpaceDN w:val="0"/>
              <w:spacing w:before="153"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41.50±1.50</w:t>
            </w:r>
          </w:p>
        </w:tc>
        <w:tc>
          <w:tcPr>
            <w:tcW w:w="2028" w:type="dxa"/>
          </w:tcPr>
          <w:p w:rsidR="00B66E73" w:rsidRDefault="004C2859">
            <w:pPr>
              <w:widowControl w:val="0"/>
              <w:autoSpaceDE w:val="0"/>
              <w:autoSpaceDN w:val="0"/>
              <w:spacing w:before="153"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45.00±1.00</w:t>
            </w:r>
          </w:p>
        </w:tc>
        <w:tc>
          <w:tcPr>
            <w:tcW w:w="2614" w:type="dxa"/>
          </w:tcPr>
          <w:p w:rsidR="00B66E73" w:rsidRDefault="004C2859">
            <w:pPr>
              <w:widowControl w:val="0"/>
              <w:autoSpaceDE w:val="0"/>
              <w:autoSpaceDN w:val="0"/>
              <w:spacing w:before="153"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47.00±1.00</w:t>
            </w:r>
          </w:p>
        </w:tc>
      </w:tr>
      <w:tr w:rsidR="00B66E73">
        <w:trPr>
          <w:trHeight w:val="550"/>
        </w:trPr>
        <w:tc>
          <w:tcPr>
            <w:tcW w:w="2382" w:type="dxa"/>
          </w:tcPr>
          <w:p w:rsidR="00B66E73" w:rsidRDefault="004C2859">
            <w:pPr>
              <w:widowControl w:val="0"/>
              <w:autoSpaceDE w:val="0"/>
              <w:autoSpaceDN w:val="0"/>
              <w:spacing w:before="153" w:after="0" w:line="240" w:lineRule="auto"/>
              <w:ind w:left="108"/>
              <w:rPr>
                <w:rFonts w:ascii="Times New Roman" w:eastAsia="Times New Roman" w:hAnsi="Times New Roman" w:cs="Times New Roman"/>
                <w:sz w:val="24"/>
              </w:rPr>
            </w:pPr>
            <w:r>
              <w:rPr>
                <w:rFonts w:ascii="Times New Roman" w:eastAsia="Times New Roman" w:hAnsi="Times New Roman" w:cs="Times New Roman"/>
                <w:spacing w:val="-2"/>
                <w:sz w:val="24"/>
              </w:rPr>
              <w:t>T.P</w:t>
            </w:r>
            <w:r>
              <w:rPr>
                <w:rFonts w:ascii="Times New Roman" w:eastAsia="Times New Roman" w:hAnsi="Times New Roman" w:cs="Times New Roman"/>
                <w:spacing w:val="-13"/>
                <w:sz w:val="24"/>
              </w:rPr>
              <w:t xml:space="preserve"> </w:t>
            </w:r>
            <w:r>
              <w:rPr>
                <w:rFonts w:ascii="Times New Roman" w:eastAsia="Times New Roman" w:hAnsi="Times New Roman" w:cs="Times New Roman"/>
                <w:spacing w:val="-2"/>
                <w:sz w:val="24"/>
              </w:rPr>
              <w:t>g/l</w:t>
            </w:r>
          </w:p>
        </w:tc>
        <w:tc>
          <w:tcPr>
            <w:tcW w:w="2221" w:type="dxa"/>
          </w:tcPr>
          <w:p w:rsidR="00B66E73" w:rsidRDefault="004C2859">
            <w:pPr>
              <w:widowControl w:val="0"/>
              <w:autoSpaceDE w:val="0"/>
              <w:autoSpaceDN w:val="0"/>
              <w:spacing w:before="153"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63.00±2.00</w:t>
            </w:r>
          </w:p>
        </w:tc>
        <w:tc>
          <w:tcPr>
            <w:tcW w:w="2028" w:type="dxa"/>
          </w:tcPr>
          <w:p w:rsidR="00B66E73" w:rsidRDefault="004C2859">
            <w:pPr>
              <w:widowControl w:val="0"/>
              <w:autoSpaceDE w:val="0"/>
              <w:autoSpaceDN w:val="0"/>
              <w:spacing w:before="153"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61.70±4.04</w:t>
            </w:r>
          </w:p>
        </w:tc>
        <w:tc>
          <w:tcPr>
            <w:tcW w:w="2614" w:type="dxa"/>
          </w:tcPr>
          <w:p w:rsidR="00B66E73" w:rsidRDefault="004C2859">
            <w:pPr>
              <w:widowControl w:val="0"/>
              <w:autoSpaceDE w:val="0"/>
              <w:autoSpaceDN w:val="0"/>
              <w:spacing w:before="153"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61.00±1.00</w:t>
            </w:r>
          </w:p>
        </w:tc>
      </w:tr>
      <w:tr w:rsidR="00B66E73">
        <w:trPr>
          <w:trHeight w:val="550"/>
        </w:trPr>
        <w:tc>
          <w:tcPr>
            <w:tcW w:w="2382" w:type="dxa"/>
          </w:tcPr>
          <w:p w:rsidR="00B66E73" w:rsidRDefault="004C2859">
            <w:pPr>
              <w:widowControl w:val="0"/>
              <w:autoSpaceDE w:val="0"/>
              <w:autoSpaceDN w:val="0"/>
              <w:spacing w:before="151" w:after="0" w:line="240" w:lineRule="auto"/>
              <w:ind w:left="108"/>
              <w:rPr>
                <w:rFonts w:ascii="Times New Roman" w:eastAsia="Times New Roman" w:hAnsi="Times New Roman" w:cs="Times New Roman"/>
                <w:sz w:val="24"/>
              </w:rPr>
            </w:pPr>
            <w:r>
              <w:rPr>
                <w:rFonts w:ascii="Times New Roman" w:eastAsia="Times New Roman" w:hAnsi="Times New Roman" w:cs="Times New Roman"/>
                <w:sz w:val="24"/>
              </w:rPr>
              <w:t>ALB</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µmol/l</w:t>
            </w:r>
          </w:p>
        </w:tc>
        <w:tc>
          <w:tcPr>
            <w:tcW w:w="2221" w:type="dxa"/>
          </w:tcPr>
          <w:p w:rsidR="00B66E73" w:rsidRDefault="004C2859">
            <w:pPr>
              <w:widowControl w:val="0"/>
              <w:autoSpaceDE w:val="0"/>
              <w:autoSpaceDN w:val="0"/>
              <w:spacing w:before="151"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40.00±1.00</w:t>
            </w:r>
          </w:p>
        </w:tc>
        <w:tc>
          <w:tcPr>
            <w:tcW w:w="2028" w:type="dxa"/>
          </w:tcPr>
          <w:p w:rsidR="00B66E73" w:rsidRDefault="004C2859">
            <w:pPr>
              <w:widowControl w:val="0"/>
              <w:autoSpaceDE w:val="0"/>
              <w:autoSpaceDN w:val="0"/>
              <w:spacing w:before="151"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41.00±1.00</w:t>
            </w:r>
          </w:p>
        </w:tc>
        <w:tc>
          <w:tcPr>
            <w:tcW w:w="2614" w:type="dxa"/>
          </w:tcPr>
          <w:p w:rsidR="00B66E73" w:rsidRDefault="004C2859">
            <w:pPr>
              <w:widowControl w:val="0"/>
              <w:autoSpaceDE w:val="0"/>
              <w:autoSpaceDN w:val="0"/>
              <w:spacing w:before="151"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39.00±4.00</w:t>
            </w:r>
          </w:p>
        </w:tc>
      </w:tr>
      <w:tr w:rsidR="00B66E73">
        <w:trPr>
          <w:trHeight w:val="552"/>
        </w:trPr>
        <w:tc>
          <w:tcPr>
            <w:tcW w:w="2382" w:type="dxa"/>
          </w:tcPr>
          <w:p w:rsidR="00B66E73" w:rsidRDefault="004C2859">
            <w:pPr>
              <w:widowControl w:val="0"/>
              <w:autoSpaceDE w:val="0"/>
              <w:autoSpaceDN w:val="0"/>
              <w:spacing w:before="153" w:after="0" w:line="240" w:lineRule="auto"/>
              <w:ind w:left="108"/>
              <w:rPr>
                <w:rFonts w:ascii="Times New Roman" w:eastAsia="Times New Roman" w:hAnsi="Times New Roman" w:cs="Times New Roman"/>
                <w:sz w:val="24"/>
              </w:rPr>
            </w:pPr>
            <w:r>
              <w:rPr>
                <w:rFonts w:ascii="Times New Roman" w:eastAsia="Times New Roman" w:hAnsi="Times New Roman" w:cs="Times New Roman"/>
                <w:sz w:val="24"/>
              </w:rPr>
              <w:lastRenderedPageBreak/>
              <w:t>T.B</w:t>
            </w:r>
            <w:r>
              <w:rPr>
                <w:rFonts w:ascii="Times New Roman" w:eastAsia="Times New Roman" w:hAnsi="Times New Roman" w:cs="Times New Roman"/>
                <w:spacing w:val="-10"/>
                <w:sz w:val="24"/>
              </w:rPr>
              <w:t xml:space="preserve"> </w:t>
            </w:r>
            <w:r>
              <w:rPr>
                <w:rFonts w:ascii="Times New Roman" w:eastAsia="Times New Roman" w:hAnsi="Times New Roman" w:cs="Times New Roman"/>
                <w:sz w:val="24"/>
              </w:rPr>
              <w:t>µmol/l</w:t>
            </w:r>
          </w:p>
        </w:tc>
        <w:tc>
          <w:tcPr>
            <w:tcW w:w="2221" w:type="dxa"/>
          </w:tcPr>
          <w:p w:rsidR="00B66E73" w:rsidRDefault="004C2859">
            <w:pPr>
              <w:widowControl w:val="0"/>
              <w:autoSpaceDE w:val="0"/>
              <w:autoSpaceDN w:val="0"/>
              <w:spacing w:before="153"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7.75±0.25</w:t>
            </w:r>
          </w:p>
        </w:tc>
        <w:tc>
          <w:tcPr>
            <w:tcW w:w="2028" w:type="dxa"/>
          </w:tcPr>
          <w:p w:rsidR="00B66E73" w:rsidRDefault="004C2859">
            <w:pPr>
              <w:widowControl w:val="0"/>
              <w:autoSpaceDE w:val="0"/>
              <w:autoSpaceDN w:val="0"/>
              <w:spacing w:before="153"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7.63±0.15</w:t>
            </w:r>
          </w:p>
        </w:tc>
        <w:tc>
          <w:tcPr>
            <w:tcW w:w="2614" w:type="dxa"/>
          </w:tcPr>
          <w:p w:rsidR="00B66E73" w:rsidRDefault="004C2859">
            <w:pPr>
              <w:widowControl w:val="0"/>
              <w:autoSpaceDE w:val="0"/>
              <w:autoSpaceDN w:val="0"/>
              <w:spacing w:before="153"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7.25±1.25</w:t>
            </w:r>
          </w:p>
        </w:tc>
      </w:tr>
      <w:tr w:rsidR="00B66E73">
        <w:trPr>
          <w:trHeight w:val="552"/>
        </w:trPr>
        <w:tc>
          <w:tcPr>
            <w:tcW w:w="2382" w:type="dxa"/>
          </w:tcPr>
          <w:p w:rsidR="00B66E73" w:rsidRDefault="004C2859">
            <w:pPr>
              <w:widowControl w:val="0"/>
              <w:autoSpaceDE w:val="0"/>
              <w:autoSpaceDN w:val="0"/>
              <w:spacing w:before="153" w:after="0" w:line="240" w:lineRule="auto"/>
              <w:ind w:left="108"/>
              <w:rPr>
                <w:rFonts w:ascii="Times New Roman" w:eastAsia="Times New Roman" w:hAnsi="Times New Roman" w:cs="Times New Roman"/>
                <w:sz w:val="24"/>
              </w:rPr>
            </w:pPr>
            <w:r>
              <w:rPr>
                <w:rFonts w:ascii="Times New Roman" w:eastAsia="Times New Roman" w:hAnsi="Times New Roman" w:cs="Times New Roman"/>
                <w:sz w:val="24"/>
              </w:rPr>
              <w:t>C.B</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mmol/l</w:t>
            </w:r>
          </w:p>
        </w:tc>
        <w:tc>
          <w:tcPr>
            <w:tcW w:w="2221" w:type="dxa"/>
          </w:tcPr>
          <w:p w:rsidR="00B66E73" w:rsidRDefault="004C2859">
            <w:pPr>
              <w:widowControl w:val="0"/>
              <w:autoSpaceDE w:val="0"/>
              <w:autoSpaceDN w:val="0"/>
              <w:spacing w:before="153"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5.15±0.35</w:t>
            </w:r>
          </w:p>
        </w:tc>
        <w:tc>
          <w:tcPr>
            <w:tcW w:w="2028" w:type="dxa"/>
          </w:tcPr>
          <w:p w:rsidR="00B66E73" w:rsidRDefault="004C2859">
            <w:pPr>
              <w:widowControl w:val="0"/>
              <w:autoSpaceDE w:val="0"/>
              <w:autoSpaceDN w:val="0"/>
              <w:spacing w:before="153"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5.30±0.26</w:t>
            </w:r>
          </w:p>
        </w:tc>
        <w:tc>
          <w:tcPr>
            <w:tcW w:w="2614" w:type="dxa"/>
          </w:tcPr>
          <w:p w:rsidR="00B66E73" w:rsidRDefault="004C2859">
            <w:pPr>
              <w:widowControl w:val="0"/>
              <w:autoSpaceDE w:val="0"/>
              <w:autoSpaceDN w:val="0"/>
              <w:spacing w:before="153"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4.50±1.30</w:t>
            </w:r>
          </w:p>
        </w:tc>
      </w:tr>
      <w:tr w:rsidR="00B66E73">
        <w:trPr>
          <w:trHeight w:val="552"/>
        </w:trPr>
        <w:tc>
          <w:tcPr>
            <w:tcW w:w="2382" w:type="dxa"/>
          </w:tcPr>
          <w:p w:rsidR="00B66E73" w:rsidRDefault="004C2859">
            <w:pPr>
              <w:widowControl w:val="0"/>
              <w:autoSpaceDE w:val="0"/>
              <w:autoSpaceDN w:val="0"/>
              <w:spacing w:before="153" w:after="0" w:line="240" w:lineRule="auto"/>
              <w:ind w:left="108"/>
              <w:rPr>
                <w:rFonts w:ascii="Times New Roman" w:eastAsia="Times New Roman" w:hAnsi="Times New Roman" w:cs="Times New Roman"/>
                <w:sz w:val="24"/>
              </w:rPr>
            </w:pPr>
            <w:r>
              <w:rPr>
                <w:rFonts w:ascii="Times New Roman" w:eastAsia="Times New Roman" w:hAnsi="Times New Roman" w:cs="Times New Roman"/>
                <w:sz w:val="24"/>
              </w:rPr>
              <w:t>SOD</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µmol/l</w:t>
            </w:r>
          </w:p>
        </w:tc>
        <w:tc>
          <w:tcPr>
            <w:tcW w:w="2221" w:type="dxa"/>
          </w:tcPr>
          <w:p w:rsidR="00B66E73" w:rsidRDefault="004C2859">
            <w:pPr>
              <w:widowControl w:val="0"/>
              <w:autoSpaceDE w:val="0"/>
              <w:autoSpaceDN w:val="0"/>
              <w:spacing w:before="153" w:after="0" w:line="240" w:lineRule="auto"/>
              <w:ind w:left="611"/>
              <w:rPr>
                <w:rFonts w:ascii="Times New Roman" w:eastAsia="Times New Roman" w:hAnsi="Times New Roman" w:cs="Times New Roman"/>
                <w:sz w:val="24"/>
              </w:rPr>
            </w:pPr>
            <w:r>
              <w:rPr>
                <w:rFonts w:ascii="Times New Roman" w:eastAsia="Times New Roman" w:hAnsi="Times New Roman" w:cs="Times New Roman"/>
                <w:sz w:val="24"/>
              </w:rPr>
              <w:t>0.40±0.05</w:t>
            </w:r>
          </w:p>
        </w:tc>
        <w:tc>
          <w:tcPr>
            <w:tcW w:w="2028" w:type="dxa"/>
          </w:tcPr>
          <w:p w:rsidR="00B66E73" w:rsidRDefault="004C2859">
            <w:pPr>
              <w:widowControl w:val="0"/>
              <w:autoSpaceDE w:val="0"/>
              <w:autoSpaceDN w:val="0"/>
              <w:spacing w:before="153" w:after="0" w:line="240" w:lineRule="auto"/>
              <w:ind w:left="445"/>
              <w:rPr>
                <w:rFonts w:ascii="Times New Roman" w:eastAsia="Times New Roman" w:hAnsi="Times New Roman" w:cs="Times New Roman"/>
                <w:sz w:val="24"/>
              </w:rPr>
            </w:pPr>
            <w:r>
              <w:rPr>
                <w:rFonts w:ascii="Times New Roman" w:eastAsia="Times New Roman" w:hAnsi="Times New Roman" w:cs="Times New Roman"/>
                <w:sz w:val="24"/>
              </w:rPr>
              <w:t>0.24±0.09</w:t>
            </w:r>
          </w:p>
        </w:tc>
        <w:tc>
          <w:tcPr>
            <w:tcW w:w="2614" w:type="dxa"/>
          </w:tcPr>
          <w:p w:rsidR="00B66E73" w:rsidRDefault="004C2859">
            <w:pPr>
              <w:widowControl w:val="0"/>
              <w:autoSpaceDE w:val="0"/>
              <w:autoSpaceDN w:val="0"/>
              <w:spacing w:before="153" w:after="0" w:line="240" w:lineRule="auto"/>
              <w:ind w:left="409"/>
              <w:rPr>
                <w:rFonts w:ascii="Times New Roman" w:eastAsia="Times New Roman" w:hAnsi="Times New Roman" w:cs="Times New Roman"/>
                <w:sz w:val="24"/>
              </w:rPr>
            </w:pPr>
            <w:r>
              <w:rPr>
                <w:rFonts w:ascii="Times New Roman" w:eastAsia="Times New Roman" w:hAnsi="Times New Roman" w:cs="Times New Roman"/>
                <w:sz w:val="24"/>
              </w:rPr>
              <w:t>0.15±0.02</w:t>
            </w:r>
          </w:p>
        </w:tc>
      </w:tr>
      <w:tr w:rsidR="00B66E73">
        <w:trPr>
          <w:trHeight w:val="216"/>
        </w:trPr>
        <w:tc>
          <w:tcPr>
            <w:tcW w:w="2382" w:type="dxa"/>
            <w:tcBorders>
              <w:bottom w:val="single" w:sz="4" w:space="0" w:color="auto"/>
            </w:tcBorders>
          </w:tcPr>
          <w:p w:rsidR="00B66E73" w:rsidRDefault="004C2859">
            <w:pPr>
              <w:widowControl w:val="0"/>
              <w:autoSpaceDE w:val="0"/>
              <w:autoSpaceDN w:val="0"/>
              <w:spacing w:before="153" w:after="0" w:line="256" w:lineRule="exact"/>
              <w:ind w:left="108"/>
              <w:rPr>
                <w:rFonts w:ascii="Times New Roman" w:eastAsia="Times New Roman" w:hAnsi="Times New Roman" w:cs="Times New Roman"/>
                <w:sz w:val="24"/>
              </w:rPr>
            </w:pPr>
            <w:r>
              <w:rPr>
                <w:rFonts w:ascii="Times New Roman" w:eastAsia="Times New Roman" w:hAnsi="Times New Roman" w:cs="Times New Roman"/>
                <w:spacing w:val="-1"/>
                <w:sz w:val="24"/>
              </w:rPr>
              <w:t>MDA</w:t>
            </w:r>
            <w:r>
              <w:rPr>
                <w:rFonts w:ascii="Times New Roman" w:eastAsia="Times New Roman" w:hAnsi="Times New Roman" w:cs="Times New Roman"/>
                <w:spacing w:val="-16"/>
                <w:sz w:val="24"/>
              </w:rPr>
              <w:t xml:space="preserve"> </w:t>
            </w:r>
            <w:r>
              <w:rPr>
                <w:rFonts w:ascii="Times New Roman" w:eastAsia="Times New Roman" w:hAnsi="Times New Roman" w:cs="Times New Roman"/>
                <w:sz w:val="24"/>
              </w:rPr>
              <w:t>µ/l</w:t>
            </w:r>
          </w:p>
        </w:tc>
        <w:tc>
          <w:tcPr>
            <w:tcW w:w="2221" w:type="dxa"/>
            <w:tcBorders>
              <w:bottom w:val="single" w:sz="4" w:space="0" w:color="auto"/>
            </w:tcBorders>
          </w:tcPr>
          <w:p w:rsidR="00B66E73" w:rsidRDefault="004C2859">
            <w:pPr>
              <w:widowControl w:val="0"/>
              <w:autoSpaceDE w:val="0"/>
              <w:autoSpaceDN w:val="0"/>
              <w:spacing w:before="153" w:after="0" w:line="256" w:lineRule="exact"/>
              <w:ind w:left="611"/>
              <w:rPr>
                <w:rFonts w:ascii="Times New Roman" w:eastAsia="Times New Roman" w:hAnsi="Times New Roman" w:cs="Times New Roman"/>
                <w:sz w:val="24"/>
              </w:rPr>
            </w:pPr>
            <w:r>
              <w:rPr>
                <w:rFonts w:ascii="Times New Roman" w:eastAsia="Times New Roman" w:hAnsi="Times New Roman" w:cs="Times New Roman"/>
                <w:sz w:val="24"/>
              </w:rPr>
              <w:t>0.38±0.10</w:t>
            </w:r>
          </w:p>
        </w:tc>
        <w:tc>
          <w:tcPr>
            <w:tcW w:w="2028" w:type="dxa"/>
            <w:tcBorders>
              <w:bottom w:val="single" w:sz="4" w:space="0" w:color="auto"/>
            </w:tcBorders>
          </w:tcPr>
          <w:p w:rsidR="00B66E73" w:rsidRDefault="004C2859">
            <w:pPr>
              <w:widowControl w:val="0"/>
              <w:autoSpaceDE w:val="0"/>
              <w:autoSpaceDN w:val="0"/>
              <w:spacing w:before="153" w:after="0" w:line="256" w:lineRule="exact"/>
              <w:ind w:left="445"/>
              <w:rPr>
                <w:rFonts w:ascii="Times New Roman" w:eastAsia="Times New Roman" w:hAnsi="Times New Roman" w:cs="Times New Roman"/>
                <w:sz w:val="24"/>
              </w:rPr>
            </w:pPr>
            <w:r>
              <w:rPr>
                <w:rFonts w:ascii="Times New Roman" w:eastAsia="Times New Roman" w:hAnsi="Times New Roman" w:cs="Times New Roman"/>
                <w:sz w:val="24"/>
              </w:rPr>
              <w:t>0.50±0.07</w:t>
            </w:r>
          </w:p>
        </w:tc>
        <w:tc>
          <w:tcPr>
            <w:tcW w:w="2614" w:type="dxa"/>
            <w:tcBorders>
              <w:bottom w:val="single" w:sz="4" w:space="0" w:color="auto"/>
            </w:tcBorders>
          </w:tcPr>
          <w:p w:rsidR="00B66E73" w:rsidRDefault="004C2859">
            <w:pPr>
              <w:widowControl w:val="0"/>
              <w:autoSpaceDE w:val="0"/>
              <w:autoSpaceDN w:val="0"/>
              <w:spacing w:before="153" w:after="0" w:line="256" w:lineRule="exact"/>
              <w:ind w:left="409"/>
              <w:rPr>
                <w:rFonts w:ascii="Times New Roman" w:eastAsia="Times New Roman" w:hAnsi="Times New Roman" w:cs="Times New Roman"/>
                <w:sz w:val="24"/>
              </w:rPr>
            </w:pPr>
            <w:r>
              <w:rPr>
                <w:rFonts w:ascii="Times New Roman" w:eastAsia="Times New Roman" w:hAnsi="Times New Roman" w:cs="Times New Roman"/>
                <w:sz w:val="24"/>
              </w:rPr>
              <w:t>0.56±0.05</w:t>
            </w:r>
          </w:p>
        </w:tc>
      </w:tr>
      <w:bookmarkEnd w:id="3"/>
    </w:tbl>
    <w:p w:rsidR="00B66E73" w:rsidRDefault="00B66E73">
      <w:pPr>
        <w:jc w:val="both"/>
        <w:rPr>
          <w:rFonts w:ascii="Times New Roman" w:hAnsi="Times New Roman" w:cs="Times New Roman"/>
          <w:b/>
          <w:bCs/>
          <w:sz w:val="24"/>
          <w:szCs w:val="24"/>
        </w:rPr>
      </w:pPr>
    </w:p>
    <w:p w:rsidR="00B66E73" w:rsidRDefault="004C2859">
      <w:pPr>
        <w:spacing w:after="0"/>
        <w:jc w:val="center"/>
        <w:rPr>
          <w:rFonts w:ascii="Times New Roman" w:hAnsi="Times New Roman" w:cs="Times New Roman"/>
          <w:b/>
          <w:bCs/>
        </w:rPr>
      </w:pPr>
      <w:r>
        <w:rPr>
          <w:rFonts w:ascii="Times New Roman" w:hAnsi="Times New Roman" w:cs="Times New Roman"/>
          <w:b/>
          <w:bCs/>
        </w:rPr>
        <w:t>Table 3: Heavy Metal Concentrations in Blood Serum of Female Albino Rats Exposed to Water Pipe Tobacco</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2291"/>
        <w:gridCol w:w="1821"/>
        <w:gridCol w:w="1822"/>
        <w:gridCol w:w="1822"/>
        <w:gridCol w:w="1820"/>
      </w:tblGrid>
      <w:tr w:rsidR="00B66E73">
        <w:trPr>
          <w:trHeight w:val="300"/>
        </w:trPr>
        <w:tc>
          <w:tcPr>
            <w:tcW w:w="2160" w:type="dxa"/>
            <w:tcBorders>
              <w:bottom w:val="nil"/>
            </w:tcBorders>
            <w:vAlign w:val="bottom"/>
          </w:tcPr>
          <w:p w:rsidR="00B66E73" w:rsidRDefault="004C2859">
            <w:pPr>
              <w:spacing w:after="0" w:line="24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PARAMETERS</w:t>
            </w:r>
          </w:p>
        </w:tc>
        <w:tc>
          <w:tcPr>
            <w:tcW w:w="5151" w:type="dxa"/>
            <w:gridSpan w:val="3"/>
            <w:tcBorders>
              <w:bottom w:val="nil"/>
            </w:tcBorders>
          </w:tcPr>
          <w:p w:rsidR="00B66E73" w:rsidRDefault="00B66E73">
            <w:pPr>
              <w:spacing w:after="0" w:line="240" w:lineRule="auto"/>
              <w:jc w:val="center"/>
              <w:rPr>
                <w:rFonts w:ascii="Times New Roman" w:eastAsia="Times New Roman" w:hAnsi="Times New Roman" w:cs="Times New Roman"/>
                <w:b/>
                <w:color w:val="000000"/>
                <w:lang w:eastAsia="en-GB"/>
              </w:rPr>
            </w:pPr>
          </w:p>
        </w:tc>
        <w:tc>
          <w:tcPr>
            <w:tcW w:w="1715" w:type="dxa"/>
            <w:tcBorders>
              <w:bottom w:val="nil"/>
            </w:tcBorders>
          </w:tcPr>
          <w:p w:rsidR="00B66E73" w:rsidRDefault="00B66E73">
            <w:pPr>
              <w:spacing w:after="0" w:line="240" w:lineRule="auto"/>
              <w:jc w:val="center"/>
              <w:rPr>
                <w:rFonts w:ascii="Times New Roman" w:eastAsia="Times New Roman" w:hAnsi="Times New Roman" w:cs="Times New Roman"/>
                <w:b/>
                <w:color w:val="000000"/>
                <w:lang w:eastAsia="en-GB"/>
              </w:rPr>
            </w:pPr>
          </w:p>
        </w:tc>
      </w:tr>
      <w:tr w:rsidR="00B66E73">
        <w:trPr>
          <w:trHeight w:val="283"/>
        </w:trPr>
        <w:tc>
          <w:tcPr>
            <w:tcW w:w="2160" w:type="dxa"/>
            <w:tcBorders>
              <w:top w:val="nil"/>
              <w:bottom w:val="single" w:sz="4" w:space="0" w:color="auto"/>
            </w:tcBorders>
          </w:tcPr>
          <w:p w:rsidR="00B66E73" w:rsidRDefault="00B66E73">
            <w:pPr>
              <w:spacing w:after="0" w:line="240" w:lineRule="auto"/>
              <w:jc w:val="center"/>
              <w:rPr>
                <w:rFonts w:ascii="Times New Roman" w:eastAsia="Times New Roman" w:hAnsi="Times New Roman" w:cs="Times New Roman"/>
                <w:b/>
                <w:color w:val="000000"/>
                <w:lang w:eastAsia="en-GB"/>
              </w:rPr>
            </w:pPr>
          </w:p>
        </w:tc>
        <w:tc>
          <w:tcPr>
            <w:tcW w:w="1717" w:type="dxa"/>
            <w:tcBorders>
              <w:top w:val="nil"/>
              <w:bottom w:val="single" w:sz="4" w:space="0" w:color="auto"/>
            </w:tcBorders>
          </w:tcPr>
          <w:p w:rsidR="00B66E73" w:rsidRDefault="004C2859">
            <w:pPr>
              <w:spacing w:after="0" w:line="240" w:lineRule="auto"/>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Group 1</w:t>
            </w:r>
          </w:p>
          <w:p w:rsidR="00B66E73" w:rsidRDefault="004C2859">
            <w:pPr>
              <w:spacing w:after="0" w:line="240" w:lineRule="auto"/>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(Control)</w:t>
            </w:r>
          </w:p>
        </w:tc>
        <w:tc>
          <w:tcPr>
            <w:tcW w:w="1717" w:type="dxa"/>
            <w:tcBorders>
              <w:top w:val="nil"/>
              <w:bottom w:val="single" w:sz="4" w:space="0" w:color="auto"/>
            </w:tcBorders>
          </w:tcPr>
          <w:p w:rsidR="00B66E73" w:rsidRDefault="004C2859">
            <w:pPr>
              <w:spacing w:after="0" w:line="240" w:lineRule="auto"/>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Group 2</w:t>
            </w:r>
          </w:p>
        </w:tc>
        <w:tc>
          <w:tcPr>
            <w:tcW w:w="1717" w:type="dxa"/>
            <w:tcBorders>
              <w:top w:val="nil"/>
              <w:bottom w:val="single" w:sz="4" w:space="0" w:color="auto"/>
            </w:tcBorders>
          </w:tcPr>
          <w:p w:rsidR="00B66E73" w:rsidRDefault="004C2859">
            <w:pPr>
              <w:spacing w:after="0" w:line="240" w:lineRule="auto"/>
              <w:jc w:val="center"/>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Group 3</w:t>
            </w:r>
          </w:p>
        </w:tc>
        <w:tc>
          <w:tcPr>
            <w:tcW w:w="1715" w:type="dxa"/>
            <w:tcBorders>
              <w:top w:val="nil"/>
              <w:bottom w:val="single" w:sz="4" w:space="0" w:color="auto"/>
            </w:tcBorders>
          </w:tcPr>
          <w:p w:rsidR="00B66E73" w:rsidRDefault="00B66E73">
            <w:pPr>
              <w:spacing w:after="0" w:line="240" w:lineRule="auto"/>
              <w:rPr>
                <w:rFonts w:ascii="Times New Roman" w:eastAsia="Times New Roman" w:hAnsi="Times New Roman" w:cs="Times New Roman"/>
                <w:b/>
                <w:color w:val="000000"/>
                <w:lang w:eastAsia="en-GB"/>
              </w:rPr>
            </w:pPr>
          </w:p>
          <w:p w:rsidR="00B66E73" w:rsidRDefault="00B66E73">
            <w:pPr>
              <w:spacing w:after="0" w:line="240" w:lineRule="auto"/>
              <w:jc w:val="center"/>
              <w:rPr>
                <w:rFonts w:ascii="Times New Roman" w:eastAsia="Times New Roman" w:hAnsi="Times New Roman" w:cs="Times New Roman"/>
                <w:b/>
                <w:color w:val="000000"/>
                <w:lang w:eastAsia="en-GB"/>
              </w:rPr>
            </w:pPr>
          </w:p>
        </w:tc>
      </w:tr>
      <w:tr w:rsidR="00B66E73">
        <w:trPr>
          <w:trHeight w:val="300"/>
        </w:trPr>
        <w:tc>
          <w:tcPr>
            <w:tcW w:w="2160" w:type="dxa"/>
            <w:tcBorders>
              <w:top w:val="single" w:sz="4" w:space="0" w:color="auto"/>
            </w:tcBorders>
            <w:vAlign w:val="bottom"/>
          </w:tcPr>
          <w:p w:rsidR="00B66E73" w:rsidRDefault="004C2859">
            <w:pPr>
              <w:spacing w:after="0" w:line="36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Chromium mg/l</w:t>
            </w:r>
          </w:p>
        </w:tc>
        <w:tc>
          <w:tcPr>
            <w:tcW w:w="1717" w:type="dxa"/>
            <w:tcBorders>
              <w:top w:val="single" w:sz="4" w:space="0" w:color="auto"/>
            </w:tcBorders>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0.001±0.000</w:t>
            </w:r>
          </w:p>
        </w:tc>
        <w:tc>
          <w:tcPr>
            <w:tcW w:w="1717" w:type="dxa"/>
            <w:tcBorders>
              <w:top w:val="single" w:sz="4" w:space="0" w:color="auto"/>
            </w:tcBorders>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0.040±0.068</w:t>
            </w:r>
          </w:p>
        </w:tc>
        <w:tc>
          <w:tcPr>
            <w:tcW w:w="1717" w:type="dxa"/>
            <w:tcBorders>
              <w:top w:val="single" w:sz="4" w:space="0" w:color="auto"/>
            </w:tcBorders>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0.682±0.340</w:t>
            </w:r>
          </w:p>
        </w:tc>
        <w:tc>
          <w:tcPr>
            <w:tcW w:w="1715" w:type="dxa"/>
            <w:tcBorders>
              <w:top w:val="single" w:sz="4" w:space="0" w:color="auto"/>
            </w:tcBorders>
          </w:tcPr>
          <w:p w:rsidR="00B66E73" w:rsidRDefault="00B66E73">
            <w:pPr>
              <w:spacing w:after="0" w:line="360" w:lineRule="auto"/>
              <w:rPr>
                <w:rFonts w:ascii="Times New Roman" w:eastAsia="Times New Roman" w:hAnsi="Times New Roman" w:cs="Times New Roman"/>
                <w:color w:val="000000"/>
                <w:lang w:eastAsia="en-GB"/>
              </w:rPr>
            </w:pPr>
          </w:p>
        </w:tc>
      </w:tr>
      <w:tr w:rsidR="00B66E73">
        <w:trPr>
          <w:trHeight w:val="300"/>
        </w:trPr>
        <w:tc>
          <w:tcPr>
            <w:tcW w:w="2160" w:type="dxa"/>
            <w:vAlign w:val="bottom"/>
          </w:tcPr>
          <w:p w:rsidR="00B66E73" w:rsidRDefault="004C2859">
            <w:pPr>
              <w:spacing w:after="0" w:line="36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Nickel mg/l</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1.163±0.581</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1.946±1.692</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3.134±1.533</w:t>
            </w:r>
          </w:p>
        </w:tc>
        <w:tc>
          <w:tcPr>
            <w:tcW w:w="1715" w:type="dxa"/>
          </w:tcPr>
          <w:p w:rsidR="00B66E73" w:rsidRDefault="00B66E73">
            <w:pPr>
              <w:spacing w:after="0" w:line="360" w:lineRule="auto"/>
              <w:rPr>
                <w:rFonts w:ascii="Times New Roman" w:eastAsia="Times New Roman" w:hAnsi="Times New Roman" w:cs="Times New Roman"/>
                <w:color w:val="000000"/>
                <w:lang w:eastAsia="en-GB"/>
              </w:rPr>
            </w:pPr>
          </w:p>
        </w:tc>
      </w:tr>
      <w:tr w:rsidR="00B66E73">
        <w:trPr>
          <w:trHeight w:val="300"/>
        </w:trPr>
        <w:tc>
          <w:tcPr>
            <w:tcW w:w="2160" w:type="dxa"/>
            <w:vAlign w:val="bottom"/>
          </w:tcPr>
          <w:p w:rsidR="00B66E73" w:rsidRDefault="004C2859">
            <w:pPr>
              <w:spacing w:after="0" w:line="36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Cadmium mg/l</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0.060±0.030</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0.094±0.162</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0.836±0.346</w:t>
            </w:r>
          </w:p>
        </w:tc>
        <w:tc>
          <w:tcPr>
            <w:tcW w:w="1715" w:type="dxa"/>
          </w:tcPr>
          <w:p w:rsidR="00B66E73" w:rsidRDefault="00B66E73">
            <w:pPr>
              <w:spacing w:after="0" w:line="360" w:lineRule="auto"/>
              <w:rPr>
                <w:rFonts w:ascii="Times New Roman" w:eastAsia="Times New Roman" w:hAnsi="Times New Roman" w:cs="Times New Roman"/>
                <w:color w:val="000000"/>
                <w:lang w:eastAsia="en-GB"/>
              </w:rPr>
            </w:pPr>
          </w:p>
        </w:tc>
      </w:tr>
      <w:tr w:rsidR="00B66E73">
        <w:trPr>
          <w:trHeight w:val="300"/>
        </w:trPr>
        <w:tc>
          <w:tcPr>
            <w:tcW w:w="2160" w:type="dxa"/>
            <w:vAlign w:val="bottom"/>
          </w:tcPr>
          <w:p w:rsidR="00B66E73" w:rsidRDefault="004C2859">
            <w:pPr>
              <w:spacing w:after="0" w:line="36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Lead mg/l</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0.001±0.00</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0.721±1.247</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2.641±1.320</w:t>
            </w:r>
          </w:p>
        </w:tc>
        <w:tc>
          <w:tcPr>
            <w:tcW w:w="1715" w:type="dxa"/>
          </w:tcPr>
          <w:p w:rsidR="00B66E73" w:rsidRDefault="00B66E73">
            <w:pPr>
              <w:spacing w:after="0" w:line="360" w:lineRule="auto"/>
              <w:rPr>
                <w:rFonts w:ascii="Times New Roman" w:eastAsia="Times New Roman" w:hAnsi="Times New Roman" w:cs="Times New Roman"/>
                <w:color w:val="000000"/>
                <w:lang w:eastAsia="en-GB"/>
              </w:rPr>
            </w:pPr>
          </w:p>
        </w:tc>
      </w:tr>
      <w:tr w:rsidR="00B66E73">
        <w:trPr>
          <w:trHeight w:val="300"/>
        </w:trPr>
        <w:tc>
          <w:tcPr>
            <w:tcW w:w="2160" w:type="dxa"/>
            <w:vAlign w:val="bottom"/>
          </w:tcPr>
          <w:p w:rsidR="00B66E73" w:rsidRDefault="004C2859">
            <w:pPr>
              <w:spacing w:after="0" w:line="360" w:lineRule="auto"/>
              <w:rPr>
                <w:rFonts w:ascii="Times New Roman" w:eastAsia="Times New Roman" w:hAnsi="Times New Roman" w:cs="Times New Roman"/>
                <w:b/>
                <w:color w:val="000000"/>
                <w:lang w:eastAsia="en-GB"/>
              </w:rPr>
            </w:pPr>
            <w:r>
              <w:rPr>
                <w:rFonts w:ascii="Times New Roman" w:eastAsia="Times New Roman" w:hAnsi="Times New Roman" w:cs="Times New Roman"/>
                <w:b/>
                <w:color w:val="000000"/>
                <w:lang w:eastAsia="en-GB"/>
              </w:rPr>
              <w:t>Arsenic mg/l</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0.001±0.000</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0.001±0.000</w:t>
            </w:r>
          </w:p>
        </w:tc>
        <w:tc>
          <w:tcPr>
            <w:tcW w:w="1717" w:type="dxa"/>
            <w:vAlign w:val="bottom"/>
          </w:tcPr>
          <w:p w:rsidR="00B66E73" w:rsidRDefault="004C2859">
            <w:pPr>
              <w:spacing w:after="0"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xml:space="preserve">     0.002±0.000</w:t>
            </w:r>
          </w:p>
        </w:tc>
        <w:tc>
          <w:tcPr>
            <w:tcW w:w="1715" w:type="dxa"/>
          </w:tcPr>
          <w:p w:rsidR="00B66E73" w:rsidRDefault="00B66E73">
            <w:pPr>
              <w:spacing w:after="0" w:line="360" w:lineRule="auto"/>
              <w:rPr>
                <w:rFonts w:ascii="Times New Roman" w:eastAsia="Times New Roman" w:hAnsi="Times New Roman" w:cs="Times New Roman"/>
                <w:color w:val="000000"/>
                <w:lang w:eastAsia="en-GB"/>
              </w:rPr>
            </w:pPr>
          </w:p>
        </w:tc>
      </w:tr>
    </w:tbl>
    <w:p w:rsidR="00B66E73" w:rsidRDefault="00B66E73">
      <w:pPr>
        <w:spacing w:after="0"/>
        <w:rPr>
          <w:rFonts w:ascii="Times New Roman" w:hAnsi="Times New Roman" w:cs="Times New Roman"/>
          <w:b/>
          <w:bCs/>
        </w:rPr>
      </w:pPr>
    </w:p>
    <w:p w:rsidR="00B66E73" w:rsidRDefault="00B66E73">
      <w:pPr>
        <w:spacing w:after="0"/>
        <w:jc w:val="center"/>
        <w:rPr>
          <w:rFonts w:ascii="Times New Roman" w:hAnsi="Times New Roman" w:cs="Times New Roman"/>
          <w:b/>
          <w:bCs/>
        </w:rPr>
      </w:pPr>
    </w:p>
    <w:p w:rsidR="00B66E73" w:rsidRDefault="004C2859">
      <w:pPr>
        <w:spacing w:after="0"/>
        <w:jc w:val="center"/>
        <w:rPr>
          <w:rFonts w:ascii="Times New Roman" w:hAnsi="Times New Roman" w:cs="Times New Roman"/>
          <w:b/>
          <w:bCs/>
        </w:rPr>
      </w:pPr>
      <w:r>
        <w:rPr>
          <w:rFonts w:ascii="Times New Roman" w:hAnsi="Times New Roman" w:cs="Times New Roman"/>
          <w:b/>
          <w:bCs/>
        </w:rPr>
        <w:t>Table 4: Concentrations of Polycyclic Aromatic Hydrocarbons in Blood Serum of Female Albino Rats Exposed to Water Pipe Tobacco Smoke.</w:t>
      </w:r>
    </w:p>
    <w:tbl>
      <w:tblPr>
        <w:tblW w:w="5000" w:type="pct"/>
        <w:tblBorders>
          <w:top w:val="single" w:sz="4" w:space="0" w:color="auto"/>
          <w:bottom w:val="single" w:sz="4" w:space="0" w:color="auto"/>
        </w:tblBorders>
        <w:tblLook w:val="04A0" w:firstRow="1" w:lastRow="0" w:firstColumn="1" w:lastColumn="0" w:noHBand="0" w:noVBand="1"/>
      </w:tblPr>
      <w:tblGrid>
        <w:gridCol w:w="2902"/>
        <w:gridCol w:w="1471"/>
        <w:gridCol w:w="1909"/>
        <w:gridCol w:w="3294"/>
      </w:tblGrid>
      <w:tr w:rsidR="00B66E73">
        <w:trPr>
          <w:trHeight w:val="300"/>
        </w:trPr>
        <w:tc>
          <w:tcPr>
            <w:tcW w:w="1515" w:type="pct"/>
            <w:tcBorders>
              <w:top w:val="single" w:sz="4" w:space="0" w:color="auto"/>
              <w:bottom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PAH Components (mg/l)</w:t>
            </w:r>
          </w:p>
          <w:p w:rsidR="00B66E73" w:rsidRDefault="00B66E73">
            <w:pPr>
              <w:spacing w:after="0" w:line="240" w:lineRule="auto"/>
              <w:jc w:val="both"/>
              <w:rPr>
                <w:rFonts w:ascii="Times New Roman" w:eastAsia="Times New Roman" w:hAnsi="Times New Roman" w:cs="Times New Roman"/>
                <w:b/>
                <w:lang w:eastAsia="en-GB"/>
              </w:rPr>
            </w:pPr>
          </w:p>
        </w:tc>
        <w:tc>
          <w:tcPr>
            <w:tcW w:w="768" w:type="pct"/>
            <w:tcBorders>
              <w:top w:val="single" w:sz="4" w:space="0" w:color="auto"/>
              <w:bottom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Group 1</w:t>
            </w:r>
          </w:p>
          <w:p w:rsidR="00B66E73" w:rsidRDefault="004C2859">
            <w:pPr>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(Control)</w:t>
            </w:r>
          </w:p>
        </w:tc>
        <w:tc>
          <w:tcPr>
            <w:tcW w:w="997" w:type="pct"/>
            <w:tcBorders>
              <w:top w:val="single" w:sz="4" w:space="0" w:color="auto"/>
              <w:bottom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Group 2</w:t>
            </w:r>
          </w:p>
          <w:p w:rsidR="00B66E73" w:rsidRDefault="00B66E73">
            <w:pPr>
              <w:spacing w:after="0" w:line="240" w:lineRule="auto"/>
              <w:jc w:val="both"/>
              <w:rPr>
                <w:rFonts w:ascii="Times New Roman" w:eastAsia="Times New Roman" w:hAnsi="Times New Roman" w:cs="Times New Roman"/>
                <w:b/>
                <w:lang w:eastAsia="en-GB"/>
              </w:rPr>
            </w:pPr>
          </w:p>
        </w:tc>
        <w:tc>
          <w:tcPr>
            <w:tcW w:w="1720" w:type="pct"/>
            <w:tcBorders>
              <w:top w:val="single" w:sz="4" w:space="0" w:color="auto"/>
              <w:bottom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b/>
                <w:lang w:eastAsia="en-GB"/>
              </w:rPr>
            </w:pPr>
            <w:r>
              <w:rPr>
                <w:rFonts w:ascii="Times New Roman" w:eastAsia="Times New Roman" w:hAnsi="Times New Roman" w:cs="Times New Roman"/>
                <w:b/>
                <w:lang w:eastAsia="en-GB"/>
              </w:rPr>
              <w:t>Group 3</w:t>
            </w:r>
          </w:p>
          <w:p w:rsidR="00B66E73" w:rsidRDefault="00B66E73">
            <w:pPr>
              <w:spacing w:after="0" w:line="240" w:lineRule="auto"/>
              <w:jc w:val="both"/>
              <w:rPr>
                <w:rFonts w:ascii="Times New Roman" w:eastAsia="Times New Roman" w:hAnsi="Times New Roman" w:cs="Times New Roman"/>
                <w:b/>
                <w:lang w:eastAsia="en-GB"/>
              </w:rPr>
            </w:pPr>
          </w:p>
        </w:tc>
      </w:tr>
      <w:tr w:rsidR="00B66E73">
        <w:trPr>
          <w:trHeight w:val="300"/>
        </w:trPr>
        <w:tc>
          <w:tcPr>
            <w:tcW w:w="1515" w:type="pct"/>
            <w:tcBorders>
              <w:top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Naphthalene</w:t>
            </w:r>
          </w:p>
        </w:tc>
        <w:tc>
          <w:tcPr>
            <w:tcW w:w="768" w:type="pct"/>
            <w:tcBorders>
              <w:top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tcBorders>
              <w:top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1720" w:type="pct"/>
            <w:tcBorders>
              <w:top w:val="single" w:sz="4" w:space="0" w:color="auto"/>
            </w:tcBorders>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0.26±0.01</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Acenaphthylene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1720" w:type="pct"/>
            <w:tcBorders>
              <w:top w:val="nil"/>
            </w:tcBorders>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0.05±0.00</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Acenaphthene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0.09±0.00</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Fluorene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0.06±0.00</w:t>
            </w:r>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0.16±0.00</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Anthracene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0.12±0.00</w:t>
            </w:r>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0.08±0.00</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Phenanthrene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0.12±0.00</w:t>
            </w:r>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0.08±0.00</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o-Terphenyl</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0.05±0.00</w:t>
            </w:r>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Benzo(k)fluoranthene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0.11+0.00</w:t>
            </w:r>
          </w:p>
        </w:tc>
      </w:tr>
      <w:tr w:rsidR="00B66E73">
        <w:trPr>
          <w:trHeight w:val="300"/>
        </w:trPr>
        <w:tc>
          <w:tcPr>
            <w:tcW w:w="1515"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Benzo(a)pyrene</w:t>
            </w:r>
          </w:p>
        </w:tc>
        <w:tc>
          <w:tcPr>
            <w:tcW w:w="768"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997" w:type="pct"/>
            <w:noWrap/>
            <w:vAlign w:val="bottom"/>
            <w:hideMark/>
          </w:tcPr>
          <w:p w:rsidR="00B66E73" w:rsidRDefault="004C2859">
            <w:pPr>
              <w:spacing w:after="0" w:line="240" w:lineRule="auto"/>
              <w:jc w:val="both"/>
              <w:rPr>
                <w:rFonts w:ascii="Times New Roman" w:eastAsia="Times New Roman" w:hAnsi="Times New Roman" w:cs="Times New Roman"/>
                <w:lang w:eastAsia="en-GB"/>
              </w:rPr>
            </w:pPr>
            <w:proofErr w:type="gramStart"/>
            <w:r>
              <w:rPr>
                <w:rFonts w:ascii="Times New Roman" w:eastAsia="Times New Roman" w:hAnsi="Times New Roman" w:cs="Times New Roman"/>
                <w:lang w:eastAsia="en-GB"/>
              </w:rPr>
              <w:t>N.D</w:t>
            </w:r>
            <w:proofErr w:type="gramEnd"/>
          </w:p>
        </w:tc>
        <w:tc>
          <w:tcPr>
            <w:tcW w:w="1720" w:type="pct"/>
            <w:noWrap/>
            <w:vAlign w:val="bottom"/>
            <w:hideMark/>
          </w:tcPr>
          <w:p w:rsidR="00B66E73" w:rsidRDefault="004C2859">
            <w:pPr>
              <w:spacing w:after="0" w:line="240" w:lineRule="auto"/>
              <w:jc w:val="both"/>
              <w:rPr>
                <w:rFonts w:ascii="Times New Roman" w:eastAsia="Times New Roman" w:hAnsi="Times New Roman" w:cs="Times New Roman"/>
                <w:vertAlign w:val="superscript"/>
                <w:lang w:eastAsia="en-GB"/>
              </w:rPr>
            </w:pPr>
            <w:r>
              <w:rPr>
                <w:rFonts w:ascii="Times New Roman" w:eastAsia="Times New Roman" w:hAnsi="Times New Roman" w:cs="Times New Roman"/>
                <w:lang w:eastAsia="en-GB"/>
              </w:rPr>
              <w:t>0.11+0.00</w:t>
            </w:r>
          </w:p>
        </w:tc>
      </w:tr>
    </w:tbl>
    <w:p w:rsidR="00B66E73" w:rsidRDefault="00B66E73">
      <w:pPr>
        <w:spacing w:line="360" w:lineRule="auto"/>
        <w:jc w:val="both"/>
        <w:rPr>
          <w:rFonts w:ascii="Times New Roman" w:hAnsi="Times New Roman" w:cs="Times New Roman"/>
          <w:b/>
          <w:sz w:val="24"/>
          <w:szCs w:val="24"/>
        </w:rPr>
      </w:pPr>
    </w:p>
    <w:p w:rsidR="00B66E73" w:rsidRDefault="004C2859">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2.8.1 .</w:t>
      </w:r>
      <w:proofErr w:type="gramEnd"/>
      <w:r>
        <w:rPr>
          <w:rFonts w:ascii="Times New Roman" w:hAnsi="Times New Roman" w:cs="Times New Roman"/>
          <w:sz w:val="24"/>
          <w:szCs w:val="24"/>
        </w:rPr>
        <w:t xml:space="preserve"> Renal and Hepatic biomarkers</w:t>
      </w:r>
    </w:p>
    <w:p w:rsidR="00B66E73" w:rsidRDefault="004C285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Water-pipe tobacco smoke exposure produced dose-dependent alterations in renal biomarkers. The results showed mild changes in urea levels, indicating early to moderate renal stress rather than overt kidney failure. In contrast, creatinine levels increased significantly in the exposed groups, suggesting impaired glomerular filtration, likely associated with prolonged or higher exposure to water-pipe tobacco toxicants. Renal regulation of electrolytes was also affected. Potassium (K⁺) levels showed only minor variations among the groups, indicating relative </w:t>
      </w:r>
      <w:r>
        <w:rPr>
          <w:rFonts w:ascii="Times New Roman" w:hAnsi="Times New Roman" w:cs="Times New Roman"/>
          <w:sz w:val="24"/>
          <w:szCs w:val="24"/>
        </w:rPr>
        <w:lastRenderedPageBreak/>
        <w:t>preservation of potassium homeostasis. However, sodium (Na⁺) concentrations increased progressively in the exposed groups, with a statistically significant elevation observed in Group 3 compared with the control, suggesting altered tubular reabsorption possibly due to tobacco-induced tubular injury. Chloride (Cl⁻) levels were also elevated in Group 3, further supporting the presence of electrolyte and acid–base imbalance. Conversely, bicarbonate (HCO₃⁻) levels decreased across the exposed groups, indicating impaired renal regulation of blood pH and a potential shift toward metabolic acidosis. Disturbances in creatinine and electrolytes (Na⁺, Cl⁻, and HCO₃⁻) were most pronounced in Group 3, highlighting dose-related renal functional impairment, likely mediated by toxic constituents of water-pipe tobacco such as nicotine, heavy metals, and oxidative stress–inducing agents. As shown in Table 2, water-pipe tobacco smoke exposure induced a dose-dependent increase in hepatic enzymes (AST, ALT, and ALP) in albino rats, indicative of hepatocellular injury and liver dysfunction. Despite these enzymatic changes, hepatic synthetic function markers (albumin and total protein) remained largely preserved, suggesting early or moderate hepatic toxicity. Nevertheless, a slight reduction in total protein was observed across the exposed groups, particularly in Group 3, indicating a mild compromise in protein synthesis under toxic stress. Albumin levels showed minimal variation, implying that short-term exposure had not yet resulted in severe impairment of hepatic synthetic capacity, although the modest decrease in Group 3 may represent early hepatic dysfunction. Regarding bilirubin levels, a gradual reduction was observed across the exposed groups. While the changes were modest, they may reflect altered bilirubin metabolism or mild hepatic excretory stress and are considered biologically relevant.</w:t>
      </w:r>
    </w:p>
    <w:p w:rsidR="00B66E73" w:rsidRDefault="004C2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2.8.2   Oxidative Stress Markers</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Superoxide Dismutase (SOD) levels witnessed progressive decrease across groups indicates reduced antioxidant defense. This could suggest that water-pipe tobacco smoke induces oxidative stress, overwhelming the antioxidant system. The concentrations of malonaldehyde (MDA) increased significantly in groups exposed to the toxicant and this confirms oxidative stress and tissue injury due to tobacco exposure. Increasing MDA levels indicate cell membrane damage caused by free radicals. MDA is a marker of lipid peroxidation. These results demonstrate that water-pipe tobacco exposure induces significant hepatic dysfunction and oxidative stress in female albino rats, as evidenced by elevated liver enzymes, reduced antioxidant activity, and increased lipid peroxidation. These effects were more pronounced with increased exposure, suggesting a dose-dependent toxic effect of water-pipe tobacco on liver integrity.</w:t>
      </w:r>
    </w:p>
    <w:p w:rsidR="00B66E73" w:rsidRDefault="004C28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2.8.3 Heavy Metal Concentrations</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was a clear case of exposure-dependent increase in heavy metal concentrations from groups. Water pipe tobacco smoke significantly elevated toxic heavy metals in blood system, particularly lead, cadmium, nickel, and chromium. These metals are known toxic constituents of tobacco smoke and are associated with oxidative stress, organ damage, and carcinogenic effects. The findings demonstrate the systemic toxicological impact of water pipe tobacco smoking and support its potential role in causing long-term health complications. </w:t>
      </w:r>
    </w:p>
    <w:p w:rsidR="00B66E73" w:rsidRDefault="004C285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2.8.4  Polycyclic</w:t>
      </w:r>
      <w:proofErr w:type="gramEnd"/>
      <w:r>
        <w:rPr>
          <w:rFonts w:ascii="Times New Roman" w:hAnsi="Times New Roman" w:cs="Times New Roman"/>
          <w:b/>
          <w:sz w:val="24"/>
          <w:szCs w:val="24"/>
        </w:rPr>
        <w:t xml:space="preserve"> aromatic hydrocarbons</w:t>
      </w:r>
    </w:p>
    <w:p w:rsidR="00B66E73" w:rsidRDefault="004C28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Results of the study detected the presence of some components of PAHs with varying concentrations. Naphthalene, acenaphthylene, and acenapthytene were absent in group 2 and present in group 3 animals. Further, some carcinogenic PAHs such as benzo(k) flouranthene and benzo(a) pyrene were absent in group 2 animals exposed moderately to shisha but detected in group 3 animals exposed for a prolong period to water pipe tobacco. These findings are consistent with previous research, which has shown that exposure to water pipe tobacco smoke can lead to elevated levels of PAHs in the blood (Kaplan et al., 2019). The health implications of these findings are significant, as PAHs are known to be carcinogenic, mutagenic, and teratogenic. The presence of even low levels of PAHs in the blood can have long-term health consequences (Mallah </w:t>
      </w:r>
      <w:r>
        <w:rPr>
          <w:rFonts w:ascii="Times New Roman" w:hAnsi="Times New Roman" w:cs="Times New Roman"/>
          <w:i/>
          <w:sz w:val="24"/>
          <w:szCs w:val="24"/>
        </w:rPr>
        <w:t>et al.,</w:t>
      </w:r>
      <w:r>
        <w:rPr>
          <w:rFonts w:ascii="Times New Roman" w:hAnsi="Times New Roman" w:cs="Times New Roman"/>
          <w:sz w:val="24"/>
          <w:szCs w:val="24"/>
        </w:rPr>
        <w:t xml:space="preserve"> 2022). </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2.9   Conclusion</w:t>
      </w:r>
    </w:p>
    <w:p w:rsidR="00B66E73" w:rsidRDefault="004C2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Water-pipe tobacco exposure smoke resulted in significant alterations in renal and hepatic biomarkers, characterized by electrolyte imbalance, elevated creatinine levels, and increased liver enzyme activities etc. The oxidative stress biomarkers malondialdehyde (MDA) and superoxide dismutase (SOD) levels were also affected by the toxicant. These findings suggest that prolonged consumption of water-pipe tobacco may predispose individuals to renal and hepatic dysfunction. The results also revealed significant accumulation of toxic heavy metals and the presence of carcinogenic polycyclic aromatic hydrocarbons. Collectively, these findings underscore the potential health risks associated with water-pipe smoking and highlight the need for increased public health awareness and targeted interventions to mitigate its adverse effects among consumers.</w:t>
      </w:r>
    </w:p>
    <w:p w:rsidR="002666C5" w:rsidRDefault="002666C5">
      <w:pPr>
        <w:spacing w:after="0" w:line="360" w:lineRule="auto"/>
        <w:jc w:val="both"/>
        <w:rPr>
          <w:rFonts w:ascii="Times New Roman" w:hAnsi="Times New Roman" w:cs="Times New Roman"/>
          <w:sz w:val="24"/>
          <w:szCs w:val="24"/>
        </w:rPr>
      </w:pPr>
    </w:p>
    <w:p w:rsidR="002666C5" w:rsidRPr="002666C5" w:rsidRDefault="002666C5" w:rsidP="002666C5">
      <w:pPr>
        <w:spacing w:after="200" w:line="276" w:lineRule="auto"/>
        <w:rPr>
          <w:rFonts w:cs="Times New Roman"/>
          <w:b/>
          <w:sz w:val="28"/>
        </w:rPr>
      </w:pPr>
      <w:r w:rsidRPr="002666C5">
        <w:rPr>
          <w:rFonts w:cs="Times New Roman"/>
          <w:b/>
          <w:sz w:val="28"/>
        </w:rPr>
        <w:t>Ethical Approval</w:t>
      </w:r>
    </w:p>
    <w:p w:rsidR="002666C5" w:rsidRPr="002666C5" w:rsidRDefault="002666C5" w:rsidP="002666C5">
      <w:pPr>
        <w:spacing w:after="200" w:line="276" w:lineRule="auto"/>
        <w:rPr>
          <w:rFonts w:cs="Times New Roman"/>
        </w:rPr>
      </w:pPr>
      <w:r w:rsidRPr="002666C5">
        <w:rPr>
          <w:rFonts w:cs="Times New Roman"/>
        </w:rPr>
        <w:t>Animal Ethic committee approval has been collected and preserved by the author(s)</w:t>
      </w:r>
    </w:p>
    <w:p w:rsidR="002666C5" w:rsidRDefault="002666C5">
      <w:pPr>
        <w:spacing w:after="0" w:line="360" w:lineRule="auto"/>
        <w:jc w:val="both"/>
        <w:rPr>
          <w:rFonts w:ascii="Times New Roman" w:hAnsi="Times New Roman" w:cs="Times New Roman"/>
          <w:sz w:val="24"/>
          <w:szCs w:val="24"/>
        </w:rPr>
      </w:pPr>
    </w:p>
    <w:p w:rsidR="00B66E73" w:rsidRDefault="004C2859">
      <w:pPr>
        <w:pStyle w:val="NoSpacing"/>
        <w:rPr>
          <w:rFonts w:ascii="Arial" w:hAnsi="Arial" w:cs="Arial"/>
          <w:highlight w:val="yellow"/>
        </w:rPr>
      </w:pPr>
      <w:bookmarkStart w:id="4" w:name="_Hlk219284361"/>
      <w:bookmarkStart w:id="5" w:name="_Hlk198031404"/>
      <w:r>
        <w:rPr>
          <w:rFonts w:ascii="Arial" w:hAnsi="Arial" w:cs="Arial"/>
          <w:highlight w:val="yellow"/>
        </w:rPr>
        <w:lastRenderedPageBreak/>
        <w:t>Disclaimer (Artificial intelligence)</w:t>
      </w:r>
    </w:p>
    <w:p w:rsidR="00B66E73" w:rsidRDefault="00B66E73">
      <w:pPr>
        <w:pStyle w:val="NoSpacing"/>
        <w:rPr>
          <w:rFonts w:ascii="Arial" w:hAnsi="Arial" w:cs="Arial"/>
          <w:highlight w:val="yellow"/>
        </w:rPr>
      </w:pPr>
    </w:p>
    <w:p w:rsidR="00B66E73" w:rsidRDefault="004C2859">
      <w:pPr>
        <w:pStyle w:val="NoSpacing"/>
        <w:rPr>
          <w:rFonts w:ascii="Arial" w:hAnsi="Arial" w:cs="Arial"/>
          <w:highlight w:val="yellow"/>
        </w:rPr>
      </w:pPr>
      <w:r>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4"/>
      <w:r>
        <w:rPr>
          <w:rFonts w:ascii="Arial" w:hAnsi="Arial" w:cs="Arial"/>
          <w:highlight w:val="yellow"/>
        </w:rPr>
        <w:t xml:space="preserve">. </w:t>
      </w:r>
    </w:p>
    <w:p w:rsidR="00B66E73" w:rsidRDefault="004C2859">
      <w:pPr>
        <w:keepNext/>
        <w:keepLines/>
        <w:spacing w:before="240" w:after="200" w:line="240" w:lineRule="auto"/>
        <w:jc w:val="center"/>
        <w:outlineLvl w:val="0"/>
        <w:rPr>
          <w:rFonts w:ascii="Times New Roman" w:hAnsi="Times New Roman" w:cs="Times New Roman"/>
          <w:sz w:val="24"/>
          <w:szCs w:val="24"/>
        </w:rPr>
      </w:pPr>
      <w:bookmarkStart w:id="6" w:name="_Toc180420184"/>
      <w:bookmarkStart w:id="7" w:name="_Toc180420492"/>
      <w:bookmarkEnd w:id="5"/>
      <w:r>
        <w:rPr>
          <w:rFonts w:ascii="Times New Roman" w:eastAsia="SimSun" w:hAnsi="Times New Roman"/>
          <w:b/>
          <w:bCs/>
          <w:color w:val="000000"/>
          <w:kern w:val="2"/>
          <w:sz w:val="24"/>
          <w:szCs w:val="32"/>
        </w:rPr>
        <w:t>REFERENCES</w:t>
      </w:r>
      <w:bookmarkEnd w:id="6"/>
      <w:bookmarkEnd w:id="7"/>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8" w:name="_Hlk179460790"/>
      <w:r w:rsidRPr="00363B0D">
        <w:rPr>
          <w:rFonts w:ascii="Times New Roman" w:hAnsi="Times New Roman" w:cs="Times New Roman"/>
          <w:color w:val="000000"/>
          <w:kern w:val="2"/>
          <w:sz w:val="24"/>
          <w:szCs w:val="24"/>
        </w:rPr>
        <w:t>Abadi</w:t>
      </w:r>
      <w:bookmarkEnd w:id="8"/>
      <w:r w:rsidRPr="00363B0D">
        <w:rPr>
          <w:rFonts w:ascii="Times New Roman" w:hAnsi="Times New Roman" w:cs="Times New Roman"/>
          <w:color w:val="000000"/>
          <w:kern w:val="2"/>
          <w:sz w:val="24"/>
          <w:szCs w:val="24"/>
        </w:rPr>
        <w:t xml:space="preserve">, D. R. V., Tahmasbizadeh, M., Arfaeinia, H., Masjedi, M. R., Ramavandi, B., &amp; Poureshgh, Y. (2023). Biomonitoring of unmetabolized polycyclic aromatic hydrocarbons (PAHs) in urine of waterpipe/cigarette café workers. </w:t>
      </w:r>
      <w:r w:rsidRPr="00363B0D">
        <w:rPr>
          <w:rFonts w:ascii="Times New Roman" w:hAnsi="Times New Roman" w:cs="Times New Roman"/>
          <w:i/>
          <w:iCs/>
          <w:color w:val="000000"/>
          <w:kern w:val="2"/>
          <w:sz w:val="24"/>
          <w:szCs w:val="24"/>
        </w:rPr>
        <w:t>Environmental Science and Pollution Research</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30</w:t>
      </w:r>
      <w:r w:rsidRPr="00363B0D">
        <w:rPr>
          <w:rFonts w:ascii="Times New Roman" w:hAnsi="Times New Roman" w:cs="Times New Roman"/>
          <w:color w:val="000000"/>
          <w:kern w:val="2"/>
          <w:sz w:val="24"/>
          <w:szCs w:val="24"/>
        </w:rPr>
        <w:t>(9), 22728-22742.</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9" w:name="_Hlk179491649"/>
      <w:r w:rsidRPr="00363B0D">
        <w:rPr>
          <w:rFonts w:ascii="Times New Roman" w:hAnsi="Times New Roman" w:cs="Times New Roman"/>
          <w:color w:val="000000"/>
          <w:kern w:val="2"/>
          <w:sz w:val="24"/>
          <w:szCs w:val="24"/>
        </w:rPr>
        <w:t>Alamri</w:t>
      </w:r>
      <w:bookmarkEnd w:id="9"/>
      <w:r w:rsidRPr="00363B0D">
        <w:rPr>
          <w:rFonts w:ascii="Times New Roman" w:hAnsi="Times New Roman" w:cs="Times New Roman"/>
          <w:color w:val="000000"/>
          <w:kern w:val="2"/>
          <w:sz w:val="24"/>
          <w:szCs w:val="24"/>
        </w:rPr>
        <w:t xml:space="preserve">, M. (2018). </w:t>
      </w:r>
      <w:r w:rsidRPr="00363B0D">
        <w:rPr>
          <w:rFonts w:ascii="Times New Roman" w:hAnsi="Times New Roman" w:cs="Times New Roman"/>
          <w:i/>
          <w:iCs/>
          <w:color w:val="000000"/>
          <w:kern w:val="2"/>
          <w:sz w:val="24"/>
          <w:szCs w:val="24"/>
        </w:rPr>
        <w:t>Extraction &amp; Identification of Nicotine from Hookah Tobacco Leaves Using Gas Chromatography &amp; Reversed-Phase High-Performance Liquid Chromatography</w:t>
      </w:r>
      <w:r w:rsidRPr="00363B0D">
        <w:rPr>
          <w:rFonts w:ascii="Times New Roman" w:hAnsi="Times New Roman" w:cs="Times New Roman"/>
          <w:color w:val="000000"/>
          <w:kern w:val="2"/>
          <w:sz w:val="24"/>
          <w:szCs w:val="24"/>
        </w:rPr>
        <w:t>. Northeastern Illinois University.</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r w:rsidRPr="00363B0D">
        <w:rPr>
          <w:rFonts w:ascii="Times New Roman" w:hAnsi="Times New Roman" w:cs="Times New Roman"/>
          <w:color w:val="000000"/>
          <w:kern w:val="2"/>
          <w:sz w:val="24"/>
          <w:szCs w:val="24"/>
        </w:rPr>
        <w:t xml:space="preserve">Albisser, S., Schmidlin, J., Schindler, C., Tamm, M., &amp; Stolz, D. (2012). Water pipe smoking and its association with cigarette and cannabis use in young adults in Switzerland. </w:t>
      </w:r>
      <w:r w:rsidRPr="00363B0D">
        <w:rPr>
          <w:rFonts w:ascii="Times New Roman" w:hAnsi="Times New Roman" w:cs="Times New Roman"/>
          <w:i/>
          <w:iCs/>
          <w:color w:val="000000"/>
          <w:kern w:val="2"/>
          <w:sz w:val="24"/>
          <w:szCs w:val="24"/>
        </w:rPr>
        <w:t>Respiration, 86</w:t>
      </w:r>
      <w:r w:rsidRPr="00363B0D">
        <w:rPr>
          <w:rFonts w:ascii="Times New Roman" w:hAnsi="Times New Roman" w:cs="Times New Roman"/>
          <w:color w:val="000000"/>
          <w:kern w:val="2"/>
          <w:sz w:val="24"/>
          <w:szCs w:val="24"/>
        </w:rPr>
        <w:t xml:space="preserve">(3), 210-215. </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r w:rsidRPr="00363B0D">
        <w:rPr>
          <w:rFonts w:ascii="Times New Roman" w:hAnsi="Times New Roman" w:cs="Times New Roman"/>
          <w:color w:val="000000"/>
          <w:kern w:val="2"/>
          <w:sz w:val="24"/>
          <w:szCs w:val="24"/>
        </w:rPr>
        <w:t>Alolabi, H., Alchallah, M., Mohsen, F., Shibani, M., Ismail, H., Alzabibi, M., … &amp; Sawaf, B. (2020). Prevalence and behaviour regarding cigarette and water pipe smoking among Syrian undergraduates</w:t>
      </w:r>
      <w:r w:rsidRPr="00363B0D">
        <w:rPr>
          <w:rFonts w:ascii="Times New Roman" w:hAnsi="Times New Roman" w:cs="Times New Roman"/>
          <w:i/>
          <w:iCs/>
          <w:color w:val="000000"/>
          <w:kern w:val="2"/>
          <w:sz w:val="24"/>
          <w:szCs w:val="24"/>
        </w:rPr>
        <w:t>. Heliyon, 6</w:t>
      </w:r>
      <w:r w:rsidRPr="00363B0D">
        <w:rPr>
          <w:rFonts w:ascii="Times New Roman" w:hAnsi="Times New Roman" w:cs="Times New Roman"/>
          <w:color w:val="000000"/>
          <w:kern w:val="2"/>
          <w:sz w:val="24"/>
          <w:szCs w:val="24"/>
        </w:rPr>
        <w:t xml:space="preserve">(11), 05423. </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bookmarkStart w:id="10" w:name="_Hlk179463660"/>
      <w:r w:rsidRPr="00363B0D">
        <w:rPr>
          <w:rFonts w:ascii="Times New Roman" w:hAnsi="Times New Roman" w:cs="Times New Roman"/>
          <w:color w:val="000000"/>
          <w:kern w:val="2"/>
          <w:sz w:val="24"/>
          <w:szCs w:val="24"/>
        </w:rPr>
        <w:t>Aboaziza,</w:t>
      </w:r>
      <w:bookmarkEnd w:id="10"/>
      <w:r w:rsidRPr="00363B0D">
        <w:rPr>
          <w:rFonts w:ascii="Times New Roman" w:hAnsi="Times New Roman" w:cs="Times New Roman"/>
          <w:color w:val="000000"/>
          <w:kern w:val="2"/>
          <w:sz w:val="24"/>
          <w:szCs w:val="24"/>
        </w:rPr>
        <w:t xml:space="preserve"> E., &amp; Eissenberg, T. (2015). Waterpipe tobacco smoking: what is the evidence that it supports nicotine/tobacco dependence? </w:t>
      </w:r>
      <w:r w:rsidRPr="00363B0D">
        <w:rPr>
          <w:rFonts w:ascii="Times New Roman" w:hAnsi="Times New Roman" w:cs="Times New Roman"/>
          <w:i/>
          <w:iCs/>
          <w:color w:val="000000"/>
          <w:kern w:val="2"/>
          <w:sz w:val="24"/>
          <w:szCs w:val="24"/>
        </w:rPr>
        <w:t>Tobacco Control</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24</w:t>
      </w:r>
      <w:r w:rsidRPr="00363B0D">
        <w:rPr>
          <w:rFonts w:ascii="Times New Roman" w:hAnsi="Times New Roman" w:cs="Times New Roman"/>
          <w:color w:val="000000"/>
          <w:kern w:val="2"/>
          <w:sz w:val="24"/>
          <w:szCs w:val="24"/>
        </w:rPr>
        <w:t>(Suppl 1), i44-i53.</w:t>
      </w:r>
    </w:p>
    <w:p w:rsidR="00B66E73" w:rsidRPr="00363B0D" w:rsidRDefault="004C2859" w:rsidP="00363B0D">
      <w:pPr>
        <w:pStyle w:val="ListParagraph"/>
        <w:numPr>
          <w:ilvl w:val="0"/>
          <w:numId w:val="5"/>
        </w:numPr>
        <w:spacing w:line="240" w:lineRule="auto"/>
        <w:rPr>
          <w:rFonts w:ascii="Times New Roman" w:eastAsia="Times New Roman" w:hAnsi="Times New Roman" w:cs="Times New Roman"/>
          <w:sz w:val="24"/>
          <w:szCs w:val="24"/>
          <w:lang w:val="en-GB"/>
        </w:rPr>
      </w:pPr>
      <w:r w:rsidRPr="00363B0D">
        <w:rPr>
          <w:rFonts w:ascii="Times New Roman" w:eastAsia="Times New Roman" w:hAnsi="Times New Roman" w:cs="Times New Roman"/>
          <w:sz w:val="24"/>
          <w:szCs w:val="24"/>
          <w:lang w:val="en-GB"/>
        </w:rPr>
        <w:t xml:space="preserve">Al-Sawalha, N. A., AlSari, R. R., Khabour, O. F., &amp; Alzoubi, K. H. (2019). Influence of prenatal waterpipe tobacco smoke exposure on renal biomarkers in adult offspring rats. Inhalation Toxicology, 31(5), 171-179. </w:t>
      </w:r>
      <w:hyperlink r:id="rId9" w:history="1">
        <w:r w:rsidRPr="00363B0D">
          <w:rPr>
            <w:rStyle w:val="Hyperlink"/>
            <w:rFonts w:ascii="Times New Roman" w:hAnsi="Times New Roman" w:cs="Times New Roman"/>
            <w:sz w:val="24"/>
            <w:szCs w:val="24"/>
            <w:lang w:val="en-GB"/>
          </w:rPr>
          <w:t>https://www.tandfonline.com/doi/abs/10.1080/08958378.2019.1624897</w:t>
        </w:r>
      </w:hyperlink>
      <w:r w:rsidRPr="00363B0D">
        <w:rPr>
          <w:rFonts w:ascii="Times New Roman" w:eastAsia="Times New Roman" w:hAnsi="Times New Roman" w:cs="Times New Roman"/>
          <w:sz w:val="24"/>
          <w:szCs w:val="24"/>
          <w:lang w:val="en-GB"/>
        </w:rPr>
        <w:t xml:space="preserve"> </w:t>
      </w:r>
    </w:p>
    <w:p w:rsidR="00B66E73" w:rsidRPr="00363B0D" w:rsidRDefault="004C2859" w:rsidP="00363B0D">
      <w:pPr>
        <w:pStyle w:val="ListParagraph"/>
        <w:numPr>
          <w:ilvl w:val="0"/>
          <w:numId w:val="5"/>
        </w:numPr>
        <w:spacing w:line="240" w:lineRule="auto"/>
        <w:rPr>
          <w:rFonts w:ascii="Times New Roman" w:hAnsi="Times New Roman" w:cs="Times New Roman"/>
          <w:sz w:val="24"/>
          <w:szCs w:val="24"/>
        </w:rPr>
      </w:pPr>
      <w:r w:rsidRPr="00363B0D">
        <w:rPr>
          <w:rFonts w:ascii="Times New Roman" w:eastAsia="SimSun" w:hAnsi="Times New Roman" w:cs="Times New Roman"/>
          <w:sz w:val="24"/>
          <w:szCs w:val="24"/>
          <w:lang w:eastAsia="zh-CN"/>
        </w:rPr>
        <w:t>AOAC INTERNATIONAL (1999). Official Method 999.11: Determination of Lead, Cadmium, Copper, Iron, and Zinc in Foods. Gaithersburg, MD: AOAC.</w:t>
      </w:r>
    </w:p>
    <w:p w:rsidR="00B66E73" w:rsidRPr="00363B0D" w:rsidRDefault="004C2859" w:rsidP="00363B0D">
      <w:pPr>
        <w:pStyle w:val="ListParagraph"/>
        <w:numPr>
          <w:ilvl w:val="0"/>
          <w:numId w:val="5"/>
        </w:numPr>
        <w:spacing w:line="240" w:lineRule="auto"/>
        <w:rPr>
          <w:rFonts w:ascii="Times New Roman" w:hAnsi="Times New Roman" w:cs="Times New Roman"/>
          <w:sz w:val="24"/>
          <w:szCs w:val="24"/>
        </w:rPr>
      </w:pPr>
      <w:r w:rsidRPr="00363B0D">
        <w:rPr>
          <w:rFonts w:ascii="Times New Roman" w:eastAsia="Times New Roman" w:hAnsi="Times New Roman" w:cs="Times New Roman"/>
          <w:sz w:val="24"/>
          <w:szCs w:val="24"/>
          <w:lang w:val="en-GB"/>
        </w:rPr>
        <w:t xml:space="preserve">Bandiera, S., Pulcinelli, R. R., Huf, F., Almeida, F. B., Halmenschlager, G., Bitencourt, P. E., ... &amp; Nin, M. S. (2021). Hepatic and renal damage by alcohol and cigarette smoking in rats. Toxicological Research, 37(2), 209-219. </w:t>
      </w:r>
      <w:hyperlink r:id="rId10" w:history="1">
        <w:r w:rsidRPr="00363B0D">
          <w:rPr>
            <w:rStyle w:val="Hyperlink"/>
            <w:rFonts w:ascii="Times New Roman" w:hAnsi="Times New Roman" w:cs="Times New Roman"/>
            <w:sz w:val="24"/>
            <w:szCs w:val="24"/>
            <w:lang w:val="en-GB"/>
          </w:rPr>
          <w:t>https://link.springer.com/article/10.1007/s43188-020-00057-y</w:t>
        </w:r>
      </w:hyperlink>
      <w:r w:rsidRPr="00363B0D">
        <w:rPr>
          <w:rFonts w:ascii="Times New Roman" w:eastAsia="Times New Roman" w:hAnsi="Times New Roman" w:cs="Times New Roman"/>
          <w:sz w:val="20"/>
          <w:szCs w:val="20"/>
          <w:lang w:val="en-GB"/>
        </w:rPr>
        <w:t xml:space="preserve"> </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color w:val="000000"/>
          <w:kern w:val="2"/>
          <w:sz w:val="24"/>
          <w:szCs w:val="24"/>
        </w:rPr>
      </w:pPr>
      <w:r w:rsidRPr="00363B0D">
        <w:rPr>
          <w:rFonts w:ascii="Times New Roman" w:hAnsi="Times New Roman" w:cs="Times New Roman"/>
          <w:color w:val="000000"/>
          <w:kern w:val="2"/>
          <w:sz w:val="24"/>
          <w:szCs w:val="24"/>
        </w:rPr>
        <w:t xml:space="preserve">Bhatnagar, A., Maziak, W., Eissenberg, T., Ward, K. D., Thurston, G., King, B. A., ... &amp; Rezk-Hanna, M. (2019). Water pipe (hookah) smoking and cardiovascular disease risk: a scientific statement from the American Heart Association. </w:t>
      </w:r>
      <w:r w:rsidRPr="00363B0D">
        <w:rPr>
          <w:rFonts w:ascii="Times New Roman" w:hAnsi="Times New Roman" w:cs="Times New Roman"/>
          <w:i/>
          <w:iCs/>
          <w:color w:val="000000"/>
          <w:kern w:val="2"/>
          <w:sz w:val="24"/>
          <w:szCs w:val="24"/>
        </w:rPr>
        <w:t>Circulation</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139</w:t>
      </w:r>
      <w:r w:rsidRPr="00363B0D">
        <w:rPr>
          <w:rFonts w:ascii="Times New Roman" w:hAnsi="Times New Roman" w:cs="Times New Roman"/>
          <w:color w:val="000000"/>
          <w:kern w:val="2"/>
          <w:sz w:val="24"/>
          <w:szCs w:val="24"/>
        </w:rPr>
        <w:t>(19), 917-936.</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Burnett, R.W, Covington, A.K, Fogh-Andersen, N., Külpmann, W.R, Maas, A.H.J., Müller-Plathe, O., Siggaard-Andersen, O., Van Kessel, A.L., Wimberley, </w:t>
      </w:r>
      <w:proofErr w:type="gramStart"/>
      <w:r w:rsidRPr="00363B0D">
        <w:rPr>
          <w:rFonts w:ascii="Times New Roman" w:eastAsia="SimSun" w:hAnsi="Times New Roman" w:cs="Times New Roman"/>
          <w:sz w:val="24"/>
          <w:szCs w:val="24"/>
          <w:lang w:eastAsia="zh-CN"/>
        </w:rPr>
        <w:t>P.D,&amp;</w:t>
      </w:r>
      <w:proofErr w:type="gramEnd"/>
      <w:r w:rsidRPr="00363B0D">
        <w:rPr>
          <w:rFonts w:ascii="Times New Roman" w:eastAsia="SimSun" w:hAnsi="Times New Roman" w:cs="Times New Roman"/>
          <w:sz w:val="24"/>
          <w:szCs w:val="24"/>
          <w:lang w:eastAsia="zh-CN"/>
        </w:rPr>
        <w:t xml:space="preserve"> Zijlstra WG(1986). Recommenda-tions for measurement of and conventions for reporting sodium and potassium by ion-selective electrodes in undi-luted serum, plasma or whole blood. IFCC Document, in preparation.</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Burnett, R.W, Covington, A.K., Fogh-Andersen, N., Külpmann W.R, Maas, A.H.J., Müller-Plathe, O., Siggaard-Andersen, </w:t>
      </w:r>
      <w:proofErr w:type="gramStart"/>
      <w:r w:rsidRPr="00363B0D">
        <w:rPr>
          <w:rFonts w:ascii="Times New Roman" w:eastAsia="SimSun" w:hAnsi="Times New Roman" w:cs="Times New Roman"/>
          <w:sz w:val="24"/>
          <w:szCs w:val="24"/>
          <w:lang w:eastAsia="zh-CN"/>
        </w:rPr>
        <w:t>O.,Van</w:t>
      </w:r>
      <w:proofErr w:type="gramEnd"/>
      <w:r w:rsidRPr="00363B0D">
        <w:rPr>
          <w:rFonts w:ascii="Times New Roman" w:eastAsia="SimSun" w:hAnsi="Times New Roman" w:cs="Times New Roman"/>
          <w:sz w:val="24"/>
          <w:szCs w:val="24"/>
          <w:lang w:eastAsia="zh-CN"/>
        </w:rPr>
        <w:t xml:space="preserve"> Kessel, A.L., Wimberley, P.D, &amp;  Zijlstra WG 1986). IFCC recom-mended reference method for the determination of the substance concentration of ionized calcium in undiluted serum, plasma whole blood. IFCC Document, in </w:t>
      </w:r>
      <w:proofErr w:type="gramStart"/>
      <w:r w:rsidRPr="00363B0D">
        <w:rPr>
          <w:rFonts w:ascii="Times New Roman" w:eastAsia="SimSun" w:hAnsi="Times New Roman" w:cs="Times New Roman"/>
          <w:sz w:val="24"/>
          <w:szCs w:val="24"/>
          <w:lang w:eastAsia="zh-CN"/>
        </w:rPr>
        <w:t>preparation.Covington</w:t>
      </w:r>
      <w:proofErr w:type="gramEnd"/>
      <w:r w:rsidRPr="00363B0D">
        <w:rPr>
          <w:rFonts w:ascii="Times New Roman" w:eastAsia="SimSun" w:hAnsi="Times New Roman" w:cs="Times New Roman"/>
          <w:sz w:val="24"/>
          <w:szCs w:val="24"/>
          <w:lang w:eastAsia="zh-CN"/>
        </w:rPr>
        <w:t xml:space="preserve">, AK, </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Burtis, C.A., &amp; Ashwood, E.R. (Eds.). (1999). Tietz Textbook of Clinical Chemistry (3rd ed.). Philadelphia, PA: W.B. Saunders </w:t>
      </w:r>
      <w:proofErr w:type="gramStart"/>
      <w:r w:rsidRPr="00363B0D">
        <w:rPr>
          <w:rFonts w:ascii="Times New Roman" w:eastAsia="SimSun" w:hAnsi="Times New Roman" w:cs="Times New Roman"/>
          <w:sz w:val="24"/>
          <w:szCs w:val="24"/>
          <w:lang w:eastAsia="zh-CN"/>
        </w:rPr>
        <w:t>Company,  (</w:t>
      </w:r>
      <w:proofErr w:type="gramEnd"/>
      <w:r w:rsidRPr="00363B0D">
        <w:rPr>
          <w:rFonts w:ascii="Times New Roman" w:eastAsia="SimSun" w:hAnsi="Times New Roman" w:cs="Times New Roman"/>
          <w:sz w:val="24"/>
          <w:szCs w:val="24"/>
          <w:lang w:eastAsia="zh-CN"/>
        </w:rPr>
        <w:t>pp. 652–657).</w:t>
      </w:r>
    </w:p>
    <w:p w:rsidR="00B66E73" w:rsidRPr="00363B0D" w:rsidRDefault="004C2859" w:rsidP="00363B0D">
      <w:pPr>
        <w:pStyle w:val="ListParagraph"/>
        <w:numPr>
          <w:ilvl w:val="0"/>
          <w:numId w:val="5"/>
        </w:numPr>
        <w:jc w:val="both"/>
        <w:rPr>
          <w:rFonts w:ascii="Times New Roman" w:eastAsia="SimSun" w:hAnsi="Times New Roman" w:cs="Times New Roman"/>
          <w:sz w:val="24"/>
          <w:szCs w:val="24"/>
          <w:lang w:eastAsia="zh-CN"/>
        </w:rPr>
      </w:pPr>
      <w:r w:rsidRPr="00363B0D">
        <w:rPr>
          <w:rFonts w:ascii="Times New Roman" w:eastAsia="SimSun" w:hAnsi="Times New Roman" w:cs="Times New Roman"/>
          <w:sz w:val="24"/>
          <w:szCs w:val="24"/>
          <w:lang w:eastAsia="zh-CN"/>
        </w:rPr>
        <w:lastRenderedPageBreak/>
        <w:t xml:space="preserve">Doumas, B.T., Watson, W.A., &amp; Biggs, H.G. (1971). "Albumin standards and the measurement of serum albumin with Bromocresol green." Clinica Chimica Acta, 31(1), 87–96. </w:t>
      </w:r>
    </w:p>
    <w:p w:rsidR="00B66E73" w:rsidRPr="00363B0D" w:rsidRDefault="004C2859" w:rsidP="00363B0D">
      <w:pPr>
        <w:pStyle w:val="ListParagraph"/>
        <w:numPr>
          <w:ilvl w:val="0"/>
          <w:numId w:val="5"/>
        </w:numPr>
        <w:jc w:val="both"/>
        <w:rPr>
          <w:rFonts w:ascii="Times New Roman" w:eastAsia="SimSun" w:hAnsi="Times New Roman" w:cs="Times New Roman"/>
          <w:sz w:val="24"/>
          <w:szCs w:val="24"/>
          <w:lang w:eastAsia="zh-CN"/>
        </w:rPr>
      </w:pPr>
      <w:r w:rsidRPr="00363B0D">
        <w:rPr>
          <w:rFonts w:ascii="Times New Roman" w:hAnsi="Times New Roman" w:cs="Times New Roman"/>
          <w:kern w:val="2"/>
          <w:sz w:val="24"/>
          <w:szCs w:val="24"/>
          <w:shd w:val="clear" w:color="FFFFFF" w:fill="FFFFFF"/>
        </w:rPr>
        <w:t xml:space="preserve">Flora, S. J., &amp; </w:t>
      </w:r>
      <w:bookmarkStart w:id="11" w:name="_Hlk172516336"/>
      <w:r w:rsidRPr="00363B0D">
        <w:rPr>
          <w:rFonts w:ascii="Times New Roman" w:hAnsi="Times New Roman" w:cs="Times New Roman"/>
          <w:kern w:val="2"/>
          <w:sz w:val="24"/>
          <w:szCs w:val="24"/>
          <w:shd w:val="clear" w:color="FFFFFF" w:fill="FFFFFF"/>
        </w:rPr>
        <w:t>Agrawal</w:t>
      </w:r>
      <w:bookmarkEnd w:id="11"/>
      <w:r w:rsidRPr="00363B0D">
        <w:rPr>
          <w:rFonts w:ascii="Times New Roman" w:hAnsi="Times New Roman" w:cs="Times New Roman"/>
          <w:kern w:val="2"/>
          <w:sz w:val="24"/>
          <w:szCs w:val="24"/>
          <w:shd w:val="clear" w:color="FFFFFF" w:fill="FFFFFF"/>
        </w:rPr>
        <w:t xml:space="preserve">, S. (2017). Arsenic, cadmium, and lead. In </w:t>
      </w:r>
      <w:r w:rsidRPr="00363B0D">
        <w:rPr>
          <w:rFonts w:ascii="Times New Roman" w:hAnsi="Times New Roman" w:cs="Times New Roman"/>
          <w:i/>
          <w:iCs/>
          <w:kern w:val="2"/>
          <w:sz w:val="24"/>
          <w:szCs w:val="24"/>
          <w:shd w:val="clear" w:color="FFFFFF" w:fill="FFFFFF"/>
        </w:rPr>
        <w:t>Reproductive and developmental toxicology</w:t>
      </w:r>
      <w:r w:rsidRPr="00363B0D">
        <w:rPr>
          <w:rFonts w:ascii="Times New Roman" w:hAnsi="Times New Roman" w:cs="Times New Roman"/>
          <w:kern w:val="2"/>
          <w:sz w:val="24"/>
          <w:szCs w:val="24"/>
          <w:shd w:val="clear" w:color="FFFFFF" w:fill="FFFFFF"/>
        </w:rPr>
        <w:t xml:space="preserve"> (pp. 537-566). Academic Press.</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Garber, C. C. (1981). Jendrassik-Gróf analysis for total and direct bilirubin in serum with a centrifugal analyzer. Clinical Chemistry, 27(8), 1410-1416. </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Gornall, A. C., Bardawill, C. J., &amp; David, M. M. (1949). Determination of Serum Proteins by Means of the Biuret Reaction. Journal of Biological Chemistry, 177(2), 751-766. </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kern w:val="2"/>
          <w:sz w:val="24"/>
          <w:szCs w:val="24"/>
          <w:shd w:val="clear" w:color="FFFFFF" w:fill="FFFFFF"/>
        </w:rPr>
        <w:t>Gautam, P. (2022). Determinants of Waterpipe Smoking Trajectories and the Effects of Pictorial Health Warning Label among Young Waterpipe Smokers in the US.</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bookmarkStart w:id="12" w:name="_Hlk172521095"/>
      <w:r w:rsidRPr="00363B0D">
        <w:rPr>
          <w:rFonts w:ascii="Times New Roman" w:hAnsi="Times New Roman" w:cs="Times New Roman"/>
          <w:kern w:val="2"/>
          <w:sz w:val="24"/>
          <w:szCs w:val="24"/>
          <w:shd w:val="clear" w:color="FFFFFF" w:fill="FFFFFF"/>
        </w:rPr>
        <w:t>Gautam</w:t>
      </w:r>
      <w:bookmarkEnd w:id="12"/>
      <w:r w:rsidRPr="00363B0D">
        <w:rPr>
          <w:rFonts w:ascii="Times New Roman" w:hAnsi="Times New Roman" w:cs="Times New Roman"/>
          <w:kern w:val="2"/>
          <w:sz w:val="24"/>
          <w:szCs w:val="24"/>
          <w:shd w:val="clear" w:color="FFFFFF" w:fill="FFFFFF"/>
        </w:rPr>
        <w:t xml:space="preserve">, P., Sharma, E., Kalan, M. E., Li, W., Ward, K. D., Sutherland, M. T., ... &amp; Maziak, W. (2022). Prevalence and predictors of waterpipe smoking initiation and progression among adolescents and young adults in waves 1–4 (2013–2018) of the population assessment of tobacco and Health (PATH) study. </w:t>
      </w:r>
      <w:r w:rsidRPr="00363B0D">
        <w:rPr>
          <w:rFonts w:ascii="Times New Roman" w:hAnsi="Times New Roman" w:cs="Times New Roman"/>
          <w:i/>
          <w:iCs/>
          <w:kern w:val="2"/>
          <w:sz w:val="24"/>
          <w:szCs w:val="24"/>
          <w:shd w:val="clear" w:color="FFFFFF" w:fill="FFFFFF"/>
        </w:rPr>
        <w:t>Nicotine and Tobacco Research</w:t>
      </w:r>
      <w:r w:rsidRPr="00363B0D">
        <w:rPr>
          <w:rFonts w:ascii="Times New Roman" w:hAnsi="Times New Roman" w:cs="Times New Roman"/>
          <w:kern w:val="2"/>
          <w:sz w:val="24"/>
          <w:szCs w:val="24"/>
          <w:shd w:val="clear" w:color="FFFFFF" w:fill="FFFFFF"/>
        </w:rPr>
        <w:t xml:space="preserve">, </w:t>
      </w:r>
      <w:r w:rsidRPr="00363B0D">
        <w:rPr>
          <w:rFonts w:ascii="Times New Roman" w:hAnsi="Times New Roman" w:cs="Times New Roman"/>
          <w:i/>
          <w:iCs/>
          <w:kern w:val="2"/>
          <w:sz w:val="24"/>
          <w:szCs w:val="24"/>
          <w:shd w:val="clear" w:color="FFFFFF" w:fill="FFFFFF"/>
        </w:rPr>
        <w:t>24</w:t>
      </w:r>
      <w:r w:rsidRPr="00363B0D">
        <w:rPr>
          <w:rFonts w:ascii="Times New Roman" w:hAnsi="Times New Roman" w:cs="Times New Roman"/>
          <w:kern w:val="2"/>
          <w:sz w:val="24"/>
          <w:szCs w:val="24"/>
          <w:shd w:val="clear" w:color="FFFFFF" w:fill="FFFFFF"/>
        </w:rPr>
        <w:t>(8), 1281-1290.</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13" w:name="_Hlk179464302"/>
      <w:r w:rsidRPr="00363B0D">
        <w:rPr>
          <w:rFonts w:ascii="Times New Roman" w:hAnsi="Times New Roman" w:cs="Times New Roman"/>
          <w:color w:val="000000"/>
          <w:kern w:val="2"/>
          <w:sz w:val="24"/>
          <w:szCs w:val="24"/>
        </w:rPr>
        <w:t>Ghosh</w:t>
      </w:r>
      <w:bookmarkEnd w:id="13"/>
      <w:r w:rsidRPr="00363B0D">
        <w:rPr>
          <w:rFonts w:ascii="Times New Roman" w:hAnsi="Times New Roman" w:cs="Times New Roman"/>
          <w:color w:val="000000"/>
          <w:kern w:val="2"/>
          <w:sz w:val="24"/>
          <w:szCs w:val="24"/>
        </w:rPr>
        <w:t xml:space="preserve">, B., Reyes-Caballero, H., Akgün-Ölmez, S. G., Nishida, K., Chandrala, L., Smirnova, L., &amp; Sidhaye, V. K. (2020). Effect of sub-chronic exposure to cigarette smoke, electronic cigarette and waterpipe on human lung epithelial barrier function. </w:t>
      </w:r>
      <w:r w:rsidRPr="00363B0D">
        <w:rPr>
          <w:rFonts w:ascii="Times New Roman" w:hAnsi="Times New Roman" w:cs="Times New Roman"/>
          <w:i/>
          <w:iCs/>
          <w:color w:val="000000"/>
          <w:kern w:val="2"/>
          <w:sz w:val="24"/>
          <w:szCs w:val="24"/>
        </w:rPr>
        <w:t>BMC pulmonary medicine</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20</w:t>
      </w:r>
      <w:r w:rsidRPr="00363B0D">
        <w:rPr>
          <w:rFonts w:ascii="Times New Roman" w:hAnsi="Times New Roman" w:cs="Times New Roman"/>
          <w:color w:val="000000"/>
          <w:kern w:val="2"/>
          <w:sz w:val="24"/>
          <w:szCs w:val="24"/>
        </w:rPr>
        <w:t>, 1-</w:t>
      </w:r>
      <w:proofErr w:type="gramStart"/>
      <w:r w:rsidRPr="00363B0D">
        <w:rPr>
          <w:rFonts w:ascii="Times New Roman" w:hAnsi="Times New Roman" w:cs="Times New Roman"/>
          <w:color w:val="000000"/>
          <w:kern w:val="2"/>
          <w:sz w:val="24"/>
          <w:szCs w:val="24"/>
        </w:rPr>
        <w:t>9.a</w:t>
      </w:r>
      <w:proofErr w:type="gramEnd"/>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kern w:val="2"/>
          <w:sz w:val="24"/>
          <w:szCs w:val="24"/>
        </w:rPr>
        <w:t xml:space="preserve">Ghosh, J., &amp; Sil, P. C. (2023). Mechanism for arsenic-induced toxic effects. In </w:t>
      </w:r>
      <w:r w:rsidRPr="00363B0D">
        <w:rPr>
          <w:rFonts w:ascii="Times New Roman" w:hAnsi="Times New Roman" w:cs="Times New Roman"/>
          <w:i/>
          <w:iCs/>
          <w:kern w:val="2"/>
          <w:sz w:val="24"/>
          <w:szCs w:val="24"/>
        </w:rPr>
        <w:t>Handbook of arsenic toxicology</w:t>
      </w:r>
      <w:r w:rsidRPr="00363B0D">
        <w:rPr>
          <w:rFonts w:ascii="Times New Roman" w:hAnsi="Times New Roman" w:cs="Times New Roman"/>
          <w:kern w:val="2"/>
          <w:sz w:val="24"/>
          <w:szCs w:val="24"/>
        </w:rPr>
        <w:t xml:space="preserve"> (pp. 223-252). Academic Press.</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bookmarkStart w:id="14" w:name="_Hlk172516061"/>
      <w:r w:rsidRPr="00363B0D">
        <w:rPr>
          <w:rFonts w:ascii="Times New Roman" w:hAnsi="Times New Roman" w:cs="Times New Roman"/>
          <w:kern w:val="2"/>
          <w:sz w:val="24"/>
          <w:szCs w:val="24"/>
          <w:shd w:val="clear" w:color="FFFFFF" w:fill="FFFFFF"/>
        </w:rPr>
        <w:t>Haddad</w:t>
      </w:r>
      <w:bookmarkEnd w:id="14"/>
      <w:r w:rsidRPr="00363B0D">
        <w:rPr>
          <w:rFonts w:ascii="Times New Roman" w:hAnsi="Times New Roman" w:cs="Times New Roman"/>
          <w:kern w:val="2"/>
          <w:sz w:val="24"/>
          <w:szCs w:val="24"/>
          <w:shd w:val="clear" w:color="FFFFFF" w:fill="FFFFFF"/>
        </w:rPr>
        <w:t xml:space="preserve">, L., El-Shahawy, O., Ghadban, R., Barnett, T. E., &amp; Johnson, E. (2015). Waterpipe smoking and regulation in the United States: a comprehensive review of the literature. </w:t>
      </w:r>
      <w:r w:rsidRPr="00363B0D">
        <w:rPr>
          <w:rFonts w:ascii="Times New Roman" w:hAnsi="Times New Roman" w:cs="Times New Roman"/>
          <w:i/>
          <w:iCs/>
          <w:kern w:val="2"/>
          <w:sz w:val="24"/>
          <w:szCs w:val="24"/>
          <w:shd w:val="clear" w:color="FFFFFF" w:fill="FFFFFF"/>
        </w:rPr>
        <w:t xml:space="preserve">International Journal of Environmental Research </w:t>
      </w:r>
      <w:proofErr w:type="gramStart"/>
      <w:r w:rsidRPr="00363B0D">
        <w:rPr>
          <w:rFonts w:ascii="Times New Roman" w:hAnsi="Times New Roman" w:cs="Times New Roman"/>
          <w:i/>
          <w:iCs/>
          <w:kern w:val="2"/>
          <w:sz w:val="24"/>
          <w:szCs w:val="24"/>
          <w:shd w:val="clear" w:color="FFFFFF" w:fill="FFFFFF"/>
        </w:rPr>
        <w:t>And</w:t>
      </w:r>
      <w:proofErr w:type="gramEnd"/>
      <w:r w:rsidRPr="00363B0D">
        <w:rPr>
          <w:rFonts w:ascii="Times New Roman" w:hAnsi="Times New Roman" w:cs="Times New Roman"/>
          <w:i/>
          <w:iCs/>
          <w:kern w:val="2"/>
          <w:sz w:val="24"/>
          <w:szCs w:val="24"/>
          <w:shd w:val="clear" w:color="FFFFFF" w:fill="FFFFFF"/>
        </w:rPr>
        <w:t xml:space="preserve"> Public Health</w:t>
      </w:r>
      <w:r w:rsidRPr="00363B0D">
        <w:rPr>
          <w:rFonts w:ascii="Times New Roman" w:hAnsi="Times New Roman" w:cs="Times New Roman"/>
          <w:kern w:val="2"/>
          <w:sz w:val="24"/>
          <w:szCs w:val="24"/>
          <w:shd w:val="clear" w:color="FFFFFF" w:fill="FFFFFF"/>
        </w:rPr>
        <w:t xml:space="preserve">, </w:t>
      </w:r>
      <w:r w:rsidRPr="00363B0D">
        <w:rPr>
          <w:rFonts w:ascii="Times New Roman" w:hAnsi="Times New Roman" w:cs="Times New Roman"/>
          <w:i/>
          <w:iCs/>
          <w:kern w:val="2"/>
          <w:sz w:val="24"/>
          <w:szCs w:val="24"/>
          <w:shd w:val="clear" w:color="FFFFFF" w:fill="FFFFFF"/>
        </w:rPr>
        <w:t>12</w:t>
      </w:r>
      <w:r w:rsidRPr="00363B0D">
        <w:rPr>
          <w:rFonts w:ascii="Times New Roman" w:hAnsi="Times New Roman" w:cs="Times New Roman"/>
          <w:kern w:val="2"/>
          <w:sz w:val="24"/>
          <w:szCs w:val="24"/>
          <w:shd w:val="clear" w:color="FFFFFF" w:fill="FFFFFF"/>
        </w:rPr>
        <w:t>(6), 6115-6135.</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15" w:name="_Hlk179464184"/>
      <w:r w:rsidRPr="00363B0D">
        <w:rPr>
          <w:rFonts w:ascii="Times New Roman" w:hAnsi="Times New Roman" w:cs="Times New Roman"/>
          <w:color w:val="000000"/>
          <w:kern w:val="2"/>
          <w:sz w:val="24"/>
          <w:szCs w:val="24"/>
        </w:rPr>
        <w:t>Haddad</w:t>
      </w:r>
      <w:bookmarkEnd w:id="15"/>
      <w:r w:rsidRPr="00363B0D">
        <w:rPr>
          <w:rFonts w:ascii="Times New Roman" w:hAnsi="Times New Roman" w:cs="Times New Roman"/>
          <w:color w:val="000000"/>
          <w:kern w:val="2"/>
          <w:sz w:val="24"/>
          <w:szCs w:val="24"/>
        </w:rPr>
        <w:t xml:space="preserve">, L., Kelly, D. L., Weglicki, L. S., Barnett, T. E., Ferrell, A. V., &amp; Ghadban, R. (2016). A systematic review of effects of waterpipe smoking on cardiovascular and respiratory health outcomes. </w:t>
      </w:r>
      <w:r w:rsidRPr="00363B0D">
        <w:rPr>
          <w:rFonts w:ascii="Times New Roman" w:hAnsi="Times New Roman" w:cs="Times New Roman"/>
          <w:i/>
          <w:iCs/>
          <w:color w:val="000000"/>
          <w:kern w:val="2"/>
          <w:sz w:val="24"/>
          <w:szCs w:val="24"/>
        </w:rPr>
        <w:t>Tobacco Use Insights</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9</w:t>
      </w:r>
      <w:r w:rsidRPr="00363B0D">
        <w:rPr>
          <w:rFonts w:ascii="Times New Roman" w:hAnsi="Times New Roman" w:cs="Times New Roman"/>
          <w:color w:val="000000"/>
          <w:kern w:val="2"/>
          <w:sz w:val="24"/>
          <w:szCs w:val="24"/>
        </w:rPr>
        <w:t>, 39873.</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16" w:name="_Hlk179463789"/>
      <w:r w:rsidRPr="00363B0D">
        <w:rPr>
          <w:rFonts w:ascii="Times New Roman" w:hAnsi="Times New Roman" w:cs="Times New Roman"/>
          <w:color w:val="000000"/>
          <w:kern w:val="2"/>
          <w:sz w:val="24"/>
          <w:szCs w:val="24"/>
        </w:rPr>
        <w:t>Hauser</w:t>
      </w:r>
      <w:bookmarkEnd w:id="16"/>
      <w:r w:rsidRPr="00363B0D">
        <w:rPr>
          <w:rFonts w:ascii="Times New Roman" w:hAnsi="Times New Roman" w:cs="Times New Roman"/>
          <w:color w:val="000000"/>
          <w:kern w:val="2"/>
          <w:sz w:val="24"/>
          <w:szCs w:val="24"/>
        </w:rPr>
        <w:t xml:space="preserve">, C. D., Mailig, R., Stadtler, H., Reed, J., Chen, S., Uffman, E., &amp; Bernd, K. (2020). Waterpipe tobacco smoke toxicity: the impact of waterpipe size. </w:t>
      </w:r>
      <w:r w:rsidRPr="00363B0D">
        <w:rPr>
          <w:rFonts w:ascii="Times New Roman" w:hAnsi="Times New Roman" w:cs="Times New Roman"/>
          <w:i/>
          <w:iCs/>
          <w:color w:val="000000"/>
          <w:kern w:val="2"/>
          <w:sz w:val="24"/>
          <w:szCs w:val="24"/>
        </w:rPr>
        <w:t>Tobacco Control</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29</w:t>
      </w:r>
      <w:r w:rsidRPr="00363B0D">
        <w:rPr>
          <w:rFonts w:ascii="Times New Roman" w:hAnsi="Times New Roman" w:cs="Times New Roman"/>
          <w:color w:val="000000"/>
          <w:kern w:val="2"/>
          <w:sz w:val="24"/>
          <w:szCs w:val="24"/>
        </w:rPr>
        <w:t>(2), 90-94.</w:t>
      </w:r>
    </w:p>
    <w:p w:rsidR="00B66E73" w:rsidRPr="00363B0D" w:rsidRDefault="004C2859" w:rsidP="00363B0D">
      <w:pPr>
        <w:pStyle w:val="ListParagraph"/>
        <w:numPr>
          <w:ilvl w:val="0"/>
          <w:numId w:val="5"/>
        </w:numPr>
        <w:spacing w:line="360" w:lineRule="auto"/>
        <w:jc w:val="both"/>
        <w:rPr>
          <w:rFonts w:ascii="Times New Roman" w:hAnsi="Times New Roman" w:cs="Times New Roman"/>
          <w:sz w:val="24"/>
          <w:szCs w:val="24"/>
        </w:rPr>
      </w:pPr>
      <w:r w:rsidRPr="00363B0D">
        <w:rPr>
          <w:rFonts w:ascii="Times New Roman" w:eastAsia="-webkit-standard" w:hAnsi="Times New Roman" w:cs="Times New Roman"/>
          <w:kern w:val="2"/>
          <w:sz w:val="24"/>
          <w:szCs w:val="24"/>
          <w:lang w:val="en-IN"/>
        </w:rPr>
        <w:t xml:space="preserve">Hallan, L. &amp; Orth, P.  (2011). Toxicological effect of tobacco smoke on renal functions. </w:t>
      </w:r>
      <w:r w:rsidRPr="00363B0D">
        <w:rPr>
          <w:rFonts w:ascii="Times New Roman" w:eastAsia="-webkit-standard" w:hAnsi="Times New Roman" w:cs="Times New Roman"/>
          <w:i/>
          <w:iCs/>
          <w:kern w:val="2"/>
          <w:sz w:val="24"/>
          <w:szCs w:val="24"/>
          <w:lang w:val="en-IN"/>
        </w:rPr>
        <w:t>Biochemistry,</w:t>
      </w:r>
      <w:r w:rsidRPr="00363B0D">
        <w:rPr>
          <w:rFonts w:ascii="Times New Roman" w:eastAsia="-webkit-standard" w:hAnsi="Times New Roman" w:cs="Times New Roman"/>
          <w:kern w:val="2"/>
          <w:sz w:val="24"/>
          <w:szCs w:val="24"/>
          <w:lang w:val="en-IN"/>
        </w:rPr>
        <w:t xml:space="preserve"> 41(2), 43-61.</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17" w:name="_Hlk179461605"/>
      <w:r w:rsidRPr="00363B0D">
        <w:rPr>
          <w:rFonts w:ascii="Times New Roman" w:hAnsi="Times New Roman" w:cs="Times New Roman"/>
          <w:color w:val="000000"/>
          <w:kern w:val="2"/>
          <w:sz w:val="24"/>
          <w:szCs w:val="24"/>
        </w:rPr>
        <w:t>Huang</w:t>
      </w:r>
      <w:bookmarkEnd w:id="17"/>
      <w:r w:rsidRPr="00363B0D">
        <w:rPr>
          <w:rFonts w:ascii="Times New Roman" w:hAnsi="Times New Roman" w:cs="Times New Roman"/>
          <w:color w:val="000000"/>
          <w:kern w:val="2"/>
          <w:sz w:val="24"/>
          <w:szCs w:val="24"/>
        </w:rPr>
        <w:t xml:space="preserve">, L. L., Baker, H. M., Meernik, C., Ranney, L. M., Richardson, A., &amp; Goldstein, A. O. (2017). Impact of non-menthol flavours in tobacco products on perceptions and use among youth, young adults and adults: a systematic review. </w:t>
      </w:r>
      <w:r w:rsidRPr="00363B0D">
        <w:rPr>
          <w:rFonts w:ascii="Times New Roman" w:hAnsi="Times New Roman" w:cs="Times New Roman"/>
          <w:i/>
          <w:iCs/>
          <w:color w:val="000000"/>
          <w:kern w:val="2"/>
          <w:sz w:val="24"/>
          <w:szCs w:val="24"/>
        </w:rPr>
        <w:t>Tobacco Control</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26</w:t>
      </w:r>
      <w:r w:rsidRPr="00363B0D">
        <w:rPr>
          <w:rFonts w:ascii="Times New Roman" w:hAnsi="Times New Roman" w:cs="Times New Roman"/>
          <w:color w:val="000000"/>
          <w:kern w:val="2"/>
          <w:sz w:val="24"/>
          <w:szCs w:val="24"/>
        </w:rPr>
        <w:t>(6), 709-719.</w:t>
      </w:r>
    </w:p>
    <w:p w:rsidR="00B66E73" w:rsidRPr="00363B0D" w:rsidRDefault="004C2859" w:rsidP="00363B0D">
      <w:pPr>
        <w:pStyle w:val="ListParagraph"/>
        <w:numPr>
          <w:ilvl w:val="0"/>
          <w:numId w:val="5"/>
        </w:numPr>
        <w:spacing w:line="360" w:lineRule="auto"/>
        <w:jc w:val="both"/>
        <w:rPr>
          <w:rFonts w:ascii="Times New Roman" w:hAnsi="Times New Roman" w:cs="Times New Roman"/>
          <w:kern w:val="2"/>
          <w:sz w:val="24"/>
          <w:szCs w:val="24"/>
          <w:lang w:val="en-IN"/>
        </w:rPr>
      </w:pPr>
      <w:r w:rsidRPr="00363B0D">
        <w:rPr>
          <w:rFonts w:ascii="Times New Roman" w:hAnsi="Times New Roman" w:cs="Times New Roman"/>
          <w:kern w:val="2"/>
          <w:sz w:val="24"/>
          <w:szCs w:val="24"/>
          <w:lang w:val="en-IN"/>
        </w:rPr>
        <w:t xml:space="preserve">Jamil, P., Vipin, S.K., Sanjeev, S.T., Pravesh, K. &amp; Anil, S. (2011). Impact of waterpipe tobacco smoking on the oxidative stress and blood parameters in rats. </w:t>
      </w:r>
      <w:r w:rsidRPr="00363B0D">
        <w:rPr>
          <w:rFonts w:ascii="Times New Roman" w:hAnsi="Times New Roman" w:cs="Times New Roman"/>
          <w:i/>
          <w:iCs/>
          <w:kern w:val="2"/>
          <w:sz w:val="24"/>
          <w:szCs w:val="24"/>
          <w:lang w:val="en-IN"/>
        </w:rPr>
        <w:t xml:space="preserve">Journal of Environmental Pathology, Toxicology and Oncology, </w:t>
      </w:r>
      <w:r w:rsidRPr="00363B0D">
        <w:rPr>
          <w:rFonts w:ascii="Times New Roman" w:hAnsi="Times New Roman" w:cs="Times New Roman"/>
          <w:kern w:val="2"/>
          <w:sz w:val="24"/>
          <w:szCs w:val="24"/>
          <w:lang w:val="en-IN"/>
        </w:rPr>
        <w:t>34(3), 227-235.</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Jendrassik, L., &amp; Gróf, P. (1938). Vereinfachte photometrische Methoden zur Bestimmung des Blutbilirubins (Simplified Photometric Methods for the Determination of Bilirubin). Biochemische Zeitschrift, 297, 81-89.</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lastRenderedPageBreak/>
        <w:t>Jorhem, L. (2000). "Determination of Metals in Foods by Atomic Absorption Spectrometry After Dry Ashing: NMKL Collaborative Study." Journal of AOAC International, 83(5), 1204–1211.</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Kachmar, J.F. and Moss, </w:t>
      </w:r>
      <w:proofErr w:type="gramStart"/>
      <w:r w:rsidRPr="00363B0D">
        <w:rPr>
          <w:rFonts w:ascii="Times New Roman" w:eastAsia="SimSun" w:hAnsi="Times New Roman" w:cs="Times New Roman"/>
          <w:sz w:val="24"/>
          <w:szCs w:val="24"/>
          <w:lang w:eastAsia="zh-CN"/>
        </w:rPr>
        <w:t>D.W</w:t>
      </w:r>
      <w:proofErr w:type="gramEnd"/>
      <w:r w:rsidRPr="00363B0D">
        <w:rPr>
          <w:rFonts w:ascii="Times New Roman" w:eastAsia="SimSun" w:hAnsi="Times New Roman" w:cs="Times New Roman"/>
          <w:sz w:val="24"/>
          <w:szCs w:val="24"/>
          <w:lang w:eastAsia="zh-CN"/>
        </w:rPr>
        <w:t xml:space="preserve"> (1976).Fundamentals of Clinical Chemistry. 2nd Edition. Philadelphia: W.B. Saunders. </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18" w:name="_Hlk179487934"/>
      <w:r w:rsidRPr="00363B0D">
        <w:rPr>
          <w:rFonts w:ascii="Times New Roman" w:hAnsi="Times New Roman" w:cs="Times New Roman"/>
          <w:color w:val="000000"/>
          <w:kern w:val="2"/>
          <w:sz w:val="24"/>
          <w:szCs w:val="24"/>
        </w:rPr>
        <w:t>Kassem</w:t>
      </w:r>
      <w:bookmarkEnd w:id="18"/>
      <w:r w:rsidRPr="00363B0D">
        <w:rPr>
          <w:rFonts w:ascii="Times New Roman" w:hAnsi="Times New Roman" w:cs="Times New Roman"/>
          <w:color w:val="000000"/>
          <w:kern w:val="2"/>
          <w:sz w:val="24"/>
          <w:szCs w:val="24"/>
        </w:rPr>
        <w:t xml:space="preserve">, N. O., Strongin, R. M., Stroup, A. M., Brinkman, M. C., El-Hellani, A., Erythropel, H. C., &amp; Rahman, I. (2024). Toxicity of waterpipe tobacco smoking: the role of flavors, sweeteners, humectants, and charcoal. </w:t>
      </w:r>
      <w:r w:rsidRPr="00363B0D">
        <w:rPr>
          <w:rFonts w:ascii="Times New Roman" w:hAnsi="Times New Roman" w:cs="Times New Roman"/>
          <w:i/>
          <w:iCs/>
          <w:color w:val="000000"/>
          <w:kern w:val="2"/>
          <w:sz w:val="24"/>
          <w:szCs w:val="24"/>
        </w:rPr>
        <w:t>Toxicological Sciences</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201</w:t>
      </w:r>
      <w:r w:rsidRPr="00363B0D">
        <w:rPr>
          <w:rFonts w:ascii="Times New Roman" w:hAnsi="Times New Roman" w:cs="Times New Roman"/>
          <w:color w:val="000000"/>
          <w:kern w:val="2"/>
          <w:sz w:val="24"/>
          <w:szCs w:val="24"/>
        </w:rPr>
        <w:t>(2), 159-173.</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kern w:val="2"/>
          <w:sz w:val="24"/>
          <w:szCs w:val="24"/>
        </w:rPr>
        <w:t xml:space="preserve">Kaplan, B., Sussan, T., Rule, A., Moon, K., Grau-Perez, M., Olmedo, P., &amp; Navas-Acien, A. (2019). Waterpipe tobacco smoke: characterization of toxicants and exposure biomarkers in a cross-sectional study of waterpipe employees. </w:t>
      </w:r>
      <w:r w:rsidRPr="00363B0D">
        <w:rPr>
          <w:rFonts w:ascii="Times New Roman" w:hAnsi="Times New Roman" w:cs="Times New Roman"/>
          <w:i/>
          <w:iCs/>
          <w:kern w:val="2"/>
          <w:sz w:val="24"/>
          <w:szCs w:val="24"/>
        </w:rPr>
        <w:t>Environment international</w:t>
      </w:r>
      <w:r w:rsidRPr="00363B0D">
        <w:rPr>
          <w:rFonts w:ascii="Times New Roman" w:hAnsi="Times New Roman" w:cs="Times New Roman"/>
          <w:kern w:val="2"/>
          <w:sz w:val="24"/>
          <w:szCs w:val="24"/>
        </w:rPr>
        <w:t xml:space="preserve">, </w:t>
      </w:r>
      <w:r w:rsidRPr="00363B0D">
        <w:rPr>
          <w:rFonts w:ascii="Times New Roman" w:hAnsi="Times New Roman" w:cs="Times New Roman"/>
          <w:i/>
          <w:iCs/>
          <w:kern w:val="2"/>
          <w:sz w:val="24"/>
          <w:szCs w:val="24"/>
        </w:rPr>
        <w:t>127</w:t>
      </w:r>
      <w:r w:rsidRPr="00363B0D">
        <w:rPr>
          <w:rFonts w:ascii="Times New Roman" w:hAnsi="Times New Roman" w:cs="Times New Roman"/>
          <w:kern w:val="2"/>
          <w:sz w:val="24"/>
          <w:szCs w:val="24"/>
        </w:rPr>
        <w:t>, 495-502.</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19" w:name="_Hlk179464258"/>
      <w:r w:rsidRPr="00363B0D">
        <w:rPr>
          <w:rFonts w:ascii="Times New Roman" w:hAnsi="Times New Roman" w:cs="Times New Roman"/>
          <w:color w:val="000000"/>
          <w:kern w:val="2"/>
          <w:sz w:val="24"/>
          <w:szCs w:val="24"/>
        </w:rPr>
        <w:t>Khabour</w:t>
      </w:r>
      <w:bookmarkEnd w:id="19"/>
      <w:r w:rsidRPr="00363B0D">
        <w:rPr>
          <w:rFonts w:ascii="Times New Roman" w:hAnsi="Times New Roman" w:cs="Times New Roman"/>
          <w:color w:val="000000"/>
          <w:kern w:val="2"/>
          <w:sz w:val="24"/>
          <w:szCs w:val="24"/>
        </w:rPr>
        <w:t xml:space="preserve">, O. F., Alzoubi, K. H., Al-Sawalha, N., Ahmad, M. B., Shihadeh, A., &amp; Eissenberg, T. (2018). The effect of chronic exposure to waterpipe tobacco smoke on airway inflammation in mice. </w:t>
      </w:r>
      <w:r w:rsidRPr="00363B0D">
        <w:rPr>
          <w:rFonts w:ascii="Times New Roman" w:hAnsi="Times New Roman" w:cs="Times New Roman"/>
          <w:i/>
          <w:iCs/>
          <w:color w:val="000000"/>
          <w:kern w:val="2"/>
          <w:sz w:val="24"/>
          <w:szCs w:val="24"/>
        </w:rPr>
        <w:t>Life sciences</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200</w:t>
      </w:r>
      <w:r w:rsidRPr="00363B0D">
        <w:rPr>
          <w:rFonts w:ascii="Times New Roman" w:hAnsi="Times New Roman" w:cs="Times New Roman"/>
          <w:color w:val="000000"/>
          <w:kern w:val="2"/>
          <w:sz w:val="24"/>
          <w:szCs w:val="24"/>
        </w:rPr>
        <w:t>, 110-114.</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color w:val="000000"/>
          <w:kern w:val="2"/>
          <w:sz w:val="24"/>
          <w:szCs w:val="24"/>
        </w:rPr>
      </w:pPr>
      <w:bookmarkStart w:id="20" w:name="_Hlk179489429"/>
      <w:r w:rsidRPr="00363B0D">
        <w:rPr>
          <w:rFonts w:ascii="Times New Roman" w:hAnsi="Times New Roman" w:cs="Times New Roman"/>
          <w:color w:val="000000"/>
          <w:kern w:val="2"/>
          <w:sz w:val="24"/>
          <w:szCs w:val="24"/>
        </w:rPr>
        <w:t>Kim</w:t>
      </w:r>
      <w:bookmarkEnd w:id="20"/>
      <w:r w:rsidRPr="00363B0D">
        <w:rPr>
          <w:rFonts w:ascii="Times New Roman" w:hAnsi="Times New Roman" w:cs="Times New Roman"/>
          <w:color w:val="000000"/>
          <w:kern w:val="2"/>
          <w:sz w:val="24"/>
          <w:szCs w:val="24"/>
        </w:rPr>
        <w:t xml:space="preserve">, K. H., Kabir, E., &amp; Jahan, S. A. (2016). Waterpipe tobacco smoking and its human health impacts. </w:t>
      </w:r>
      <w:r w:rsidRPr="00363B0D">
        <w:rPr>
          <w:rFonts w:ascii="Times New Roman" w:hAnsi="Times New Roman" w:cs="Times New Roman"/>
          <w:i/>
          <w:iCs/>
          <w:color w:val="000000"/>
          <w:kern w:val="2"/>
          <w:sz w:val="24"/>
          <w:szCs w:val="24"/>
        </w:rPr>
        <w:t>Journal of hazardous materials</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317</w:t>
      </w:r>
      <w:r w:rsidRPr="00363B0D">
        <w:rPr>
          <w:rFonts w:ascii="Times New Roman" w:hAnsi="Times New Roman" w:cs="Times New Roman"/>
          <w:color w:val="000000"/>
          <w:kern w:val="2"/>
          <w:sz w:val="24"/>
          <w:szCs w:val="24"/>
        </w:rPr>
        <w:t>, 229-236.</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Kingsley, G. R. (1939). The Determination of Serum Total Protein, Albumin, and Globulin by the Biuret Reaction. Journal of Biological Chemistry, 131(1), 197-200.</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21" w:name="_Hlk179489556"/>
      <w:r w:rsidRPr="00363B0D">
        <w:rPr>
          <w:rFonts w:ascii="Times New Roman" w:hAnsi="Times New Roman" w:cs="Times New Roman"/>
          <w:color w:val="000000"/>
          <w:kern w:val="2"/>
          <w:sz w:val="24"/>
          <w:szCs w:val="24"/>
        </w:rPr>
        <w:t>Mandal</w:t>
      </w:r>
      <w:bookmarkEnd w:id="21"/>
      <w:r w:rsidRPr="00363B0D">
        <w:rPr>
          <w:rFonts w:ascii="Times New Roman" w:hAnsi="Times New Roman" w:cs="Times New Roman"/>
          <w:color w:val="000000"/>
          <w:kern w:val="2"/>
          <w:sz w:val="24"/>
          <w:szCs w:val="24"/>
        </w:rPr>
        <w:t>, S., Nandi, K., Sen, D. J., &amp; Saha, D. (2021). Hookah: the technology of smoking through water filters the alkaloid having no oxygen.</w:t>
      </w:r>
    </w:p>
    <w:p w:rsidR="00B66E73" w:rsidRPr="00363B0D" w:rsidRDefault="004C2859" w:rsidP="00363B0D">
      <w:pPr>
        <w:pStyle w:val="ListParagraph"/>
        <w:numPr>
          <w:ilvl w:val="0"/>
          <w:numId w:val="5"/>
        </w:numPr>
        <w:spacing w:line="360" w:lineRule="auto"/>
        <w:jc w:val="both"/>
        <w:rPr>
          <w:rFonts w:ascii="Times New Roman" w:hAnsi="Times New Roman" w:cs="Times New Roman"/>
          <w:sz w:val="24"/>
          <w:szCs w:val="24"/>
        </w:rPr>
      </w:pPr>
      <w:r w:rsidRPr="00363B0D">
        <w:rPr>
          <w:rFonts w:ascii="Times New Roman" w:hAnsi="Times New Roman" w:cs="Times New Roman"/>
          <w:kern w:val="2"/>
          <w:sz w:val="24"/>
          <w:szCs w:val="24"/>
          <w:lang w:val="en-IN"/>
        </w:rPr>
        <w:t xml:space="preserve">Maziak, Y. (2011). Oxidative stress and total antioxidant capacity in water pipe tobacco smoking. </w:t>
      </w:r>
      <w:r w:rsidRPr="00363B0D">
        <w:rPr>
          <w:rFonts w:ascii="Times New Roman" w:hAnsi="Times New Roman" w:cs="Times New Roman"/>
          <w:i/>
          <w:iCs/>
          <w:kern w:val="2"/>
          <w:sz w:val="24"/>
          <w:szCs w:val="24"/>
          <w:lang w:val="en-IN"/>
        </w:rPr>
        <w:t xml:space="preserve">American Journal of Lifestyle Medicine, </w:t>
      </w:r>
      <w:r w:rsidRPr="00363B0D">
        <w:rPr>
          <w:rFonts w:ascii="Times New Roman" w:hAnsi="Times New Roman" w:cs="Times New Roman"/>
          <w:kern w:val="2"/>
          <w:sz w:val="24"/>
          <w:szCs w:val="24"/>
          <w:lang w:val="en-IN"/>
        </w:rPr>
        <w:t>8(4), 307-312.</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kern w:val="2"/>
          <w:sz w:val="24"/>
          <w:szCs w:val="24"/>
        </w:rPr>
        <w:t xml:space="preserve">Masjedi, M. R., Arfaeinia, H., Dobaradaran, S., Keshtkar, M., Soleimani, F., Novotny, T. E., &amp; Torkshavand, Z. (2023). Post-consumption waterpipe tobacco waste as an unrecognized source of toxic metal (loid) s leachates into aquatic environments. </w:t>
      </w:r>
      <w:r w:rsidRPr="00363B0D">
        <w:rPr>
          <w:rFonts w:ascii="Times New Roman" w:hAnsi="Times New Roman" w:cs="Times New Roman"/>
          <w:i/>
          <w:iCs/>
          <w:kern w:val="2"/>
          <w:sz w:val="24"/>
          <w:szCs w:val="24"/>
        </w:rPr>
        <w:t>Science of The Total Environment</w:t>
      </w:r>
      <w:r w:rsidRPr="00363B0D">
        <w:rPr>
          <w:rFonts w:ascii="Times New Roman" w:hAnsi="Times New Roman" w:cs="Times New Roman"/>
          <w:kern w:val="2"/>
          <w:sz w:val="24"/>
          <w:szCs w:val="24"/>
        </w:rPr>
        <w:t xml:space="preserve">, </w:t>
      </w:r>
      <w:r w:rsidRPr="00363B0D">
        <w:rPr>
          <w:rFonts w:ascii="Times New Roman" w:hAnsi="Times New Roman" w:cs="Times New Roman"/>
          <w:i/>
          <w:iCs/>
          <w:kern w:val="2"/>
          <w:sz w:val="24"/>
          <w:szCs w:val="24"/>
        </w:rPr>
        <w:t>879</w:t>
      </w:r>
      <w:r w:rsidRPr="00363B0D">
        <w:rPr>
          <w:rFonts w:ascii="Times New Roman" w:hAnsi="Times New Roman" w:cs="Times New Roman"/>
          <w:kern w:val="2"/>
          <w:sz w:val="24"/>
          <w:szCs w:val="24"/>
        </w:rPr>
        <w:t>, 163207.</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kern w:val="2"/>
          <w:sz w:val="24"/>
          <w:szCs w:val="24"/>
        </w:rPr>
        <w:t xml:space="preserve">Masjedi, M. R., Dobaradaran, S., Arfaeinia, H., Samaei, M. R., Novotny, T. E., &amp; Rashidi, N. (2023). Polycyclic aromatic hydrocarbon (PAH) leachates from post-consumption waterpipe tobacco waste (PWTW) into aquatic environment-a primary study. </w:t>
      </w:r>
      <w:r w:rsidRPr="00363B0D">
        <w:rPr>
          <w:rFonts w:ascii="Times New Roman" w:hAnsi="Times New Roman" w:cs="Times New Roman"/>
          <w:i/>
          <w:iCs/>
          <w:kern w:val="2"/>
          <w:sz w:val="24"/>
          <w:szCs w:val="24"/>
        </w:rPr>
        <w:t>Environmental Pollution</w:t>
      </w:r>
      <w:r w:rsidRPr="00363B0D">
        <w:rPr>
          <w:rFonts w:ascii="Times New Roman" w:hAnsi="Times New Roman" w:cs="Times New Roman"/>
          <w:kern w:val="2"/>
          <w:sz w:val="24"/>
          <w:szCs w:val="24"/>
        </w:rPr>
        <w:t xml:space="preserve">, </w:t>
      </w:r>
      <w:r w:rsidRPr="00363B0D">
        <w:rPr>
          <w:rFonts w:ascii="Times New Roman" w:hAnsi="Times New Roman" w:cs="Times New Roman"/>
          <w:i/>
          <w:iCs/>
          <w:kern w:val="2"/>
          <w:sz w:val="24"/>
          <w:szCs w:val="24"/>
        </w:rPr>
        <w:t>327</w:t>
      </w:r>
      <w:r w:rsidRPr="00363B0D">
        <w:rPr>
          <w:rFonts w:ascii="Times New Roman" w:hAnsi="Times New Roman" w:cs="Times New Roman"/>
          <w:kern w:val="2"/>
          <w:sz w:val="24"/>
          <w:szCs w:val="24"/>
        </w:rPr>
        <w:t>, 121-500.</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color w:val="222222"/>
          <w:kern w:val="2"/>
          <w:sz w:val="24"/>
          <w:szCs w:val="24"/>
          <w:shd w:val="clear" w:color="FFFFFF" w:fill="FFFFFF"/>
        </w:rPr>
        <w:t xml:space="preserve">Martínez-Castillo, M., García-Montalvo, E. A., Arellano-Mendoza, M. G., Sánchez-Peña, L. D. C., Soria Jasso, L. E., Izquierdo-Vega, J. A., ... &amp; Hernández-Zavala, A. (2021). Arsenic exposure and non-carcinogenic health effects. </w:t>
      </w:r>
      <w:r w:rsidRPr="00363B0D">
        <w:rPr>
          <w:rFonts w:ascii="Times New Roman" w:hAnsi="Times New Roman" w:cs="Times New Roman"/>
          <w:i/>
          <w:iCs/>
          <w:color w:val="222222"/>
          <w:kern w:val="2"/>
          <w:sz w:val="24"/>
          <w:szCs w:val="24"/>
          <w:shd w:val="clear" w:color="FFFFFF" w:fill="FFFFFF"/>
        </w:rPr>
        <w:t>Human &amp; Experimental Toxicology</w:t>
      </w:r>
      <w:r w:rsidRPr="00363B0D">
        <w:rPr>
          <w:rFonts w:ascii="Times New Roman" w:hAnsi="Times New Roman" w:cs="Times New Roman"/>
          <w:color w:val="222222"/>
          <w:kern w:val="2"/>
          <w:sz w:val="24"/>
          <w:szCs w:val="24"/>
          <w:shd w:val="clear" w:color="FFFFFF" w:fill="FFFFFF"/>
        </w:rPr>
        <w:t xml:space="preserve">, </w:t>
      </w:r>
      <w:r w:rsidRPr="00363B0D">
        <w:rPr>
          <w:rFonts w:ascii="Times New Roman" w:hAnsi="Times New Roman" w:cs="Times New Roman"/>
          <w:i/>
          <w:iCs/>
          <w:color w:val="222222"/>
          <w:kern w:val="2"/>
          <w:sz w:val="24"/>
          <w:szCs w:val="24"/>
          <w:shd w:val="clear" w:color="FFFFFF" w:fill="FFFFFF"/>
        </w:rPr>
        <w:t>40</w:t>
      </w:r>
      <w:r w:rsidRPr="00363B0D">
        <w:rPr>
          <w:rFonts w:ascii="Times New Roman" w:hAnsi="Times New Roman" w:cs="Times New Roman"/>
          <w:color w:val="222222"/>
          <w:kern w:val="2"/>
          <w:sz w:val="24"/>
          <w:szCs w:val="24"/>
          <w:shd w:val="clear" w:color="FFFFFF" w:fill="FFFFFF"/>
        </w:rPr>
        <w:t>(12), 826-850.</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r w:rsidRPr="00363B0D">
        <w:rPr>
          <w:rFonts w:ascii="Times New Roman" w:hAnsi="Times New Roman" w:cs="Times New Roman"/>
          <w:color w:val="222222"/>
          <w:kern w:val="2"/>
          <w:sz w:val="24"/>
          <w:szCs w:val="24"/>
          <w:shd w:val="clear" w:color="FFFFFF" w:fill="FFFFFF"/>
        </w:rPr>
        <w:t xml:space="preserve">Makvandi, Z., Mostafavi, F., Bashirian, S., Zamani-Alavijeh, F., &amp; Kelishadi, R. (2021). Sociocultural factors contributing to waterpipe tobacco smoking among adolescents and young adult women: a qualitative study in Iran. </w:t>
      </w:r>
      <w:r w:rsidRPr="00363B0D">
        <w:rPr>
          <w:rFonts w:ascii="Times New Roman" w:hAnsi="Times New Roman" w:cs="Times New Roman"/>
          <w:i/>
          <w:iCs/>
          <w:color w:val="222222"/>
          <w:kern w:val="2"/>
          <w:sz w:val="24"/>
          <w:szCs w:val="24"/>
          <w:shd w:val="clear" w:color="FFFFFF" w:fill="FFFFFF"/>
        </w:rPr>
        <w:t xml:space="preserve">International </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color w:val="000000"/>
          <w:kern w:val="2"/>
          <w:sz w:val="24"/>
          <w:szCs w:val="24"/>
        </w:rPr>
      </w:pPr>
      <w:bookmarkStart w:id="22" w:name="_Hlk179464133"/>
      <w:r w:rsidRPr="00363B0D">
        <w:rPr>
          <w:rFonts w:ascii="Times New Roman" w:hAnsi="Times New Roman" w:cs="Times New Roman"/>
          <w:color w:val="000000"/>
          <w:kern w:val="2"/>
          <w:sz w:val="24"/>
          <w:szCs w:val="24"/>
        </w:rPr>
        <w:t>Mogassabi</w:t>
      </w:r>
      <w:bookmarkEnd w:id="22"/>
      <w:r w:rsidRPr="00363B0D">
        <w:rPr>
          <w:rFonts w:ascii="Times New Roman" w:hAnsi="Times New Roman" w:cs="Times New Roman"/>
          <w:color w:val="000000"/>
          <w:kern w:val="2"/>
          <w:sz w:val="24"/>
          <w:szCs w:val="24"/>
        </w:rPr>
        <w:t xml:space="preserve">, W., Hassen, S., Mahadik, S., Mubarak, R., &amp; Ibrahim, W. (2019). Acute and long-term effects of water pipe smoking on the respiratory system: A narrative review. </w:t>
      </w:r>
      <w:r w:rsidRPr="00363B0D">
        <w:rPr>
          <w:rFonts w:ascii="Times New Roman" w:hAnsi="Times New Roman" w:cs="Times New Roman"/>
          <w:i/>
          <w:iCs/>
          <w:color w:val="000000"/>
          <w:kern w:val="2"/>
          <w:sz w:val="24"/>
          <w:szCs w:val="24"/>
        </w:rPr>
        <w:t>Ibnosina Journal of Medicine and Biomedical Sciences</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11</w:t>
      </w:r>
      <w:r w:rsidRPr="00363B0D">
        <w:rPr>
          <w:rFonts w:ascii="Times New Roman" w:hAnsi="Times New Roman" w:cs="Times New Roman"/>
          <w:color w:val="000000"/>
          <w:kern w:val="2"/>
          <w:sz w:val="24"/>
          <w:szCs w:val="24"/>
        </w:rPr>
        <w:t>(04), 142-150.</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Misra, H.P. and Fridovich, I. (1972). The Role of Superoxide Anion in the Autoxidation of Epinephrine and a Simple Assay for Superoxide Dismutase. Journal of Biological Chemistry, 247(10), pp. 3170–3175.</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Moss D.W. (1982). "Alkaline phosphatase isoenzymes." Clinical Chemistry, 28(10), 2007–2016.</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lastRenderedPageBreak/>
        <w:t>Moss D.W. and Edwards R.K. (1984). "Improved electrophoretic resolution of bone and liver alkaline phosphatases resulting from partial digestion with neuraminidase." Clinica Chimica Acta, 143(2), 177–182.</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color w:val="000000"/>
          <w:kern w:val="2"/>
          <w:sz w:val="24"/>
          <w:szCs w:val="24"/>
        </w:rPr>
      </w:pPr>
      <w:bookmarkStart w:id="23" w:name="_Hlk179484238"/>
      <w:r w:rsidRPr="00363B0D">
        <w:rPr>
          <w:rFonts w:ascii="Times New Roman" w:hAnsi="Times New Roman" w:cs="Times New Roman"/>
          <w:color w:val="000000"/>
          <w:kern w:val="2"/>
          <w:sz w:val="24"/>
          <w:szCs w:val="24"/>
        </w:rPr>
        <w:t>Nakkash</w:t>
      </w:r>
      <w:bookmarkEnd w:id="23"/>
      <w:r w:rsidRPr="00363B0D">
        <w:rPr>
          <w:rFonts w:ascii="Times New Roman" w:hAnsi="Times New Roman" w:cs="Times New Roman"/>
          <w:color w:val="000000"/>
          <w:kern w:val="2"/>
          <w:sz w:val="24"/>
          <w:szCs w:val="24"/>
        </w:rPr>
        <w:t xml:space="preserve">, R. T., Khalil, J., &amp; Afifi, R. A. (2011). The rise in narghile (shisha, hookah) waterpipe tobacco smoking: a qualitative study of perceptions of smokers and non-smokers. </w:t>
      </w:r>
      <w:r w:rsidRPr="00363B0D">
        <w:rPr>
          <w:rFonts w:ascii="Times New Roman" w:hAnsi="Times New Roman" w:cs="Times New Roman"/>
          <w:i/>
          <w:iCs/>
          <w:color w:val="000000"/>
          <w:kern w:val="2"/>
          <w:sz w:val="24"/>
          <w:szCs w:val="24"/>
        </w:rPr>
        <w:t>BMC Public Health</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11</w:t>
      </w:r>
      <w:r w:rsidRPr="00363B0D">
        <w:rPr>
          <w:rFonts w:ascii="Times New Roman" w:hAnsi="Times New Roman" w:cs="Times New Roman"/>
          <w:color w:val="000000"/>
          <w:kern w:val="2"/>
          <w:sz w:val="24"/>
          <w:szCs w:val="24"/>
        </w:rPr>
        <w:t>, 1-9.</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Ohkawa, H., Ohishi, N. and Yagi, K. (1979) Assay for Lipid Peroxides in Animal Tissues by Thiobarbituric Acid Reaction. Analytical Biochemistry, 95, 351-358. http://dx.doi.org/10.1016/0003-2697(79)90738-3.</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hAnsi="Times New Roman" w:cs="Times New Roman"/>
          <w:sz w:val="24"/>
          <w:szCs w:val="24"/>
        </w:rPr>
        <w:t>Peter, Q.T., Paola D., &amp; Luigi, M. (2012). Advances in GC-MS for Food Analysis, LCGC Europe.</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Pavan M. V. Raja, Andrew R. Barron (2021). Ion Selective Electrode Analysis, https://chem.libretexts.org/Bookshelves/Analytical_Chemistry/Physical_Methods_in_Chemistry_and_Nano_Science.</w:t>
      </w:r>
    </w:p>
    <w:p w:rsidR="00B66E73" w:rsidRPr="00363B0D" w:rsidRDefault="004C2859" w:rsidP="00363B0D">
      <w:pPr>
        <w:pStyle w:val="ListParagraph"/>
        <w:numPr>
          <w:ilvl w:val="0"/>
          <w:numId w:val="5"/>
        </w:numPr>
        <w:spacing w:line="240" w:lineRule="auto"/>
        <w:jc w:val="both"/>
        <w:rPr>
          <w:rFonts w:ascii="Times New Roman" w:hAnsi="Times New Roman" w:cs="Times New Roman"/>
          <w:sz w:val="24"/>
          <w:szCs w:val="24"/>
        </w:rPr>
      </w:pPr>
      <w:bookmarkStart w:id="24" w:name="_Hlk172516600"/>
      <w:r w:rsidRPr="00363B0D">
        <w:rPr>
          <w:rFonts w:ascii="Times New Roman" w:hAnsi="Times New Roman" w:cs="Times New Roman"/>
          <w:color w:val="222222"/>
          <w:kern w:val="2"/>
          <w:sz w:val="24"/>
          <w:szCs w:val="24"/>
          <w:shd w:val="clear" w:color="FFFFFF" w:fill="FFFFFF"/>
        </w:rPr>
        <w:t>Prakash,</w:t>
      </w:r>
      <w:bookmarkEnd w:id="24"/>
      <w:r w:rsidRPr="00363B0D">
        <w:rPr>
          <w:rFonts w:ascii="Times New Roman" w:hAnsi="Times New Roman" w:cs="Times New Roman"/>
          <w:color w:val="222222"/>
          <w:kern w:val="2"/>
          <w:sz w:val="24"/>
          <w:szCs w:val="24"/>
          <w:shd w:val="clear" w:color="FFFFFF" w:fill="FFFFFF"/>
        </w:rPr>
        <w:t xml:space="preserve"> S., &amp; Verma, A. K. (2021). Arsenic: it's toxicity and impact on human health. </w:t>
      </w:r>
      <w:r w:rsidRPr="00363B0D">
        <w:rPr>
          <w:rFonts w:ascii="Times New Roman" w:hAnsi="Times New Roman" w:cs="Times New Roman"/>
          <w:i/>
          <w:iCs/>
          <w:color w:val="222222"/>
          <w:kern w:val="2"/>
          <w:sz w:val="24"/>
          <w:szCs w:val="24"/>
          <w:shd w:val="clear" w:color="FFFFFF" w:fill="FFFFFF"/>
        </w:rPr>
        <w:t>International Journal of Biological Innovations, IJBI</w:t>
      </w:r>
      <w:r w:rsidRPr="00363B0D">
        <w:rPr>
          <w:rFonts w:ascii="Times New Roman" w:hAnsi="Times New Roman" w:cs="Times New Roman"/>
          <w:color w:val="222222"/>
          <w:kern w:val="2"/>
          <w:sz w:val="24"/>
          <w:szCs w:val="24"/>
          <w:shd w:val="clear" w:color="FFFFFF" w:fill="FFFFFF"/>
        </w:rPr>
        <w:t xml:space="preserve">, </w:t>
      </w:r>
      <w:r w:rsidRPr="00363B0D">
        <w:rPr>
          <w:rFonts w:ascii="Times New Roman" w:hAnsi="Times New Roman" w:cs="Times New Roman"/>
          <w:i/>
          <w:iCs/>
          <w:color w:val="222222"/>
          <w:kern w:val="2"/>
          <w:sz w:val="24"/>
          <w:szCs w:val="24"/>
          <w:shd w:val="clear" w:color="FFFFFF" w:fill="FFFFFF"/>
        </w:rPr>
        <w:t>3</w:t>
      </w:r>
      <w:r w:rsidRPr="00363B0D">
        <w:rPr>
          <w:rFonts w:ascii="Times New Roman" w:hAnsi="Times New Roman" w:cs="Times New Roman"/>
          <w:color w:val="222222"/>
          <w:kern w:val="2"/>
          <w:sz w:val="24"/>
          <w:szCs w:val="24"/>
          <w:shd w:val="clear" w:color="FFFFFF" w:fill="FFFFFF"/>
        </w:rPr>
        <w:t>(1), 38-47.</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25" w:name="_Hlk179460209"/>
      <w:r w:rsidRPr="00363B0D">
        <w:rPr>
          <w:rFonts w:ascii="Times New Roman" w:hAnsi="Times New Roman" w:cs="Times New Roman"/>
          <w:color w:val="000000"/>
          <w:kern w:val="2"/>
          <w:sz w:val="24"/>
          <w:szCs w:val="24"/>
        </w:rPr>
        <w:t>Ramesh</w:t>
      </w:r>
      <w:bookmarkEnd w:id="25"/>
      <w:r w:rsidRPr="00363B0D">
        <w:rPr>
          <w:rFonts w:ascii="Times New Roman" w:hAnsi="Times New Roman" w:cs="Times New Roman"/>
          <w:color w:val="000000"/>
          <w:kern w:val="2"/>
          <w:sz w:val="24"/>
          <w:szCs w:val="24"/>
        </w:rPr>
        <w:t xml:space="preserve">, A., Harris, K. J., &amp; Archibong, A. E. (2022). Reproductive toxicity of polycyclic aromatic hydrocarbons. In </w:t>
      </w:r>
      <w:r w:rsidRPr="00363B0D">
        <w:rPr>
          <w:rFonts w:ascii="Times New Roman" w:hAnsi="Times New Roman" w:cs="Times New Roman"/>
          <w:i/>
          <w:iCs/>
          <w:color w:val="000000"/>
          <w:kern w:val="2"/>
          <w:sz w:val="24"/>
          <w:szCs w:val="24"/>
        </w:rPr>
        <w:t>Reproductive and Developmental Toxicology</w:t>
      </w:r>
      <w:r w:rsidRPr="00363B0D">
        <w:rPr>
          <w:rFonts w:ascii="Times New Roman" w:hAnsi="Times New Roman" w:cs="Times New Roman"/>
          <w:color w:val="000000"/>
          <w:kern w:val="2"/>
          <w:sz w:val="24"/>
          <w:szCs w:val="24"/>
        </w:rPr>
        <w:t>,</w:t>
      </w:r>
      <w:r w:rsidRPr="00363B0D">
        <w:rPr>
          <w:rFonts w:ascii="Times New Roman" w:hAnsi="Times New Roman" w:cs="Times New Roman"/>
          <w:i/>
          <w:iCs/>
          <w:color w:val="000000"/>
          <w:kern w:val="2"/>
          <w:sz w:val="24"/>
          <w:szCs w:val="24"/>
        </w:rPr>
        <w:t xml:space="preserve"> 21(4)</w:t>
      </w:r>
      <w:r w:rsidRPr="00363B0D">
        <w:rPr>
          <w:rFonts w:ascii="Times New Roman" w:hAnsi="Times New Roman" w:cs="Times New Roman"/>
          <w:color w:val="000000"/>
          <w:kern w:val="2"/>
          <w:sz w:val="24"/>
          <w:szCs w:val="24"/>
        </w:rPr>
        <w:t xml:space="preserve"> 759-778). </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26" w:name="_Hlk179461373"/>
      <w:r w:rsidRPr="00363B0D">
        <w:rPr>
          <w:rFonts w:ascii="Times New Roman" w:hAnsi="Times New Roman" w:cs="Times New Roman"/>
          <w:color w:val="000000"/>
          <w:kern w:val="2"/>
          <w:sz w:val="24"/>
          <w:szCs w:val="24"/>
        </w:rPr>
        <w:t>Ramôa</w:t>
      </w:r>
      <w:bookmarkEnd w:id="26"/>
      <w:r w:rsidRPr="00363B0D">
        <w:rPr>
          <w:rFonts w:ascii="Times New Roman" w:hAnsi="Times New Roman" w:cs="Times New Roman"/>
          <w:color w:val="000000"/>
          <w:kern w:val="2"/>
          <w:sz w:val="24"/>
          <w:szCs w:val="24"/>
        </w:rPr>
        <w:t xml:space="preserve">, C. P., Eissenberg, T., &amp; Sahingur, S. E. (2017). Increasing popularity of waterpipe tobacco smoking and electronic cigarette use: Implications for oral healthcare. </w:t>
      </w:r>
      <w:r w:rsidRPr="00363B0D">
        <w:rPr>
          <w:rFonts w:ascii="Times New Roman" w:hAnsi="Times New Roman" w:cs="Times New Roman"/>
          <w:i/>
          <w:iCs/>
          <w:color w:val="000000"/>
          <w:kern w:val="2"/>
          <w:sz w:val="24"/>
          <w:szCs w:val="24"/>
        </w:rPr>
        <w:t>Journal of periodontal research</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52</w:t>
      </w:r>
      <w:r w:rsidRPr="00363B0D">
        <w:rPr>
          <w:rFonts w:ascii="Times New Roman" w:hAnsi="Times New Roman" w:cs="Times New Roman"/>
          <w:color w:val="000000"/>
          <w:kern w:val="2"/>
          <w:sz w:val="24"/>
          <w:szCs w:val="24"/>
        </w:rPr>
        <w:t>(5), 813-823.</w:t>
      </w:r>
    </w:p>
    <w:p w:rsidR="00B66E73" w:rsidRPr="00363B0D" w:rsidRDefault="004C2859" w:rsidP="00363B0D">
      <w:pPr>
        <w:pStyle w:val="ListParagraph"/>
        <w:numPr>
          <w:ilvl w:val="0"/>
          <w:numId w:val="5"/>
        </w:numPr>
        <w:spacing w:line="240" w:lineRule="auto"/>
        <w:jc w:val="both"/>
        <w:rPr>
          <w:rFonts w:ascii="Times New Roman" w:hAnsi="Times New Roman" w:cs="Times New Roman"/>
          <w:color w:val="222222"/>
          <w:kern w:val="2"/>
          <w:sz w:val="24"/>
          <w:szCs w:val="24"/>
          <w:shd w:val="clear" w:color="FFFFFF" w:fill="FFFFFF"/>
        </w:rPr>
      </w:pPr>
      <w:r w:rsidRPr="00363B0D">
        <w:rPr>
          <w:rFonts w:ascii="Times New Roman" w:hAnsi="Times New Roman" w:cs="Times New Roman"/>
          <w:color w:val="222222"/>
          <w:kern w:val="2"/>
          <w:sz w:val="24"/>
          <w:szCs w:val="24"/>
          <w:shd w:val="clear" w:color="FFFFFF" w:fill="FFFFFF"/>
        </w:rPr>
        <w:t>Rahman, Z., &amp; Singh, V. P. (2019). The relative impact of toxic heavy metals (THMs</w:t>
      </w:r>
      <w:proofErr w:type="gramStart"/>
      <w:r w:rsidRPr="00363B0D">
        <w:rPr>
          <w:rFonts w:ascii="Times New Roman" w:hAnsi="Times New Roman" w:cs="Times New Roman"/>
          <w:color w:val="222222"/>
          <w:kern w:val="2"/>
          <w:sz w:val="24"/>
          <w:szCs w:val="24"/>
          <w:shd w:val="clear" w:color="FFFFFF" w:fill="FFFFFF"/>
        </w:rPr>
        <w:t>)(</w:t>
      </w:r>
      <w:proofErr w:type="gramEnd"/>
      <w:r w:rsidRPr="00363B0D">
        <w:rPr>
          <w:rFonts w:ascii="Times New Roman" w:hAnsi="Times New Roman" w:cs="Times New Roman"/>
          <w:color w:val="222222"/>
          <w:kern w:val="2"/>
          <w:sz w:val="24"/>
          <w:szCs w:val="24"/>
          <w:shd w:val="clear" w:color="FFFFFF" w:fill="FFFFFF"/>
        </w:rPr>
        <w:t xml:space="preserve">arsenic (As), cadmium (Cd), chromium (Cr)(VI), mercury (Hg), and lead (Pb)) on the total environment: an overview. </w:t>
      </w:r>
      <w:r w:rsidRPr="00363B0D">
        <w:rPr>
          <w:rFonts w:ascii="Times New Roman" w:hAnsi="Times New Roman" w:cs="Times New Roman"/>
          <w:i/>
          <w:iCs/>
          <w:color w:val="222222"/>
          <w:kern w:val="2"/>
          <w:sz w:val="24"/>
          <w:szCs w:val="24"/>
          <w:shd w:val="clear" w:color="FFFFFF" w:fill="FFFFFF"/>
        </w:rPr>
        <w:t>Environmental monitoring and assessment</w:t>
      </w:r>
      <w:r w:rsidRPr="00363B0D">
        <w:rPr>
          <w:rFonts w:ascii="Times New Roman" w:hAnsi="Times New Roman" w:cs="Times New Roman"/>
          <w:color w:val="222222"/>
          <w:kern w:val="2"/>
          <w:sz w:val="24"/>
          <w:szCs w:val="24"/>
          <w:shd w:val="clear" w:color="FFFFFF" w:fill="FFFFFF"/>
        </w:rPr>
        <w:t xml:space="preserve">, </w:t>
      </w:r>
      <w:r w:rsidRPr="00363B0D">
        <w:rPr>
          <w:rFonts w:ascii="Times New Roman" w:hAnsi="Times New Roman" w:cs="Times New Roman"/>
          <w:i/>
          <w:iCs/>
          <w:color w:val="222222"/>
          <w:kern w:val="2"/>
          <w:sz w:val="24"/>
          <w:szCs w:val="24"/>
          <w:shd w:val="clear" w:color="FFFFFF" w:fill="FFFFFF"/>
        </w:rPr>
        <w:t>191</w:t>
      </w:r>
      <w:r w:rsidRPr="00363B0D">
        <w:rPr>
          <w:rFonts w:ascii="Times New Roman" w:hAnsi="Times New Roman" w:cs="Times New Roman"/>
          <w:color w:val="222222"/>
          <w:kern w:val="2"/>
          <w:sz w:val="24"/>
          <w:szCs w:val="24"/>
          <w:shd w:val="clear" w:color="FFFFFF" w:fill="FFFFFF"/>
        </w:rPr>
        <w:t>, 1-21.</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hAnsi="Times New Roman" w:cs="Times New Roman"/>
          <w:sz w:val="24"/>
          <w:szCs w:val="24"/>
        </w:rPr>
        <w:t>Reitman, S., &amp; Frankel, S. (1957). A colorimetric method for the determination of serum glutamic oxalacetic and glutamic pyruvic transaminases. American Journal of Clinical Pathology, 28(1), 56–63. doi: 10.1093/ajcp/28.1.56.</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Saniya, Y. B, Farah, H., &amp; Mohidus, S.K (2021). Gas Chromatography and Mass Spectroscopy (GC-MS) Technique for Food Analysis.</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Royal Society of Chemistry, (2019). GasChromatography-Mass Spectrometry: How Do I Get the Best Results?  A step-by-step guide for lab professionals.</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Raja, P. M. V., &amp; Barron, A. R. (2019). Ion Selective Electrode Analysis (Section 1.07). In Physical Methods in Chemistry and Nano Science. Rice University / OpenStax CNX.</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Rebelo, MJF (1983). Reference electrodes and liquid junction effects in ion-selective electrode potentiometry. Ion-Selective Electrode Reviews; 5:93–128.</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Rodkey, F. L. (1965). "Direct spectrophotometric determination of albumin in human serum." Clinical Chemistry, 11(4), 478–487.</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i/>
          <w:iCs/>
          <w:sz w:val="24"/>
          <w:szCs w:val="24"/>
        </w:rPr>
      </w:pPr>
      <w:r w:rsidRPr="00363B0D">
        <w:rPr>
          <w:rFonts w:ascii="Times New Roman" w:hAnsi="Times New Roman" w:cs="Times New Roman"/>
          <w:sz w:val="24"/>
          <w:szCs w:val="24"/>
        </w:rPr>
        <w:t xml:space="preserve">Shraideh Z. </w:t>
      </w:r>
      <w:proofErr w:type="gramStart"/>
      <w:r w:rsidRPr="00363B0D">
        <w:rPr>
          <w:rFonts w:ascii="Times New Roman" w:hAnsi="Times New Roman" w:cs="Times New Roman"/>
          <w:sz w:val="24"/>
          <w:szCs w:val="24"/>
        </w:rPr>
        <w:t>A ,</w:t>
      </w:r>
      <w:proofErr w:type="gramEnd"/>
      <w:r w:rsidRPr="00363B0D">
        <w:rPr>
          <w:rFonts w:ascii="Times New Roman" w:hAnsi="Times New Roman" w:cs="Times New Roman"/>
          <w:sz w:val="24"/>
          <w:szCs w:val="24"/>
        </w:rPr>
        <w:t xml:space="preserve"> Awaida, W., Najjar, H., and Musleh, M. ( 2011). A modified Smoking Machine for Monitoring the Effect of Tobacco Smoke on Albino Rats. </w:t>
      </w:r>
      <w:r w:rsidRPr="00363B0D">
        <w:rPr>
          <w:rFonts w:ascii="Times New Roman" w:hAnsi="Times New Roman" w:cs="Times New Roman"/>
          <w:i/>
          <w:iCs/>
          <w:sz w:val="24"/>
          <w:szCs w:val="24"/>
        </w:rPr>
        <w:t>Jordan Journal of Biological Sciences Short Communication,</w:t>
      </w:r>
      <w:r w:rsidRPr="00363B0D">
        <w:rPr>
          <w:rFonts w:ascii="Times New Roman" w:hAnsi="Times New Roman" w:cs="Times New Roman"/>
          <w:sz w:val="24"/>
          <w:szCs w:val="24"/>
        </w:rPr>
        <w:t xml:space="preserve"> 4(2),109–112.</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bookmarkStart w:id="27" w:name="_Hlk179461417"/>
      <w:r w:rsidRPr="00363B0D">
        <w:rPr>
          <w:rFonts w:ascii="Times New Roman" w:hAnsi="Times New Roman" w:cs="Times New Roman"/>
          <w:color w:val="000000"/>
          <w:kern w:val="2"/>
          <w:sz w:val="24"/>
          <w:szCs w:val="24"/>
        </w:rPr>
        <w:t>Soule</w:t>
      </w:r>
      <w:bookmarkEnd w:id="27"/>
      <w:r w:rsidRPr="00363B0D">
        <w:rPr>
          <w:rFonts w:ascii="Times New Roman" w:hAnsi="Times New Roman" w:cs="Times New Roman"/>
          <w:color w:val="000000"/>
          <w:kern w:val="2"/>
          <w:sz w:val="24"/>
          <w:szCs w:val="24"/>
        </w:rPr>
        <w:t xml:space="preserve">, E. K., Lipato, T., &amp; Eissenberg, T. (2015). Waterpipe tobacco-smoking: a new smoking epidemic among the young? </w:t>
      </w:r>
      <w:r w:rsidRPr="00363B0D">
        <w:rPr>
          <w:rFonts w:ascii="Times New Roman" w:hAnsi="Times New Roman" w:cs="Times New Roman"/>
          <w:i/>
          <w:iCs/>
          <w:color w:val="000000"/>
          <w:kern w:val="2"/>
          <w:sz w:val="24"/>
          <w:szCs w:val="24"/>
        </w:rPr>
        <w:t>Current pulmonology reports</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4</w:t>
      </w:r>
      <w:r w:rsidRPr="00363B0D">
        <w:rPr>
          <w:rFonts w:ascii="Times New Roman" w:hAnsi="Times New Roman" w:cs="Times New Roman"/>
          <w:color w:val="000000"/>
          <w:kern w:val="2"/>
          <w:sz w:val="24"/>
          <w:szCs w:val="24"/>
        </w:rPr>
        <w:t>, 163-172.</w:t>
      </w:r>
    </w:p>
    <w:p w:rsidR="00B66E73" w:rsidRPr="00363B0D" w:rsidRDefault="004C2859" w:rsidP="00363B0D">
      <w:pPr>
        <w:pStyle w:val="ListParagraph"/>
        <w:numPr>
          <w:ilvl w:val="0"/>
          <w:numId w:val="5"/>
        </w:numPr>
        <w:spacing w:after="200" w:line="240" w:lineRule="auto"/>
        <w:jc w:val="both"/>
        <w:rPr>
          <w:rFonts w:ascii="Times New Roman" w:hAnsi="Times New Roman" w:cs="Times New Roman"/>
          <w:sz w:val="24"/>
          <w:szCs w:val="24"/>
        </w:rPr>
      </w:pPr>
      <w:r w:rsidRPr="00363B0D">
        <w:rPr>
          <w:rFonts w:ascii="Times New Roman" w:hAnsi="Times New Roman" w:cs="Times New Roman"/>
          <w:color w:val="000000"/>
          <w:kern w:val="2"/>
          <w:sz w:val="24"/>
          <w:szCs w:val="24"/>
        </w:rPr>
        <w:t xml:space="preserve">Sun, K., Song, Y., He, F., Jing, M., Tang, J., &amp; Liu, R. (2021). A review of human and animal’s exposure to polycyclic aromatic hydrocarbons: Health risk and adverse effects, photo-induced toxicity and regulating effect of microplastics. </w:t>
      </w:r>
      <w:r w:rsidRPr="00363B0D">
        <w:rPr>
          <w:rFonts w:ascii="Times New Roman" w:hAnsi="Times New Roman" w:cs="Times New Roman"/>
          <w:i/>
          <w:iCs/>
          <w:color w:val="000000"/>
          <w:kern w:val="2"/>
          <w:sz w:val="24"/>
          <w:szCs w:val="24"/>
        </w:rPr>
        <w:t>Science of the Total Environment</w:t>
      </w:r>
      <w:r w:rsidRPr="00363B0D">
        <w:rPr>
          <w:rFonts w:ascii="Times New Roman" w:hAnsi="Times New Roman" w:cs="Times New Roman"/>
          <w:color w:val="000000"/>
          <w:kern w:val="2"/>
          <w:sz w:val="24"/>
          <w:szCs w:val="24"/>
        </w:rPr>
        <w:t xml:space="preserve">, </w:t>
      </w:r>
      <w:r w:rsidRPr="00363B0D">
        <w:rPr>
          <w:rFonts w:ascii="Times New Roman" w:hAnsi="Times New Roman" w:cs="Times New Roman"/>
          <w:i/>
          <w:iCs/>
          <w:color w:val="000000"/>
          <w:kern w:val="2"/>
          <w:sz w:val="24"/>
          <w:szCs w:val="24"/>
        </w:rPr>
        <w:t>773</w:t>
      </w:r>
      <w:r w:rsidRPr="00363B0D">
        <w:rPr>
          <w:rFonts w:ascii="Times New Roman" w:hAnsi="Times New Roman" w:cs="Times New Roman"/>
          <w:color w:val="000000"/>
          <w:kern w:val="2"/>
          <w:sz w:val="24"/>
          <w:szCs w:val="24"/>
        </w:rPr>
        <w:t>, 145-403.</w:t>
      </w:r>
    </w:p>
    <w:p w:rsidR="00B66E73" w:rsidRPr="00363B0D" w:rsidRDefault="004C2859" w:rsidP="00363B0D">
      <w:pPr>
        <w:pStyle w:val="ListParagraph"/>
        <w:numPr>
          <w:ilvl w:val="0"/>
          <w:numId w:val="5"/>
        </w:numPr>
        <w:spacing w:line="360" w:lineRule="auto"/>
        <w:jc w:val="both"/>
        <w:rPr>
          <w:rFonts w:ascii="Times New Roman" w:hAnsi="Times New Roman" w:cs="Times New Roman"/>
          <w:sz w:val="24"/>
          <w:szCs w:val="24"/>
        </w:rPr>
      </w:pPr>
      <w:r w:rsidRPr="00363B0D">
        <w:rPr>
          <w:rFonts w:ascii="Times New Roman" w:hAnsi="Times New Roman" w:cs="Times New Roman"/>
          <w:kern w:val="2"/>
          <w:sz w:val="24"/>
          <w:szCs w:val="24"/>
          <w:lang w:val="en-IN"/>
        </w:rPr>
        <w:lastRenderedPageBreak/>
        <w:t>Smith-Simone, M., Narayanan, F., McDonald, P., Edwards, J.F., Green, H. &amp; Morgan, C.A. (2008). Preparation of tobacco smoke and effect on cells.</w:t>
      </w:r>
      <w:r w:rsidRPr="00363B0D">
        <w:rPr>
          <w:rFonts w:ascii="Times New Roman" w:hAnsi="Times New Roman" w:cs="Times New Roman"/>
          <w:i/>
          <w:iCs/>
          <w:kern w:val="2"/>
          <w:sz w:val="24"/>
          <w:szCs w:val="24"/>
          <w:lang w:val="en-IN"/>
        </w:rPr>
        <w:t xml:space="preserve"> Journal of Clinical Chemistry, </w:t>
      </w:r>
      <w:r w:rsidRPr="00363B0D">
        <w:rPr>
          <w:rFonts w:ascii="Times New Roman" w:hAnsi="Times New Roman" w:cs="Times New Roman"/>
          <w:kern w:val="2"/>
          <w:sz w:val="24"/>
          <w:szCs w:val="24"/>
          <w:lang w:val="en-IN"/>
        </w:rPr>
        <w:t>21(4), 54-61.</w:t>
      </w:r>
    </w:p>
    <w:p w:rsidR="00B66E73" w:rsidRPr="00363B0D" w:rsidRDefault="004C2859" w:rsidP="00363B0D">
      <w:pPr>
        <w:pStyle w:val="ListParagraph"/>
        <w:numPr>
          <w:ilvl w:val="0"/>
          <w:numId w:val="5"/>
        </w:numPr>
        <w:spacing w:line="360" w:lineRule="auto"/>
        <w:jc w:val="both"/>
        <w:rPr>
          <w:rFonts w:ascii="Times New Roman" w:eastAsia="-webkit-standard" w:hAnsi="Times New Roman" w:cs="Times New Roman"/>
          <w:kern w:val="2"/>
          <w:sz w:val="24"/>
          <w:szCs w:val="24"/>
          <w:lang w:val="en-IN"/>
        </w:rPr>
      </w:pPr>
      <w:proofErr w:type="gramStart"/>
      <w:r w:rsidRPr="00363B0D">
        <w:rPr>
          <w:rFonts w:ascii="Times New Roman" w:eastAsia="-webkit-standard" w:hAnsi="Times New Roman" w:cs="Times New Roman"/>
          <w:kern w:val="2"/>
          <w:sz w:val="24"/>
          <w:szCs w:val="24"/>
          <w:lang w:val="en-IN"/>
        </w:rPr>
        <w:t>Tsivian ,</w:t>
      </w:r>
      <w:proofErr w:type="gramEnd"/>
      <w:r w:rsidRPr="00363B0D">
        <w:rPr>
          <w:rFonts w:ascii="Times New Roman" w:eastAsia="-webkit-standard" w:hAnsi="Times New Roman" w:cs="Times New Roman"/>
          <w:kern w:val="2"/>
          <w:sz w:val="24"/>
          <w:szCs w:val="24"/>
          <w:lang w:val="en-IN"/>
        </w:rPr>
        <w:t xml:space="preserve"> U., </w:t>
      </w:r>
      <w:r w:rsidRPr="00363B0D">
        <w:rPr>
          <w:rFonts w:ascii="Times New Roman" w:hAnsi="Times New Roman" w:cs="Times New Roman"/>
          <w:kern w:val="2"/>
          <w:sz w:val="24"/>
          <w:szCs w:val="24"/>
          <w:lang w:val="en-IN"/>
        </w:rPr>
        <w:t>Manuel, P., Sankar, T. V., Ganguly, S., Mahanty, A., Anandan, R. &amp; Chakraborty, K. (</w:t>
      </w:r>
      <w:r w:rsidRPr="00363B0D">
        <w:rPr>
          <w:rFonts w:ascii="Times New Roman" w:eastAsia="-webkit-standard" w:hAnsi="Times New Roman" w:cs="Times New Roman"/>
          <w:kern w:val="2"/>
          <w:sz w:val="24"/>
          <w:szCs w:val="24"/>
          <w:lang w:val="en-IN"/>
        </w:rPr>
        <w:t xml:space="preserve">2011). Progressive study on the prevalence of cancer from tobacco smoke. </w:t>
      </w:r>
      <w:r w:rsidRPr="00363B0D">
        <w:rPr>
          <w:rFonts w:ascii="Times New Roman" w:eastAsia="-webkit-standard" w:hAnsi="Times New Roman" w:cs="Times New Roman"/>
          <w:i/>
          <w:iCs/>
          <w:kern w:val="2"/>
          <w:sz w:val="24"/>
          <w:szCs w:val="24"/>
          <w:lang w:val="en-IN"/>
        </w:rPr>
        <w:t xml:space="preserve">Toxicology, </w:t>
      </w:r>
      <w:r w:rsidRPr="00363B0D">
        <w:rPr>
          <w:rFonts w:ascii="Times New Roman" w:eastAsia="-webkit-standard" w:hAnsi="Times New Roman" w:cs="Times New Roman"/>
          <w:kern w:val="2"/>
          <w:sz w:val="24"/>
          <w:szCs w:val="24"/>
          <w:lang w:val="en-IN"/>
        </w:rPr>
        <w:t>32(3), 81-89.</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Tietz, N.W (1976). Fundamentals of clinical chemistry, W B Saunders Co. Philadelphia; page. 723.</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hAnsi="Times New Roman" w:cs="Times New Roman"/>
          <w:sz w:val="24"/>
          <w:szCs w:val="24"/>
        </w:rPr>
        <w:t>Tietz, N. W. (2006). Clinical guide to laboratory tests (4th ed.), Saunders Elsevier, 64–67, 76–77.</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Varley, H. (1980). Practical Clinical Biochemistry (5th ed.), (1), 1012.</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eastAsia="SimSun" w:hAnsi="Times New Roman" w:cs="Times New Roman"/>
          <w:sz w:val="24"/>
          <w:szCs w:val="24"/>
          <w:lang w:eastAsia="zh-CN"/>
        </w:rPr>
        <w:t xml:space="preserve">Vishal, A.N (2016). PRINCIPLE AND APPLICATIONS OF ION SELECTIVE ELECTRODES-AN OVERVIEW, International Journal </w:t>
      </w:r>
      <w:proofErr w:type="gramStart"/>
      <w:r w:rsidRPr="00363B0D">
        <w:rPr>
          <w:rFonts w:ascii="Times New Roman" w:eastAsia="SimSun" w:hAnsi="Times New Roman" w:cs="Times New Roman"/>
          <w:sz w:val="24"/>
          <w:szCs w:val="24"/>
          <w:lang w:eastAsia="zh-CN"/>
        </w:rPr>
        <w:t>Of</w:t>
      </w:r>
      <w:proofErr w:type="gramEnd"/>
      <w:r w:rsidRPr="00363B0D">
        <w:rPr>
          <w:rFonts w:ascii="Times New Roman" w:eastAsia="SimSun" w:hAnsi="Times New Roman" w:cs="Times New Roman"/>
          <w:sz w:val="24"/>
          <w:szCs w:val="24"/>
          <w:lang w:eastAsia="zh-CN"/>
        </w:rPr>
        <w:t xml:space="preserve"> Applied Research In Science And Engineering, https://ijarse.org/images/scripts/201637.</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hAnsi="Times New Roman" w:cs="Times New Roman"/>
          <w:sz w:val="24"/>
          <w:szCs w:val="24"/>
        </w:rPr>
        <w:t>Wu, A.H.B. (Ed.). (2006). Tietz Clinical Guide to Laboratory Tests (4th ed.). St. Louis, MO: Saunders Elsevier, (pp 64–67 &amp; 76–77).</w:t>
      </w:r>
    </w:p>
    <w:p w:rsidR="00B66E73" w:rsidRPr="00363B0D" w:rsidRDefault="004C2859" w:rsidP="00363B0D">
      <w:pPr>
        <w:pStyle w:val="ListParagraph"/>
        <w:numPr>
          <w:ilvl w:val="0"/>
          <w:numId w:val="5"/>
        </w:numPr>
        <w:jc w:val="both"/>
        <w:rPr>
          <w:rFonts w:ascii="Times New Roman" w:hAnsi="Times New Roman" w:cs="Times New Roman"/>
          <w:sz w:val="24"/>
          <w:szCs w:val="24"/>
        </w:rPr>
      </w:pPr>
      <w:r w:rsidRPr="00363B0D">
        <w:rPr>
          <w:rFonts w:ascii="Times New Roman" w:hAnsi="Times New Roman" w:cs="Times New Roman"/>
          <w:sz w:val="24"/>
          <w:szCs w:val="24"/>
        </w:rPr>
        <w:t>Webster, D. (1977). "The immediate reaction between bromocresol green and serum as a measure of albumin content." Clinical Chemistry, 23, 663–665.</w:t>
      </w:r>
    </w:p>
    <w:sectPr w:rsidR="00B66E73" w:rsidRPr="00363B0D">
      <w:headerReference w:type="even" r:id="rId11"/>
      <w:headerReference w:type="default" r:id="rId12"/>
      <w:footerReference w:type="even" r:id="rId13"/>
      <w:footerReference w:type="default" r:id="rId14"/>
      <w:headerReference w:type="first" r:id="rId15"/>
      <w:pgSz w:w="12240" w:h="15840" w:code="1"/>
      <w:pgMar w:top="851" w:right="1440" w:bottom="1135"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FE3" w:rsidRDefault="00FF4FE3">
      <w:pPr>
        <w:spacing w:after="0" w:line="240" w:lineRule="auto"/>
      </w:pPr>
      <w:r>
        <w:separator/>
      </w:r>
    </w:p>
  </w:endnote>
  <w:endnote w:type="continuationSeparator" w:id="0">
    <w:p w:rsidR="00FF4FE3" w:rsidRDefault="00FF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eX Gyre Bonum">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E73" w:rsidRDefault="00B66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E73" w:rsidRDefault="00B66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FE3" w:rsidRDefault="00FF4FE3">
      <w:pPr>
        <w:spacing w:after="0" w:line="240" w:lineRule="auto"/>
      </w:pPr>
      <w:r>
        <w:separator/>
      </w:r>
    </w:p>
  </w:footnote>
  <w:footnote w:type="continuationSeparator" w:id="0">
    <w:p w:rsidR="00FF4FE3" w:rsidRDefault="00FF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E73" w:rsidRDefault="00F11C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E73" w:rsidRDefault="00F11C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E73" w:rsidRDefault="00F11C0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5C0D978"/>
    <w:lvl w:ilvl="0" w:tplc="5246D834">
      <w:start w:val="1"/>
      <w:numFmt w:val="decimal"/>
      <w:lvlText w:val="%1."/>
      <w:lvlJc w:val="left"/>
      <w:pPr>
        <w:ind w:left="1080" w:hanging="720"/>
      </w:pPr>
      <w:rPr>
        <w:rFonts w:hint="default"/>
      </w:rPr>
    </w:lvl>
    <w:lvl w:ilvl="1" w:tplc="28000019" w:tentative="1">
      <w:start w:val="1"/>
      <w:numFmt w:val="lowerLetter"/>
      <w:lvlText w:val="%2."/>
      <w:lvlJc w:val="left"/>
      <w:pPr>
        <w:ind w:left="1440" w:hanging="360"/>
      </w:pPr>
    </w:lvl>
    <w:lvl w:ilvl="2" w:tplc="2800001B" w:tentative="1">
      <w:start w:val="1"/>
      <w:numFmt w:val="lowerRoman"/>
      <w:lvlText w:val="%3."/>
      <w:lvlJc w:val="right"/>
      <w:pPr>
        <w:ind w:left="2160" w:hanging="180"/>
      </w:pPr>
    </w:lvl>
    <w:lvl w:ilvl="3" w:tplc="2800000F" w:tentative="1">
      <w:start w:val="1"/>
      <w:numFmt w:val="decimal"/>
      <w:lvlText w:val="%4."/>
      <w:lvlJc w:val="left"/>
      <w:pPr>
        <w:ind w:left="2880" w:hanging="360"/>
      </w:pPr>
    </w:lvl>
    <w:lvl w:ilvl="4" w:tplc="28000019" w:tentative="1">
      <w:start w:val="1"/>
      <w:numFmt w:val="lowerLetter"/>
      <w:lvlText w:val="%5."/>
      <w:lvlJc w:val="left"/>
      <w:pPr>
        <w:ind w:left="3600" w:hanging="360"/>
      </w:pPr>
    </w:lvl>
    <w:lvl w:ilvl="5" w:tplc="2800001B" w:tentative="1">
      <w:start w:val="1"/>
      <w:numFmt w:val="lowerRoman"/>
      <w:lvlText w:val="%6."/>
      <w:lvlJc w:val="right"/>
      <w:pPr>
        <w:ind w:left="4320" w:hanging="180"/>
      </w:pPr>
    </w:lvl>
    <w:lvl w:ilvl="6" w:tplc="2800000F" w:tentative="1">
      <w:start w:val="1"/>
      <w:numFmt w:val="decimal"/>
      <w:lvlText w:val="%7."/>
      <w:lvlJc w:val="left"/>
      <w:pPr>
        <w:ind w:left="5040" w:hanging="360"/>
      </w:pPr>
    </w:lvl>
    <w:lvl w:ilvl="7" w:tplc="28000019" w:tentative="1">
      <w:start w:val="1"/>
      <w:numFmt w:val="lowerLetter"/>
      <w:lvlText w:val="%8."/>
      <w:lvlJc w:val="left"/>
      <w:pPr>
        <w:ind w:left="5760" w:hanging="360"/>
      </w:pPr>
    </w:lvl>
    <w:lvl w:ilvl="8" w:tplc="2800001B" w:tentative="1">
      <w:start w:val="1"/>
      <w:numFmt w:val="lowerRoman"/>
      <w:lvlText w:val="%9."/>
      <w:lvlJc w:val="right"/>
      <w:pPr>
        <w:ind w:left="6480" w:hanging="180"/>
      </w:pPr>
    </w:lvl>
  </w:abstractNum>
  <w:abstractNum w:abstractNumId="1" w15:restartNumberingAfterBreak="0">
    <w:nsid w:val="00000002"/>
    <w:multiLevelType w:val="multilevel"/>
    <w:tmpl w:val="00000033"/>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00000039"/>
    <w:lvl w:ilvl="0">
      <w:start w:val="1"/>
      <w:numFmt w:val="lowerRoman"/>
      <w:lvlText w:val="%1."/>
      <w:lvlJc w:val="righ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94A48E0"/>
    <w:multiLevelType w:val="hybridMultilevel"/>
    <w:tmpl w:val="F9443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73818"/>
    <w:multiLevelType w:val="multilevel"/>
    <w:tmpl w:val="0000004A"/>
    <w:lvl w:ilvl="0">
      <w:start w:val="1"/>
      <w:numFmt w:val="lowerRoman"/>
      <w:lvlText w:val="%1."/>
      <w:lvlJc w:val="right"/>
      <w:pPr>
        <w:tabs>
          <w:tab w:val="left" w:pos="360"/>
        </w:tabs>
        <w:ind w:left="360" w:hanging="360"/>
      </w:pPr>
      <w:rPr>
        <w:rFonts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decimal"/>
      <w:lvlText w:val="%3."/>
      <w:lvlJc w:val="left"/>
      <w:pPr>
        <w:tabs>
          <w:tab w:val="left" w:pos="1800"/>
        </w:tabs>
        <w:ind w:left="1800" w:hanging="360"/>
      </w:pPr>
      <w:rPr>
        <w:rFonts w:hint="default"/>
        <w:sz w:val="20"/>
      </w:rPr>
    </w:lvl>
    <w:lvl w:ilvl="3">
      <w:start w:val="1"/>
      <w:numFmt w:val="decimal"/>
      <w:lvlText w:val="%4."/>
      <w:lvlJc w:val="left"/>
      <w:pPr>
        <w:tabs>
          <w:tab w:val="left" w:pos="2520"/>
        </w:tabs>
        <w:ind w:left="2520" w:hanging="360"/>
      </w:pPr>
      <w:rPr>
        <w:rFonts w:hint="default"/>
        <w:sz w:val="20"/>
      </w:rPr>
    </w:lvl>
    <w:lvl w:ilvl="4">
      <w:start w:val="1"/>
      <w:numFmt w:val="decimal"/>
      <w:lvlText w:val="%5."/>
      <w:lvlJc w:val="left"/>
      <w:pPr>
        <w:tabs>
          <w:tab w:val="left" w:pos="3240"/>
        </w:tabs>
        <w:ind w:left="3240" w:hanging="360"/>
      </w:pPr>
      <w:rPr>
        <w:rFonts w:hint="default"/>
        <w:sz w:val="20"/>
      </w:rPr>
    </w:lvl>
    <w:lvl w:ilvl="5">
      <w:start w:val="1"/>
      <w:numFmt w:val="decimal"/>
      <w:lvlText w:val="%6."/>
      <w:lvlJc w:val="left"/>
      <w:pPr>
        <w:tabs>
          <w:tab w:val="left" w:pos="3960"/>
        </w:tabs>
        <w:ind w:left="3960" w:hanging="360"/>
      </w:pPr>
      <w:rPr>
        <w:rFonts w:hint="default"/>
        <w:sz w:val="20"/>
      </w:rPr>
    </w:lvl>
    <w:lvl w:ilvl="6">
      <w:start w:val="1"/>
      <w:numFmt w:val="decimal"/>
      <w:lvlText w:val="%7."/>
      <w:lvlJc w:val="left"/>
      <w:pPr>
        <w:tabs>
          <w:tab w:val="left" w:pos="4680"/>
        </w:tabs>
        <w:ind w:left="4680" w:hanging="360"/>
      </w:pPr>
      <w:rPr>
        <w:rFonts w:hint="default"/>
        <w:sz w:val="20"/>
      </w:rPr>
    </w:lvl>
    <w:lvl w:ilvl="7">
      <w:start w:val="1"/>
      <w:numFmt w:val="decimal"/>
      <w:lvlText w:val="%8."/>
      <w:lvlJc w:val="left"/>
      <w:pPr>
        <w:tabs>
          <w:tab w:val="left" w:pos="5400"/>
        </w:tabs>
        <w:ind w:left="5400" w:hanging="360"/>
      </w:pPr>
      <w:rPr>
        <w:rFonts w:hint="default"/>
        <w:sz w:val="20"/>
      </w:rPr>
    </w:lvl>
    <w:lvl w:ilvl="8">
      <w:start w:val="1"/>
      <w:numFmt w:val="decimal"/>
      <w:lvlText w:val="%9."/>
      <w:lvlJc w:val="left"/>
      <w:pPr>
        <w:tabs>
          <w:tab w:val="left" w:pos="6120"/>
        </w:tabs>
        <w:ind w:left="6120" w:hanging="360"/>
      </w:pPr>
      <w:rPr>
        <w:rFont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EwsjCxNDEwtTQxMjdU0lEKTi0uzszPAykwrAUAPfk/dSwAAAA="/>
  </w:docVars>
  <w:rsids>
    <w:rsidRoot w:val="00B66E73"/>
    <w:rsid w:val="002666C5"/>
    <w:rsid w:val="00311941"/>
    <w:rsid w:val="00363B0D"/>
    <w:rsid w:val="004C2859"/>
    <w:rsid w:val="005B3894"/>
    <w:rsid w:val="00966BFA"/>
    <w:rsid w:val="00AF3E8A"/>
    <w:rsid w:val="00B66E73"/>
    <w:rsid w:val="00BC2F28"/>
    <w:rsid w:val="00F11C04"/>
    <w:rsid w:val="00FF4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11417C"/>
  <w15:docId w15:val="{E819C5A9-EE9D-4536-B63D-19574625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line="240" w:lineRule="auto"/>
      <w:jc w:val="center"/>
      <w:outlineLvl w:val="0"/>
    </w:pPr>
    <w:rPr>
      <w:rFonts w:ascii="Times New Roman" w:eastAsia="SimSun" w:hAnsi="Times New Roman"/>
      <w:b/>
      <w:color w:val="000000"/>
      <w:kern w:val="2"/>
      <w:sz w:val="2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olor w:val="2F5496"/>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libri Light" w:eastAsia="SimSu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SimSu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SimSun" w:hAnsi="Times New Roman" w:cs="SimSun"/>
      <w:b/>
      <w:color w:val="000000"/>
      <w:kern w:val="2"/>
      <w:sz w:val="24"/>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F5496"/>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paragraph" w:styleId="BodyText">
    <w:name w:val="Body Text"/>
    <w:basedOn w:val="Normal"/>
    <w:qFormat/>
    <w:pPr>
      <w:widowControl w:val="0"/>
      <w:autoSpaceDE w:val="0"/>
      <w:autoSpaceDN w:val="0"/>
      <w:spacing w:before="256" w:after="0" w:line="240" w:lineRule="auto"/>
      <w:ind w:left="1461" w:hanging="360"/>
    </w:pPr>
    <w:rPr>
      <w:rFonts w:ascii="TeX Gyre Bonum" w:eastAsia="TeX Gyre Bonum" w:hAnsi="TeX Gyre Bonum" w:cs="TeX Gyre Bonum"/>
      <w:sz w:val="28"/>
      <w:szCs w:val="28"/>
    </w:rPr>
  </w:style>
  <w:style w:type="paragraph" w:customStyle="1" w:styleId="ListParagraph1">
    <w:name w:val="&quot;List Paragraph1&quot;"/>
    <w:basedOn w:val="Normal"/>
    <w:qFormat/>
    <w:pPr>
      <w:ind w:left="720"/>
    </w:pPr>
    <w:rPr>
      <w:lang w:val="en-IN"/>
    </w:rPr>
  </w:style>
  <w:style w:type="character" w:styleId="Emphasis">
    <w:name w:val="Emphasis"/>
    <w:basedOn w:val="DefaultParagraphFont"/>
    <w:qFormat/>
    <w:rPr>
      <w:rFonts w:ascii="Times New Roman" w:eastAsia="SimSun" w:hAnsi="Times New Roman" w:cs="Times New Roman"/>
      <w:i/>
      <w:sz w:val="21"/>
    </w:rPr>
  </w:style>
  <w:style w:type="paragraph" w:customStyle="1" w:styleId="p">
    <w:name w:val="&quot;p&quot;"/>
    <w:basedOn w:val="Normal"/>
    <w:pPr>
      <w:spacing w:before="100" w:beforeAutospacing="1" w:after="100" w:afterAutospacing="1" w:line="240" w:lineRule="auto"/>
    </w:pPr>
    <w:rPr>
      <w:rFonts w:ascii="Times New Roman" w:hAnsi="Times New Roman" w:cs="Times New Roman"/>
      <w:lang w:val="en-IN"/>
    </w:rPr>
  </w:style>
  <w:style w:type="paragraph" w:customStyle="1" w:styleId="chapter-para">
    <w:name w:val="&quot;chapter-para&quot;"/>
    <w:basedOn w:val="Normal"/>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NormalWeb">
    <w:name w:val="Normal (Web)"/>
    <w:basedOn w:val="Normal"/>
    <w:rPr>
      <w:kern w:val="2"/>
      <w:sz w:val="24"/>
      <w:szCs w:val="24"/>
      <w:lang w:val="en-IN"/>
    </w:rPr>
  </w:style>
  <w:style w:type="paragraph" w:customStyle="1" w:styleId="ListParagraph3324846d-1a2b-4350-b5f3-7bad6acdb09e">
    <w:name w:val="&quot;List Paragraph_3324846d-1a2b-4350-b5f3-7bad6acdb09e&quot;"/>
    <w:basedOn w:val="Normal"/>
    <w:qFormat/>
    <w:pPr>
      <w:ind w:left="720"/>
    </w:pPr>
    <w:rPr>
      <w:kern w:val="2"/>
      <w:lang w:val="en-IN"/>
    </w:rPr>
  </w:style>
  <w:style w:type="paragraph" w:customStyle="1" w:styleId="TableParagraph">
    <w:name w:val="&quot;Table Paragraph&quot;"/>
    <w:basedOn w:val="Normal"/>
    <w:qFormat/>
    <w:pPr>
      <w:widowControl w:val="0"/>
      <w:autoSpaceDE w:val="0"/>
      <w:autoSpaceDN w:val="0"/>
      <w:spacing w:after="0" w:line="240" w:lineRule="auto"/>
    </w:pPr>
    <w:rPr>
      <w:rFonts w:ascii="Times New Roman" w:eastAsia="Times New Roman" w:hAnsi="Times New Roman" w:cs="Times New Roman"/>
    </w:rPr>
  </w:style>
  <w:style w:type="paragraph" w:styleId="TOCHeading">
    <w:name w:val="TOC Heading"/>
    <w:basedOn w:val="Heading1"/>
    <w:qFormat/>
    <w:pPr>
      <w:widowControl w:val="0"/>
      <w:spacing w:line="259" w:lineRule="auto"/>
      <w:jc w:val="left"/>
      <w:outlineLvl w:val="9"/>
    </w:pPr>
    <w:rPr>
      <w:rFonts w:ascii="Calibri Light" w:hAnsi="Calibri Light" w:cs="Calibri Light"/>
      <w:b w:val="0"/>
      <w:color w:val="2F5496"/>
      <w:kern w:val="0"/>
      <w:sz w:val="32"/>
    </w:rPr>
  </w:style>
  <w:style w:type="paragraph" w:styleId="TOC4">
    <w:name w:val="toc 4"/>
    <w:basedOn w:val="Normal"/>
    <w:pPr>
      <w:spacing w:after="100" w:line="480" w:lineRule="auto"/>
      <w:ind w:left="720"/>
      <w:jc w:val="both"/>
    </w:pPr>
    <w:rPr>
      <w:rFonts w:ascii="Times New Roman" w:eastAsia="SimSun" w:hAnsi="Times New Roman" w:cs="Times New Roman"/>
      <w:color w:val="000000"/>
      <w:kern w:val="2"/>
      <w:sz w:val="24"/>
    </w:rPr>
  </w:style>
  <w:style w:type="paragraph" w:styleId="TOC2">
    <w:name w:val="toc 2"/>
    <w:basedOn w:val="Normal"/>
    <w:pPr>
      <w:spacing w:after="100" w:line="480" w:lineRule="auto"/>
      <w:ind w:left="240"/>
      <w:jc w:val="both"/>
    </w:pPr>
    <w:rPr>
      <w:rFonts w:ascii="Times New Roman" w:eastAsia="SimSun" w:hAnsi="Times New Roman" w:cs="Times New Roman"/>
      <w:color w:val="000000"/>
      <w:kern w:val="2"/>
      <w:sz w:val="24"/>
    </w:rPr>
  </w:style>
  <w:style w:type="paragraph" w:styleId="TOC3">
    <w:name w:val="toc 3"/>
    <w:basedOn w:val="Normal"/>
    <w:pPr>
      <w:spacing w:after="100" w:line="480" w:lineRule="auto"/>
      <w:ind w:left="480"/>
      <w:jc w:val="both"/>
    </w:pPr>
    <w:rPr>
      <w:rFonts w:ascii="Times New Roman" w:eastAsia="SimSun" w:hAnsi="Times New Roman" w:cs="Times New Roman"/>
      <w:color w:val="000000"/>
      <w:kern w:val="2"/>
      <w:sz w:val="24"/>
    </w:rPr>
  </w:style>
  <w:style w:type="paragraph" w:styleId="TOC1">
    <w:name w:val="toc 1"/>
    <w:basedOn w:val="Normal"/>
    <w:pPr>
      <w:tabs>
        <w:tab w:val="right" w:leader="dot" w:pos="9340"/>
      </w:tabs>
      <w:spacing w:after="100" w:line="240" w:lineRule="auto"/>
      <w:jc w:val="both"/>
    </w:pPr>
    <w:rPr>
      <w:rFonts w:ascii="Times New Roman" w:eastAsia="SimSun" w:hAnsi="Times New Roman" w:cs="Times New Roman"/>
      <w:b/>
      <w:noProof/>
      <w:color w:val="000000"/>
      <w:kern w:val="2"/>
      <w:sz w:val="24"/>
    </w:rPr>
  </w:style>
  <w:style w:type="paragraph" w:customStyle="1" w:styleId="ListParagraph10">
    <w:name w:val="&quot;List Paragraph1&quot;"/>
    <w:basedOn w:val="Normal"/>
    <w:qFormat/>
    <w:pPr>
      <w:spacing w:after="0"/>
      <w:ind w:left="720"/>
    </w:pPr>
    <w:rPr>
      <w:rFonts w:eastAsia="SimSun" w:cs="Calibri"/>
      <w:kern w:val="2"/>
    </w:rPr>
  </w:style>
  <w:style w:type="paragraph" w:customStyle="1" w:styleId="TOCHeading1">
    <w:name w:val="&quot;TOC Heading1&quot;"/>
    <w:basedOn w:val="Heading1"/>
    <w:qFormat/>
    <w:pPr>
      <w:widowControl w:val="0"/>
      <w:spacing w:line="259" w:lineRule="auto"/>
      <w:jc w:val="left"/>
      <w:outlineLvl w:val="9"/>
    </w:pPr>
    <w:rPr>
      <w:rFonts w:ascii="Calibri Light" w:hAnsi="Calibri Light" w:cs="Calibri Light"/>
      <w:b w:val="0"/>
      <w:color w:val="2F5496"/>
      <w:kern w:val="0"/>
      <w:sz w:val="3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UnresolvedMention1">
    <w:name w:val="Unresolved Mention1"/>
    <w:basedOn w:val="DefaultParagraphFont"/>
    <w:uiPriority w:val="99"/>
    <w:rPr>
      <w:color w:val="605E5C"/>
      <w:shd w:val="clear" w:color="auto" w:fill="E1DFDD"/>
    </w:rPr>
  </w:style>
  <w:style w:type="paragraph" w:styleId="NoSpacing">
    <w:name w:val="No Spacing"/>
    <w:uiPriority w:val="1"/>
    <w:qFormat/>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nk.springer.com/article/10.1007/s43188-020-00057-y" TargetMode="External"/><Relationship Id="rId4" Type="http://schemas.openxmlformats.org/officeDocument/2006/relationships/settings" Target="settings.xml"/><Relationship Id="rId9" Type="http://schemas.openxmlformats.org/officeDocument/2006/relationships/hyperlink" Target="https://www.tandfonline.com/doi/abs/10.1080/08958378.2019.162489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800E-DCE1-47CA-B7ED-F27E3A09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5228</Words>
  <Characters>29804</Characters>
  <Application>Microsoft Office Word</Application>
  <DocSecurity>0</DocSecurity>
  <Lines>248</Lines>
  <Paragraphs>69</Paragraphs>
  <ScaleCrop>false</ScaleCrop>
  <Company>Toshiba</Company>
  <LinksUpToDate>false</LinksUpToDate>
  <CharactersWithSpaces>34963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23481</dc:creator>
  <cp:lastModifiedBy>SDI 1020</cp:lastModifiedBy>
  <cp:revision>424</cp:revision>
  <dcterms:created xsi:type="dcterms:W3CDTF">2026-02-02T10:25:00Z</dcterms:created>
  <dcterms:modified xsi:type="dcterms:W3CDTF">2026-02-06T05:15:00Z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d2c50b3d885f42fba6dc4093d9a894b8</vt:lpwstr>
  </property>
</Properties>
</file>