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3A5" w:rsidRPr="00CE43A5" w:rsidRDefault="00CE43A5" w:rsidP="00CE43A5">
      <w:pPr>
        <w:jc w:val="both"/>
        <w:rPr>
          <w:rFonts w:ascii="Arial" w:eastAsia="Times New Roman" w:hAnsi="Arial" w:cs="Arial"/>
          <w:b/>
          <w:bCs/>
          <w:i/>
          <w:iCs/>
          <w:sz w:val="36"/>
          <w:szCs w:val="36"/>
          <w:u w:val="single"/>
          <w:lang w:val="en-US" w:eastAsia="en-IN"/>
        </w:rPr>
      </w:pPr>
      <w:r w:rsidRPr="00CE43A5">
        <w:rPr>
          <w:rFonts w:ascii="Arial" w:eastAsia="Times New Roman" w:hAnsi="Arial" w:cs="Arial"/>
          <w:b/>
          <w:bCs/>
          <w:i/>
          <w:iCs/>
          <w:sz w:val="36"/>
          <w:szCs w:val="36"/>
          <w:u w:val="single"/>
          <w:lang w:val="en-US" w:eastAsia="en-IN"/>
        </w:rPr>
        <w:t>Review Article</w:t>
      </w:r>
    </w:p>
    <w:p w:rsidR="002939D8" w:rsidRPr="009C6763" w:rsidRDefault="002939D8" w:rsidP="00E92EC3">
      <w:pPr>
        <w:jc w:val="both"/>
        <w:rPr>
          <w:rFonts w:ascii="Arial" w:eastAsia="Times New Roman" w:hAnsi="Arial" w:cs="Arial"/>
          <w:b/>
          <w:bCs/>
          <w:sz w:val="36"/>
          <w:szCs w:val="36"/>
          <w:lang w:eastAsia="en-IN"/>
        </w:rPr>
      </w:pPr>
      <w:r w:rsidRPr="009C6763">
        <w:rPr>
          <w:rFonts w:ascii="Arial" w:eastAsia="Times New Roman" w:hAnsi="Arial" w:cs="Arial"/>
          <w:b/>
          <w:bCs/>
          <w:sz w:val="36"/>
          <w:szCs w:val="36"/>
          <w:lang w:eastAsia="en-IN"/>
        </w:rPr>
        <w:t>Microbial Diversity and Identification Approaches in Traditional Fermented Kanji: A Comprehensive Review</w:t>
      </w:r>
    </w:p>
    <w:p w:rsidR="00EC40D9" w:rsidRDefault="00EC40D9" w:rsidP="00E92EC3">
      <w:pPr>
        <w:jc w:val="both"/>
        <w:rPr>
          <w:rFonts w:ascii="Arial" w:hAnsi="Arial" w:cs="Arial"/>
          <w:sz w:val="20"/>
          <w:szCs w:val="20"/>
        </w:rPr>
      </w:pPr>
    </w:p>
    <w:p w:rsidR="009C6763" w:rsidRPr="009C6763" w:rsidRDefault="009C6763" w:rsidP="009C6763">
      <w:pPr>
        <w:pStyle w:val="Heading2"/>
        <w:jc w:val="both"/>
        <w:rPr>
          <w:sz w:val="22"/>
          <w:szCs w:val="22"/>
        </w:rPr>
      </w:pPr>
      <w:r w:rsidRPr="009C6763">
        <w:rPr>
          <w:rStyle w:val="Strong"/>
          <w:b/>
          <w:bCs/>
          <w:sz w:val="22"/>
          <w:szCs w:val="22"/>
        </w:rPr>
        <w:t>ABSTRACT</w:t>
      </w:r>
    </w:p>
    <w:p w:rsidR="009C6763" w:rsidRPr="009C6763" w:rsidRDefault="009C6763" w:rsidP="009C6763">
      <w:pPr>
        <w:pStyle w:val="NormalWeb"/>
        <w:jc w:val="both"/>
        <w:rPr>
          <w:sz w:val="20"/>
          <w:szCs w:val="20"/>
        </w:rPr>
      </w:pPr>
      <w:r w:rsidRPr="009C6763">
        <w:rPr>
          <w:sz w:val="20"/>
          <w:szCs w:val="20"/>
        </w:rPr>
        <w:t xml:space="preserve">Kanji is a traditional fermented beverage widely consumed in northern India, especially in Punjab, Haryana, and Rajasthan. Prepared from black carrot, beetroot, mustard seeds, and spices, it is characterized by spontaneous lactic acid fermentation driven by indigenous microbiota. This review provides a comprehensive analysis of Kanji fermentation, focusing on its microbial ecology, conventional and molecular identification techniques, probiotic potential, and safety aspects. The microbial community of Kanji is dominated by lactic acid bacteria (LAB), supported by yeasts and other associated microbes, which contribute to acidification, </w:t>
      </w:r>
      <w:proofErr w:type="spellStart"/>
      <w:r w:rsidRPr="009C6763">
        <w:rPr>
          <w:sz w:val="20"/>
          <w:szCs w:val="20"/>
        </w:rPr>
        <w:t>flavor</w:t>
      </w:r>
      <w:proofErr w:type="spellEnd"/>
      <w:r w:rsidRPr="009C6763">
        <w:rPr>
          <w:sz w:val="20"/>
          <w:szCs w:val="20"/>
        </w:rPr>
        <w:t xml:space="preserve"> development, and functional metabolites. Conventional microbiological methods such as standard plate count, isolation, and biochemical tests are essential for monitoring fermentation and characterizing viable microorganisms. Molecular approaches including 16S rRNA sequencing and phylogenetic analysis offer higher accuracy and deeper insights into microbial diversity and evolutionary relationships. Kanji exhibits promising functional attributes due to its LAB content, antioxidant compounds, and fermentation-derived metabolites, which may support gut health, immunity, and oxidative stress reduction. However, lack of standardization, limited molecular research, and inadequate omics-based studies are major challenges that restrict the scientific validation and commercialization of Kanji. Future research integrating standardized fermentation protocols, advanced molecular techniques, and omics approaches is necessary to unlock the full probiotic and functional potential of Kanji, thereby promoting its development as a safe, consistent, and commercially viable functional beverage.</w:t>
      </w:r>
    </w:p>
    <w:p w:rsidR="009C6763" w:rsidRPr="009A3DC4" w:rsidRDefault="009C6763" w:rsidP="00E92EC3">
      <w:pPr>
        <w:jc w:val="both"/>
      </w:pPr>
      <w:r w:rsidRPr="009C6763">
        <w:rPr>
          <w:rFonts w:ascii="Arial" w:hAnsi="Arial" w:cs="Arial"/>
          <w:b/>
          <w:sz w:val="20"/>
          <w:szCs w:val="20"/>
        </w:rPr>
        <w:t xml:space="preserve">Keywords: </w:t>
      </w:r>
      <w:r w:rsidRPr="009A3DC4">
        <w:rPr>
          <w:rFonts w:ascii="Arial" w:hAnsi="Arial" w:cs="Arial"/>
          <w:sz w:val="20"/>
          <w:szCs w:val="20"/>
        </w:rPr>
        <w:t>Lactic acid bacteria</w:t>
      </w:r>
      <w:r w:rsidR="009A3DC4" w:rsidRPr="009A3DC4">
        <w:rPr>
          <w:rFonts w:ascii="Arial" w:hAnsi="Arial" w:cs="Arial"/>
          <w:sz w:val="20"/>
          <w:szCs w:val="20"/>
        </w:rPr>
        <w:t>, Fermented beverages, Microbial ecology, 16S rRNA sequencing, Probiotic potential, Functional foods, Omics approaches</w:t>
      </w:r>
    </w:p>
    <w:p w:rsidR="00EC40D9" w:rsidRPr="009C6763" w:rsidRDefault="00EC40D9" w:rsidP="00E92EC3">
      <w:pPr>
        <w:pStyle w:val="Heading2"/>
        <w:jc w:val="both"/>
        <w:rPr>
          <w:rFonts w:ascii="Arial" w:hAnsi="Arial" w:cs="Arial"/>
          <w:sz w:val="22"/>
          <w:szCs w:val="22"/>
        </w:rPr>
      </w:pPr>
      <w:r w:rsidRPr="009C6763">
        <w:rPr>
          <w:rStyle w:val="Strong"/>
          <w:rFonts w:ascii="Arial" w:hAnsi="Arial" w:cs="Arial"/>
          <w:b/>
          <w:bCs/>
          <w:sz w:val="22"/>
          <w:szCs w:val="22"/>
        </w:rPr>
        <w:t>1) INTRODUCTION</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Fermented foods represent an integral component of traditional diets worldwide and are among the earliest examples of applied microbial biotechnology. The fermentation process, mediated by diverse microorganisms, enhances food preservation, safety, sensory quality, and nutritional value through the production of organic acids, enzymes, vitamins, and bioactive metabolites. In recent decades, scientific evidence has increasingly emphasized the functional role of fermented foods in human health, including modulation of gut microbiota, improvement of digestive efficiency, enhancement of antioxidant capacity, and strengthening of immune responses. Consequently, traditional fermented foods are now being re-evaluated not merely as cultural </w:t>
      </w:r>
      <w:proofErr w:type="spellStart"/>
      <w:r w:rsidRPr="009C6763">
        <w:rPr>
          <w:rFonts w:ascii="Arial" w:hAnsi="Arial" w:cs="Arial"/>
          <w:sz w:val="20"/>
          <w:szCs w:val="20"/>
        </w:rPr>
        <w:t>artifacts</w:t>
      </w:r>
      <w:proofErr w:type="spellEnd"/>
      <w:r w:rsidRPr="009C6763">
        <w:rPr>
          <w:rFonts w:ascii="Arial" w:hAnsi="Arial" w:cs="Arial"/>
          <w:sz w:val="20"/>
          <w:szCs w:val="20"/>
        </w:rPr>
        <w:t xml:space="preserve"> but as functional foods with significant nutraceutical potential (Marco et al., 2017; Tamang et al., 2016).</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India possesses a rich heritage of fermented foods and beverages, shaped by regional biodiversity, climatic conditions, and indigenous knowledge systems. Among these, Kanji is a traditional fermented vegetable-based beverage predominantly consumed in northern India, particularly in Punjab, Haryana, Rajasthan, and adjoining regions. Kanji is traditionally prepared by fermenting black carrots (</w:t>
      </w:r>
      <w:r w:rsidRPr="009C6763">
        <w:rPr>
          <w:rStyle w:val="Emphasis"/>
          <w:rFonts w:ascii="Arial" w:hAnsi="Arial" w:cs="Arial"/>
          <w:sz w:val="20"/>
          <w:szCs w:val="20"/>
        </w:rPr>
        <w:t xml:space="preserve">Daucus </w:t>
      </w:r>
      <w:proofErr w:type="spellStart"/>
      <w:r w:rsidRPr="009C6763">
        <w:rPr>
          <w:rStyle w:val="Emphasis"/>
          <w:rFonts w:ascii="Arial" w:hAnsi="Arial" w:cs="Arial"/>
          <w:sz w:val="20"/>
          <w:szCs w:val="20"/>
        </w:rPr>
        <w:t>carota</w:t>
      </w:r>
      <w:proofErr w:type="spellEnd"/>
      <w:r w:rsidRPr="009C6763">
        <w:rPr>
          <w:rFonts w:ascii="Arial" w:hAnsi="Arial" w:cs="Arial"/>
          <w:sz w:val="20"/>
          <w:szCs w:val="20"/>
        </w:rPr>
        <w:t>), beetroot, mustard seeds (</w:t>
      </w:r>
      <w:r w:rsidRPr="009C6763">
        <w:rPr>
          <w:rStyle w:val="Emphasis"/>
          <w:rFonts w:ascii="Arial" w:hAnsi="Arial" w:cs="Arial"/>
          <w:sz w:val="20"/>
          <w:szCs w:val="20"/>
        </w:rPr>
        <w:t xml:space="preserve">Brassica </w:t>
      </w:r>
      <w:proofErr w:type="spellStart"/>
      <w:r w:rsidRPr="009C6763">
        <w:rPr>
          <w:rStyle w:val="Emphasis"/>
          <w:rFonts w:ascii="Arial" w:hAnsi="Arial" w:cs="Arial"/>
          <w:sz w:val="20"/>
          <w:szCs w:val="20"/>
        </w:rPr>
        <w:t>juncea</w:t>
      </w:r>
      <w:proofErr w:type="spellEnd"/>
      <w:r w:rsidRPr="009C6763">
        <w:rPr>
          <w:rFonts w:ascii="Arial" w:hAnsi="Arial" w:cs="Arial"/>
          <w:sz w:val="20"/>
          <w:szCs w:val="20"/>
        </w:rPr>
        <w:t>), and spices in water under ambient conditions for several days</w:t>
      </w:r>
      <w:r w:rsidR="000B3BE0">
        <w:rPr>
          <w:rFonts w:ascii="Arial" w:hAnsi="Arial" w:cs="Arial"/>
          <w:sz w:val="20"/>
          <w:szCs w:val="20"/>
        </w:rPr>
        <w:t xml:space="preserve"> </w:t>
      </w:r>
      <w:r w:rsidR="000B3BE0" w:rsidRPr="000B3BE0">
        <w:rPr>
          <w:rFonts w:ascii="Arial" w:hAnsi="Arial" w:cs="Arial"/>
          <w:sz w:val="20"/>
          <w:szCs w:val="20"/>
        </w:rPr>
        <w:t>(</w:t>
      </w:r>
      <w:proofErr w:type="spellStart"/>
      <w:r w:rsidR="000B3BE0" w:rsidRPr="000B3BE0">
        <w:rPr>
          <w:rFonts w:ascii="Arial" w:hAnsi="Arial" w:cs="Arial"/>
          <w:color w:val="222222"/>
          <w:sz w:val="20"/>
          <w:szCs w:val="20"/>
          <w:shd w:val="clear" w:color="auto" w:fill="FFFFFF"/>
        </w:rPr>
        <w:t>Adejobi</w:t>
      </w:r>
      <w:proofErr w:type="spellEnd"/>
      <w:r w:rsidR="000B3BE0" w:rsidRPr="000B3BE0">
        <w:rPr>
          <w:rFonts w:ascii="Arial" w:hAnsi="Arial" w:cs="Arial"/>
          <w:color w:val="222222"/>
          <w:sz w:val="20"/>
          <w:szCs w:val="20"/>
          <w:shd w:val="clear" w:color="auto" w:fill="FFFFFF"/>
        </w:rPr>
        <w:t>, T. H. et</w:t>
      </w:r>
      <w:r w:rsidR="000B3BE0" w:rsidRPr="000B3BE0">
        <w:rPr>
          <w:rFonts w:ascii="Arial" w:hAnsi="Arial" w:cs="Arial"/>
          <w:sz w:val="20"/>
          <w:szCs w:val="20"/>
        </w:rPr>
        <w:t>. al. 2024</w:t>
      </w:r>
      <w:r w:rsidR="000B3BE0">
        <w:t>)</w:t>
      </w:r>
      <w:r w:rsidRPr="009C6763">
        <w:rPr>
          <w:rFonts w:ascii="Arial" w:hAnsi="Arial" w:cs="Arial"/>
          <w:sz w:val="20"/>
          <w:szCs w:val="20"/>
        </w:rPr>
        <w:t>. The process relies on spontaneous fermentation, wherein naturally occurring microorganisms associated with raw materials and the surrounding environment drive biochemical transformations, resulting in a tangy, acidic beverage with distinct sensory attributes (</w:t>
      </w:r>
      <w:proofErr w:type="spellStart"/>
      <w:r w:rsidRPr="009C6763">
        <w:rPr>
          <w:rFonts w:ascii="Arial" w:hAnsi="Arial" w:cs="Arial"/>
          <w:sz w:val="20"/>
          <w:szCs w:val="20"/>
        </w:rPr>
        <w:t>Panghal</w:t>
      </w:r>
      <w:proofErr w:type="spellEnd"/>
      <w:r w:rsidRPr="009C6763">
        <w:rPr>
          <w:rFonts w:ascii="Arial" w:hAnsi="Arial" w:cs="Arial"/>
          <w:sz w:val="20"/>
          <w:szCs w:val="20"/>
        </w:rPr>
        <w:t xml:space="preserve"> et al., 2018; Satish et al., 2019).</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lastRenderedPageBreak/>
        <w:t>Culturally, Kanji holds seasonal and social significance and is commonly consumed during festive periods such as Holi. Beyond its cultural importance, Kanji is valued for its perceived health benefits, including digestive stimulation, detoxification, and enhancement of antioxidant status. Scientific investigations have demonstrated that fermentation significantly increases the bioavailability of phenolic compounds, organic acids, and vitamins, thereby improving the functional quality of the beverage (Singh et al., 2018). These attributes are largely attributed to the metabolic activities of lactic acid bacteria (LAB), which dominate the fermentation ecosystem and contribute to acidification, microbial stability, and probiotic potential.</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Despite its widespread consumption and long-standing traditional use, Kanji remains inadequately characterized from a microbiological perspective. Most traditional preparations are household-based and lack standardization, resulting in variability in microbial composition, fermentation dynamics, and product quality. Previous studies have reported the presence of LAB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Pediococcus</w:t>
      </w:r>
      <w:proofErr w:type="spellEnd"/>
      <w:r w:rsidRPr="009C6763">
        <w:rPr>
          <w:rFonts w:ascii="Arial" w:hAnsi="Arial" w:cs="Arial"/>
          <w:sz w:val="20"/>
          <w:szCs w:val="20"/>
        </w:rPr>
        <w:t xml:space="preserve"> spp., and </w:t>
      </w:r>
      <w:proofErr w:type="spellStart"/>
      <w:r w:rsidRPr="009C6763">
        <w:rPr>
          <w:rStyle w:val="Emphasis"/>
          <w:rFonts w:ascii="Arial" w:hAnsi="Arial" w:cs="Arial"/>
          <w:sz w:val="20"/>
          <w:szCs w:val="20"/>
        </w:rPr>
        <w:t>Leuconostoc</w:t>
      </w:r>
      <w:proofErr w:type="spellEnd"/>
      <w:r w:rsidRPr="009C6763">
        <w:rPr>
          <w:rFonts w:ascii="Arial" w:hAnsi="Arial" w:cs="Arial"/>
          <w:sz w:val="20"/>
          <w:szCs w:val="20"/>
        </w:rPr>
        <w:t xml:space="preserve"> spp. in Kanji fermentation, with viable counts typically assessed using standard plate count (SPC) methods. While SPC provides quantitative insights into microbial load, it does not adequately reflect microbial diversity or functional potential, particularly of viable but non-culturable organisms</w:t>
      </w:r>
      <w:r w:rsidR="00B91525">
        <w:rPr>
          <w:rFonts w:ascii="Arial" w:hAnsi="Arial" w:cs="Arial"/>
          <w:sz w:val="20"/>
          <w:szCs w:val="20"/>
        </w:rPr>
        <w:t xml:space="preserve"> </w:t>
      </w:r>
      <w:r w:rsidR="00B91525" w:rsidRPr="00B91525">
        <w:rPr>
          <w:rFonts w:ascii="Arial" w:hAnsi="Arial" w:cs="Arial"/>
          <w:sz w:val="20"/>
          <w:szCs w:val="20"/>
        </w:rPr>
        <w:t>(</w:t>
      </w:r>
      <w:r w:rsidR="00B91525" w:rsidRPr="00B91525">
        <w:rPr>
          <w:rFonts w:ascii="Arial" w:hAnsi="Arial" w:cs="Arial"/>
          <w:color w:val="222222"/>
          <w:sz w:val="20"/>
          <w:szCs w:val="20"/>
          <w:shd w:val="clear" w:color="auto" w:fill="FFFFFF"/>
        </w:rPr>
        <w:t>Singh, A., &amp; Kumar, S. (2025)</w:t>
      </w:r>
      <w:r w:rsidRPr="009C6763">
        <w:rPr>
          <w:rFonts w:ascii="Arial" w:hAnsi="Arial" w:cs="Arial"/>
          <w:sz w:val="20"/>
          <w:szCs w:val="20"/>
        </w:rPr>
        <w:t>.</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Culture-dependent approaches, including isolation, morphological observation, and biochemical characterization of microbial isolates, remain fundamental for understanding physiological traits, metabolic activities, and probiotic properties of fermentative microorganisms. However, these methods alone are insufficient to capture the full microbial complexity of spontaneously fermented </w:t>
      </w:r>
      <w:proofErr w:type="gramStart"/>
      <w:r w:rsidRPr="009C6763">
        <w:rPr>
          <w:rFonts w:ascii="Arial" w:hAnsi="Arial" w:cs="Arial"/>
          <w:sz w:val="20"/>
          <w:szCs w:val="20"/>
        </w:rPr>
        <w:t>foods</w:t>
      </w:r>
      <w:r w:rsidR="00003AD4" w:rsidRPr="00003AD4">
        <w:rPr>
          <w:rFonts w:ascii="Arial" w:hAnsi="Arial" w:cs="Arial"/>
          <w:sz w:val="20"/>
          <w:szCs w:val="20"/>
        </w:rPr>
        <w:t>(</w:t>
      </w:r>
      <w:proofErr w:type="spellStart"/>
      <w:proofErr w:type="gramEnd"/>
      <w:r w:rsidR="00003AD4" w:rsidRPr="00003AD4">
        <w:rPr>
          <w:rFonts w:ascii="Arial" w:hAnsi="Arial" w:cs="Arial"/>
          <w:color w:val="222222"/>
          <w:sz w:val="20"/>
          <w:szCs w:val="20"/>
          <w:shd w:val="clear" w:color="auto" w:fill="FFFFFF"/>
        </w:rPr>
        <w:t>Chudasama</w:t>
      </w:r>
      <w:proofErr w:type="spellEnd"/>
      <w:r w:rsidR="00003AD4" w:rsidRPr="00003AD4">
        <w:rPr>
          <w:rFonts w:ascii="Arial" w:hAnsi="Arial" w:cs="Arial"/>
          <w:color w:val="222222"/>
          <w:sz w:val="20"/>
          <w:szCs w:val="20"/>
          <w:shd w:val="clear" w:color="auto" w:fill="FFFFFF"/>
        </w:rPr>
        <w:t>, M</w:t>
      </w:r>
      <w:r w:rsidR="00003AD4" w:rsidRPr="00003AD4">
        <w:rPr>
          <w:rFonts w:ascii="Arial" w:hAnsi="Arial" w:cs="Arial"/>
          <w:sz w:val="20"/>
          <w:szCs w:val="20"/>
        </w:rPr>
        <w:t>. et. al. 2024)</w:t>
      </w:r>
      <w:r w:rsidRPr="009C6763">
        <w:rPr>
          <w:rFonts w:ascii="Arial" w:hAnsi="Arial" w:cs="Arial"/>
          <w:sz w:val="20"/>
          <w:szCs w:val="20"/>
        </w:rPr>
        <w:t xml:space="preserve">. Advances in molecular biology have enabled precise identification and taxonomic resolution of microorganisms through techniques such as 16S rRNA gene sequencing, which has become a cornerstone for microbial identification in fermented food research. Molecular characterization not only validates phenotypic identification but also allows comparative analysis of microbial diversity across fermentation stages and geographical regions (Kingston et al., 2010; </w:t>
      </w:r>
      <w:proofErr w:type="spellStart"/>
      <w:r w:rsidRPr="009C6763">
        <w:rPr>
          <w:rFonts w:ascii="Arial" w:hAnsi="Arial" w:cs="Arial"/>
          <w:sz w:val="20"/>
          <w:szCs w:val="20"/>
        </w:rPr>
        <w:t>Varzakas</w:t>
      </w:r>
      <w:proofErr w:type="spellEnd"/>
      <w:r w:rsidRPr="009C6763">
        <w:rPr>
          <w:rFonts w:ascii="Arial" w:hAnsi="Arial" w:cs="Arial"/>
          <w:sz w:val="20"/>
          <w:szCs w:val="20"/>
        </w:rPr>
        <w:t>, 2023).</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Integrating culture-dependent methods (SPC, isolation, biochemical tests) with molecular approaches such as 16S rRNA sequencing provides a comprehensive framework for studying microbial diversity in traditional fermented beverages like Kanji. Such integrated analyses are essential for identifying dominant and functional microbial populations, understanding fermentation ecology, ensuring product safety, and exploring the probiotic and functional potential of indigenous strains. Furthermore, microbial characterization lays the foundation for developing standardized fermentation protocols and potential starter cultures while preserving the traditional identity of Kanji</w:t>
      </w:r>
      <w:r w:rsidR="00003AD4" w:rsidRPr="00003AD4">
        <w:rPr>
          <w:lang w:bidi="gu-IN"/>
        </w:rPr>
        <w:t xml:space="preserve"> </w:t>
      </w:r>
      <w:r w:rsidR="00003AD4" w:rsidRPr="00003AD4">
        <w:rPr>
          <w:rFonts w:ascii="Arial" w:hAnsi="Arial" w:cs="Arial"/>
          <w:sz w:val="20"/>
          <w:szCs w:val="20"/>
          <w:lang w:bidi="gu-IN"/>
        </w:rPr>
        <w:t>(</w:t>
      </w:r>
      <w:proofErr w:type="spellStart"/>
      <w:r w:rsidR="00003AD4" w:rsidRPr="00003AD4">
        <w:rPr>
          <w:rFonts w:ascii="Arial" w:hAnsi="Arial" w:cs="Arial"/>
          <w:sz w:val="20"/>
          <w:szCs w:val="20"/>
          <w:lang w:bidi="gu-IN"/>
        </w:rPr>
        <w:t>Hutkins</w:t>
      </w:r>
      <w:proofErr w:type="spellEnd"/>
      <w:r w:rsidR="00003AD4" w:rsidRPr="00003AD4">
        <w:rPr>
          <w:rFonts w:ascii="Arial" w:hAnsi="Arial" w:cs="Arial"/>
          <w:sz w:val="20"/>
          <w:szCs w:val="20"/>
          <w:lang w:bidi="gu-IN"/>
        </w:rPr>
        <w:t>, R. 2018)</w:t>
      </w:r>
      <w:r w:rsidRPr="00003AD4">
        <w:rPr>
          <w:rFonts w:ascii="Arial" w:hAnsi="Arial" w:cs="Arial"/>
          <w:sz w:val="20"/>
          <w:szCs w:val="20"/>
        </w:rPr>
        <w:t>.</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Therefore, this review aims to comprehensively synthesize existing knowledge on the microbial diversity of traditional fermented Kanji, with particular emphasis on microbial identification approaches ranging from conventional microbiological techniques to advanced molecular methods. By bridging traditional fermentation practices with modern microbial science, this review seeks to highlight research gaps, promote scientific validation of Kanji, and support its sustainable utilization as a culturally significant and functionally valuable fermented beverage</w:t>
      </w:r>
      <w:r w:rsidR="00003AD4">
        <w:rPr>
          <w:rFonts w:ascii="Arial" w:hAnsi="Arial" w:cs="Arial"/>
          <w:sz w:val="20"/>
          <w:szCs w:val="20"/>
        </w:rPr>
        <w:t xml:space="preserve"> </w:t>
      </w:r>
      <w:r w:rsidR="00003AD4">
        <w:t>(</w:t>
      </w:r>
      <w:r w:rsidR="00003AD4" w:rsidRPr="00003AD4">
        <w:rPr>
          <w:rFonts w:ascii="Arial" w:hAnsi="Arial" w:cs="Arial"/>
          <w:color w:val="222222"/>
          <w:sz w:val="20"/>
          <w:szCs w:val="20"/>
          <w:shd w:val="clear" w:color="auto" w:fill="FFFFFF"/>
        </w:rPr>
        <w:t>Thomas, S. S. 2023)</w:t>
      </w:r>
      <w:r w:rsidRPr="009C6763">
        <w:rPr>
          <w:rFonts w:ascii="Arial" w:hAnsi="Arial" w:cs="Arial"/>
          <w:sz w:val="20"/>
          <w:szCs w:val="20"/>
        </w:rPr>
        <w:t>.</w:t>
      </w:r>
    </w:p>
    <w:p w:rsidR="00EC40D9" w:rsidRPr="009C6763" w:rsidRDefault="009C6763" w:rsidP="00E92EC3">
      <w:pPr>
        <w:spacing w:before="100" w:beforeAutospacing="1" w:after="100" w:afterAutospacing="1" w:line="240" w:lineRule="auto"/>
        <w:jc w:val="both"/>
        <w:outlineLvl w:val="2"/>
        <w:rPr>
          <w:rFonts w:ascii="Arial" w:eastAsia="Times New Roman" w:hAnsi="Arial" w:cs="Arial"/>
          <w:b/>
          <w:bCs/>
          <w:lang w:eastAsia="en-IN"/>
        </w:rPr>
      </w:pPr>
      <w:r w:rsidRPr="009C6763">
        <w:rPr>
          <w:rStyle w:val="Strong"/>
          <w:rFonts w:ascii="Arial" w:hAnsi="Arial" w:cs="Arial"/>
          <w:bCs w:val="0"/>
        </w:rPr>
        <w:t>2)</w:t>
      </w:r>
      <w:r w:rsidRPr="009C6763">
        <w:rPr>
          <w:rFonts w:ascii="Arial" w:eastAsia="Times New Roman" w:hAnsi="Arial" w:cs="Arial"/>
          <w:b/>
          <w:bCs/>
          <w:lang w:eastAsia="en-IN"/>
        </w:rPr>
        <w:t xml:space="preserve"> RAW MATERIALS USED IN KANJI FERMENTATION</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The spontaneous fermentation of Kanji is fundamentally influenced by the biochemical composition and native microbiota of the raw materials employed. Beetroot, black carrot, and mustard seeds act not only as substrates providing fermentable nutrients but also as sources of indigenous microorganisms and selective agents that regulate microbial succession. These raw materials collectively determine microbial load, species dominance, and functional diversity, which are quantitatively and qualitatively assessed using standard plate count (SPC), culture-based isolation, biochemical characterization, and molecular identification through 16S rRNA gene </w:t>
      </w:r>
      <w:proofErr w:type="gramStart"/>
      <w:r w:rsidRPr="009C6763">
        <w:rPr>
          <w:rFonts w:ascii="Arial" w:hAnsi="Arial" w:cs="Arial"/>
          <w:sz w:val="20"/>
          <w:szCs w:val="20"/>
        </w:rPr>
        <w:t>sequencing</w:t>
      </w:r>
      <w:r w:rsidR="00F052E4">
        <w:t>(</w:t>
      </w:r>
      <w:proofErr w:type="spellStart"/>
      <w:proofErr w:type="gramEnd"/>
      <w:r w:rsidR="00F052E4" w:rsidRPr="00F052E4">
        <w:rPr>
          <w:rFonts w:ascii="Arial" w:hAnsi="Arial" w:cs="Arial"/>
          <w:color w:val="222222"/>
          <w:sz w:val="20"/>
          <w:szCs w:val="20"/>
          <w:shd w:val="clear" w:color="auto" w:fill="FFFFFF"/>
        </w:rPr>
        <w:t>Kandiraju</w:t>
      </w:r>
      <w:proofErr w:type="spellEnd"/>
      <w:r w:rsidR="00F052E4" w:rsidRPr="00F052E4">
        <w:rPr>
          <w:rFonts w:ascii="Arial" w:hAnsi="Arial" w:cs="Arial"/>
          <w:color w:val="222222"/>
          <w:sz w:val="20"/>
          <w:szCs w:val="20"/>
          <w:shd w:val="clear" w:color="auto" w:fill="FFFFFF"/>
        </w:rPr>
        <w:t>, S. R. et</w:t>
      </w:r>
      <w:r w:rsidR="00F052E4" w:rsidRPr="00F052E4">
        <w:rPr>
          <w:rFonts w:ascii="Arial" w:hAnsi="Arial" w:cs="Arial"/>
          <w:sz w:val="20"/>
          <w:szCs w:val="20"/>
        </w:rPr>
        <w:t>. al. 2025)</w:t>
      </w:r>
      <w:r w:rsidR="00F052E4">
        <w:t>.</w:t>
      </w:r>
    </w:p>
    <w:p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lastRenderedPageBreak/>
        <w:t>2.1. BEETROOT (</w:t>
      </w:r>
      <w:r w:rsidRPr="009C6763">
        <w:rPr>
          <w:rStyle w:val="Emphasis"/>
          <w:rFonts w:ascii="Arial" w:hAnsi="Arial" w:cs="Arial"/>
          <w:color w:val="auto"/>
        </w:rPr>
        <w:t>BETA VULGARIS</w:t>
      </w:r>
      <w:r w:rsidRPr="009C6763">
        <w:rPr>
          <w:rStyle w:val="Strong"/>
          <w:rFonts w:ascii="Arial" w:hAnsi="Arial" w:cs="Arial"/>
          <w:b/>
          <w:bCs/>
          <w:color w:val="auto"/>
        </w:rPr>
        <w:t xml:space="preserve"> L.)</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Beetroot serves as a primary fermentable substrate in Kanji fermentation due to its high concentration of soluble carbohydrates, including sucrose, glucose, and fructose. These sugars support rapid microbial proliferation during the initial stages of fermentation, which is reflected in elevated SPC values observed within the first 48–72 hours. The availability of simple sugars promotes the growth of lactic acid bacteria (LAB), leading to early acidification and suppression of undesirable microorganisms.</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In addition to carbohydrates, beetroot contains </w:t>
      </w:r>
      <w:proofErr w:type="spellStart"/>
      <w:r w:rsidRPr="009C6763">
        <w:rPr>
          <w:rFonts w:ascii="Arial" w:hAnsi="Arial" w:cs="Arial"/>
          <w:sz w:val="20"/>
          <w:szCs w:val="20"/>
        </w:rPr>
        <w:t>betalain</w:t>
      </w:r>
      <w:proofErr w:type="spellEnd"/>
      <w:r w:rsidRPr="009C6763">
        <w:rPr>
          <w:rFonts w:ascii="Arial" w:hAnsi="Arial" w:cs="Arial"/>
          <w:sz w:val="20"/>
          <w:szCs w:val="20"/>
        </w:rPr>
        <w:t xml:space="preserve"> pigments and phenolic compounds that undergo microbial biotransformation during fermentation. Enzymatic activities of LAB enhance the release of bound phenolics, contributing to increased antioxidant capacity. Beetroot also provides essential minerals such as potassium and iron that facilitate microbial metabolism. The epiphytic microbiota present on beetroot surfaces acts as a natural inoculum, contributing to microbial diversity recovered during isolation and subsequent biochemical profiling. LAB isolated from beetroot-based Kanji are frequently confirmed by 16S rRNA sequencing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and related </w:t>
      </w:r>
      <w:proofErr w:type="gramStart"/>
      <w:r w:rsidRPr="009C6763">
        <w:rPr>
          <w:rFonts w:ascii="Arial" w:hAnsi="Arial" w:cs="Arial"/>
          <w:sz w:val="20"/>
          <w:szCs w:val="20"/>
        </w:rPr>
        <w:t>species</w:t>
      </w:r>
      <w:r w:rsidR="003014B7">
        <w:rPr>
          <w:spacing w:val="-2"/>
        </w:rPr>
        <w:t>(</w:t>
      </w:r>
      <w:proofErr w:type="gramEnd"/>
      <w:r w:rsidR="003014B7" w:rsidRPr="003014B7">
        <w:rPr>
          <w:rFonts w:ascii="Arial" w:hAnsi="Arial" w:cs="Arial"/>
          <w:color w:val="222222"/>
          <w:sz w:val="20"/>
          <w:szCs w:val="20"/>
          <w:shd w:val="clear" w:color="auto" w:fill="FFFFFF"/>
        </w:rPr>
        <w:t>Sha, S. P. (2025)</w:t>
      </w:r>
      <w:r w:rsidR="003014B7">
        <w:rPr>
          <w:spacing w:val="-2"/>
        </w:rPr>
        <w:t>.</w:t>
      </w:r>
    </w:p>
    <w:p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2.2. BLACK CARROT (</w:t>
      </w:r>
      <w:r w:rsidRPr="009C6763">
        <w:rPr>
          <w:rStyle w:val="Emphasis"/>
          <w:rFonts w:ascii="Arial" w:hAnsi="Arial" w:cs="Arial"/>
          <w:color w:val="auto"/>
        </w:rPr>
        <w:t>DAUCUS CAROTA</w:t>
      </w:r>
      <w:r w:rsidRPr="009C6763">
        <w:rPr>
          <w:rStyle w:val="Strong"/>
          <w:rFonts w:ascii="Arial" w:hAnsi="Arial" w:cs="Arial"/>
          <w:b/>
          <w:bCs/>
          <w:color w:val="auto"/>
        </w:rPr>
        <w:t xml:space="preserve"> SUBSP. </w:t>
      </w:r>
      <w:r w:rsidRPr="009C6763">
        <w:rPr>
          <w:rStyle w:val="Emphasis"/>
          <w:rFonts w:ascii="Arial" w:hAnsi="Arial" w:cs="Arial"/>
          <w:color w:val="auto"/>
        </w:rPr>
        <w:t>SATIVUS</w:t>
      </w:r>
      <w:r w:rsidRPr="009C6763">
        <w:rPr>
          <w:rStyle w:val="Strong"/>
          <w:rFonts w:ascii="Arial" w:hAnsi="Arial" w:cs="Arial"/>
          <w:b/>
          <w:bCs/>
          <w:color w:val="auto"/>
        </w:rPr>
        <w:t>)</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Black carrot is a defining ingredient in traditional Kanji and plays a central role in shaping microbial diversity and functional attributes. It is rich in anthocyanins, complex carbohydrates, and dietary </w:t>
      </w:r>
      <w:proofErr w:type="spellStart"/>
      <w:r w:rsidRPr="009C6763">
        <w:rPr>
          <w:rFonts w:ascii="Arial" w:hAnsi="Arial" w:cs="Arial"/>
          <w:sz w:val="20"/>
          <w:szCs w:val="20"/>
        </w:rPr>
        <w:t>fiber</w:t>
      </w:r>
      <w:proofErr w:type="spellEnd"/>
      <w:r w:rsidRPr="009C6763">
        <w:rPr>
          <w:rFonts w:ascii="Arial" w:hAnsi="Arial" w:cs="Arial"/>
          <w:sz w:val="20"/>
          <w:szCs w:val="20"/>
        </w:rPr>
        <w:t xml:space="preserve">, which influence both microbial succession and metabolite production. While simple sugars support early microbial growth, dietary </w:t>
      </w:r>
      <w:proofErr w:type="spellStart"/>
      <w:r w:rsidRPr="009C6763">
        <w:rPr>
          <w:rFonts w:ascii="Arial" w:hAnsi="Arial" w:cs="Arial"/>
          <w:sz w:val="20"/>
          <w:szCs w:val="20"/>
        </w:rPr>
        <w:t>fibers</w:t>
      </w:r>
      <w:proofErr w:type="spellEnd"/>
      <w:r w:rsidRPr="009C6763">
        <w:rPr>
          <w:rFonts w:ascii="Arial" w:hAnsi="Arial" w:cs="Arial"/>
          <w:sz w:val="20"/>
          <w:szCs w:val="20"/>
        </w:rPr>
        <w:t xml:space="preserve"> act as prebiotic substrates that selectively enhance LAB persistence during later fermentation stages.</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The acidic conditions generated by LAB stabilize anthocyanin pigments, resulting in enhanced </w:t>
      </w:r>
      <w:proofErr w:type="spellStart"/>
      <w:r w:rsidRPr="009C6763">
        <w:rPr>
          <w:rFonts w:ascii="Arial" w:hAnsi="Arial" w:cs="Arial"/>
          <w:sz w:val="20"/>
          <w:szCs w:val="20"/>
        </w:rPr>
        <w:t>color</w:t>
      </w:r>
      <w:proofErr w:type="spellEnd"/>
      <w:r w:rsidRPr="009C6763">
        <w:rPr>
          <w:rFonts w:ascii="Arial" w:hAnsi="Arial" w:cs="Arial"/>
          <w:sz w:val="20"/>
          <w:szCs w:val="20"/>
        </w:rPr>
        <w:t xml:space="preserve"> retention and antioxidant activity. Black carrot surfaces </w:t>
      </w:r>
      <w:proofErr w:type="spellStart"/>
      <w:r w:rsidRPr="009C6763">
        <w:rPr>
          <w:rFonts w:ascii="Arial" w:hAnsi="Arial" w:cs="Arial"/>
          <w:sz w:val="20"/>
          <w:szCs w:val="20"/>
        </w:rPr>
        <w:t>harbor</w:t>
      </w:r>
      <w:proofErr w:type="spellEnd"/>
      <w:r w:rsidRPr="009C6763">
        <w:rPr>
          <w:rFonts w:ascii="Arial" w:hAnsi="Arial" w:cs="Arial"/>
          <w:sz w:val="20"/>
          <w:szCs w:val="20"/>
        </w:rPr>
        <w:t xml:space="preserve"> diverse indigenous microbiota, which increases microbial heterogeneity observed during culture-dependent isolation. SPC analysis often indicates sustained LAB dominance throughout fermentation, while biochemical characterization and 16S rRNA gene sequencing consistently identify LAB species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Pediococcus</w:t>
      </w:r>
      <w:proofErr w:type="spellEnd"/>
      <w:r w:rsidRPr="009C6763">
        <w:rPr>
          <w:rFonts w:ascii="Arial" w:hAnsi="Arial" w:cs="Arial"/>
          <w:sz w:val="20"/>
          <w:szCs w:val="20"/>
        </w:rPr>
        <w:t xml:space="preserve"> spp., and </w:t>
      </w:r>
      <w:proofErr w:type="spellStart"/>
      <w:r w:rsidRPr="009C6763">
        <w:rPr>
          <w:rStyle w:val="Emphasis"/>
          <w:rFonts w:ascii="Arial" w:hAnsi="Arial" w:cs="Arial"/>
          <w:sz w:val="20"/>
          <w:szCs w:val="20"/>
        </w:rPr>
        <w:t>Leuconostoc</w:t>
      </w:r>
      <w:proofErr w:type="spellEnd"/>
      <w:r w:rsidRPr="009C6763">
        <w:rPr>
          <w:rFonts w:ascii="Arial" w:hAnsi="Arial" w:cs="Arial"/>
          <w:sz w:val="20"/>
          <w:szCs w:val="20"/>
        </w:rPr>
        <w:t xml:space="preserve"> spp. Thus, black carrot significantly contributes to both microbial load and taxonomic diversity in Kanji</w:t>
      </w:r>
      <w:r w:rsidR="003014B7">
        <w:rPr>
          <w:rFonts w:ascii="Arial" w:hAnsi="Arial" w:cs="Arial"/>
          <w:sz w:val="20"/>
          <w:szCs w:val="20"/>
        </w:rPr>
        <w:t xml:space="preserve"> </w:t>
      </w:r>
      <w:r w:rsidR="003014B7">
        <w:t>(</w:t>
      </w:r>
      <w:r w:rsidR="003014B7" w:rsidRPr="003014B7">
        <w:rPr>
          <w:rFonts w:ascii="Arial" w:hAnsi="Arial" w:cs="Arial"/>
          <w:color w:val="222222"/>
          <w:sz w:val="20"/>
          <w:szCs w:val="20"/>
          <w:shd w:val="clear" w:color="auto" w:fill="FFFFFF"/>
        </w:rPr>
        <w:t>Ray, R. C et</w:t>
      </w:r>
      <w:r w:rsidR="003014B7" w:rsidRPr="003014B7">
        <w:rPr>
          <w:sz w:val="20"/>
          <w:szCs w:val="20"/>
        </w:rPr>
        <w:t>. al. 2024</w:t>
      </w:r>
      <w:r w:rsidR="003014B7">
        <w:t>).</w:t>
      </w:r>
    </w:p>
    <w:p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2.3. MUSTARD SEEDS (</w:t>
      </w:r>
      <w:r w:rsidRPr="009C6763">
        <w:rPr>
          <w:rStyle w:val="Emphasis"/>
          <w:rFonts w:ascii="Arial" w:hAnsi="Arial" w:cs="Arial"/>
          <w:color w:val="auto"/>
        </w:rPr>
        <w:t>BRASSICA JUNCEA</w:t>
      </w:r>
      <w:r w:rsidRPr="009C6763">
        <w:rPr>
          <w:rStyle w:val="Strong"/>
          <w:rFonts w:ascii="Arial" w:hAnsi="Arial" w:cs="Arial"/>
          <w:b/>
          <w:bCs/>
          <w:color w:val="auto"/>
        </w:rPr>
        <w:t>)</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Mustard seeds function as natural fermentation regulators in Kanji preparation. They contain </w:t>
      </w:r>
      <w:proofErr w:type="spellStart"/>
      <w:r w:rsidRPr="009C6763">
        <w:rPr>
          <w:rFonts w:ascii="Arial" w:hAnsi="Arial" w:cs="Arial"/>
          <w:sz w:val="20"/>
          <w:szCs w:val="20"/>
        </w:rPr>
        <w:t>glucosinolates</w:t>
      </w:r>
      <w:proofErr w:type="spellEnd"/>
      <w:r w:rsidRPr="009C6763">
        <w:rPr>
          <w:rFonts w:ascii="Arial" w:hAnsi="Arial" w:cs="Arial"/>
          <w:sz w:val="20"/>
          <w:szCs w:val="20"/>
        </w:rPr>
        <w:t xml:space="preserve"> that are enzymatically </w:t>
      </w:r>
      <w:proofErr w:type="spellStart"/>
      <w:r w:rsidRPr="009C6763">
        <w:rPr>
          <w:rFonts w:ascii="Arial" w:hAnsi="Arial" w:cs="Arial"/>
          <w:sz w:val="20"/>
          <w:szCs w:val="20"/>
        </w:rPr>
        <w:t>hydrolyzed</w:t>
      </w:r>
      <w:proofErr w:type="spellEnd"/>
      <w:r w:rsidRPr="009C6763">
        <w:rPr>
          <w:rFonts w:ascii="Arial" w:hAnsi="Arial" w:cs="Arial"/>
          <w:sz w:val="20"/>
          <w:szCs w:val="20"/>
        </w:rPr>
        <w:t xml:space="preserve"> to isothiocyanates, compounds known for selective antimicrobial activity. These metabolites inhibit the growth of spoilage and pathogenic microorganisms while allowing acid-tolerant LAB to dominate, thereby influencing microbial succession patterns observed during SPC and isolation studies.</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In addition to antimicrobial action, mustard seeds supply trace nutrients, enzymes, and lipid components that support LAB metabolism. Their inclusion contributes to controlled acidification, improved microbial stability, and consistent LAB recovery during biochemical and molecular identification. Mustard seeds therefore play a critical role in maintaining fermentation safety and reproducibility without compromising traditional processing methods</w:t>
      </w:r>
      <w:r w:rsidR="004D1EF3">
        <w:rPr>
          <w:rFonts w:ascii="Arial" w:hAnsi="Arial" w:cs="Arial"/>
          <w:sz w:val="20"/>
          <w:szCs w:val="20"/>
        </w:rPr>
        <w:t xml:space="preserve"> </w:t>
      </w:r>
      <w:r w:rsidR="004D1EF3">
        <w:t>(</w:t>
      </w:r>
      <w:r w:rsidR="004D1EF3" w:rsidRPr="004D1EF3">
        <w:rPr>
          <w:rFonts w:ascii="Arial" w:hAnsi="Arial" w:cs="Arial"/>
          <w:color w:val="222222"/>
          <w:sz w:val="20"/>
          <w:szCs w:val="20"/>
          <w:shd w:val="clear" w:color="auto" w:fill="FFFFFF"/>
        </w:rPr>
        <w:t>Tiwari, S. et. al.2023</w:t>
      </w:r>
      <w:r w:rsidR="004D1EF3">
        <w:rPr>
          <w:rFonts w:ascii="Arial" w:hAnsi="Arial" w:cs="Arial"/>
          <w:sz w:val="20"/>
          <w:szCs w:val="20"/>
        </w:rPr>
        <w:t>)</w:t>
      </w:r>
      <w:r w:rsidRPr="009C6763">
        <w:rPr>
          <w:rFonts w:ascii="Arial" w:hAnsi="Arial" w:cs="Arial"/>
          <w:sz w:val="20"/>
          <w:szCs w:val="20"/>
        </w:rPr>
        <w:t>.</w:t>
      </w:r>
    </w:p>
    <w:p w:rsidR="00EC40D9"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2.4. INTEGRATED EXPERIMENTAL RELEVANCE OF RAW MATERIALS</w:t>
      </w:r>
    </w:p>
    <w:p w:rsidR="00EC40D9" w:rsidRPr="009C6763" w:rsidRDefault="00EC40D9" w:rsidP="00E92EC3">
      <w:pPr>
        <w:pStyle w:val="NormalWeb"/>
        <w:jc w:val="both"/>
        <w:rPr>
          <w:rFonts w:ascii="Arial" w:hAnsi="Arial" w:cs="Arial"/>
          <w:sz w:val="20"/>
          <w:szCs w:val="20"/>
        </w:rPr>
      </w:pPr>
      <w:r w:rsidRPr="009C6763">
        <w:rPr>
          <w:rFonts w:ascii="Arial" w:hAnsi="Arial" w:cs="Arial"/>
          <w:sz w:val="20"/>
          <w:szCs w:val="20"/>
        </w:rPr>
        <w:t xml:space="preserve">The combined use of beetroot, black carrot, and mustard seeds establishes a nutrient-rich and selectively </w:t>
      </w:r>
      <w:proofErr w:type="spellStart"/>
      <w:r w:rsidRPr="009C6763">
        <w:rPr>
          <w:rFonts w:ascii="Arial" w:hAnsi="Arial" w:cs="Arial"/>
          <w:sz w:val="20"/>
          <w:szCs w:val="20"/>
        </w:rPr>
        <w:t>favorable</w:t>
      </w:r>
      <w:proofErr w:type="spellEnd"/>
      <w:r w:rsidRPr="009C6763">
        <w:rPr>
          <w:rFonts w:ascii="Arial" w:hAnsi="Arial" w:cs="Arial"/>
          <w:sz w:val="20"/>
          <w:szCs w:val="20"/>
        </w:rPr>
        <w:t xml:space="preserve"> environment for spontaneous LAB-driven fermentation. These substrates collectively influence microbial population density, species dominance, and metabolic activity, which are systematically evaluated through SPC, isolation of dominant colonies, biochemical characterization, and confirmation via 16S rRNA gene sequencing. Understanding the role of individual raw materials is essential for interpreting microbial diversity patterns, standardizing Kanji </w:t>
      </w:r>
      <w:r w:rsidRPr="009C6763">
        <w:rPr>
          <w:rFonts w:ascii="Arial" w:hAnsi="Arial" w:cs="Arial"/>
          <w:sz w:val="20"/>
          <w:szCs w:val="20"/>
        </w:rPr>
        <w:lastRenderedPageBreak/>
        <w:t xml:space="preserve">fermentation, and identifying functionally significant strains with probiotic and technological </w:t>
      </w:r>
      <w:proofErr w:type="gramStart"/>
      <w:r w:rsidRPr="009C6763">
        <w:rPr>
          <w:rFonts w:ascii="Arial" w:hAnsi="Arial" w:cs="Arial"/>
          <w:sz w:val="20"/>
          <w:szCs w:val="20"/>
        </w:rPr>
        <w:t>potential</w:t>
      </w:r>
      <w:r w:rsidR="008E2275" w:rsidRPr="008E2275">
        <w:rPr>
          <w:sz w:val="20"/>
          <w:szCs w:val="20"/>
        </w:rPr>
        <w:t>(</w:t>
      </w:r>
      <w:proofErr w:type="gramEnd"/>
      <w:r w:rsidR="008E2275" w:rsidRPr="008E2275">
        <w:rPr>
          <w:sz w:val="20"/>
          <w:szCs w:val="20"/>
        </w:rPr>
        <w:t>Desai, S. V. et. al. 2025)</w:t>
      </w:r>
      <w:r w:rsidRPr="008E2275">
        <w:rPr>
          <w:rFonts w:ascii="Arial" w:hAnsi="Arial" w:cs="Arial"/>
          <w:sz w:val="20"/>
          <w:szCs w:val="20"/>
        </w:rPr>
        <w:t>.</w:t>
      </w:r>
    </w:p>
    <w:p w:rsidR="00A5700C"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3. MICROBIAL ECOLOGY OF KANJI</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spontaneous fermentation of Kanji is governed by a complex and dynamic microbial ecosystem originating from the native microbiota of raw materials, water, utensils, and the surrounding environment. During fermentation, biochemical changes such as carbohydrate utilization, organic acid production, and pH reduction drive microbial succession, allowing beneficial microorganisms to dominate while suppressing undesirable flora (Tamang et al., 2016). Similar to other traditional fermented vegetable beverages, Kanji fermentation is primarily characterized by the dominance of lactic acid bacteria (LAB), followed by the presence of yeasts and a range of other associated microorganisms that collectively influence product stability, sensory quality, and functional attributes (Satish et al., 2019; Marco et al., 2017).</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3.1 LACTIC ACID BACTERIA (LAB)</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Lactic acid bacteria constitute the most dominant and functionally significant microbial group in Kanji fermentation. LAB metabolize fermentable sugars present in vegetables into lactic acid, resulting in rapid acidification of the medium, which enhances microbial safety and shelf stability by inhibiting spoilage and pathogenic microorganisms (</w:t>
      </w:r>
      <w:proofErr w:type="spellStart"/>
      <w:r w:rsidRPr="009C6763">
        <w:rPr>
          <w:rFonts w:ascii="Arial" w:hAnsi="Arial" w:cs="Arial"/>
          <w:sz w:val="20"/>
          <w:szCs w:val="20"/>
        </w:rPr>
        <w:t>Gänzle</w:t>
      </w:r>
      <w:proofErr w:type="spellEnd"/>
      <w:r w:rsidRPr="009C6763">
        <w:rPr>
          <w:rFonts w:ascii="Arial" w:hAnsi="Arial" w:cs="Arial"/>
          <w:sz w:val="20"/>
          <w:szCs w:val="20"/>
        </w:rPr>
        <w:t xml:space="preserve">, 2015). These bacteria are typically represented by members of the order </w:t>
      </w:r>
      <w:proofErr w:type="spellStart"/>
      <w:r w:rsidRPr="009C6763">
        <w:rPr>
          <w:rStyle w:val="Emphasis"/>
          <w:rFonts w:ascii="Arial" w:hAnsi="Arial" w:cs="Arial"/>
          <w:sz w:val="20"/>
          <w:szCs w:val="20"/>
        </w:rPr>
        <w:t>Lactobacillales</w:t>
      </w:r>
      <w:proofErr w:type="spellEnd"/>
      <w:r w:rsidRPr="009C6763">
        <w:rPr>
          <w:rFonts w:ascii="Arial" w:hAnsi="Arial" w:cs="Arial"/>
          <w:sz w:val="20"/>
          <w:szCs w:val="20"/>
        </w:rPr>
        <w:t xml:space="preserve">, including genera such as </w:t>
      </w:r>
      <w:proofErr w:type="spellStart"/>
      <w:r w:rsidRPr="009C6763">
        <w:rPr>
          <w:rStyle w:val="Emphasis"/>
          <w:rFonts w:ascii="Arial" w:hAnsi="Arial" w:cs="Arial"/>
          <w:sz w:val="20"/>
          <w:szCs w:val="20"/>
        </w:rPr>
        <w:t>Lactiplantibacillus</w:t>
      </w:r>
      <w:proofErr w:type="spellEnd"/>
      <w:r w:rsidRPr="009C6763">
        <w:rPr>
          <w:rFonts w:ascii="Arial" w:hAnsi="Arial" w:cs="Arial"/>
          <w:sz w:val="20"/>
          <w:szCs w:val="20"/>
        </w:rPr>
        <w:t xml:space="preserve">, </w:t>
      </w:r>
      <w:proofErr w:type="spellStart"/>
      <w:r w:rsidRPr="009C6763">
        <w:rPr>
          <w:rStyle w:val="Emphasis"/>
          <w:rFonts w:ascii="Arial" w:hAnsi="Arial" w:cs="Arial"/>
          <w:sz w:val="20"/>
          <w:szCs w:val="20"/>
        </w:rPr>
        <w:t>Leuconostoc</w:t>
      </w:r>
      <w:proofErr w:type="spellEnd"/>
      <w:r w:rsidRPr="009C6763">
        <w:rPr>
          <w:rFonts w:ascii="Arial" w:hAnsi="Arial" w:cs="Arial"/>
          <w:sz w:val="20"/>
          <w:szCs w:val="20"/>
        </w:rPr>
        <w:t xml:space="preserve">, </w:t>
      </w:r>
      <w:proofErr w:type="spellStart"/>
      <w:r w:rsidRPr="009C6763">
        <w:rPr>
          <w:rStyle w:val="Emphasis"/>
          <w:rFonts w:ascii="Arial" w:hAnsi="Arial" w:cs="Arial"/>
          <w:sz w:val="20"/>
          <w:szCs w:val="20"/>
        </w:rPr>
        <w:t>Weissella</w:t>
      </w:r>
      <w:proofErr w:type="spellEnd"/>
      <w:r w:rsidRPr="009C6763">
        <w:rPr>
          <w:rFonts w:ascii="Arial" w:hAnsi="Arial" w:cs="Arial"/>
          <w:sz w:val="20"/>
          <w:szCs w:val="20"/>
        </w:rPr>
        <w:t xml:space="preserve">, and </w:t>
      </w:r>
      <w:proofErr w:type="spellStart"/>
      <w:r w:rsidRPr="009C6763">
        <w:rPr>
          <w:rStyle w:val="Emphasis"/>
          <w:rFonts w:ascii="Arial" w:hAnsi="Arial" w:cs="Arial"/>
          <w:sz w:val="20"/>
          <w:szCs w:val="20"/>
        </w:rPr>
        <w:t>Pediococcus</w:t>
      </w:r>
      <w:proofErr w:type="spellEnd"/>
      <w:r w:rsidRPr="009C6763">
        <w:rPr>
          <w:rFonts w:ascii="Arial" w:hAnsi="Arial" w:cs="Arial"/>
          <w:sz w:val="20"/>
          <w:szCs w:val="20"/>
        </w:rPr>
        <w:t>, which are widely reported in naturally fermented vegetable products (</w:t>
      </w:r>
      <w:r w:rsidR="008E2275">
        <w:rPr>
          <w:sz w:val="20"/>
          <w:szCs w:val="20"/>
          <w:lang w:bidi="gu-IN"/>
        </w:rPr>
        <w:t xml:space="preserve">Tamang, J. P. </w:t>
      </w:r>
      <w:r w:rsidR="008E2275" w:rsidRPr="008E2275">
        <w:rPr>
          <w:sz w:val="20"/>
          <w:szCs w:val="20"/>
          <w:lang w:bidi="gu-IN"/>
        </w:rPr>
        <w:t>2020).</w:t>
      </w:r>
      <w:r w:rsidR="008E2275" w:rsidRPr="00FD3B87">
        <w:rPr>
          <w:lang w:bidi="gu-IN"/>
        </w:rPr>
        <w:t xml:space="preserve"> </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Previous studies on Kanji and similar fermented beverages have reported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and </w:t>
      </w:r>
      <w:proofErr w:type="spellStart"/>
      <w:r w:rsidRPr="009C6763">
        <w:rPr>
          <w:rStyle w:val="Emphasis"/>
          <w:rFonts w:ascii="Arial" w:hAnsi="Arial" w:cs="Arial"/>
          <w:sz w:val="20"/>
          <w:szCs w:val="20"/>
        </w:rPr>
        <w:t>Leuconostocmesenteroides</w:t>
      </w:r>
      <w:proofErr w:type="spellEnd"/>
      <w:r w:rsidRPr="009C6763">
        <w:rPr>
          <w:rFonts w:ascii="Arial" w:hAnsi="Arial" w:cs="Arial"/>
          <w:sz w:val="20"/>
          <w:szCs w:val="20"/>
        </w:rPr>
        <w:t xml:space="preserve"> as dominant species, owing to their high acid tolerance and metabolic versatility (Singh et al., 2018). Culture-dependent enumeration methods frequently show a progressive increase in LAB population during early and mid-fermentation stages, correlating with declining pH values. Molecular identification approaches such as 16S rRNA gene sequencing further confirm LAB dominance and provide insights into strain-level diversity, which is critical for understanding probiotic potential and functional metabolite production (Thierry et al., 2023).</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3.2 YEASTS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Yeasts represent an important secondary microbial group in Kanji fermentation, contributing significantly to the development of </w:t>
      </w:r>
      <w:proofErr w:type="spellStart"/>
      <w:r w:rsidRPr="009C6763">
        <w:rPr>
          <w:rFonts w:ascii="Arial" w:hAnsi="Arial" w:cs="Arial"/>
          <w:sz w:val="20"/>
          <w:szCs w:val="20"/>
        </w:rPr>
        <w:t>flavor</w:t>
      </w:r>
      <w:proofErr w:type="spellEnd"/>
      <w:r w:rsidRPr="009C6763">
        <w:rPr>
          <w:rFonts w:ascii="Arial" w:hAnsi="Arial" w:cs="Arial"/>
          <w:sz w:val="20"/>
          <w:szCs w:val="20"/>
        </w:rPr>
        <w:t xml:space="preserve">, aroma, and overall sensory complexity. These unicellular fungi are capable of fermentative metabolism, producing ethanol, carbon dioxide, glycerol, and volatile compounds from simple sugars (De </w:t>
      </w:r>
      <w:proofErr w:type="spellStart"/>
      <w:r w:rsidRPr="009C6763">
        <w:rPr>
          <w:rFonts w:ascii="Arial" w:hAnsi="Arial" w:cs="Arial"/>
          <w:sz w:val="20"/>
          <w:szCs w:val="20"/>
        </w:rPr>
        <w:t>Guidi</w:t>
      </w:r>
      <w:proofErr w:type="spellEnd"/>
      <w:r w:rsidRPr="009C6763">
        <w:rPr>
          <w:rFonts w:ascii="Arial" w:hAnsi="Arial" w:cs="Arial"/>
          <w:sz w:val="20"/>
          <w:szCs w:val="20"/>
        </w:rPr>
        <w:t xml:space="preserve"> et al., 2023). Although yeasts generally occur at lower abundance than LAB in vegetable fermentations, genera such as </w:t>
      </w:r>
      <w:r w:rsidRPr="009C6763">
        <w:rPr>
          <w:rStyle w:val="Emphasis"/>
          <w:rFonts w:ascii="Arial" w:hAnsi="Arial" w:cs="Arial"/>
          <w:sz w:val="20"/>
          <w:szCs w:val="20"/>
        </w:rPr>
        <w:t>Saccharomyces</w:t>
      </w:r>
      <w:r w:rsidRPr="009C6763">
        <w:rPr>
          <w:rFonts w:ascii="Arial" w:hAnsi="Arial" w:cs="Arial"/>
          <w:sz w:val="20"/>
          <w:szCs w:val="20"/>
        </w:rPr>
        <w:t xml:space="preserve">, </w:t>
      </w:r>
      <w:r w:rsidRPr="009C6763">
        <w:rPr>
          <w:rStyle w:val="Emphasis"/>
          <w:rFonts w:ascii="Arial" w:hAnsi="Arial" w:cs="Arial"/>
          <w:sz w:val="20"/>
          <w:szCs w:val="20"/>
        </w:rPr>
        <w:t>Candida</w:t>
      </w:r>
      <w:r w:rsidRPr="009C6763">
        <w:rPr>
          <w:rFonts w:ascii="Arial" w:hAnsi="Arial" w:cs="Arial"/>
          <w:sz w:val="20"/>
          <w:szCs w:val="20"/>
        </w:rPr>
        <w:t xml:space="preserve">, and </w:t>
      </w:r>
      <w:r w:rsidRPr="009C6763">
        <w:rPr>
          <w:rStyle w:val="Emphasis"/>
          <w:rFonts w:ascii="Arial" w:hAnsi="Arial" w:cs="Arial"/>
          <w:sz w:val="20"/>
          <w:szCs w:val="20"/>
        </w:rPr>
        <w:t>Pichia</w:t>
      </w:r>
      <w:r w:rsidRPr="009C6763">
        <w:rPr>
          <w:rFonts w:ascii="Arial" w:hAnsi="Arial" w:cs="Arial"/>
          <w:sz w:val="20"/>
          <w:szCs w:val="20"/>
        </w:rPr>
        <w:t xml:space="preserve"> have been frequently detected in spontaneous fermentations of plant-based substrates (</w:t>
      </w:r>
      <w:proofErr w:type="spellStart"/>
      <w:r w:rsidRPr="009C6763">
        <w:rPr>
          <w:rFonts w:ascii="Arial" w:hAnsi="Arial" w:cs="Arial"/>
          <w:sz w:val="20"/>
          <w:szCs w:val="20"/>
        </w:rPr>
        <w:t>Zabat</w:t>
      </w:r>
      <w:proofErr w:type="spellEnd"/>
      <w:r w:rsidRPr="009C6763">
        <w:rPr>
          <w:rFonts w:ascii="Arial" w:hAnsi="Arial" w:cs="Arial"/>
          <w:sz w:val="20"/>
          <w:szCs w:val="20"/>
        </w:rPr>
        <w:t xml:space="preserve"> et al., 2018).</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Yeasts often exhibit synergistic interactions with LAB; for instance, yeast metabolism can release essential growth factors such as B-vitamins and amino acids that stimulate LAB growth, while LAB-produced organic acids help regulate yeast proliferation (Marco et al., 2017). In Kanji fermentation, yeasts are usually more prominent during the early stages and decline as acidity increases, reflecting their comparatively lower acid tolerance. Nevertheless, their contribution to volatile compound formation plays a crucial role in defining the characteristic organoleptic profile of the beverage (De </w:t>
      </w:r>
      <w:proofErr w:type="spellStart"/>
      <w:r w:rsidRPr="009C6763">
        <w:rPr>
          <w:rFonts w:ascii="Arial" w:hAnsi="Arial" w:cs="Arial"/>
          <w:sz w:val="20"/>
          <w:szCs w:val="20"/>
        </w:rPr>
        <w:t>Guidi</w:t>
      </w:r>
      <w:proofErr w:type="spellEnd"/>
      <w:r w:rsidRPr="009C6763">
        <w:rPr>
          <w:rFonts w:ascii="Arial" w:hAnsi="Arial" w:cs="Arial"/>
          <w:sz w:val="20"/>
          <w:szCs w:val="20"/>
        </w:rPr>
        <w:t xml:space="preserve"> et al., 2023).</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3.3 OTHER ASSOCIATED MICROORGANISMS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In addition to LAB and yeasts, Kanji fermentation may involve other associated microorganisms, particularly during the initial stages when pH conditions are relatively permissive. These include aerobic mesophilic bacteria, halotolerant species, and occasionally acetic acid bacteria, which originate from raw materials and the surrounding environment (Tamang et al., 2016). Culture-</w:t>
      </w:r>
      <w:r w:rsidRPr="009C6763">
        <w:rPr>
          <w:rFonts w:ascii="Arial" w:hAnsi="Arial" w:cs="Arial"/>
          <w:sz w:val="20"/>
          <w:szCs w:val="20"/>
        </w:rPr>
        <w:lastRenderedPageBreak/>
        <w:t xml:space="preserve">dependent studies of traditional fermented vegetables have shown that such microorganisms are usually transient and decline rapidly as LAB-mediated acidification progresses (Di </w:t>
      </w:r>
      <w:proofErr w:type="spellStart"/>
      <w:r w:rsidRPr="009C6763">
        <w:rPr>
          <w:rFonts w:ascii="Arial" w:hAnsi="Arial" w:cs="Arial"/>
          <w:sz w:val="20"/>
          <w:szCs w:val="20"/>
        </w:rPr>
        <w:t>Cagno</w:t>
      </w:r>
      <w:proofErr w:type="spellEnd"/>
      <w:r w:rsidRPr="009C6763">
        <w:rPr>
          <w:rFonts w:ascii="Arial" w:hAnsi="Arial" w:cs="Arial"/>
          <w:sz w:val="20"/>
          <w:szCs w:val="20"/>
        </w:rPr>
        <w:t xml:space="preserve"> et al., 2013).</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High-throughput sequencing analyses of fermented vegetable ecosystems consistently demonstrate that non-LAB bacteria constitute a minor fraction of the mature microbial community (Thierry et al., 2023). Their early metabolic activity may contribute to initial substrate breakdown or minor </w:t>
      </w:r>
      <w:proofErr w:type="spellStart"/>
      <w:r w:rsidRPr="009C6763">
        <w:rPr>
          <w:rFonts w:ascii="Arial" w:hAnsi="Arial" w:cs="Arial"/>
          <w:sz w:val="20"/>
          <w:szCs w:val="20"/>
        </w:rPr>
        <w:t>flavordevelopment</w:t>
      </w:r>
      <w:proofErr w:type="spellEnd"/>
      <w:r w:rsidRPr="009C6763">
        <w:rPr>
          <w:rFonts w:ascii="Arial" w:hAnsi="Arial" w:cs="Arial"/>
          <w:sz w:val="20"/>
          <w:szCs w:val="20"/>
        </w:rPr>
        <w:t xml:space="preserve">; however, they do not persist in well-fermented products due to inhibitory conditions created by organic acids and low </w:t>
      </w:r>
      <w:proofErr w:type="spellStart"/>
      <w:r w:rsidRPr="009C6763">
        <w:rPr>
          <w:rFonts w:ascii="Arial" w:hAnsi="Arial" w:cs="Arial"/>
          <w:sz w:val="20"/>
          <w:szCs w:val="20"/>
        </w:rPr>
        <w:t>pH.</w:t>
      </w:r>
      <w:proofErr w:type="spellEnd"/>
      <w:r w:rsidRPr="009C6763">
        <w:rPr>
          <w:rFonts w:ascii="Arial" w:hAnsi="Arial" w:cs="Arial"/>
          <w:sz w:val="20"/>
          <w:szCs w:val="20"/>
        </w:rPr>
        <w:t xml:space="preserve"> This microbial shift underscores the ecological dominance of LAB and highlights the importance of spontaneous fermentation dynamics in ensuring the safety and functional quality of traditional beverages like Kanji (Satish et al., 2019).</w:t>
      </w:r>
    </w:p>
    <w:p w:rsidR="00A5700C"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4. CONVENTIONAL MICROBIOLOGICAL TECHNIQUES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Conventional microbiological techniques remain fundamental tools for studying the microbial ecology of traditional fermented foods such as Kanji. Despite recent advances in molecular and omics-based approaches, classical culture-dependent methods continue to be indispensable for microbial enumeration, isolation of viable strains, phenotypic characterization, and functional assessment. These techniques provide critical baseline data on microbial load, dominance patterns, and physiological traits of fermentative microorganisms, thereby complementing molecular identification methods (Tamang et </w:t>
      </w:r>
      <w:r w:rsidR="008E2275">
        <w:rPr>
          <w:rFonts w:ascii="Arial" w:hAnsi="Arial" w:cs="Arial"/>
          <w:sz w:val="20"/>
          <w:szCs w:val="20"/>
        </w:rPr>
        <w:t>al., 2016</w:t>
      </w:r>
      <w:r w:rsidRPr="009C6763">
        <w:rPr>
          <w:rFonts w:ascii="Arial" w:hAnsi="Arial" w:cs="Arial"/>
          <w:sz w:val="20"/>
          <w:szCs w:val="20"/>
        </w:rPr>
        <w:t>).</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4.1 STANDARD PLATE COUNT (SPC)</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Standard Plate Count (SPC) method is widely employed to estimate the total viable microbial population present in fermented beverages like Kanji. This technique involves serial dilution of the fermented sample followed by plating on appropriate growth media and incubation under defined conditions to allow colony formation. SPC provides quantitative information on microbial dynamics during fermentation, reflecting changes in microbial load corresponding to substrate utilization and acidification (</w:t>
      </w:r>
      <w:proofErr w:type="spellStart"/>
      <w:r w:rsidRPr="009C6763">
        <w:rPr>
          <w:rFonts w:ascii="Arial" w:hAnsi="Arial" w:cs="Arial"/>
          <w:sz w:val="20"/>
          <w:szCs w:val="20"/>
        </w:rPr>
        <w:t>Gänzle</w:t>
      </w:r>
      <w:proofErr w:type="spellEnd"/>
      <w:r w:rsidRPr="009C6763">
        <w:rPr>
          <w:rFonts w:ascii="Arial" w:hAnsi="Arial" w:cs="Arial"/>
          <w:sz w:val="20"/>
          <w:szCs w:val="20"/>
        </w:rPr>
        <w:t>, 2015).</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In Kanji fermentation, SPC is commonly performed using non-selective media for total aerobic counts and selective media such as de Man, </w:t>
      </w:r>
      <w:proofErr w:type="spellStart"/>
      <w:r w:rsidRPr="009C6763">
        <w:rPr>
          <w:rFonts w:ascii="Arial" w:hAnsi="Arial" w:cs="Arial"/>
          <w:sz w:val="20"/>
          <w:szCs w:val="20"/>
        </w:rPr>
        <w:t>Rogosa</w:t>
      </w:r>
      <w:proofErr w:type="spellEnd"/>
      <w:r w:rsidRPr="009C6763">
        <w:rPr>
          <w:rFonts w:ascii="Arial" w:hAnsi="Arial" w:cs="Arial"/>
          <w:sz w:val="20"/>
          <w:szCs w:val="20"/>
        </w:rPr>
        <w:t xml:space="preserve"> and Sharpe (MRS) agar for lactic acid bacteria enumeration. Studies on traditional fermented vegetable beverages have demonstrated a progressive increase in LAB counts during early fermentation stages, followed by stabilization or slight decline in later stages due to nutrient depletion and low pH (Singh et al., 2018). Although SPC does not capture non-culturable microorganisms, it remains a reliable and reproducible method for monitoring fermentation progress and microbial dominance patterns (Marco et al., 2017).</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4.2 ISOLATION METHODS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Isolation of microorganisms is a crucial step for obtaining pure cultures required for downstream characterization, functional studies, and preservation. In conventional microbiology, isolation is achieved through streaking or spread-plate techniques on selective and differential media, followed by repeated sub-culturing to ensure purity (Di </w:t>
      </w:r>
      <w:proofErr w:type="spellStart"/>
      <w:r w:rsidRPr="009C6763">
        <w:rPr>
          <w:rFonts w:ascii="Arial" w:hAnsi="Arial" w:cs="Arial"/>
          <w:sz w:val="20"/>
          <w:szCs w:val="20"/>
        </w:rPr>
        <w:t>Cagno</w:t>
      </w:r>
      <w:proofErr w:type="spellEnd"/>
      <w:r w:rsidRPr="009C6763">
        <w:rPr>
          <w:rFonts w:ascii="Arial" w:hAnsi="Arial" w:cs="Arial"/>
          <w:sz w:val="20"/>
          <w:szCs w:val="20"/>
        </w:rPr>
        <w:t xml:space="preserve"> et al., 2013). For Kanji, LAB </w:t>
      </w:r>
      <w:proofErr w:type="gramStart"/>
      <w:r w:rsidRPr="009C6763">
        <w:rPr>
          <w:rFonts w:ascii="Arial" w:hAnsi="Arial" w:cs="Arial"/>
          <w:sz w:val="20"/>
          <w:szCs w:val="20"/>
        </w:rPr>
        <w:t>are</w:t>
      </w:r>
      <w:proofErr w:type="gramEnd"/>
      <w:r w:rsidRPr="009C6763">
        <w:rPr>
          <w:rFonts w:ascii="Arial" w:hAnsi="Arial" w:cs="Arial"/>
          <w:sz w:val="20"/>
          <w:szCs w:val="20"/>
        </w:rPr>
        <w:t xml:space="preserve"> typically isolated using MRS agar under anaerobic or microaerophilic conditions, while yeasts may be isolated on yeast extract–peptone–dextrose (YPD) or potato dextrose agar (PDA) supplemented with antibiotics to suppress bacterial growth (De </w:t>
      </w:r>
      <w:proofErr w:type="spellStart"/>
      <w:r w:rsidRPr="009C6763">
        <w:rPr>
          <w:rFonts w:ascii="Arial" w:hAnsi="Arial" w:cs="Arial"/>
          <w:sz w:val="20"/>
          <w:szCs w:val="20"/>
        </w:rPr>
        <w:t>Guidi</w:t>
      </w:r>
      <w:proofErr w:type="spellEnd"/>
      <w:r w:rsidRPr="009C6763">
        <w:rPr>
          <w:rFonts w:ascii="Arial" w:hAnsi="Arial" w:cs="Arial"/>
          <w:sz w:val="20"/>
          <w:szCs w:val="20"/>
        </w:rPr>
        <w:t xml:space="preserve"> et al., 2023).</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isolation of viable strains enables phenotypic observation, including colony morphology, pigmentation, growth pattern, and acid production capability. Isolated strains from traditional fermented foods have been shown to exhibit strain-specific technological and probiotic properties, emphasizing the importance of culture-dependent isolation for functional validation (</w:t>
      </w:r>
      <w:proofErr w:type="spellStart"/>
      <w:r w:rsidRPr="009C6763">
        <w:rPr>
          <w:rFonts w:ascii="Arial" w:hAnsi="Arial" w:cs="Arial"/>
          <w:sz w:val="20"/>
          <w:szCs w:val="20"/>
        </w:rPr>
        <w:t>Zabat</w:t>
      </w:r>
      <w:proofErr w:type="spellEnd"/>
      <w:r w:rsidRPr="009C6763">
        <w:rPr>
          <w:rFonts w:ascii="Arial" w:hAnsi="Arial" w:cs="Arial"/>
          <w:sz w:val="20"/>
          <w:szCs w:val="20"/>
        </w:rPr>
        <w:t xml:space="preserve"> et al., 2018). In Kanji fermentation studies, isolated LAB strains are often further subjected to biochemical and molecular identification to confirm taxonomic affiliation (Thierry et al., 2023).</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lastRenderedPageBreak/>
        <w:t>4.3 BIOCHEMICAL TESTS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Biochemical characterization remains an essential component of conventional microbial identification, particularly for differentiating closely related bacterial taxa. These tests assess metabolic and enzymatic activities such as carbohydrate fermentation patterns, catalase activity, gas production from glucose, nitrate reduction, and tolerance to salt or acidic conditions (</w:t>
      </w:r>
      <w:proofErr w:type="spellStart"/>
      <w:r w:rsidRPr="009C6763">
        <w:rPr>
          <w:rFonts w:ascii="Arial" w:hAnsi="Arial" w:cs="Arial"/>
          <w:sz w:val="20"/>
          <w:szCs w:val="20"/>
        </w:rPr>
        <w:t>Gänzle</w:t>
      </w:r>
      <w:proofErr w:type="spellEnd"/>
      <w:r w:rsidRPr="009C6763">
        <w:rPr>
          <w:rFonts w:ascii="Arial" w:hAnsi="Arial" w:cs="Arial"/>
          <w:sz w:val="20"/>
          <w:szCs w:val="20"/>
        </w:rPr>
        <w:t xml:space="preserve">, 2015). LAB isolated from Kanji are typically Gram-positive, catalase-negative, non-spore-forming rods or cocci, characteristics that are confirmed through standard biochemical assays (Di </w:t>
      </w:r>
      <w:proofErr w:type="spellStart"/>
      <w:r w:rsidRPr="009C6763">
        <w:rPr>
          <w:rFonts w:ascii="Arial" w:hAnsi="Arial" w:cs="Arial"/>
          <w:sz w:val="20"/>
          <w:szCs w:val="20"/>
        </w:rPr>
        <w:t>Cagno</w:t>
      </w:r>
      <w:proofErr w:type="spellEnd"/>
      <w:r w:rsidRPr="009C6763">
        <w:rPr>
          <w:rFonts w:ascii="Arial" w:hAnsi="Arial" w:cs="Arial"/>
          <w:sz w:val="20"/>
          <w:szCs w:val="20"/>
        </w:rPr>
        <w:t xml:space="preserve"> et al., 2013).</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Carbohydrate fermentation profiles using sugars such as glucose, lactose, sucrose, and mannitol help distinguish homofermentative and heterofermentative LAB species. Such phenotypic differentiation provides valuable preliminary identification before molecular confirmation via 16S rRNA gene sequencing (Tamang et al., 2016). Although biochemical tests may lack the resolution of molecular tools, they remain cost-effective, accessible, and informative, particularly in laboratories with limited resources, and continue to play a significant role in traditional fermentation research (Marco et al., 2017).</w:t>
      </w:r>
    </w:p>
    <w:p w:rsidR="00A5700C"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5. MOLECULAR IDENTIFICATION APPROACHES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Molecular identification approaches have revolutionized the study of microbial diversity in traditional fermented foods such as Kanji by enabling accurate, rapid, and culture-independent characterization of microbial communities. While conventional microbiological techniques provide valuable information on viable and phenotypic traits, molecular tools offer higher taxonomic resolution and overcome limitations associated with phenotypic variability and non-culturable microorganisms. Among these, 16S rRNA gene sequencing has emerged as the most widely used method for bacterial identification and phylogenetic studies in fermented food ecosystems (</w:t>
      </w:r>
      <w:proofErr w:type="spellStart"/>
      <w:r w:rsidR="008E2275">
        <w:rPr>
          <w:rFonts w:ascii="Arial" w:hAnsi="Arial" w:cs="Arial"/>
          <w:sz w:val="20"/>
          <w:szCs w:val="20"/>
        </w:rPr>
        <w:t>Rezac</w:t>
      </w:r>
      <w:proofErr w:type="spellEnd"/>
      <w:r w:rsidR="008E2275">
        <w:rPr>
          <w:rFonts w:ascii="Arial" w:hAnsi="Arial" w:cs="Arial"/>
          <w:sz w:val="20"/>
          <w:szCs w:val="20"/>
        </w:rPr>
        <w:t xml:space="preserve"> et al.,2020</w:t>
      </w:r>
      <w:r w:rsidRPr="009C6763">
        <w:rPr>
          <w:rFonts w:ascii="Arial" w:hAnsi="Arial" w:cs="Arial"/>
          <w:sz w:val="20"/>
          <w:szCs w:val="20"/>
        </w:rPr>
        <w:t>).</w:t>
      </w:r>
    </w:p>
    <w:p w:rsidR="00A5700C" w:rsidRPr="009C6763" w:rsidRDefault="000278B3" w:rsidP="00E92EC3">
      <w:pPr>
        <w:pStyle w:val="Heading3"/>
        <w:jc w:val="both"/>
        <w:rPr>
          <w:rFonts w:ascii="Arial" w:hAnsi="Arial" w:cs="Arial"/>
          <w:color w:val="auto"/>
        </w:rPr>
      </w:pPr>
      <w:r>
        <w:rPr>
          <w:rStyle w:val="Strong"/>
          <w:rFonts w:ascii="Arial" w:hAnsi="Arial" w:cs="Arial"/>
          <w:b/>
          <w:bCs/>
          <w:color w:val="auto"/>
        </w:rPr>
        <w:t>5.1 16S r</w:t>
      </w:r>
      <w:r w:rsidR="009C6763" w:rsidRPr="009C6763">
        <w:rPr>
          <w:rStyle w:val="Strong"/>
          <w:rFonts w:ascii="Arial" w:hAnsi="Arial" w:cs="Arial"/>
          <w:b/>
          <w:bCs/>
          <w:color w:val="auto"/>
        </w:rPr>
        <w:t>RNA GENE SEQUENCING</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The 16S ribosomal RNA (rRNA) gene is highly conserved among prokaryotes, containing both conserved and hypervariable regions that allow differentiation at genus and, in many cases, species levels. This gene serves as a molecular fingerprint for bacterial identification and has been extensively applied to study lactic acid bacteria and other microbial groups involved in vegetable fermentations (</w:t>
      </w:r>
      <w:proofErr w:type="spellStart"/>
      <w:r w:rsidRPr="009C6763">
        <w:rPr>
          <w:rFonts w:ascii="Arial" w:hAnsi="Arial" w:cs="Arial"/>
          <w:sz w:val="20"/>
          <w:szCs w:val="20"/>
        </w:rPr>
        <w:t>Gänzle</w:t>
      </w:r>
      <w:proofErr w:type="spellEnd"/>
      <w:r w:rsidRPr="009C6763">
        <w:rPr>
          <w:rFonts w:ascii="Arial" w:hAnsi="Arial" w:cs="Arial"/>
          <w:sz w:val="20"/>
          <w:szCs w:val="20"/>
        </w:rPr>
        <w:t>, 2015). In Kanji fermentation studies, genomic DNA is extracted from isolated bacterial cultures or directly from fermented samples, followed by PCR amplification of the 16S rRNA gene using universal primers, sequencing, and comparison with reference databases such as NCBI GenBank or SILVA (Thierry et al., 2023).</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Several studies on traditional fermented vegetables have demonstrated that 16S rRNA sequencing consistently identifies dominant LAB species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Leuconostocmesenteroides</w:t>
      </w:r>
      <w:proofErr w:type="spellEnd"/>
      <w:r w:rsidRPr="009C6763">
        <w:rPr>
          <w:rFonts w:ascii="Arial" w:hAnsi="Arial" w:cs="Arial"/>
          <w:sz w:val="20"/>
          <w:szCs w:val="20"/>
        </w:rPr>
        <w:t xml:space="preserve">, and </w:t>
      </w:r>
      <w:proofErr w:type="spellStart"/>
      <w:r w:rsidRPr="009C6763">
        <w:rPr>
          <w:rStyle w:val="Emphasis"/>
          <w:rFonts w:ascii="Arial" w:hAnsi="Arial" w:cs="Arial"/>
          <w:sz w:val="20"/>
          <w:szCs w:val="20"/>
        </w:rPr>
        <w:t>Weissella</w:t>
      </w:r>
      <w:proofErr w:type="spellEnd"/>
      <w:r w:rsidRPr="009C6763">
        <w:rPr>
          <w:rFonts w:ascii="Arial" w:hAnsi="Arial" w:cs="Arial"/>
          <w:sz w:val="20"/>
          <w:szCs w:val="20"/>
        </w:rPr>
        <w:t xml:space="preserve"> spp., which may not always be reliably distinguished using biochemical tes</w:t>
      </w:r>
      <w:r w:rsidR="008E2275">
        <w:rPr>
          <w:rFonts w:ascii="Arial" w:hAnsi="Arial" w:cs="Arial"/>
          <w:sz w:val="20"/>
          <w:szCs w:val="20"/>
        </w:rPr>
        <w:t>ts alone</w:t>
      </w:r>
      <w:r w:rsidRPr="009C6763">
        <w:rPr>
          <w:rFonts w:ascii="Arial" w:hAnsi="Arial" w:cs="Arial"/>
          <w:sz w:val="20"/>
          <w:szCs w:val="20"/>
        </w:rPr>
        <w:t>. This approach provides robust taxonomic confirmation and enhances the understanding of microbial succession and dominance patterns during fermentation (</w:t>
      </w:r>
      <w:proofErr w:type="spellStart"/>
      <w:r w:rsidRPr="009C6763">
        <w:rPr>
          <w:rFonts w:ascii="Arial" w:hAnsi="Arial" w:cs="Arial"/>
          <w:sz w:val="20"/>
          <w:szCs w:val="20"/>
        </w:rPr>
        <w:t>Zabat</w:t>
      </w:r>
      <w:proofErr w:type="spellEnd"/>
      <w:r w:rsidRPr="009C6763">
        <w:rPr>
          <w:rFonts w:ascii="Arial" w:hAnsi="Arial" w:cs="Arial"/>
          <w:sz w:val="20"/>
          <w:szCs w:val="20"/>
        </w:rPr>
        <w:t xml:space="preserve"> et al., 2018).</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5.2 ADVANTAGES OVER BIOCHEMICAL METHODS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Molecular identification methods offer several advantages over conventional biochemical approaches. Biochemical tests rely on phenotypic expression, which can be influenced by environmental conditions, growth medium, and physiological state of the microorganism, often leading to ambiguous or inconsistent identification (</w:t>
      </w:r>
      <w:proofErr w:type="spellStart"/>
      <w:r w:rsidRPr="009C6763">
        <w:rPr>
          <w:rFonts w:ascii="Arial" w:hAnsi="Arial" w:cs="Arial"/>
          <w:sz w:val="20"/>
          <w:szCs w:val="20"/>
        </w:rPr>
        <w:t>Gänzle</w:t>
      </w:r>
      <w:proofErr w:type="spellEnd"/>
      <w:r w:rsidRPr="009C6763">
        <w:rPr>
          <w:rFonts w:ascii="Arial" w:hAnsi="Arial" w:cs="Arial"/>
          <w:sz w:val="20"/>
          <w:szCs w:val="20"/>
        </w:rPr>
        <w:t>, 2015). In contrast, 16S rRNA gene sequencing is based on genetic information, which remains relatively stable and provides higher specificity and reproducibility (Tamang et al., 2016).</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Another significant advantage of molecular methods is their ability to detect slow-growing, stressed, or viable but non-culturable (VBNC) microorganisms that may be overlooked by culture-dependent techniques. High-throughput sequencing studies of fermented vegetables have revealed microbial </w:t>
      </w:r>
      <w:r w:rsidRPr="009C6763">
        <w:rPr>
          <w:rFonts w:ascii="Arial" w:hAnsi="Arial" w:cs="Arial"/>
          <w:sz w:val="20"/>
          <w:szCs w:val="20"/>
        </w:rPr>
        <w:lastRenderedPageBreak/>
        <w:t>taxa that were previously undetected using conventional methods, highlighting the broader microbial diversity present in spontaneous fermentations (Thierry et al., 2023). Consequently, molecular identification enhances accuracy, reduces misclassification, and strengthens the reliability of microbial diversity assessments in Kanji fermentation research (Marco et al., 2017).</w:t>
      </w:r>
    </w:p>
    <w:p w:rsidR="00A5700C"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5.3 PHYLOGENETIC ANALYSIS</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Phylogenetic analysis is a critical component of molecular identification, providing insights into the evolutionary relationships among microbial isolates. Following 16S rRNA gene sequencing, sequences are aligned using bioinformatics tools such as </w:t>
      </w:r>
      <w:proofErr w:type="spellStart"/>
      <w:r w:rsidRPr="009C6763">
        <w:rPr>
          <w:rFonts w:ascii="Arial" w:hAnsi="Arial" w:cs="Arial"/>
          <w:sz w:val="20"/>
          <w:szCs w:val="20"/>
        </w:rPr>
        <w:t>ClustalW</w:t>
      </w:r>
      <w:proofErr w:type="spellEnd"/>
      <w:r w:rsidRPr="009C6763">
        <w:rPr>
          <w:rFonts w:ascii="Arial" w:hAnsi="Arial" w:cs="Arial"/>
          <w:sz w:val="20"/>
          <w:szCs w:val="20"/>
        </w:rPr>
        <w:t xml:space="preserve"> or MUSCLE, and phylogenetic trees are constructed using methods like </w:t>
      </w:r>
      <w:proofErr w:type="spellStart"/>
      <w:r w:rsidRPr="009C6763">
        <w:rPr>
          <w:rFonts w:ascii="Arial" w:hAnsi="Arial" w:cs="Arial"/>
          <w:sz w:val="20"/>
          <w:szCs w:val="20"/>
        </w:rPr>
        <w:t>Neighbor</w:t>
      </w:r>
      <w:proofErr w:type="spellEnd"/>
      <w:r w:rsidRPr="009C6763">
        <w:rPr>
          <w:rFonts w:ascii="Arial" w:hAnsi="Arial" w:cs="Arial"/>
          <w:sz w:val="20"/>
          <w:szCs w:val="20"/>
        </w:rPr>
        <w:t>-Joining, Maximum Likelihood, or Bayesian inference (</w:t>
      </w:r>
      <w:proofErr w:type="spellStart"/>
      <w:r w:rsidRPr="009C6763">
        <w:rPr>
          <w:rFonts w:ascii="Arial" w:hAnsi="Arial" w:cs="Arial"/>
          <w:sz w:val="20"/>
          <w:szCs w:val="20"/>
        </w:rPr>
        <w:t>Zabat</w:t>
      </w:r>
      <w:proofErr w:type="spellEnd"/>
      <w:r w:rsidRPr="009C6763">
        <w:rPr>
          <w:rFonts w:ascii="Arial" w:hAnsi="Arial" w:cs="Arial"/>
          <w:sz w:val="20"/>
          <w:szCs w:val="20"/>
        </w:rPr>
        <w:t xml:space="preserve"> et al., 2018). These analyses allow researchers to determine genetic relatedness between isolated strains and reference sequences, thereby confirming taxonomic placement and evolutionary lineage.</w:t>
      </w:r>
    </w:p>
    <w:p w:rsidR="00A5700C" w:rsidRPr="009C6763" w:rsidRDefault="00A5700C" w:rsidP="00E92EC3">
      <w:pPr>
        <w:pStyle w:val="NormalWeb"/>
        <w:jc w:val="both"/>
        <w:rPr>
          <w:rFonts w:ascii="Arial" w:hAnsi="Arial" w:cs="Arial"/>
          <w:sz w:val="20"/>
          <w:szCs w:val="20"/>
        </w:rPr>
      </w:pPr>
      <w:r w:rsidRPr="009C6763">
        <w:rPr>
          <w:rFonts w:ascii="Arial" w:hAnsi="Arial" w:cs="Arial"/>
          <w:sz w:val="20"/>
          <w:szCs w:val="20"/>
        </w:rPr>
        <w:t xml:space="preserve">In studies of fermented food microbiota, phylogenetic analysis has been instrumental in differentiating closely related LAB species and identifying novel or strain-level variations with potential functional significance (Di </w:t>
      </w:r>
      <w:proofErr w:type="spellStart"/>
      <w:r w:rsidRPr="009C6763">
        <w:rPr>
          <w:rFonts w:ascii="Arial" w:hAnsi="Arial" w:cs="Arial"/>
          <w:sz w:val="20"/>
          <w:szCs w:val="20"/>
        </w:rPr>
        <w:t>Cagno</w:t>
      </w:r>
      <w:proofErr w:type="spellEnd"/>
      <w:r w:rsidRPr="009C6763">
        <w:rPr>
          <w:rFonts w:ascii="Arial" w:hAnsi="Arial" w:cs="Arial"/>
          <w:sz w:val="20"/>
          <w:szCs w:val="20"/>
        </w:rPr>
        <w:t xml:space="preserve"> et al., 2013). For Kanji fermentation, phylogenetic clustering of LAB isolates helps elucidate microbial succession patterns and adaptive traits associated with acid tolerance and substrate utilization. Such evolutionary insights are essential for selecting promising strains for probiotic development, starter culture formulation, and functional food applications (Marco et al., 2017; Tamang et al., 2016).</w:t>
      </w:r>
    </w:p>
    <w:p w:rsidR="00E92EC3"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6. PROBIOTIC AND FUNCTIONAL POTENTIAL OF KANJI</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Traditional fermented beverages such as Kanji are increasingly recognized as functional foods due to their rich microbial diversity, bioactive metabolites, and potential health-promoting properties. The spontaneous lactic acid fermentation of Kanji not only enhances its sensory attributes but also improves nutritional value, digestibility, and microbial safety. Owing to the presence of lactic acid bacteria (LAB), organic acids, antioxidants, and other bioactive compounds, Kanji is considered a promising non-dairy probiotic beverage, particularly relevant for lactose-intolerant and vegan populations (Marco et al., 2017; </w:t>
      </w:r>
      <w:proofErr w:type="spellStart"/>
      <w:r w:rsidRPr="009C6763">
        <w:rPr>
          <w:rFonts w:ascii="Arial" w:hAnsi="Arial" w:cs="Arial"/>
          <w:sz w:val="20"/>
          <w:szCs w:val="20"/>
        </w:rPr>
        <w:t>Panghal</w:t>
      </w:r>
      <w:proofErr w:type="spellEnd"/>
      <w:r w:rsidRPr="009C6763">
        <w:rPr>
          <w:rFonts w:ascii="Arial" w:hAnsi="Arial" w:cs="Arial"/>
          <w:sz w:val="20"/>
          <w:szCs w:val="20"/>
        </w:rPr>
        <w:t xml:space="preserve"> et al., 2018).</w:t>
      </w:r>
    </w:p>
    <w:p w:rsidR="00E92EC3" w:rsidRPr="009C6763" w:rsidRDefault="009C6763" w:rsidP="00E92EC3">
      <w:pPr>
        <w:pStyle w:val="Heading3"/>
        <w:jc w:val="both"/>
        <w:rPr>
          <w:rFonts w:ascii="Arial" w:hAnsi="Arial" w:cs="Arial"/>
          <w:color w:val="auto"/>
        </w:rPr>
      </w:pPr>
      <w:r w:rsidRPr="009C6763">
        <w:rPr>
          <w:rStyle w:val="Strong"/>
          <w:rFonts w:ascii="Arial" w:hAnsi="Arial" w:cs="Arial"/>
          <w:b/>
          <w:bCs/>
          <w:color w:val="auto"/>
        </w:rPr>
        <w:t>6.1 HEALTH BENEFITS</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The health benefits associated with Kanji consumption are primarily attributed to its LAB population and fermentation-derived metabolites. LAB such as </w:t>
      </w:r>
      <w:proofErr w:type="spellStart"/>
      <w:r w:rsidRPr="009C6763">
        <w:rPr>
          <w:rStyle w:val="Emphasis"/>
          <w:rFonts w:ascii="Arial" w:hAnsi="Arial" w:cs="Arial"/>
          <w:sz w:val="20"/>
          <w:szCs w:val="20"/>
        </w:rPr>
        <w:t>Lactiplantibacillus</w:t>
      </w:r>
      <w:proofErr w:type="spellEnd"/>
      <w:r w:rsidRPr="009C6763">
        <w:rPr>
          <w:rStyle w:val="Emphasis"/>
          <w:rFonts w:ascii="Arial" w:hAnsi="Arial" w:cs="Arial"/>
          <w:sz w:val="20"/>
          <w:szCs w:val="20"/>
        </w:rPr>
        <w:t xml:space="preserve"> plantarum</w:t>
      </w:r>
      <w:r w:rsidRPr="009C6763">
        <w:rPr>
          <w:rFonts w:ascii="Arial" w:hAnsi="Arial" w:cs="Arial"/>
          <w:sz w:val="20"/>
          <w:szCs w:val="20"/>
        </w:rPr>
        <w:t xml:space="preserve">, </w:t>
      </w:r>
      <w:proofErr w:type="spellStart"/>
      <w:r w:rsidRPr="009C6763">
        <w:rPr>
          <w:rStyle w:val="Emphasis"/>
          <w:rFonts w:ascii="Arial" w:hAnsi="Arial" w:cs="Arial"/>
          <w:sz w:val="20"/>
          <w:szCs w:val="20"/>
        </w:rPr>
        <w:t>Leuconostocmesenteroides</w:t>
      </w:r>
      <w:proofErr w:type="spellEnd"/>
      <w:r w:rsidRPr="009C6763">
        <w:rPr>
          <w:rFonts w:ascii="Arial" w:hAnsi="Arial" w:cs="Arial"/>
          <w:sz w:val="20"/>
          <w:szCs w:val="20"/>
        </w:rPr>
        <w:t xml:space="preserve">, and </w:t>
      </w:r>
      <w:proofErr w:type="spellStart"/>
      <w:r w:rsidRPr="009C6763">
        <w:rPr>
          <w:rStyle w:val="Emphasis"/>
          <w:rFonts w:ascii="Arial" w:hAnsi="Arial" w:cs="Arial"/>
          <w:sz w:val="20"/>
          <w:szCs w:val="20"/>
        </w:rPr>
        <w:t>Weissella</w:t>
      </w:r>
      <w:proofErr w:type="spellEnd"/>
      <w:r w:rsidRPr="009C6763">
        <w:rPr>
          <w:rFonts w:ascii="Arial" w:hAnsi="Arial" w:cs="Arial"/>
          <w:sz w:val="20"/>
          <w:szCs w:val="20"/>
        </w:rPr>
        <w:t xml:space="preserve"> spp., commonly reported in fermented vegetable products, are known for their probiotic potential, including modulation of gut microbiota, enhancement of intestinal barrier function, and inhibition of pathogenic microorganisms (Tamang et al., 2016; Di </w:t>
      </w:r>
      <w:proofErr w:type="spellStart"/>
      <w:r w:rsidRPr="009C6763">
        <w:rPr>
          <w:rFonts w:ascii="Arial" w:hAnsi="Arial" w:cs="Arial"/>
          <w:sz w:val="20"/>
          <w:szCs w:val="20"/>
        </w:rPr>
        <w:t>Cagno</w:t>
      </w:r>
      <w:proofErr w:type="spellEnd"/>
      <w:r w:rsidRPr="009C6763">
        <w:rPr>
          <w:rFonts w:ascii="Arial" w:hAnsi="Arial" w:cs="Arial"/>
          <w:sz w:val="20"/>
          <w:szCs w:val="20"/>
        </w:rPr>
        <w:t xml:space="preserve"> et al., 2013). Regular intake of LAB-rich fermented foods has been linked to improved digestive health, reduced gastrointestinal disorders, and enhanced immune response (Marco et al., 2017).</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Kanji is also a rich source of antioxidants, largely derived from black carrots and beetroot, which are high in anthocyanins, </w:t>
      </w:r>
      <w:proofErr w:type="spellStart"/>
      <w:r w:rsidRPr="009C6763">
        <w:rPr>
          <w:rFonts w:ascii="Arial" w:hAnsi="Arial" w:cs="Arial"/>
          <w:sz w:val="20"/>
          <w:szCs w:val="20"/>
        </w:rPr>
        <w:t>betalains</w:t>
      </w:r>
      <w:proofErr w:type="spellEnd"/>
      <w:r w:rsidRPr="009C6763">
        <w:rPr>
          <w:rFonts w:ascii="Arial" w:hAnsi="Arial" w:cs="Arial"/>
          <w:sz w:val="20"/>
          <w:szCs w:val="20"/>
        </w:rPr>
        <w:t>, and phenolic compounds. Fermentation has been shown to increase the bioavailability of these antioxidants by breaking down complex plant matrices and releasing bound phenolics (Singh et al., 2018). These bioactive compounds play a crucial role in scavenging free radicals, thereby reducing oxidative stress and lowering the risk of chronic diseases such as cardiovascular disorders and inflammation-related conditions (</w:t>
      </w:r>
      <w:proofErr w:type="spellStart"/>
      <w:r w:rsidRPr="009C6763">
        <w:rPr>
          <w:rFonts w:ascii="Arial" w:hAnsi="Arial" w:cs="Arial"/>
          <w:sz w:val="20"/>
          <w:szCs w:val="20"/>
        </w:rPr>
        <w:t>Gänzle</w:t>
      </w:r>
      <w:proofErr w:type="spellEnd"/>
      <w:r w:rsidRPr="009C6763">
        <w:rPr>
          <w:rFonts w:ascii="Arial" w:hAnsi="Arial" w:cs="Arial"/>
          <w:sz w:val="20"/>
          <w:szCs w:val="20"/>
        </w:rPr>
        <w:t>, 2015).</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Furthermore, LAB-mediated fermentation leads to the synthesis of short-chain organic acids, bacteriocins, and enzymes that improve nutrient absorption and suppress enteric pathogens. Non-dairy fermented beverages like Kanji have been highlighted as functional alternatives capable of delivering probiotic benefits without the allergenic or cholesterol-related concerns associated with dairy-based products (</w:t>
      </w:r>
      <w:proofErr w:type="spellStart"/>
      <w:r w:rsidRPr="009C6763">
        <w:rPr>
          <w:rFonts w:ascii="Arial" w:hAnsi="Arial" w:cs="Arial"/>
          <w:sz w:val="20"/>
          <w:szCs w:val="20"/>
        </w:rPr>
        <w:t>Panghal</w:t>
      </w:r>
      <w:proofErr w:type="spellEnd"/>
      <w:r w:rsidRPr="009C6763">
        <w:rPr>
          <w:rFonts w:ascii="Arial" w:hAnsi="Arial" w:cs="Arial"/>
          <w:sz w:val="20"/>
          <w:szCs w:val="20"/>
        </w:rPr>
        <w:t xml:space="preserve"> et al., 2018). Collectively, these attributes position Kanji as a culturally significant functional beverage with substantial health-promoting potential.</w:t>
      </w:r>
    </w:p>
    <w:p w:rsidR="00E92EC3" w:rsidRPr="009C6763" w:rsidRDefault="00E92EC3" w:rsidP="00E92EC3">
      <w:pPr>
        <w:pStyle w:val="Heading3"/>
        <w:jc w:val="both"/>
        <w:rPr>
          <w:rFonts w:ascii="Arial" w:hAnsi="Arial" w:cs="Arial"/>
          <w:color w:val="auto"/>
        </w:rPr>
      </w:pPr>
      <w:r w:rsidRPr="009C6763">
        <w:rPr>
          <w:rStyle w:val="Strong"/>
          <w:rFonts w:ascii="Arial" w:hAnsi="Arial" w:cs="Arial"/>
          <w:b/>
          <w:bCs/>
          <w:color w:val="auto"/>
        </w:rPr>
        <w:lastRenderedPageBreak/>
        <w:t xml:space="preserve">6.2 </w:t>
      </w:r>
      <w:r w:rsidR="009C6763" w:rsidRPr="009C6763">
        <w:rPr>
          <w:rStyle w:val="Strong"/>
          <w:rFonts w:ascii="Arial" w:hAnsi="Arial" w:cs="Arial"/>
          <w:b/>
          <w:bCs/>
          <w:color w:val="auto"/>
        </w:rPr>
        <w:t>SAFETY ASPECTS</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Safety is a critical consideration in spontaneously fermented foods, particularly those produced under household or artisanal conditions. In Kanji fermentation, microbial safety is largely ensured through LAB-driven acidification, which rapidly reduces pH to levels inhibitory for spoilage and pathogenic microorganisms such as </w:t>
      </w:r>
      <w:r w:rsidRPr="009C6763">
        <w:rPr>
          <w:rStyle w:val="Emphasis"/>
          <w:rFonts w:ascii="Arial" w:hAnsi="Arial" w:cs="Arial"/>
          <w:sz w:val="20"/>
          <w:szCs w:val="20"/>
        </w:rPr>
        <w:t>Escherichia coli</w:t>
      </w:r>
      <w:r w:rsidRPr="009C6763">
        <w:rPr>
          <w:rFonts w:ascii="Arial" w:hAnsi="Arial" w:cs="Arial"/>
          <w:sz w:val="20"/>
          <w:szCs w:val="20"/>
        </w:rPr>
        <w:t xml:space="preserve">, </w:t>
      </w:r>
      <w:r w:rsidRPr="009C6763">
        <w:rPr>
          <w:rStyle w:val="Emphasis"/>
          <w:rFonts w:ascii="Arial" w:hAnsi="Arial" w:cs="Arial"/>
          <w:sz w:val="20"/>
          <w:szCs w:val="20"/>
        </w:rPr>
        <w:t>Salmonella</w:t>
      </w:r>
      <w:r w:rsidRPr="009C6763">
        <w:rPr>
          <w:rFonts w:ascii="Arial" w:hAnsi="Arial" w:cs="Arial"/>
          <w:sz w:val="20"/>
          <w:szCs w:val="20"/>
        </w:rPr>
        <w:t xml:space="preserve">, and </w:t>
      </w:r>
      <w:r w:rsidRPr="009C6763">
        <w:rPr>
          <w:rStyle w:val="Emphasis"/>
          <w:rFonts w:ascii="Arial" w:hAnsi="Arial" w:cs="Arial"/>
          <w:sz w:val="20"/>
          <w:szCs w:val="20"/>
        </w:rPr>
        <w:t>Staphylococcus aureus</w:t>
      </w:r>
      <w:r w:rsidRPr="009C6763">
        <w:rPr>
          <w:rFonts w:ascii="Arial" w:hAnsi="Arial" w:cs="Arial"/>
          <w:sz w:val="20"/>
          <w:szCs w:val="20"/>
        </w:rPr>
        <w:t xml:space="preserve"> (Tamang et al., 2016). The production of organic acids, hydrogen peroxide, and bacteriocins by LAB further enhances microbial stability and product safety (</w:t>
      </w:r>
      <w:proofErr w:type="spellStart"/>
      <w:r w:rsidRPr="009C6763">
        <w:rPr>
          <w:rFonts w:ascii="Arial" w:hAnsi="Arial" w:cs="Arial"/>
          <w:sz w:val="20"/>
          <w:szCs w:val="20"/>
        </w:rPr>
        <w:t>Gänzle</w:t>
      </w:r>
      <w:proofErr w:type="spellEnd"/>
      <w:r w:rsidRPr="009C6763">
        <w:rPr>
          <w:rFonts w:ascii="Arial" w:hAnsi="Arial" w:cs="Arial"/>
          <w:sz w:val="20"/>
          <w:szCs w:val="20"/>
        </w:rPr>
        <w:t>, 2015).</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Several studies on traditional fermented vegetables have demonstrated that as fermentation progresses, potentially harmful microorganisms present during early stages are outcompeted and eliminated by dominant LAB populations (Di </w:t>
      </w:r>
      <w:proofErr w:type="spellStart"/>
      <w:r w:rsidRPr="009C6763">
        <w:rPr>
          <w:rFonts w:ascii="Arial" w:hAnsi="Arial" w:cs="Arial"/>
          <w:sz w:val="20"/>
          <w:szCs w:val="20"/>
        </w:rPr>
        <w:t>Cagno</w:t>
      </w:r>
      <w:proofErr w:type="spellEnd"/>
      <w:r w:rsidRPr="009C6763">
        <w:rPr>
          <w:rFonts w:ascii="Arial" w:hAnsi="Arial" w:cs="Arial"/>
          <w:sz w:val="20"/>
          <w:szCs w:val="20"/>
        </w:rPr>
        <w:t xml:space="preserve"> et al., 2013; Thierry et al., 2023). This natural microbial succession underscores the importance of proper fermentation duration, hygienic raw materials, and controlled environmental conditions to ensure safety and consistency.</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 xml:space="preserve">From a probiotic perspective, safety assessment of LAB strains isolated from Kanji is essential before their application in functional foods. Such assessments typically include evaluation of antibiotic susceptibility, absence of virulence factors, </w:t>
      </w:r>
      <w:proofErr w:type="spellStart"/>
      <w:r w:rsidRPr="009C6763">
        <w:rPr>
          <w:rFonts w:ascii="Arial" w:hAnsi="Arial" w:cs="Arial"/>
          <w:sz w:val="20"/>
          <w:szCs w:val="20"/>
        </w:rPr>
        <w:t>hemolytic</w:t>
      </w:r>
      <w:proofErr w:type="spellEnd"/>
      <w:r w:rsidRPr="009C6763">
        <w:rPr>
          <w:rFonts w:ascii="Arial" w:hAnsi="Arial" w:cs="Arial"/>
          <w:sz w:val="20"/>
          <w:szCs w:val="20"/>
        </w:rPr>
        <w:t xml:space="preserve"> activity, and biogenic amine production (Marco et al., 2017). LAB associated with traditional vegetable fermentations are generally regarded as safe (GRAS) or have Qualified Presumption of Safety (QPS) status, further supporting the safe consumption of fermented beverages like Kanji (Tamang et al., 2016).</w:t>
      </w:r>
    </w:p>
    <w:p w:rsidR="00E92EC3" w:rsidRPr="00E92EC3" w:rsidRDefault="00E92EC3" w:rsidP="00E92EC3">
      <w:pPr>
        <w:pStyle w:val="NormalWeb"/>
        <w:jc w:val="both"/>
        <w:rPr>
          <w:rFonts w:ascii="Arial" w:hAnsi="Arial" w:cs="Arial"/>
          <w:sz w:val="20"/>
          <w:szCs w:val="20"/>
        </w:rPr>
      </w:pPr>
      <w:r w:rsidRPr="009C6763">
        <w:rPr>
          <w:rFonts w:ascii="Arial" w:hAnsi="Arial" w:cs="Arial"/>
          <w:sz w:val="20"/>
          <w:szCs w:val="20"/>
        </w:rPr>
        <w:t>However, variability in household fermentation practices may influence microbial quality, highlighting the need for standardized preparation protocols and microbial monitoring. Integration of conventional microbiological techniques with molecular identification approaches can help ensure product safety, strain authenticity, and functional reliability, thereby facilitating the potential commercialization of Kanji as a functional probiotic beverage (Thierry et al., 2023).</w:t>
      </w:r>
    </w:p>
    <w:p w:rsidR="00E92EC3" w:rsidRPr="00E92EC3" w:rsidRDefault="00E92EC3" w:rsidP="00E92EC3">
      <w:pPr>
        <w:spacing w:before="100" w:beforeAutospacing="1" w:after="100" w:afterAutospacing="1" w:line="240" w:lineRule="auto"/>
        <w:jc w:val="both"/>
        <w:outlineLvl w:val="1"/>
        <w:rPr>
          <w:rFonts w:ascii="Arial" w:eastAsia="Times New Roman" w:hAnsi="Arial" w:cs="Arial"/>
          <w:b/>
          <w:bCs/>
          <w:sz w:val="20"/>
          <w:szCs w:val="20"/>
          <w:lang w:eastAsia="en-IN"/>
        </w:rPr>
      </w:pPr>
      <w:r w:rsidRPr="009C6763">
        <w:rPr>
          <w:rFonts w:ascii="Arial" w:eastAsia="Times New Roman" w:hAnsi="Arial" w:cs="Arial"/>
          <w:b/>
          <w:bCs/>
          <w:sz w:val="20"/>
          <w:szCs w:val="20"/>
          <w:lang w:eastAsia="en-IN"/>
        </w:rPr>
        <w:t xml:space="preserve">7. </w:t>
      </w:r>
      <w:r w:rsidR="009C6763" w:rsidRPr="009C6763">
        <w:rPr>
          <w:rFonts w:ascii="Arial" w:eastAsia="Times New Roman" w:hAnsi="Arial" w:cs="Arial"/>
          <w:b/>
          <w:bCs/>
          <w:lang w:eastAsia="en-IN"/>
        </w:rPr>
        <w:t>CHALLENGES, GAPS, AND FUTURE PROSPECTS</w:t>
      </w:r>
    </w:p>
    <w:p w:rsidR="00E92EC3" w:rsidRPr="00E92EC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 xml:space="preserve">Although Kanji is a culturally significant and nutritionally rich fermented beverage, scientific exploration of its microbiology and functional potential is still limited compared to many other traditional fermented foods. One of the major challenges is the </w:t>
      </w:r>
      <w:r w:rsidRPr="009C6763">
        <w:rPr>
          <w:rFonts w:ascii="Arial" w:eastAsia="Times New Roman" w:hAnsi="Arial" w:cs="Arial"/>
          <w:bCs/>
          <w:sz w:val="20"/>
          <w:szCs w:val="20"/>
          <w:lang w:eastAsia="en-IN"/>
        </w:rPr>
        <w:t>lack of standardization</w:t>
      </w:r>
      <w:r w:rsidRPr="00E92EC3">
        <w:rPr>
          <w:rFonts w:ascii="Arial" w:eastAsia="Times New Roman" w:hAnsi="Arial" w:cs="Arial"/>
          <w:sz w:val="20"/>
          <w:szCs w:val="20"/>
          <w:lang w:eastAsia="en-IN"/>
        </w:rPr>
        <w:t xml:space="preserve"> in production practices. Kanji is typically prepared in households or small-scale settings using variable raw material quality, fermentation time, temperature, and hygiene conditions. These inconsistencies result in fluctuations in microbial composition, sensory attributes, and safety levels, making it difficult to establish a standardized product profile. The absence of defined starter cultures or controlled fermentation parameters also limits its commercialization potential and reproducibility, which are essential for ensuring consistent probiotic and functional properties.</w:t>
      </w:r>
    </w:p>
    <w:p w:rsidR="00E92EC3" w:rsidRPr="00E92EC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 xml:space="preserve">Another significant gap is the </w:t>
      </w:r>
      <w:r w:rsidRPr="009C6763">
        <w:rPr>
          <w:rFonts w:ascii="Arial" w:eastAsia="Times New Roman" w:hAnsi="Arial" w:cs="Arial"/>
          <w:bCs/>
          <w:sz w:val="20"/>
          <w:szCs w:val="20"/>
          <w:lang w:eastAsia="en-IN"/>
        </w:rPr>
        <w:t>limited molecular studies</w:t>
      </w:r>
      <w:r w:rsidRPr="00E92EC3">
        <w:rPr>
          <w:rFonts w:ascii="Arial" w:eastAsia="Times New Roman" w:hAnsi="Arial" w:cs="Arial"/>
          <w:sz w:val="20"/>
          <w:szCs w:val="20"/>
          <w:lang w:eastAsia="en-IN"/>
        </w:rPr>
        <w:t xml:space="preserve"> specifically focused on Kanji. While some research has explored the microbiota of fermented vegetables and beverages broadly, targeted molecular studies on Kanji’s microbial ecology remain scarce. Conventional culture-dependent methods are useful for isolating and characterizing viable microbes, but they cannot detect non-culturable microorganisms or fully capture community dynamics during fermentation. As a result, the current understanding of Kanji’s microbial diversity, strain-level characterization, and functional potential is incomplete, hindering the identification of key probiotic strains and bioactive metabolites.</w:t>
      </w:r>
    </w:p>
    <w:p w:rsidR="00E92EC3" w:rsidRPr="00E92EC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t xml:space="preserve">To address these limitations, there is a strong need to adopt </w:t>
      </w:r>
      <w:r w:rsidRPr="009C6763">
        <w:rPr>
          <w:rFonts w:ascii="Arial" w:eastAsia="Times New Roman" w:hAnsi="Arial" w:cs="Arial"/>
          <w:bCs/>
          <w:sz w:val="20"/>
          <w:szCs w:val="20"/>
          <w:lang w:eastAsia="en-IN"/>
        </w:rPr>
        <w:t>omics approaches</w:t>
      </w:r>
      <w:r w:rsidRPr="00E92EC3">
        <w:rPr>
          <w:rFonts w:ascii="Arial" w:eastAsia="Times New Roman" w:hAnsi="Arial" w:cs="Arial"/>
          <w:sz w:val="20"/>
          <w:szCs w:val="20"/>
          <w:lang w:eastAsia="en-IN"/>
        </w:rPr>
        <w:t xml:space="preserve"> such as metagenomics, </w:t>
      </w:r>
      <w:proofErr w:type="spellStart"/>
      <w:r w:rsidRPr="00E92EC3">
        <w:rPr>
          <w:rFonts w:ascii="Arial" w:eastAsia="Times New Roman" w:hAnsi="Arial" w:cs="Arial"/>
          <w:sz w:val="20"/>
          <w:szCs w:val="20"/>
          <w:lang w:eastAsia="en-IN"/>
        </w:rPr>
        <w:t>metatranscriptomics</w:t>
      </w:r>
      <w:proofErr w:type="spellEnd"/>
      <w:r w:rsidRPr="00E92EC3">
        <w:rPr>
          <w:rFonts w:ascii="Arial" w:eastAsia="Times New Roman" w:hAnsi="Arial" w:cs="Arial"/>
          <w:sz w:val="20"/>
          <w:szCs w:val="20"/>
          <w:lang w:eastAsia="en-IN"/>
        </w:rPr>
        <w:t>, proteomics, and metabolomics. These techniques can provide comprehensive insights into microbial diversity, functional genes, metabolic pathways, and interactions among microbes during fermentation. Metagenomic sequencing can reveal the complete microbial community structure, including unculturable taxa, while metabolomics can identify bioactive compounds responsible for antioxidant, antimicrobial, and health-promoting properties. Integrating omics data with traditional microbiology can facilitate the development of standardized starter cultures, improve safety and quality, and enable the commercialization of Kanji as a scientifically validated functional beverage.</w:t>
      </w:r>
    </w:p>
    <w:p w:rsidR="00E92EC3" w:rsidRPr="009C6763" w:rsidRDefault="00E92EC3" w:rsidP="00E92EC3">
      <w:pPr>
        <w:spacing w:before="100" w:beforeAutospacing="1" w:after="100" w:afterAutospacing="1" w:line="240" w:lineRule="auto"/>
        <w:jc w:val="both"/>
        <w:rPr>
          <w:rFonts w:ascii="Arial" w:eastAsia="Times New Roman" w:hAnsi="Arial" w:cs="Arial"/>
          <w:sz w:val="20"/>
          <w:szCs w:val="20"/>
          <w:lang w:eastAsia="en-IN"/>
        </w:rPr>
      </w:pPr>
      <w:r w:rsidRPr="00E92EC3">
        <w:rPr>
          <w:rFonts w:ascii="Arial" w:eastAsia="Times New Roman" w:hAnsi="Arial" w:cs="Arial"/>
          <w:sz w:val="20"/>
          <w:szCs w:val="20"/>
          <w:lang w:eastAsia="en-IN"/>
        </w:rPr>
        <w:lastRenderedPageBreak/>
        <w:t>Future research should focus on systematic characterization of Kanji fermentation across different regions, raw materials, and fermentation conditions to build a comprehensive database of microbial diversity and functional traits. Studies should also evaluate the probiotic efficacy of isolated strains through in vitro and in vivo assays, including gastrointestinal survival, adhesion to intestinal cells, antimicrobial activity, and immunomodulatory effects. Additionally, the development of controlled fermentation models and pilot-scale production can help translate traditional knowledge into scalable technology while preserving the unique sensory identity of Kanji. Overall, bridging these gaps will contribute to the scientific validation and global recognition of Kanji as a functional fermented beverage with significant health benefits.</w:t>
      </w:r>
    </w:p>
    <w:p w:rsidR="00E92EC3" w:rsidRPr="009C6763" w:rsidRDefault="00E92EC3" w:rsidP="00E92EC3">
      <w:pPr>
        <w:pStyle w:val="Heading2"/>
        <w:jc w:val="both"/>
        <w:rPr>
          <w:rFonts w:ascii="Arial" w:hAnsi="Arial" w:cs="Arial"/>
          <w:sz w:val="22"/>
          <w:szCs w:val="22"/>
        </w:rPr>
      </w:pPr>
      <w:r w:rsidRPr="009C6763">
        <w:rPr>
          <w:rStyle w:val="Strong"/>
          <w:rFonts w:ascii="Arial" w:hAnsi="Arial" w:cs="Arial"/>
          <w:b/>
          <w:bCs/>
          <w:sz w:val="22"/>
          <w:szCs w:val="22"/>
        </w:rPr>
        <w:t xml:space="preserve">8) </w:t>
      </w:r>
      <w:r w:rsidR="009C6763" w:rsidRPr="009C6763">
        <w:rPr>
          <w:rStyle w:val="Strong"/>
          <w:rFonts w:ascii="Arial" w:hAnsi="Arial" w:cs="Arial"/>
          <w:b/>
          <w:bCs/>
          <w:sz w:val="22"/>
          <w:szCs w:val="22"/>
        </w:rPr>
        <w:t>CONCLUSION</w:t>
      </w:r>
    </w:p>
    <w:p w:rsidR="00E92EC3" w:rsidRPr="009C6763" w:rsidRDefault="00E92EC3" w:rsidP="00E92EC3">
      <w:pPr>
        <w:pStyle w:val="NormalWeb"/>
        <w:jc w:val="both"/>
        <w:rPr>
          <w:rFonts w:ascii="Arial" w:hAnsi="Arial" w:cs="Arial"/>
          <w:sz w:val="20"/>
          <w:szCs w:val="20"/>
        </w:rPr>
      </w:pPr>
      <w:r w:rsidRPr="009C6763">
        <w:rPr>
          <w:rFonts w:ascii="Arial" w:hAnsi="Arial" w:cs="Arial"/>
          <w:sz w:val="20"/>
          <w:szCs w:val="20"/>
        </w:rPr>
        <w:t>Kanji, a traditional fermented beverage widely consumed in northern India, represents an important cultural and nutritional asset with promising functional and probiotic potential. Its spontaneous fermentation is primarily driven by lactic acid bacteria, supported by yeasts and other associated microorganisms, which together contribute to the unique sensory profile, enhanced nutritional value, and microbial safety of the product. Conventional microbiological techniques such as SPC, isolation methods, and biochemical tests provide foundational understanding of microbial load and phenotypic characteristics, while molecular identification approaches like 16S rRNA sequencing and phylogenetic analysis offer higher accuracy and deeper insights into microbial diversity and evolutionary relationships.</w:t>
      </w:r>
    </w:p>
    <w:p w:rsidR="00E92EC3" w:rsidRDefault="00E92EC3" w:rsidP="00E92EC3">
      <w:pPr>
        <w:pStyle w:val="NormalWeb"/>
        <w:jc w:val="both"/>
        <w:rPr>
          <w:rFonts w:ascii="Arial" w:hAnsi="Arial" w:cs="Arial"/>
          <w:sz w:val="20"/>
          <w:szCs w:val="20"/>
        </w:rPr>
      </w:pPr>
      <w:r w:rsidRPr="009C6763">
        <w:rPr>
          <w:rFonts w:ascii="Arial" w:hAnsi="Arial" w:cs="Arial"/>
          <w:sz w:val="20"/>
          <w:szCs w:val="20"/>
        </w:rPr>
        <w:t>The probiotic and functional potential of Kanji is largely attributed to its LAB population, fermentation-derived organic acids, and antioxidant compounds derived from raw materials like black carrot and beetroot. These attributes suggest potential health benefits such as improved gut health, enhanced immunity, and reduced oxidative stress. However, challenges such as lack of standardization, limited molecular studies, and absence of omics-based research hinder the full scientific validation and commercialization of Kanji.</w:t>
      </w:r>
      <w:bookmarkStart w:id="0" w:name="_GoBack"/>
      <w:bookmarkEnd w:id="0"/>
    </w:p>
    <w:p w:rsidR="007A142B" w:rsidRDefault="00E92EC3" w:rsidP="009C6763">
      <w:pPr>
        <w:pStyle w:val="NormalWeb"/>
        <w:jc w:val="both"/>
        <w:rPr>
          <w:rFonts w:ascii="Arial" w:hAnsi="Arial" w:cs="Arial"/>
          <w:sz w:val="20"/>
          <w:szCs w:val="20"/>
        </w:rPr>
      </w:pPr>
      <w:r w:rsidRPr="009C6763">
        <w:rPr>
          <w:rFonts w:ascii="Arial" w:hAnsi="Arial" w:cs="Arial"/>
          <w:sz w:val="20"/>
          <w:szCs w:val="20"/>
        </w:rPr>
        <w:t>Future research focusing on standardized fermentation protocols, comprehensive molecular characterization, and advanced omics approaches will be essential to unlock the full potential of Kanji. By integrating traditional knowledge with modern scientific tools, Kanji can be developed as a safe, consistent, and commercially viable functional beverage, thereby preserving cultural heritage while contributing to public health and food innovation.</w:t>
      </w:r>
    </w:p>
    <w:p w:rsidR="0088513E" w:rsidRDefault="0088513E" w:rsidP="009C6763">
      <w:pPr>
        <w:pStyle w:val="NormalWeb"/>
        <w:jc w:val="both"/>
        <w:rPr>
          <w:rStyle w:val="Strong"/>
          <w:rFonts w:ascii="Arial" w:hAnsi="Arial" w:cs="Arial"/>
          <w:b w:val="0"/>
          <w:bCs w:val="0"/>
          <w:sz w:val="20"/>
          <w:szCs w:val="20"/>
        </w:rPr>
      </w:pPr>
    </w:p>
    <w:p w:rsidR="0088513E" w:rsidRPr="006D64AE" w:rsidRDefault="0088513E" w:rsidP="0088513E">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1" w:name="_Hlk218867759"/>
      <w:bookmarkStart w:id="2" w:name="_Hlk219125673"/>
      <w:r w:rsidRPr="006D64AE">
        <w:rPr>
          <w:rFonts w:ascii="Times New Roman" w:eastAsia="Times New Roman" w:hAnsi="Times New Roman" w:cs="Times New Roman"/>
          <w:bCs/>
          <w:sz w:val="24"/>
          <w:szCs w:val="24"/>
          <w:highlight w:val="yellow"/>
          <w:lang w:eastAsia="en-IN"/>
        </w:rPr>
        <w:t>Disclaimer (Artificial intelligence)</w:t>
      </w:r>
    </w:p>
    <w:p w:rsidR="0088513E" w:rsidRPr="006D64AE" w:rsidRDefault="0088513E" w:rsidP="0088513E">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p>
    <w:bookmarkEnd w:id="1"/>
    <w:p w:rsidR="0088513E" w:rsidRDefault="0088513E" w:rsidP="0088513E">
      <w:pPr>
        <w:rPr>
          <w:sz w:val="28"/>
        </w:rPr>
      </w:pPr>
    </w:p>
    <w:bookmarkEnd w:id="2"/>
    <w:p w:rsidR="0088513E" w:rsidRPr="009C6763" w:rsidRDefault="0088513E" w:rsidP="009C6763">
      <w:pPr>
        <w:pStyle w:val="NormalWeb"/>
        <w:jc w:val="both"/>
        <w:rPr>
          <w:rStyle w:val="Strong"/>
          <w:rFonts w:ascii="Arial" w:hAnsi="Arial" w:cs="Arial"/>
          <w:b w:val="0"/>
          <w:bCs w:val="0"/>
          <w:sz w:val="20"/>
          <w:szCs w:val="20"/>
        </w:rPr>
      </w:pPr>
    </w:p>
    <w:p w:rsidR="00EC40D9" w:rsidRPr="009C6763" w:rsidRDefault="009C6763" w:rsidP="00E92EC3">
      <w:pPr>
        <w:pStyle w:val="Heading2"/>
        <w:jc w:val="both"/>
        <w:rPr>
          <w:rFonts w:ascii="Arial" w:hAnsi="Arial" w:cs="Arial"/>
          <w:sz w:val="22"/>
          <w:szCs w:val="22"/>
        </w:rPr>
      </w:pPr>
      <w:r w:rsidRPr="009C6763">
        <w:rPr>
          <w:rStyle w:val="Strong"/>
          <w:rFonts w:ascii="Arial" w:hAnsi="Arial" w:cs="Arial"/>
          <w:b/>
          <w:bCs/>
          <w:sz w:val="22"/>
          <w:szCs w:val="22"/>
        </w:rPr>
        <w:t>REFERENCES</w:t>
      </w:r>
    </w:p>
    <w:p w:rsidR="00043C91" w:rsidRPr="004C14D1" w:rsidRDefault="00043C91" w:rsidP="00043C91">
      <w:pPr>
        <w:pStyle w:val="ListParagraph"/>
        <w:widowControl/>
        <w:numPr>
          <w:ilvl w:val="0"/>
          <w:numId w:val="10"/>
        </w:numPr>
        <w:autoSpaceDE/>
        <w:autoSpaceDN/>
        <w:spacing w:after="200" w:line="276" w:lineRule="auto"/>
        <w:contextualSpacing/>
        <w:rPr>
          <w:rFonts w:ascii="Arial" w:hAnsi="Arial" w:cs="Arial"/>
          <w:color w:val="222222"/>
          <w:sz w:val="20"/>
          <w:szCs w:val="20"/>
          <w:shd w:val="clear" w:color="auto" w:fill="FFFFFF"/>
        </w:rPr>
      </w:pPr>
      <w:proofErr w:type="spellStart"/>
      <w:r w:rsidRPr="004C14D1">
        <w:rPr>
          <w:rFonts w:ascii="Arial" w:hAnsi="Arial" w:cs="Arial"/>
          <w:color w:val="222222"/>
          <w:sz w:val="20"/>
          <w:szCs w:val="20"/>
          <w:shd w:val="clear" w:color="auto" w:fill="FFFFFF"/>
        </w:rPr>
        <w:t>Adejobi</w:t>
      </w:r>
      <w:proofErr w:type="spellEnd"/>
      <w:r w:rsidRPr="004C14D1">
        <w:rPr>
          <w:rFonts w:ascii="Arial" w:hAnsi="Arial" w:cs="Arial"/>
          <w:color w:val="222222"/>
          <w:sz w:val="20"/>
          <w:szCs w:val="20"/>
          <w:shd w:val="clear" w:color="auto" w:fill="FFFFFF"/>
        </w:rPr>
        <w:t xml:space="preserve">, T. H., </w:t>
      </w:r>
      <w:proofErr w:type="spellStart"/>
      <w:r w:rsidRPr="004C14D1">
        <w:rPr>
          <w:rFonts w:ascii="Arial" w:hAnsi="Arial" w:cs="Arial"/>
          <w:color w:val="222222"/>
          <w:sz w:val="20"/>
          <w:szCs w:val="20"/>
          <w:shd w:val="clear" w:color="auto" w:fill="FFFFFF"/>
        </w:rPr>
        <w:t>Fagbemi</w:t>
      </w:r>
      <w:proofErr w:type="spellEnd"/>
      <w:r w:rsidRPr="004C14D1">
        <w:rPr>
          <w:rFonts w:ascii="Arial" w:hAnsi="Arial" w:cs="Arial"/>
          <w:color w:val="222222"/>
          <w:sz w:val="20"/>
          <w:szCs w:val="20"/>
          <w:shd w:val="clear" w:color="auto" w:fill="FFFFFF"/>
        </w:rPr>
        <w:t xml:space="preserve">, S. A., </w:t>
      </w:r>
      <w:proofErr w:type="spellStart"/>
      <w:r w:rsidRPr="004C14D1">
        <w:rPr>
          <w:rFonts w:ascii="Arial" w:hAnsi="Arial" w:cs="Arial"/>
          <w:color w:val="222222"/>
          <w:sz w:val="20"/>
          <w:szCs w:val="20"/>
          <w:shd w:val="clear" w:color="auto" w:fill="FFFFFF"/>
        </w:rPr>
        <w:t>Olorunnusi</w:t>
      </w:r>
      <w:proofErr w:type="spellEnd"/>
      <w:r w:rsidRPr="004C14D1">
        <w:rPr>
          <w:rFonts w:ascii="Arial" w:hAnsi="Arial" w:cs="Arial"/>
          <w:color w:val="222222"/>
          <w:sz w:val="20"/>
          <w:szCs w:val="20"/>
          <w:shd w:val="clear" w:color="auto" w:fill="FFFFFF"/>
        </w:rPr>
        <w:t xml:space="preserve">, J. O., </w:t>
      </w:r>
      <w:proofErr w:type="spellStart"/>
      <w:r w:rsidRPr="004C14D1">
        <w:rPr>
          <w:rFonts w:ascii="Arial" w:hAnsi="Arial" w:cs="Arial"/>
          <w:color w:val="222222"/>
          <w:sz w:val="20"/>
          <w:szCs w:val="20"/>
          <w:shd w:val="clear" w:color="auto" w:fill="FFFFFF"/>
        </w:rPr>
        <w:t>Enujiugha</w:t>
      </w:r>
      <w:proofErr w:type="spellEnd"/>
      <w:r w:rsidRPr="004C14D1">
        <w:rPr>
          <w:rFonts w:ascii="Arial" w:hAnsi="Arial" w:cs="Arial"/>
          <w:color w:val="222222"/>
          <w:sz w:val="20"/>
          <w:szCs w:val="20"/>
          <w:shd w:val="clear" w:color="auto" w:fill="FFFFFF"/>
        </w:rPr>
        <w:t xml:space="preserve">, V. N., </w:t>
      </w:r>
      <w:proofErr w:type="spellStart"/>
      <w:r w:rsidRPr="004C14D1">
        <w:rPr>
          <w:rFonts w:ascii="Arial" w:hAnsi="Arial" w:cs="Arial"/>
          <w:color w:val="222222"/>
          <w:sz w:val="20"/>
          <w:szCs w:val="20"/>
          <w:shd w:val="clear" w:color="auto" w:fill="FFFFFF"/>
        </w:rPr>
        <w:t>Oguntoyinbo</w:t>
      </w:r>
      <w:proofErr w:type="spellEnd"/>
      <w:r w:rsidRPr="004C14D1">
        <w:rPr>
          <w:rFonts w:ascii="Arial" w:hAnsi="Arial" w:cs="Arial"/>
          <w:color w:val="222222"/>
          <w:sz w:val="20"/>
          <w:szCs w:val="20"/>
          <w:shd w:val="clear" w:color="auto" w:fill="FFFFFF"/>
        </w:rPr>
        <w:t>, O. O., &amp; Isaac-</w:t>
      </w:r>
      <w:proofErr w:type="spellStart"/>
      <w:r w:rsidRPr="004C14D1">
        <w:rPr>
          <w:rFonts w:ascii="Arial" w:hAnsi="Arial" w:cs="Arial"/>
          <w:color w:val="222222"/>
          <w:sz w:val="20"/>
          <w:szCs w:val="20"/>
          <w:shd w:val="clear" w:color="auto" w:fill="FFFFFF"/>
        </w:rPr>
        <w:t>Bamgboye</w:t>
      </w:r>
      <w:proofErr w:type="spellEnd"/>
      <w:r w:rsidRPr="004C14D1">
        <w:rPr>
          <w:rFonts w:ascii="Arial" w:hAnsi="Arial" w:cs="Arial"/>
          <w:color w:val="222222"/>
          <w:sz w:val="20"/>
          <w:szCs w:val="20"/>
          <w:shd w:val="clear" w:color="auto" w:fill="FFFFFF"/>
        </w:rPr>
        <w:t>, F. J. (2024). Recent Advances in the Identification and Characterization of Fermentative Microorganisms: An Exploratory Review. </w:t>
      </w:r>
      <w:r w:rsidRPr="004C14D1">
        <w:rPr>
          <w:rFonts w:ascii="Arial" w:hAnsi="Arial" w:cs="Arial"/>
          <w:i/>
          <w:iCs/>
          <w:color w:val="222222"/>
          <w:sz w:val="20"/>
          <w:szCs w:val="20"/>
          <w:shd w:val="clear" w:color="auto" w:fill="FFFFFF"/>
        </w:rPr>
        <w:t>IPS Journal of Applied Microbiology and Biotechnology</w:t>
      </w:r>
      <w:r w:rsidRPr="004C14D1">
        <w:rPr>
          <w:rFonts w:ascii="Arial" w:hAnsi="Arial" w:cs="Arial"/>
          <w:color w:val="222222"/>
          <w:sz w:val="20"/>
          <w:szCs w:val="20"/>
          <w:shd w:val="clear" w:color="auto" w:fill="FFFFFF"/>
        </w:rPr>
        <w:t>, </w:t>
      </w:r>
      <w:r w:rsidRPr="004C14D1">
        <w:rPr>
          <w:rFonts w:ascii="Arial" w:hAnsi="Arial" w:cs="Arial"/>
          <w:i/>
          <w:iCs/>
          <w:color w:val="222222"/>
          <w:sz w:val="20"/>
          <w:szCs w:val="20"/>
          <w:shd w:val="clear" w:color="auto" w:fill="FFFFFF"/>
        </w:rPr>
        <w:t>3</w:t>
      </w:r>
      <w:r w:rsidRPr="004C14D1">
        <w:rPr>
          <w:rFonts w:ascii="Arial" w:hAnsi="Arial" w:cs="Arial"/>
          <w:color w:val="222222"/>
          <w:sz w:val="20"/>
          <w:szCs w:val="20"/>
          <w:shd w:val="clear" w:color="auto" w:fill="FFFFFF"/>
        </w:rPr>
        <w:t>(1), 71-83.</w:t>
      </w:r>
    </w:p>
    <w:p w:rsidR="00043C91" w:rsidRPr="004C14D1" w:rsidRDefault="00043C91" w:rsidP="00043C91">
      <w:pPr>
        <w:pStyle w:val="ListParagraph"/>
        <w:widowControl/>
        <w:numPr>
          <w:ilvl w:val="0"/>
          <w:numId w:val="10"/>
        </w:numPr>
        <w:autoSpaceDE/>
        <w:autoSpaceDN/>
        <w:spacing w:after="200" w:line="276" w:lineRule="auto"/>
        <w:contextualSpacing/>
        <w:rPr>
          <w:rFonts w:ascii="Arial" w:hAnsi="Arial" w:cs="Arial"/>
          <w:color w:val="222222"/>
          <w:sz w:val="20"/>
          <w:szCs w:val="20"/>
          <w:shd w:val="clear" w:color="auto" w:fill="FFFFFF"/>
        </w:rPr>
      </w:pPr>
      <w:proofErr w:type="spellStart"/>
      <w:r w:rsidRPr="004C14D1">
        <w:rPr>
          <w:rFonts w:ascii="Arial" w:hAnsi="Arial" w:cs="Arial"/>
          <w:color w:val="222222"/>
          <w:sz w:val="20"/>
          <w:szCs w:val="20"/>
          <w:shd w:val="clear" w:color="auto" w:fill="FFFFFF"/>
        </w:rPr>
        <w:lastRenderedPageBreak/>
        <w:t>Chudasama</w:t>
      </w:r>
      <w:proofErr w:type="spellEnd"/>
      <w:r w:rsidRPr="004C14D1">
        <w:rPr>
          <w:rFonts w:ascii="Arial" w:hAnsi="Arial" w:cs="Arial"/>
          <w:color w:val="222222"/>
          <w:sz w:val="20"/>
          <w:szCs w:val="20"/>
          <w:shd w:val="clear" w:color="auto" w:fill="FFFFFF"/>
        </w:rPr>
        <w:t>, M., Sharma, H. P., &amp; Pal, M. (2024). Cultured complexity of microbes and attributes of Indian fermented beverages. </w:t>
      </w:r>
      <w:r w:rsidRPr="004C14D1">
        <w:rPr>
          <w:rFonts w:ascii="Arial" w:hAnsi="Arial" w:cs="Arial"/>
          <w:i/>
          <w:iCs/>
          <w:color w:val="222222"/>
          <w:sz w:val="20"/>
          <w:szCs w:val="20"/>
          <w:shd w:val="clear" w:color="auto" w:fill="FFFFFF"/>
        </w:rPr>
        <w:t>Advance in Biological Research</w:t>
      </w:r>
      <w:r w:rsidRPr="004C14D1">
        <w:rPr>
          <w:rFonts w:ascii="Arial" w:hAnsi="Arial" w:cs="Arial"/>
          <w:color w:val="222222"/>
          <w:sz w:val="20"/>
          <w:szCs w:val="20"/>
          <w:shd w:val="clear" w:color="auto" w:fill="FFFFFF"/>
        </w:rPr>
        <w:t>, </w:t>
      </w:r>
      <w:r w:rsidRPr="004C14D1">
        <w:rPr>
          <w:rFonts w:ascii="Arial" w:hAnsi="Arial" w:cs="Arial"/>
          <w:i/>
          <w:iCs/>
          <w:color w:val="222222"/>
          <w:sz w:val="20"/>
          <w:szCs w:val="20"/>
          <w:shd w:val="clear" w:color="auto" w:fill="FFFFFF"/>
        </w:rPr>
        <w:t>5</w:t>
      </w:r>
      <w:r w:rsidRPr="004C14D1">
        <w:rPr>
          <w:rFonts w:ascii="Arial" w:hAnsi="Arial" w:cs="Arial"/>
          <w:color w:val="222222"/>
          <w:sz w:val="20"/>
          <w:szCs w:val="20"/>
          <w:shd w:val="clear" w:color="auto" w:fill="FFFFFF"/>
        </w:rPr>
        <w:t>(1).</w:t>
      </w:r>
    </w:p>
    <w:p w:rsidR="00C656A3" w:rsidRPr="004C14D1" w:rsidRDefault="00C656A3" w:rsidP="00C656A3">
      <w:pPr>
        <w:pStyle w:val="ListParagraph"/>
        <w:widowControl/>
        <w:numPr>
          <w:ilvl w:val="0"/>
          <w:numId w:val="10"/>
        </w:numPr>
        <w:autoSpaceDE/>
        <w:autoSpaceDN/>
        <w:spacing w:after="200" w:line="276" w:lineRule="auto"/>
        <w:contextualSpacing/>
        <w:rPr>
          <w:rFonts w:ascii="Arial" w:hAnsi="Arial" w:cs="Arial"/>
          <w:color w:val="222222"/>
          <w:sz w:val="20"/>
          <w:szCs w:val="20"/>
          <w:shd w:val="clear" w:color="auto" w:fill="FFFFFF"/>
        </w:rPr>
      </w:pPr>
      <w:r w:rsidRPr="004C14D1">
        <w:rPr>
          <w:rFonts w:ascii="Arial" w:hAnsi="Arial" w:cs="Arial"/>
          <w:sz w:val="20"/>
          <w:szCs w:val="20"/>
        </w:rPr>
        <w:t xml:space="preserve">Desai, S. </w:t>
      </w:r>
      <w:proofErr w:type="gramStart"/>
      <w:r w:rsidRPr="004C14D1">
        <w:rPr>
          <w:rFonts w:ascii="Arial" w:hAnsi="Arial" w:cs="Arial"/>
          <w:sz w:val="20"/>
          <w:szCs w:val="20"/>
        </w:rPr>
        <w:t>V.,</w:t>
      </w:r>
      <w:proofErr w:type="spellStart"/>
      <w:r w:rsidRPr="004C14D1">
        <w:rPr>
          <w:rFonts w:ascii="Arial" w:hAnsi="Arial" w:cs="Arial"/>
          <w:color w:val="222222"/>
          <w:sz w:val="20"/>
          <w:szCs w:val="20"/>
          <w:shd w:val="clear" w:color="auto" w:fill="FFFFFF"/>
        </w:rPr>
        <w:t>Hombalimath</w:t>
      </w:r>
      <w:proofErr w:type="spellEnd"/>
      <w:proofErr w:type="gramEnd"/>
      <w:r w:rsidRPr="004C14D1">
        <w:rPr>
          <w:rFonts w:ascii="Arial" w:hAnsi="Arial" w:cs="Arial"/>
          <w:color w:val="222222"/>
          <w:sz w:val="20"/>
          <w:szCs w:val="20"/>
          <w:shd w:val="clear" w:color="auto" w:fill="FFFFFF"/>
        </w:rPr>
        <w:t xml:space="preserve">, V. S., Patil, L. R., </w:t>
      </w:r>
      <w:proofErr w:type="spellStart"/>
      <w:r w:rsidRPr="004C14D1">
        <w:rPr>
          <w:rFonts w:ascii="Arial" w:hAnsi="Arial" w:cs="Arial"/>
          <w:color w:val="222222"/>
          <w:sz w:val="20"/>
          <w:szCs w:val="20"/>
          <w:shd w:val="clear" w:color="auto" w:fill="FFFFFF"/>
        </w:rPr>
        <w:t>Zameer</w:t>
      </w:r>
      <w:proofErr w:type="spellEnd"/>
      <w:r w:rsidRPr="004C14D1">
        <w:rPr>
          <w:rFonts w:ascii="Arial" w:hAnsi="Arial" w:cs="Arial"/>
          <w:color w:val="222222"/>
          <w:sz w:val="20"/>
          <w:szCs w:val="20"/>
          <w:shd w:val="clear" w:color="auto" w:fill="FFFFFF"/>
        </w:rPr>
        <w:t>, F., &amp;</w:t>
      </w:r>
      <w:proofErr w:type="spellStart"/>
      <w:r w:rsidRPr="004C14D1">
        <w:rPr>
          <w:rFonts w:ascii="Arial" w:hAnsi="Arial" w:cs="Arial"/>
          <w:color w:val="222222"/>
          <w:sz w:val="20"/>
          <w:szCs w:val="20"/>
          <w:shd w:val="clear" w:color="auto" w:fill="FFFFFF"/>
        </w:rPr>
        <w:t>Mathad</w:t>
      </w:r>
      <w:proofErr w:type="spellEnd"/>
      <w:r w:rsidRPr="004C14D1">
        <w:rPr>
          <w:rFonts w:ascii="Arial" w:hAnsi="Arial" w:cs="Arial"/>
          <w:color w:val="222222"/>
          <w:sz w:val="20"/>
          <w:szCs w:val="20"/>
          <w:shd w:val="clear" w:color="auto" w:fill="FFFFFF"/>
        </w:rPr>
        <w:t>, S. N. (2025). Indian Probiotic Traditional Foods: Bibliometric Review of Health Impacts and Mechanistic Insights. </w:t>
      </w:r>
      <w:r w:rsidRPr="004C14D1">
        <w:rPr>
          <w:rFonts w:ascii="Arial" w:hAnsi="Arial" w:cs="Arial"/>
          <w:i/>
          <w:iCs/>
          <w:color w:val="222222"/>
          <w:sz w:val="20"/>
          <w:szCs w:val="20"/>
          <w:shd w:val="clear" w:color="auto" w:fill="FFFFFF"/>
        </w:rPr>
        <w:t>Current Research in Nutrition and Food Science Journal</w:t>
      </w:r>
      <w:r w:rsidRPr="004C14D1">
        <w:rPr>
          <w:rFonts w:ascii="Arial" w:hAnsi="Arial" w:cs="Arial"/>
          <w:color w:val="222222"/>
          <w:sz w:val="20"/>
          <w:szCs w:val="20"/>
          <w:shd w:val="clear" w:color="auto" w:fill="FFFFFF"/>
        </w:rPr>
        <w:t>, </w:t>
      </w:r>
      <w:r w:rsidRPr="004C14D1">
        <w:rPr>
          <w:rFonts w:ascii="Arial" w:hAnsi="Arial" w:cs="Arial"/>
          <w:i/>
          <w:iCs/>
          <w:color w:val="222222"/>
          <w:sz w:val="20"/>
          <w:szCs w:val="20"/>
          <w:shd w:val="clear" w:color="auto" w:fill="FFFFFF"/>
        </w:rPr>
        <w:t>13</w:t>
      </w:r>
      <w:r w:rsidRPr="004C14D1">
        <w:rPr>
          <w:rFonts w:ascii="Arial" w:hAnsi="Arial" w:cs="Arial"/>
          <w:color w:val="222222"/>
          <w:sz w:val="20"/>
          <w:szCs w:val="20"/>
          <w:shd w:val="clear" w:color="auto" w:fill="FFFFFF"/>
        </w:rPr>
        <w:t>(3), 1207-1221.</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De </w:t>
      </w:r>
      <w:proofErr w:type="spellStart"/>
      <w:r w:rsidRPr="009C6763">
        <w:rPr>
          <w:rFonts w:ascii="Arial" w:hAnsi="Arial" w:cs="Arial"/>
          <w:sz w:val="20"/>
          <w:szCs w:val="20"/>
        </w:rPr>
        <w:t>Guidi</w:t>
      </w:r>
      <w:proofErr w:type="spellEnd"/>
      <w:r w:rsidRPr="009C6763">
        <w:rPr>
          <w:rFonts w:ascii="Arial" w:hAnsi="Arial" w:cs="Arial"/>
          <w:sz w:val="20"/>
          <w:szCs w:val="20"/>
        </w:rPr>
        <w:t xml:space="preserve">, I., </w:t>
      </w:r>
      <w:proofErr w:type="spellStart"/>
      <w:r w:rsidRPr="009C6763">
        <w:rPr>
          <w:rFonts w:ascii="Arial" w:hAnsi="Arial" w:cs="Arial"/>
          <w:sz w:val="20"/>
          <w:szCs w:val="20"/>
        </w:rPr>
        <w:t>Legras</w:t>
      </w:r>
      <w:proofErr w:type="spellEnd"/>
      <w:r w:rsidRPr="009C6763">
        <w:rPr>
          <w:rFonts w:ascii="Arial" w:hAnsi="Arial" w:cs="Arial"/>
          <w:sz w:val="20"/>
          <w:szCs w:val="20"/>
        </w:rPr>
        <w:t xml:space="preserve">, J.-L., </w:t>
      </w:r>
      <w:proofErr w:type="spellStart"/>
      <w:r w:rsidRPr="009C6763">
        <w:rPr>
          <w:rFonts w:ascii="Arial" w:hAnsi="Arial" w:cs="Arial"/>
          <w:sz w:val="20"/>
          <w:szCs w:val="20"/>
        </w:rPr>
        <w:t>Galeote</w:t>
      </w:r>
      <w:proofErr w:type="spellEnd"/>
      <w:r w:rsidRPr="009C6763">
        <w:rPr>
          <w:rFonts w:ascii="Arial" w:hAnsi="Arial" w:cs="Arial"/>
          <w:sz w:val="20"/>
          <w:szCs w:val="20"/>
        </w:rPr>
        <w:t xml:space="preserve">, V., &amp; Sicard, D. (2023). Yeast domestication in fermented foods and beverages: Past research and new avenues. </w:t>
      </w:r>
      <w:r w:rsidRPr="009C6763">
        <w:rPr>
          <w:rStyle w:val="Emphasis"/>
          <w:rFonts w:ascii="Arial" w:hAnsi="Arial" w:cs="Arial"/>
          <w:sz w:val="20"/>
          <w:szCs w:val="20"/>
        </w:rPr>
        <w:t>Current Opinion in Food Science, 51</w:t>
      </w:r>
      <w:r w:rsidRPr="009C6763">
        <w:rPr>
          <w:rFonts w:ascii="Arial" w:hAnsi="Arial" w:cs="Arial"/>
          <w:sz w:val="20"/>
          <w:szCs w:val="20"/>
        </w:rPr>
        <w:t>, 101032. https://doi.org/10.1016/j.cofs.2023.101032</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Di </w:t>
      </w:r>
      <w:proofErr w:type="spellStart"/>
      <w:r w:rsidRPr="009C6763">
        <w:rPr>
          <w:rFonts w:ascii="Arial" w:hAnsi="Arial" w:cs="Arial"/>
          <w:sz w:val="20"/>
          <w:szCs w:val="20"/>
        </w:rPr>
        <w:t>Cagno</w:t>
      </w:r>
      <w:proofErr w:type="spellEnd"/>
      <w:r w:rsidRPr="009C6763">
        <w:rPr>
          <w:rFonts w:ascii="Arial" w:hAnsi="Arial" w:cs="Arial"/>
          <w:sz w:val="20"/>
          <w:szCs w:val="20"/>
        </w:rPr>
        <w:t>, R., Coda, R., De Angelis, M., &amp;</w:t>
      </w:r>
      <w:proofErr w:type="spellStart"/>
      <w:r w:rsidRPr="009C6763">
        <w:rPr>
          <w:rFonts w:ascii="Arial" w:hAnsi="Arial" w:cs="Arial"/>
          <w:sz w:val="20"/>
          <w:szCs w:val="20"/>
        </w:rPr>
        <w:t>Gobbetti</w:t>
      </w:r>
      <w:proofErr w:type="spellEnd"/>
      <w:r w:rsidRPr="009C6763">
        <w:rPr>
          <w:rFonts w:ascii="Arial" w:hAnsi="Arial" w:cs="Arial"/>
          <w:sz w:val="20"/>
          <w:szCs w:val="20"/>
        </w:rPr>
        <w:t xml:space="preserve">, M. (2013). Exploitation of vegetables and fruits through lactic acid fermentation. </w:t>
      </w:r>
      <w:r w:rsidRPr="009C6763">
        <w:rPr>
          <w:rStyle w:val="Emphasis"/>
          <w:rFonts w:ascii="Arial" w:hAnsi="Arial" w:cs="Arial"/>
          <w:sz w:val="20"/>
          <w:szCs w:val="20"/>
        </w:rPr>
        <w:t>Food Microbiology, 33</w:t>
      </w:r>
      <w:r w:rsidRPr="009C6763">
        <w:rPr>
          <w:rFonts w:ascii="Arial" w:hAnsi="Arial" w:cs="Arial"/>
          <w:sz w:val="20"/>
          <w:szCs w:val="20"/>
        </w:rPr>
        <w:t>(1), 1–10. https://doi.org/10.1016/j.fm.2012.09.003</w:t>
      </w:r>
    </w:p>
    <w:p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Gänzle</w:t>
      </w:r>
      <w:proofErr w:type="spellEnd"/>
      <w:r w:rsidRPr="009C6763">
        <w:rPr>
          <w:rFonts w:ascii="Arial" w:hAnsi="Arial" w:cs="Arial"/>
          <w:sz w:val="20"/>
          <w:szCs w:val="20"/>
        </w:rPr>
        <w:t xml:space="preserve">, M. G. (2015). Lactic metabolism revisited: Metabolism of lactic acid bacteria in food fermentations and food spoilage. </w:t>
      </w:r>
      <w:r w:rsidRPr="009C6763">
        <w:rPr>
          <w:rStyle w:val="Emphasis"/>
          <w:rFonts w:ascii="Arial" w:hAnsi="Arial" w:cs="Arial"/>
          <w:sz w:val="20"/>
          <w:szCs w:val="20"/>
        </w:rPr>
        <w:t>Current Opinion in Food Science, 2</w:t>
      </w:r>
      <w:r w:rsidRPr="009C6763">
        <w:rPr>
          <w:rFonts w:ascii="Arial" w:hAnsi="Arial" w:cs="Arial"/>
          <w:sz w:val="20"/>
          <w:szCs w:val="20"/>
        </w:rPr>
        <w:t xml:space="preserve">, 106–117. </w:t>
      </w:r>
      <w:hyperlink r:id="rId7" w:history="1">
        <w:r w:rsidRPr="009C6763">
          <w:rPr>
            <w:rStyle w:val="Hyperlink"/>
            <w:rFonts w:ascii="Arial" w:hAnsi="Arial" w:cs="Arial"/>
            <w:color w:val="auto"/>
            <w:sz w:val="20"/>
            <w:szCs w:val="20"/>
          </w:rPr>
          <w:t>https://doi.org/10.1016/j.cofs.2015.03.001</w:t>
        </w:r>
      </w:hyperlink>
    </w:p>
    <w:p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Guldiken</w:t>
      </w:r>
      <w:proofErr w:type="spellEnd"/>
      <w:r w:rsidRPr="009C6763">
        <w:rPr>
          <w:rFonts w:ascii="Arial" w:hAnsi="Arial" w:cs="Arial"/>
          <w:sz w:val="20"/>
          <w:szCs w:val="20"/>
        </w:rPr>
        <w:t xml:space="preserve">, B., </w:t>
      </w:r>
      <w:proofErr w:type="spellStart"/>
      <w:r w:rsidRPr="009C6763">
        <w:rPr>
          <w:rFonts w:ascii="Arial" w:hAnsi="Arial" w:cs="Arial"/>
          <w:sz w:val="20"/>
          <w:szCs w:val="20"/>
        </w:rPr>
        <w:t>Toydemir</w:t>
      </w:r>
      <w:proofErr w:type="spellEnd"/>
      <w:r w:rsidRPr="009C6763">
        <w:rPr>
          <w:rFonts w:ascii="Arial" w:hAnsi="Arial" w:cs="Arial"/>
          <w:sz w:val="20"/>
          <w:szCs w:val="20"/>
        </w:rPr>
        <w:t xml:space="preserve">, G., Nur </w:t>
      </w:r>
      <w:proofErr w:type="spellStart"/>
      <w:r w:rsidRPr="009C6763">
        <w:rPr>
          <w:rFonts w:ascii="Arial" w:hAnsi="Arial" w:cs="Arial"/>
          <w:sz w:val="20"/>
          <w:szCs w:val="20"/>
        </w:rPr>
        <w:t>Memis</w:t>
      </w:r>
      <w:proofErr w:type="spellEnd"/>
      <w:r w:rsidRPr="009C6763">
        <w:rPr>
          <w:rFonts w:ascii="Arial" w:hAnsi="Arial" w:cs="Arial"/>
          <w:sz w:val="20"/>
          <w:szCs w:val="20"/>
        </w:rPr>
        <w:t xml:space="preserve">, K., </w:t>
      </w:r>
      <w:proofErr w:type="spellStart"/>
      <w:r w:rsidRPr="009C6763">
        <w:rPr>
          <w:rFonts w:ascii="Arial" w:hAnsi="Arial" w:cs="Arial"/>
          <w:sz w:val="20"/>
          <w:szCs w:val="20"/>
        </w:rPr>
        <w:t>Okur</w:t>
      </w:r>
      <w:proofErr w:type="spellEnd"/>
      <w:r w:rsidRPr="009C6763">
        <w:rPr>
          <w:rFonts w:ascii="Arial" w:hAnsi="Arial" w:cs="Arial"/>
          <w:sz w:val="20"/>
          <w:szCs w:val="20"/>
        </w:rPr>
        <w:t xml:space="preserve">, S., </w:t>
      </w:r>
      <w:proofErr w:type="spellStart"/>
      <w:r w:rsidRPr="009C6763">
        <w:rPr>
          <w:rFonts w:ascii="Arial" w:hAnsi="Arial" w:cs="Arial"/>
          <w:sz w:val="20"/>
          <w:szCs w:val="20"/>
        </w:rPr>
        <w:t>Boyacioglu</w:t>
      </w:r>
      <w:proofErr w:type="spellEnd"/>
      <w:r w:rsidRPr="009C6763">
        <w:rPr>
          <w:rFonts w:ascii="Arial" w:hAnsi="Arial" w:cs="Arial"/>
          <w:sz w:val="20"/>
          <w:szCs w:val="20"/>
        </w:rPr>
        <w:t>, D., &amp;</w:t>
      </w:r>
      <w:proofErr w:type="spellStart"/>
      <w:r w:rsidRPr="009C6763">
        <w:rPr>
          <w:rFonts w:ascii="Arial" w:hAnsi="Arial" w:cs="Arial"/>
          <w:sz w:val="20"/>
          <w:szCs w:val="20"/>
        </w:rPr>
        <w:t>Capanoglu</w:t>
      </w:r>
      <w:proofErr w:type="spellEnd"/>
      <w:r w:rsidRPr="009C6763">
        <w:rPr>
          <w:rFonts w:ascii="Arial" w:hAnsi="Arial" w:cs="Arial"/>
          <w:sz w:val="20"/>
          <w:szCs w:val="20"/>
        </w:rPr>
        <w:t xml:space="preserve">, E. (2016). Antioxidant changes in beetroot during processing. </w:t>
      </w:r>
      <w:r w:rsidRPr="009C6763">
        <w:rPr>
          <w:rStyle w:val="Emphasis"/>
          <w:rFonts w:ascii="Arial" w:hAnsi="Arial" w:cs="Arial"/>
          <w:sz w:val="20"/>
          <w:szCs w:val="20"/>
        </w:rPr>
        <w:t>Journal of Food Composition and Analysis, 46</w:t>
      </w:r>
      <w:r w:rsidRPr="009C6763">
        <w:rPr>
          <w:rFonts w:ascii="Arial" w:hAnsi="Arial" w:cs="Arial"/>
          <w:sz w:val="20"/>
          <w:szCs w:val="20"/>
        </w:rPr>
        <w:t xml:space="preserve">, 36–44. </w:t>
      </w:r>
      <w:hyperlink r:id="rId8" w:history="1">
        <w:r w:rsidRPr="009C6763">
          <w:rPr>
            <w:rStyle w:val="Hyperlink"/>
            <w:rFonts w:ascii="Arial" w:eastAsiaTheme="majorEastAsia" w:hAnsi="Arial" w:cs="Arial"/>
            <w:color w:val="auto"/>
            <w:sz w:val="20"/>
            <w:szCs w:val="20"/>
          </w:rPr>
          <w:t>https://doi.org/10.1016/j.jfca.2015.10.007</w:t>
        </w:r>
      </w:hyperlink>
    </w:p>
    <w:p w:rsidR="00F6022B" w:rsidRPr="009C6763" w:rsidRDefault="00043C91" w:rsidP="00F6022B">
      <w:pPr>
        <w:pStyle w:val="NormalWeb"/>
        <w:numPr>
          <w:ilvl w:val="0"/>
          <w:numId w:val="10"/>
        </w:numPr>
        <w:jc w:val="both"/>
        <w:rPr>
          <w:rFonts w:ascii="Arial" w:hAnsi="Arial" w:cs="Arial"/>
          <w:sz w:val="20"/>
          <w:szCs w:val="20"/>
        </w:rPr>
      </w:pPr>
      <w:proofErr w:type="spellStart"/>
      <w:r>
        <w:rPr>
          <w:rFonts w:ascii="Arial" w:hAnsi="Arial" w:cs="Arial"/>
          <w:sz w:val="20"/>
          <w:szCs w:val="20"/>
        </w:rPr>
        <w:t>Hutkins</w:t>
      </w:r>
      <w:proofErr w:type="spellEnd"/>
      <w:r>
        <w:rPr>
          <w:rFonts w:ascii="Arial" w:hAnsi="Arial" w:cs="Arial"/>
          <w:sz w:val="20"/>
          <w:szCs w:val="20"/>
        </w:rPr>
        <w:t>, R. (2018). Microbiology and technology of fermented</w:t>
      </w:r>
      <w:r w:rsidR="00EF1D9E">
        <w:rPr>
          <w:rFonts w:ascii="Arial" w:hAnsi="Arial" w:cs="Arial"/>
          <w:sz w:val="20"/>
          <w:szCs w:val="20"/>
        </w:rPr>
        <w:t xml:space="preserve"> </w:t>
      </w:r>
      <w:r>
        <w:rPr>
          <w:rFonts w:ascii="Arial" w:hAnsi="Arial" w:cs="Arial"/>
          <w:sz w:val="20"/>
          <w:szCs w:val="20"/>
        </w:rPr>
        <w:t>foods:</w:t>
      </w:r>
      <w:r w:rsidR="00EF1D9E">
        <w:rPr>
          <w:rFonts w:ascii="Arial" w:hAnsi="Arial" w:cs="Arial"/>
          <w:sz w:val="20"/>
          <w:szCs w:val="20"/>
        </w:rPr>
        <w:t xml:space="preserve"> </w:t>
      </w:r>
      <w:r>
        <w:rPr>
          <w:rFonts w:ascii="Arial" w:hAnsi="Arial" w:cs="Arial"/>
          <w:sz w:val="20"/>
          <w:szCs w:val="20"/>
        </w:rPr>
        <w:t>Wil</w:t>
      </w:r>
      <w:r w:rsidR="00EF1D9E">
        <w:rPr>
          <w:rFonts w:ascii="Arial" w:hAnsi="Arial" w:cs="Arial"/>
          <w:sz w:val="20"/>
          <w:szCs w:val="20"/>
        </w:rPr>
        <w:t>e</w:t>
      </w:r>
      <w:r>
        <w:rPr>
          <w:rFonts w:ascii="Arial" w:hAnsi="Arial" w:cs="Arial"/>
          <w:sz w:val="20"/>
          <w:szCs w:val="20"/>
        </w:rPr>
        <w:t>y Blackwell</w:t>
      </w:r>
    </w:p>
    <w:p w:rsidR="00D71648" w:rsidRPr="00D71648" w:rsidRDefault="00D71648" w:rsidP="00AF5FDB">
      <w:pPr>
        <w:pStyle w:val="ListParagraph"/>
        <w:numPr>
          <w:ilvl w:val="0"/>
          <w:numId w:val="10"/>
        </w:numPr>
        <w:tabs>
          <w:tab w:val="left" w:pos="2158"/>
          <w:tab w:val="left" w:pos="2160"/>
        </w:tabs>
        <w:ind w:right="356"/>
        <w:rPr>
          <w:rFonts w:ascii="Arial" w:hAnsi="Arial" w:cs="Arial"/>
          <w:sz w:val="20"/>
          <w:szCs w:val="20"/>
        </w:rPr>
      </w:pPr>
      <w:proofErr w:type="spellStart"/>
      <w:r w:rsidRPr="004C14D1">
        <w:rPr>
          <w:rFonts w:ascii="Arial" w:hAnsi="Arial" w:cs="Arial"/>
          <w:color w:val="222222"/>
          <w:sz w:val="20"/>
          <w:szCs w:val="20"/>
          <w:shd w:val="clear" w:color="auto" w:fill="FFFFFF"/>
        </w:rPr>
        <w:t>Kandiraju</w:t>
      </w:r>
      <w:proofErr w:type="spellEnd"/>
      <w:r w:rsidRPr="004C14D1">
        <w:rPr>
          <w:rFonts w:ascii="Arial" w:hAnsi="Arial" w:cs="Arial"/>
          <w:color w:val="222222"/>
          <w:sz w:val="20"/>
          <w:szCs w:val="20"/>
          <w:shd w:val="clear" w:color="auto" w:fill="FFFFFF"/>
        </w:rPr>
        <w:t xml:space="preserve">, S. R., Dey, B., </w:t>
      </w:r>
      <w:proofErr w:type="spellStart"/>
      <w:r w:rsidRPr="004C14D1">
        <w:rPr>
          <w:rFonts w:ascii="Arial" w:hAnsi="Arial" w:cs="Arial"/>
          <w:color w:val="222222"/>
          <w:sz w:val="20"/>
          <w:szCs w:val="20"/>
          <w:shd w:val="clear" w:color="auto" w:fill="FFFFFF"/>
        </w:rPr>
        <w:t>KarthikaParvathy</w:t>
      </w:r>
      <w:proofErr w:type="spellEnd"/>
      <w:r w:rsidRPr="004C14D1">
        <w:rPr>
          <w:rFonts w:ascii="Arial" w:hAnsi="Arial" w:cs="Arial"/>
          <w:color w:val="222222"/>
          <w:sz w:val="20"/>
          <w:szCs w:val="20"/>
          <w:shd w:val="clear" w:color="auto" w:fill="FFFFFF"/>
        </w:rPr>
        <w:t>, K. R., Balasubramanian, P., &amp;Venugopal, A. P. (2025). Biotechnological Innovations in Fermented Traditional Beverages. In </w:t>
      </w:r>
      <w:r w:rsidRPr="004C14D1">
        <w:rPr>
          <w:rFonts w:ascii="Arial" w:hAnsi="Arial" w:cs="Arial"/>
          <w:i/>
          <w:iCs/>
          <w:color w:val="222222"/>
          <w:sz w:val="20"/>
          <w:szCs w:val="20"/>
          <w:shd w:val="clear" w:color="auto" w:fill="FFFFFF"/>
        </w:rPr>
        <w:t>Biotechnological Innovations in Food Processing: Transforming the Future of Nutrition and Sustainability</w:t>
      </w:r>
      <w:r w:rsidRPr="004C14D1">
        <w:rPr>
          <w:rFonts w:ascii="Arial" w:hAnsi="Arial" w:cs="Arial"/>
          <w:color w:val="222222"/>
          <w:sz w:val="20"/>
          <w:szCs w:val="20"/>
          <w:shd w:val="clear" w:color="auto" w:fill="FFFFFF"/>
        </w:rPr>
        <w:t> (pp. 253-292). Cham: Springer Nature Switzerland</w:t>
      </w:r>
    </w:p>
    <w:p w:rsidR="00AF5FDB" w:rsidRPr="004C14D1" w:rsidRDefault="00AF5FDB" w:rsidP="00AF5FDB">
      <w:pPr>
        <w:pStyle w:val="ListParagraph"/>
        <w:numPr>
          <w:ilvl w:val="0"/>
          <w:numId w:val="10"/>
        </w:numPr>
        <w:tabs>
          <w:tab w:val="left" w:pos="2158"/>
          <w:tab w:val="left" w:pos="2160"/>
        </w:tabs>
        <w:ind w:right="356"/>
        <w:rPr>
          <w:rFonts w:ascii="Arial" w:hAnsi="Arial" w:cs="Arial"/>
          <w:sz w:val="20"/>
          <w:szCs w:val="20"/>
        </w:rPr>
      </w:pPr>
      <w:r w:rsidRPr="004C14D1">
        <w:rPr>
          <w:rFonts w:ascii="Arial" w:hAnsi="Arial" w:cs="Arial"/>
          <w:sz w:val="20"/>
          <w:szCs w:val="20"/>
        </w:rPr>
        <w:t xml:space="preserve">Kingston, J. J., Radhika, M., </w:t>
      </w:r>
      <w:proofErr w:type="spellStart"/>
      <w:r w:rsidRPr="004C14D1">
        <w:rPr>
          <w:rFonts w:ascii="Arial" w:hAnsi="Arial" w:cs="Arial"/>
          <w:sz w:val="20"/>
          <w:szCs w:val="20"/>
        </w:rPr>
        <w:t>Roshini</w:t>
      </w:r>
      <w:proofErr w:type="spellEnd"/>
      <w:r w:rsidRPr="004C14D1">
        <w:rPr>
          <w:rFonts w:ascii="Arial" w:hAnsi="Arial" w:cs="Arial"/>
          <w:sz w:val="20"/>
          <w:szCs w:val="20"/>
        </w:rPr>
        <w:t xml:space="preserve">, P. T., Raksha, A., &amp;Murali, H. S. (2010). Molecular characterization of lactic acid bacteria recovered from natural fermentation of beet root and carrot Kanji. </w:t>
      </w:r>
      <w:r w:rsidRPr="004C14D1">
        <w:rPr>
          <w:rFonts w:ascii="Arial" w:hAnsi="Arial" w:cs="Arial"/>
          <w:i/>
          <w:sz w:val="20"/>
          <w:szCs w:val="20"/>
        </w:rPr>
        <w:t>Indian Journal of Microbiology, 50</w:t>
      </w:r>
      <w:r w:rsidRPr="004C14D1">
        <w:rPr>
          <w:rFonts w:ascii="Arial" w:hAnsi="Arial" w:cs="Arial"/>
          <w:sz w:val="20"/>
          <w:szCs w:val="20"/>
        </w:rPr>
        <w:t xml:space="preserve">(3), 292–298. </w:t>
      </w:r>
      <w:hyperlink r:id="rId9">
        <w:r w:rsidRPr="004C14D1">
          <w:rPr>
            <w:rFonts w:ascii="Arial" w:hAnsi="Arial" w:cs="Arial"/>
            <w:sz w:val="20"/>
            <w:szCs w:val="20"/>
            <w:u w:val="single"/>
          </w:rPr>
          <w:t>https://doi.org/10.1007/s12088-</w:t>
        </w:r>
      </w:hyperlink>
      <w:hyperlink r:id="rId10">
        <w:r w:rsidRPr="004C14D1">
          <w:rPr>
            <w:rFonts w:ascii="Arial" w:hAnsi="Arial" w:cs="Arial"/>
            <w:spacing w:val="-2"/>
            <w:sz w:val="20"/>
            <w:szCs w:val="20"/>
            <w:u w:val="single"/>
          </w:rPr>
          <w:t>010-0046-0</w:t>
        </w:r>
      </w:hyperlink>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Marco, M. L., Heeney, D., Binda, S., Cifelli, C. J., Cotter, P. D., </w:t>
      </w:r>
      <w:proofErr w:type="spellStart"/>
      <w:r w:rsidRPr="009C6763">
        <w:rPr>
          <w:rFonts w:ascii="Arial" w:hAnsi="Arial" w:cs="Arial"/>
          <w:sz w:val="20"/>
          <w:szCs w:val="20"/>
        </w:rPr>
        <w:t>Foligné</w:t>
      </w:r>
      <w:proofErr w:type="spellEnd"/>
      <w:r w:rsidRPr="009C6763">
        <w:rPr>
          <w:rFonts w:ascii="Arial" w:hAnsi="Arial" w:cs="Arial"/>
          <w:sz w:val="20"/>
          <w:szCs w:val="20"/>
        </w:rPr>
        <w:t xml:space="preserve">, B., </w:t>
      </w:r>
      <w:proofErr w:type="spellStart"/>
      <w:r w:rsidRPr="009C6763">
        <w:rPr>
          <w:rFonts w:ascii="Arial" w:hAnsi="Arial" w:cs="Arial"/>
          <w:sz w:val="20"/>
          <w:szCs w:val="20"/>
        </w:rPr>
        <w:t>Gänzle</w:t>
      </w:r>
      <w:proofErr w:type="spellEnd"/>
      <w:r w:rsidRPr="009C6763">
        <w:rPr>
          <w:rFonts w:ascii="Arial" w:hAnsi="Arial" w:cs="Arial"/>
          <w:sz w:val="20"/>
          <w:szCs w:val="20"/>
        </w:rPr>
        <w:t xml:space="preserve">, M., </w:t>
      </w:r>
      <w:proofErr w:type="spellStart"/>
      <w:r w:rsidRPr="009C6763">
        <w:rPr>
          <w:rFonts w:ascii="Arial" w:hAnsi="Arial" w:cs="Arial"/>
          <w:sz w:val="20"/>
          <w:szCs w:val="20"/>
        </w:rPr>
        <w:t>Kort</w:t>
      </w:r>
      <w:proofErr w:type="spellEnd"/>
      <w:r w:rsidRPr="009C6763">
        <w:rPr>
          <w:rFonts w:ascii="Arial" w:hAnsi="Arial" w:cs="Arial"/>
          <w:sz w:val="20"/>
          <w:szCs w:val="20"/>
        </w:rPr>
        <w:t xml:space="preserve">, R., </w:t>
      </w:r>
      <w:proofErr w:type="spellStart"/>
      <w:r w:rsidRPr="009C6763">
        <w:rPr>
          <w:rFonts w:ascii="Arial" w:hAnsi="Arial" w:cs="Arial"/>
          <w:sz w:val="20"/>
          <w:szCs w:val="20"/>
        </w:rPr>
        <w:t>Pasin</w:t>
      </w:r>
      <w:proofErr w:type="spellEnd"/>
      <w:r w:rsidRPr="009C6763">
        <w:rPr>
          <w:rFonts w:ascii="Arial" w:hAnsi="Arial" w:cs="Arial"/>
          <w:sz w:val="20"/>
          <w:szCs w:val="20"/>
        </w:rPr>
        <w:t xml:space="preserve">, G., </w:t>
      </w:r>
      <w:proofErr w:type="spellStart"/>
      <w:r w:rsidRPr="009C6763">
        <w:rPr>
          <w:rFonts w:ascii="Arial" w:hAnsi="Arial" w:cs="Arial"/>
          <w:sz w:val="20"/>
          <w:szCs w:val="20"/>
        </w:rPr>
        <w:t>Pihlanto</w:t>
      </w:r>
      <w:proofErr w:type="spellEnd"/>
      <w:r w:rsidRPr="009C6763">
        <w:rPr>
          <w:rFonts w:ascii="Arial" w:hAnsi="Arial" w:cs="Arial"/>
          <w:sz w:val="20"/>
          <w:szCs w:val="20"/>
        </w:rPr>
        <w:t xml:space="preserve">, A., </w:t>
      </w:r>
      <w:proofErr w:type="spellStart"/>
      <w:r w:rsidRPr="009C6763">
        <w:rPr>
          <w:rFonts w:ascii="Arial" w:hAnsi="Arial" w:cs="Arial"/>
          <w:sz w:val="20"/>
          <w:szCs w:val="20"/>
        </w:rPr>
        <w:t>Smid</w:t>
      </w:r>
      <w:proofErr w:type="spellEnd"/>
      <w:r w:rsidRPr="009C6763">
        <w:rPr>
          <w:rFonts w:ascii="Arial" w:hAnsi="Arial" w:cs="Arial"/>
          <w:sz w:val="20"/>
          <w:szCs w:val="20"/>
        </w:rPr>
        <w:t>, E. J., &amp;</w:t>
      </w:r>
      <w:proofErr w:type="spellStart"/>
      <w:r w:rsidRPr="009C6763">
        <w:rPr>
          <w:rFonts w:ascii="Arial" w:hAnsi="Arial" w:cs="Arial"/>
          <w:sz w:val="20"/>
          <w:szCs w:val="20"/>
        </w:rPr>
        <w:t>Hutkins</w:t>
      </w:r>
      <w:proofErr w:type="spellEnd"/>
      <w:r w:rsidRPr="009C6763">
        <w:rPr>
          <w:rFonts w:ascii="Arial" w:hAnsi="Arial" w:cs="Arial"/>
          <w:sz w:val="20"/>
          <w:szCs w:val="20"/>
        </w:rPr>
        <w:t xml:space="preserve">, R. (2017). Health benefits of fermented foods: Microbiota and beyond. </w:t>
      </w:r>
      <w:r w:rsidRPr="009C6763">
        <w:rPr>
          <w:rStyle w:val="Emphasis"/>
          <w:rFonts w:ascii="Arial" w:hAnsi="Arial" w:cs="Arial"/>
          <w:sz w:val="20"/>
          <w:szCs w:val="20"/>
        </w:rPr>
        <w:t>Current Opinion in Biotechnology, 44</w:t>
      </w:r>
      <w:r w:rsidRPr="009C6763">
        <w:rPr>
          <w:rFonts w:ascii="Arial" w:hAnsi="Arial" w:cs="Arial"/>
          <w:sz w:val="20"/>
          <w:szCs w:val="20"/>
        </w:rPr>
        <w:t>, 94–102. https://doi.org/10.1016/j.copbio.2016.11.010</w:t>
      </w:r>
    </w:p>
    <w:p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Panghal</w:t>
      </w:r>
      <w:proofErr w:type="spellEnd"/>
      <w:r w:rsidRPr="009C6763">
        <w:rPr>
          <w:rFonts w:ascii="Arial" w:hAnsi="Arial" w:cs="Arial"/>
          <w:sz w:val="20"/>
          <w:szCs w:val="20"/>
        </w:rPr>
        <w:t xml:space="preserve">, A., </w:t>
      </w:r>
      <w:proofErr w:type="spellStart"/>
      <w:r w:rsidRPr="009C6763">
        <w:rPr>
          <w:rFonts w:ascii="Arial" w:hAnsi="Arial" w:cs="Arial"/>
          <w:sz w:val="20"/>
          <w:szCs w:val="20"/>
        </w:rPr>
        <w:t>Janghu</w:t>
      </w:r>
      <w:proofErr w:type="spellEnd"/>
      <w:r w:rsidRPr="009C6763">
        <w:rPr>
          <w:rFonts w:ascii="Arial" w:hAnsi="Arial" w:cs="Arial"/>
          <w:sz w:val="20"/>
          <w:szCs w:val="20"/>
        </w:rPr>
        <w:t xml:space="preserve">, S., </w:t>
      </w:r>
      <w:proofErr w:type="spellStart"/>
      <w:r w:rsidRPr="009C6763">
        <w:rPr>
          <w:rFonts w:ascii="Arial" w:hAnsi="Arial" w:cs="Arial"/>
          <w:sz w:val="20"/>
          <w:szCs w:val="20"/>
        </w:rPr>
        <w:t>Virkar</w:t>
      </w:r>
      <w:proofErr w:type="spellEnd"/>
      <w:r w:rsidRPr="009C6763">
        <w:rPr>
          <w:rFonts w:ascii="Arial" w:hAnsi="Arial" w:cs="Arial"/>
          <w:sz w:val="20"/>
          <w:szCs w:val="20"/>
        </w:rPr>
        <w:t>, K., Gat, Y., Kumar, V., &amp;</w:t>
      </w:r>
      <w:proofErr w:type="spellStart"/>
      <w:r w:rsidRPr="009C6763">
        <w:rPr>
          <w:rFonts w:ascii="Arial" w:hAnsi="Arial" w:cs="Arial"/>
          <w:sz w:val="20"/>
          <w:szCs w:val="20"/>
        </w:rPr>
        <w:t>Chhikara</w:t>
      </w:r>
      <w:proofErr w:type="spellEnd"/>
      <w:r w:rsidRPr="009C6763">
        <w:rPr>
          <w:rFonts w:ascii="Arial" w:hAnsi="Arial" w:cs="Arial"/>
          <w:sz w:val="20"/>
          <w:szCs w:val="20"/>
        </w:rPr>
        <w:t xml:space="preserve">, N. (2018). Potential non-dairy probiotic products – A healthy approach. </w:t>
      </w:r>
      <w:r w:rsidRPr="009C6763">
        <w:rPr>
          <w:rStyle w:val="Emphasis"/>
          <w:rFonts w:ascii="Arial" w:hAnsi="Arial" w:cs="Arial"/>
          <w:sz w:val="20"/>
          <w:szCs w:val="20"/>
        </w:rPr>
        <w:t>Food Bioscience, 21</w:t>
      </w:r>
      <w:r w:rsidRPr="009C6763">
        <w:rPr>
          <w:rFonts w:ascii="Arial" w:hAnsi="Arial" w:cs="Arial"/>
          <w:sz w:val="20"/>
          <w:szCs w:val="20"/>
        </w:rPr>
        <w:t xml:space="preserve">, 80–89. </w:t>
      </w:r>
      <w:hyperlink r:id="rId11" w:history="1">
        <w:r w:rsidRPr="009C6763">
          <w:rPr>
            <w:rStyle w:val="Hyperlink"/>
            <w:rFonts w:ascii="Arial" w:hAnsi="Arial" w:cs="Arial"/>
            <w:color w:val="auto"/>
            <w:sz w:val="20"/>
            <w:szCs w:val="20"/>
          </w:rPr>
          <w:t>https://doi.org/10.1016/j.fbio.2017.12.003</w:t>
        </w:r>
      </w:hyperlink>
    </w:p>
    <w:p w:rsidR="00043C91" w:rsidRPr="004C14D1" w:rsidRDefault="00043C91" w:rsidP="00043C91">
      <w:pPr>
        <w:pStyle w:val="ListParagraph"/>
        <w:numPr>
          <w:ilvl w:val="0"/>
          <w:numId w:val="10"/>
        </w:numPr>
        <w:tabs>
          <w:tab w:val="left" w:pos="2158"/>
          <w:tab w:val="left" w:pos="2160"/>
          <w:tab w:val="left" w:pos="3875"/>
          <w:tab w:val="left" w:pos="5604"/>
          <w:tab w:val="left" w:pos="6768"/>
          <w:tab w:val="left" w:pos="8645"/>
          <w:tab w:val="left" w:pos="9635"/>
        </w:tabs>
        <w:ind w:right="357"/>
        <w:rPr>
          <w:rFonts w:ascii="Arial" w:hAnsi="Arial" w:cs="Arial"/>
          <w:sz w:val="20"/>
          <w:szCs w:val="20"/>
        </w:rPr>
      </w:pPr>
      <w:r w:rsidRPr="004C14D1">
        <w:rPr>
          <w:rFonts w:ascii="Arial" w:hAnsi="Arial" w:cs="Arial"/>
          <w:color w:val="222222"/>
          <w:sz w:val="20"/>
          <w:szCs w:val="20"/>
          <w:shd w:val="clear" w:color="auto" w:fill="FFFFFF"/>
        </w:rPr>
        <w:t xml:space="preserve">Paul, C., </w:t>
      </w:r>
      <w:proofErr w:type="spellStart"/>
      <w:r w:rsidRPr="004C14D1">
        <w:rPr>
          <w:rFonts w:ascii="Arial" w:hAnsi="Arial" w:cs="Arial"/>
          <w:color w:val="222222"/>
          <w:sz w:val="20"/>
          <w:szCs w:val="20"/>
          <w:shd w:val="clear" w:color="auto" w:fill="FFFFFF"/>
        </w:rPr>
        <w:t>Mishu</w:t>
      </w:r>
      <w:proofErr w:type="spellEnd"/>
      <w:r w:rsidRPr="004C14D1">
        <w:rPr>
          <w:rFonts w:ascii="Arial" w:hAnsi="Arial" w:cs="Arial"/>
          <w:color w:val="222222"/>
          <w:sz w:val="20"/>
          <w:szCs w:val="20"/>
          <w:shd w:val="clear" w:color="auto" w:fill="FFFFFF"/>
        </w:rPr>
        <w:t>, I. D., Miah, M. I., Bari, M. L., Rahman, S. R., &amp;Malek, M. A. (2023). Isolation, identification and probiotic potential of lactic acid bacteria and yeasts from commercial yogurt and homemade non-dairy fermented food “KANJI”. </w:t>
      </w:r>
      <w:r w:rsidRPr="004C14D1">
        <w:rPr>
          <w:rFonts w:ascii="Arial" w:hAnsi="Arial" w:cs="Arial"/>
          <w:i/>
          <w:iCs/>
          <w:color w:val="222222"/>
          <w:sz w:val="20"/>
          <w:szCs w:val="20"/>
          <w:shd w:val="clear" w:color="auto" w:fill="FFFFFF"/>
        </w:rPr>
        <w:t>International Journal of Gastronomy and Food Science</w:t>
      </w:r>
      <w:r w:rsidRPr="004C14D1">
        <w:rPr>
          <w:rFonts w:ascii="Arial" w:hAnsi="Arial" w:cs="Arial"/>
          <w:color w:val="222222"/>
          <w:sz w:val="20"/>
          <w:szCs w:val="20"/>
          <w:shd w:val="clear" w:color="auto" w:fill="FFFFFF"/>
        </w:rPr>
        <w:t>, </w:t>
      </w:r>
      <w:r w:rsidRPr="004C14D1">
        <w:rPr>
          <w:rFonts w:ascii="Arial" w:hAnsi="Arial" w:cs="Arial"/>
          <w:i/>
          <w:iCs/>
          <w:color w:val="222222"/>
          <w:sz w:val="20"/>
          <w:szCs w:val="20"/>
          <w:shd w:val="clear" w:color="auto" w:fill="FFFFFF"/>
        </w:rPr>
        <w:t>34</w:t>
      </w:r>
      <w:r w:rsidRPr="004C14D1">
        <w:rPr>
          <w:rFonts w:ascii="Arial" w:hAnsi="Arial" w:cs="Arial"/>
          <w:color w:val="222222"/>
          <w:sz w:val="20"/>
          <w:szCs w:val="20"/>
          <w:shd w:val="clear" w:color="auto" w:fill="FFFFFF"/>
        </w:rPr>
        <w:t>, 100787</w:t>
      </w:r>
    </w:p>
    <w:p w:rsidR="00AF5FDB" w:rsidRPr="00AF5FDB" w:rsidRDefault="00AF5FDB" w:rsidP="00F6022B">
      <w:pPr>
        <w:pStyle w:val="NormalWeb"/>
        <w:numPr>
          <w:ilvl w:val="0"/>
          <w:numId w:val="10"/>
        </w:numPr>
        <w:jc w:val="both"/>
        <w:rPr>
          <w:rFonts w:ascii="Arial" w:hAnsi="Arial" w:cs="Arial"/>
          <w:sz w:val="20"/>
          <w:szCs w:val="20"/>
        </w:rPr>
      </w:pPr>
      <w:r w:rsidRPr="004C14D1">
        <w:rPr>
          <w:rFonts w:ascii="Arial" w:hAnsi="Arial" w:cs="Arial"/>
          <w:color w:val="222222"/>
          <w:sz w:val="20"/>
          <w:szCs w:val="20"/>
          <w:shd w:val="clear" w:color="auto" w:fill="FFFFFF"/>
        </w:rPr>
        <w:t xml:space="preserve">Ray, R. C., </w:t>
      </w:r>
      <w:proofErr w:type="spellStart"/>
      <w:r w:rsidRPr="004C14D1">
        <w:rPr>
          <w:rFonts w:ascii="Arial" w:hAnsi="Arial" w:cs="Arial"/>
          <w:color w:val="222222"/>
          <w:sz w:val="20"/>
          <w:szCs w:val="20"/>
          <w:shd w:val="clear" w:color="auto" w:fill="FFFFFF"/>
        </w:rPr>
        <w:t>Paramithiotis</w:t>
      </w:r>
      <w:proofErr w:type="spellEnd"/>
      <w:r w:rsidRPr="004C14D1">
        <w:rPr>
          <w:rFonts w:ascii="Arial" w:hAnsi="Arial" w:cs="Arial"/>
          <w:color w:val="222222"/>
          <w:sz w:val="20"/>
          <w:szCs w:val="20"/>
          <w:shd w:val="clear" w:color="auto" w:fill="FFFFFF"/>
        </w:rPr>
        <w:t xml:space="preserve">, S., </w:t>
      </w:r>
      <w:proofErr w:type="spellStart"/>
      <w:r w:rsidRPr="004C14D1">
        <w:rPr>
          <w:rFonts w:ascii="Arial" w:hAnsi="Arial" w:cs="Arial"/>
          <w:color w:val="222222"/>
          <w:sz w:val="20"/>
          <w:szCs w:val="20"/>
          <w:shd w:val="clear" w:color="auto" w:fill="FFFFFF"/>
        </w:rPr>
        <w:t>Thekkangil</w:t>
      </w:r>
      <w:proofErr w:type="spellEnd"/>
      <w:r w:rsidRPr="004C14D1">
        <w:rPr>
          <w:rFonts w:ascii="Arial" w:hAnsi="Arial" w:cs="Arial"/>
          <w:color w:val="222222"/>
          <w:sz w:val="20"/>
          <w:szCs w:val="20"/>
          <w:shd w:val="clear" w:color="auto" w:fill="FFFFFF"/>
        </w:rPr>
        <w:t xml:space="preserve">, A., </w:t>
      </w:r>
      <w:proofErr w:type="spellStart"/>
      <w:r w:rsidRPr="004C14D1">
        <w:rPr>
          <w:rFonts w:ascii="Arial" w:hAnsi="Arial" w:cs="Arial"/>
          <w:color w:val="222222"/>
          <w:sz w:val="20"/>
          <w:szCs w:val="20"/>
          <w:shd w:val="clear" w:color="auto" w:fill="FFFFFF"/>
        </w:rPr>
        <w:t>Nethravathy</w:t>
      </w:r>
      <w:proofErr w:type="spellEnd"/>
      <w:r w:rsidRPr="004C14D1">
        <w:rPr>
          <w:rFonts w:ascii="Arial" w:hAnsi="Arial" w:cs="Arial"/>
          <w:color w:val="222222"/>
          <w:sz w:val="20"/>
          <w:szCs w:val="20"/>
          <w:shd w:val="clear" w:color="auto" w:fill="FFFFFF"/>
        </w:rPr>
        <w:t>, V., Rai, A. K., &amp; Martin, J. G. P. (2024). Food fermentation and its relevance in the human history. In </w:t>
      </w:r>
      <w:r w:rsidRPr="004C14D1">
        <w:rPr>
          <w:rFonts w:ascii="Arial" w:hAnsi="Arial" w:cs="Arial"/>
          <w:i/>
          <w:iCs/>
          <w:color w:val="222222"/>
          <w:sz w:val="20"/>
          <w:szCs w:val="20"/>
          <w:shd w:val="clear" w:color="auto" w:fill="FFFFFF"/>
        </w:rPr>
        <w:t>Trending topics on fermented foods</w:t>
      </w:r>
      <w:r w:rsidRPr="004C14D1">
        <w:rPr>
          <w:rFonts w:ascii="Arial" w:hAnsi="Arial" w:cs="Arial"/>
          <w:color w:val="222222"/>
          <w:sz w:val="20"/>
          <w:szCs w:val="20"/>
          <w:shd w:val="clear" w:color="auto" w:fill="FFFFFF"/>
        </w:rPr>
        <w:t> (pp. 1-57). Cham: Springer Nature Switzerland.</w:t>
      </w:r>
    </w:p>
    <w:p w:rsidR="00EF1D9E" w:rsidRDefault="00EF1D9E" w:rsidP="00F6022B">
      <w:pPr>
        <w:pStyle w:val="NormalWeb"/>
        <w:numPr>
          <w:ilvl w:val="0"/>
          <w:numId w:val="10"/>
        </w:numPr>
        <w:jc w:val="both"/>
        <w:rPr>
          <w:rFonts w:ascii="Arial" w:hAnsi="Arial" w:cs="Arial"/>
          <w:sz w:val="20"/>
          <w:szCs w:val="20"/>
        </w:rPr>
      </w:pPr>
      <w:proofErr w:type="spellStart"/>
      <w:r>
        <w:rPr>
          <w:rFonts w:ascii="Arial" w:hAnsi="Arial" w:cs="Arial"/>
          <w:sz w:val="20"/>
          <w:szCs w:val="20"/>
        </w:rPr>
        <w:t>Rezac</w:t>
      </w:r>
      <w:proofErr w:type="spellEnd"/>
      <w:r>
        <w:rPr>
          <w:rFonts w:ascii="Arial" w:hAnsi="Arial" w:cs="Arial"/>
          <w:sz w:val="20"/>
          <w:szCs w:val="20"/>
        </w:rPr>
        <w:t xml:space="preserve">, S., </w:t>
      </w:r>
      <w:proofErr w:type="spellStart"/>
      <w:r>
        <w:rPr>
          <w:rFonts w:ascii="Arial" w:hAnsi="Arial" w:cs="Arial"/>
          <w:sz w:val="20"/>
          <w:szCs w:val="20"/>
        </w:rPr>
        <w:t>Kok</w:t>
      </w:r>
      <w:proofErr w:type="spellEnd"/>
      <w:r>
        <w:rPr>
          <w:rFonts w:ascii="Arial" w:hAnsi="Arial" w:cs="Arial"/>
          <w:sz w:val="20"/>
          <w:szCs w:val="20"/>
        </w:rPr>
        <w:t xml:space="preserve">, C.R., </w:t>
      </w:r>
      <w:proofErr w:type="spellStart"/>
      <w:r>
        <w:rPr>
          <w:rFonts w:ascii="Arial" w:hAnsi="Arial" w:cs="Arial"/>
          <w:sz w:val="20"/>
          <w:szCs w:val="20"/>
        </w:rPr>
        <w:t>Heermann</w:t>
      </w:r>
      <w:proofErr w:type="spellEnd"/>
      <w:r>
        <w:rPr>
          <w:rFonts w:ascii="Arial" w:hAnsi="Arial" w:cs="Arial"/>
          <w:sz w:val="20"/>
          <w:szCs w:val="20"/>
        </w:rPr>
        <w:t xml:space="preserve">, M., &amp; </w:t>
      </w:r>
      <w:proofErr w:type="spellStart"/>
      <w:r>
        <w:rPr>
          <w:rFonts w:ascii="Arial" w:hAnsi="Arial" w:cs="Arial"/>
          <w:sz w:val="20"/>
          <w:szCs w:val="20"/>
        </w:rPr>
        <w:t>Hutkins</w:t>
      </w:r>
      <w:proofErr w:type="spellEnd"/>
      <w:r>
        <w:rPr>
          <w:rFonts w:ascii="Arial" w:hAnsi="Arial" w:cs="Arial"/>
          <w:sz w:val="20"/>
          <w:szCs w:val="20"/>
        </w:rPr>
        <w:t xml:space="preserve">, R. (2018). Fermented foods as a </w:t>
      </w:r>
      <w:proofErr w:type="spellStart"/>
      <w:r>
        <w:rPr>
          <w:rFonts w:ascii="Arial" w:hAnsi="Arial" w:cs="Arial"/>
          <w:sz w:val="20"/>
          <w:szCs w:val="20"/>
        </w:rPr>
        <w:t>dietry</w:t>
      </w:r>
      <w:proofErr w:type="spellEnd"/>
      <w:r>
        <w:rPr>
          <w:rFonts w:ascii="Arial" w:hAnsi="Arial" w:cs="Arial"/>
          <w:sz w:val="20"/>
          <w:szCs w:val="20"/>
        </w:rPr>
        <w:t xml:space="preserve"> source of live organisms. </w:t>
      </w:r>
      <w:r w:rsidRPr="00EF1D9E">
        <w:rPr>
          <w:rFonts w:ascii="Arial" w:hAnsi="Arial" w:cs="Arial"/>
          <w:i/>
          <w:sz w:val="20"/>
          <w:szCs w:val="20"/>
        </w:rPr>
        <w:t>Frontiers in Microbiology</w:t>
      </w:r>
      <w:r>
        <w:rPr>
          <w:rFonts w:ascii="Arial" w:hAnsi="Arial" w:cs="Arial"/>
          <w:sz w:val="20"/>
          <w:szCs w:val="20"/>
        </w:rPr>
        <w:t>,9,1785</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Satish, L., Ramesh, M., &amp; Venkatesh, B. (2019). Traditional fermented foods and beverages of India: A review. </w:t>
      </w:r>
      <w:r w:rsidRPr="009C6763">
        <w:rPr>
          <w:rStyle w:val="Emphasis"/>
          <w:rFonts w:ascii="Arial" w:hAnsi="Arial" w:cs="Arial"/>
          <w:sz w:val="20"/>
          <w:szCs w:val="20"/>
        </w:rPr>
        <w:t>Journal of Ethnic Foods, 6</w:t>
      </w:r>
      <w:r w:rsidRPr="009C6763">
        <w:rPr>
          <w:rFonts w:ascii="Arial" w:hAnsi="Arial" w:cs="Arial"/>
          <w:sz w:val="20"/>
          <w:szCs w:val="20"/>
        </w:rPr>
        <w:t>(1), 1–15. https://doi.org/10.1186/s42779-019-0007-1</w:t>
      </w:r>
    </w:p>
    <w:p w:rsidR="00C656A3" w:rsidRPr="00C656A3" w:rsidRDefault="00C656A3" w:rsidP="00F6022B">
      <w:pPr>
        <w:pStyle w:val="NormalWeb"/>
        <w:numPr>
          <w:ilvl w:val="0"/>
          <w:numId w:val="10"/>
        </w:numPr>
        <w:jc w:val="both"/>
        <w:rPr>
          <w:rFonts w:ascii="Arial" w:hAnsi="Arial" w:cs="Arial"/>
          <w:sz w:val="20"/>
          <w:szCs w:val="20"/>
        </w:rPr>
      </w:pPr>
      <w:r w:rsidRPr="004C14D1">
        <w:rPr>
          <w:rFonts w:ascii="Arial" w:hAnsi="Arial" w:cs="Arial"/>
          <w:color w:val="222222"/>
          <w:sz w:val="20"/>
          <w:szCs w:val="20"/>
          <w:shd w:val="clear" w:color="auto" w:fill="FFFFFF"/>
        </w:rPr>
        <w:t>Singh, A., &amp; Kumar, S. (2025). Exploring the functionality of microbes in fermented foods: technological advancements and future directions. </w:t>
      </w:r>
      <w:r w:rsidRPr="004C14D1">
        <w:rPr>
          <w:rFonts w:ascii="Arial" w:hAnsi="Arial" w:cs="Arial"/>
          <w:i/>
          <w:iCs/>
          <w:color w:val="222222"/>
          <w:sz w:val="20"/>
          <w:szCs w:val="20"/>
          <w:shd w:val="clear" w:color="auto" w:fill="FFFFFF"/>
        </w:rPr>
        <w:t>Fermentation</w:t>
      </w:r>
      <w:r w:rsidRPr="004C14D1">
        <w:rPr>
          <w:rFonts w:ascii="Arial" w:hAnsi="Arial" w:cs="Arial"/>
          <w:color w:val="222222"/>
          <w:sz w:val="20"/>
          <w:szCs w:val="20"/>
          <w:shd w:val="clear" w:color="auto" w:fill="FFFFFF"/>
        </w:rPr>
        <w:t>, </w:t>
      </w:r>
      <w:r w:rsidRPr="004C14D1">
        <w:rPr>
          <w:rFonts w:ascii="Arial" w:hAnsi="Arial" w:cs="Arial"/>
          <w:i/>
          <w:iCs/>
          <w:color w:val="222222"/>
          <w:sz w:val="20"/>
          <w:szCs w:val="20"/>
          <w:shd w:val="clear" w:color="auto" w:fill="FFFFFF"/>
        </w:rPr>
        <w:t>11</w:t>
      </w:r>
      <w:r w:rsidRPr="004C14D1">
        <w:rPr>
          <w:rFonts w:ascii="Arial" w:hAnsi="Arial" w:cs="Arial"/>
          <w:color w:val="222222"/>
          <w:sz w:val="20"/>
          <w:szCs w:val="20"/>
          <w:shd w:val="clear" w:color="auto" w:fill="FFFFFF"/>
        </w:rPr>
        <w:t>(6), 300</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Singh, A., Sharma, P., &amp; </w:t>
      </w:r>
      <w:proofErr w:type="spellStart"/>
      <w:r w:rsidRPr="009C6763">
        <w:rPr>
          <w:rFonts w:ascii="Arial" w:hAnsi="Arial" w:cs="Arial"/>
          <w:sz w:val="20"/>
          <w:szCs w:val="20"/>
        </w:rPr>
        <w:t>Sood</w:t>
      </w:r>
      <w:proofErr w:type="spellEnd"/>
      <w:r w:rsidRPr="009C6763">
        <w:rPr>
          <w:rFonts w:ascii="Arial" w:hAnsi="Arial" w:cs="Arial"/>
          <w:sz w:val="20"/>
          <w:szCs w:val="20"/>
        </w:rPr>
        <w:t xml:space="preserve">, M. (2018). Functional attributes of traditional fermented beverages of India. </w:t>
      </w:r>
      <w:r w:rsidRPr="009C6763">
        <w:rPr>
          <w:rStyle w:val="Emphasis"/>
          <w:rFonts w:ascii="Arial" w:hAnsi="Arial" w:cs="Arial"/>
          <w:sz w:val="20"/>
          <w:szCs w:val="20"/>
        </w:rPr>
        <w:t>International Journal of Food Science and Nutrition, 69</w:t>
      </w:r>
      <w:r w:rsidRPr="009C6763">
        <w:rPr>
          <w:rFonts w:ascii="Arial" w:hAnsi="Arial" w:cs="Arial"/>
          <w:sz w:val="20"/>
          <w:szCs w:val="20"/>
        </w:rPr>
        <w:t>(6), 1–12.</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Singh, B., Sharma, H. K., &amp; Sarkar, B. C. (2018). Optimization of fermentation parameters for antioxidant potential of traditional fermented beverage Kanji. </w:t>
      </w:r>
      <w:r w:rsidRPr="009C6763">
        <w:rPr>
          <w:rStyle w:val="Emphasis"/>
          <w:rFonts w:ascii="Arial" w:hAnsi="Arial" w:cs="Arial"/>
          <w:sz w:val="20"/>
          <w:szCs w:val="20"/>
        </w:rPr>
        <w:t>Journal of Food Science and Technology, 55</w:t>
      </w:r>
      <w:r w:rsidRPr="009C6763">
        <w:rPr>
          <w:rFonts w:ascii="Arial" w:hAnsi="Arial" w:cs="Arial"/>
          <w:sz w:val="20"/>
          <w:szCs w:val="20"/>
        </w:rPr>
        <w:t>(5), 1938–1946. https://doi.org/10.1007/s13197-018-3091-6</w:t>
      </w:r>
    </w:p>
    <w:p w:rsidR="00043C91" w:rsidRPr="004C14D1" w:rsidRDefault="00043C91" w:rsidP="00043C91">
      <w:pPr>
        <w:pStyle w:val="ListParagraph"/>
        <w:widowControl/>
        <w:numPr>
          <w:ilvl w:val="0"/>
          <w:numId w:val="10"/>
        </w:numPr>
        <w:autoSpaceDE/>
        <w:autoSpaceDN/>
        <w:spacing w:after="200" w:line="276" w:lineRule="auto"/>
        <w:contextualSpacing/>
        <w:rPr>
          <w:rFonts w:ascii="Arial" w:hAnsi="Arial" w:cs="Arial"/>
          <w:color w:val="222222"/>
          <w:sz w:val="20"/>
          <w:szCs w:val="20"/>
          <w:shd w:val="clear" w:color="auto" w:fill="FFFFFF"/>
        </w:rPr>
      </w:pPr>
      <w:r w:rsidRPr="004C14D1">
        <w:rPr>
          <w:rFonts w:ascii="Arial" w:hAnsi="Arial" w:cs="Arial"/>
          <w:color w:val="222222"/>
          <w:sz w:val="20"/>
          <w:szCs w:val="20"/>
          <w:shd w:val="clear" w:color="auto" w:fill="FFFFFF"/>
        </w:rPr>
        <w:t>Sha, S. P. (2025). Traditional Fermented Foods of Northeast India: Microbial Diversity and Functionality. In </w:t>
      </w:r>
      <w:r w:rsidRPr="004C14D1">
        <w:rPr>
          <w:rFonts w:ascii="Arial" w:hAnsi="Arial" w:cs="Arial"/>
          <w:i/>
          <w:iCs/>
          <w:color w:val="222222"/>
          <w:sz w:val="20"/>
          <w:szCs w:val="20"/>
          <w:shd w:val="clear" w:color="auto" w:fill="FFFFFF"/>
        </w:rPr>
        <w:t>Fermentation Biotechnology for Functional Foods</w:t>
      </w:r>
      <w:r w:rsidRPr="004C14D1">
        <w:rPr>
          <w:rFonts w:ascii="Arial" w:hAnsi="Arial" w:cs="Arial"/>
          <w:color w:val="222222"/>
          <w:sz w:val="20"/>
          <w:szCs w:val="20"/>
          <w:shd w:val="clear" w:color="auto" w:fill="FFFFFF"/>
        </w:rPr>
        <w:t> (pp. 162-174). CRC Press.</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Tamang, J. P., Watanabe, K., &amp; Holzapfel, W. H. (2016). Review: Diversity of microorganisms in global fermented foods and beverages. </w:t>
      </w:r>
      <w:r w:rsidRPr="009C6763">
        <w:rPr>
          <w:rStyle w:val="Emphasis"/>
          <w:rFonts w:ascii="Arial" w:hAnsi="Arial" w:cs="Arial"/>
          <w:sz w:val="20"/>
          <w:szCs w:val="20"/>
        </w:rPr>
        <w:t>Frontiers in Microbiology, 7</w:t>
      </w:r>
      <w:r w:rsidRPr="009C6763">
        <w:rPr>
          <w:rFonts w:ascii="Arial" w:hAnsi="Arial" w:cs="Arial"/>
          <w:sz w:val="20"/>
          <w:szCs w:val="20"/>
        </w:rPr>
        <w:t xml:space="preserve">, 377. </w:t>
      </w:r>
      <w:hyperlink r:id="rId12" w:history="1">
        <w:r w:rsidRPr="009C6763">
          <w:rPr>
            <w:rStyle w:val="Hyperlink"/>
            <w:rFonts w:ascii="Arial" w:hAnsi="Arial" w:cs="Arial"/>
            <w:color w:val="auto"/>
            <w:sz w:val="20"/>
            <w:szCs w:val="20"/>
          </w:rPr>
          <w:t>https://doi.org/10.3389/fmicb.2016.00377</w:t>
        </w:r>
      </w:hyperlink>
    </w:p>
    <w:p w:rsidR="00EF1D9E" w:rsidRDefault="00EF1D9E" w:rsidP="00F6022B">
      <w:pPr>
        <w:pStyle w:val="NormalWeb"/>
        <w:numPr>
          <w:ilvl w:val="0"/>
          <w:numId w:val="10"/>
        </w:numPr>
        <w:jc w:val="both"/>
        <w:rPr>
          <w:rFonts w:ascii="Arial" w:hAnsi="Arial" w:cs="Arial"/>
          <w:sz w:val="20"/>
          <w:szCs w:val="20"/>
        </w:rPr>
      </w:pPr>
      <w:r>
        <w:rPr>
          <w:rFonts w:ascii="Arial" w:hAnsi="Arial" w:cs="Arial"/>
          <w:sz w:val="20"/>
          <w:szCs w:val="20"/>
        </w:rPr>
        <w:lastRenderedPageBreak/>
        <w:t xml:space="preserve">Tamang, </w:t>
      </w:r>
      <w:proofErr w:type="gramStart"/>
      <w:r>
        <w:rPr>
          <w:rFonts w:ascii="Arial" w:hAnsi="Arial" w:cs="Arial"/>
          <w:sz w:val="20"/>
          <w:szCs w:val="20"/>
        </w:rPr>
        <w:t>J.P.(</w:t>
      </w:r>
      <w:proofErr w:type="gramEnd"/>
      <w:r>
        <w:rPr>
          <w:rFonts w:ascii="Arial" w:hAnsi="Arial" w:cs="Arial"/>
          <w:sz w:val="20"/>
          <w:szCs w:val="20"/>
        </w:rPr>
        <w:t xml:space="preserve">2020). Fermented </w:t>
      </w:r>
      <w:proofErr w:type="spellStart"/>
      <w:r>
        <w:rPr>
          <w:rFonts w:ascii="Arial" w:hAnsi="Arial" w:cs="Arial"/>
          <w:sz w:val="20"/>
          <w:szCs w:val="20"/>
        </w:rPr>
        <w:t>foodsand</w:t>
      </w:r>
      <w:proofErr w:type="spellEnd"/>
      <w:r>
        <w:rPr>
          <w:rFonts w:ascii="Arial" w:hAnsi="Arial" w:cs="Arial"/>
          <w:sz w:val="20"/>
          <w:szCs w:val="20"/>
        </w:rPr>
        <w:t xml:space="preserve"> beverages of the world. CRC Press</w:t>
      </w:r>
    </w:p>
    <w:p w:rsidR="00F6022B" w:rsidRPr="009C6763" w:rsidRDefault="00F6022B" w:rsidP="00F6022B">
      <w:pPr>
        <w:pStyle w:val="NormalWeb"/>
        <w:numPr>
          <w:ilvl w:val="0"/>
          <w:numId w:val="10"/>
        </w:numPr>
        <w:jc w:val="both"/>
        <w:rPr>
          <w:rFonts w:ascii="Arial" w:hAnsi="Arial" w:cs="Arial"/>
          <w:sz w:val="20"/>
          <w:szCs w:val="20"/>
        </w:rPr>
      </w:pPr>
      <w:r w:rsidRPr="009C6763">
        <w:rPr>
          <w:rFonts w:ascii="Arial" w:hAnsi="Arial" w:cs="Arial"/>
          <w:sz w:val="20"/>
          <w:szCs w:val="20"/>
        </w:rPr>
        <w:t xml:space="preserve">Thierry, A., Maillard, M. B., </w:t>
      </w:r>
      <w:proofErr w:type="spellStart"/>
      <w:r w:rsidRPr="009C6763">
        <w:rPr>
          <w:rFonts w:ascii="Arial" w:hAnsi="Arial" w:cs="Arial"/>
          <w:sz w:val="20"/>
          <w:szCs w:val="20"/>
        </w:rPr>
        <w:t>Hervé</w:t>
      </w:r>
      <w:proofErr w:type="spellEnd"/>
      <w:r w:rsidRPr="009C6763">
        <w:rPr>
          <w:rFonts w:ascii="Arial" w:hAnsi="Arial" w:cs="Arial"/>
          <w:sz w:val="20"/>
          <w:szCs w:val="20"/>
        </w:rPr>
        <w:t>, C., &amp;</w:t>
      </w:r>
      <w:proofErr w:type="spellStart"/>
      <w:r w:rsidRPr="009C6763">
        <w:rPr>
          <w:rFonts w:ascii="Arial" w:hAnsi="Arial" w:cs="Arial"/>
          <w:sz w:val="20"/>
          <w:szCs w:val="20"/>
        </w:rPr>
        <w:t>Floquet</w:t>
      </w:r>
      <w:proofErr w:type="spellEnd"/>
      <w:r w:rsidRPr="009C6763">
        <w:rPr>
          <w:rFonts w:ascii="Arial" w:hAnsi="Arial" w:cs="Arial"/>
          <w:sz w:val="20"/>
          <w:szCs w:val="20"/>
        </w:rPr>
        <w:t xml:space="preserve">, S. (2023). Microbial communities of homemade fermented vegetables revealed by high-throughput sequencing. </w:t>
      </w:r>
      <w:r w:rsidRPr="009C6763">
        <w:rPr>
          <w:rStyle w:val="Emphasis"/>
          <w:rFonts w:ascii="Arial" w:hAnsi="Arial" w:cs="Arial"/>
          <w:sz w:val="20"/>
          <w:szCs w:val="20"/>
        </w:rPr>
        <w:t>Frontiers in Microbiology, 14</w:t>
      </w:r>
      <w:r w:rsidRPr="009C6763">
        <w:rPr>
          <w:rFonts w:ascii="Arial" w:hAnsi="Arial" w:cs="Arial"/>
          <w:sz w:val="20"/>
          <w:szCs w:val="20"/>
        </w:rPr>
        <w:t xml:space="preserve">, 1323424. </w:t>
      </w:r>
      <w:hyperlink r:id="rId13" w:history="1">
        <w:r w:rsidRPr="009C6763">
          <w:rPr>
            <w:rStyle w:val="Hyperlink"/>
            <w:rFonts w:ascii="Arial" w:hAnsi="Arial" w:cs="Arial"/>
            <w:color w:val="auto"/>
            <w:sz w:val="20"/>
            <w:szCs w:val="20"/>
          </w:rPr>
          <w:t>https://doi.org/10.3389/fmicb.2023.1323424</w:t>
        </w:r>
      </w:hyperlink>
    </w:p>
    <w:p w:rsidR="00114226" w:rsidRPr="00114226" w:rsidRDefault="00114226" w:rsidP="00F6022B">
      <w:pPr>
        <w:pStyle w:val="ListParagraph"/>
        <w:widowControl/>
        <w:numPr>
          <w:ilvl w:val="0"/>
          <w:numId w:val="10"/>
        </w:numPr>
        <w:autoSpaceDE/>
        <w:autoSpaceDN/>
        <w:spacing w:after="200" w:line="276" w:lineRule="auto"/>
        <w:contextualSpacing/>
        <w:rPr>
          <w:rFonts w:ascii="Arial" w:hAnsi="Arial" w:cs="Arial"/>
          <w:sz w:val="20"/>
          <w:szCs w:val="20"/>
        </w:rPr>
      </w:pPr>
      <w:r w:rsidRPr="00114226">
        <w:rPr>
          <w:rFonts w:ascii="Arial" w:hAnsi="Arial" w:cs="Arial"/>
          <w:color w:val="222222"/>
          <w:sz w:val="20"/>
          <w:szCs w:val="20"/>
          <w:shd w:val="clear" w:color="auto" w:fill="FFFFFF"/>
        </w:rPr>
        <w:t>Thomas, S. S. (2023). </w:t>
      </w:r>
      <w:r w:rsidRPr="00114226">
        <w:rPr>
          <w:rFonts w:ascii="Arial" w:hAnsi="Arial" w:cs="Arial"/>
          <w:i/>
          <w:iCs/>
          <w:color w:val="222222"/>
          <w:sz w:val="20"/>
          <w:szCs w:val="20"/>
          <w:shd w:val="clear" w:color="auto" w:fill="FFFFFF"/>
        </w:rPr>
        <w:t>MICROBIAL MYSTERIES OF INDIA: INDIA’S RICH LEGACY IN MICROBIOLOGY</w:t>
      </w:r>
      <w:r w:rsidRPr="00114226">
        <w:rPr>
          <w:rFonts w:ascii="Arial" w:hAnsi="Arial" w:cs="Arial"/>
          <w:color w:val="222222"/>
          <w:sz w:val="20"/>
          <w:szCs w:val="20"/>
          <w:shd w:val="clear" w:color="auto" w:fill="FFFFFF"/>
        </w:rPr>
        <w:t>. kitab writing publication.</w:t>
      </w:r>
    </w:p>
    <w:p w:rsidR="00D71648" w:rsidRPr="00D71648" w:rsidRDefault="00D71648" w:rsidP="00F6022B">
      <w:pPr>
        <w:pStyle w:val="ListParagraph"/>
        <w:widowControl/>
        <w:numPr>
          <w:ilvl w:val="0"/>
          <w:numId w:val="10"/>
        </w:numPr>
        <w:autoSpaceDE/>
        <w:autoSpaceDN/>
        <w:spacing w:after="200" w:line="276" w:lineRule="auto"/>
        <w:contextualSpacing/>
        <w:rPr>
          <w:rFonts w:ascii="Arial" w:hAnsi="Arial" w:cs="Arial"/>
          <w:sz w:val="20"/>
          <w:szCs w:val="20"/>
        </w:rPr>
      </w:pPr>
      <w:r w:rsidRPr="004C14D1">
        <w:rPr>
          <w:rFonts w:ascii="Arial" w:hAnsi="Arial" w:cs="Arial"/>
          <w:color w:val="222222"/>
          <w:sz w:val="20"/>
          <w:szCs w:val="20"/>
          <w:shd w:val="clear" w:color="auto" w:fill="FFFFFF"/>
        </w:rPr>
        <w:t>Tiwari, S., Paul, J. S., Gupta, N., Verma, D., &amp;Jadhav, S. K. (2023). Ethnic fermented beverages of India. In </w:t>
      </w:r>
      <w:r w:rsidRPr="004C14D1">
        <w:rPr>
          <w:rFonts w:ascii="Arial" w:hAnsi="Arial" w:cs="Arial"/>
          <w:i/>
          <w:iCs/>
          <w:color w:val="222222"/>
          <w:sz w:val="20"/>
          <w:szCs w:val="20"/>
          <w:shd w:val="clear" w:color="auto" w:fill="FFFFFF"/>
        </w:rPr>
        <w:t>Natural Products in Beverages: Botany, Phytochemistry, Pharmacology and Processing</w:t>
      </w:r>
      <w:r w:rsidRPr="004C14D1">
        <w:rPr>
          <w:rFonts w:ascii="Arial" w:hAnsi="Arial" w:cs="Arial"/>
          <w:color w:val="222222"/>
          <w:sz w:val="20"/>
          <w:szCs w:val="20"/>
          <w:shd w:val="clear" w:color="auto" w:fill="FFFFFF"/>
        </w:rPr>
        <w:t> (pp. 1-22). Cham: Springer International Publishing</w:t>
      </w:r>
    </w:p>
    <w:p w:rsidR="00F6022B" w:rsidRPr="00114226" w:rsidRDefault="00F6022B" w:rsidP="00F6022B">
      <w:pPr>
        <w:pStyle w:val="ListParagraph"/>
        <w:widowControl/>
        <w:numPr>
          <w:ilvl w:val="0"/>
          <w:numId w:val="10"/>
        </w:numPr>
        <w:autoSpaceDE/>
        <w:autoSpaceDN/>
        <w:spacing w:after="200" w:line="276" w:lineRule="auto"/>
        <w:contextualSpacing/>
        <w:rPr>
          <w:rFonts w:ascii="Arial" w:hAnsi="Arial" w:cs="Arial"/>
          <w:sz w:val="20"/>
          <w:szCs w:val="20"/>
        </w:rPr>
      </w:pPr>
      <w:proofErr w:type="spellStart"/>
      <w:r w:rsidRPr="00114226">
        <w:rPr>
          <w:rFonts w:ascii="Arial" w:hAnsi="Arial" w:cs="Arial"/>
          <w:sz w:val="20"/>
          <w:szCs w:val="20"/>
        </w:rPr>
        <w:t>Varzakas</w:t>
      </w:r>
      <w:proofErr w:type="spellEnd"/>
      <w:r w:rsidRPr="00114226">
        <w:rPr>
          <w:rFonts w:ascii="Arial" w:hAnsi="Arial" w:cs="Arial"/>
          <w:sz w:val="20"/>
          <w:szCs w:val="20"/>
        </w:rPr>
        <w:t xml:space="preserve">, T. (2023). Microbial diversity of fermented foods. </w:t>
      </w:r>
      <w:r w:rsidRPr="00114226">
        <w:rPr>
          <w:rStyle w:val="Emphasis"/>
          <w:rFonts w:ascii="Arial" w:hAnsi="Arial" w:cs="Arial"/>
          <w:sz w:val="20"/>
          <w:szCs w:val="20"/>
        </w:rPr>
        <w:t>Microorganisms, 11</w:t>
      </w:r>
      <w:r w:rsidRPr="00114226">
        <w:rPr>
          <w:rFonts w:ascii="Arial" w:hAnsi="Arial" w:cs="Arial"/>
          <w:sz w:val="20"/>
          <w:szCs w:val="20"/>
        </w:rPr>
        <w:t xml:space="preserve">(5), 1219. </w:t>
      </w:r>
      <w:hyperlink r:id="rId14" w:history="1">
        <w:r w:rsidRPr="00114226">
          <w:rPr>
            <w:rStyle w:val="Hyperlink"/>
            <w:rFonts w:ascii="Arial" w:hAnsi="Arial" w:cs="Arial"/>
            <w:color w:val="auto"/>
            <w:sz w:val="20"/>
            <w:szCs w:val="20"/>
          </w:rPr>
          <w:t>https://doi.org/10.3390/microorganisms11051219</w:t>
        </w:r>
      </w:hyperlink>
    </w:p>
    <w:p w:rsidR="00F6022B" w:rsidRPr="009C6763" w:rsidRDefault="00F6022B" w:rsidP="00F6022B">
      <w:pPr>
        <w:pStyle w:val="NormalWeb"/>
        <w:numPr>
          <w:ilvl w:val="0"/>
          <w:numId w:val="10"/>
        </w:numPr>
        <w:jc w:val="both"/>
        <w:rPr>
          <w:rFonts w:ascii="Arial" w:hAnsi="Arial" w:cs="Arial"/>
          <w:sz w:val="20"/>
          <w:szCs w:val="20"/>
        </w:rPr>
      </w:pPr>
      <w:proofErr w:type="spellStart"/>
      <w:r w:rsidRPr="009C6763">
        <w:rPr>
          <w:rFonts w:ascii="Arial" w:hAnsi="Arial" w:cs="Arial"/>
          <w:sz w:val="20"/>
          <w:szCs w:val="20"/>
        </w:rPr>
        <w:t>Zabat</w:t>
      </w:r>
      <w:proofErr w:type="spellEnd"/>
      <w:r w:rsidRPr="009C6763">
        <w:rPr>
          <w:rFonts w:ascii="Arial" w:hAnsi="Arial" w:cs="Arial"/>
          <w:sz w:val="20"/>
          <w:szCs w:val="20"/>
        </w:rPr>
        <w:t xml:space="preserve">, M. A., Sano, W. H., Wurster, J. I., Cabral, D. J., </w:t>
      </w:r>
      <w:proofErr w:type="spellStart"/>
      <w:r w:rsidRPr="009C6763">
        <w:rPr>
          <w:rFonts w:ascii="Arial" w:hAnsi="Arial" w:cs="Arial"/>
          <w:sz w:val="20"/>
          <w:szCs w:val="20"/>
        </w:rPr>
        <w:t>Belenky</w:t>
      </w:r>
      <w:proofErr w:type="spellEnd"/>
      <w:r w:rsidRPr="009C6763">
        <w:rPr>
          <w:rFonts w:ascii="Arial" w:hAnsi="Arial" w:cs="Arial"/>
          <w:sz w:val="20"/>
          <w:szCs w:val="20"/>
        </w:rPr>
        <w:t xml:space="preserve">, P., &amp; McNulty, N. P. (2018). Microbial community analysis of sauerkraut fermentation reveals a stable and rapidly established community. </w:t>
      </w:r>
      <w:r w:rsidRPr="009C6763">
        <w:rPr>
          <w:rStyle w:val="Emphasis"/>
          <w:rFonts w:ascii="Arial" w:hAnsi="Arial" w:cs="Arial"/>
          <w:sz w:val="20"/>
          <w:szCs w:val="20"/>
        </w:rPr>
        <w:t>Food Microbiology, 70</w:t>
      </w:r>
      <w:r w:rsidRPr="009C6763">
        <w:rPr>
          <w:rFonts w:ascii="Arial" w:hAnsi="Arial" w:cs="Arial"/>
          <w:sz w:val="20"/>
          <w:szCs w:val="20"/>
        </w:rPr>
        <w:t>, 190–197. https://doi.org/10.1016/j.fm.2017.09.003</w:t>
      </w:r>
    </w:p>
    <w:p w:rsidR="002939D8" w:rsidRPr="009C6763" w:rsidRDefault="002939D8" w:rsidP="00E92EC3">
      <w:pPr>
        <w:jc w:val="both"/>
        <w:rPr>
          <w:rFonts w:ascii="Arial" w:hAnsi="Arial" w:cs="Arial"/>
          <w:sz w:val="20"/>
          <w:szCs w:val="20"/>
        </w:rPr>
      </w:pPr>
    </w:p>
    <w:sectPr w:rsidR="002939D8" w:rsidRPr="009C6763" w:rsidSect="00C32B4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817" w:rsidRDefault="00A73817" w:rsidP="00650DDA">
      <w:pPr>
        <w:spacing w:after="0" w:line="240" w:lineRule="auto"/>
      </w:pPr>
      <w:r>
        <w:separator/>
      </w:r>
    </w:p>
  </w:endnote>
  <w:endnote w:type="continuationSeparator" w:id="0">
    <w:p w:rsidR="00A73817" w:rsidRDefault="00A73817" w:rsidP="0065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DA" w:rsidRDefault="0065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DA" w:rsidRDefault="0065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DA" w:rsidRDefault="0065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817" w:rsidRDefault="00A73817" w:rsidP="00650DDA">
      <w:pPr>
        <w:spacing w:after="0" w:line="240" w:lineRule="auto"/>
      </w:pPr>
      <w:r>
        <w:separator/>
      </w:r>
    </w:p>
  </w:footnote>
  <w:footnote w:type="continuationSeparator" w:id="0">
    <w:p w:rsidR="00A73817" w:rsidRDefault="00A73817" w:rsidP="0065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DA" w:rsidRDefault="00A738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DA" w:rsidRDefault="00A738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DA" w:rsidRDefault="00A738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1AB"/>
    <w:multiLevelType w:val="multilevel"/>
    <w:tmpl w:val="06C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7912"/>
    <w:multiLevelType w:val="multilevel"/>
    <w:tmpl w:val="E67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A67F3"/>
    <w:multiLevelType w:val="multilevel"/>
    <w:tmpl w:val="2FB2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F2901"/>
    <w:multiLevelType w:val="multilevel"/>
    <w:tmpl w:val="81E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54F80"/>
    <w:multiLevelType w:val="hybridMultilevel"/>
    <w:tmpl w:val="687AA74C"/>
    <w:lvl w:ilvl="0" w:tplc="8952731C">
      <w:start w:val="1"/>
      <w:numFmt w:val="decimal"/>
      <w:lvlText w:val="%1."/>
      <w:lvlJc w:val="left"/>
      <w:pPr>
        <w:ind w:left="2160" w:hanging="360"/>
        <w:jc w:val="left"/>
      </w:pPr>
      <w:rPr>
        <w:rFonts w:ascii="Arial MT" w:eastAsia="Arial MT" w:hAnsi="Arial MT" w:cs="Arial MT" w:hint="default"/>
        <w:b w:val="0"/>
        <w:bCs w:val="0"/>
        <w:i w:val="0"/>
        <w:iCs w:val="0"/>
        <w:spacing w:val="-1"/>
        <w:w w:val="99"/>
        <w:sz w:val="20"/>
        <w:szCs w:val="20"/>
        <w:lang w:val="en-US" w:eastAsia="en-US" w:bidi="ar-SA"/>
      </w:rPr>
    </w:lvl>
    <w:lvl w:ilvl="1" w:tplc="72F46884">
      <w:numFmt w:val="bullet"/>
      <w:lvlText w:val="•"/>
      <w:lvlJc w:val="left"/>
      <w:pPr>
        <w:ind w:left="3026" w:hanging="360"/>
      </w:pPr>
      <w:rPr>
        <w:rFonts w:hint="default"/>
        <w:lang w:val="en-US" w:eastAsia="en-US" w:bidi="ar-SA"/>
      </w:rPr>
    </w:lvl>
    <w:lvl w:ilvl="2" w:tplc="044077AC">
      <w:numFmt w:val="bullet"/>
      <w:lvlText w:val="•"/>
      <w:lvlJc w:val="left"/>
      <w:pPr>
        <w:ind w:left="3893" w:hanging="360"/>
      </w:pPr>
      <w:rPr>
        <w:rFonts w:hint="default"/>
        <w:lang w:val="en-US" w:eastAsia="en-US" w:bidi="ar-SA"/>
      </w:rPr>
    </w:lvl>
    <w:lvl w:ilvl="3" w:tplc="96E07EEC">
      <w:numFmt w:val="bullet"/>
      <w:lvlText w:val="•"/>
      <w:lvlJc w:val="left"/>
      <w:pPr>
        <w:ind w:left="4759" w:hanging="360"/>
      </w:pPr>
      <w:rPr>
        <w:rFonts w:hint="default"/>
        <w:lang w:val="en-US" w:eastAsia="en-US" w:bidi="ar-SA"/>
      </w:rPr>
    </w:lvl>
    <w:lvl w:ilvl="4" w:tplc="8F32DA94">
      <w:numFmt w:val="bullet"/>
      <w:lvlText w:val="•"/>
      <w:lvlJc w:val="left"/>
      <w:pPr>
        <w:ind w:left="5626" w:hanging="360"/>
      </w:pPr>
      <w:rPr>
        <w:rFonts w:hint="default"/>
        <w:lang w:val="en-US" w:eastAsia="en-US" w:bidi="ar-SA"/>
      </w:rPr>
    </w:lvl>
    <w:lvl w:ilvl="5" w:tplc="E54C5018">
      <w:numFmt w:val="bullet"/>
      <w:lvlText w:val="•"/>
      <w:lvlJc w:val="left"/>
      <w:pPr>
        <w:ind w:left="6493" w:hanging="360"/>
      </w:pPr>
      <w:rPr>
        <w:rFonts w:hint="default"/>
        <w:lang w:val="en-US" w:eastAsia="en-US" w:bidi="ar-SA"/>
      </w:rPr>
    </w:lvl>
    <w:lvl w:ilvl="6" w:tplc="4202A068">
      <w:numFmt w:val="bullet"/>
      <w:lvlText w:val="•"/>
      <w:lvlJc w:val="left"/>
      <w:pPr>
        <w:ind w:left="7359" w:hanging="360"/>
      </w:pPr>
      <w:rPr>
        <w:rFonts w:hint="default"/>
        <w:lang w:val="en-US" w:eastAsia="en-US" w:bidi="ar-SA"/>
      </w:rPr>
    </w:lvl>
    <w:lvl w:ilvl="7" w:tplc="3E6C20EA">
      <w:numFmt w:val="bullet"/>
      <w:lvlText w:val="•"/>
      <w:lvlJc w:val="left"/>
      <w:pPr>
        <w:ind w:left="8226" w:hanging="360"/>
      </w:pPr>
      <w:rPr>
        <w:rFonts w:hint="default"/>
        <w:lang w:val="en-US" w:eastAsia="en-US" w:bidi="ar-SA"/>
      </w:rPr>
    </w:lvl>
    <w:lvl w:ilvl="8" w:tplc="0EC62F3E">
      <w:numFmt w:val="bullet"/>
      <w:lvlText w:val="•"/>
      <w:lvlJc w:val="left"/>
      <w:pPr>
        <w:ind w:left="9093" w:hanging="360"/>
      </w:pPr>
      <w:rPr>
        <w:rFonts w:hint="default"/>
        <w:lang w:val="en-US" w:eastAsia="en-US" w:bidi="ar-SA"/>
      </w:rPr>
    </w:lvl>
  </w:abstractNum>
  <w:abstractNum w:abstractNumId="5" w15:restartNumberingAfterBreak="0">
    <w:nsid w:val="3456032B"/>
    <w:multiLevelType w:val="multilevel"/>
    <w:tmpl w:val="94E8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A423F"/>
    <w:multiLevelType w:val="multilevel"/>
    <w:tmpl w:val="3AB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31185"/>
    <w:multiLevelType w:val="multilevel"/>
    <w:tmpl w:val="7A1E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07763"/>
    <w:multiLevelType w:val="multilevel"/>
    <w:tmpl w:val="D39E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E6A0C"/>
    <w:multiLevelType w:val="hybridMultilevel"/>
    <w:tmpl w:val="133A0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6D509F"/>
    <w:multiLevelType w:val="multilevel"/>
    <w:tmpl w:val="3FD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3"/>
  </w:num>
  <w:num w:numId="5">
    <w:abstractNumId w:val="1"/>
  </w:num>
  <w:num w:numId="6">
    <w:abstractNumId w:val="0"/>
  </w:num>
  <w:num w:numId="7">
    <w:abstractNumId w:val="8"/>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9D8"/>
    <w:rsid w:val="00003AD4"/>
    <w:rsid w:val="000278B3"/>
    <w:rsid w:val="00043C91"/>
    <w:rsid w:val="000B3BE0"/>
    <w:rsid w:val="00114226"/>
    <w:rsid w:val="001E3F04"/>
    <w:rsid w:val="00291315"/>
    <w:rsid w:val="002939D8"/>
    <w:rsid w:val="002D2853"/>
    <w:rsid w:val="003014B7"/>
    <w:rsid w:val="003A35FE"/>
    <w:rsid w:val="004B4E99"/>
    <w:rsid w:val="004D1EF3"/>
    <w:rsid w:val="00650DDA"/>
    <w:rsid w:val="00736D56"/>
    <w:rsid w:val="00736F01"/>
    <w:rsid w:val="007A142B"/>
    <w:rsid w:val="007F2AFF"/>
    <w:rsid w:val="0088513E"/>
    <w:rsid w:val="008E2275"/>
    <w:rsid w:val="009A3DC4"/>
    <w:rsid w:val="009C6763"/>
    <w:rsid w:val="00A5700C"/>
    <w:rsid w:val="00A73817"/>
    <w:rsid w:val="00AF5FDB"/>
    <w:rsid w:val="00B91525"/>
    <w:rsid w:val="00C32B42"/>
    <w:rsid w:val="00C656A3"/>
    <w:rsid w:val="00CE43A5"/>
    <w:rsid w:val="00D71648"/>
    <w:rsid w:val="00E92EC3"/>
    <w:rsid w:val="00EC40D9"/>
    <w:rsid w:val="00EF1D9E"/>
    <w:rsid w:val="00F00108"/>
    <w:rsid w:val="00F052E4"/>
    <w:rsid w:val="00F4230D"/>
    <w:rsid w:val="00F6022B"/>
    <w:rsid w:val="00FA1F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1DF672"/>
  <w15:docId w15:val="{8C258DCC-8C7F-466E-BD50-E71DCEF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B42"/>
  </w:style>
  <w:style w:type="paragraph" w:styleId="Heading2">
    <w:name w:val="heading 2"/>
    <w:basedOn w:val="Normal"/>
    <w:link w:val="Heading2Char"/>
    <w:uiPriority w:val="9"/>
    <w:qFormat/>
    <w:rsid w:val="00EC40D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C40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9D8"/>
    <w:rPr>
      <w:color w:val="0000FF"/>
      <w:u w:val="single"/>
    </w:rPr>
  </w:style>
  <w:style w:type="character" w:customStyle="1" w:styleId="Heading2Char">
    <w:name w:val="Heading 2 Char"/>
    <w:basedOn w:val="DefaultParagraphFont"/>
    <w:link w:val="Heading2"/>
    <w:uiPriority w:val="9"/>
    <w:rsid w:val="00EC40D9"/>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EC40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C40D9"/>
    <w:rPr>
      <w:i/>
      <w:iCs/>
    </w:rPr>
  </w:style>
  <w:style w:type="character" w:styleId="Strong">
    <w:name w:val="Strong"/>
    <w:basedOn w:val="DefaultParagraphFont"/>
    <w:uiPriority w:val="22"/>
    <w:qFormat/>
    <w:rsid w:val="00EC40D9"/>
    <w:rPr>
      <w:b/>
      <w:bCs/>
    </w:rPr>
  </w:style>
  <w:style w:type="character" w:customStyle="1" w:styleId="Heading3Char">
    <w:name w:val="Heading 3 Char"/>
    <w:basedOn w:val="DefaultParagraphFont"/>
    <w:link w:val="Heading3"/>
    <w:uiPriority w:val="9"/>
    <w:semiHidden/>
    <w:rsid w:val="00EC40D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5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DA"/>
  </w:style>
  <w:style w:type="paragraph" w:styleId="Footer">
    <w:name w:val="footer"/>
    <w:basedOn w:val="Normal"/>
    <w:link w:val="FooterChar"/>
    <w:uiPriority w:val="99"/>
    <w:unhideWhenUsed/>
    <w:rsid w:val="0065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DA"/>
  </w:style>
  <w:style w:type="paragraph" w:styleId="ListParagraph">
    <w:name w:val="List Paragraph"/>
    <w:basedOn w:val="Normal"/>
    <w:uiPriority w:val="34"/>
    <w:qFormat/>
    <w:rsid w:val="00043C91"/>
    <w:pPr>
      <w:widowControl w:val="0"/>
      <w:autoSpaceDE w:val="0"/>
      <w:autoSpaceDN w:val="0"/>
      <w:spacing w:after="0" w:line="240" w:lineRule="auto"/>
      <w:ind w:left="2160" w:hanging="360"/>
      <w:jc w:val="both"/>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6202">
      <w:bodyDiv w:val="1"/>
      <w:marLeft w:val="0"/>
      <w:marRight w:val="0"/>
      <w:marTop w:val="0"/>
      <w:marBottom w:val="0"/>
      <w:divBdr>
        <w:top w:val="none" w:sz="0" w:space="0" w:color="auto"/>
        <w:left w:val="none" w:sz="0" w:space="0" w:color="auto"/>
        <w:bottom w:val="none" w:sz="0" w:space="0" w:color="auto"/>
        <w:right w:val="none" w:sz="0" w:space="0" w:color="auto"/>
      </w:divBdr>
    </w:div>
    <w:div w:id="205680000">
      <w:bodyDiv w:val="1"/>
      <w:marLeft w:val="0"/>
      <w:marRight w:val="0"/>
      <w:marTop w:val="0"/>
      <w:marBottom w:val="0"/>
      <w:divBdr>
        <w:top w:val="none" w:sz="0" w:space="0" w:color="auto"/>
        <w:left w:val="none" w:sz="0" w:space="0" w:color="auto"/>
        <w:bottom w:val="none" w:sz="0" w:space="0" w:color="auto"/>
        <w:right w:val="none" w:sz="0" w:space="0" w:color="auto"/>
      </w:divBdr>
    </w:div>
    <w:div w:id="574163817">
      <w:bodyDiv w:val="1"/>
      <w:marLeft w:val="0"/>
      <w:marRight w:val="0"/>
      <w:marTop w:val="0"/>
      <w:marBottom w:val="0"/>
      <w:divBdr>
        <w:top w:val="none" w:sz="0" w:space="0" w:color="auto"/>
        <w:left w:val="none" w:sz="0" w:space="0" w:color="auto"/>
        <w:bottom w:val="none" w:sz="0" w:space="0" w:color="auto"/>
        <w:right w:val="none" w:sz="0" w:space="0" w:color="auto"/>
      </w:divBdr>
    </w:div>
    <w:div w:id="1124349382">
      <w:bodyDiv w:val="1"/>
      <w:marLeft w:val="0"/>
      <w:marRight w:val="0"/>
      <w:marTop w:val="0"/>
      <w:marBottom w:val="0"/>
      <w:divBdr>
        <w:top w:val="none" w:sz="0" w:space="0" w:color="auto"/>
        <w:left w:val="none" w:sz="0" w:space="0" w:color="auto"/>
        <w:bottom w:val="none" w:sz="0" w:space="0" w:color="auto"/>
        <w:right w:val="none" w:sz="0" w:space="0" w:color="auto"/>
      </w:divBdr>
    </w:div>
    <w:div w:id="1217087064">
      <w:bodyDiv w:val="1"/>
      <w:marLeft w:val="0"/>
      <w:marRight w:val="0"/>
      <w:marTop w:val="0"/>
      <w:marBottom w:val="0"/>
      <w:divBdr>
        <w:top w:val="none" w:sz="0" w:space="0" w:color="auto"/>
        <w:left w:val="none" w:sz="0" w:space="0" w:color="auto"/>
        <w:bottom w:val="none" w:sz="0" w:space="0" w:color="auto"/>
        <w:right w:val="none" w:sz="0" w:space="0" w:color="auto"/>
      </w:divBdr>
    </w:div>
    <w:div w:id="1320381618">
      <w:bodyDiv w:val="1"/>
      <w:marLeft w:val="0"/>
      <w:marRight w:val="0"/>
      <w:marTop w:val="0"/>
      <w:marBottom w:val="0"/>
      <w:divBdr>
        <w:top w:val="none" w:sz="0" w:space="0" w:color="auto"/>
        <w:left w:val="none" w:sz="0" w:space="0" w:color="auto"/>
        <w:bottom w:val="none" w:sz="0" w:space="0" w:color="auto"/>
        <w:right w:val="none" w:sz="0" w:space="0" w:color="auto"/>
      </w:divBdr>
    </w:div>
    <w:div w:id="1346708971">
      <w:bodyDiv w:val="1"/>
      <w:marLeft w:val="0"/>
      <w:marRight w:val="0"/>
      <w:marTop w:val="0"/>
      <w:marBottom w:val="0"/>
      <w:divBdr>
        <w:top w:val="none" w:sz="0" w:space="0" w:color="auto"/>
        <w:left w:val="none" w:sz="0" w:space="0" w:color="auto"/>
        <w:bottom w:val="none" w:sz="0" w:space="0" w:color="auto"/>
        <w:right w:val="none" w:sz="0" w:space="0" w:color="auto"/>
      </w:divBdr>
    </w:div>
    <w:div w:id="1401899665">
      <w:bodyDiv w:val="1"/>
      <w:marLeft w:val="0"/>
      <w:marRight w:val="0"/>
      <w:marTop w:val="0"/>
      <w:marBottom w:val="0"/>
      <w:divBdr>
        <w:top w:val="none" w:sz="0" w:space="0" w:color="auto"/>
        <w:left w:val="none" w:sz="0" w:space="0" w:color="auto"/>
        <w:bottom w:val="none" w:sz="0" w:space="0" w:color="auto"/>
        <w:right w:val="none" w:sz="0" w:space="0" w:color="auto"/>
      </w:divBdr>
    </w:div>
    <w:div w:id="1481652918">
      <w:bodyDiv w:val="1"/>
      <w:marLeft w:val="0"/>
      <w:marRight w:val="0"/>
      <w:marTop w:val="0"/>
      <w:marBottom w:val="0"/>
      <w:divBdr>
        <w:top w:val="none" w:sz="0" w:space="0" w:color="auto"/>
        <w:left w:val="none" w:sz="0" w:space="0" w:color="auto"/>
        <w:bottom w:val="none" w:sz="0" w:space="0" w:color="auto"/>
        <w:right w:val="none" w:sz="0" w:space="0" w:color="auto"/>
      </w:divBdr>
    </w:div>
    <w:div w:id="1554001694">
      <w:bodyDiv w:val="1"/>
      <w:marLeft w:val="0"/>
      <w:marRight w:val="0"/>
      <w:marTop w:val="0"/>
      <w:marBottom w:val="0"/>
      <w:divBdr>
        <w:top w:val="none" w:sz="0" w:space="0" w:color="auto"/>
        <w:left w:val="none" w:sz="0" w:space="0" w:color="auto"/>
        <w:bottom w:val="none" w:sz="0" w:space="0" w:color="auto"/>
        <w:right w:val="none" w:sz="0" w:space="0" w:color="auto"/>
      </w:divBdr>
    </w:div>
    <w:div w:id="1722245096">
      <w:bodyDiv w:val="1"/>
      <w:marLeft w:val="0"/>
      <w:marRight w:val="0"/>
      <w:marTop w:val="0"/>
      <w:marBottom w:val="0"/>
      <w:divBdr>
        <w:top w:val="none" w:sz="0" w:space="0" w:color="auto"/>
        <w:left w:val="none" w:sz="0" w:space="0" w:color="auto"/>
        <w:bottom w:val="none" w:sz="0" w:space="0" w:color="auto"/>
        <w:right w:val="none" w:sz="0" w:space="0" w:color="auto"/>
      </w:divBdr>
    </w:div>
    <w:div w:id="19195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ca.2015.10.007" TargetMode="External"/><Relationship Id="rId13" Type="http://schemas.openxmlformats.org/officeDocument/2006/relationships/hyperlink" Target="https://doi.org/10.3389/fmicb.2023.132342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cofs.2015.03.001" TargetMode="External"/><Relationship Id="rId12" Type="http://schemas.openxmlformats.org/officeDocument/2006/relationships/hyperlink" Target="https://doi.org/10.3389/fmicb.2016.0037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bio.2017.12.0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07/s12088-010-0046-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12088-010-0046-0" TargetMode="External"/><Relationship Id="rId14" Type="http://schemas.openxmlformats.org/officeDocument/2006/relationships/hyperlink" Target="https://doi.org/10.3390/microorganisms110512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11</Pages>
  <Words>6256</Words>
  <Characters>35663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1158</cp:lastModifiedBy>
  <cp:revision>21</cp:revision>
  <dcterms:created xsi:type="dcterms:W3CDTF">2026-01-26T09:57:00Z</dcterms:created>
  <dcterms:modified xsi:type="dcterms:W3CDTF">2026-02-21T12:40:00Z</dcterms:modified>
</cp:coreProperties>
</file>