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CA88D" w14:textId="025543B3" w:rsidR="005B58F2" w:rsidRPr="00EF5B0C" w:rsidRDefault="005B58F2" w:rsidP="005B58F2">
      <w:pPr>
        <w:jc w:val="center"/>
        <w:rPr>
          <w:rFonts w:ascii="Times New Roman" w:hAnsi="Times New Roman" w:cs="Times New Roman"/>
          <w:b/>
          <w:bCs/>
          <w:color w:val="EE0000"/>
        </w:rPr>
      </w:pPr>
      <w:r w:rsidRPr="00EF5B0C">
        <w:rPr>
          <w:rFonts w:ascii="Times New Roman" w:hAnsi="Times New Roman" w:cs="Times New Roman"/>
          <w:b/>
          <w:bCs/>
          <w:color w:val="EE0000"/>
        </w:rPr>
        <w:t xml:space="preserve">DETERMINATION OF BENZOIC ACID LEVELS AND </w:t>
      </w:r>
      <w:r w:rsidR="00405041">
        <w:rPr>
          <w:rFonts w:ascii="Times New Roman" w:hAnsi="Times New Roman" w:cs="Times New Roman"/>
          <w:b/>
          <w:bCs/>
          <w:color w:val="EE0000"/>
        </w:rPr>
        <w:t>p</w:t>
      </w:r>
      <w:r w:rsidRPr="00EF5B0C">
        <w:rPr>
          <w:rFonts w:ascii="Times New Roman" w:hAnsi="Times New Roman" w:cs="Times New Roman"/>
          <w:b/>
          <w:bCs/>
          <w:color w:val="EE0000"/>
        </w:rPr>
        <w:t>H IN COMMERCIAL HERBAL DECOCTIONS MARKETED IN GHANA</w:t>
      </w:r>
    </w:p>
    <w:p w14:paraId="4A5E6580" w14:textId="77777777" w:rsidR="00350900" w:rsidRDefault="00350900" w:rsidP="00F16166">
      <w:pPr>
        <w:rPr>
          <w:rFonts w:ascii="Times New Roman" w:hAnsi="Times New Roman" w:cs="Times New Roman"/>
        </w:rPr>
      </w:pPr>
    </w:p>
    <w:p w14:paraId="71CA5F41" w14:textId="0C08D84B" w:rsidR="00F16166" w:rsidRDefault="00F16166" w:rsidP="00F16166">
      <w:pPr>
        <w:rPr>
          <w:rFonts w:ascii="Times New Roman" w:hAnsi="Times New Roman" w:cs="Times New Roman"/>
        </w:rPr>
      </w:pPr>
      <w:r>
        <w:rPr>
          <w:rFonts w:ascii="Times New Roman" w:hAnsi="Times New Roman" w:cs="Times New Roman"/>
        </w:rPr>
        <w:t>Abstract</w:t>
      </w:r>
    </w:p>
    <w:p w14:paraId="7BB5471B" w14:textId="4033E73B" w:rsidR="00F16166" w:rsidRDefault="00600E3A" w:rsidP="00F16166">
      <w:pPr>
        <w:spacing w:line="360" w:lineRule="auto"/>
        <w:jc w:val="both"/>
        <w:rPr>
          <w:rFonts w:ascii="Times New Roman" w:hAnsi="Times New Roman" w:cs="Times New Roman"/>
        </w:rPr>
      </w:pPr>
      <w:r>
        <w:rPr>
          <w:rFonts w:ascii="Times New Roman" w:hAnsi="Times New Roman" w:cs="Times New Roman"/>
        </w:rPr>
        <w:t>E</w:t>
      </w:r>
      <w:r w:rsidR="00F16166" w:rsidRPr="00310598">
        <w:rPr>
          <w:rFonts w:ascii="Times New Roman" w:hAnsi="Times New Roman" w:cs="Times New Roman"/>
        </w:rPr>
        <w:t xml:space="preserve">xcessive concentrations of benzoic acid may lead to toxic effects, such as allergic reactions, gastrointestinal irritation, or metabolic disturbances, particularly in sensitive individuals. </w:t>
      </w:r>
      <w:r w:rsidR="005B58F2" w:rsidRPr="00AB4AF6">
        <w:rPr>
          <w:rFonts w:ascii="Times New Roman" w:hAnsi="Times New Roman" w:cs="Times New Roman"/>
          <w:color w:val="EE0000"/>
        </w:rPr>
        <w:t xml:space="preserve">In total, 24 herbal decoction products were </w:t>
      </w:r>
      <w:proofErr w:type="spellStart"/>
      <w:r w:rsidR="005B58F2" w:rsidRPr="00AB4AF6">
        <w:rPr>
          <w:rFonts w:ascii="Times New Roman" w:hAnsi="Times New Roman" w:cs="Times New Roman"/>
          <w:color w:val="EE0000"/>
        </w:rPr>
        <w:t>analyzed</w:t>
      </w:r>
      <w:proofErr w:type="spellEnd"/>
      <w:r w:rsidR="005B58F2" w:rsidRPr="00AB4AF6">
        <w:rPr>
          <w:rFonts w:ascii="Times New Roman" w:hAnsi="Times New Roman" w:cs="Times New Roman"/>
          <w:color w:val="EE0000"/>
        </w:rPr>
        <w:t xml:space="preserve"> in this study to determine their benzoic acid concentrations and pH levels</w:t>
      </w:r>
      <w:r w:rsidR="00F16166" w:rsidRPr="00310598">
        <w:rPr>
          <w:rFonts w:ascii="Times New Roman" w:hAnsi="Times New Roman" w:cs="Times New Roman"/>
        </w:rPr>
        <w:t xml:space="preserve">. The </w:t>
      </w:r>
      <w:r w:rsidR="00F16166" w:rsidRPr="005B58F2">
        <w:rPr>
          <w:rFonts w:ascii="Times New Roman" w:hAnsi="Times New Roman" w:cs="Times New Roman"/>
          <w:color w:val="EE0000"/>
        </w:rPr>
        <w:t xml:space="preserve">aim </w:t>
      </w:r>
      <w:r w:rsidR="00F16166" w:rsidRPr="00310598">
        <w:rPr>
          <w:rFonts w:ascii="Times New Roman" w:hAnsi="Times New Roman" w:cs="Times New Roman"/>
        </w:rPr>
        <w:t>was to determine the concentration and pH levels among the herbal decoction formulations</w:t>
      </w:r>
      <w:r>
        <w:rPr>
          <w:rFonts w:ascii="Times New Roman" w:hAnsi="Times New Roman" w:cs="Times New Roman"/>
        </w:rPr>
        <w:t xml:space="preserve">. </w:t>
      </w:r>
      <w:r w:rsidR="007F511A" w:rsidRPr="007F511A">
        <w:rPr>
          <w:rFonts w:ascii="Times New Roman" w:hAnsi="Times New Roman" w:cs="Times New Roman"/>
        </w:rPr>
        <w:t>High-Performance Liquid Chromatography (HPLC) was employed to determine the concentration of benzoic acid, while pH values were measured directly using a pH meter.</w:t>
      </w:r>
      <w:r w:rsidR="007F511A">
        <w:rPr>
          <w:rFonts w:ascii="Times New Roman" w:hAnsi="Times New Roman" w:cs="Times New Roman"/>
        </w:rPr>
        <w:t xml:space="preserve"> </w:t>
      </w:r>
      <w:r w:rsidR="00F16166" w:rsidRPr="00310598">
        <w:rPr>
          <w:rFonts w:ascii="Times New Roman" w:hAnsi="Times New Roman" w:cs="Times New Roman"/>
        </w:rPr>
        <w:t xml:space="preserve">The mean concentration levels ranged from 0.32±0.03 to 1632.33±542.34 mg/L </w:t>
      </w:r>
      <w:r w:rsidR="005B58F2">
        <w:rPr>
          <w:rFonts w:ascii="Times New Roman" w:hAnsi="Times New Roman" w:cs="Times New Roman"/>
        </w:rPr>
        <w:t xml:space="preserve">for benzoic acid </w:t>
      </w:r>
      <w:r w:rsidR="00F16166" w:rsidRPr="00310598">
        <w:rPr>
          <w:rFonts w:ascii="Times New Roman" w:hAnsi="Times New Roman" w:cs="Times New Roman"/>
        </w:rPr>
        <w:t xml:space="preserve">while the mean pH range from 3.02±0.03 to 7.83±0.06. </w:t>
      </w:r>
      <w:r w:rsidR="005B58F2" w:rsidRPr="00614DA5">
        <w:rPr>
          <w:rFonts w:ascii="Times New Roman" w:hAnsi="Times New Roman" w:cs="Times New Roman"/>
          <w:color w:val="EE0000"/>
        </w:rPr>
        <w:t>The WHO sets an Acceptable Daily Intake (ADI) of 0-5 mg/kg of body weight for benzoic acid and its salts</w:t>
      </w:r>
      <w:r w:rsidR="005B58F2">
        <w:rPr>
          <w:rFonts w:ascii="Times New Roman" w:hAnsi="Times New Roman" w:cs="Times New Roman"/>
        </w:rPr>
        <w:t xml:space="preserve">. </w:t>
      </w:r>
      <w:r w:rsidR="00F16166" w:rsidRPr="00310598">
        <w:rPr>
          <w:rFonts w:ascii="Times New Roman" w:hAnsi="Times New Roman" w:cs="Times New Roman"/>
        </w:rPr>
        <w:t xml:space="preserve">Samples found to contain high concentrations of benzoic acid also had low pH levels. From the results it is recommended that </w:t>
      </w:r>
      <w:r w:rsidR="00F16166">
        <w:rPr>
          <w:rFonts w:ascii="Times New Roman" w:hAnsi="Times New Roman" w:cs="Times New Roman"/>
        </w:rPr>
        <w:t xml:space="preserve">the products </w:t>
      </w:r>
      <w:r w:rsidR="00F16166" w:rsidRPr="00310598">
        <w:rPr>
          <w:rFonts w:ascii="Times New Roman" w:hAnsi="Times New Roman" w:cs="Times New Roman"/>
        </w:rPr>
        <w:t xml:space="preserve">should have labels indicating the name of the preservative used </w:t>
      </w:r>
      <w:r w:rsidRPr="00310598">
        <w:rPr>
          <w:rFonts w:ascii="Times New Roman" w:hAnsi="Times New Roman" w:cs="Times New Roman"/>
        </w:rPr>
        <w:t>and</w:t>
      </w:r>
      <w:r w:rsidR="00F16166" w:rsidRPr="00310598">
        <w:rPr>
          <w:rFonts w:ascii="Times New Roman" w:hAnsi="Times New Roman" w:cs="Times New Roman"/>
        </w:rPr>
        <w:t xml:space="preserve"> herbal products with pH less than 5.0 should have instructions that indicate either dilution before taking or rinse the mouth or should taken after meals. </w:t>
      </w:r>
    </w:p>
    <w:p w14:paraId="78927B1D" w14:textId="2F627C97" w:rsidR="007F511A" w:rsidRDefault="007F511A" w:rsidP="00F16166">
      <w:pPr>
        <w:spacing w:line="360" w:lineRule="auto"/>
        <w:jc w:val="both"/>
        <w:rPr>
          <w:rFonts w:ascii="Times New Roman" w:hAnsi="Times New Roman" w:cs="Times New Roman"/>
        </w:rPr>
      </w:pPr>
      <w:r>
        <w:rPr>
          <w:rFonts w:ascii="Times New Roman" w:hAnsi="Times New Roman" w:cs="Times New Roman"/>
        </w:rPr>
        <w:t xml:space="preserve">Keywords: </w:t>
      </w:r>
      <w:r w:rsidR="00D113F8">
        <w:rPr>
          <w:rFonts w:ascii="Times New Roman" w:hAnsi="Times New Roman" w:cs="Times New Roman"/>
        </w:rPr>
        <w:t xml:space="preserve">Herbal decoction; benzoic acid; </w:t>
      </w:r>
      <w:r w:rsidR="00222ECE">
        <w:rPr>
          <w:rFonts w:ascii="Times New Roman" w:hAnsi="Times New Roman" w:cs="Times New Roman"/>
        </w:rPr>
        <w:t>preservatives; mobile phase; high-performance liquid chromatography</w:t>
      </w:r>
    </w:p>
    <w:p w14:paraId="4332BC76" w14:textId="77777777" w:rsidR="007F511A" w:rsidRPr="00A22B8D" w:rsidRDefault="007F511A" w:rsidP="00F16166">
      <w:pPr>
        <w:spacing w:line="360" w:lineRule="auto"/>
        <w:jc w:val="both"/>
        <w:rPr>
          <w:rFonts w:ascii="Times New Roman" w:hAnsi="Times New Roman" w:cs="Times New Roman"/>
        </w:rPr>
      </w:pPr>
    </w:p>
    <w:p w14:paraId="7475D8CE" w14:textId="77777777" w:rsidR="00F16166" w:rsidRDefault="00F16166" w:rsidP="00F16166">
      <w:pPr>
        <w:spacing w:line="360" w:lineRule="auto"/>
        <w:jc w:val="both"/>
        <w:rPr>
          <w:rFonts w:ascii="Times New Roman" w:hAnsi="Times New Roman" w:cs="Times New Roman"/>
          <w:b/>
          <w:bCs/>
        </w:rPr>
      </w:pPr>
    </w:p>
    <w:p w14:paraId="0C950BF4" w14:textId="77777777" w:rsidR="004F27AD" w:rsidRDefault="004F27AD" w:rsidP="00F16166">
      <w:pPr>
        <w:spacing w:line="360" w:lineRule="auto"/>
        <w:jc w:val="both"/>
        <w:rPr>
          <w:rFonts w:ascii="Times New Roman" w:hAnsi="Times New Roman" w:cs="Times New Roman"/>
          <w:b/>
          <w:bCs/>
        </w:rPr>
      </w:pPr>
    </w:p>
    <w:p w14:paraId="6A02F547" w14:textId="77777777" w:rsidR="004F27AD" w:rsidRDefault="004F27AD" w:rsidP="00F16166">
      <w:pPr>
        <w:spacing w:line="360" w:lineRule="auto"/>
        <w:jc w:val="both"/>
        <w:rPr>
          <w:rFonts w:ascii="Times New Roman" w:hAnsi="Times New Roman" w:cs="Times New Roman"/>
          <w:b/>
          <w:bCs/>
        </w:rPr>
      </w:pPr>
    </w:p>
    <w:p w14:paraId="2796C5B2" w14:textId="2268B871" w:rsidR="004F27AD" w:rsidRDefault="004F27AD" w:rsidP="00F16166">
      <w:pPr>
        <w:spacing w:line="360" w:lineRule="auto"/>
        <w:jc w:val="both"/>
        <w:rPr>
          <w:rFonts w:ascii="Times New Roman" w:hAnsi="Times New Roman" w:cs="Times New Roman"/>
          <w:b/>
          <w:bCs/>
        </w:rPr>
      </w:pPr>
    </w:p>
    <w:p w14:paraId="267891D5" w14:textId="7A7F567E" w:rsidR="00350900" w:rsidRDefault="00350900" w:rsidP="00F16166">
      <w:pPr>
        <w:spacing w:line="360" w:lineRule="auto"/>
        <w:jc w:val="both"/>
        <w:rPr>
          <w:rFonts w:ascii="Times New Roman" w:hAnsi="Times New Roman" w:cs="Times New Roman"/>
          <w:b/>
          <w:bCs/>
        </w:rPr>
      </w:pPr>
    </w:p>
    <w:p w14:paraId="0F865705" w14:textId="77777777" w:rsidR="004F27AD" w:rsidRPr="00310598" w:rsidRDefault="004F27AD" w:rsidP="00F16166">
      <w:pPr>
        <w:spacing w:line="360" w:lineRule="auto"/>
        <w:jc w:val="both"/>
        <w:rPr>
          <w:rFonts w:ascii="Times New Roman" w:hAnsi="Times New Roman" w:cs="Times New Roman"/>
          <w:b/>
          <w:bCs/>
        </w:rPr>
      </w:pPr>
    </w:p>
    <w:p w14:paraId="00616A07" w14:textId="77777777" w:rsidR="001E2EF9" w:rsidRDefault="001E2EF9" w:rsidP="00F16166">
      <w:pPr>
        <w:rPr>
          <w:rFonts w:ascii="Times New Roman" w:hAnsi="Times New Roman" w:cs="Times New Roman"/>
          <w:b/>
          <w:bCs/>
        </w:rPr>
      </w:pPr>
    </w:p>
    <w:p w14:paraId="6E938C3F" w14:textId="533DAEA2" w:rsidR="00F16166" w:rsidRDefault="00F16166" w:rsidP="00F16166">
      <w:pPr>
        <w:rPr>
          <w:rFonts w:ascii="Times New Roman" w:hAnsi="Times New Roman" w:cs="Times New Roman"/>
          <w:b/>
          <w:bCs/>
        </w:rPr>
      </w:pPr>
      <w:r>
        <w:rPr>
          <w:rFonts w:ascii="Times New Roman" w:hAnsi="Times New Roman" w:cs="Times New Roman"/>
          <w:b/>
          <w:bCs/>
        </w:rPr>
        <w:lastRenderedPageBreak/>
        <w:t>1.0 INTRODUCTION</w:t>
      </w:r>
    </w:p>
    <w:p w14:paraId="2D7845D3" w14:textId="77777777" w:rsidR="00F16166" w:rsidRDefault="00F16166" w:rsidP="00F16166">
      <w:pPr>
        <w:rPr>
          <w:rFonts w:ascii="Times New Roman" w:hAnsi="Times New Roman" w:cs="Times New Roman"/>
          <w:b/>
          <w:bCs/>
        </w:rPr>
      </w:pPr>
      <w:r>
        <w:rPr>
          <w:rFonts w:ascii="Times New Roman" w:hAnsi="Times New Roman" w:cs="Times New Roman"/>
          <w:b/>
          <w:bCs/>
        </w:rPr>
        <w:t>1.1 Background</w:t>
      </w:r>
    </w:p>
    <w:p w14:paraId="7A1B69B8" w14:textId="669268E1" w:rsidR="00F16166" w:rsidRPr="00745726" w:rsidRDefault="00F16166" w:rsidP="00F16166">
      <w:pPr>
        <w:spacing w:line="360" w:lineRule="auto"/>
        <w:jc w:val="both"/>
        <w:rPr>
          <w:rFonts w:ascii="Times New Roman" w:hAnsi="Times New Roman" w:cs="Times New Roman"/>
        </w:rPr>
      </w:pPr>
      <w:r w:rsidRPr="006551BE">
        <w:rPr>
          <w:rFonts w:ascii="Times New Roman" w:hAnsi="Times New Roman" w:cs="Times New Roman"/>
        </w:rPr>
        <w:t xml:space="preserve">Fruit drinks, soft drinks, baked items leavened with chemicals, sauces, and canned foods all include benzoic acid as a food preservative. Yeast, mold, and some bacteria cannot develop when benzoic acid is present. </w:t>
      </w:r>
      <w:r>
        <w:rPr>
          <w:rFonts w:ascii="Times New Roman" w:hAnsi="Times New Roman" w:cs="Times New Roman"/>
        </w:rPr>
        <w:t>B</w:t>
      </w:r>
      <w:r w:rsidRPr="006551BE">
        <w:rPr>
          <w:rFonts w:ascii="Times New Roman" w:hAnsi="Times New Roman" w:cs="Times New Roman"/>
        </w:rPr>
        <w:t xml:space="preserve">enzoic acid </w:t>
      </w:r>
      <w:r>
        <w:rPr>
          <w:rFonts w:ascii="Times New Roman" w:hAnsi="Times New Roman" w:cs="Times New Roman"/>
        </w:rPr>
        <w:t xml:space="preserve">can be added </w:t>
      </w:r>
      <w:r w:rsidRPr="006551BE">
        <w:rPr>
          <w:rFonts w:ascii="Times New Roman" w:hAnsi="Times New Roman" w:cs="Times New Roman"/>
        </w:rPr>
        <w:t>directly or as a calcium</w:t>
      </w:r>
      <w:r>
        <w:rPr>
          <w:rFonts w:ascii="Times New Roman" w:hAnsi="Times New Roman" w:cs="Times New Roman"/>
        </w:rPr>
        <w:t xml:space="preserve"> or </w:t>
      </w:r>
      <w:r w:rsidRPr="006551BE">
        <w:rPr>
          <w:rFonts w:ascii="Times New Roman" w:hAnsi="Times New Roman" w:cs="Times New Roman"/>
        </w:rPr>
        <w:t>potassium</w:t>
      </w:r>
      <w:r>
        <w:rPr>
          <w:rFonts w:ascii="Times New Roman" w:hAnsi="Times New Roman" w:cs="Times New Roman"/>
        </w:rPr>
        <w:t xml:space="preserve"> </w:t>
      </w:r>
      <w:r w:rsidRPr="006551BE">
        <w:rPr>
          <w:rFonts w:ascii="Times New Roman" w:hAnsi="Times New Roman" w:cs="Times New Roman"/>
        </w:rPr>
        <w:t xml:space="preserve">salt. Soft drink manufacturers employ sodium benzoate as a preservative. </w:t>
      </w:r>
      <w:r w:rsidR="00E96C71" w:rsidRPr="00E96C71">
        <w:rPr>
          <w:rFonts w:ascii="Times New Roman" w:hAnsi="Times New Roman" w:cs="Times New Roman"/>
        </w:rPr>
        <w:t>According to the Ghana Standards Authority, benzoic acid</w:t>
      </w:r>
      <w:r w:rsidR="00E96C71">
        <w:rPr>
          <w:rFonts w:ascii="Times New Roman" w:hAnsi="Times New Roman" w:cs="Times New Roman"/>
        </w:rPr>
        <w:t xml:space="preserve"> </w:t>
      </w:r>
      <w:r w:rsidR="00E96C71" w:rsidRPr="00E96C71">
        <w:rPr>
          <w:rFonts w:ascii="Times New Roman" w:hAnsi="Times New Roman" w:cs="Times New Roman"/>
        </w:rPr>
        <w:t>commonly known as sodium benzoate</w:t>
      </w:r>
      <w:r w:rsidR="00E96C71">
        <w:rPr>
          <w:rFonts w:ascii="Times New Roman" w:hAnsi="Times New Roman" w:cs="Times New Roman"/>
        </w:rPr>
        <w:t xml:space="preserve"> </w:t>
      </w:r>
      <w:r w:rsidR="00E96C71" w:rsidRPr="00E96C71">
        <w:rPr>
          <w:rFonts w:ascii="Times New Roman" w:hAnsi="Times New Roman" w:cs="Times New Roman"/>
        </w:rPr>
        <w:t>is among the approved food preservatives permitted for use by non-alcoholic beverage manufacturers in Ghana.</w:t>
      </w:r>
      <w:r w:rsidR="00E96C71">
        <w:rPr>
          <w:rFonts w:ascii="Times New Roman" w:hAnsi="Times New Roman" w:cs="Times New Roman"/>
        </w:rPr>
        <w:t xml:space="preserve"> </w:t>
      </w:r>
      <w:r w:rsidR="00E96C71" w:rsidRPr="00E96C71">
        <w:rPr>
          <w:rFonts w:ascii="Times New Roman" w:hAnsi="Times New Roman" w:cs="Times New Roman"/>
        </w:rPr>
        <w:t>When mixed with salicylic acid it is used, under the name Whitfield's ointment, as a fungicidal treatment for ringworm. It is also used in the production of various products, such as pharmaceuticals and herbal remedies.</w:t>
      </w:r>
      <w:r w:rsidRPr="00B57056">
        <w:rPr>
          <w:rFonts w:ascii="Times New Roman" w:hAnsi="Times New Roman" w:cs="Times New Roman"/>
        </w:rPr>
        <w:t xml:space="preserve"> Human civilization has long used medicinal plants to address a variety of illnesses (Manisha et al., 2025).</w:t>
      </w:r>
      <w:r w:rsidRPr="00C06625">
        <w:rPr>
          <w:rFonts w:ascii="Times New Roman" w:hAnsi="Times New Roman" w:cs="Times New Roman"/>
        </w:rPr>
        <w:t xml:space="preserve"> </w:t>
      </w:r>
      <w:r w:rsidRPr="00745726">
        <w:rPr>
          <w:rFonts w:ascii="Times New Roman" w:hAnsi="Times New Roman" w:cs="Times New Roman"/>
        </w:rPr>
        <w:t>Around 80% of people in underdeveloped nations still rely on plant-based medications, with traditional medicine becoming most common in Africa, Australia, and Asia (Wijesekera, 2017; Mofokeng et al., 2022; Sadiku et al., 2022). Herbal remedies are made from the aerial portions of herbs or from the entire plant or sections of plants, such as bark, leaves, roots, stems, flowers, fruits, and seeds. These are also known as decoctions. One herb or a combination of multiple herbs may be found in herbal products (Kumari and Kotecha., 2016; Karole et al., 2019; Mosihuzzaman and Choudhary, 2008).</w:t>
      </w:r>
    </w:p>
    <w:p w14:paraId="08B3AF48" w14:textId="77777777" w:rsidR="00F16166" w:rsidRPr="006A4214" w:rsidRDefault="00F16166" w:rsidP="00F16166">
      <w:pPr>
        <w:spacing w:line="360" w:lineRule="auto"/>
        <w:jc w:val="both"/>
        <w:rPr>
          <w:rFonts w:ascii="Times New Roman" w:hAnsi="Times New Roman" w:cs="Times New Roman"/>
        </w:rPr>
      </w:pPr>
      <w:r w:rsidRPr="006A4214">
        <w:rPr>
          <w:rFonts w:ascii="Times New Roman" w:hAnsi="Times New Roman" w:cs="Times New Roman"/>
        </w:rPr>
        <w:t>Synergistic effects are thought to be the reason for the effectiveness when several plants are used. There are raw herbs on the market, and products made from them are made according to various pharmacopeia (Mosihuzzaman and Choudhary, 2008). African and Asian countries have recently promoted traditional medicine as a key element of their public health care initiatives due to its affordability, accessibility, and widespread acceptance by the local populace.</w:t>
      </w:r>
    </w:p>
    <w:p w14:paraId="7058254F" w14:textId="77777777" w:rsidR="00F16166" w:rsidRPr="006A4214" w:rsidRDefault="00F16166" w:rsidP="00F16166">
      <w:pPr>
        <w:spacing w:line="360" w:lineRule="auto"/>
        <w:jc w:val="both"/>
        <w:rPr>
          <w:rFonts w:ascii="Times New Roman" w:hAnsi="Times New Roman" w:cs="Times New Roman"/>
        </w:rPr>
      </w:pPr>
      <w:r w:rsidRPr="006A4214">
        <w:rPr>
          <w:rFonts w:ascii="Times New Roman" w:hAnsi="Times New Roman" w:cs="Times New Roman"/>
        </w:rPr>
        <w:t xml:space="preserve">Many herbal </w:t>
      </w:r>
      <w:r>
        <w:rPr>
          <w:rFonts w:ascii="Times New Roman" w:hAnsi="Times New Roman" w:cs="Times New Roman"/>
        </w:rPr>
        <w:t>products</w:t>
      </w:r>
      <w:r w:rsidRPr="006A4214">
        <w:rPr>
          <w:rFonts w:ascii="Times New Roman" w:hAnsi="Times New Roman" w:cs="Times New Roman"/>
        </w:rPr>
        <w:t xml:space="preserve"> contain benzoic acid as a preservative. Benzoic acids are toxic to the body and can lead to various health issues, particularly when ingested in excessive quantities, even though they are generally recognized as safe (GRAS). Benzoic acid can have short-term negative effects or long-term negative effects upon repeated exposure. Some of the immediate impacts include headaches, changes in energy levels, and changes in immunological response, behavior, or mental focus (Chipley, 2020; Johnson et al., 2017). Prolonged consequences could raise the risk </w:t>
      </w:r>
      <w:r w:rsidRPr="006A4214">
        <w:rPr>
          <w:rFonts w:ascii="Times New Roman" w:hAnsi="Times New Roman" w:cs="Times New Roman"/>
        </w:rPr>
        <w:lastRenderedPageBreak/>
        <w:t>of cardiovascular disease, cancer, and other degenerative diseases (Rabiu et al., 2021; Walczak-Nowicka and Herbet., 2022).</w:t>
      </w:r>
    </w:p>
    <w:p w14:paraId="009C44D5" w14:textId="77777777" w:rsidR="00F16166" w:rsidRPr="00592CEC" w:rsidRDefault="00F16166" w:rsidP="00F16166">
      <w:pPr>
        <w:spacing w:line="360" w:lineRule="auto"/>
        <w:jc w:val="both"/>
        <w:rPr>
          <w:rFonts w:ascii="Times New Roman" w:hAnsi="Times New Roman" w:cs="Times New Roman"/>
        </w:rPr>
      </w:pPr>
      <w:r w:rsidRPr="00592CEC">
        <w:rPr>
          <w:rFonts w:ascii="Times New Roman" w:hAnsi="Times New Roman" w:cs="Times New Roman"/>
        </w:rPr>
        <w:t>According to several research, urticaria, non-immunological contact urticaria, and asthma can result from human allergic reactions to benzoates (Goyal et al., 2023; Gimenez-Arnau and Maibach., 2021). International regulations allow benzoic acid and its salts to be processed as food additives in limited quantities, but their quantity needs to be disclosed and kept within legally set limitations.</w:t>
      </w:r>
    </w:p>
    <w:p w14:paraId="18ED6839" w14:textId="0B617167" w:rsidR="00FB1004" w:rsidRDefault="00F16166" w:rsidP="00F16166">
      <w:pPr>
        <w:spacing w:line="360" w:lineRule="auto"/>
        <w:jc w:val="both"/>
        <w:rPr>
          <w:rFonts w:ascii="Times New Roman" w:hAnsi="Times New Roman" w:cs="Times New Roman"/>
        </w:rPr>
      </w:pPr>
      <w:r w:rsidRPr="00F34EB6">
        <w:rPr>
          <w:rFonts w:ascii="Times New Roman" w:hAnsi="Times New Roman" w:cs="Times New Roman"/>
        </w:rPr>
        <w:t xml:space="preserve">In herbal decoctions, the pH is of importance. </w:t>
      </w:r>
      <w:r w:rsidR="00F34EB6" w:rsidRPr="00F34EB6">
        <w:rPr>
          <w:rFonts w:ascii="Times New Roman" w:hAnsi="Times New Roman" w:cs="Times New Roman"/>
        </w:rPr>
        <w:t>The pH of a decoction formulation indicates the degree of acidity or alkalinity of the herbal medicine.</w:t>
      </w:r>
      <w:r w:rsidR="00F34EB6">
        <w:rPr>
          <w:rFonts w:ascii="Times New Roman" w:hAnsi="Times New Roman" w:cs="Times New Roman"/>
        </w:rPr>
        <w:t xml:space="preserve"> </w:t>
      </w:r>
      <w:r w:rsidRPr="00C06625">
        <w:rPr>
          <w:rFonts w:ascii="Times New Roman" w:hAnsi="Times New Roman" w:cs="Times New Roman"/>
        </w:rPr>
        <w:t xml:space="preserve">pH has been shown to influence the quality of medicines by regulating chemical reactions and inhibiting or promoting microbiological activity (Wang et al., 2023; Dao et al., 2018; Naz et al., 2022). Studies have reported that herbal preparations with low pH, resulting from acidic constituents, tend to have lower bacterial counts. In contrast, preparations with neutral or alkaline pH are more susceptible to bacterial contamination, indicating that higher pH levels may promote microbial growth in such products. </w:t>
      </w:r>
      <w:r w:rsidR="00F34EB6" w:rsidRPr="00F34EB6">
        <w:rPr>
          <w:rFonts w:ascii="Times New Roman" w:hAnsi="Times New Roman" w:cs="Times New Roman"/>
        </w:rPr>
        <w:t>It has been shown that the pH range of 5.0 to 8.5 is most favorable for the growth of bacteria in medicinal products (Dao et al., 2018). The determination of pH is one of the most vital tests in a drug formulation as it can affect the drug solubility, stability, absorption, therapeutic activity, and patient tolerability (Jacob and Nair., 2018). Determination of pH in decoction herbal medicines are particularly crucial in formulating the best composition since some types of excipients can be added to enhance product stability and make it tolerable upon administration</w:t>
      </w:r>
      <w:r w:rsidR="00F34EB6">
        <w:rPr>
          <w:rFonts w:ascii="Times New Roman" w:hAnsi="Times New Roman" w:cs="Times New Roman"/>
        </w:rPr>
        <w:t xml:space="preserve">. </w:t>
      </w:r>
      <w:r w:rsidR="00FB1004" w:rsidRPr="00FB1004">
        <w:rPr>
          <w:rFonts w:ascii="Times New Roman" w:hAnsi="Times New Roman" w:cs="Times New Roman"/>
        </w:rPr>
        <w:t>Mammals require a particular pH range for the occurrence of biological and chemical reactions, such as catalysis. Enzymes would normally be able to act with ease in such a medium at a particular pH. The pH can also affect immune, digestive, circulatory, respiratory and intestinal functions (Yamamura et al., 2023).</w:t>
      </w:r>
      <w:r w:rsidRPr="00C06625">
        <w:rPr>
          <w:rFonts w:ascii="Times New Roman" w:hAnsi="Times New Roman" w:cs="Times New Roman"/>
        </w:rPr>
        <w:t xml:space="preserve"> </w:t>
      </w:r>
      <w:r w:rsidR="00FB1004" w:rsidRPr="00FB1004">
        <w:rPr>
          <w:rFonts w:ascii="Times New Roman" w:hAnsi="Times New Roman" w:cs="Times New Roman"/>
        </w:rPr>
        <w:t>The pH of an herbal preparation is generally not expected to have a significant impact on human health, if it remains within an acceptable and stable range (Kumadoh et al., 2024; Alamgir, 2017).</w:t>
      </w:r>
    </w:p>
    <w:p w14:paraId="5E202213" w14:textId="615E91E5" w:rsidR="00F16166" w:rsidRPr="00C06625" w:rsidRDefault="003C4136" w:rsidP="00F16166">
      <w:pPr>
        <w:spacing w:line="360" w:lineRule="auto"/>
        <w:jc w:val="both"/>
        <w:rPr>
          <w:rFonts w:ascii="Times New Roman" w:hAnsi="Times New Roman" w:cs="Times New Roman"/>
        </w:rPr>
      </w:pPr>
      <w:r w:rsidRPr="003C4136">
        <w:rPr>
          <w:rFonts w:ascii="Times New Roman" w:hAnsi="Times New Roman" w:cs="Times New Roman"/>
        </w:rPr>
        <w:t>Many herbal preparations are sold in Ghana; these products could be preserved by adding benzoic acid or its sodium, potassium, or calcium benzoate salts in addition to other approved preservatives for food.</w:t>
      </w:r>
      <w:r>
        <w:rPr>
          <w:rFonts w:ascii="Times New Roman" w:hAnsi="Times New Roman" w:cs="Times New Roman"/>
        </w:rPr>
        <w:t xml:space="preserve"> </w:t>
      </w:r>
      <w:r w:rsidR="00F16166" w:rsidRPr="00C06625">
        <w:rPr>
          <w:rFonts w:ascii="Times New Roman" w:hAnsi="Times New Roman" w:cs="Times New Roman"/>
        </w:rPr>
        <w:t xml:space="preserve">The quantity of benzoic acid used as a preservative has not been assessed to verify </w:t>
      </w:r>
      <w:r w:rsidR="00F16166" w:rsidRPr="00C06625">
        <w:rPr>
          <w:rFonts w:ascii="Times New Roman" w:hAnsi="Times New Roman" w:cs="Times New Roman"/>
        </w:rPr>
        <w:lastRenderedPageBreak/>
        <w:t xml:space="preserve">whether it falls within the appropriate or recommended limits. </w:t>
      </w:r>
      <w:r w:rsidR="006A1830" w:rsidRPr="006A1830">
        <w:rPr>
          <w:rFonts w:ascii="Times New Roman" w:hAnsi="Times New Roman" w:cs="Times New Roman"/>
        </w:rPr>
        <w:t>Since many of these manufacturers lack well-equipped laboratories and do not employ adequately qualified personnel.</w:t>
      </w:r>
    </w:p>
    <w:p w14:paraId="11C823B6" w14:textId="1D0501E4" w:rsidR="00F16166" w:rsidRPr="00592CEC" w:rsidRDefault="00442953" w:rsidP="00F16166">
      <w:pPr>
        <w:spacing w:line="360" w:lineRule="auto"/>
        <w:jc w:val="both"/>
        <w:rPr>
          <w:rFonts w:ascii="Times New Roman" w:hAnsi="Times New Roman" w:cs="Times New Roman"/>
        </w:rPr>
      </w:pPr>
      <w:r w:rsidRPr="00442953">
        <w:rPr>
          <w:rFonts w:ascii="Times New Roman" w:hAnsi="Times New Roman" w:cs="Times New Roman"/>
        </w:rPr>
        <w:t>Furthermore, although there are no strict pH standards for herbal medicines, it is crucial to formulate them within an optimal pH range to ensure maximum therapeutic effectiveness and consumer safety.</w:t>
      </w:r>
      <w:r>
        <w:rPr>
          <w:rFonts w:ascii="Times New Roman" w:hAnsi="Times New Roman" w:cs="Times New Roman"/>
        </w:rPr>
        <w:t xml:space="preserve"> </w:t>
      </w:r>
      <w:r w:rsidRPr="00442953">
        <w:rPr>
          <w:rFonts w:ascii="Times New Roman" w:hAnsi="Times New Roman" w:cs="Times New Roman"/>
        </w:rPr>
        <w:t>pH changes can affect the absorption of a drug and may lead to irritation, discomfort, or pain in administration, especially if there is a significant gap between the pH of the formulation and that of the targeted site.</w:t>
      </w:r>
      <w:r>
        <w:rPr>
          <w:rFonts w:ascii="Times New Roman" w:hAnsi="Times New Roman" w:cs="Times New Roman"/>
        </w:rPr>
        <w:t xml:space="preserve"> </w:t>
      </w:r>
      <w:r w:rsidRPr="00442953">
        <w:rPr>
          <w:rFonts w:ascii="Times New Roman" w:hAnsi="Times New Roman" w:cs="Times New Roman"/>
        </w:rPr>
        <w:t>The permissible levels of benzoic acid, benzoates, and other food preservatives vary across countries</w:t>
      </w:r>
      <w:r>
        <w:rPr>
          <w:rFonts w:ascii="Times New Roman" w:hAnsi="Times New Roman" w:cs="Times New Roman"/>
        </w:rPr>
        <w:t xml:space="preserve"> </w:t>
      </w:r>
      <w:r w:rsidR="00F16166" w:rsidRPr="00592CEC">
        <w:rPr>
          <w:rFonts w:ascii="Times New Roman" w:hAnsi="Times New Roman" w:cs="Times New Roman"/>
        </w:rPr>
        <w:t>has been the subject of numerous studies by various individuals (Tfouni and Toledo, 2002; Harry M. et al, 2000; Bahruddin et al, 2004; Cornelia and Elena, 2009).</w:t>
      </w:r>
    </w:p>
    <w:p w14:paraId="460EAF05" w14:textId="032CD2FA" w:rsidR="00F16166" w:rsidRPr="0074099D" w:rsidRDefault="00F16166" w:rsidP="00F16166">
      <w:pPr>
        <w:spacing w:line="360" w:lineRule="auto"/>
        <w:jc w:val="both"/>
        <w:rPr>
          <w:rFonts w:ascii="Times New Roman" w:hAnsi="Times New Roman" w:cs="Times New Roman"/>
        </w:rPr>
      </w:pPr>
      <w:r w:rsidRPr="0074099D">
        <w:rPr>
          <w:rFonts w:ascii="Times New Roman" w:hAnsi="Times New Roman" w:cs="Times New Roman"/>
        </w:rPr>
        <w:t xml:space="preserve">Comparing Ghana to other nations, there is a dearth of research on the amounts of benzoic acid in Ghanaian foods and herbal </w:t>
      </w:r>
      <w:r>
        <w:rPr>
          <w:rFonts w:ascii="Times New Roman" w:hAnsi="Times New Roman" w:cs="Times New Roman"/>
        </w:rPr>
        <w:t>medicines</w:t>
      </w:r>
      <w:r w:rsidRPr="0074099D">
        <w:rPr>
          <w:rFonts w:ascii="Times New Roman" w:hAnsi="Times New Roman" w:cs="Times New Roman"/>
        </w:rPr>
        <w:t>. As more locally produced herbal medications become available on the market, it is necessary to examine the amounts of the preservative (benzoic acid) being employed.</w:t>
      </w:r>
      <w:r>
        <w:rPr>
          <w:rFonts w:ascii="Times New Roman" w:hAnsi="Times New Roman" w:cs="Times New Roman"/>
        </w:rPr>
        <w:t xml:space="preserve"> </w:t>
      </w:r>
      <w:r w:rsidR="008E3A5B" w:rsidRPr="008E3A5B">
        <w:rPr>
          <w:rFonts w:ascii="Times New Roman" w:hAnsi="Times New Roman" w:cs="Times New Roman"/>
        </w:rPr>
        <w:t>These, coupled with the increase in production of processed products, have given prominence to the role of preservatives</w:t>
      </w:r>
      <w:r w:rsidR="008E3A5B">
        <w:rPr>
          <w:rFonts w:ascii="Times New Roman" w:hAnsi="Times New Roman" w:cs="Times New Roman"/>
        </w:rPr>
        <w:t xml:space="preserve">. </w:t>
      </w:r>
      <w:r w:rsidR="0019404D" w:rsidRPr="0019404D">
        <w:rPr>
          <w:rFonts w:ascii="Times New Roman" w:hAnsi="Times New Roman" w:cs="Times New Roman"/>
        </w:rPr>
        <w:t>For the reasons described above, a rapid and accurate testing method is desired routinely for checking the levels of preservatives and the pH levels in the herbal medicines in Ghanaian markets.</w:t>
      </w:r>
      <w:r w:rsidR="0019404D">
        <w:rPr>
          <w:rFonts w:ascii="Times New Roman" w:hAnsi="Times New Roman" w:cs="Times New Roman"/>
        </w:rPr>
        <w:t xml:space="preserve"> </w:t>
      </w:r>
      <w:r w:rsidR="00A95A29" w:rsidRPr="00A95A29">
        <w:rPr>
          <w:rFonts w:ascii="Times New Roman" w:hAnsi="Times New Roman" w:cs="Times New Roman"/>
        </w:rPr>
        <w:t>The study aims to determine the concentration of benzoic acid in some herbal decoction medicines and their pH levels, using the High-Performance Liquid Chromatography (HPLC), on the Ghanaian market.</w:t>
      </w:r>
      <w:r w:rsidR="00A95A29">
        <w:rPr>
          <w:rFonts w:ascii="Times New Roman" w:hAnsi="Times New Roman" w:cs="Times New Roman"/>
        </w:rPr>
        <w:t xml:space="preserve"> </w:t>
      </w:r>
      <w:r w:rsidRPr="00C06625">
        <w:rPr>
          <w:rFonts w:ascii="Times New Roman" w:hAnsi="Times New Roman" w:cs="Times New Roman"/>
        </w:rPr>
        <w:t>The study provides baseline data that could aid regulatory agencies (FDA) in developing or refining standards and guidelines for herbal medicines and also establish quality assurance parameters for local herbal manufacturers and traditional medicine practitioners.</w:t>
      </w:r>
    </w:p>
    <w:p w14:paraId="3C5D2B9B" w14:textId="77777777" w:rsidR="00F16166" w:rsidRPr="001752A7" w:rsidRDefault="00F16166" w:rsidP="00F16166">
      <w:pPr>
        <w:spacing w:line="360" w:lineRule="auto"/>
        <w:jc w:val="both"/>
        <w:rPr>
          <w:rFonts w:ascii="Times New Roman" w:hAnsi="Times New Roman" w:cs="Times New Roman"/>
          <w:b/>
          <w:bCs/>
        </w:rPr>
      </w:pPr>
      <w:r w:rsidRPr="001752A7">
        <w:rPr>
          <w:rFonts w:ascii="Times New Roman" w:hAnsi="Times New Roman" w:cs="Times New Roman"/>
          <w:b/>
          <w:bCs/>
        </w:rPr>
        <w:t>2.0 MATERIALS AND METHODS</w:t>
      </w:r>
    </w:p>
    <w:p w14:paraId="5D5EBC83"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2.1 Study Area</w:t>
      </w:r>
    </w:p>
    <w:p w14:paraId="1672DA50"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The study was conducted within the Kumasi Metropolitan of the Ashanti Region, Ghana. The Metropolitan is densely populated and noted for its mass production of herbal prepared medicines.</w:t>
      </w:r>
    </w:p>
    <w:p w14:paraId="4F2DF80B" w14:textId="77777777" w:rsidR="00F16166" w:rsidRDefault="00F16166" w:rsidP="00F16166">
      <w:pPr>
        <w:spacing w:line="360" w:lineRule="auto"/>
        <w:jc w:val="both"/>
        <w:rPr>
          <w:rFonts w:ascii="Times New Roman" w:hAnsi="Times New Roman" w:cs="Times New Roman"/>
        </w:rPr>
      </w:pPr>
    </w:p>
    <w:p w14:paraId="319194B0" w14:textId="77777777" w:rsidR="00F16166" w:rsidRDefault="00F16166" w:rsidP="00F16166">
      <w:pPr>
        <w:spacing w:line="360" w:lineRule="auto"/>
        <w:jc w:val="both"/>
        <w:rPr>
          <w:rFonts w:ascii="Times New Roman" w:hAnsi="Times New Roman" w:cs="Times New Roman"/>
        </w:rPr>
      </w:pPr>
    </w:p>
    <w:p w14:paraId="390203D9"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lastRenderedPageBreak/>
        <w:t>2.2 Sample Collection</w:t>
      </w:r>
    </w:p>
    <w:p w14:paraId="1D5A627E" w14:textId="77777777" w:rsidR="00F16166" w:rsidRPr="00916606" w:rsidRDefault="00F16166" w:rsidP="00F16166">
      <w:pPr>
        <w:spacing w:line="360" w:lineRule="auto"/>
        <w:jc w:val="both"/>
        <w:rPr>
          <w:rFonts w:ascii="Times New Roman" w:hAnsi="Times New Roman" w:cs="Times New Roman"/>
        </w:rPr>
      </w:pPr>
      <w:r w:rsidRPr="00916606">
        <w:rPr>
          <w:rFonts w:ascii="Times New Roman" w:hAnsi="Times New Roman" w:cs="Times New Roman"/>
        </w:rPr>
        <w:t xml:space="preserve">A total of twenty-four (24) herbal </w:t>
      </w:r>
      <w:r>
        <w:rPr>
          <w:rFonts w:ascii="Times New Roman" w:hAnsi="Times New Roman" w:cs="Times New Roman"/>
        </w:rPr>
        <w:t xml:space="preserve">decoction </w:t>
      </w:r>
      <w:r w:rsidRPr="00916606">
        <w:rPr>
          <w:rFonts w:ascii="Times New Roman" w:hAnsi="Times New Roman" w:cs="Times New Roman"/>
        </w:rPr>
        <w:t>products were bought in three batches from pharmacies and the open market in Kumasi, Ghana.</w:t>
      </w:r>
    </w:p>
    <w:p w14:paraId="2F813A44" w14:textId="77777777" w:rsidR="00F16166" w:rsidRDefault="00F16166" w:rsidP="00F16166">
      <w:pPr>
        <w:spacing w:line="360" w:lineRule="auto"/>
        <w:jc w:val="both"/>
        <w:rPr>
          <w:rFonts w:ascii="Times New Roman" w:hAnsi="Times New Roman" w:cs="Times New Roman"/>
        </w:rPr>
      </w:pPr>
      <w:r w:rsidRPr="00D71556">
        <w:rPr>
          <w:rFonts w:ascii="Times New Roman" w:hAnsi="Times New Roman" w:cs="Times New Roman"/>
          <w:noProof/>
        </w:rPr>
        <w:drawing>
          <wp:inline distT="0" distB="0" distL="0" distR="0" wp14:anchorId="275457C4" wp14:editId="06233C0A">
            <wp:extent cx="5276850" cy="2343150"/>
            <wp:effectExtent l="0" t="0" r="0" b="0"/>
            <wp:docPr id="1528162369" name="Picture 1" descr="A group of bottles of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62369" name="Picture 1" descr="A group of bottles of liquid&#10;&#10;AI-generated content may be incorrect."/>
                    <pic:cNvPicPr/>
                  </pic:nvPicPr>
                  <pic:blipFill>
                    <a:blip r:embed="rId7"/>
                    <a:stretch>
                      <a:fillRect/>
                    </a:stretch>
                  </pic:blipFill>
                  <pic:spPr>
                    <a:xfrm>
                      <a:off x="0" y="0"/>
                      <a:ext cx="5276850" cy="2343150"/>
                    </a:xfrm>
                    <a:prstGeom prst="rect">
                      <a:avLst/>
                    </a:prstGeom>
                  </pic:spPr>
                </pic:pic>
              </a:graphicData>
            </a:graphic>
          </wp:inline>
        </w:drawing>
      </w:r>
    </w:p>
    <w:p w14:paraId="0BA508EA"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Figure 1: Some of the purchased herbal decoctions products</w:t>
      </w:r>
    </w:p>
    <w:p w14:paraId="5553B40D" w14:textId="77777777" w:rsidR="00F16166" w:rsidRDefault="00F16166" w:rsidP="00F16166">
      <w:pPr>
        <w:spacing w:line="360" w:lineRule="auto"/>
        <w:jc w:val="both"/>
        <w:rPr>
          <w:rFonts w:ascii="Times New Roman" w:hAnsi="Times New Roman" w:cs="Times New Roman"/>
        </w:rPr>
      </w:pPr>
    </w:p>
    <w:p w14:paraId="072F35A9"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2.3 Sample Preparation</w:t>
      </w:r>
    </w:p>
    <w:p w14:paraId="392A4D31" w14:textId="77777777" w:rsidR="00F16166" w:rsidRPr="00F622FE" w:rsidRDefault="00F16166" w:rsidP="00F16166">
      <w:pPr>
        <w:spacing w:line="360" w:lineRule="auto"/>
        <w:jc w:val="both"/>
        <w:rPr>
          <w:rFonts w:ascii="Times New Roman" w:hAnsi="Times New Roman" w:cs="Times New Roman"/>
        </w:rPr>
      </w:pPr>
      <w:r>
        <w:rPr>
          <w:rFonts w:ascii="Times New Roman" w:hAnsi="Times New Roman" w:cs="Times New Roman"/>
        </w:rPr>
        <w:t>After centrifuging each sample for 25 minutes at 3000 rpm, the supernatant was filtered and stored in sample vials for HPLC analysis (Linke et al., 2018; Tfouni and Toledo 2002). All the samples were diluted with water. The pH of the samples was measured before dilution. To assess the linearity of the Zexter digital pH meter, it was initially calibrated with standard pH buffer solutions, starting with buffers at pH 7, 10, and 4. After calibration, the pH meter probe was immersed in a cup containing the herbal decoction, gently stirred, and the pH reading was recorded after a few seconds.</w:t>
      </w:r>
    </w:p>
    <w:p w14:paraId="26E01E81"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2.4 Instrumentation</w:t>
      </w:r>
    </w:p>
    <w:p w14:paraId="7EFEFC32" w14:textId="77777777" w:rsidR="00F16166" w:rsidRPr="00E31484" w:rsidRDefault="00F16166" w:rsidP="00F16166">
      <w:pPr>
        <w:jc w:val="both"/>
      </w:pPr>
      <w:r w:rsidRPr="00B34A1D">
        <w:rPr>
          <w:rFonts w:ascii="Times New Roman" w:hAnsi="Times New Roman" w:cs="Times New Roman"/>
        </w:rPr>
        <w:t xml:space="preserve">Varian Proster </w:t>
      </w:r>
      <w:bookmarkStart w:id="0" w:name="_Hlk203848104"/>
      <w:r w:rsidRPr="00B34A1D">
        <w:rPr>
          <w:rFonts w:ascii="Times New Roman" w:hAnsi="Times New Roman" w:cs="Times New Roman"/>
        </w:rPr>
        <w:t>High Performance Liquid Chromatography</w:t>
      </w:r>
      <w:bookmarkEnd w:id="0"/>
      <w:r w:rsidRPr="00B34A1D">
        <w:rPr>
          <w:rFonts w:ascii="Times New Roman" w:hAnsi="Times New Roman" w:cs="Times New Roman"/>
        </w:rPr>
        <w:t>, Varian Inc, USA</w:t>
      </w:r>
      <w:r>
        <w:rPr>
          <w:rFonts w:ascii="Times New Roman" w:hAnsi="Times New Roman" w:cs="Times New Roman"/>
        </w:rPr>
        <w:t xml:space="preserve">. Equip with </w:t>
      </w:r>
      <w:r w:rsidRPr="00B34A1D">
        <w:rPr>
          <w:rFonts w:ascii="Times New Roman" w:hAnsi="Times New Roman" w:cs="Times New Roman"/>
        </w:rPr>
        <w:t>Galaxie chromatograph data system</w:t>
      </w:r>
      <w:r>
        <w:rPr>
          <w:rFonts w:ascii="Times New Roman" w:hAnsi="Times New Roman" w:cs="Times New Roman"/>
        </w:rPr>
        <w:t xml:space="preserve">, </w:t>
      </w:r>
      <w:r w:rsidRPr="00B34A1D">
        <w:rPr>
          <w:rFonts w:ascii="Times New Roman" w:hAnsi="Times New Roman" w:cs="Times New Roman"/>
        </w:rPr>
        <w:t xml:space="preserve">Varian Proster 210-218 SD-1 pumps, Phenomenex synergi 4µ polar – RP 80A 150×2mm 4-micron column </w:t>
      </w:r>
      <w:r>
        <w:rPr>
          <w:rFonts w:ascii="Times New Roman" w:hAnsi="Times New Roman" w:cs="Times New Roman"/>
        </w:rPr>
        <w:t>and</w:t>
      </w:r>
      <w:r w:rsidRPr="00B34A1D">
        <w:rPr>
          <w:rFonts w:ascii="Times New Roman" w:hAnsi="Times New Roman" w:cs="Times New Roman"/>
        </w:rPr>
        <w:t xml:space="preserve"> Proster 325 UV detector</w:t>
      </w:r>
      <w:r>
        <w:rPr>
          <w:rFonts w:ascii="Times New Roman" w:hAnsi="Times New Roman" w:cs="Times New Roman"/>
        </w:rPr>
        <w:t>.</w:t>
      </w:r>
      <w:r>
        <w:t xml:space="preserve"> </w:t>
      </w:r>
      <w:r>
        <w:rPr>
          <w:rFonts w:ascii="Times New Roman" w:hAnsi="Times New Roman" w:cs="Times New Roman"/>
        </w:rPr>
        <w:t>The Zexter Digital pH Meter (India).</w:t>
      </w:r>
    </w:p>
    <w:p w14:paraId="171E195B" w14:textId="77777777" w:rsidR="00F16166" w:rsidRDefault="00F16166" w:rsidP="00F16166">
      <w:pPr>
        <w:spacing w:line="360" w:lineRule="auto"/>
        <w:jc w:val="both"/>
        <w:rPr>
          <w:rFonts w:ascii="Times New Roman" w:hAnsi="Times New Roman" w:cs="Times New Roman"/>
        </w:rPr>
      </w:pPr>
    </w:p>
    <w:p w14:paraId="78BF7007"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lastRenderedPageBreak/>
        <w:t>2.5 chemicals Used</w:t>
      </w:r>
    </w:p>
    <w:p w14:paraId="6339B0AE"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Benzoic acid, extra pure, Gatt Koller (Germany). </w:t>
      </w:r>
    </w:p>
    <w:p w14:paraId="373BF208"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Benzene, 99%, Scientific laboratory reagent, Fissions scientific equipment (London).</w:t>
      </w:r>
    </w:p>
    <w:p w14:paraId="11C0E930"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t xml:space="preserve"> </w:t>
      </w:r>
      <w:r w:rsidRPr="005920A3">
        <w:rPr>
          <w:rFonts w:ascii="Times New Roman" w:hAnsi="Times New Roman" w:cs="Times New Roman"/>
        </w:rPr>
        <w:sym w:font="Symbol" w:char="F0B7"/>
      </w:r>
      <w:r w:rsidRPr="005920A3">
        <w:rPr>
          <w:rFonts w:ascii="Times New Roman" w:hAnsi="Times New Roman" w:cs="Times New Roman"/>
        </w:rPr>
        <w:t xml:space="preserve"> Acetonitrile, G Chromasolv, HPLC super gradient grade, Sigma Aldrich (Germany). </w:t>
      </w:r>
    </w:p>
    <w:p w14:paraId="30BE8678"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Ammonium acetate, 97%, Alfa Aesar, Johnson Mathey Company (UK). </w:t>
      </w:r>
    </w:p>
    <w:p w14:paraId="18396DA2"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Acetic acid, Analytical reagent, GFS Chemicals, Inc, Columbus. </w:t>
      </w:r>
    </w:p>
    <w:p w14:paraId="6E2F90A1" w14:textId="77777777" w:rsidR="00F16166" w:rsidRDefault="00F16166" w:rsidP="00F16166">
      <w:pPr>
        <w:spacing w:line="360" w:lineRule="auto"/>
        <w:jc w:val="both"/>
        <w:rPr>
          <w:rFonts w:ascii="Times New Roman" w:hAnsi="Times New Roman" w:cs="Times New Roman"/>
        </w:rPr>
      </w:pPr>
      <w:r w:rsidRPr="005920A3">
        <w:rPr>
          <w:rFonts w:ascii="Times New Roman" w:hAnsi="Times New Roman" w:cs="Times New Roman"/>
        </w:rPr>
        <w:sym w:font="Symbol" w:char="F0B7"/>
      </w:r>
      <w:r w:rsidRPr="005920A3">
        <w:rPr>
          <w:rFonts w:ascii="Times New Roman" w:hAnsi="Times New Roman" w:cs="Times New Roman"/>
        </w:rPr>
        <w:t xml:space="preserve"> Methanol, Chromasolv for HPLC, Sigma Aldrich (Germany)</w:t>
      </w:r>
    </w:p>
    <w:p w14:paraId="31CC53D8"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2.6 Mobile Phase Preparation</w:t>
      </w:r>
    </w:p>
    <w:p w14:paraId="06B959EB" w14:textId="45826219" w:rsidR="00F16166" w:rsidRDefault="00F16166" w:rsidP="00F16166">
      <w:pPr>
        <w:spacing w:line="360" w:lineRule="auto"/>
        <w:jc w:val="both"/>
        <w:rPr>
          <w:rFonts w:ascii="Times New Roman" w:hAnsi="Times New Roman" w:cs="Times New Roman"/>
        </w:rPr>
      </w:pPr>
      <w:r w:rsidRPr="00795A66">
        <w:rPr>
          <w:rFonts w:ascii="Times New Roman" w:hAnsi="Times New Roman" w:cs="Times New Roman"/>
        </w:rPr>
        <w:t xml:space="preserve">The mobile phase, adapted from Garcı́a et al. (2003), </w:t>
      </w:r>
      <w:r w:rsidR="00027A1E" w:rsidRPr="00027A1E">
        <w:rPr>
          <w:rFonts w:ascii="Times New Roman" w:hAnsi="Times New Roman" w:cs="Times New Roman"/>
        </w:rPr>
        <w:t>was made up of 90% ammonium acetate buffer and 10% HPLC-grade acetonitrile. The buffer solution was prepared by dissolving 7.6 g of ammonium acetate in double-distilled water, diluting to 2000 mL. The pH of the solution was adjusted to 4.4 with acetic acid.</w:t>
      </w:r>
      <w:r w:rsidR="00027A1E">
        <w:rPr>
          <w:rFonts w:ascii="Times New Roman" w:hAnsi="Times New Roman" w:cs="Times New Roman"/>
        </w:rPr>
        <w:t xml:space="preserve"> </w:t>
      </w:r>
      <w:r w:rsidRPr="00795A66">
        <w:rPr>
          <w:rFonts w:ascii="Times New Roman" w:hAnsi="Times New Roman" w:cs="Times New Roman"/>
        </w:rPr>
        <w:t xml:space="preserve">For the mobile phase, 1800 mL of the buffer was mixed with 200 mL of acetonitrile, thoroughly shaken, filtered using Whatman filter paper, and stored in a refrigerator </w:t>
      </w:r>
      <w:r>
        <w:rPr>
          <w:rFonts w:ascii="Times New Roman" w:hAnsi="Times New Roman" w:cs="Times New Roman"/>
        </w:rPr>
        <w:t>and used throughout the</w:t>
      </w:r>
      <w:r w:rsidRPr="00795A66">
        <w:rPr>
          <w:rFonts w:ascii="Times New Roman" w:hAnsi="Times New Roman" w:cs="Times New Roman"/>
        </w:rPr>
        <w:t xml:space="preserve"> analysis.</w:t>
      </w:r>
    </w:p>
    <w:p w14:paraId="0FBB34B0"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2.7 Standards Preparation</w:t>
      </w:r>
    </w:p>
    <w:p w14:paraId="2DB5C762" w14:textId="77777777" w:rsidR="00F014A4" w:rsidRDefault="00F014A4" w:rsidP="00F16166">
      <w:pPr>
        <w:spacing w:after="0" w:line="360" w:lineRule="auto"/>
        <w:jc w:val="both"/>
        <w:rPr>
          <w:rFonts w:ascii="Times New Roman" w:hAnsi="Times New Roman" w:cs="Times New Roman"/>
        </w:rPr>
      </w:pPr>
      <w:r w:rsidRPr="00F014A4">
        <w:rPr>
          <w:rFonts w:ascii="Times New Roman" w:eastAsia="Times New Roman" w:hAnsi="Times New Roman" w:cs="Times New Roman"/>
          <w:kern w:val="0"/>
          <w14:ligatures w14:val="none"/>
        </w:rPr>
        <w:t xml:space="preserve">A 250 mg/L stock solution was prepared by weighing 0.25 g of extra-pure benzoic acid into a 250 mL volumetric flask, dissolving it in double-distilled water with the aid of a magnetic stirrer, and then making up the volume with double-distilled water before filtering. Working standard solutions of 75, 50, 25, 15, and 5 mg/L were subsequently prepared using the dilution formula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1</m:t>
            </m:r>
          </m:sub>
        </m:sSub>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2</m:t>
            </m:r>
          </m:sub>
        </m:sSub>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V</m:t>
            </m:r>
          </m:e>
          <m:sub>
            <m:r>
              <w:rPr>
                <w:rFonts w:ascii="Cambria Math" w:eastAsia="Times New Roman" w:hAnsi="Cambria Math" w:cs="Times New Roman"/>
                <w:kern w:val="0"/>
                <w14:ligatures w14:val="none"/>
              </w:rPr>
              <m:t>2</m:t>
            </m:r>
          </m:sub>
        </m:sSub>
      </m:oMath>
      <w:r w:rsidRPr="00F014A4">
        <w:rPr>
          <w:rFonts w:ascii="Times New Roman" w:eastAsia="Times New Roman" w:hAnsi="Times New Roman" w:cs="Times New Roman"/>
          <w:kern w:val="0"/>
          <w14:ligatures w14:val="none"/>
        </w:rPr>
        <w:t>.</w:t>
      </w:r>
    </w:p>
    <w:p w14:paraId="1EE8418C" w14:textId="630764E0" w:rsidR="00F16166" w:rsidRPr="008E0848" w:rsidRDefault="00F16166" w:rsidP="00F16166">
      <w:pPr>
        <w:spacing w:after="0" w:line="360" w:lineRule="auto"/>
        <w:jc w:val="both"/>
        <w:rPr>
          <w:rFonts w:ascii="Times New Roman" w:eastAsia="Times New Roman" w:hAnsi="Times New Roman" w:cs="Times New Roman"/>
          <w:kern w:val="0"/>
          <w14:ligatures w14:val="none"/>
        </w:rPr>
      </w:pPr>
      <w:r w:rsidRPr="00F014A4">
        <w:rPr>
          <w:rFonts w:ascii="Times New Roman" w:hAnsi="Times New Roman" w:cs="Times New Roman"/>
        </w:rPr>
        <w:br/>
      </w:r>
      <w:r>
        <w:rPr>
          <w:rFonts w:ascii="Times New Roman" w:hAnsi="Times New Roman" w:cs="Times New Roman"/>
        </w:rPr>
        <w:t>2.8 Optimization</w:t>
      </w:r>
    </w:p>
    <w:p w14:paraId="4F2754A0" w14:textId="77777777" w:rsidR="00F16166" w:rsidRPr="008E0848" w:rsidRDefault="00F16166" w:rsidP="00F16166">
      <w:pPr>
        <w:spacing w:line="360" w:lineRule="auto"/>
        <w:jc w:val="both"/>
        <w:rPr>
          <w:rFonts w:ascii="Times New Roman" w:hAnsi="Times New Roman" w:cs="Times New Roman"/>
        </w:rPr>
      </w:pPr>
      <w:r w:rsidRPr="008E0848">
        <w:rPr>
          <w:rFonts w:ascii="Times New Roman" w:hAnsi="Times New Roman" w:cs="Times New Roman"/>
        </w:rPr>
        <w:t>This process was done before the sample</w:t>
      </w:r>
      <w:r>
        <w:rPr>
          <w:rFonts w:ascii="Times New Roman" w:hAnsi="Times New Roman" w:cs="Times New Roman"/>
        </w:rPr>
        <w:t>s</w:t>
      </w:r>
      <w:r w:rsidRPr="008E0848">
        <w:rPr>
          <w:rFonts w:ascii="Times New Roman" w:hAnsi="Times New Roman" w:cs="Times New Roman"/>
        </w:rPr>
        <w:t xml:space="preserve"> w</w:t>
      </w:r>
      <w:r>
        <w:rPr>
          <w:rFonts w:ascii="Times New Roman" w:hAnsi="Times New Roman" w:cs="Times New Roman"/>
        </w:rPr>
        <w:t>ere</w:t>
      </w:r>
      <w:r w:rsidRPr="008E0848">
        <w:rPr>
          <w:rFonts w:ascii="Times New Roman" w:hAnsi="Times New Roman" w:cs="Times New Roman"/>
        </w:rPr>
        <w:t xml:space="preserve"> analyzed in order to determine the ideal parameters, especially the wavelength. The maximum absorption wavelength of the benzoic acid stock solution was measured using a UV spectrophotometer and was discovered to be 238 nm. </w:t>
      </w:r>
      <w:r w:rsidRPr="00041505">
        <w:rPr>
          <w:rFonts w:ascii="Times New Roman" w:hAnsi="Times New Roman" w:cs="Times New Roman"/>
        </w:rPr>
        <w:t>Multiple runs were conducted to determine the retention time, and both the retention time and total analysis time for benzoic acid were established.</w:t>
      </w:r>
    </w:p>
    <w:p w14:paraId="32E663E1"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lastRenderedPageBreak/>
        <w:t>2.9 Calibration Curve</w:t>
      </w:r>
    </w:p>
    <w:p w14:paraId="4B927BD7" w14:textId="77777777" w:rsidR="00F16166" w:rsidRPr="00B65948" w:rsidRDefault="00F16166" w:rsidP="00F16166">
      <w:pPr>
        <w:spacing w:line="360" w:lineRule="auto"/>
        <w:jc w:val="both"/>
        <w:rPr>
          <w:rFonts w:ascii="Times New Roman" w:hAnsi="Times New Roman" w:cs="Times New Roman"/>
        </w:rPr>
      </w:pPr>
      <w:r w:rsidRPr="00B65948">
        <w:rPr>
          <w:rFonts w:ascii="Times New Roman" w:hAnsi="Times New Roman" w:cs="Times New Roman"/>
        </w:rPr>
        <w:t>Using benzoic acid standards ranging from 1 to 50 mg/L, the external standard calibration method was used. After injecting 20 µL of each standard, the associated peak areas were noted. The peak area (y) was plotted against the concentration of benzoic acid (x, mg/L) to create a calibration curve. To ascertain the calibration curve's slope, y-intercept, and correlation coefficient (R2), least squares linear regression was employed.</w:t>
      </w:r>
    </w:p>
    <w:p w14:paraId="4DA5BD6C"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2.10 Quantification</w:t>
      </w:r>
    </w:p>
    <w:p w14:paraId="6A60BBA9" w14:textId="77777777" w:rsidR="00F16166" w:rsidRPr="005C2227" w:rsidRDefault="00F16166" w:rsidP="00F16166">
      <w:pPr>
        <w:spacing w:line="360" w:lineRule="auto"/>
        <w:jc w:val="both"/>
        <w:rPr>
          <w:rFonts w:ascii="Times New Roman" w:hAnsi="Times New Roman" w:cs="Times New Roman"/>
        </w:rPr>
      </w:pPr>
      <w:r w:rsidRPr="005C2227">
        <w:rPr>
          <w:rFonts w:ascii="Times New Roman" w:hAnsi="Times New Roman" w:cs="Times New Roman"/>
        </w:rPr>
        <w:t>The sample was quantified and calibrated using the Varian ProStar HPLC machine, which was outfitted with the Galaxie Chromatography Data software. The software-generated calibration curve was used to compare the peak regions of the samples with the standards in order to do quantification.</w:t>
      </w:r>
    </w:p>
    <w:p w14:paraId="1C0C4406"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2.11 Limit of Detection and Quantification</w:t>
      </w:r>
    </w:p>
    <w:p w14:paraId="6734D584" w14:textId="77777777" w:rsidR="00AE11FF" w:rsidRDefault="00F16166" w:rsidP="00F16166">
      <w:pPr>
        <w:spacing w:line="360" w:lineRule="auto"/>
        <w:jc w:val="both"/>
        <w:rPr>
          <w:rFonts w:ascii="Times New Roman" w:hAnsi="Times New Roman" w:cs="Times New Roman"/>
        </w:rPr>
      </w:pPr>
      <w:r w:rsidRPr="00D43190">
        <w:rPr>
          <w:rFonts w:ascii="Times New Roman" w:hAnsi="Times New Roman" w:cs="Times New Roman"/>
        </w:rPr>
        <w:t xml:space="preserve">The lowest analyte level that may be detected with a reasonable degree of confidence is known as the limit of quantitation (LOQ), </w:t>
      </w:r>
      <w:r w:rsidR="00AE11FF" w:rsidRPr="00AE11FF">
        <w:rPr>
          <w:rFonts w:ascii="Times New Roman" w:hAnsi="Times New Roman" w:cs="Times New Roman"/>
        </w:rPr>
        <w:t>whereas the very small peak whose signal height is three times that of the baseline is called the limit of detection (LOD). In this work, the limit of detection and quantitation were established by gradually reducing the concentration of a known standard and injecting it into the instrument until no reasonable peak was observed. For the calculation of the limit of detection and quantification, the concentration was multiplied by 3 and 10, respectively.</w:t>
      </w:r>
    </w:p>
    <w:p w14:paraId="4500A7ED" w14:textId="37738EAA" w:rsidR="00F16166" w:rsidRDefault="00F16166" w:rsidP="00F16166">
      <w:pPr>
        <w:spacing w:line="360" w:lineRule="auto"/>
        <w:jc w:val="both"/>
        <w:rPr>
          <w:rFonts w:ascii="Times New Roman" w:hAnsi="Times New Roman" w:cs="Times New Roman"/>
        </w:rPr>
      </w:pPr>
      <w:r>
        <w:rPr>
          <w:rFonts w:ascii="Times New Roman" w:hAnsi="Times New Roman" w:cs="Times New Roman"/>
        </w:rPr>
        <w:t>2.12 Recovery Study</w:t>
      </w:r>
    </w:p>
    <w:p w14:paraId="45370471" w14:textId="49F1ACA3" w:rsidR="00F16166" w:rsidRDefault="00AE11FF" w:rsidP="00F16166">
      <w:pPr>
        <w:spacing w:line="360" w:lineRule="auto"/>
        <w:jc w:val="both"/>
        <w:rPr>
          <w:rFonts w:ascii="Times New Roman" w:hAnsi="Times New Roman" w:cs="Times New Roman"/>
        </w:rPr>
      </w:pPr>
      <w:r w:rsidRPr="00AE11FF">
        <w:rPr>
          <w:rFonts w:ascii="Times New Roman" w:hAnsi="Times New Roman" w:cs="Times New Roman"/>
        </w:rPr>
        <w:t>Recovery studies by spiking samples containing very low levels of benzoic acid (&lt; 0.4 mg/L) with a known standard were performed to check the accuracy and precision of the analytical procedure. For this purpose, 2 mL of each sample mixture was mixed with 2 mL of a 25 mg/L standard and injected. Because of dilution, the actual concentration becomes 12.5 mg/L.</w:t>
      </w:r>
      <w:r>
        <w:rPr>
          <w:rFonts w:ascii="Times New Roman" w:hAnsi="Times New Roman" w:cs="Times New Roman"/>
        </w:rPr>
        <w:t xml:space="preserve"> </w:t>
      </w:r>
      <w:r w:rsidR="00F16166">
        <w:rPr>
          <w:rFonts w:ascii="Times New Roman" w:hAnsi="Times New Roman" w:cs="Times New Roman"/>
        </w:rPr>
        <w:t>The recovery is calculated by dividing the observed concentration by the known concentration and multiplying by 100.</w:t>
      </w:r>
    </w:p>
    <w:p w14:paraId="6AB2389E" w14:textId="77777777" w:rsidR="00F16166" w:rsidRPr="005122BD" w:rsidRDefault="00F16166" w:rsidP="00F16166">
      <w:pPr>
        <w:autoSpaceDE w:val="0"/>
        <w:autoSpaceDN w:val="0"/>
        <w:adjustRightInd w:val="0"/>
        <w:spacing w:after="0" w:line="360" w:lineRule="auto"/>
        <w:rPr>
          <w:rFonts w:ascii="Times New Roman" w:eastAsia="TradeGothic-Light" w:hAnsi="Times New Roman" w:cs="Times New Roman"/>
        </w:rPr>
      </w:pPr>
      <m:oMathPara>
        <m:oMath>
          <m:r>
            <m:rPr>
              <m:nor/>
            </m:rPr>
            <w:rPr>
              <w:rFonts w:ascii="Times New Roman" w:eastAsia="Calibri" w:hAnsi="Times New Roman" w:cs="Times New Roman"/>
            </w:rPr>
            <m:t>% Recovery=</m:t>
          </m:r>
          <m:f>
            <m:fPr>
              <m:ctrlPr>
                <w:rPr>
                  <w:rFonts w:ascii="Cambria Math" w:eastAsia="Calibri" w:hAnsi="Cambria Math" w:cs="Times New Roman"/>
                  <w:i/>
                </w:rPr>
              </m:ctrlPr>
            </m:fPr>
            <m:num>
              <m:r>
                <m:rPr>
                  <m:nor/>
                </m:rPr>
                <w:rPr>
                  <w:rFonts w:ascii="Times New Roman" w:eastAsia="Calibri" w:hAnsi="Times New Roman" w:cs="Times New Roman"/>
                </w:rPr>
                <m:t xml:space="preserve">Concentration of surrogate recovered </m:t>
              </m:r>
            </m:num>
            <m:den>
              <m:r>
                <m:rPr>
                  <m:nor/>
                </m:rPr>
                <w:rPr>
                  <w:rFonts w:ascii="Times New Roman" w:eastAsia="Calibri" w:hAnsi="Times New Roman" w:cs="Times New Roman"/>
                </w:rPr>
                <m:t>Concentration of  surrogate spiked</m:t>
              </m:r>
            </m:den>
          </m:f>
          <m:r>
            <m:rPr>
              <m:nor/>
            </m:rPr>
            <w:rPr>
              <w:rFonts w:ascii="Times New Roman" w:eastAsia="Calibri" w:hAnsi="Times New Roman" w:cs="Times New Roman"/>
            </w:rPr>
            <m:t>×100</m:t>
          </m:r>
        </m:oMath>
      </m:oMathPara>
    </w:p>
    <w:p w14:paraId="5232EFDF" w14:textId="77777777" w:rsidR="00F16166" w:rsidRDefault="00F16166" w:rsidP="00F16166">
      <w:pPr>
        <w:spacing w:line="360" w:lineRule="auto"/>
        <w:jc w:val="both"/>
        <w:rPr>
          <w:rFonts w:ascii="Times New Roman" w:hAnsi="Times New Roman" w:cs="Times New Roman"/>
        </w:rPr>
      </w:pPr>
    </w:p>
    <w:p w14:paraId="07291C20" w14:textId="77777777" w:rsidR="00F16166" w:rsidRDefault="00F16166" w:rsidP="00F16166">
      <w:pPr>
        <w:spacing w:line="360" w:lineRule="auto"/>
        <w:jc w:val="both"/>
        <w:rPr>
          <w:rFonts w:ascii="Times New Roman" w:hAnsi="Times New Roman" w:cs="Times New Roman"/>
        </w:rPr>
      </w:pPr>
    </w:p>
    <w:p w14:paraId="4F28B07F"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 xml:space="preserve">2.13 Reproducibility </w:t>
      </w:r>
    </w:p>
    <w:p w14:paraId="1DCA5645" w14:textId="11DAC829" w:rsidR="005B58F2" w:rsidRPr="00046D60" w:rsidRDefault="00F16166" w:rsidP="005B58F2">
      <w:pPr>
        <w:spacing w:line="360" w:lineRule="auto"/>
        <w:jc w:val="both"/>
        <w:rPr>
          <w:rFonts w:ascii="Times New Roman" w:hAnsi="Times New Roman" w:cs="Times New Roman"/>
          <w:color w:val="EE0000"/>
        </w:rPr>
      </w:pPr>
      <w:r w:rsidRPr="00295113">
        <w:rPr>
          <w:rFonts w:ascii="Times New Roman" w:hAnsi="Times New Roman" w:cs="Times New Roman"/>
        </w:rPr>
        <w:t xml:space="preserve">The mid-standard benzoic acid was injected daily during the study to ensure the method's repeatability. </w:t>
      </w:r>
      <w:r w:rsidR="005B58F2" w:rsidRPr="00295113">
        <w:rPr>
          <w:rFonts w:ascii="Times New Roman" w:hAnsi="Times New Roman" w:cs="Times New Roman"/>
        </w:rPr>
        <w:t xml:space="preserve">In order to verify the method's repeatability, the </w:t>
      </w:r>
      <w:r w:rsidR="005B58F2">
        <w:rPr>
          <w:rFonts w:ascii="Times New Roman" w:hAnsi="Times New Roman" w:cs="Times New Roman"/>
        </w:rPr>
        <w:t>coefficient of variation (CV%)</w:t>
      </w:r>
      <w:r w:rsidR="005B58F2" w:rsidRPr="00295113">
        <w:rPr>
          <w:rFonts w:ascii="Times New Roman" w:hAnsi="Times New Roman" w:cs="Times New Roman"/>
        </w:rPr>
        <w:t xml:space="preserve"> was calculated.</w:t>
      </w:r>
      <w:r w:rsidR="005B58F2">
        <w:rPr>
          <w:rFonts w:ascii="Times New Roman" w:hAnsi="Times New Roman" w:cs="Times New Roman"/>
        </w:rPr>
        <w:t xml:space="preserve"> </w:t>
      </w:r>
      <w:r w:rsidR="005B58F2" w:rsidRPr="00046D60">
        <w:rPr>
          <w:rFonts w:ascii="Times New Roman" w:hAnsi="Times New Roman" w:cs="Times New Roman"/>
          <w:color w:val="EE0000"/>
        </w:rPr>
        <w:t>The CV% was 3.11% which indicated high reproducibility of the method</w:t>
      </w:r>
      <w:r w:rsidR="005B58F2">
        <w:rPr>
          <w:rFonts w:ascii="Times New Roman" w:hAnsi="Times New Roman" w:cs="Times New Roman"/>
          <w:color w:val="EE0000"/>
        </w:rPr>
        <w:t>.</w:t>
      </w:r>
    </w:p>
    <w:p w14:paraId="3148DE6B" w14:textId="765C57F9" w:rsidR="00F16166" w:rsidRDefault="00F16166" w:rsidP="00F16166">
      <w:pPr>
        <w:spacing w:line="360" w:lineRule="auto"/>
        <w:jc w:val="both"/>
        <w:rPr>
          <w:rFonts w:ascii="Times New Roman" w:hAnsi="Times New Roman" w:cs="Times New Roman"/>
        </w:rPr>
      </w:pPr>
    </w:p>
    <w:p w14:paraId="538971B5" w14:textId="77777777" w:rsidR="00F16166" w:rsidRDefault="00F16166" w:rsidP="00F16166">
      <w:pPr>
        <w:spacing w:line="360" w:lineRule="auto"/>
        <w:jc w:val="both"/>
        <w:rPr>
          <w:rFonts w:ascii="Times New Roman" w:hAnsi="Times New Roman" w:cs="Times New Roman"/>
        </w:rPr>
      </w:pPr>
    </w:p>
    <w:p w14:paraId="5ADC077E" w14:textId="77777777" w:rsidR="00F16166" w:rsidRDefault="00F16166" w:rsidP="00F16166">
      <w:pPr>
        <w:spacing w:line="360" w:lineRule="auto"/>
        <w:jc w:val="both"/>
        <w:rPr>
          <w:rFonts w:ascii="Times New Roman" w:hAnsi="Times New Roman" w:cs="Times New Roman"/>
        </w:rPr>
      </w:pPr>
    </w:p>
    <w:p w14:paraId="46184557" w14:textId="77777777" w:rsidR="00F16166" w:rsidRDefault="00F16166" w:rsidP="00F16166">
      <w:pPr>
        <w:spacing w:line="360" w:lineRule="auto"/>
        <w:jc w:val="both"/>
        <w:rPr>
          <w:rFonts w:ascii="Times New Roman" w:hAnsi="Times New Roman" w:cs="Times New Roman"/>
        </w:rPr>
      </w:pPr>
    </w:p>
    <w:p w14:paraId="2C28E8E8" w14:textId="77777777" w:rsidR="00F16166" w:rsidRDefault="00F16166" w:rsidP="00F16166">
      <w:pPr>
        <w:spacing w:line="360" w:lineRule="auto"/>
        <w:jc w:val="both"/>
        <w:rPr>
          <w:rFonts w:ascii="Times New Roman" w:hAnsi="Times New Roman" w:cs="Times New Roman"/>
        </w:rPr>
      </w:pPr>
    </w:p>
    <w:p w14:paraId="387BDF01" w14:textId="77777777" w:rsidR="00F16166" w:rsidRDefault="00F16166" w:rsidP="00F16166">
      <w:pPr>
        <w:spacing w:line="360" w:lineRule="auto"/>
        <w:jc w:val="both"/>
        <w:rPr>
          <w:rFonts w:ascii="Times New Roman" w:hAnsi="Times New Roman" w:cs="Times New Roman"/>
        </w:rPr>
      </w:pPr>
    </w:p>
    <w:p w14:paraId="0326F139" w14:textId="77777777" w:rsidR="00F16166" w:rsidRDefault="00F16166" w:rsidP="00F16166">
      <w:pPr>
        <w:spacing w:line="360" w:lineRule="auto"/>
        <w:jc w:val="both"/>
        <w:rPr>
          <w:rFonts w:ascii="Times New Roman" w:hAnsi="Times New Roman" w:cs="Times New Roman"/>
        </w:rPr>
      </w:pPr>
    </w:p>
    <w:p w14:paraId="0800D29B" w14:textId="77777777" w:rsidR="00F16166" w:rsidRDefault="00F16166" w:rsidP="00F16166">
      <w:pPr>
        <w:spacing w:line="360" w:lineRule="auto"/>
        <w:jc w:val="both"/>
        <w:rPr>
          <w:rFonts w:ascii="Times New Roman" w:hAnsi="Times New Roman" w:cs="Times New Roman"/>
        </w:rPr>
      </w:pPr>
    </w:p>
    <w:p w14:paraId="229C2EF2" w14:textId="77777777" w:rsidR="00F16166" w:rsidRDefault="00F16166" w:rsidP="00F16166">
      <w:pPr>
        <w:spacing w:line="360" w:lineRule="auto"/>
        <w:jc w:val="both"/>
        <w:rPr>
          <w:rFonts w:ascii="Times New Roman" w:hAnsi="Times New Roman" w:cs="Times New Roman"/>
        </w:rPr>
      </w:pPr>
    </w:p>
    <w:p w14:paraId="5CC1D1F2" w14:textId="77777777" w:rsidR="00F16166" w:rsidRDefault="00F16166" w:rsidP="00F16166">
      <w:pPr>
        <w:spacing w:line="360" w:lineRule="auto"/>
        <w:jc w:val="both"/>
        <w:rPr>
          <w:rFonts w:ascii="Times New Roman" w:hAnsi="Times New Roman" w:cs="Times New Roman"/>
        </w:rPr>
      </w:pPr>
    </w:p>
    <w:p w14:paraId="12A00BEB" w14:textId="77777777" w:rsidR="00F16166" w:rsidRDefault="00F16166" w:rsidP="00F16166">
      <w:pPr>
        <w:spacing w:line="360" w:lineRule="auto"/>
        <w:jc w:val="both"/>
        <w:rPr>
          <w:rFonts w:ascii="Times New Roman" w:hAnsi="Times New Roman" w:cs="Times New Roman"/>
          <w:b/>
          <w:bCs/>
        </w:rPr>
      </w:pPr>
    </w:p>
    <w:p w14:paraId="20F5EDD2" w14:textId="77777777" w:rsidR="00F16166" w:rsidRDefault="00F16166" w:rsidP="00F16166">
      <w:pPr>
        <w:spacing w:line="360" w:lineRule="auto"/>
        <w:jc w:val="both"/>
        <w:rPr>
          <w:rFonts w:ascii="Times New Roman" w:hAnsi="Times New Roman" w:cs="Times New Roman"/>
          <w:b/>
          <w:bCs/>
        </w:rPr>
      </w:pPr>
    </w:p>
    <w:p w14:paraId="15B154A7" w14:textId="77777777" w:rsidR="00F16166" w:rsidRDefault="00F16166" w:rsidP="00F16166">
      <w:pPr>
        <w:spacing w:line="360" w:lineRule="auto"/>
        <w:jc w:val="both"/>
        <w:rPr>
          <w:rFonts w:ascii="Times New Roman" w:hAnsi="Times New Roman" w:cs="Times New Roman"/>
          <w:b/>
          <w:bCs/>
        </w:rPr>
      </w:pPr>
    </w:p>
    <w:p w14:paraId="4F094975" w14:textId="77777777" w:rsidR="00F16166" w:rsidRDefault="00F16166" w:rsidP="00F16166">
      <w:pPr>
        <w:spacing w:line="360" w:lineRule="auto"/>
        <w:jc w:val="both"/>
        <w:rPr>
          <w:rFonts w:ascii="Times New Roman" w:hAnsi="Times New Roman" w:cs="Times New Roman"/>
          <w:b/>
          <w:bCs/>
        </w:rPr>
      </w:pPr>
    </w:p>
    <w:p w14:paraId="3253EF96" w14:textId="77777777" w:rsidR="00F16166" w:rsidRDefault="00F16166" w:rsidP="00F16166">
      <w:pPr>
        <w:spacing w:line="360" w:lineRule="auto"/>
        <w:jc w:val="both"/>
        <w:rPr>
          <w:rFonts w:ascii="Times New Roman" w:hAnsi="Times New Roman" w:cs="Times New Roman"/>
          <w:b/>
          <w:bCs/>
        </w:rPr>
      </w:pPr>
    </w:p>
    <w:p w14:paraId="591B1E6A" w14:textId="77777777" w:rsidR="00F16166" w:rsidRDefault="00F16166" w:rsidP="00F16166">
      <w:pPr>
        <w:spacing w:line="360" w:lineRule="auto"/>
        <w:jc w:val="both"/>
        <w:rPr>
          <w:rFonts w:ascii="Times New Roman" w:hAnsi="Times New Roman" w:cs="Times New Roman"/>
          <w:b/>
          <w:bCs/>
        </w:rPr>
      </w:pPr>
    </w:p>
    <w:p w14:paraId="006AA8F2" w14:textId="77777777" w:rsidR="00F16166" w:rsidRDefault="00F16166" w:rsidP="00F16166">
      <w:pPr>
        <w:spacing w:line="360" w:lineRule="auto"/>
        <w:jc w:val="both"/>
        <w:rPr>
          <w:rFonts w:ascii="Times New Roman" w:hAnsi="Times New Roman" w:cs="Times New Roman"/>
          <w:b/>
          <w:bCs/>
        </w:rPr>
      </w:pPr>
    </w:p>
    <w:p w14:paraId="16DFF6A0" w14:textId="77777777" w:rsidR="00F16166" w:rsidRDefault="00F16166" w:rsidP="00F16166">
      <w:pPr>
        <w:spacing w:line="360" w:lineRule="auto"/>
        <w:jc w:val="both"/>
        <w:rPr>
          <w:rFonts w:ascii="Times New Roman" w:hAnsi="Times New Roman" w:cs="Times New Roman"/>
          <w:b/>
          <w:bCs/>
        </w:rPr>
      </w:pPr>
    </w:p>
    <w:p w14:paraId="29052022" w14:textId="77777777" w:rsidR="00F16166" w:rsidRDefault="00F16166" w:rsidP="00F16166">
      <w:pPr>
        <w:spacing w:line="360" w:lineRule="auto"/>
        <w:jc w:val="both"/>
        <w:rPr>
          <w:rFonts w:ascii="Times New Roman" w:hAnsi="Times New Roman" w:cs="Times New Roman"/>
          <w:b/>
          <w:bCs/>
        </w:rPr>
      </w:pPr>
    </w:p>
    <w:p w14:paraId="44AE8CAF" w14:textId="77777777" w:rsidR="00F16166" w:rsidRPr="00A7261D" w:rsidRDefault="00F16166" w:rsidP="00F16166">
      <w:pPr>
        <w:spacing w:line="360" w:lineRule="auto"/>
        <w:jc w:val="both"/>
        <w:rPr>
          <w:rFonts w:ascii="Times New Roman" w:hAnsi="Times New Roman" w:cs="Times New Roman"/>
          <w:b/>
          <w:bCs/>
        </w:rPr>
      </w:pPr>
      <w:r w:rsidRPr="00A7261D">
        <w:rPr>
          <w:rFonts w:ascii="Times New Roman" w:hAnsi="Times New Roman" w:cs="Times New Roman"/>
          <w:b/>
          <w:bCs/>
        </w:rPr>
        <w:t>3.0 RESULTS AND DISCUSSION</w:t>
      </w:r>
    </w:p>
    <w:p w14:paraId="4FCC3D2F" w14:textId="77777777" w:rsidR="005B58F2" w:rsidRPr="00E17500" w:rsidRDefault="00F16166" w:rsidP="005B58F2">
      <w:pPr>
        <w:spacing w:line="360" w:lineRule="auto"/>
        <w:jc w:val="both"/>
        <w:rPr>
          <w:rFonts w:ascii="Times New Roman" w:hAnsi="Times New Roman" w:cs="Times New Roman"/>
        </w:rPr>
      </w:pPr>
      <w:r w:rsidRPr="00E17500">
        <w:rPr>
          <w:rFonts w:ascii="Times New Roman" w:hAnsi="Times New Roman" w:cs="Times New Roman"/>
        </w:rPr>
        <w:t xml:space="preserve">Twenty-four (24) herbal decoctions products were analysed for the level of benzoic acid and their pH levels. </w:t>
      </w:r>
      <w:bookmarkStart w:id="1" w:name="_Hlk203848491"/>
      <w:r w:rsidRPr="00E17500">
        <w:rPr>
          <w:rFonts w:ascii="Times New Roman" w:hAnsi="Times New Roman" w:cs="Times New Roman"/>
        </w:rPr>
        <w:t xml:space="preserve">The mean concentration ranged from 0.32±0.03 to 1632.33±542.34 mg/L while the mean pH ranges from 3.02±0.03 to 7.83±0.06 </w:t>
      </w:r>
      <w:bookmarkEnd w:id="1"/>
      <w:r w:rsidRPr="00E17500">
        <w:rPr>
          <w:rFonts w:ascii="Times New Roman" w:hAnsi="Times New Roman" w:cs="Times New Roman"/>
        </w:rPr>
        <w:t xml:space="preserve">as shown in Table 1Onyame Ama Mixture (OAM) exhibited the highest mean benzoic acid concentration of 1632.33 ± 542.34 mg/L and low mean pH value of </w:t>
      </w:r>
      <w:r w:rsidR="005B58F2" w:rsidRPr="00CB3F97">
        <w:rPr>
          <w:rFonts w:ascii="Times New Roman" w:hAnsi="Times New Roman" w:cs="Times New Roman"/>
          <w:color w:val="EE0000"/>
        </w:rPr>
        <w:t>3.02±0.03</w:t>
      </w:r>
      <w:r w:rsidRPr="00E17500">
        <w:rPr>
          <w:rFonts w:ascii="Times New Roman" w:hAnsi="Times New Roman" w:cs="Times New Roman"/>
        </w:rPr>
        <w:t xml:space="preserve">. Raphael and Emmanuel (2019) analyzed eight liquid herbal preparations commonly consumed in Nigeria and reported a pH range of 1.05 to 12.30, highlighting a significant variation in the acidity and alkalinity levels among the products. In contrast, Aigberua and Izah (2019) reported a narrower pH range of 3.00 to 5.09 for eight herbal medicines, indicating that these products were moderately acidic. Very acidic decoctions could end up eroding the enamel of consumers. </w:t>
      </w:r>
      <w:r w:rsidR="005B58F2" w:rsidRPr="00CB3F97">
        <w:rPr>
          <w:rFonts w:ascii="Times New Roman" w:hAnsi="Times New Roman" w:cs="Times New Roman"/>
          <w:color w:val="EE0000"/>
        </w:rPr>
        <w:t>Again, Vojvodić et al (2023) also reported varied levels (599-9253 mg/L) of benzoic acid in their study.</w:t>
      </w:r>
    </w:p>
    <w:p w14:paraId="7757ECFA" w14:textId="695418B3" w:rsidR="00F16166" w:rsidRPr="00E17500" w:rsidRDefault="00F16166" w:rsidP="00F16166">
      <w:pPr>
        <w:spacing w:line="360" w:lineRule="auto"/>
        <w:jc w:val="both"/>
        <w:rPr>
          <w:rFonts w:ascii="Times New Roman" w:hAnsi="Times New Roman" w:cs="Times New Roman"/>
        </w:rPr>
      </w:pPr>
    </w:p>
    <w:p w14:paraId="032B1B6D" w14:textId="7573010B" w:rsidR="00F16166" w:rsidRDefault="00F16166" w:rsidP="00F16166">
      <w:pPr>
        <w:spacing w:line="360" w:lineRule="auto"/>
        <w:jc w:val="both"/>
        <w:rPr>
          <w:rFonts w:ascii="Times New Roman" w:hAnsi="Times New Roman" w:cs="Times New Roman"/>
        </w:rPr>
      </w:pPr>
      <w:r>
        <w:rPr>
          <w:rFonts w:ascii="Times New Roman" w:hAnsi="Times New Roman" w:cs="Times New Roman"/>
        </w:rPr>
        <w:t xml:space="preserve">Table 1: </w:t>
      </w:r>
      <w:r w:rsidR="00783607" w:rsidRPr="00783607">
        <w:rPr>
          <w:rFonts w:ascii="Times New Roman" w:hAnsi="Times New Roman" w:cs="Times New Roman"/>
          <w:color w:val="EE0000"/>
        </w:rPr>
        <w:t>Mean</w:t>
      </w:r>
      <w:r w:rsidR="00783607">
        <w:rPr>
          <w:rFonts w:ascii="Times New Roman" w:hAnsi="Times New Roman" w:cs="Times New Roman"/>
        </w:rPr>
        <w:t xml:space="preserve"> </w:t>
      </w:r>
      <w:r>
        <w:rPr>
          <w:rFonts w:ascii="Times New Roman" w:hAnsi="Times New Roman" w:cs="Times New Roman"/>
        </w:rPr>
        <w:t>benzoic acid and pH levels in collected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1871"/>
        <w:gridCol w:w="1872"/>
        <w:gridCol w:w="2147"/>
        <w:gridCol w:w="1603"/>
      </w:tblGrid>
      <w:tr w:rsidR="00F16166" w14:paraId="609C814C" w14:textId="77777777" w:rsidTr="00503D2C">
        <w:tc>
          <w:tcPr>
            <w:tcW w:w="1867" w:type="dxa"/>
            <w:tcBorders>
              <w:top w:val="single" w:sz="4" w:space="0" w:color="auto"/>
              <w:bottom w:val="single" w:sz="4" w:space="0" w:color="auto"/>
            </w:tcBorders>
          </w:tcPr>
          <w:p w14:paraId="27C7C797" w14:textId="77777777" w:rsidR="00F16166" w:rsidRDefault="00F16166" w:rsidP="00503D2C">
            <w:pPr>
              <w:rPr>
                <w:rFonts w:ascii="Times New Roman" w:hAnsi="Times New Roman" w:cs="Times New Roman"/>
              </w:rPr>
            </w:pPr>
            <w:r>
              <w:rPr>
                <w:rFonts w:ascii="Times New Roman" w:hAnsi="Times New Roman" w:cs="Times New Roman"/>
              </w:rPr>
              <w:t>Sample ID</w:t>
            </w:r>
          </w:p>
        </w:tc>
        <w:tc>
          <w:tcPr>
            <w:tcW w:w="1871" w:type="dxa"/>
            <w:tcBorders>
              <w:top w:val="single" w:sz="4" w:space="0" w:color="auto"/>
              <w:bottom w:val="single" w:sz="4" w:space="0" w:color="auto"/>
            </w:tcBorders>
          </w:tcPr>
          <w:p w14:paraId="3640BF07" w14:textId="77777777" w:rsidR="00F16166" w:rsidRDefault="00F16166" w:rsidP="00503D2C">
            <w:pPr>
              <w:rPr>
                <w:rFonts w:ascii="Times New Roman" w:hAnsi="Times New Roman" w:cs="Times New Roman"/>
              </w:rPr>
            </w:pPr>
            <w:r>
              <w:rPr>
                <w:rFonts w:ascii="Times New Roman" w:hAnsi="Times New Roman" w:cs="Times New Roman"/>
              </w:rPr>
              <w:t>Min</w:t>
            </w:r>
          </w:p>
        </w:tc>
        <w:tc>
          <w:tcPr>
            <w:tcW w:w="1872" w:type="dxa"/>
            <w:tcBorders>
              <w:top w:val="single" w:sz="4" w:space="0" w:color="auto"/>
              <w:bottom w:val="single" w:sz="4" w:space="0" w:color="auto"/>
            </w:tcBorders>
          </w:tcPr>
          <w:p w14:paraId="6CED51D9" w14:textId="77777777" w:rsidR="00F16166" w:rsidRDefault="00F16166" w:rsidP="00503D2C">
            <w:pPr>
              <w:rPr>
                <w:rFonts w:ascii="Times New Roman" w:hAnsi="Times New Roman" w:cs="Times New Roman"/>
              </w:rPr>
            </w:pPr>
            <w:r>
              <w:rPr>
                <w:rFonts w:ascii="Times New Roman" w:hAnsi="Times New Roman" w:cs="Times New Roman"/>
              </w:rPr>
              <w:t>Max</w:t>
            </w:r>
          </w:p>
        </w:tc>
        <w:tc>
          <w:tcPr>
            <w:tcW w:w="2147" w:type="dxa"/>
            <w:tcBorders>
              <w:top w:val="single" w:sz="4" w:space="0" w:color="auto"/>
              <w:bottom w:val="single" w:sz="4" w:space="0" w:color="auto"/>
            </w:tcBorders>
          </w:tcPr>
          <w:p w14:paraId="6769D7A8" w14:textId="77777777" w:rsidR="00F16166" w:rsidRDefault="00F16166" w:rsidP="00503D2C">
            <w:pPr>
              <w:rPr>
                <w:rFonts w:ascii="Times New Roman" w:hAnsi="Times New Roman" w:cs="Times New Roman"/>
              </w:rPr>
            </w:pPr>
            <w:r>
              <w:rPr>
                <w:rFonts w:ascii="Times New Roman" w:hAnsi="Times New Roman" w:cs="Times New Roman"/>
              </w:rPr>
              <w:t>Mean + SD</w:t>
            </w:r>
          </w:p>
        </w:tc>
        <w:tc>
          <w:tcPr>
            <w:tcW w:w="1603" w:type="dxa"/>
            <w:tcBorders>
              <w:top w:val="single" w:sz="4" w:space="0" w:color="auto"/>
              <w:bottom w:val="single" w:sz="4" w:space="0" w:color="auto"/>
            </w:tcBorders>
          </w:tcPr>
          <w:p w14:paraId="6283428A" w14:textId="77777777" w:rsidR="00F16166" w:rsidRDefault="00F16166" w:rsidP="00503D2C">
            <w:pPr>
              <w:rPr>
                <w:rFonts w:ascii="Times New Roman" w:hAnsi="Times New Roman" w:cs="Times New Roman"/>
              </w:rPr>
            </w:pPr>
            <w:r>
              <w:rPr>
                <w:rFonts w:ascii="Times New Roman" w:hAnsi="Times New Roman" w:cs="Times New Roman"/>
              </w:rPr>
              <w:t>Mean pH</w:t>
            </w:r>
          </w:p>
        </w:tc>
      </w:tr>
      <w:tr w:rsidR="00F16166" w14:paraId="6358482C" w14:textId="77777777" w:rsidTr="00503D2C">
        <w:tc>
          <w:tcPr>
            <w:tcW w:w="1867" w:type="dxa"/>
            <w:tcBorders>
              <w:top w:val="single" w:sz="4" w:space="0" w:color="auto"/>
            </w:tcBorders>
          </w:tcPr>
          <w:p w14:paraId="6F19204A" w14:textId="77777777" w:rsidR="00F16166" w:rsidRDefault="00F16166" w:rsidP="00503D2C">
            <w:pPr>
              <w:rPr>
                <w:rFonts w:ascii="Times New Roman" w:hAnsi="Times New Roman" w:cs="Times New Roman"/>
              </w:rPr>
            </w:pPr>
            <w:r>
              <w:rPr>
                <w:rFonts w:ascii="Times New Roman" w:hAnsi="Times New Roman" w:cs="Times New Roman"/>
              </w:rPr>
              <w:t>EHM</w:t>
            </w:r>
          </w:p>
        </w:tc>
        <w:tc>
          <w:tcPr>
            <w:tcW w:w="1871" w:type="dxa"/>
            <w:tcBorders>
              <w:top w:val="single" w:sz="4" w:space="0" w:color="auto"/>
            </w:tcBorders>
          </w:tcPr>
          <w:p w14:paraId="31F8B55D" w14:textId="77777777" w:rsidR="00F16166" w:rsidRDefault="00F16166" w:rsidP="00503D2C">
            <w:pPr>
              <w:rPr>
                <w:rFonts w:ascii="Times New Roman" w:hAnsi="Times New Roman" w:cs="Times New Roman"/>
              </w:rPr>
            </w:pPr>
            <w:r>
              <w:rPr>
                <w:rFonts w:ascii="Times New Roman" w:hAnsi="Times New Roman" w:cs="Times New Roman"/>
              </w:rPr>
              <w:t>319.20</w:t>
            </w:r>
          </w:p>
        </w:tc>
        <w:tc>
          <w:tcPr>
            <w:tcW w:w="1872" w:type="dxa"/>
            <w:tcBorders>
              <w:top w:val="single" w:sz="4" w:space="0" w:color="auto"/>
            </w:tcBorders>
          </w:tcPr>
          <w:p w14:paraId="2D527BA4" w14:textId="77777777" w:rsidR="00F16166" w:rsidRDefault="00F16166" w:rsidP="00503D2C">
            <w:pPr>
              <w:rPr>
                <w:rFonts w:ascii="Times New Roman" w:hAnsi="Times New Roman" w:cs="Times New Roman"/>
              </w:rPr>
            </w:pPr>
            <w:r>
              <w:rPr>
                <w:rFonts w:ascii="Times New Roman" w:hAnsi="Times New Roman" w:cs="Times New Roman"/>
              </w:rPr>
              <w:t>329.30</w:t>
            </w:r>
          </w:p>
        </w:tc>
        <w:tc>
          <w:tcPr>
            <w:tcW w:w="2147" w:type="dxa"/>
            <w:tcBorders>
              <w:top w:val="single" w:sz="4" w:space="0" w:color="auto"/>
            </w:tcBorders>
          </w:tcPr>
          <w:p w14:paraId="505E07A9" w14:textId="77777777" w:rsidR="00F16166" w:rsidRDefault="00F16166" w:rsidP="00503D2C">
            <w:pPr>
              <w:rPr>
                <w:rFonts w:ascii="Times New Roman" w:hAnsi="Times New Roman" w:cs="Times New Roman"/>
              </w:rPr>
            </w:pPr>
            <w:r>
              <w:rPr>
                <w:rFonts w:ascii="Times New Roman" w:hAnsi="Times New Roman" w:cs="Times New Roman"/>
              </w:rPr>
              <w:t>325.57±5.54</w:t>
            </w:r>
            <w:r w:rsidRPr="00F419DD">
              <w:rPr>
                <w:rFonts w:ascii="Times New Roman" w:hAnsi="Times New Roman" w:cs="Times New Roman"/>
                <w:vertAlign w:val="superscript"/>
              </w:rPr>
              <w:t>k</w:t>
            </w:r>
          </w:p>
        </w:tc>
        <w:tc>
          <w:tcPr>
            <w:tcW w:w="1603" w:type="dxa"/>
            <w:tcBorders>
              <w:top w:val="single" w:sz="4" w:space="0" w:color="auto"/>
            </w:tcBorders>
          </w:tcPr>
          <w:p w14:paraId="4258CA5E" w14:textId="77777777" w:rsidR="00F16166" w:rsidRDefault="00F16166" w:rsidP="00503D2C">
            <w:pPr>
              <w:rPr>
                <w:rFonts w:ascii="Times New Roman" w:hAnsi="Times New Roman" w:cs="Times New Roman"/>
              </w:rPr>
            </w:pPr>
            <w:r>
              <w:rPr>
                <w:rFonts w:ascii="Times New Roman" w:hAnsi="Times New Roman" w:cs="Times New Roman"/>
              </w:rPr>
              <w:t>3.78±0.20</w:t>
            </w:r>
          </w:p>
        </w:tc>
      </w:tr>
      <w:tr w:rsidR="00F16166" w14:paraId="5AE345B8" w14:textId="77777777" w:rsidTr="00503D2C">
        <w:tc>
          <w:tcPr>
            <w:tcW w:w="1867" w:type="dxa"/>
          </w:tcPr>
          <w:p w14:paraId="4CD59986" w14:textId="77777777" w:rsidR="00F16166" w:rsidRDefault="00F16166" w:rsidP="00503D2C">
            <w:pPr>
              <w:rPr>
                <w:rFonts w:ascii="Times New Roman" w:hAnsi="Times New Roman" w:cs="Times New Roman"/>
              </w:rPr>
            </w:pPr>
            <w:r>
              <w:rPr>
                <w:rFonts w:ascii="Times New Roman" w:hAnsi="Times New Roman" w:cs="Times New Roman"/>
              </w:rPr>
              <w:t>ADB</w:t>
            </w:r>
          </w:p>
        </w:tc>
        <w:tc>
          <w:tcPr>
            <w:tcW w:w="1871" w:type="dxa"/>
          </w:tcPr>
          <w:p w14:paraId="396F85D8" w14:textId="77777777" w:rsidR="00F16166" w:rsidRDefault="00F16166" w:rsidP="00503D2C">
            <w:pPr>
              <w:rPr>
                <w:rFonts w:ascii="Times New Roman" w:hAnsi="Times New Roman" w:cs="Times New Roman"/>
              </w:rPr>
            </w:pPr>
            <w:r>
              <w:rPr>
                <w:rFonts w:ascii="Times New Roman" w:hAnsi="Times New Roman" w:cs="Times New Roman"/>
              </w:rPr>
              <w:t>64.20</w:t>
            </w:r>
          </w:p>
        </w:tc>
        <w:tc>
          <w:tcPr>
            <w:tcW w:w="1872" w:type="dxa"/>
          </w:tcPr>
          <w:p w14:paraId="066E72FC" w14:textId="77777777" w:rsidR="00F16166" w:rsidRDefault="00F16166" w:rsidP="00503D2C">
            <w:pPr>
              <w:rPr>
                <w:rFonts w:ascii="Times New Roman" w:hAnsi="Times New Roman" w:cs="Times New Roman"/>
              </w:rPr>
            </w:pPr>
            <w:r>
              <w:rPr>
                <w:rFonts w:ascii="Times New Roman" w:hAnsi="Times New Roman" w:cs="Times New Roman"/>
              </w:rPr>
              <w:t>66.80</w:t>
            </w:r>
          </w:p>
        </w:tc>
        <w:tc>
          <w:tcPr>
            <w:tcW w:w="2147" w:type="dxa"/>
          </w:tcPr>
          <w:p w14:paraId="563DD3E9" w14:textId="77777777" w:rsidR="00F16166" w:rsidRDefault="00F16166" w:rsidP="00503D2C">
            <w:pPr>
              <w:rPr>
                <w:rFonts w:ascii="Times New Roman" w:hAnsi="Times New Roman" w:cs="Times New Roman"/>
              </w:rPr>
            </w:pPr>
            <w:r>
              <w:rPr>
                <w:rFonts w:ascii="Times New Roman" w:hAnsi="Times New Roman" w:cs="Times New Roman"/>
              </w:rPr>
              <w:t>65.17±1.42</w:t>
            </w:r>
            <w:r w:rsidRPr="00F419DD">
              <w:rPr>
                <w:rFonts w:ascii="Times New Roman" w:hAnsi="Times New Roman" w:cs="Times New Roman"/>
                <w:vertAlign w:val="superscript"/>
              </w:rPr>
              <w:t>d</w:t>
            </w:r>
          </w:p>
        </w:tc>
        <w:tc>
          <w:tcPr>
            <w:tcW w:w="1603" w:type="dxa"/>
          </w:tcPr>
          <w:p w14:paraId="1CF76B7C" w14:textId="77777777" w:rsidR="00F16166" w:rsidRDefault="00F16166" w:rsidP="00503D2C">
            <w:pPr>
              <w:rPr>
                <w:rFonts w:ascii="Times New Roman" w:hAnsi="Times New Roman" w:cs="Times New Roman"/>
              </w:rPr>
            </w:pPr>
            <w:r>
              <w:rPr>
                <w:rFonts w:ascii="Times New Roman" w:hAnsi="Times New Roman" w:cs="Times New Roman"/>
              </w:rPr>
              <w:t>5.63±0.17</w:t>
            </w:r>
          </w:p>
        </w:tc>
      </w:tr>
      <w:tr w:rsidR="00F16166" w14:paraId="2E6742A7" w14:textId="77777777" w:rsidTr="00503D2C">
        <w:tc>
          <w:tcPr>
            <w:tcW w:w="1867" w:type="dxa"/>
          </w:tcPr>
          <w:p w14:paraId="5BF67D3B" w14:textId="77777777" w:rsidR="00F16166" w:rsidRDefault="00F16166" w:rsidP="00503D2C">
            <w:pPr>
              <w:rPr>
                <w:rFonts w:ascii="Times New Roman" w:hAnsi="Times New Roman" w:cs="Times New Roman"/>
              </w:rPr>
            </w:pPr>
            <w:r>
              <w:rPr>
                <w:rFonts w:ascii="Times New Roman" w:hAnsi="Times New Roman" w:cs="Times New Roman"/>
              </w:rPr>
              <w:t>AB</w:t>
            </w:r>
          </w:p>
        </w:tc>
        <w:tc>
          <w:tcPr>
            <w:tcW w:w="1871" w:type="dxa"/>
          </w:tcPr>
          <w:p w14:paraId="1A2F3506" w14:textId="77777777" w:rsidR="00F16166" w:rsidRDefault="00F16166" w:rsidP="00503D2C">
            <w:pPr>
              <w:rPr>
                <w:rFonts w:ascii="Times New Roman" w:hAnsi="Times New Roman" w:cs="Times New Roman"/>
              </w:rPr>
            </w:pPr>
            <w:r>
              <w:rPr>
                <w:rFonts w:ascii="Times New Roman" w:hAnsi="Times New Roman" w:cs="Times New Roman"/>
              </w:rPr>
              <w:t>0.30</w:t>
            </w:r>
          </w:p>
        </w:tc>
        <w:tc>
          <w:tcPr>
            <w:tcW w:w="1872" w:type="dxa"/>
          </w:tcPr>
          <w:p w14:paraId="2011F2EF" w14:textId="77777777" w:rsidR="00F16166" w:rsidRDefault="00F16166" w:rsidP="00503D2C">
            <w:pPr>
              <w:rPr>
                <w:rFonts w:ascii="Times New Roman" w:hAnsi="Times New Roman" w:cs="Times New Roman"/>
              </w:rPr>
            </w:pPr>
            <w:r>
              <w:rPr>
                <w:rFonts w:ascii="Times New Roman" w:hAnsi="Times New Roman" w:cs="Times New Roman"/>
              </w:rPr>
              <w:t>0.35</w:t>
            </w:r>
          </w:p>
        </w:tc>
        <w:tc>
          <w:tcPr>
            <w:tcW w:w="2147" w:type="dxa"/>
          </w:tcPr>
          <w:p w14:paraId="6BA186CD" w14:textId="77777777" w:rsidR="00F16166" w:rsidRDefault="00F16166" w:rsidP="00503D2C">
            <w:pPr>
              <w:rPr>
                <w:rFonts w:ascii="Times New Roman" w:hAnsi="Times New Roman" w:cs="Times New Roman"/>
              </w:rPr>
            </w:pPr>
            <w:r>
              <w:rPr>
                <w:rFonts w:ascii="Times New Roman" w:hAnsi="Times New Roman" w:cs="Times New Roman"/>
              </w:rPr>
              <w:t>0.32±0.03</w:t>
            </w:r>
            <w:r w:rsidRPr="00F419DD">
              <w:rPr>
                <w:rFonts w:ascii="Times New Roman" w:hAnsi="Times New Roman" w:cs="Times New Roman"/>
                <w:vertAlign w:val="superscript"/>
              </w:rPr>
              <w:t>a</w:t>
            </w:r>
          </w:p>
        </w:tc>
        <w:tc>
          <w:tcPr>
            <w:tcW w:w="1603" w:type="dxa"/>
          </w:tcPr>
          <w:p w14:paraId="2EBD475B" w14:textId="77777777" w:rsidR="00F16166" w:rsidRDefault="00F16166" w:rsidP="00503D2C">
            <w:pPr>
              <w:rPr>
                <w:rFonts w:ascii="Times New Roman" w:hAnsi="Times New Roman" w:cs="Times New Roman"/>
              </w:rPr>
            </w:pPr>
            <w:r>
              <w:rPr>
                <w:rFonts w:ascii="Times New Roman" w:hAnsi="Times New Roman" w:cs="Times New Roman"/>
              </w:rPr>
              <w:t>7.57±0.24</w:t>
            </w:r>
          </w:p>
        </w:tc>
      </w:tr>
      <w:tr w:rsidR="00F16166" w14:paraId="1B4C921E" w14:textId="77777777" w:rsidTr="00503D2C">
        <w:tc>
          <w:tcPr>
            <w:tcW w:w="1867" w:type="dxa"/>
          </w:tcPr>
          <w:p w14:paraId="4A74DD47" w14:textId="77777777" w:rsidR="00F16166" w:rsidRDefault="00F16166" w:rsidP="00503D2C">
            <w:pPr>
              <w:rPr>
                <w:rFonts w:ascii="Times New Roman" w:hAnsi="Times New Roman" w:cs="Times New Roman"/>
              </w:rPr>
            </w:pPr>
            <w:r>
              <w:rPr>
                <w:rFonts w:ascii="Times New Roman" w:hAnsi="Times New Roman" w:cs="Times New Roman"/>
              </w:rPr>
              <w:t>YM</w:t>
            </w:r>
          </w:p>
        </w:tc>
        <w:tc>
          <w:tcPr>
            <w:tcW w:w="1871" w:type="dxa"/>
          </w:tcPr>
          <w:p w14:paraId="0059DA1E" w14:textId="77777777" w:rsidR="00F16166" w:rsidRDefault="00F16166" w:rsidP="00503D2C">
            <w:pPr>
              <w:rPr>
                <w:rFonts w:ascii="Times New Roman" w:hAnsi="Times New Roman" w:cs="Times New Roman"/>
              </w:rPr>
            </w:pPr>
            <w:r>
              <w:rPr>
                <w:rFonts w:ascii="Times New Roman" w:hAnsi="Times New Roman" w:cs="Times New Roman"/>
              </w:rPr>
              <w:t>32.00</w:t>
            </w:r>
          </w:p>
        </w:tc>
        <w:tc>
          <w:tcPr>
            <w:tcW w:w="1872" w:type="dxa"/>
          </w:tcPr>
          <w:p w14:paraId="121164E7" w14:textId="77777777" w:rsidR="00F16166" w:rsidRDefault="00F16166" w:rsidP="00503D2C">
            <w:pPr>
              <w:rPr>
                <w:rFonts w:ascii="Times New Roman" w:hAnsi="Times New Roman" w:cs="Times New Roman"/>
              </w:rPr>
            </w:pPr>
            <w:r>
              <w:rPr>
                <w:rFonts w:ascii="Times New Roman" w:hAnsi="Times New Roman" w:cs="Times New Roman"/>
              </w:rPr>
              <w:t>33.00</w:t>
            </w:r>
          </w:p>
        </w:tc>
        <w:tc>
          <w:tcPr>
            <w:tcW w:w="2147" w:type="dxa"/>
          </w:tcPr>
          <w:p w14:paraId="4058A7A5" w14:textId="77777777" w:rsidR="00F16166" w:rsidRDefault="00F16166" w:rsidP="00503D2C">
            <w:pPr>
              <w:rPr>
                <w:rFonts w:ascii="Times New Roman" w:hAnsi="Times New Roman" w:cs="Times New Roman"/>
              </w:rPr>
            </w:pPr>
            <w:r>
              <w:rPr>
                <w:rFonts w:ascii="Times New Roman" w:hAnsi="Times New Roman" w:cs="Times New Roman"/>
              </w:rPr>
              <w:t>32.67±0.58</w:t>
            </w:r>
            <w:r w:rsidRPr="00F419DD">
              <w:rPr>
                <w:rFonts w:ascii="Times New Roman" w:hAnsi="Times New Roman" w:cs="Times New Roman"/>
                <w:vertAlign w:val="superscript"/>
              </w:rPr>
              <w:t>b</w:t>
            </w:r>
          </w:p>
        </w:tc>
        <w:tc>
          <w:tcPr>
            <w:tcW w:w="1603" w:type="dxa"/>
          </w:tcPr>
          <w:p w14:paraId="24242FDA" w14:textId="77777777" w:rsidR="00F16166" w:rsidRDefault="00F16166" w:rsidP="00503D2C">
            <w:pPr>
              <w:rPr>
                <w:rFonts w:ascii="Times New Roman" w:hAnsi="Times New Roman" w:cs="Times New Roman"/>
              </w:rPr>
            </w:pPr>
            <w:r>
              <w:rPr>
                <w:rFonts w:ascii="Times New Roman" w:hAnsi="Times New Roman" w:cs="Times New Roman"/>
              </w:rPr>
              <w:t>6.62±0.18</w:t>
            </w:r>
          </w:p>
        </w:tc>
      </w:tr>
      <w:tr w:rsidR="00F16166" w14:paraId="3F1AE4EC" w14:textId="77777777" w:rsidTr="00503D2C">
        <w:tc>
          <w:tcPr>
            <w:tcW w:w="1867" w:type="dxa"/>
          </w:tcPr>
          <w:p w14:paraId="638E4D28" w14:textId="77777777" w:rsidR="00F16166" w:rsidRDefault="00F16166" w:rsidP="00503D2C">
            <w:pPr>
              <w:rPr>
                <w:rFonts w:ascii="Times New Roman" w:hAnsi="Times New Roman" w:cs="Times New Roman"/>
              </w:rPr>
            </w:pPr>
            <w:r>
              <w:rPr>
                <w:rFonts w:ascii="Times New Roman" w:hAnsi="Times New Roman" w:cs="Times New Roman"/>
              </w:rPr>
              <w:t>OAM</w:t>
            </w:r>
          </w:p>
        </w:tc>
        <w:tc>
          <w:tcPr>
            <w:tcW w:w="1871" w:type="dxa"/>
          </w:tcPr>
          <w:p w14:paraId="6532E393" w14:textId="77777777" w:rsidR="00F16166" w:rsidRDefault="00F16166" w:rsidP="00503D2C">
            <w:pPr>
              <w:rPr>
                <w:rFonts w:ascii="Times New Roman" w:hAnsi="Times New Roman" w:cs="Times New Roman"/>
              </w:rPr>
            </w:pPr>
            <w:r>
              <w:rPr>
                <w:rFonts w:ascii="Times New Roman" w:hAnsi="Times New Roman" w:cs="Times New Roman"/>
              </w:rPr>
              <w:t>1010.00</w:t>
            </w:r>
          </w:p>
        </w:tc>
        <w:tc>
          <w:tcPr>
            <w:tcW w:w="1872" w:type="dxa"/>
          </w:tcPr>
          <w:p w14:paraId="6C517BC1" w14:textId="77777777" w:rsidR="00F16166" w:rsidRDefault="00F16166" w:rsidP="00503D2C">
            <w:pPr>
              <w:rPr>
                <w:rFonts w:ascii="Times New Roman" w:hAnsi="Times New Roman" w:cs="Times New Roman"/>
              </w:rPr>
            </w:pPr>
            <w:r>
              <w:rPr>
                <w:rFonts w:ascii="Times New Roman" w:hAnsi="Times New Roman" w:cs="Times New Roman"/>
              </w:rPr>
              <w:t>2004.00</w:t>
            </w:r>
          </w:p>
        </w:tc>
        <w:tc>
          <w:tcPr>
            <w:tcW w:w="2147" w:type="dxa"/>
          </w:tcPr>
          <w:p w14:paraId="0D0596E6" w14:textId="77777777" w:rsidR="00F16166" w:rsidRDefault="00F16166" w:rsidP="00503D2C">
            <w:pPr>
              <w:rPr>
                <w:rFonts w:ascii="Times New Roman" w:hAnsi="Times New Roman" w:cs="Times New Roman"/>
              </w:rPr>
            </w:pPr>
            <w:r>
              <w:rPr>
                <w:rFonts w:ascii="Times New Roman" w:hAnsi="Times New Roman" w:cs="Times New Roman"/>
              </w:rPr>
              <w:t>1632.33±542.34</w:t>
            </w:r>
            <w:r w:rsidRPr="00F419DD">
              <w:rPr>
                <w:rFonts w:ascii="Times New Roman" w:hAnsi="Times New Roman" w:cs="Times New Roman"/>
                <w:vertAlign w:val="superscript"/>
              </w:rPr>
              <w:t>p</w:t>
            </w:r>
          </w:p>
        </w:tc>
        <w:tc>
          <w:tcPr>
            <w:tcW w:w="1603" w:type="dxa"/>
          </w:tcPr>
          <w:p w14:paraId="2A7AABBB" w14:textId="77777777" w:rsidR="00F16166" w:rsidRDefault="00F16166" w:rsidP="00503D2C">
            <w:pPr>
              <w:rPr>
                <w:rFonts w:ascii="Times New Roman" w:hAnsi="Times New Roman" w:cs="Times New Roman"/>
              </w:rPr>
            </w:pPr>
            <w:r>
              <w:rPr>
                <w:rFonts w:ascii="Times New Roman" w:hAnsi="Times New Roman" w:cs="Times New Roman"/>
              </w:rPr>
              <w:t>3.02±0.03</w:t>
            </w:r>
          </w:p>
        </w:tc>
      </w:tr>
      <w:tr w:rsidR="00F16166" w14:paraId="0A63940A" w14:textId="77777777" w:rsidTr="00503D2C">
        <w:tc>
          <w:tcPr>
            <w:tcW w:w="1867" w:type="dxa"/>
          </w:tcPr>
          <w:p w14:paraId="05CD1039" w14:textId="77777777" w:rsidR="00F16166" w:rsidRDefault="00F16166" w:rsidP="00503D2C">
            <w:pPr>
              <w:rPr>
                <w:rFonts w:ascii="Times New Roman" w:hAnsi="Times New Roman" w:cs="Times New Roman"/>
              </w:rPr>
            </w:pPr>
            <w:r>
              <w:rPr>
                <w:rFonts w:ascii="Times New Roman" w:hAnsi="Times New Roman" w:cs="Times New Roman"/>
              </w:rPr>
              <w:t>EB</w:t>
            </w:r>
          </w:p>
        </w:tc>
        <w:tc>
          <w:tcPr>
            <w:tcW w:w="1871" w:type="dxa"/>
          </w:tcPr>
          <w:p w14:paraId="26F4100F" w14:textId="77777777" w:rsidR="00F16166" w:rsidRDefault="00F16166" w:rsidP="00503D2C">
            <w:pPr>
              <w:rPr>
                <w:rFonts w:ascii="Times New Roman" w:hAnsi="Times New Roman" w:cs="Times New Roman"/>
              </w:rPr>
            </w:pPr>
            <w:r>
              <w:rPr>
                <w:rFonts w:ascii="Times New Roman" w:hAnsi="Times New Roman" w:cs="Times New Roman"/>
              </w:rPr>
              <w:t>0.80</w:t>
            </w:r>
          </w:p>
        </w:tc>
        <w:tc>
          <w:tcPr>
            <w:tcW w:w="1872" w:type="dxa"/>
          </w:tcPr>
          <w:p w14:paraId="7C18CF82" w14:textId="77777777" w:rsidR="00F16166" w:rsidRDefault="00F16166" w:rsidP="00503D2C">
            <w:pPr>
              <w:rPr>
                <w:rFonts w:ascii="Times New Roman" w:hAnsi="Times New Roman" w:cs="Times New Roman"/>
              </w:rPr>
            </w:pPr>
            <w:r>
              <w:rPr>
                <w:rFonts w:ascii="Times New Roman" w:hAnsi="Times New Roman" w:cs="Times New Roman"/>
              </w:rPr>
              <w:t>0.85</w:t>
            </w:r>
          </w:p>
        </w:tc>
        <w:tc>
          <w:tcPr>
            <w:tcW w:w="2147" w:type="dxa"/>
          </w:tcPr>
          <w:p w14:paraId="5EDDBA0B" w14:textId="77777777" w:rsidR="00F16166" w:rsidRDefault="00F16166" w:rsidP="00503D2C">
            <w:pPr>
              <w:rPr>
                <w:rFonts w:ascii="Times New Roman" w:hAnsi="Times New Roman" w:cs="Times New Roman"/>
              </w:rPr>
            </w:pPr>
            <w:r>
              <w:rPr>
                <w:rFonts w:ascii="Times New Roman" w:hAnsi="Times New Roman" w:cs="Times New Roman"/>
              </w:rPr>
              <w:t>0.82±0.03</w:t>
            </w:r>
            <w:r w:rsidRPr="00F419DD">
              <w:rPr>
                <w:rFonts w:ascii="Times New Roman" w:hAnsi="Times New Roman" w:cs="Times New Roman"/>
                <w:vertAlign w:val="superscript"/>
              </w:rPr>
              <w:t>a</w:t>
            </w:r>
          </w:p>
        </w:tc>
        <w:tc>
          <w:tcPr>
            <w:tcW w:w="1603" w:type="dxa"/>
          </w:tcPr>
          <w:p w14:paraId="7B370FBC" w14:textId="77777777" w:rsidR="00F16166" w:rsidRDefault="00F16166" w:rsidP="00503D2C">
            <w:pPr>
              <w:rPr>
                <w:rFonts w:ascii="Times New Roman" w:hAnsi="Times New Roman" w:cs="Times New Roman"/>
              </w:rPr>
            </w:pPr>
            <w:r>
              <w:rPr>
                <w:rFonts w:ascii="Times New Roman" w:hAnsi="Times New Roman" w:cs="Times New Roman"/>
              </w:rPr>
              <w:t>7.71±0.17</w:t>
            </w:r>
          </w:p>
        </w:tc>
      </w:tr>
      <w:tr w:rsidR="00F16166" w14:paraId="000B4A01" w14:textId="77777777" w:rsidTr="00503D2C">
        <w:tc>
          <w:tcPr>
            <w:tcW w:w="1867" w:type="dxa"/>
          </w:tcPr>
          <w:p w14:paraId="2932F71C" w14:textId="77777777" w:rsidR="00F16166" w:rsidRDefault="00F16166" w:rsidP="00503D2C">
            <w:pPr>
              <w:rPr>
                <w:rFonts w:ascii="Times New Roman" w:hAnsi="Times New Roman" w:cs="Times New Roman"/>
              </w:rPr>
            </w:pPr>
            <w:r>
              <w:rPr>
                <w:rFonts w:ascii="Times New Roman" w:hAnsi="Times New Roman" w:cs="Times New Roman"/>
              </w:rPr>
              <w:t>LBT</w:t>
            </w:r>
          </w:p>
        </w:tc>
        <w:tc>
          <w:tcPr>
            <w:tcW w:w="1871" w:type="dxa"/>
          </w:tcPr>
          <w:p w14:paraId="233EBED9" w14:textId="77777777" w:rsidR="00F16166" w:rsidRDefault="00F16166" w:rsidP="00503D2C">
            <w:pPr>
              <w:rPr>
                <w:rFonts w:ascii="Times New Roman" w:hAnsi="Times New Roman" w:cs="Times New Roman"/>
              </w:rPr>
            </w:pPr>
            <w:r>
              <w:rPr>
                <w:rFonts w:ascii="Times New Roman" w:hAnsi="Times New Roman" w:cs="Times New Roman"/>
              </w:rPr>
              <w:t>53.65</w:t>
            </w:r>
          </w:p>
        </w:tc>
        <w:tc>
          <w:tcPr>
            <w:tcW w:w="1872" w:type="dxa"/>
          </w:tcPr>
          <w:p w14:paraId="392C3DDC" w14:textId="77777777" w:rsidR="00F16166" w:rsidRDefault="00F16166" w:rsidP="00503D2C">
            <w:pPr>
              <w:rPr>
                <w:rFonts w:ascii="Times New Roman" w:hAnsi="Times New Roman" w:cs="Times New Roman"/>
              </w:rPr>
            </w:pPr>
            <w:r>
              <w:rPr>
                <w:rFonts w:ascii="Times New Roman" w:hAnsi="Times New Roman" w:cs="Times New Roman"/>
              </w:rPr>
              <w:t>54.10</w:t>
            </w:r>
          </w:p>
        </w:tc>
        <w:tc>
          <w:tcPr>
            <w:tcW w:w="2147" w:type="dxa"/>
          </w:tcPr>
          <w:p w14:paraId="714DEF25" w14:textId="77777777" w:rsidR="00F16166" w:rsidRDefault="00F16166" w:rsidP="00503D2C">
            <w:pPr>
              <w:rPr>
                <w:rFonts w:ascii="Times New Roman" w:hAnsi="Times New Roman" w:cs="Times New Roman"/>
              </w:rPr>
            </w:pPr>
            <w:r>
              <w:rPr>
                <w:rFonts w:ascii="Times New Roman" w:hAnsi="Times New Roman" w:cs="Times New Roman"/>
              </w:rPr>
              <w:t>53.88±0.05</w:t>
            </w:r>
            <w:r w:rsidRPr="00F419DD">
              <w:rPr>
                <w:rFonts w:ascii="Times New Roman" w:hAnsi="Times New Roman" w:cs="Times New Roman"/>
                <w:vertAlign w:val="superscript"/>
              </w:rPr>
              <w:t>c</w:t>
            </w:r>
          </w:p>
        </w:tc>
        <w:tc>
          <w:tcPr>
            <w:tcW w:w="1603" w:type="dxa"/>
          </w:tcPr>
          <w:p w14:paraId="55DC508E" w14:textId="77777777" w:rsidR="00F16166" w:rsidRDefault="00F16166" w:rsidP="00503D2C">
            <w:pPr>
              <w:rPr>
                <w:rFonts w:ascii="Times New Roman" w:hAnsi="Times New Roman" w:cs="Times New Roman"/>
              </w:rPr>
            </w:pPr>
            <w:r>
              <w:rPr>
                <w:rFonts w:ascii="Times New Roman" w:hAnsi="Times New Roman" w:cs="Times New Roman"/>
              </w:rPr>
              <w:t>5.26±0.36</w:t>
            </w:r>
          </w:p>
        </w:tc>
      </w:tr>
      <w:tr w:rsidR="00F16166" w14:paraId="3618773D" w14:textId="77777777" w:rsidTr="00503D2C">
        <w:tc>
          <w:tcPr>
            <w:tcW w:w="1867" w:type="dxa"/>
          </w:tcPr>
          <w:p w14:paraId="4C22C9DA" w14:textId="77777777" w:rsidR="00F16166" w:rsidRDefault="00F16166" w:rsidP="00503D2C">
            <w:pPr>
              <w:rPr>
                <w:rFonts w:ascii="Times New Roman" w:hAnsi="Times New Roman" w:cs="Times New Roman"/>
              </w:rPr>
            </w:pPr>
            <w:r>
              <w:rPr>
                <w:rFonts w:ascii="Times New Roman" w:hAnsi="Times New Roman" w:cs="Times New Roman"/>
              </w:rPr>
              <w:t>TFS</w:t>
            </w:r>
          </w:p>
        </w:tc>
        <w:tc>
          <w:tcPr>
            <w:tcW w:w="1871" w:type="dxa"/>
          </w:tcPr>
          <w:p w14:paraId="6DA68098" w14:textId="77777777" w:rsidR="00F16166" w:rsidRDefault="00F16166" w:rsidP="00503D2C">
            <w:pPr>
              <w:rPr>
                <w:rFonts w:ascii="Times New Roman" w:hAnsi="Times New Roman" w:cs="Times New Roman"/>
              </w:rPr>
            </w:pPr>
            <w:r>
              <w:rPr>
                <w:rFonts w:ascii="Times New Roman" w:hAnsi="Times New Roman" w:cs="Times New Roman"/>
              </w:rPr>
              <w:t>284.50</w:t>
            </w:r>
          </w:p>
        </w:tc>
        <w:tc>
          <w:tcPr>
            <w:tcW w:w="1872" w:type="dxa"/>
          </w:tcPr>
          <w:p w14:paraId="27A02AE0" w14:textId="77777777" w:rsidR="00F16166" w:rsidRDefault="00F16166" w:rsidP="00503D2C">
            <w:pPr>
              <w:rPr>
                <w:rFonts w:ascii="Times New Roman" w:hAnsi="Times New Roman" w:cs="Times New Roman"/>
              </w:rPr>
            </w:pPr>
            <w:r>
              <w:rPr>
                <w:rFonts w:ascii="Times New Roman" w:hAnsi="Times New Roman" w:cs="Times New Roman"/>
              </w:rPr>
              <w:t>286.10</w:t>
            </w:r>
          </w:p>
        </w:tc>
        <w:tc>
          <w:tcPr>
            <w:tcW w:w="2147" w:type="dxa"/>
          </w:tcPr>
          <w:p w14:paraId="46999D54" w14:textId="77777777" w:rsidR="00F16166" w:rsidRDefault="00F16166" w:rsidP="00503D2C">
            <w:pPr>
              <w:rPr>
                <w:rFonts w:ascii="Times New Roman" w:hAnsi="Times New Roman" w:cs="Times New Roman"/>
              </w:rPr>
            </w:pPr>
            <w:r>
              <w:rPr>
                <w:rFonts w:ascii="Times New Roman" w:hAnsi="Times New Roman" w:cs="Times New Roman"/>
              </w:rPr>
              <w:t>285.30±0.8</w:t>
            </w:r>
            <w:r w:rsidRPr="00F419DD">
              <w:rPr>
                <w:rFonts w:ascii="Times New Roman" w:hAnsi="Times New Roman" w:cs="Times New Roman"/>
                <w:vertAlign w:val="superscript"/>
              </w:rPr>
              <w:t>j</w:t>
            </w:r>
          </w:p>
        </w:tc>
        <w:tc>
          <w:tcPr>
            <w:tcW w:w="1603" w:type="dxa"/>
          </w:tcPr>
          <w:p w14:paraId="0E358413" w14:textId="57FC0BE4" w:rsidR="00F16166" w:rsidRDefault="00F16166" w:rsidP="00503D2C">
            <w:pPr>
              <w:rPr>
                <w:rFonts w:ascii="Times New Roman" w:hAnsi="Times New Roman" w:cs="Times New Roman"/>
              </w:rPr>
            </w:pPr>
            <w:r w:rsidRPr="00783607">
              <w:rPr>
                <w:rFonts w:ascii="Times New Roman" w:hAnsi="Times New Roman" w:cs="Times New Roman"/>
                <w:color w:val="EE0000"/>
              </w:rPr>
              <w:t>3.61±0.14</w:t>
            </w:r>
          </w:p>
        </w:tc>
      </w:tr>
      <w:tr w:rsidR="00F16166" w14:paraId="3307CEE0" w14:textId="77777777" w:rsidTr="00503D2C">
        <w:tc>
          <w:tcPr>
            <w:tcW w:w="1867" w:type="dxa"/>
          </w:tcPr>
          <w:p w14:paraId="63A32AB0" w14:textId="77777777" w:rsidR="00F16166" w:rsidRDefault="00F16166" w:rsidP="00503D2C">
            <w:pPr>
              <w:rPr>
                <w:rFonts w:ascii="Times New Roman" w:hAnsi="Times New Roman" w:cs="Times New Roman"/>
              </w:rPr>
            </w:pPr>
            <w:r>
              <w:rPr>
                <w:rFonts w:ascii="Times New Roman" w:hAnsi="Times New Roman" w:cs="Times New Roman"/>
              </w:rPr>
              <w:t>KGB</w:t>
            </w:r>
          </w:p>
        </w:tc>
        <w:tc>
          <w:tcPr>
            <w:tcW w:w="1871" w:type="dxa"/>
          </w:tcPr>
          <w:p w14:paraId="05A97F61" w14:textId="77777777" w:rsidR="00F16166" w:rsidRDefault="00F16166" w:rsidP="00503D2C">
            <w:pPr>
              <w:rPr>
                <w:rFonts w:ascii="Times New Roman" w:hAnsi="Times New Roman" w:cs="Times New Roman"/>
              </w:rPr>
            </w:pPr>
            <w:r>
              <w:rPr>
                <w:rFonts w:ascii="Times New Roman" w:hAnsi="Times New Roman" w:cs="Times New Roman"/>
              </w:rPr>
              <w:t>0.40</w:t>
            </w:r>
          </w:p>
        </w:tc>
        <w:tc>
          <w:tcPr>
            <w:tcW w:w="1872" w:type="dxa"/>
          </w:tcPr>
          <w:p w14:paraId="52884CC2" w14:textId="77777777" w:rsidR="00F16166" w:rsidRDefault="00F16166" w:rsidP="00503D2C">
            <w:pPr>
              <w:rPr>
                <w:rFonts w:ascii="Times New Roman" w:hAnsi="Times New Roman" w:cs="Times New Roman"/>
              </w:rPr>
            </w:pPr>
            <w:r>
              <w:rPr>
                <w:rFonts w:ascii="Times New Roman" w:hAnsi="Times New Roman" w:cs="Times New Roman"/>
              </w:rPr>
              <w:t>0.90</w:t>
            </w:r>
          </w:p>
        </w:tc>
        <w:tc>
          <w:tcPr>
            <w:tcW w:w="2147" w:type="dxa"/>
          </w:tcPr>
          <w:p w14:paraId="51F581DF" w14:textId="77777777" w:rsidR="00F16166" w:rsidRDefault="00F16166" w:rsidP="00503D2C">
            <w:pPr>
              <w:rPr>
                <w:rFonts w:ascii="Times New Roman" w:hAnsi="Times New Roman" w:cs="Times New Roman"/>
              </w:rPr>
            </w:pPr>
            <w:r>
              <w:rPr>
                <w:rFonts w:ascii="Times New Roman" w:hAnsi="Times New Roman" w:cs="Times New Roman"/>
              </w:rPr>
              <w:t>0.70±0.26</w:t>
            </w:r>
            <w:r w:rsidRPr="00F419DD">
              <w:rPr>
                <w:rFonts w:ascii="Times New Roman" w:hAnsi="Times New Roman" w:cs="Times New Roman"/>
                <w:vertAlign w:val="superscript"/>
              </w:rPr>
              <w:t>a</w:t>
            </w:r>
          </w:p>
        </w:tc>
        <w:tc>
          <w:tcPr>
            <w:tcW w:w="1603" w:type="dxa"/>
          </w:tcPr>
          <w:p w14:paraId="52842838" w14:textId="77777777" w:rsidR="00F16166" w:rsidRDefault="00F16166" w:rsidP="00503D2C">
            <w:pPr>
              <w:rPr>
                <w:rFonts w:ascii="Times New Roman" w:hAnsi="Times New Roman" w:cs="Times New Roman"/>
              </w:rPr>
            </w:pPr>
            <w:r>
              <w:rPr>
                <w:rFonts w:ascii="Times New Roman" w:hAnsi="Times New Roman" w:cs="Times New Roman"/>
              </w:rPr>
              <w:t>6.86±0.11</w:t>
            </w:r>
          </w:p>
        </w:tc>
      </w:tr>
      <w:tr w:rsidR="00F16166" w14:paraId="287084A0" w14:textId="77777777" w:rsidTr="00503D2C">
        <w:tc>
          <w:tcPr>
            <w:tcW w:w="1867" w:type="dxa"/>
          </w:tcPr>
          <w:p w14:paraId="4D983BBE" w14:textId="77777777" w:rsidR="00F16166" w:rsidRDefault="00F16166" w:rsidP="00503D2C">
            <w:pPr>
              <w:rPr>
                <w:rFonts w:ascii="Times New Roman" w:hAnsi="Times New Roman" w:cs="Times New Roman"/>
              </w:rPr>
            </w:pPr>
            <w:r>
              <w:rPr>
                <w:rFonts w:ascii="Times New Roman" w:hAnsi="Times New Roman" w:cs="Times New Roman"/>
              </w:rPr>
              <w:t>DE</w:t>
            </w:r>
          </w:p>
        </w:tc>
        <w:tc>
          <w:tcPr>
            <w:tcW w:w="1871" w:type="dxa"/>
          </w:tcPr>
          <w:p w14:paraId="6438D617" w14:textId="77777777" w:rsidR="00F16166" w:rsidRDefault="00F16166" w:rsidP="00503D2C">
            <w:pPr>
              <w:rPr>
                <w:rFonts w:ascii="Times New Roman" w:hAnsi="Times New Roman" w:cs="Times New Roman"/>
              </w:rPr>
            </w:pPr>
            <w:r>
              <w:rPr>
                <w:rFonts w:ascii="Times New Roman" w:hAnsi="Times New Roman" w:cs="Times New Roman"/>
              </w:rPr>
              <w:t>156.00</w:t>
            </w:r>
          </w:p>
        </w:tc>
        <w:tc>
          <w:tcPr>
            <w:tcW w:w="1872" w:type="dxa"/>
          </w:tcPr>
          <w:p w14:paraId="737A2A09" w14:textId="77777777" w:rsidR="00F16166" w:rsidRDefault="00F16166" w:rsidP="00503D2C">
            <w:pPr>
              <w:rPr>
                <w:rFonts w:ascii="Times New Roman" w:hAnsi="Times New Roman" w:cs="Times New Roman"/>
              </w:rPr>
            </w:pPr>
            <w:r>
              <w:rPr>
                <w:rFonts w:ascii="Times New Roman" w:hAnsi="Times New Roman" w:cs="Times New Roman"/>
              </w:rPr>
              <w:t>157.10</w:t>
            </w:r>
          </w:p>
        </w:tc>
        <w:tc>
          <w:tcPr>
            <w:tcW w:w="2147" w:type="dxa"/>
          </w:tcPr>
          <w:p w14:paraId="30AB9AE0" w14:textId="77777777" w:rsidR="00F16166" w:rsidRDefault="00F16166" w:rsidP="00503D2C">
            <w:pPr>
              <w:rPr>
                <w:rFonts w:ascii="Times New Roman" w:hAnsi="Times New Roman" w:cs="Times New Roman"/>
              </w:rPr>
            </w:pPr>
            <w:r>
              <w:rPr>
                <w:rFonts w:ascii="Times New Roman" w:hAnsi="Times New Roman" w:cs="Times New Roman"/>
              </w:rPr>
              <w:t>156.57±0.55</w:t>
            </w:r>
            <w:r w:rsidRPr="00F419DD">
              <w:rPr>
                <w:rFonts w:ascii="Times New Roman" w:hAnsi="Times New Roman" w:cs="Times New Roman"/>
                <w:vertAlign w:val="superscript"/>
              </w:rPr>
              <w:t>g</w:t>
            </w:r>
          </w:p>
        </w:tc>
        <w:tc>
          <w:tcPr>
            <w:tcW w:w="1603" w:type="dxa"/>
          </w:tcPr>
          <w:p w14:paraId="426143BD" w14:textId="77777777" w:rsidR="00F16166" w:rsidRDefault="00F16166" w:rsidP="00503D2C">
            <w:pPr>
              <w:rPr>
                <w:rFonts w:ascii="Times New Roman" w:hAnsi="Times New Roman" w:cs="Times New Roman"/>
              </w:rPr>
            </w:pPr>
            <w:r>
              <w:rPr>
                <w:rFonts w:ascii="Times New Roman" w:hAnsi="Times New Roman" w:cs="Times New Roman"/>
              </w:rPr>
              <w:t>4.59±0.22</w:t>
            </w:r>
          </w:p>
        </w:tc>
      </w:tr>
      <w:tr w:rsidR="00F16166" w14:paraId="115F2224" w14:textId="77777777" w:rsidTr="00503D2C">
        <w:tc>
          <w:tcPr>
            <w:tcW w:w="1867" w:type="dxa"/>
          </w:tcPr>
          <w:p w14:paraId="7F9CB53A" w14:textId="77777777" w:rsidR="00F16166" w:rsidRDefault="00F16166" w:rsidP="00503D2C">
            <w:pPr>
              <w:rPr>
                <w:rFonts w:ascii="Times New Roman" w:hAnsi="Times New Roman" w:cs="Times New Roman"/>
              </w:rPr>
            </w:pPr>
            <w:r>
              <w:rPr>
                <w:rFonts w:ascii="Times New Roman" w:hAnsi="Times New Roman" w:cs="Times New Roman"/>
              </w:rPr>
              <w:t>TWGB</w:t>
            </w:r>
          </w:p>
        </w:tc>
        <w:tc>
          <w:tcPr>
            <w:tcW w:w="1871" w:type="dxa"/>
          </w:tcPr>
          <w:p w14:paraId="39E180BC" w14:textId="77777777" w:rsidR="00F16166" w:rsidRDefault="00F16166" w:rsidP="00503D2C">
            <w:pPr>
              <w:rPr>
                <w:rFonts w:ascii="Times New Roman" w:hAnsi="Times New Roman" w:cs="Times New Roman"/>
              </w:rPr>
            </w:pPr>
            <w:r>
              <w:rPr>
                <w:rFonts w:ascii="Times New Roman" w:hAnsi="Times New Roman" w:cs="Times New Roman"/>
              </w:rPr>
              <w:t>0.10</w:t>
            </w:r>
          </w:p>
        </w:tc>
        <w:tc>
          <w:tcPr>
            <w:tcW w:w="1872" w:type="dxa"/>
          </w:tcPr>
          <w:p w14:paraId="1B148025" w14:textId="77777777" w:rsidR="00F16166" w:rsidRDefault="00F16166" w:rsidP="00503D2C">
            <w:pPr>
              <w:rPr>
                <w:rFonts w:ascii="Times New Roman" w:hAnsi="Times New Roman" w:cs="Times New Roman"/>
              </w:rPr>
            </w:pPr>
            <w:r>
              <w:rPr>
                <w:rFonts w:ascii="Times New Roman" w:hAnsi="Times New Roman" w:cs="Times New Roman"/>
              </w:rPr>
              <w:t>0.30</w:t>
            </w:r>
          </w:p>
        </w:tc>
        <w:tc>
          <w:tcPr>
            <w:tcW w:w="2147" w:type="dxa"/>
          </w:tcPr>
          <w:p w14:paraId="7C84C8BB" w14:textId="77777777" w:rsidR="00F16166" w:rsidRDefault="00F16166" w:rsidP="00503D2C">
            <w:pPr>
              <w:rPr>
                <w:rFonts w:ascii="Times New Roman" w:hAnsi="Times New Roman" w:cs="Times New Roman"/>
              </w:rPr>
            </w:pPr>
            <w:r>
              <w:rPr>
                <w:rFonts w:ascii="Times New Roman" w:hAnsi="Times New Roman" w:cs="Times New Roman"/>
              </w:rPr>
              <w:t>0.23±0.12</w:t>
            </w:r>
            <w:r w:rsidRPr="00F419DD">
              <w:rPr>
                <w:rFonts w:ascii="Times New Roman" w:hAnsi="Times New Roman" w:cs="Times New Roman"/>
                <w:vertAlign w:val="superscript"/>
              </w:rPr>
              <w:t>a</w:t>
            </w:r>
          </w:p>
        </w:tc>
        <w:tc>
          <w:tcPr>
            <w:tcW w:w="1603" w:type="dxa"/>
          </w:tcPr>
          <w:p w14:paraId="0D159E1B" w14:textId="77777777" w:rsidR="00F16166" w:rsidRDefault="00F16166" w:rsidP="00503D2C">
            <w:pPr>
              <w:rPr>
                <w:rFonts w:ascii="Times New Roman" w:hAnsi="Times New Roman" w:cs="Times New Roman"/>
              </w:rPr>
            </w:pPr>
            <w:r>
              <w:rPr>
                <w:rFonts w:ascii="Times New Roman" w:hAnsi="Times New Roman" w:cs="Times New Roman"/>
              </w:rPr>
              <w:t>7.52±0.16</w:t>
            </w:r>
          </w:p>
        </w:tc>
      </w:tr>
      <w:tr w:rsidR="00F16166" w14:paraId="05EE75E4" w14:textId="77777777" w:rsidTr="00503D2C">
        <w:tc>
          <w:tcPr>
            <w:tcW w:w="1867" w:type="dxa"/>
          </w:tcPr>
          <w:p w14:paraId="09AD78A0" w14:textId="77777777" w:rsidR="00F16166" w:rsidRDefault="00F16166" w:rsidP="00503D2C">
            <w:pPr>
              <w:rPr>
                <w:rFonts w:ascii="Times New Roman" w:hAnsi="Times New Roman" w:cs="Times New Roman"/>
              </w:rPr>
            </w:pPr>
            <w:r>
              <w:rPr>
                <w:rFonts w:ascii="Times New Roman" w:hAnsi="Times New Roman" w:cs="Times New Roman"/>
              </w:rPr>
              <w:t>FTM</w:t>
            </w:r>
          </w:p>
        </w:tc>
        <w:tc>
          <w:tcPr>
            <w:tcW w:w="1871" w:type="dxa"/>
          </w:tcPr>
          <w:p w14:paraId="5EF958C8" w14:textId="77777777" w:rsidR="00F16166" w:rsidRDefault="00F16166" w:rsidP="00503D2C">
            <w:pPr>
              <w:rPr>
                <w:rFonts w:ascii="Times New Roman" w:hAnsi="Times New Roman" w:cs="Times New Roman"/>
              </w:rPr>
            </w:pPr>
            <w:r>
              <w:rPr>
                <w:rFonts w:ascii="Times New Roman" w:hAnsi="Times New Roman" w:cs="Times New Roman"/>
              </w:rPr>
              <w:t>234.41</w:t>
            </w:r>
          </w:p>
        </w:tc>
        <w:tc>
          <w:tcPr>
            <w:tcW w:w="1872" w:type="dxa"/>
          </w:tcPr>
          <w:p w14:paraId="1ECFD583" w14:textId="77777777" w:rsidR="00F16166" w:rsidRDefault="00F16166" w:rsidP="00503D2C">
            <w:pPr>
              <w:rPr>
                <w:rFonts w:ascii="Times New Roman" w:hAnsi="Times New Roman" w:cs="Times New Roman"/>
              </w:rPr>
            </w:pPr>
            <w:r>
              <w:rPr>
                <w:rFonts w:ascii="Times New Roman" w:hAnsi="Times New Roman" w:cs="Times New Roman"/>
              </w:rPr>
              <w:t>248.30</w:t>
            </w:r>
          </w:p>
        </w:tc>
        <w:tc>
          <w:tcPr>
            <w:tcW w:w="2147" w:type="dxa"/>
          </w:tcPr>
          <w:p w14:paraId="263EC8CD" w14:textId="77777777" w:rsidR="00F16166" w:rsidRDefault="00F16166" w:rsidP="00503D2C">
            <w:pPr>
              <w:rPr>
                <w:rFonts w:ascii="Times New Roman" w:hAnsi="Times New Roman" w:cs="Times New Roman"/>
              </w:rPr>
            </w:pPr>
            <w:r>
              <w:rPr>
                <w:rFonts w:ascii="Times New Roman" w:hAnsi="Times New Roman" w:cs="Times New Roman"/>
              </w:rPr>
              <w:t>243.30±7.72</w:t>
            </w:r>
            <w:r w:rsidRPr="00F419DD">
              <w:rPr>
                <w:rFonts w:ascii="Times New Roman" w:hAnsi="Times New Roman" w:cs="Times New Roman"/>
                <w:vertAlign w:val="superscript"/>
              </w:rPr>
              <w:t>i</w:t>
            </w:r>
          </w:p>
        </w:tc>
        <w:tc>
          <w:tcPr>
            <w:tcW w:w="1603" w:type="dxa"/>
          </w:tcPr>
          <w:p w14:paraId="51AA1B84" w14:textId="77777777" w:rsidR="00F16166" w:rsidRDefault="00F16166" w:rsidP="00503D2C">
            <w:pPr>
              <w:rPr>
                <w:rFonts w:ascii="Times New Roman" w:hAnsi="Times New Roman" w:cs="Times New Roman"/>
              </w:rPr>
            </w:pPr>
            <w:r>
              <w:rPr>
                <w:rFonts w:ascii="Times New Roman" w:hAnsi="Times New Roman" w:cs="Times New Roman"/>
              </w:rPr>
              <w:t>3.41±0.16</w:t>
            </w:r>
          </w:p>
        </w:tc>
      </w:tr>
      <w:tr w:rsidR="00F16166" w14:paraId="0ABB0694" w14:textId="77777777" w:rsidTr="00503D2C">
        <w:tc>
          <w:tcPr>
            <w:tcW w:w="1867" w:type="dxa"/>
          </w:tcPr>
          <w:p w14:paraId="282D64A0" w14:textId="77777777" w:rsidR="00F16166" w:rsidRDefault="00F16166" w:rsidP="00503D2C">
            <w:pPr>
              <w:rPr>
                <w:rFonts w:ascii="Times New Roman" w:hAnsi="Times New Roman" w:cs="Times New Roman"/>
              </w:rPr>
            </w:pPr>
            <w:r>
              <w:rPr>
                <w:rFonts w:ascii="Times New Roman" w:hAnsi="Times New Roman" w:cs="Times New Roman"/>
              </w:rPr>
              <w:t>ADT</w:t>
            </w:r>
          </w:p>
        </w:tc>
        <w:tc>
          <w:tcPr>
            <w:tcW w:w="1871" w:type="dxa"/>
          </w:tcPr>
          <w:p w14:paraId="707A1BD3" w14:textId="77777777" w:rsidR="00F16166" w:rsidRDefault="00F16166" w:rsidP="00503D2C">
            <w:pPr>
              <w:rPr>
                <w:rFonts w:ascii="Times New Roman" w:hAnsi="Times New Roman" w:cs="Times New Roman"/>
              </w:rPr>
            </w:pPr>
            <w:r>
              <w:rPr>
                <w:rFonts w:ascii="Times New Roman" w:hAnsi="Times New Roman" w:cs="Times New Roman"/>
              </w:rPr>
              <w:t>97.90</w:t>
            </w:r>
          </w:p>
        </w:tc>
        <w:tc>
          <w:tcPr>
            <w:tcW w:w="1872" w:type="dxa"/>
          </w:tcPr>
          <w:p w14:paraId="178A555B" w14:textId="77777777" w:rsidR="00F16166" w:rsidRDefault="00F16166" w:rsidP="00503D2C">
            <w:pPr>
              <w:rPr>
                <w:rFonts w:ascii="Times New Roman" w:hAnsi="Times New Roman" w:cs="Times New Roman"/>
              </w:rPr>
            </w:pPr>
            <w:r>
              <w:rPr>
                <w:rFonts w:ascii="Times New Roman" w:hAnsi="Times New Roman" w:cs="Times New Roman"/>
              </w:rPr>
              <w:t>102.50</w:t>
            </w:r>
          </w:p>
        </w:tc>
        <w:tc>
          <w:tcPr>
            <w:tcW w:w="2147" w:type="dxa"/>
          </w:tcPr>
          <w:p w14:paraId="30F94685" w14:textId="77777777" w:rsidR="00F16166" w:rsidRDefault="00F16166" w:rsidP="00503D2C">
            <w:pPr>
              <w:rPr>
                <w:rFonts w:ascii="Times New Roman" w:hAnsi="Times New Roman" w:cs="Times New Roman"/>
              </w:rPr>
            </w:pPr>
            <w:r>
              <w:rPr>
                <w:rFonts w:ascii="Times New Roman" w:hAnsi="Times New Roman" w:cs="Times New Roman"/>
              </w:rPr>
              <w:t>99.60±2.52</w:t>
            </w:r>
            <w:r w:rsidRPr="00F419DD">
              <w:rPr>
                <w:rFonts w:ascii="Times New Roman" w:hAnsi="Times New Roman" w:cs="Times New Roman"/>
                <w:vertAlign w:val="superscript"/>
              </w:rPr>
              <w:t>e</w:t>
            </w:r>
          </w:p>
        </w:tc>
        <w:tc>
          <w:tcPr>
            <w:tcW w:w="1603" w:type="dxa"/>
          </w:tcPr>
          <w:p w14:paraId="66133A93" w14:textId="77777777" w:rsidR="00F16166" w:rsidRDefault="00F16166" w:rsidP="00503D2C">
            <w:pPr>
              <w:rPr>
                <w:rFonts w:ascii="Times New Roman" w:hAnsi="Times New Roman" w:cs="Times New Roman"/>
              </w:rPr>
            </w:pPr>
            <w:r>
              <w:rPr>
                <w:rFonts w:ascii="Times New Roman" w:hAnsi="Times New Roman" w:cs="Times New Roman"/>
              </w:rPr>
              <w:t>4.67±0.10</w:t>
            </w:r>
          </w:p>
        </w:tc>
      </w:tr>
      <w:tr w:rsidR="00F16166" w14:paraId="6FD6D126" w14:textId="77777777" w:rsidTr="00503D2C">
        <w:tc>
          <w:tcPr>
            <w:tcW w:w="1867" w:type="dxa"/>
          </w:tcPr>
          <w:p w14:paraId="43F801D4" w14:textId="77777777" w:rsidR="00F16166" w:rsidRDefault="00F16166" w:rsidP="00503D2C">
            <w:pPr>
              <w:rPr>
                <w:rFonts w:ascii="Times New Roman" w:hAnsi="Times New Roman" w:cs="Times New Roman"/>
              </w:rPr>
            </w:pPr>
            <w:r>
              <w:rPr>
                <w:rFonts w:ascii="Times New Roman" w:hAnsi="Times New Roman" w:cs="Times New Roman"/>
              </w:rPr>
              <w:t>PHB</w:t>
            </w:r>
          </w:p>
        </w:tc>
        <w:tc>
          <w:tcPr>
            <w:tcW w:w="1871" w:type="dxa"/>
          </w:tcPr>
          <w:p w14:paraId="1C6B0659" w14:textId="77777777" w:rsidR="00F16166" w:rsidRDefault="00F16166" w:rsidP="00503D2C">
            <w:pPr>
              <w:rPr>
                <w:rFonts w:ascii="Times New Roman" w:hAnsi="Times New Roman" w:cs="Times New Roman"/>
              </w:rPr>
            </w:pPr>
            <w:r>
              <w:rPr>
                <w:rFonts w:ascii="Times New Roman" w:hAnsi="Times New Roman" w:cs="Times New Roman"/>
              </w:rPr>
              <w:t>402.00</w:t>
            </w:r>
          </w:p>
        </w:tc>
        <w:tc>
          <w:tcPr>
            <w:tcW w:w="1872" w:type="dxa"/>
          </w:tcPr>
          <w:p w14:paraId="50DF4020" w14:textId="77777777" w:rsidR="00F16166" w:rsidRDefault="00F16166" w:rsidP="00503D2C">
            <w:pPr>
              <w:rPr>
                <w:rFonts w:ascii="Times New Roman" w:hAnsi="Times New Roman" w:cs="Times New Roman"/>
              </w:rPr>
            </w:pPr>
            <w:r>
              <w:rPr>
                <w:rFonts w:ascii="Times New Roman" w:hAnsi="Times New Roman" w:cs="Times New Roman"/>
              </w:rPr>
              <w:t>441.00</w:t>
            </w:r>
          </w:p>
        </w:tc>
        <w:tc>
          <w:tcPr>
            <w:tcW w:w="2147" w:type="dxa"/>
          </w:tcPr>
          <w:p w14:paraId="1FABE385" w14:textId="77777777" w:rsidR="00F16166" w:rsidRDefault="00F16166" w:rsidP="00503D2C">
            <w:pPr>
              <w:rPr>
                <w:rFonts w:ascii="Times New Roman" w:hAnsi="Times New Roman" w:cs="Times New Roman"/>
              </w:rPr>
            </w:pPr>
            <w:r>
              <w:rPr>
                <w:rFonts w:ascii="Times New Roman" w:hAnsi="Times New Roman" w:cs="Times New Roman"/>
              </w:rPr>
              <w:t>424.00±19.97</w:t>
            </w:r>
            <w:r w:rsidRPr="00F419DD">
              <w:rPr>
                <w:rFonts w:ascii="Times New Roman" w:hAnsi="Times New Roman" w:cs="Times New Roman"/>
                <w:vertAlign w:val="superscript"/>
              </w:rPr>
              <w:t>m</w:t>
            </w:r>
          </w:p>
        </w:tc>
        <w:tc>
          <w:tcPr>
            <w:tcW w:w="1603" w:type="dxa"/>
          </w:tcPr>
          <w:p w14:paraId="20441B44" w14:textId="77777777" w:rsidR="00F16166" w:rsidRDefault="00F16166" w:rsidP="00503D2C">
            <w:pPr>
              <w:rPr>
                <w:rFonts w:ascii="Times New Roman" w:hAnsi="Times New Roman" w:cs="Times New Roman"/>
              </w:rPr>
            </w:pPr>
            <w:r>
              <w:rPr>
                <w:rFonts w:ascii="Times New Roman" w:hAnsi="Times New Roman" w:cs="Times New Roman"/>
              </w:rPr>
              <w:t>3.18±0.08</w:t>
            </w:r>
          </w:p>
        </w:tc>
      </w:tr>
      <w:tr w:rsidR="00F16166" w14:paraId="25F3D443" w14:textId="77777777" w:rsidTr="00503D2C">
        <w:tc>
          <w:tcPr>
            <w:tcW w:w="1867" w:type="dxa"/>
          </w:tcPr>
          <w:p w14:paraId="1F2289A8" w14:textId="77777777" w:rsidR="00F16166" w:rsidRDefault="00F16166" w:rsidP="00503D2C">
            <w:pPr>
              <w:rPr>
                <w:rFonts w:ascii="Times New Roman" w:hAnsi="Times New Roman" w:cs="Times New Roman"/>
              </w:rPr>
            </w:pPr>
            <w:r>
              <w:rPr>
                <w:rFonts w:ascii="Times New Roman" w:hAnsi="Times New Roman" w:cs="Times New Roman"/>
              </w:rPr>
              <w:t>AWGM</w:t>
            </w:r>
          </w:p>
        </w:tc>
        <w:tc>
          <w:tcPr>
            <w:tcW w:w="1871" w:type="dxa"/>
          </w:tcPr>
          <w:p w14:paraId="0B07A669" w14:textId="77777777" w:rsidR="00F16166" w:rsidRDefault="00F16166" w:rsidP="00503D2C">
            <w:pPr>
              <w:rPr>
                <w:rFonts w:ascii="Times New Roman" w:hAnsi="Times New Roman" w:cs="Times New Roman"/>
              </w:rPr>
            </w:pPr>
            <w:r>
              <w:rPr>
                <w:rFonts w:ascii="Times New Roman" w:hAnsi="Times New Roman" w:cs="Times New Roman"/>
              </w:rPr>
              <w:t>373.00</w:t>
            </w:r>
          </w:p>
        </w:tc>
        <w:tc>
          <w:tcPr>
            <w:tcW w:w="1872" w:type="dxa"/>
          </w:tcPr>
          <w:p w14:paraId="3F87BC59" w14:textId="77777777" w:rsidR="00F16166" w:rsidRDefault="00F16166" w:rsidP="00503D2C">
            <w:pPr>
              <w:rPr>
                <w:rFonts w:ascii="Times New Roman" w:hAnsi="Times New Roman" w:cs="Times New Roman"/>
              </w:rPr>
            </w:pPr>
            <w:r>
              <w:rPr>
                <w:rFonts w:ascii="Times New Roman" w:hAnsi="Times New Roman" w:cs="Times New Roman"/>
              </w:rPr>
              <w:t>380.80</w:t>
            </w:r>
          </w:p>
        </w:tc>
        <w:tc>
          <w:tcPr>
            <w:tcW w:w="2147" w:type="dxa"/>
          </w:tcPr>
          <w:p w14:paraId="555170A2" w14:textId="77777777" w:rsidR="00F16166" w:rsidRDefault="00F16166" w:rsidP="00503D2C">
            <w:pPr>
              <w:rPr>
                <w:rFonts w:ascii="Times New Roman" w:hAnsi="Times New Roman" w:cs="Times New Roman"/>
              </w:rPr>
            </w:pPr>
            <w:r>
              <w:rPr>
                <w:rFonts w:ascii="Times New Roman" w:hAnsi="Times New Roman" w:cs="Times New Roman"/>
              </w:rPr>
              <w:t>377.37±3.98</w:t>
            </w:r>
            <w:r w:rsidRPr="00F419DD">
              <w:rPr>
                <w:rFonts w:ascii="Times New Roman" w:hAnsi="Times New Roman" w:cs="Times New Roman"/>
                <w:vertAlign w:val="superscript"/>
              </w:rPr>
              <w:t>l</w:t>
            </w:r>
          </w:p>
        </w:tc>
        <w:tc>
          <w:tcPr>
            <w:tcW w:w="1603" w:type="dxa"/>
          </w:tcPr>
          <w:p w14:paraId="305AC993" w14:textId="77777777" w:rsidR="00F16166" w:rsidRDefault="00F16166" w:rsidP="00503D2C">
            <w:pPr>
              <w:rPr>
                <w:rFonts w:ascii="Times New Roman" w:hAnsi="Times New Roman" w:cs="Times New Roman"/>
              </w:rPr>
            </w:pPr>
            <w:r>
              <w:rPr>
                <w:rFonts w:ascii="Times New Roman" w:hAnsi="Times New Roman" w:cs="Times New Roman"/>
              </w:rPr>
              <w:t>3.87±0.09</w:t>
            </w:r>
          </w:p>
        </w:tc>
      </w:tr>
      <w:tr w:rsidR="00F16166" w14:paraId="2E78BF3B" w14:textId="77777777" w:rsidTr="00503D2C">
        <w:tc>
          <w:tcPr>
            <w:tcW w:w="1867" w:type="dxa"/>
          </w:tcPr>
          <w:p w14:paraId="1622C93D" w14:textId="77777777" w:rsidR="00F16166" w:rsidRDefault="00F16166" w:rsidP="00503D2C">
            <w:pPr>
              <w:rPr>
                <w:rFonts w:ascii="Times New Roman" w:hAnsi="Times New Roman" w:cs="Times New Roman"/>
              </w:rPr>
            </w:pPr>
            <w:r>
              <w:rPr>
                <w:rFonts w:ascii="Times New Roman" w:hAnsi="Times New Roman" w:cs="Times New Roman"/>
              </w:rPr>
              <w:t>THM</w:t>
            </w:r>
          </w:p>
        </w:tc>
        <w:tc>
          <w:tcPr>
            <w:tcW w:w="1871" w:type="dxa"/>
          </w:tcPr>
          <w:p w14:paraId="4F8ED3CB" w14:textId="77777777" w:rsidR="00F16166" w:rsidRDefault="00F16166" w:rsidP="00503D2C">
            <w:pPr>
              <w:rPr>
                <w:rFonts w:ascii="Times New Roman" w:hAnsi="Times New Roman" w:cs="Times New Roman"/>
              </w:rPr>
            </w:pPr>
            <w:r>
              <w:rPr>
                <w:rFonts w:ascii="Times New Roman" w:hAnsi="Times New Roman" w:cs="Times New Roman"/>
              </w:rPr>
              <w:t>683.50</w:t>
            </w:r>
          </w:p>
        </w:tc>
        <w:tc>
          <w:tcPr>
            <w:tcW w:w="1872" w:type="dxa"/>
          </w:tcPr>
          <w:p w14:paraId="355FFA26" w14:textId="77777777" w:rsidR="00F16166" w:rsidRDefault="00F16166" w:rsidP="00503D2C">
            <w:pPr>
              <w:rPr>
                <w:rFonts w:ascii="Times New Roman" w:hAnsi="Times New Roman" w:cs="Times New Roman"/>
              </w:rPr>
            </w:pPr>
            <w:r>
              <w:rPr>
                <w:rFonts w:ascii="Times New Roman" w:hAnsi="Times New Roman" w:cs="Times New Roman"/>
              </w:rPr>
              <w:t>701.20</w:t>
            </w:r>
          </w:p>
        </w:tc>
        <w:tc>
          <w:tcPr>
            <w:tcW w:w="2147" w:type="dxa"/>
          </w:tcPr>
          <w:p w14:paraId="3E0C50C2" w14:textId="77777777" w:rsidR="00F16166" w:rsidRDefault="00F16166" w:rsidP="00503D2C">
            <w:pPr>
              <w:rPr>
                <w:rFonts w:ascii="Times New Roman" w:hAnsi="Times New Roman" w:cs="Times New Roman"/>
              </w:rPr>
            </w:pPr>
            <w:r>
              <w:rPr>
                <w:rFonts w:ascii="Times New Roman" w:hAnsi="Times New Roman" w:cs="Times New Roman"/>
              </w:rPr>
              <w:t>691.50±8.97</w:t>
            </w:r>
            <w:r w:rsidRPr="00F419DD">
              <w:rPr>
                <w:rFonts w:ascii="Times New Roman" w:hAnsi="Times New Roman" w:cs="Times New Roman"/>
                <w:vertAlign w:val="superscript"/>
              </w:rPr>
              <w:t>n</w:t>
            </w:r>
          </w:p>
        </w:tc>
        <w:tc>
          <w:tcPr>
            <w:tcW w:w="1603" w:type="dxa"/>
          </w:tcPr>
          <w:p w14:paraId="7982EADB" w14:textId="77777777" w:rsidR="00F16166" w:rsidRDefault="00F16166" w:rsidP="00503D2C">
            <w:pPr>
              <w:rPr>
                <w:rFonts w:ascii="Times New Roman" w:hAnsi="Times New Roman" w:cs="Times New Roman"/>
              </w:rPr>
            </w:pPr>
            <w:r>
              <w:rPr>
                <w:rFonts w:ascii="Times New Roman" w:hAnsi="Times New Roman" w:cs="Times New Roman"/>
              </w:rPr>
              <w:t>3.17±0.05</w:t>
            </w:r>
          </w:p>
        </w:tc>
      </w:tr>
      <w:tr w:rsidR="00F16166" w14:paraId="562DBEDF" w14:textId="77777777" w:rsidTr="00503D2C">
        <w:tc>
          <w:tcPr>
            <w:tcW w:w="1867" w:type="dxa"/>
          </w:tcPr>
          <w:p w14:paraId="694D1505" w14:textId="77777777" w:rsidR="00F16166" w:rsidRDefault="00F16166" w:rsidP="00503D2C">
            <w:pPr>
              <w:rPr>
                <w:rFonts w:ascii="Times New Roman" w:hAnsi="Times New Roman" w:cs="Times New Roman"/>
              </w:rPr>
            </w:pPr>
            <w:r>
              <w:rPr>
                <w:rFonts w:ascii="Times New Roman" w:hAnsi="Times New Roman" w:cs="Times New Roman"/>
              </w:rPr>
              <w:t>NB</w:t>
            </w:r>
          </w:p>
        </w:tc>
        <w:tc>
          <w:tcPr>
            <w:tcW w:w="1871" w:type="dxa"/>
          </w:tcPr>
          <w:p w14:paraId="4D2C51CF" w14:textId="77777777" w:rsidR="00F16166" w:rsidRDefault="00F16166" w:rsidP="00503D2C">
            <w:pPr>
              <w:rPr>
                <w:rFonts w:ascii="Times New Roman" w:hAnsi="Times New Roman" w:cs="Times New Roman"/>
              </w:rPr>
            </w:pPr>
            <w:r>
              <w:rPr>
                <w:rFonts w:ascii="Times New Roman" w:hAnsi="Times New Roman" w:cs="Times New Roman"/>
              </w:rPr>
              <w:t>380.00</w:t>
            </w:r>
          </w:p>
        </w:tc>
        <w:tc>
          <w:tcPr>
            <w:tcW w:w="1872" w:type="dxa"/>
          </w:tcPr>
          <w:p w14:paraId="384B48BE" w14:textId="77777777" w:rsidR="00F16166" w:rsidRDefault="00F16166" w:rsidP="00503D2C">
            <w:pPr>
              <w:rPr>
                <w:rFonts w:ascii="Times New Roman" w:hAnsi="Times New Roman" w:cs="Times New Roman"/>
              </w:rPr>
            </w:pPr>
            <w:r>
              <w:rPr>
                <w:rFonts w:ascii="Times New Roman" w:hAnsi="Times New Roman" w:cs="Times New Roman"/>
              </w:rPr>
              <w:t>385.00</w:t>
            </w:r>
          </w:p>
        </w:tc>
        <w:tc>
          <w:tcPr>
            <w:tcW w:w="2147" w:type="dxa"/>
          </w:tcPr>
          <w:p w14:paraId="3B3272FF" w14:textId="77777777" w:rsidR="00F16166" w:rsidRDefault="00F16166" w:rsidP="00503D2C">
            <w:pPr>
              <w:rPr>
                <w:rFonts w:ascii="Times New Roman" w:hAnsi="Times New Roman" w:cs="Times New Roman"/>
              </w:rPr>
            </w:pPr>
            <w:r>
              <w:rPr>
                <w:rFonts w:ascii="Times New Roman" w:hAnsi="Times New Roman" w:cs="Times New Roman"/>
              </w:rPr>
              <w:t>382.00±2.65</w:t>
            </w:r>
            <w:r w:rsidRPr="00F419DD">
              <w:rPr>
                <w:rFonts w:ascii="Times New Roman" w:hAnsi="Times New Roman" w:cs="Times New Roman"/>
                <w:vertAlign w:val="superscript"/>
              </w:rPr>
              <w:t>l</w:t>
            </w:r>
          </w:p>
        </w:tc>
        <w:tc>
          <w:tcPr>
            <w:tcW w:w="1603" w:type="dxa"/>
          </w:tcPr>
          <w:p w14:paraId="19726F8A" w14:textId="77777777" w:rsidR="00F16166" w:rsidRDefault="00F16166" w:rsidP="00503D2C">
            <w:pPr>
              <w:rPr>
                <w:rFonts w:ascii="Times New Roman" w:hAnsi="Times New Roman" w:cs="Times New Roman"/>
              </w:rPr>
            </w:pPr>
            <w:r>
              <w:rPr>
                <w:rFonts w:ascii="Times New Roman" w:hAnsi="Times New Roman" w:cs="Times New Roman"/>
              </w:rPr>
              <w:t>3.90±0.06</w:t>
            </w:r>
          </w:p>
        </w:tc>
      </w:tr>
      <w:tr w:rsidR="00F16166" w14:paraId="3C2F40B7" w14:textId="77777777" w:rsidTr="00503D2C">
        <w:tc>
          <w:tcPr>
            <w:tcW w:w="1867" w:type="dxa"/>
          </w:tcPr>
          <w:p w14:paraId="340064A1" w14:textId="77777777" w:rsidR="00F16166" w:rsidRDefault="00F16166" w:rsidP="00503D2C">
            <w:pPr>
              <w:rPr>
                <w:rFonts w:ascii="Times New Roman" w:hAnsi="Times New Roman" w:cs="Times New Roman"/>
              </w:rPr>
            </w:pPr>
            <w:r>
              <w:rPr>
                <w:rFonts w:ascii="Times New Roman" w:hAnsi="Times New Roman" w:cs="Times New Roman"/>
              </w:rPr>
              <w:t>KKA</w:t>
            </w:r>
          </w:p>
        </w:tc>
        <w:tc>
          <w:tcPr>
            <w:tcW w:w="1871" w:type="dxa"/>
          </w:tcPr>
          <w:p w14:paraId="0E213262" w14:textId="77777777" w:rsidR="00F16166" w:rsidRDefault="00F16166" w:rsidP="00503D2C">
            <w:pPr>
              <w:rPr>
                <w:rFonts w:ascii="Times New Roman" w:hAnsi="Times New Roman" w:cs="Times New Roman"/>
              </w:rPr>
            </w:pPr>
            <w:r>
              <w:rPr>
                <w:rFonts w:ascii="Times New Roman" w:hAnsi="Times New Roman" w:cs="Times New Roman"/>
              </w:rPr>
              <w:t>0.90</w:t>
            </w:r>
          </w:p>
        </w:tc>
        <w:tc>
          <w:tcPr>
            <w:tcW w:w="1872" w:type="dxa"/>
          </w:tcPr>
          <w:p w14:paraId="2A968E6D" w14:textId="77777777" w:rsidR="00F16166" w:rsidRDefault="00F16166" w:rsidP="00503D2C">
            <w:pPr>
              <w:rPr>
                <w:rFonts w:ascii="Times New Roman" w:hAnsi="Times New Roman" w:cs="Times New Roman"/>
              </w:rPr>
            </w:pPr>
            <w:r>
              <w:rPr>
                <w:rFonts w:ascii="Times New Roman" w:hAnsi="Times New Roman" w:cs="Times New Roman"/>
              </w:rPr>
              <w:t>1.60</w:t>
            </w:r>
          </w:p>
        </w:tc>
        <w:tc>
          <w:tcPr>
            <w:tcW w:w="2147" w:type="dxa"/>
          </w:tcPr>
          <w:p w14:paraId="6CE2C79B" w14:textId="77777777" w:rsidR="00F16166" w:rsidRDefault="00F16166" w:rsidP="00503D2C">
            <w:pPr>
              <w:rPr>
                <w:rFonts w:ascii="Times New Roman" w:hAnsi="Times New Roman" w:cs="Times New Roman"/>
              </w:rPr>
            </w:pPr>
            <w:r>
              <w:rPr>
                <w:rFonts w:ascii="Times New Roman" w:hAnsi="Times New Roman" w:cs="Times New Roman"/>
              </w:rPr>
              <w:t>1.30±0.36</w:t>
            </w:r>
            <w:r w:rsidRPr="00F419DD">
              <w:rPr>
                <w:rFonts w:ascii="Times New Roman" w:hAnsi="Times New Roman" w:cs="Times New Roman"/>
                <w:vertAlign w:val="superscript"/>
              </w:rPr>
              <w:t>a</w:t>
            </w:r>
          </w:p>
        </w:tc>
        <w:tc>
          <w:tcPr>
            <w:tcW w:w="1603" w:type="dxa"/>
          </w:tcPr>
          <w:p w14:paraId="5310879C" w14:textId="77777777" w:rsidR="00F16166" w:rsidRDefault="00F16166" w:rsidP="00503D2C">
            <w:pPr>
              <w:rPr>
                <w:rFonts w:ascii="Times New Roman" w:hAnsi="Times New Roman" w:cs="Times New Roman"/>
              </w:rPr>
            </w:pPr>
            <w:r>
              <w:rPr>
                <w:rFonts w:ascii="Times New Roman" w:hAnsi="Times New Roman" w:cs="Times New Roman"/>
              </w:rPr>
              <w:t>6.88±0.08</w:t>
            </w:r>
          </w:p>
        </w:tc>
      </w:tr>
      <w:tr w:rsidR="00F16166" w14:paraId="3416885B" w14:textId="77777777" w:rsidTr="00503D2C">
        <w:tc>
          <w:tcPr>
            <w:tcW w:w="1867" w:type="dxa"/>
          </w:tcPr>
          <w:p w14:paraId="7BD28C89" w14:textId="77777777" w:rsidR="00F16166" w:rsidRDefault="00F16166" w:rsidP="00503D2C">
            <w:pPr>
              <w:rPr>
                <w:rFonts w:ascii="Times New Roman" w:hAnsi="Times New Roman" w:cs="Times New Roman"/>
              </w:rPr>
            </w:pPr>
            <w:r>
              <w:rPr>
                <w:rFonts w:ascii="Times New Roman" w:hAnsi="Times New Roman" w:cs="Times New Roman"/>
              </w:rPr>
              <w:t>SGB</w:t>
            </w:r>
          </w:p>
        </w:tc>
        <w:tc>
          <w:tcPr>
            <w:tcW w:w="1871" w:type="dxa"/>
          </w:tcPr>
          <w:p w14:paraId="57665EBA" w14:textId="77777777" w:rsidR="00F16166" w:rsidRDefault="00F16166" w:rsidP="00503D2C">
            <w:pPr>
              <w:rPr>
                <w:rFonts w:ascii="Times New Roman" w:hAnsi="Times New Roman" w:cs="Times New Roman"/>
              </w:rPr>
            </w:pPr>
            <w:r>
              <w:rPr>
                <w:rFonts w:ascii="Times New Roman" w:hAnsi="Times New Roman" w:cs="Times New Roman"/>
              </w:rPr>
              <w:t>1.10</w:t>
            </w:r>
          </w:p>
        </w:tc>
        <w:tc>
          <w:tcPr>
            <w:tcW w:w="1872" w:type="dxa"/>
          </w:tcPr>
          <w:p w14:paraId="0D4CE243" w14:textId="77777777" w:rsidR="00F16166" w:rsidRDefault="00F16166" w:rsidP="00503D2C">
            <w:pPr>
              <w:rPr>
                <w:rFonts w:ascii="Times New Roman" w:hAnsi="Times New Roman" w:cs="Times New Roman"/>
              </w:rPr>
            </w:pPr>
            <w:r>
              <w:rPr>
                <w:rFonts w:ascii="Times New Roman" w:hAnsi="Times New Roman" w:cs="Times New Roman"/>
              </w:rPr>
              <w:t>2.00</w:t>
            </w:r>
          </w:p>
        </w:tc>
        <w:tc>
          <w:tcPr>
            <w:tcW w:w="2147" w:type="dxa"/>
          </w:tcPr>
          <w:p w14:paraId="5990CBE7" w14:textId="77777777" w:rsidR="00F16166" w:rsidRDefault="00F16166" w:rsidP="00503D2C">
            <w:pPr>
              <w:rPr>
                <w:rFonts w:ascii="Times New Roman" w:hAnsi="Times New Roman" w:cs="Times New Roman"/>
              </w:rPr>
            </w:pPr>
            <w:r>
              <w:rPr>
                <w:rFonts w:ascii="Times New Roman" w:hAnsi="Times New Roman" w:cs="Times New Roman"/>
              </w:rPr>
              <w:t>1.57±0.45</w:t>
            </w:r>
            <w:r w:rsidRPr="00F419DD">
              <w:rPr>
                <w:rFonts w:ascii="Times New Roman" w:hAnsi="Times New Roman" w:cs="Times New Roman"/>
                <w:vertAlign w:val="superscript"/>
              </w:rPr>
              <w:t>a</w:t>
            </w:r>
          </w:p>
        </w:tc>
        <w:tc>
          <w:tcPr>
            <w:tcW w:w="1603" w:type="dxa"/>
          </w:tcPr>
          <w:p w14:paraId="22EB332A" w14:textId="77777777" w:rsidR="00F16166" w:rsidRDefault="00F16166" w:rsidP="00503D2C">
            <w:pPr>
              <w:rPr>
                <w:rFonts w:ascii="Times New Roman" w:hAnsi="Times New Roman" w:cs="Times New Roman"/>
              </w:rPr>
            </w:pPr>
            <w:r>
              <w:rPr>
                <w:rFonts w:ascii="Times New Roman" w:hAnsi="Times New Roman" w:cs="Times New Roman"/>
              </w:rPr>
              <w:t>7.35±0.12</w:t>
            </w:r>
          </w:p>
        </w:tc>
      </w:tr>
      <w:tr w:rsidR="00F16166" w14:paraId="2D36DCC1" w14:textId="77777777" w:rsidTr="00503D2C">
        <w:tc>
          <w:tcPr>
            <w:tcW w:w="1867" w:type="dxa"/>
          </w:tcPr>
          <w:p w14:paraId="5F79EA71" w14:textId="77777777" w:rsidR="00F16166" w:rsidRDefault="00F16166" w:rsidP="00503D2C">
            <w:pPr>
              <w:rPr>
                <w:rFonts w:ascii="Times New Roman" w:hAnsi="Times New Roman" w:cs="Times New Roman"/>
              </w:rPr>
            </w:pPr>
            <w:r>
              <w:rPr>
                <w:rFonts w:ascii="Times New Roman" w:hAnsi="Times New Roman" w:cs="Times New Roman"/>
              </w:rPr>
              <w:t>AKM</w:t>
            </w:r>
          </w:p>
        </w:tc>
        <w:tc>
          <w:tcPr>
            <w:tcW w:w="1871" w:type="dxa"/>
          </w:tcPr>
          <w:p w14:paraId="6323D3A8" w14:textId="77777777" w:rsidR="00F16166" w:rsidRDefault="00F16166" w:rsidP="00503D2C">
            <w:pPr>
              <w:rPr>
                <w:rFonts w:ascii="Times New Roman" w:hAnsi="Times New Roman" w:cs="Times New Roman"/>
              </w:rPr>
            </w:pPr>
            <w:r>
              <w:rPr>
                <w:rFonts w:ascii="Times New Roman" w:hAnsi="Times New Roman" w:cs="Times New Roman"/>
              </w:rPr>
              <w:t>1.30</w:t>
            </w:r>
          </w:p>
        </w:tc>
        <w:tc>
          <w:tcPr>
            <w:tcW w:w="1872" w:type="dxa"/>
          </w:tcPr>
          <w:p w14:paraId="707BAF5E" w14:textId="77777777" w:rsidR="00F16166" w:rsidRDefault="00F16166" w:rsidP="00503D2C">
            <w:pPr>
              <w:rPr>
                <w:rFonts w:ascii="Times New Roman" w:hAnsi="Times New Roman" w:cs="Times New Roman"/>
              </w:rPr>
            </w:pPr>
            <w:r>
              <w:rPr>
                <w:rFonts w:ascii="Times New Roman" w:hAnsi="Times New Roman" w:cs="Times New Roman"/>
              </w:rPr>
              <w:t>2.20</w:t>
            </w:r>
          </w:p>
        </w:tc>
        <w:tc>
          <w:tcPr>
            <w:tcW w:w="2147" w:type="dxa"/>
          </w:tcPr>
          <w:p w14:paraId="54039319" w14:textId="77777777" w:rsidR="00F16166" w:rsidRDefault="00F16166" w:rsidP="00503D2C">
            <w:pPr>
              <w:rPr>
                <w:rFonts w:ascii="Times New Roman" w:hAnsi="Times New Roman" w:cs="Times New Roman"/>
              </w:rPr>
            </w:pPr>
            <w:r>
              <w:rPr>
                <w:rFonts w:ascii="Times New Roman" w:hAnsi="Times New Roman" w:cs="Times New Roman"/>
              </w:rPr>
              <w:t>1.70±0.46</w:t>
            </w:r>
            <w:r w:rsidRPr="00F419DD">
              <w:rPr>
                <w:rFonts w:ascii="Times New Roman" w:hAnsi="Times New Roman" w:cs="Times New Roman"/>
                <w:vertAlign w:val="superscript"/>
              </w:rPr>
              <w:t>a</w:t>
            </w:r>
          </w:p>
        </w:tc>
        <w:tc>
          <w:tcPr>
            <w:tcW w:w="1603" w:type="dxa"/>
          </w:tcPr>
          <w:p w14:paraId="282EF9EE" w14:textId="77777777" w:rsidR="00F16166" w:rsidRDefault="00F16166" w:rsidP="00503D2C">
            <w:pPr>
              <w:rPr>
                <w:rFonts w:ascii="Times New Roman" w:hAnsi="Times New Roman" w:cs="Times New Roman"/>
              </w:rPr>
            </w:pPr>
            <w:r>
              <w:rPr>
                <w:rFonts w:ascii="Times New Roman" w:hAnsi="Times New Roman" w:cs="Times New Roman"/>
              </w:rPr>
              <w:t>7.83±0.06</w:t>
            </w:r>
          </w:p>
        </w:tc>
      </w:tr>
      <w:tr w:rsidR="00F16166" w14:paraId="73DEF5EA" w14:textId="77777777" w:rsidTr="00503D2C">
        <w:tc>
          <w:tcPr>
            <w:tcW w:w="1867" w:type="dxa"/>
          </w:tcPr>
          <w:p w14:paraId="2CBFA1EB" w14:textId="77777777" w:rsidR="00F16166" w:rsidRDefault="00F16166" w:rsidP="00503D2C">
            <w:pPr>
              <w:rPr>
                <w:rFonts w:ascii="Times New Roman" w:hAnsi="Times New Roman" w:cs="Times New Roman"/>
              </w:rPr>
            </w:pPr>
            <w:r>
              <w:rPr>
                <w:rFonts w:ascii="Times New Roman" w:hAnsi="Times New Roman" w:cs="Times New Roman"/>
              </w:rPr>
              <w:lastRenderedPageBreak/>
              <w:t>TIHM</w:t>
            </w:r>
          </w:p>
        </w:tc>
        <w:tc>
          <w:tcPr>
            <w:tcW w:w="1871" w:type="dxa"/>
          </w:tcPr>
          <w:p w14:paraId="4EB38AFD" w14:textId="77777777" w:rsidR="00F16166" w:rsidRDefault="00F16166" w:rsidP="00503D2C">
            <w:pPr>
              <w:rPr>
                <w:rFonts w:ascii="Times New Roman" w:hAnsi="Times New Roman" w:cs="Times New Roman"/>
              </w:rPr>
            </w:pPr>
            <w:r>
              <w:rPr>
                <w:rFonts w:ascii="Times New Roman" w:hAnsi="Times New Roman" w:cs="Times New Roman"/>
              </w:rPr>
              <w:t>227.50</w:t>
            </w:r>
          </w:p>
        </w:tc>
        <w:tc>
          <w:tcPr>
            <w:tcW w:w="1872" w:type="dxa"/>
          </w:tcPr>
          <w:p w14:paraId="58E7E4D9" w14:textId="77777777" w:rsidR="00F16166" w:rsidRDefault="00F16166" w:rsidP="00503D2C">
            <w:pPr>
              <w:rPr>
                <w:rFonts w:ascii="Times New Roman" w:hAnsi="Times New Roman" w:cs="Times New Roman"/>
              </w:rPr>
            </w:pPr>
            <w:r>
              <w:rPr>
                <w:rFonts w:ascii="Times New Roman" w:hAnsi="Times New Roman" w:cs="Times New Roman"/>
              </w:rPr>
              <w:t>266.60</w:t>
            </w:r>
          </w:p>
        </w:tc>
        <w:tc>
          <w:tcPr>
            <w:tcW w:w="2147" w:type="dxa"/>
          </w:tcPr>
          <w:p w14:paraId="534349F9" w14:textId="77777777" w:rsidR="00F16166" w:rsidRDefault="00F16166" w:rsidP="00503D2C">
            <w:pPr>
              <w:rPr>
                <w:rFonts w:ascii="Times New Roman" w:hAnsi="Times New Roman" w:cs="Times New Roman"/>
              </w:rPr>
            </w:pPr>
            <w:r>
              <w:rPr>
                <w:rFonts w:ascii="Times New Roman" w:hAnsi="Times New Roman" w:cs="Times New Roman"/>
              </w:rPr>
              <w:t>247.77±19.59</w:t>
            </w:r>
            <w:r w:rsidRPr="00F419DD">
              <w:rPr>
                <w:rFonts w:ascii="Times New Roman" w:hAnsi="Times New Roman" w:cs="Times New Roman"/>
                <w:vertAlign w:val="superscript"/>
              </w:rPr>
              <w:t>i</w:t>
            </w:r>
          </w:p>
        </w:tc>
        <w:tc>
          <w:tcPr>
            <w:tcW w:w="1603" w:type="dxa"/>
          </w:tcPr>
          <w:p w14:paraId="5779B9EF" w14:textId="77777777" w:rsidR="00F16166" w:rsidRDefault="00F16166" w:rsidP="00503D2C">
            <w:pPr>
              <w:rPr>
                <w:rFonts w:ascii="Times New Roman" w:hAnsi="Times New Roman" w:cs="Times New Roman"/>
              </w:rPr>
            </w:pPr>
            <w:r>
              <w:rPr>
                <w:rFonts w:ascii="Times New Roman" w:hAnsi="Times New Roman" w:cs="Times New Roman"/>
              </w:rPr>
              <w:t>4.11±0.10</w:t>
            </w:r>
          </w:p>
        </w:tc>
      </w:tr>
      <w:tr w:rsidR="00F16166" w14:paraId="6BE398DE" w14:textId="77777777" w:rsidTr="00503D2C">
        <w:tc>
          <w:tcPr>
            <w:tcW w:w="1867" w:type="dxa"/>
          </w:tcPr>
          <w:p w14:paraId="4B8D0805" w14:textId="77777777" w:rsidR="00F16166" w:rsidRDefault="00F16166" w:rsidP="00503D2C">
            <w:pPr>
              <w:rPr>
                <w:rFonts w:ascii="Times New Roman" w:hAnsi="Times New Roman" w:cs="Times New Roman"/>
              </w:rPr>
            </w:pPr>
            <w:r>
              <w:rPr>
                <w:rFonts w:ascii="Times New Roman" w:hAnsi="Times New Roman" w:cs="Times New Roman"/>
              </w:rPr>
              <w:t>AT</w:t>
            </w:r>
          </w:p>
        </w:tc>
        <w:tc>
          <w:tcPr>
            <w:tcW w:w="1871" w:type="dxa"/>
          </w:tcPr>
          <w:p w14:paraId="7C7984F3" w14:textId="77777777" w:rsidR="00F16166" w:rsidRDefault="00F16166" w:rsidP="00503D2C">
            <w:pPr>
              <w:rPr>
                <w:rFonts w:ascii="Times New Roman" w:hAnsi="Times New Roman" w:cs="Times New Roman"/>
              </w:rPr>
            </w:pPr>
            <w:r>
              <w:rPr>
                <w:rFonts w:ascii="Times New Roman" w:hAnsi="Times New Roman" w:cs="Times New Roman"/>
              </w:rPr>
              <w:t>1.00</w:t>
            </w:r>
          </w:p>
        </w:tc>
        <w:tc>
          <w:tcPr>
            <w:tcW w:w="1872" w:type="dxa"/>
          </w:tcPr>
          <w:p w14:paraId="5CEE5603" w14:textId="77777777" w:rsidR="00F16166" w:rsidRDefault="00F16166" w:rsidP="00503D2C">
            <w:pPr>
              <w:rPr>
                <w:rFonts w:ascii="Times New Roman" w:hAnsi="Times New Roman" w:cs="Times New Roman"/>
              </w:rPr>
            </w:pPr>
            <w:r>
              <w:rPr>
                <w:rFonts w:ascii="Times New Roman" w:hAnsi="Times New Roman" w:cs="Times New Roman"/>
              </w:rPr>
              <w:t>1.10</w:t>
            </w:r>
          </w:p>
        </w:tc>
        <w:tc>
          <w:tcPr>
            <w:tcW w:w="2147" w:type="dxa"/>
          </w:tcPr>
          <w:p w14:paraId="3E66951F" w14:textId="77777777" w:rsidR="00F16166" w:rsidRDefault="00F16166" w:rsidP="00503D2C">
            <w:pPr>
              <w:rPr>
                <w:rFonts w:ascii="Times New Roman" w:hAnsi="Times New Roman" w:cs="Times New Roman"/>
              </w:rPr>
            </w:pPr>
            <w:r>
              <w:rPr>
                <w:rFonts w:ascii="Times New Roman" w:hAnsi="Times New Roman" w:cs="Times New Roman"/>
              </w:rPr>
              <w:t>1.03±0.06</w:t>
            </w:r>
            <w:r w:rsidRPr="00F419DD">
              <w:rPr>
                <w:rFonts w:ascii="Times New Roman" w:hAnsi="Times New Roman" w:cs="Times New Roman"/>
                <w:vertAlign w:val="superscript"/>
              </w:rPr>
              <w:t>a</w:t>
            </w:r>
          </w:p>
        </w:tc>
        <w:tc>
          <w:tcPr>
            <w:tcW w:w="1603" w:type="dxa"/>
          </w:tcPr>
          <w:p w14:paraId="00738C8C" w14:textId="77777777" w:rsidR="00F16166" w:rsidRDefault="00F16166" w:rsidP="00503D2C">
            <w:pPr>
              <w:rPr>
                <w:rFonts w:ascii="Times New Roman" w:hAnsi="Times New Roman" w:cs="Times New Roman"/>
              </w:rPr>
            </w:pPr>
            <w:r>
              <w:rPr>
                <w:rFonts w:ascii="Times New Roman" w:hAnsi="Times New Roman" w:cs="Times New Roman"/>
              </w:rPr>
              <w:t>6.63±0.16</w:t>
            </w:r>
          </w:p>
        </w:tc>
      </w:tr>
      <w:tr w:rsidR="00F16166" w14:paraId="3E9A976F" w14:textId="77777777" w:rsidTr="00503D2C">
        <w:tc>
          <w:tcPr>
            <w:tcW w:w="1867" w:type="dxa"/>
          </w:tcPr>
          <w:p w14:paraId="156C7DD4" w14:textId="77777777" w:rsidR="00F16166" w:rsidRDefault="00F16166" w:rsidP="00503D2C">
            <w:pPr>
              <w:rPr>
                <w:rFonts w:ascii="Times New Roman" w:hAnsi="Times New Roman" w:cs="Times New Roman"/>
              </w:rPr>
            </w:pPr>
            <w:r>
              <w:rPr>
                <w:rFonts w:ascii="Times New Roman" w:hAnsi="Times New Roman" w:cs="Times New Roman"/>
              </w:rPr>
              <w:t>MCT</w:t>
            </w:r>
          </w:p>
        </w:tc>
        <w:tc>
          <w:tcPr>
            <w:tcW w:w="1871" w:type="dxa"/>
          </w:tcPr>
          <w:p w14:paraId="7E23F2B9" w14:textId="77777777" w:rsidR="00F16166" w:rsidRDefault="00F16166" w:rsidP="00503D2C">
            <w:pPr>
              <w:rPr>
                <w:rFonts w:ascii="Times New Roman" w:hAnsi="Times New Roman" w:cs="Times New Roman"/>
              </w:rPr>
            </w:pPr>
            <w:r>
              <w:rPr>
                <w:rFonts w:ascii="Times New Roman" w:hAnsi="Times New Roman" w:cs="Times New Roman"/>
              </w:rPr>
              <w:t>0.50</w:t>
            </w:r>
          </w:p>
        </w:tc>
        <w:tc>
          <w:tcPr>
            <w:tcW w:w="1872" w:type="dxa"/>
          </w:tcPr>
          <w:p w14:paraId="442392B3" w14:textId="77777777" w:rsidR="00F16166" w:rsidRDefault="00F16166" w:rsidP="00503D2C">
            <w:pPr>
              <w:rPr>
                <w:rFonts w:ascii="Times New Roman" w:hAnsi="Times New Roman" w:cs="Times New Roman"/>
              </w:rPr>
            </w:pPr>
            <w:r>
              <w:rPr>
                <w:rFonts w:ascii="Times New Roman" w:hAnsi="Times New Roman" w:cs="Times New Roman"/>
              </w:rPr>
              <w:t>0.60</w:t>
            </w:r>
          </w:p>
        </w:tc>
        <w:tc>
          <w:tcPr>
            <w:tcW w:w="2147" w:type="dxa"/>
          </w:tcPr>
          <w:p w14:paraId="23BFC1A8" w14:textId="77777777" w:rsidR="00F16166" w:rsidRDefault="00F16166" w:rsidP="00503D2C">
            <w:pPr>
              <w:rPr>
                <w:rFonts w:ascii="Times New Roman" w:hAnsi="Times New Roman" w:cs="Times New Roman"/>
              </w:rPr>
            </w:pPr>
            <w:r>
              <w:rPr>
                <w:rFonts w:ascii="Times New Roman" w:hAnsi="Times New Roman" w:cs="Times New Roman"/>
              </w:rPr>
              <w:t>0.53±0.06</w:t>
            </w:r>
            <w:r w:rsidRPr="00F419DD">
              <w:rPr>
                <w:rFonts w:ascii="Times New Roman" w:hAnsi="Times New Roman" w:cs="Times New Roman"/>
                <w:vertAlign w:val="superscript"/>
              </w:rPr>
              <w:t>a</w:t>
            </w:r>
          </w:p>
        </w:tc>
        <w:tc>
          <w:tcPr>
            <w:tcW w:w="1603" w:type="dxa"/>
          </w:tcPr>
          <w:p w14:paraId="0E7521B3" w14:textId="77777777" w:rsidR="00F16166" w:rsidRDefault="00F16166" w:rsidP="00503D2C">
            <w:pPr>
              <w:rPr>
                <w:rFonts w:ascii="Times New Roman" w:hAnsi="Times New Roman" w:cs="Times New Roman"/>
              </w:rPr>
            </w:pPr>
            <w:r>
              <w:rPr>
                <w:rFonts w:ascii="Times New Roman" w:hAnsi="Times New Roman" w:cs="Times New Roman"/>
              </w:rPr>
              <w:t>7.70±0.13</w:t>
            </w:r>
          </w:p>
        </w:tc>
      </w:tr>
      <w:tr w:rsidR="00F16166" w14:paraId="555758EE" w14:textId="77777777" w:rsidTr="00503D2C">
        <w:tc>
          <w:tcPr>
            <w:tcW w:w="1867" w:type="dxa"/>
            <w:tcBorders>
              <w:bottom w:val="single" w:sz="4" w:space="0" w:color="auto"/>
            </w:tcBorders>
          </w:tcPr>
          <w:p w14:paraId="4BB05B22" w14:textId="77777777" w:rsidR="00F16166" w:rsidRDefault="00F16166" w:rsidP="00503D2C">
            <w:pPr>
              <w:rPr>
                <w:rFonts w:ascii="Times New Roman" w:hAnsi="Times New Roman" w:cs="Times New Roman"/>
              </w:rPr>
            </w:pPr>
            <w:r>
              <w:rPr>
                <w:rFonts w:ascii="Times New Roman" w:hAnsi="Times New Roman" w:cs="Times New Roman"/>
              </w:rPr>
              <w:t>FKB</w:t>
            </w:r>
          </w:p>
        </w:tc>
        <w:tc>
          <w:tcPr>
            <w:tcW w:w="1871" w:type="dxa"/>
            <w:tcBorders>
              <w:bottom w:val="single" w:sz="4" w:space="0" w:color="auto"/>
            </w:tcBorders>
          </w:tcPr>
          <w:p w14:paraId="47A51113" w14:textId="77777777" w:rsidR="00F16166" w:rsidRDefault="00F16166" w:rsidP="00503D2C">
            <w:pPr>
              <w:rPr>
                <w:rFonts w:ascii="Times New Roman" w:hAnsi="Times New Roman" w:cs="Times New Roman"/>
              </w:rPr>
            </w:pPr>
            <w:r>
              <w:rPr>
                <w:rFonts w:ascii="Times New Roman" w:hAnsi="Times New Roman" w:cs="Times New Roman"/>
              </w:rPr>
              <w:t>219.20</w:t>
            </w:r>
          </w:p>
        </w:tc>
        <w:tc>
          <w:tcPr>
            <w:tcW w:w="1872" w:type="dxa"/>
            <w:tcBorders>
              <w:bottom w:val="single" w:sz="4" w:space="0" w:color="auto"/>
            </w:tcBorders>
          </w:tcPr>
          <w:p w14:paraId="228CEB0F" w14:textId="77777777" w:rsidR="00F16166" w:rsidRDefault="00F16166" w:rsidP="00503D2C">
            <w:pPr>
              <w:rPr>
                <w:rFonts w:ascii="Times New Roman" w:hAnsi="Times New Roman" w:cs="Times New Roman"/>
              </w:rPr>
            </w:pPr>
            <w:r>
              <w:rPr>
                <w:rFonts w:ascii="Times New Roman" w:hAnsi="Times New Roman" w:cs="Times New Roman"/>
              </w:rPr>
              <w:t>226.30</w:t>
            </w:r>
          </w:p>
        </w:tc>
        <w:tc>
          <w:tcPr>
            <w:tcW w:w="2147" w:type="dxa"/>
            <w:tcBorders>
              <w:bottom w:val="single" w:sz="4" w:space="0" w:color="auto"/>
            </w:tcBorders>
          </w:tcPr>
          <w:p w14:paraId="13225A2C" w14:textId="77777777" w:rsidR="00F16166" w:rsidRDefault="00F16166" w:rsidP="00503D2C">
            <w:pPr>
              <w:rPr>
                <w:rFonts w:ascii="Times New Roman" w:hAnsi="Times New Roman" w:cs="Times New Roman"/>
              </w:rPr>
            </w:pPr>
            <w:r>
              <w:rPr>
                <w:rFonts w:ascii="Times New Roman" w:hAnsi="Times New Roman" w:cs="Times New Roman"/>
              </w:rPr>
              <w:t>223.10±3.60</w:t>
            </w:r>
            <w:r w:rsidRPr="00F419DD">
              <w:rPr>
                <w:rFonts w:ascii="Times New Roman" w:hAnsi="Times New Roman" w:cs="Times New Roman"/>
                <w:vertAlign w:val="superscript"/>
              </w:rPr>
              <w:t>h</w:t>
            </w:r>
          </w:p>
        </w:tc>
        <w:tc>
          <w:tcPr>
            <w:tcW w:w="1603" w:type="dxa"/>
            <w:tcBorders>
              <w:bottom w:val="single" w:sz="4" w:space="0" w:color="auto"/>
            </w:tcBorders>
          </w:tcPr>
          <w:p w14:paraId="27E9F48C" w14:textId="77777777" w:rsidR="00F16166" w:rsidRDefault="00F16166" w:rsidP="00503D2C">
            <w:pPr>
              <w:rPr>
                <w:rFonts w:ascii="Times New Roman" w:hAnsi="Times New Roman" w:cs="Times New Roman"/>
              </w:rPr>
            </w:pPr>
            <w:r>
              <w:rPr>
                <w:rFonts w:ascii="Times New Roman" w:hAnsi="Times New Roman" w:cs="Times New Roman"/>
              </w:rPr>
              <w:t>3.83±0.15</w:t>
            </w:r>
          </w:p>
        </w:tc>
      </w:tr>
    </w:tbl>
    <w:p w14:paraId="12FB7389" w14:textId="77777777" w:rsidR="00F16166" w:rsidRDefault="00F16166" w:rsidP="00F16166">
      <w:pPr>
        <w:jc w:val="both"/>
        <w:rPr>
          <w:rFonts w:ascii="Times New Roman" w:hAnsi="Times New Roman" w:cs="Times New Roman"/>
        </w:rPr>
      </w:pPr>
      <w:r w:rsidRPr="007A2A1A">
        <w:rPr>
          <w:rFonts w:ascii="Times New Roman" w:hAnsi="Times New Roman" w:cs="Times New Roman"/>
        </w:rPr>
        <w:t>Numbers in rows followed by different superscript are significantly different at P&lt;0.05</w:t>
      </w:r>
    </w:p>
    <w:p w14:paraId="46DFDF8B" w14:textId="77777777" w:rsidR="00390D71" w:rsidRPr="00253BC6" w:rsidRDefault="00F16166" w:rsidP="00390D71">
      <w:pPr>
        <w:spacing w:line="360" w:lineRule="auto"/>
        <w:jc w:val="both"/>
        <w:rPr>
          <w:rFonts w:ascii="Times New Roman" w:hAnsi="Times New Roman" w:cs="Times New Roman"/>
          <w:color w:val="EE0000"/>
        </w:rPr>
      </w:pPr>
      <w:r w:rsidRPr="000B344A">
        <w:rPr>
          <w:rFonts w:ascii="Times New Roman" w:hAnsi="Times New Roman" w:cs="Times New Roman"/>
        </w:rPr>
        <w:t xml:space="preserve">Tete Wobika Garlic Bitters (TWGB) had the lowest mean pH of 7.52 ± 0.16 and the lowest mean benzoic acid concentration of 0.23 ± 0.12 mg/L. The mean value for all samples combined was 218.68 mg/L (Table 2), which is much less than the mean concentration of 2312.7 mg/L that Al-Halmi et al. (2024) reported in a Yemeni investigation. Since every extract in the Al-Halmi trial was made by a single </w:t>
      </w:r>
      <w:r>
        <w:rPr>
          <w:rFonts w:ascii="Times New Roman" w:hAnsi="Times New Roman" w:cs="Times New Roman"/>
        </w:rPr>
        <w:t>company</w:t>
      </w:r>
      <w:r w:rsidRPr="000B344A">
        <w:rPr>
          <w:rFonts w:ascii="Times New Roman" w:hAnsi="Times New Roman" w:cs="Times New Roman"/>
        </w:rPr>
        <w:t>, this disparity could be explained by changes in production procedures and the kinds of herbs utilized. The current study's standard deviation, standard error of the mean, and coefficient of variation were, as indicated in Table 2, 352.84, 72.02, and 161.35, respectively.</w:t>
      </w:r>
      <w:r>
        <w:rPr>
          <w:rFonts w:ascii="Times New Roman" w:hAnsi="Times New Roman" w:cs="Times New Roman"/>
        </w:rPr>
        <w:t xml:space="preserve"> </w:t>
      </w:r>
      <w:r w:rsidRPr="009065E7">
        <w:rPr>
          <w:rFonts w:ascii="Times New Roman" w:hAnsi="Times New Roman" w:cs="Times New Roman"/>
        </w:rPr>
        <w:t>The 24 herbal samples were obtained from several manufacturing facilities, each of which used a distinct preparation technique, which explains why the coefficient of variation was so high. Adom Koo Mixture (AKM), Kingdom Garlic Bitters, Kwasu Kooko Aduro (KKA), Spanish Garlic Bitters (SGB), Ebetoda Bitters (EB), Alafia Bitters (AB), and Agbevo Tonic (AT) did not differ significantly from one another</w:t>
      </w:r>
      <w:r>
        <w:rPr>
          <w:rFonts w:ascii="Times New Roman" w:hAnsi="Times New Roman" w:cs="Times New Roman"/>
        </w:rPr>
        <w:t xml:space="preserve"> in terms of benzoic acid concentration</w:t>
      </w:r>
      <w:r w:rsidRPr="009065E7">
        <w:rPr>
          <w:rFonts w:ascii="Times New Roman" w:hAnsi="Times New Roman" w:cs="Times New Roman"/>
        </w:rPr>
        <w:t>. Significant differences, however, were observed between Alafia Bitters (AB) and Living Bitters Tonic (LBT), as well as between Elephant Herbal Mixture (EHM) and Adutwumwaa Bitters (ADB), at P &lt; 0.05. Notably, there were no preservatives mentioned on the labels of any herbal products.</w:t>
      </w:r>
      <w:r w:rsidR="00390D71">
        <w:rPr>
          <w:rFonts w:ascii="Times New Roman" w:hAnsi="Times New Roman" w:cs="Times New Roman"/>
        </w:rPr>
        <w:t xml:space="preserve"> </w:t>
      </w:r>
      <w:r w:rsidR="00390D71" w:rsidRPr="00253BC6">
        <w:rPr>
          <w:rFonts w:ascii="Times New Roman" w:hAnsi="Times New Roman" w:cs="Times New Roman"/>
          <w:color w:val="EE0000"/>
        </w:rPr>
        <w:t>Meanwhile, the country’s food and drugs authorities labelling laws clearly states that all drugs and food labelling should be informative and accurate. It clearly states that a list of all ingredients and the amount of each present in a dosage unit should be presented.</w:t>
      </w:r>
    </w:p>
    <w:p w14:paraId="538C16C6" w14:textId="158FBC48" w:rsidR="00F16166" w:rsidRPr="009065E7" w:rsidRDefault="00F16166" w:rsidP="00F16166">
      <w:pPr>
        <w:spacing w:line="360" w:lineRule="auto"/>
        <w:jc w:val="both"/>
        <w:rPr>
          <w:rFonts w:ascii="Times New Roman" w:hAnsi="Times New Roman" w:cs="Times New Roman"/>
        </w:rPr>
      </w:pPr>
    </w:p>
    <w:p w14:paraId="40529920" w14:textId="77777777" w:rsidR="00F16166" w:rsidRDefault="00F16166" w:rsidP="00F16166">
      <w:pPr>
        <w:spacing w:line="360" w:lineRule="auto"/>
        <w:jc w:val="both"/>
        <w:rPr>
          <w:rFonts w:ascii="Times New Roman" w:hAnsi="Times New Roman" w:cs="Times New Roman"/>
        </w:rPr>
      </w:pPr>
      <w:r>
        <w:rPr>
          <w:rFonts w:ascii="Times New Roman" w:hAnsi="Times New Roman" w:cs="Times New Roman"/>
        </w:rPr>
        <w:t>Table 2: Descriptive statistics for the sampled herba decoctions medicines</w:t>
      </w:r>
    </w:p>
    <w:tbl>
      <w:tblPr>
        <w:tblStyle w:val="TableGrid"/>
        <w:tblW w:w="0" w:type="auto"/>
        <w:tblLook w:val="04A0" w:firstRow="1" w:lastRow="0" w:firstColumn="1" w:lastColumn="0" w:noHBand="0" w:noVBand="1"/>
      </w:tblPr>
      <w:tblGrid>
        <w:gridCol w:w="1297"/>
        <w:gridCol w:w="1030"/>
        <w:gridCol w:w="995"/>
        <w:gridCol w:w="1116"/>
        <w:gridCol w:w="995"/>
        <w:gridCol w:w="963"/>
        <w:gridCol w:w="995"/>
        <w:gridCol w:w="931"/>
        <w:gridCol w:w="1028"/>
      </w:tblGrid>
      <w:tr w:rsidR="00F16166" w14:paraId="33F7D648" w14:textId="77777777" w:rsidTr="00503D2C">
        <w:tc>
          <w:tcPr>
            <w:tcW w:w="1038" w:type="dxa"/>
          </w:tcPr>
          <w:p w14:paraId="3BC92962" w14:textId="77777777" w:rsidR="00F16166" w:rsidRDefault="00F16166" w:rsidP="00503D2C">
            <w:pPr>
              <w:rPr>
                <w:rFonts w:ascii="Times New Roman" w:hAnsi="Times New Roman" w:cs="Times New Roman"/>
              </w:rPr>
            </w:pPr>
            <w:r>
              <w:rPr>
                <w:rFonts w:ascii="Times New Roman" w:hAnsi="Times New Roman" w:cs="Times New Roman"/>
              </w:rPr>
              <w:t>Statistic</w:t>
            </w:r>
          </w:p>
        </w:tc>
        <w:tc>
          <w:tcPr>
            <w:tcW w:w="1039" w:type="dxa"/>
          </w:tcPr>
          <w:p w14:paraId="2F455664" w14:textId="77777777" w:rsidR="00F16166" w:rsidRDefault="00F16166" w:rsidP="00503D2C">
            <w:pPr>
              <w:rPr>
                <w:rFonts w:ascii="Times New Roman" w:hAnsi="Times New Roman" w:cs="Times New Roman"/>
              </w:rPr>
            </w:pPr>
            <w:r>
              <w:rPr>
                <w:rFonts w:ascii="Times New Roman" w:hAnsi="Times New Roman" w:cs="Times New Roman"/>
              </w:rPr>
              <w:t>Number of samples</w:t>
            </w:r>
          </w:p>
        </w:tc>
        <w:tc>
          <w:tcPr>
            <w:tcW w:w="1039" w:type="dxa"/>
          </w:tcPr>
          <w:p w14:paraId="1210003D" w14:textId="77777777" w:rsidR="00F16166" w:rsidRDefault="00F16166" w:rsidP="00503D2C">
            <w:pPr>
              <w:rPr>
                <w:rFonts w:ascii="Times New Roman" w:hAnsi="Times New Roman" w:cs="Times New Roman"/>
              </w:rPr>
            </w:pPr>
            <w:r>
              <w:rPr>
                <w:rFonts w:ascii="Times New Roman" w:hAnsi="Times New Roman" w:cs="Times New Roman"/>
              </w:rPr>
              <w:t>Mean</w:t>
            </w:r>
          </w:p>
        </w:tc>
        <w:tc>
          <w:tcPr>
            <w:tcW w:w="1039" w:type="dxa"/>
          </w:tcPr>
          <w:p w14:paraId="0AE5E9B2" w14:textId="77777777" w:rsidR="00F16166" w:rsidRDefault="00F16166" w:rsidP="00503D2C">
            <w:pPr>
              <w:rPr>
                <w:rFonts w:ascii="Times New Roman" w:hAnsi="Times New Roman" w:cs="Times New Roman"/>
              </w:rPr>
            </w:pPr>
            <w:r>
              <w:rPr>
                <w:rFonts w:ascii="Times New Roman" w:hAnsi="Times New Roman" w:cs="Times New Roman"/>
              </w:rPr>
              <w:t>Variance</w:t>
            </w:r>
          </w:p>
        </w:tc>
        <w:tc>
          <w:tcPr>
            <w:tcW w:w="1039" w:type="dxa"/>
          </w:tcPr>
          <w:p w14:paraId="31431AB8" w14:textId="77777777" w:rsidR="00F16166" w:rsidRDefault="00F16166" w:rsidP="00503D2C">
            <w:pPr>
              <w:rPr>
                <w:rFonts w:ascii="Times New Roman" w:hAnsi="Times New Roman" w:cs="Times New Roman"/>
              </w:rPr>
            </w:pPr>
            <w:r>
              <w:rPr>
                <w:rFonts w:ascii="Times New Roman" w:hAnsi="Times New Roman" w:cs="Times New Roman"/>
              </w:rPr>
              <w:t>SD</w:t>
            </w:r>
          </w:p>
        </w:tc>
        <w:tc>
          <w:tcPr>
            <w:tcW w:w="1039" w:type="dxa"/>
          </w:tcPr>
          <w:p w14:paraId="7664E280" w14:textId="77777777" w:rsidR="00F16166" w:rsidRDefault="00F16166" w:rsidP="00503D2C">
            <w:pPr>
              <w:rPr>
                <w:rFonts w:ascii="Times New Roman" w:hAnsi="Times New Roman" w:cs="Times New Roman"/>
              </w:rPr>
            </w:pPr>
            <w:r>
              <w:rPr>
                <w:rFonts w:ascii="Times New Roman" w:hAnsi="Times New Roman" w:cs="Times New Roman"/>
              </w:rPr>
              <w:t>SEM</w:t>
            </w:r>
          </w:p>
        </w:tc>
        <w:tc>
          <w:tcPr>
            <w:tcW w:w="1039" w:type="dxa"/>
          </w:tcPr>
          <w:p w14:paraId="17524AA7" w14:textId="77777777" w:rsidR="00F16166" w:rsidRDefault="00F16166" w:rsidP="00503D2C">
            <w:pPr>
              <w:rPr>
                <w:rFonts w:ascii="Times New Roman" w:hAnsi="Times New Roman" w:cs="Times New Roman"/>
              </w:rPr>
            </w:pPr>
            <w:r>
              <w:rPr>
                <w:rFonts w:ascii="Times New Roman" w:hAnsi="Times New Roman" w:cs="Times New Roman"/>
              </w:rPr>
              <w:t>CV%</w:t>
            </w:r>
          </w:p>
        </w:tc>
        <w:tc>
          <w:tcPr>
            <w:tcW w:w="1039" w:type="dxa"/>
          </w:tcPr>
          <w:p w14:paraId="4B06AFC6" w14:textId="77777777" w:rsidR="00F16166" w:rsidRDefault="00F16166" w:rsidP="00503D2C">
            <w:pPr>
              <w:rPr>
                <w:rFonts w:ascii="Times New Roman" w:hAnsi="Times New Roman" w:cs="Times New Roman"/>
              </w:rPr>
            </w:pPr>
            <w:r>
              <w:rPr>
                <w:rFonts w:ascii="Times New Roman" w:hAnsi="Times New Roman" w:cs="Times New Roman"/>
              </w:rPr>
              <w:t>Min</w:t>
            </w:r>
          </w:p>
        </w:tc>
        <w:tc>
          <w:tcPr>
            <w:tcW w:w="1039" w:type="dxa"/>
          </w:tcPr>
          <w:p w14:paraId="5A92273B" w14:textId="77777777" w:rsidR="00F16166" w:rsidRDefault="00F16166" w:rsidP="00503D2C">
            <w:pPr>
              <w:rPr>
                <w:rFonts w:ascii="Times New Roman" w:hAnsi="Times New Roman" w:cs="Times New Roman"/>
              </w:rPr>
            </w:pPr>
            <w:r>
              <w:rPr>
                <w:rFonts w:ascii="Times New Roman" w:hAnsi="Times New Roman" w:cs="Times New Roman"/>
              </w:rPr>
              <w:t>Max</w:t>
            </w:r>
          </w:p>
        </w:tc>
      </w:tr>
      <w:tr w:rsidR="00F16166" w14:paraId="142BD3AB" w14:textId="77777777" w:rsidTr="00503D2C">
        <w:tc>
          <w:tcPr>
            <w:tcW w:w="1038" w:type="dxa"/>
          </w:tcPr>
          <w:p w14:paraId="45E44573" w14:textId="77777777" w:rsidR="00F16166" w:rsidRDefault="00F16166" w:rsidP="00503D2C">
            <w:pPr>
              <w:rPr>
                <w:rFonts w:ascii="Times New Roman" w:hAnsi="Times New Roman" w:cs="Times New Roman"/>
              </w:rPr>
            </w:pPr>
            <w:r>
              <w:rPr>
                <w:rFonts w:ascii="Times New Roman" w:hAnsi="Times New Roman" w:cs="Times New Roman"/>
              </w:rPr>
              <w:t xml:space="preserve">Decoctions prepared </w:t>
            </w:r>
          </w:p>
        </w:tc>
        <w:tc>
          <w:tcPr>
            <w:tcW w:w="1039" w:type="dxa"/>
          </w:tcPr>
          <w:p w14:paraId="61491694" w14:textId="77777777" w:rsidR="00F16166" w:rsidRDefault="00F16166" w:rsidP="00503D2C">
            <w:pPr>
              <w:rPr>
                <w:rFonts w:ascii="Times New Roman" w:hAnsi="Times New Roman" w:cs="Times New Roman"/>
              </w:rPr>
            </w:pPr>
            <w:r>
              <w:rPr>
                <w:rFonts w:ascii="Times New Roman" w:hAnsi="Times New Roman" w:cs="Times New Roman"/>
              </w:rPr>
              <w:t>24</w:t>
            </w:r>
          </w:p>
        </w:tc>
        <w:tc>
          <w:tcPr>
            <w:tcW w:w="1039" w:type="dxa"/>
          </w:tcPr>
          <w:p w14:paraId="4BF428BF" w14:textId="77777777" w:rsidR="00F16166" w:rsidRDefault="00F16166" w:rsidP="00503D2C">
            <w:pPr>
              <w:rPr>
                <w:rFonts w:ascii="Times New Roman" w:hAnsi="Times New Roman" w:cs="Times New Roman"/>
              </w:rPr>
            </w:pPr>
            <w:r>
              <w:rPr>
                <w:rFonts w:ascii="Times New Roman" w:hAnsi="Times New Roman" w:cs="Times New Roman"/>
              </w:rPr>
              <w:t>218.68</w:t>
            </w:r>
          </w:p>
        </w:tc>
        <w:tc>
          <w:tcPr>
            <w:tcW w:w="1039" w:type="dxa"/>
          </w:tcPr>
          <w:p w14:paraId="70CC0053" w14:textId="77777777" w:rsidR="00F16166" w:rsidRDefault="00F16166" w:rsidP="00503D2C">
            <w:pPr>
              <w:rPr>
                <w:rFonts w:ascii="Times New Roman" w:hAnsi="Times New Roman" w:cs="Times New Roman"/>
              </w:rPr>
            </w:pPr>
            <w:r>
              <w:rPr>
                <w:rFonts w:ascii="Times New Roman" w:hAnsi="Times New Roman" w:cs="Times New Roman"/>
              </w:rPr>
              <w:t>124499.4</w:t>
            </w:r>
          </w:p>
        </w:tc>
        <w:tc>
          <w:tcPr>
            <w:tcW w:w="1039" w:type="dxa"/>
          </w:tcPr>
          <w:p w14:paraId="5D35614B" w14:textId="77777777" w:rsidR="00F16166" w:rsidRDefault="00F16166" w:rsidP="00503D2C">
            <w:pPr>
              <w:rPr>
                <w:rFonts w:ascii="Times New Roman" w:hAnsi="Times New Roman" w:cs="Times New Roman"/>
              </w:rPr>
            </w:pPr>
            <w:bookmarkStart w:id="2" w:name="_Hlk204356044"/>
            <w:r>
              <w:rPr>
                <w:rFonts w:ascii="Times New Roman" w:hAnsi="Times New Roman" w:cs="Times New Roman"/>
              </w:rPr>
              <w:t>352.84</w:t>
            </w:r>
            <w:bookmarkEnd w:id="2"/>
          </w:p>
        </w:tc>
        <w:tc>
          <w:tcPr>
            <w:tcW w:w="1039" w:type="dxa"/>
          </w:tcPr>
          <w:p w14:paraId="63E25EDF" w14:textId="77777777" w:rsidR="00F16166" w:rsidRDefault="00F16166" w:rsidP="00503D2C">
            <w:pPr>
              <w:rPr>
                <w:rFonts w:ascii="Times New Roman" w:hAnsi="Times New Roman" w:cs="Times New Roman"/>
              </w:rPr>
            </w:pPr>
            <w:bookmarkStart w:id="3" w:name="_Hlk203759978"/>
            <w:r>
              <w:rPr>
                <w:rFonts w:ascii="Times New Roman" w:hAnsi="Times New Roman" w:cs="Times New Roman"/>
              </w:rPr>
              <w:t>72.02</w:t>
            </w:r>
            <w:bookmarkEnd w:id="3"/>
          </w:p>
        </w:tc>
        <w:tc>
          <w:tcPr>
            <w:tcW w:w="1039" w:type="dxa"/>
          </w:tcPr>
          <w:p w14:paraId="7E5E8F0A" w14:textId="77777777" w:rsidR="00F16166" w:rsidRDefault="00F16166" w:rsidP="00503D2C">
            <w:pPr>
              <w:rPr>
                <w:rFonts w:ascii="Times New Roman" w:hAnsi="Times New Roman" w:cs="Times New Roman"/>
              </w:rPr>
            </w:pPr>
            <w:bookmarkStart w:id="4" w:name="_Hlk203760025"/>
            <w:r>
              <w:rPr>
                <w:rFonts w:ascii="Times New Roman" w:hAnsi="Times New Roman" w:cs="Times New Roman"/>
              </w:rPr>
              <w:t>161.35</w:t>
            </w:r>
            <w:bookmarkEnd w:id="4"/>
          </w:p>
        </w:tc>
        <w:tc>
          <w:tcPr>
            <w:tcW w:w="1039" w:type="dxa"/>
          </w:tcPr>
          <w:p w14:paraId="0CA26068" w14:textId="77777777" w:rsidR="00F16166" w:rsidRDefault="00F16166" w:rsidP="00503D2C">
            <w:pPr>
              <w:rPr>
                <w:rFonts w:ascii="Times New Roman" w:hAnsi="Times New Roman" w:cs="Times New Roman"/>
              </w:rPr>
            </w:pPr>
            <w:r>
              <w:rPr>
                <w:rFonts w:ascii="Times New Roman" w:hAnsi="Times New Roman" w:cs="Times New Roman"/>
              </w:rPr>
              <w:t>0.23</w:t>
            </w:r>
          </w:p>
        </w:tc>
        <w:tc>
          <w:tcPr>
            <w:tcW w:w="1039" w:type="dxa"/>
          </w:tcPr>
          <w:p w14:paraId="4C592D4D" w14:textId="77777777" w:rsidR="00F16166" w:rsidRDefault="00F16166" w:rsidP="00503D2C">
            <w:pPr>
              <w:rPr>
                <w:rFonts w:ascii="Times New Roman" w:hAnsi="Times New Roman" w:cs="Times New Roman"/>
              </w:rPr>
            </w:pPr>
            <w:r>
              <w:rPr>
                <w:rFonts w:ascii="Times New Roman" w:hAnsi="Times New Roman" w:cs="Times New Roman"/>
              </w:rPr>
              <w:t>1632.33</w:t>
            </w:r>
          </w:p>
        </w:tc>
      </w:tr>
    </w:tbl>
    <w:p w14:paraId="706401CA" w14:textId="77777777" w:rsidR="00F16166" w:rsidRDefault="00F16166" w:rsidP="00F16166">
      <w:pPr>
        <w:spacing w:line="360" w:lineRule="auto"/>
        <w:jc w:val="both"/>
        <w:rPr>
          <w:rFonts w:ascii="Times New Roman" w:hAnsi="Times New Roman" w:cs="Times New Roman"/>
        </w:rPr>
      </w:pPr>
    </w:p>
    <w:p w14:paraId="47A584D7" w14:textId="41E74B4B" w:rsidR="00F16166" w:rsidRPr="00015869" w:rsidRDefault="00F16166" w:rsidP="00F16166">
      <w:pPr>
        <w:spacing w:line="360" w:lineRule="auto"/>
        <w:jc w:val="both"/>
        <w:rPr>
          <w:rFonts w:ascii="Times New Roman" w:hAnsi="Times New Roman" w:cs="Times New Roman"/>
        </w:rPr>
      </w:pPr>
      <w:r w:rsidRPr="00015869">
        <w:rPr>
          <w:rFonts w:ascii="Times New Roman" w:hAnsi="Times New Roman" w:cs="Times New Roman"/>
        </w:rPr>
        <w:lastRenderedPageBreak/>
        <w:t xml:space="preserve">During a visit to </w:t>
      </w:r>
      <w:r>
        <w:rPr>
          <w:rFonts w:ascii="Times New Roman" w:hAnsi="Times New Roman" w:cs="Times New Roman"/>
        </w:rPr>
        <w:t>Kwame Nkrumah University of Science and Technology’s (</w:t>
      </w:r>
      <w:r w:rsidRPr="00015869">
        <w:rPr>
          <w:rFonts w:ascii="Times New Roman" w:hAnsi="Times New Roman" w:cs="Times New Roman"/>
        </w:rPr>
        <w:t>KNUST's</w:t>
      </w:r>
      <w:r>
        <w:rPr>
          <w:rFonts w:ascii="Times New Roman" w:hAnsi="Times New Roman" w:cs="Times New Roman"/>
        </w:rPr>
        <w:t>)</w:t>
      </w:r>
      <w:r w:rsidRPr="00015869">
        <w:rPr>
          <w:rFonts w:ascii="Times New Roman" w:hAnsi="Times New Roman" w:cs="Times New Roman"/>
        </w:rPr>
        <w:t xml:space="preserve"> Herbal Medicine Department, it was discovered that benzoic acid and its salts in herbal preparations used as preservatives do not have an officially recognized standard limit. Interactions with producers and herbalists, however, revealed that it is typically recommended that benzoic acid be used at a concentration of 0.1%</w:t>
      </w:r>
      <w:r w:rsidR="00390D71">
        <w:rPr>
          <w:rFonts w:ascii="Times New Roman" w:hAnsi="Times New Roman" w:cs="Times New Roman"/>
        </w:rPr>
        <w:t xml:space="preserve"> </w:t>
      </w:r>
      <w:r w:rsidR="00390D71" w:rsidRPr="00F93630">
        <w:rPr>
          <w:rFonts w:ascii="Times New Roman" w:hAnsi="Times New Roman" w:cs="Times New Roman"/>
          <w:color w:val="EE0000"/>
        </w:rPr>
        <w:t>(which is the permissible limit for foods and beverages)</w:t>
      </w:r>
      <w:r w:rsidR="00390D71">
        <w:rPr>
          <w:rFonts w:ascii="Times New Roman" w:hAnsi="Times New Roman" w:cs="Times New Roman"/>
          <w:color w:val="EE0000"/>
        </w:rPr>
        <w:t xml:space="preserve"> </w:t>
      </w:r>
      <w:r w:rsidRPr="00015869">
        <w:rPr>
          <w:rFonts w:ascii="Times New Roman" w:hAnsi="Times New Roman" w:cs="Times New Roman"/>
        </w:rPr>
        <w:t>when making herbal medicine products.</w:t>
      </w:r>
      <w:r>
        <w:rPr>
          <w:rFonts w:ascii="Times New Roman" w:hAnsi="Times New Roman" w:cs="Times New Roman"/>
        </w:rPr>
        <w:t xml:space="preserve"> </w:t>
      </w:r>
      <w:r w:rsidRPr="00E17500">
        <w:rPr>
          <w:rFonts w:ascii="Times New Roman" w:hAnsi="Times New Roman" w:cs="Times New Roman"/>
        </w:rPr>
        <w:t>The elevated concentrations of benzoic acid observed may be attributed to the lack of standard laboratory facilities among local manufacturers, leading to the use of unmeasured or excessive amounts during formulation. This practice is often driven by the belief that higher quantities will ensure longer preservation, especially since benzoic acid is relatively inexpensive.</w:t>
      </w:r>
    </w:p>
    <w:p w14:paraId="18A77BCC" w14:textId="77777777" w:rsidR="00F16166" w:rsidRDefault="00F16166" w:rsidP="00F16166">
      <w:pPr>
        <w:spacing w:line="360" w:lineRule="auto"/>
        <w:jc w:val="both"/>
        <w:rPr>
          <w:rFonts w:ascii="Times New Roman" w:hAnsi="Times New Roman" w:cs="Times New Roman"/>
        </w:rPr>
      </w:pPr>
    </w:p>
    <w:p w14:paraId="6C450BCF" w14:textId="77777777" w:rsidR="00F16166" w:rsidRPr="00A7261D" w:rsidRDefault="00F16166" w:rsidP="00F16166">
      <w:pPr>
        <w:spacing w:line="360" w:lineRule="auto"/>
        <w:jc w:val="both"/>
        <w:rPr>
          <w:rFonts w:ascii="Times New Roman" w:hAnsi="Times New Roman" w:cs="Times New Roman"/>
          <w:b/>
          <w:bCs/>
        </w:rPr>
      </w:pPr>
      <w:r w:rsidRPr="00A7261D">
        <w:rPr>
          <w:rFonts w:ascii="Times New Roman" w:hAnsi="Times New Roman" w:cs="Times New Roman"/>
          <w:b/>
          <w:bCs/>
        </w:rPr>
        <w:t>4.0 Conclusion</w:t>
      </w:r>
    </w:p>
    <w:p w14:paraId="2FE30813" w14:textId="5202F9F5" w:rsidR="00F16166" w:rsidRDefault="00F16166" w:rsidP="00F16166">
      <w:pPr>
        <w:spacing w:line="360" w:lineRule="auto"/>
        <w:jc w:val="both"/>
        <w:rPr>
          <w:rFonts w:ascii="Times New Roman" w:hAnsi="Times New Roman" w:cs="Times New Roman"/>
        </w:rPr>
      </w:pPr>
      <w:r w:rsidRPr="001D42D7">
        <w:rPr>
          <w:rFonts w:ascii="Times New Roman" w:hAnsi="Times New Roman" w:cs="Times New Roman"/>
        </w:rPr>
        <w:t xml:space="preserve">In order to ascertain the pH and benzoic acid content of </w:t>
      </w:r>
      <w:r>
        <w:rPr>
          <w:rFonts w:ascii="Times New Roman" w:hAnsi="Times New Roman" w:cs="Times New Roman"/>
        </w:rPr>
        <w:t xml:space="preserve">some </w:t>
      </w:r>
      <w:r w:rsidRPr="001D42D7">
        <w:rPr>
          <w:rFonts w:ascii="Times New Roman" w:hAnsi="Times New Roman" w:cs="Times New Roman"/>
        </w:rPr>
        <w:t xml:space="preserve">herbal </w:t>
      </w:r>
      <w:r>
        <w:rPr>
          <w:rFonts w:ascii="Times New Roman" w:hAnsi="Times New Roman" w:cs="Times New Roman"/>
        </w:rPr>
        <w:t>medicines</w:t>
      </w:r>
      <w:r w:rsidRPr="001D42D7">
        <w:rPr>
          <w:rFonts w:ascii="Times New Roman" w:hAnsi="Times New Roman" w:cs="Times New Roman"/>
        </w:rPr>
        <w:t xml:space="preserve"> that are sold in Ghana, this study used a fast and selective HPLC approach. The results showed that producers of herbal medicines frequently employ benzoic acid as a preservative, however the amount of </w:t>
      </w:r>
      <w:r>
        <w:rPr>
          <w:rFonts w:ascii="Times New Roman" w:hAnsi="Times New Roman" w:cs="Times New Roman"/>
        </w:rPr>
        <w:t>benzoic acid</w:t>
      </w:r>
      <w:r w:rsidRPr="001D42D7">
        <w:rPr>
          <w:rFonts w:ascii="Times New Roman" w:hAnsi="Times New Roman" w:cs="Times New Roman"/>
        </w:rPr>
        <w:t xml:space="preserve"> varies greatly between </w:t>
      </w:r>
      <w:r>
        <w:rPr>
          <w:rFonts w:ascii="Times New Roman" w:hAnsi="Times New Roman" w:cs="Times New Roman"/>
        </w:rPr>
        <w:t>the manufacturers</w:t>
      </w:r>
      <w:r w:rsidRPr="001D42D7">
        <w:rPr>
          <w:rFonts w:ascii="Times New Roman" w:hAnsi="Times New Roman" w:cs="Times New Roman"/>
        </w:rPr>
        <w:t xml:space="preserve">. Interestingly, large concentrations of benzoic acid were found in a number of herbal </w:t>
      </w:r>
      <w:r>
        <w:rPr>
          <w:rFonts w:ascii="Times New Roman" w:hAnsi="Times New Roman" w:cs="Times New Roman"/>
        </w:rPr>
        <w:t>decoction medicines</w:t>
      </w:r>
      <w:r w:rsidRPr="001D42D7">
        <w:rPr>
          <w:rFonts w:ascii="Times New Roman" w:hAnsi="Times New Roman" w:cs="Times New Roman"/>
        </w:rPr>
        <w:t>; one product had levels as high as 2004 mg/L. Benzoic acid was not identified as an ingredient, preservative, or addition on any of the product labels, despite these high amounts.</w:t>
      </w:r>
      <w:r>
        <w:rPr>
          <w:rFonts w:ascii="Times New Roman" w:hAnsi="Times New Roman" w:cs="Times New Roman"/>
        </w:rPr>
        <w:t xml:space="preserve"> </w:t>
      </w:r>
      <w:r w:rsidRPr="00F84513">
        <w:rPr>
          <w:rFonts w:ascii="Times New Roman" w:hAnsi="Times New Roman" w:cs="Times New Roman"/>
        </w:rPr>
        <w:t xml:space="preserve">Decoctions with low pH and </w:t>
      </w:r>
      <w:r w:rsidRPr="00481300">
        <w:rPr>
          <w:rFonts w:ascii="Times New Roman" w:hAnsi="Times New Roman" w:cs="Times New Roman"/>
        </w:rPr>
        <w:t>moderate</w:t>
      </w:r>
      <w:r w:rsidRPr="00F84513">
        <w:rPr>
          <w:rFonts w:ascii="Times New Roman" w:hAnsi="Times New Roman" w:cs="Times New Roman"/>
        </w:rPr>
        <w:t xml:space="preserve"> benzoic acid levels are likely to have better microbial stability and longer shelf-life.</w:t>
      </w:r>
      <w:r w:rsidRPr="00481300">
        <w:rPr>
          <w:rFonts w:ascii="Times New Roman" w:hAnsi="Times New Roman" w:cs="Times New Roman"/>
        </w:rPr>
        <w:t xml:space="preserve"> </w:t>
      </w:r>
      <w:r w:rsidRPr="00F84513">
        <w:rPr>
          <w:rFonts w:ascii="Times New Roman" w:hAnsi="Times New Roman" w:cs="Times New Roman"/>
        </w:rPr>
        <w:t>Conversely, products with high pH and low preservative levels may be more prone to microbial contamination and shorter stability periods.</w:t>
      </w:r>
      <w:r w:rsidRPr="00481300">
        <w:rPr>
          <w:rFonts w:ascii="Times New Roman" w:hAnsi="Times New Roman" w:cs="Times New Roman"/>
        </w:rPr>
        <w:t xml:space="preserve"> Given that pH variations can influence both the physicochemical properties and therapeutic efficacy of herbal medicines, it is recommended that manufacturers incorporate appropriate pH modifiers in their formulations to maintain an optimal pH range throughout the product's shelf life. The results from the study may also call on regulatory bodies to be prompted to develop product standards and require labelling of pH and preservative content for transparency and safety use.</w:t>
      </w:r>
    </w:p>
    <w:p w14:paraId="6B0A8A8E" w14:textId="77777777" w:rsidR="002F4856" w:rsidRPr="002F4856" w:rsidRDefault="002F4856" w:rsidP="002F4856">
      <w:pPr>
        <w:spacing w:line="360" w:lineRule="auto"/>
        <w:jc w:val="both"/>
        <w:rPr>
          <w:rFonts w:ascii="Times New Roman" w:hAnsi="Times New Roman" w:cs="Times New Roman"/>
        </w:rPr>
      </w:pPr>
      <w:r w:rsidRPr="002F4856">
        <w:rPr>
          <w:rFonts w:ascii="Times New Roman" w:hAnsi="Times New Roman" w:cs="Times New Roman"/>
        </w:rPr>
        <w:t>Ethical Approval:</w:t>
      </w:r>
    </w:p>
    <w:p w14:paraId="0E726213" w14:textId="77777777" w:rsidR="002F4856" w:rsidRPr="002F4856" w:rsidRDefault="002F4856" w:rsidP="002F4856">
      <w:pPr>
        <w:spacing w:line="360" w:lineRule="auto"/>
        <w:jc w:val="both"/>
        <w:rPr>
          <w:rFonts w:ascii="Times New Roman" w:hAnsi="Times New Roman" w:cs="Times New Roman"/>
        </w:rPr>
      </w:pPr>
    </w:p>
    <w:p w14:paraId="573C14C1" w14:textId="55292960" w:rsidR="002F4856" w:rsidRPr="001D42D7" w:rsidRDefault="002F4856" w:rsidP="002F4856">
      <w:pPr>
        <w:spacing w:line="360" w:lineRule="auto"/>
        <w:jc w:val="both"/>
        <w:rPr>
          <w:rFonts w:ascii="Times New Roman" w:hAnsi="Times New Roman" w:cs="Times New Roman"/>
        </w:rPr>
      </w:pPr>
      <w:r w:rsidRPr="002F4856">
        <w:rPr>
          <w:rFonts w:ascii="Times New Roman" w:hAnsi="Times New Roman" w:cs="Times New Roman"/>
        </w:rPr>
        <w:lastRenderedPageBreak/>
        <w:t>As per international standards or university standards written ethical approval has been collected and preserved by the author(s).</w:t>
      </w:r>
      <w:bookmarkStart w:id="5" w:name="_GoBack"/>
      <w:bookmarkEnd w:id="5"/>
    </w:p>
    <w:p w14:paraId="33B98EC1" w14:textId="77777777" w:rsidR="00F16166" w:rsidRDefault="00F16166" w:rsidP="00F16166">
      <w:pPr>
        <w:spacing w:line="360" w:lineRule="auto"/>
        <w:jc w:val="both"/>
        <w:rPr>
          <w:rFonts w:ascii="Times New Roman" w:hAnsi="Times New Roman" w:cs="Times New Roman"/>
        </w:rPr>
      </w:pPr>
    </w:p>
    <w:p w14:paraId="70A65163" w14:textId="77777777" w:rsidR="00F16166" w:rsidRDefault="00F16166" w:rsidP="00F16166">
      <w:pPr>
        <w:spacing w:line="360" w:lineRule="auto"/>
        <w:jc w:val="both"/>
        <w:rPr>
          <w:rFonts w:ascii="Times New Roman" w:hAnsi="Times New Roman" w:cs="Times New Roman"/>
        </w:rPr>
      </w:pPr>
    </w:p>
    <w:p w14:paraId="2944C305" w14:textId="77777777" w:rsidR="00174F19" w:rsidRPr="002962C2" w:rsidRDefault="00174F19" w:rsidP="00174F19">
      <w:pPr>
        <w:spacing w:after="0" w:line="240" w:lineRule="auto"/>
        <w:jc w:val="both"/>
        <w:rPr>
          <w:rFonts w:ascii="Times New Roman" w:eastAsia="Times New Roman" w:hAnsi="Times New Roman" w:cs="Times New Roman"/>
        </w:rPr>
      </w:pPr>
    </w:p>
    <w:p w14:paraId="378D238C" w14:textId="77777777" w:rsidR="00F16166" w:rsidRDefault="00F16166" w:rsidP="00F16166">
      <w:pPr>
        <w:spacing w:line="360" w:lineRule="auto"/>
        <w:jc w:val="both"/>
        <w:rPr>
          <w:rFonts w:ascii="Times New Roman" w:hAnsi="Times New Roman" w:cs="Times New Roman"/>
        </w:rPr>
      </w:pPr>
    </w:p>
    <w:p w14:paraId="74225606" w14:textId="77777777" w:rsidR="0057171F" w:rsidRPr="003A29C6" w:rsidRDefault="0057171F" w:rsidP="0057171F">
      <w:pPr>
        <w:jc w:val="both"/>
        <w:outlineLvl w:val="0"/>
        <w:rPr>
          <w:rFonts w:ascii="Arial" w:hAnsi="Arial" w:cs="Arial"/>
        </w:rPr>
      </w:pPr>
      <w:r w:rsidRPr="003A29C6">
        <w:rPr>
          <w:rFonts w:ascii="Arial" w:hAnsi="Arial" w:cs="Arial"/>
          <w:b/>
          <w:bCs/>
        </w:rPr>
        <w:t>COMPETING INTERESTS DISCLAIMER:</w:t>
      </w:r>
    </w:p>
    <w:p w14:paraId="644B1309" w14:textId="77777777" w:rsidR="0057171F" w:rsidRDefault="0057171F" w:rsidP="0057171F">
      <w:r w:rsidRPr="00A10EDE">
        <w:t>Authors have declared that they have no known competing financial interests OR non-financial interests OR personal relationships that could have appeared to influence the work reported in this paper.</w:t>
      </w:r>
    </w:p>
    <w:p w14:paraId="2D2066BD" w14:textId="77777777" w:rsidR="00885E30" w:rsidRPr="00885E30" w:rsidRDefault="00885E30" w:rsidP="00885E30">
      <w:pPr>
        <w:keepNext/>
        <w:keepLines/>
        <w:spacing w:before="120" w:after="120" w:line="360" w:lineRule="auto"/>
        <w:jc w:val="both"/>
        <w:outlineLvl w:val="1"/>
        <w:rPr>
          <w:rFonts w:ascii="Times New Roman" w:eastAsia="Times New Roman" w:hAnsi="Times New Roman" w:cs="Times New Roman"/>
          <w:bCs/>
          <w:kern w:val="0"/>
          <w:highlight w:val="yellow"/>
          <w:lang w:eastAsia="en-IN"/>
          <w14:ligatures w14:val="none"/>
        </w:rPr>
      </w:pPr>
      <w:bookmarkStart w:id="6" w:name="_Hlk218867759"/>
      <w:r w:rsidRPr="00885E30">
        <w:rPr>
          <w:rFonts w:ascii="Times New Roman" w:eastAsia="Times New Roman" w:hAnsi="Times New Roman" w:cs="Times New Roman"/>
          <w:bCs/>
          <w:kern w:val="0"/>
          <w:highlight w:val="yellow"/>
          <w:lang w:eastAsia="en-IN"/>
          <w14:ligatures w14:val="none"/>
        </w:rPr>
        <w:t>Disclaimer (Artificial intelligence)</w:t>
      </w:r>
    </w:p>
    <w:p w14:paraId="4F1229B7" w14:textId="317790B5" w:rsidR="00885E30" w:rsidRDefault="00885E30" w:rsidP="00885E30">
      <w:pPr>
        <w:keepNext/>
        <w:keepLines/>
        <w:spacing w:before="120" w:after="120" w:line="360" w:lineRule="auto"/>
        <w:jc w:val="both"/>
        <w:outlineLvl w:val="1"/>
        <w:rPr>
          <w:rFonts w:ascii="Times New Roman" w:eastAsia="Times New Roman" w:hAnsi="Times New Roman" w:cs="Times New Roman"/>
          <w:bCs/>
          <w:kern w:val="0"/>
          <w:lang w:eastAsia="en-IN"/>
          <w14:ligatures w14:val="none"/>
        </w:rPr>
      </w:pPr>
      <w:r w:rsidRPr="00885E30">
        <w:rPr>
          <w:rFonts w:ascii="Times New Roman" w:eastAsia="Times New Roman" w:hAnsi="Times New Roman" w:cs="Times New Roman"/>
          <w:bCs/>
          <w:kern w:val="0"/>
          <w:highlight w:val="yellow"/>
          <w:lang w:eastAsia="en-IN"/>
          <w14:ligatures w14:val="none"/>
        </w:rPr>
        <w:t>Author(s) hereby declare that NO generative AI technologies such as Large Language Models (ChatGPT, COPILOT, etc.) and text-to-image generators have been used during the writing or editing of this manuscript.</w:t>
      </w:r>
      <w:r w:rsidRPr="00885E30">
        <w:rPr>
          <w:rFonts w:ascii="Times New Roman" w:eastAsia="Times New Roman" w:hAnsi="Times New Roman" w:cs="Times New Roman"/>
          <w:bCs/>
          <w:kern w:val="0"/>
          <w:lang w:eastAsia="en-IN"/>
          <w14:ligatures w14:val="none"/>
        </w:rPr>
        <w:t xml:space="preserve"> </w:t>
      </w:r>
    </w:p>
    <w:p w14:paraId="52F74B04" w14:textId="37FDD120" w:rsidR="002F4856" w:rsidRPr="00885E30" w:rsidRDefault="002F4856" w:rsidP="00885E30">
      <w:pPr>
        <w:keepNext/>
        <w:keepLines/>
        <w:spacing w:before="120" w:after="120" w:line="360" w:lineRule="auto"/>
        <w:jc w:val="both"/>
        <w:outlineLvl w:val="1"/>
        <w:rPr>
          <w:rFonts w:ascii="Times New Roman" w:eastAsia="Times New Roman" w:hAnsi="Times New Roman" w:cs="Times New Roman"/>
          <w:bCs/>
          <w:kern w:val="0"/>
          <w:lang w:eastAsia="en-IN"/>
          <w14:ligatures w14:val="none"/>
        </w:rPr>
      </w:pPr>
    </w:p>
    <w:bookmarkEnd w:id="6"/>
    <w:p w14:paraId="0186B46C" w14:textId="77777777" w:rsidR="0057171F" w:rsidRDefault="0057171F" w:rsidP="00F16166">
      <w:pPr>
        <w:spacing w:line="360" w:lineRule="auto"/>
        <w:jc w:val="both"/>
        <w:rPr>
          <w:rFonts w:ascii="Times New Roman" w:hAnsi="Times New Roman" w:cs="Times New Roman"/>
          <w:b/>
          <w:bCs/>
          <w:lang w:val="en-IN"/>
        </w:rPr>
      </w:pPr>
    </w:p>
    <w:p w14:paraId="30637F95" w14:textId="77777777" w:rsidR="0057171F" w:rsidRDefault="0057171F" w:rsidP="00F16166">
      <w:pPr>
        <w:spacing w:line="360" w:lineRule="auto"/>
        <w:jc w:val="both"/>
        <w:rPr>
          <w:rFonts w:ascii="Times New Roman" w:hAnsi="Times New Roman" w:cs="Times New Roman"/>
          <w:b/>
          <w:bCs/>
          <w:lang w:val="en-IN"/>
        </w:rPr>
      </w:pPr>
    </w:p>
    <w:p w14:paraId="108E248D" w14:textId="27C44A4F" w:rsidR="00174F19" w:rsidRDefault="00174F19" w:rsidP="00F16166">
      <w:pPr>
        <w:spacing w:line="360" w:lineRule="auto"/>
        <w:jc w:val="both"/>
        <w:rPr>
          <w:rFonts w:ascii="Times New Roman" w:hAnsi="Times New Roman" w:cs="Times New Roman"/>
          <w:b/>
          <w:bCs/>
        </w:rPr>
      </w:pPr>
      <w:r w:rsidRPr="00174F19">
        <w:rPr>
          <w:rFonts w:ascii="Times New Roman" w:hAnsi="Times New Roman" w:cs="Times New Roman"/>
          <w:b/>
          <w:bCs/>
        </w:rPr>
        <w:t>Reference</w:t>
      </w:r>
    </w:p>
    <w:p w14:paraId="738355A4" w14:textId="77777777" w:rsidR="00174F19" w:rsidRPr="00605319" w:rsidRDefault="00174F19" w:rsidP="00605319">
      <w:pPr>
        <w:pStyle w:val="ListParagraph"/>
        <w:numPr>
          <w:ilvl w:val="0"/>
          <w:numId w:val="1"/>
        </w:numPr>
        <w:jc w:val="both"/>
        <w:rPr>
          <w:rFonts w:ascii="Times New Roman" w:hAnsi="Times New Roman" w:cs="Times New Roman"/>
        </w:rPr>
      </w:pPr>
      <w:bookmarkStart w:id="7" w:name="_Hlk204360591"/>
      <w:r w:rsidRPr="00605319">
        <w:rPr>
          <w:rFonts w:ascii="Times New Roman" w:hAnsi="Times New Roman" w:cs="Times New Roman"/>
        </w:rPr>
        <w:t>Aigberua, A.O. and Izah, S.C., 2019. pH variation, mineral composition and selected trace metal concentration in some liquid herbal products sold in Nigeria. </w:t>
      </w:r>
      <w:r w:rsidRPr="00605319">
        <w:rPr>
          <w:rFonts w:ascii="Times New Roman" w:hAnsi="Times New Roman" w:cs="Times New Roman"/>
          <w:i/>
          <w:iCs/>
        </w:rPr>
        <w:t>Int J Res Stud Bioscie</w:t>
      </w:r>
      <w:r w:rsidRPr="00605319">
        <w:rPr>
          <w:rFonts w:ascii="Times New Roman" w:hAnsi="Times New Roman" w:cs="Times New Roman"/>
        </w:rPr>
        <w:t>, </w:t>
      </w:r>
      <w:r w:rsidRPr="00605319">
        <w:rPr>
          <w:rFonts w:ascii="Times New Roman" w:hAnsi="Times New Roman" w:cs="Times New Roman"/>
          <w:i/>
          <w:iCs/>
        </w:rPr>
        <w:t>7</w:t>
      </w:r>
      <w:r w:rsidRPr="00605319">
        <w:rPr>
          <w:rFonts w:ascii="Times New Roman" w:hAnsi="Times New Roman" w:cs="Times New Roman"/>
        </w:rPr>
        <w:t>(1), pp.1-8.</w:t>
      </w:r>
    </w:p>
    <w:p w14:paraId="10796845"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Alamgir, A.N.M., 2017. Herbal drugs: their collection, preservation, and preparation; evaluation, quality control, and standardization of herbal drugs. In </w:t>
      </w:r>
      <w:r w:rsidRPr="00605319">
        <w:rPr>
          <w:rFonts w:ascii="Times New Roman" w:hAnsi="Times New Roman" w:cs="Times New Roman"/>
          <w:i/>
          <w:iCs/>
        </w:rPr>
        <w:t>Therapeutic Use of Medicinal Plants and Their Extracts: Volume 1: Pharmacognosy</w:t>
      </w:r>
      <w:r w:rsidRPr="00605319">
        <w:rPr>
          <w:rFonts w:ascii="Times New Roman" w:hAnsi="Times New Roman" w:cs="Times New Roman"/>
        </w:rPr>
        <w:t> (pp. 453-495). Cham: Springer International Publishing.</w:t>
      </w:r>
    </w:p>
    <w:p w14:paraId="1CA1E3EE" w14:textId="77777777" w:rsidR="00174F19" w:rsidRPr="00605319" w:rsidRDefault="00174F19" w:rsidP="00605319">
      <w:pPr>
        <w:pStyle w:val="ListParagraph"/>
        <w:numPr>
          <w:ilvl w:val="0"/>
          <w:numId w:val="1"/>
        </w:numPr>
        <w:jc w:val="both"/>
        <w:rPr>
          <w:rFonts w:ascii="Times New Roman" w:hAnsi="Times New Roman" w:cs="Times New Roman"/>
        </w:rPr>
      </w:pPr>
      <w:bookmarkStart w:id="8" w:name="_Hlk204355813"/>
      <w:r w:rsidRPr="00605319">
        <w:rPr>
          <w:rFonts w:ascii="Times New Roman" w:hAnsi="Times New Roman" w:cs="Times New Roman"/>
        </w:rPr>
        <w:t>Al-halmi</w:t>
      </w:r>
      <w:bookmarkEnd w:id="8"/>
      <w:r w:rsidRPr="00605319">
        <w:rPr>
          <w:rFonts w:ascii="Times New Roman" w:hAnsi="Times New Roman" w:cs="Times New Roman"/>
        </w:rPr>
        <w:t>, N.A., Saeed, A.A., Al-Salimi, M.S., Abobakr, M.G., Ahmed, K.Y., Mustafa, O.K., Hood, F.S., Hussein, R.S., Saeed, N.M., Taleb, Z.O. and Manea, Y.K., 2024. MONITORING OF BENZOIC ACID LEVELS IN SOFT DRINKS CONSUMED IN ADEN, YEMEN. </w:t>
      </w:r>
      <w:r w:rsidRPr="00605319">
        <w:rPr>
          <w:rFonts w:ascii="Times New Roman" w:hAnsi="Times New Roman" w:cs="Times New Roman"/>
          <w:i/>
          <w:iCs/>
        </w:rPr>
        <w:t>Electronic Journal of University of Aden for Basic and Applied Sciences</w:t>
      </w:r>
      <w:r w:rsidRPr="00605319">
        <w:rPr>
          <w:rFonts w:ascii="Times New Roman" w:hAnsi="Times New Roman" w:cs="Times New Roman"/>
        </w:rPr>
        <w:t>, </w:t>
      </w:r>
      <w:r w:rsidRPr="00605319">
        <w:rPr>
          <w:rFonts w:ascii="Times New Roman" w:hAnsi="Times New Roman" w:cs="Times New Roman"/>
          <w:i/>
          <w:iCs/>
        </w:rPr>
        <w:t>5</w:t>
      </w:r>
      <w:r w:rsidRPr="00605319">
        <w:rPr>
          <w:rFonts w:ascii="Times New Roman" w:hAnsi="Times New Roman" w:cs="Times New Roman"/>
        </w:rPr>
        <w:t>(3), pp.288-298.</w:t>
      </w:r>
    </w:p>
    <w:p w14:paraId="09B1D22B" w14:textId="77777777" w:rsidR="00174F19" w:rsidRPr="00605319" w:rsidRDefault="00174F19" w:rsidP="00605319">
      <w:pPr>
        <w:pStyle w:val="ListParagraph"/>
        <w:numPr>
          <w:ilvl w:val="0"/>
          <w:numId w:val="1"/>
        </w:numPr>
        <w:jc w:val="both"/>
        <w:rPr>
          <w:rFonts w:ascii="Times New Roman" w:hAnsi="Times New Roman" w:cs="Times New Roman"/>
        </w:rPr>
      </w:pPr>
      <w:bookmarkStart w:id="9" w:name="_Hlk204340935"/>
      <w:r w:rsidRPr="00605319">
        <w:rPr>
          <w:rFonts w:ascii="Times New Roman" w:hAnsi="Times New Roman" w:cs="Times New Roman"/>
        </w:rPr>
        <w:lastRenderedPageBreak/>
        <w:t>Chipley,</w:t>
      </w:r>
      <w:bookmarkEnd w:id="9"/>
      <w:r w:rsidRPr="00605319">
        <w:rPr>
          <w:rFonts w:ascii="Times New Roman" w:hAnsi="Times New Roman" w:cs="Times New Roman"/>
        </w:rPr>
        <w:t xml:space="preserve"> J.R., 2020. Sodium benzoate and benzoic acid. In </w:t>
      </w:r>
      <w:r w:rsidRPr="00605319">
        <w:rPr>
          <w:rFonts w:ascii="Times New Roman" w:hAnsi="Times New Roman" w:cs="Times New Roman"/>
          <w:i/>
          <w:iCs/>
        </w:rPr>
        <w:t>Antimicrobials in food</w:t>
      </w:r>
      <w:r w:rsidRPr="00605319">
        <w:rPr>
          <w:rFonts w:ascii="Times New Roman" w:hAnsi="Times New Roman" w:cs="Times New Roman"/>
        </w:rPr>
        <w:t> (pp. 41-88). CRC Press.</w:t>
      </w:r>
    </w:p>
    <w:p w14:paraId="05D871A6"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Dao, H., Lakhani, P., Police, A., Kallakunta, V., Ajjarapu, S.S., Wu, K.W., Ponkshe, P., Repka, M.A. and Narasimha Murthy, S., 2018. Microbial stability of pharmaceutical and cosmetic products. </w:t>
      </w:r>
      <w:r w:rsidRPr="00605319">
        <w:rPr>
          <w:rFonts w:ascii="Times New Roman" w:hAnsi="Times New Roman" w:cs="Times New Roman"/>
          <w:i/>
          <w:iCs/>
        </w:rPr>
        <w:t>Aaps Pharmscitech</w:t>
      </w:r>
      <w:r w:rsidRPr="00605319">
        <w:rPr>
          <w:rFonts w:ascii="Times New Roman" w:hAnsi="Times New Roman" w:cs="Times New Roman"/>
        </w:rPr>
        <w:t>, </w:t>
      </w:r>
      <w:r w:rsidRPr="00605319">
        <w:rPr>
          <w:rFonts w:ascii="Times New Roman" w:hAnsi="Times New Roman" w:cs="Times New Roman"/>
          <w:i/>
          <w:iCs/>
        </w:rPr>
        <w:t>19</w:t>
      </w:r>
      <w:r w:rsidRPr="00605319">
        <w:rPr>
          <w:rFonts w:ascii="Times New Roman" w:hAnsi="Times New Roman" w:cs="Times New Roman"/>
        </w:rPr>
        <w:t>(1), pp.60-78.</w:t>
      </w:r>
    </w:p>
    <w:p w14:paraId="5B8C9F5B" w14:textId="77777777" w:rsidR="00174F19" w:rsidRPr="00605319" w:rsidRDefault="00174F19" w:rsidP="00605319">
      <w:pPr>
        <w:pStyle w:val="ListParagraph"/>
        <w:numPr>
          <w:ilvl w:val="0"/>
          <w:numId w:val="1"/>
        </w:numPr>
        <w:jc w:val="both"/>
        <w:rPr>
          <w:rFonts w:ascii="Times New Roman" w:hAnsi="Times New Roman" w:cs="Times New Roman"/>
        </w:rPr>
      </w:pPr>
      <w:bookmarkStart w:id="10" w:name="_Hlk203938878"/>
      <w:r w:rsidRPr="00605319">
        <w:rPr>
          <w:rFonts w:ascii="Times New Roman" w:hAnsi="Times New Roman" w:cs="Times New Roman"/>
        </w:rPr>
        <w:t>Garcı́a</w:t>
      </w:r>
      <w:bookmarkEnd w:id="10"/>
      <w:r w:rsidRPr="00605319">
        <w:rPr>
          <w:rFonts w:ascii="Times New Roman" w:hAnsi="Times New Roman" w:cs="Times New Roman"/>
        </w:rPr>
        <w:t>, I., Ortiz, M.C., Sarabia, L., Vilches, C. and Gredilla, E., 2003. Advances in methodology for the validation of methods according to the International Organization for Standardization: Application to the determination of benzoic and sorbic acids in soft drinks by high-performance liquid chromatography. </w:t>
      </w:r>
      <w:r w:rsidRPr="00605319">
        <w:rPr>
          <w:rFonts w:ascii="Times New Roman" w:hAnsi="Times New Roman" w:cs="Times New Roman"/>
          <w:i/>
          <w:iCs/>
        </w:rPr>
        <w:t>Journal of Chromatography A</w:t>
      </w:r>
      <w:r w:rsidRPr="00605319">
        <w:rPr>
          <w:rFonts w:ascii="Times New Roman" w:hAnsi="Times New Roman" w:cs="Times New Roman"/>
        </w:rPr>
        <w:t>, </w:t>
      </w:r>
      <w:r w:rsidRPr="00605319">
        <w:rPr>
          <w:rFonts w:ascii="Times New Roman" w:hAnsi="Times New Roman" w:cs="Times New Roman"/>
          <w:i/>
          <w:iCs/>
        </w:rPr>
        <w:t>992</w:t>
      </w:r>
      <w:r w:rsidRPr="00605319">
        <w:rPr>
          <w:rFonts w:ascii="Times New Roman" w:hAnsi="Times New Roman" w:cs="Times New Roman"/>
        </w:rPr>
        <w:t>(1-2), pp.11-27.</w:t>
      </w:r>
    </w:p>
    <w:p w14:paraId="3CCA4CC9" w14:textId="77777777" w:rsidR="00174F19" w:rsidRPr="00605319" w:rsidRDefault="00174F19" w:rsidP="00605319">
      <w:pPr>
        <w:pStyle w:val="ListParagraph"/>
        <w:numPr>
          <w:ilvl w:val="0"/>
          <w:numId w:val="1"/>
        </w:numPr>
        <w:jc w:val="both"/>
        <w:rPr>
          <w:rFonts w:ascii="Times New Roman" w:hAnsi="Times New Roman" w:cs="Times New Roman"/>
        </w:rPr>
      </w:pPr>
      <w:bookmarkStart w:id="11" w:name="_Hlk204343358"/>
      <w:r w:rsidRPr="00605319">
        <w:rPr>
          <w:rFonts w:ascii="Times New Roman" w:hAnsi="Times New Roman" w:cs="Times New Roman"/>
        </w:rPr>
        <w:t>Gimenez-Arnau, A.M. and Maibach</w:t>
      </w:r>
      <w:bookmarkEnd w:id="11"/>
      <w:r w:rsidRPr="00605319">
        <w:rPr>
          <w:rFonts w:ascii="Times New Roman" w:hAnsi="Times New Roman" w:cs="Times New Roman"/>
        </w:rPr>
        <w:t>, H., 2021. Contact urticaria. </w:t>
      </w:r>
      <w:r w:rsidRPr="00605319">
        <w:rPr>
          <w:rFonts w:ascii="Times New Roman" w:hAnsi="Times New Roman" w:cs="Times New Roman"/>
          <w:i/>
          <w:iCs/>
        </w:rPr>
        <w:t>Immunology and Allergy Clinics</w:t>
      </w:r>
      <w:r w:rsidRPr="00605319">
        <w:rPr>
          <w:rFonts w:ascii="Times New Roman" w:hAnsi="Times New Roman" w:cs="Times New Roman"/>
        </w:rPr>
        <w:t>, </w:t>
      </w:r>
      <w:r w:rsidRPr="00605319">
        <w:rPr>
          <w:rFonts w:ascii="Times New Roman" w:hAnsi="Times New Roman" w:cs="Times New Roman"/>
          <w:i/>
          <w:iCs/>
        </w:rPr>
        <w:t>41</w:t>
      </w:r>
      <w:r w:rsidRPr="00605319">
        <w:rPr>
          <w:rFonts w:ascii="Times New Roman" w:hAnsi="Times New Roman" w:cs="Times New Roman"/>
        </w:rPr>
        <w:t>(3), pp.467-480.</w:t>
      </w:r>
    </w:p>
    <w:p w14:paraId="37F095FC" w14:textId="77777777" w:rsidR="00174F19" w:rsidRPr="00605319" w:rsidRDefault="00174F19" w:rsidP="00605319">
      <w:pPr>
        <w:pStyle w:val="ListParagraph"/>
        <w:numPr>
          <w:ilvl w:val="0"/>
          <w:numId w:val="1"/>
        </w:numPr>
        <w:jc w:val="both"/>
        <w:rPr>
          <w:rFonts w:ascii="Times New Roman" w:hAnsi="Times New Roman" w:cs="Times New Roman"/>
        </w:rPr>
      </w:pPr>
      <w:bookmarkStart w:id="12" w:name="_Hlk204343513"/>
      <w:r w:rsidRPr="00605319">
        <w:rPr>
          <w:rFonts w:ascii="Times New Roman" w:hAnsi="Times New Roman" w:cs="Times New Roman"/>
        </w:rPr>
        <w:t>Goyal</w:t>
      </w:r>
      <w:bookmarkEnd w:id="12"/>
      <w:r w:rsidRPr="00605319">
        <w:rPr>
          <w:rFonts w:ascii="Times New Roman" w:hAnsi="Times New Roman" w:cs="Times New Roman"/>
        </w:rPr>
        <w:t>, S., Gupta, M., Sharma, P. and Beniwal, V., 2023. Hypersensitivity associated with food additives. In </w:t>
      </w:r>
      <w:r w:rsidRPr="00605319">
        <w:rPr>
          <w:rFonts w:ascii="Times New Roman" w:hAnsi="Times New Roman" w:cs="Times New Roman"/>
          <w:i/>
          <w:iCs/>
        </w:rPr>
        <w:t>Microbes for Natural Food Additives</w:t>
      </w:r>
      <w:r w:rsidRPr="00605319">
        <w:rPr>
          <w:rFonts w:ascii="Times New Roman" w:hAnsi="Times New Roman" w:cs="Times New Roman"/>
        </w:rPr>
        <w:t> (pp. 205-227). Singapore: Springer Nature Singapore.</w:t>
      </w:r>
    </w:p>
    <w:p w14:paraId="23B6ABA8" w14:textId="77777777" w:rsidR="00174F19" w:rsidRPr="00605319" w:rsidRDefault="00174F19" w:rsidP="00605319">
      <w:pPr>
        <w:pStyle w:val="ListParagraph"/>
        <w:numPr>
          <w:ilvl w:val="0"/>
          <w:numId w:val="1"/>
        </w:numPr>
        <w:jc w:val="both"/>
        <w:rPr>
          <w:rFonts w:ascii="Times New Roman" w:hAnsi="Times New Roman" w:cs="Times New Roman"/>
        </w:rPr>
      </w:pPr>
      <w:bookmarkStart w:id="13" w:name="_Hlk203500603"/>
      <w:r w:rsidRPr="00605319">
        <w:rPr>
          <w:rFonts w:ascii="Times New Roman" w:hAnsi="Times New Roman" w:cs="Times New Roman"/>
        </w:rPr>
        <w:t>Hedaya</w:t>
      </w:r>
      <w:bookmarkEnd w:id="13"/>
      <w:r w:rsidRPr="00605319">
        <w:rPr>
          <w:rFonts w:ascii="Times New Roman" w:hAnsi="Times New Roman" w:cs="Times New Roman"/>
        </w:rPr>
        <w:t>, M.A., 2024. Routes of drug administration. In </w:t>
      </w:r>
      <w:r w:rsidRPr="00605319">
        <w:rPr>
          <w:rFonts w:ascii="Times New Roman" w:hAnsi="Times New Roman" w:cs="Times New Roman"/>
          <w:i/>
          <w:iCs/>
        </w:rPr>
        <w:t>Pharmaceutics</w:t>
      </w:r>
      <w:r w:rsidRPr="00605319">
        <w:rPr>
          <w:rFonts w:ascii="Times New Roman" w:hAnsi="Times New Roman" w:cs="Times New Roman"/>
        </w:rPr>
        <w:t> (pp. 537-554). Academic Press.</w:t>
      </w:r>
    </w:p>
    <w:p w14:paraId="31E40DF8"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Jacob, S. and Nair, A.B., 2018. Cyclodextrin complexes: Perspective from drug delivery and formulation. </w:t>
      </w:r>
      <w:r w:rsidRPr="00605319">
        <w:rPr>
          <w:rFonts w:ascii="Times New Roman" w:hAnsi="Times New Roman" w:cs="Times New Roman"/>
          <w:i/>
          <w:iCs/>
        </w:rPr>
        <w:t>Drug development research</w:t>
      </w:r>
      <w:r w:rsidRPr="00605319">
        <w:rPr>
          <w:rFonts w:ascii="Times New Roman" w:hAnsi="Times New Roman" w:cs="Times New Roman"/>
        </w:rPr>
        <w:t>, </w:t>
      </w:r>
      <w:r w:rsidRPr="00605319">
        <w:rPr>
          <w:rFonts w:ascii="Times New Roman" w:hAnsi="Times New Roman" w:cs="Times New Roman"/>
          <w:i/>
          <w:iCs/>
        </w:rPr>
        <w:t>79</w:t>
      </w:r>
      <w:r w:rsidRPr="00605319">
        <w:rPr>
          <w:rFonts w:ascii="Times New Roman" w:hAnsi="Times New Roman" w:cs="Times New Roman"/>
        </w:rPr>
        <w:t>(5), pp.201-217.</w:t>
      </w:r>
    </w:p>
    <w:p w14:paraId="14F8B6F1" w14:textId="77777777" w:rsidR="00174F19" w:rsidRPr="00605319" w:rsidRDefault="00174F19" w:rsidP="00605319">
      <w:pPr>
        <w:pStyle w:val="ListParagraph"/>
        <w:numPr>
          <w:ilvl w:val="0"/>
          <w:numId w:val="1"/>
        </w:numPr>
        <w:jc w:val="both"/>
        <w:rPr>
          <w:rFonts w:ascii="Times New Roman" w:hAnsi="Times New Roman" w:cs="Times New Roman"/>
        </w:rPr>
      </w:pPr>
      <w:bookmarkStart w:id="14" w:name="_Hlk204341177"/>
      <w:r w:rsidRPr="00605319">
        <w:rPr>
          <w:rFonts w:ascii="Times New Roman" w:hAnsi="Times New Roman" w:cs="Times New Roman"/>
        </w:rPr>
        <w:t>Johnson</w:t>
      </w:r>
      <w:bookmarkEnd w:id="14"/>
      <w:r w:rsidRPr="00605319">
        <w:rPr>
          <w:rFonts w:ascii="Times New Roman" w:hAnsi="Times New Roman" w:cs="Times New Roman"/>
        </w:rPr>
        <w:t>, W., Bergfeld, W.F., Belsito, D.V., Hill, R.A., Klaassen, C.D., Liebler, D.C., Marks, J.G., Shank, R.C., Slaga, T.J., Snyder, P.W. and Andersen, F.A., 2017. Safety assessment of benzyl alcohol, benzoic acid and its salts, and benzyl benzoate. </w:t>
      </w:r>
      <w:r w:rsidRPr="00605319">
        <w:rPr>
          <w:rFonts w:ascii="Times New Roman" w:hAnsi="Times New Roman" w:cs="Times New Roman"/>
          <w:i/>
          <w:iCs/>
        </w:rPr>
        <w:t>International journal of toxicology</w:t>
      </w:r>
      <w:r w:rsidRPr="00605319">
        <w:rPr>
          <w:rFonts w:ascii="Times New Roman" w:hAnsi="Times New Roman" w:cs="Times New Roman"/>
        </w:rPr>
        <w:t>, </w:t>
      </w:r>
      <w:r w:rsidRPr="00605319">
        <w:rPr>
          <w:rFonts w:ascii="Times New Roman" w:hAnsi="Times New Roman" w:cs="Times New Roman"/>
          <w:i/>
          <w:iCs/>
        </w:rPr>
        <w:t>36</w:t>
      </w:r>
      <w:r w:rsidRPr="00605319">
        <w:rPr>
          <w:rFonts w:ascii="Times New Roman" w:hAnsi="Times New Roman" w:cs="Times New Roman"/>
        </w:rPr>
        <w:t>(3_suppl), pp.5S-30S.</w:t>
      </w:r>
    </w:p>
    <w:p w14:paraId="248EF8D8"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Karole, S., Shrivastava, S., Thomas, S., Soni, B., Khan, S., Dubey, J., Dubey, S.P., Khan, N. and Jain, D.K., 2019. Polyherbal Formulation Concept for Synergic Action: A Review. </w:t>
      </w:r>
      <w:r w:rsidRPr="00605319">
        <w:rPr>
          <w:rFonts w:ascii="Times New Roman" w:hAnsi="Times New Roman" w:cs="Times New Roman"/>
          <w:i/>
          <w:iCs/>
        </w:rPr>
        <w:t>Journal of Drug Delivery &amp; Therapeutics</w:t>
      </w:r>
      <w:r w:rsidRPr="00605319">
        <w:rPr>
          <w:rFonts w:ascii="Times New Roman" w:hAnsi="Times New Roman" w:cs="Times New Roman"/>
        </w:rPr>
        <w:t>.</w:t>
      </w:r>
    </w:p>
    <w:p w14:paraId="1BED4047" w14:textId="77777777" w:rsidR="00174F19" w:rsidRPr="00605319" w:rsidRDefault="00174F19" w:rsidP="00605319">
      <w:pPr>
        <w:pStyle w:val="ListParagraph"/>
        <w:numPr>
          <w:ilvl w:val="0"/>
          <w:numId w:val="1"/>
        </w:numPr>
        <w:jc w:val="both"/>
        <w:rPr>
          <w:rFonts w:ascii="Times New Roman" w:hAnsi="Times New Roman" w:cs="Times New Roman"/>
        </w:rPr>
      </w:pPr>
      <w:bookmarkStart w:id="15" w:name="_Hlk203500656"/>
      <w:r w:rsidRPr="00605319">
        <w:rPr>
          <w:rFonts w:ascii="Times New Roman" w:hAnsi="Times New Roman" w:cs="Times New Roman"/>
        </w:rPr>
        <w:t>Kumadoh</w:t>
      </w:r>
      <w:bookmarkEnd w:id="15"/>
      <w:r w:rsidRPr="00605319">
        <w:rPr>
          <w:rFonts w:ascii="Times New Roman" w:hAnsi="Times New Roman" w:cs="Times New Roman"/>
        </w:rPr>
        <w:t>, D., Amekyeh, H., Archer, M.A., Kyene, M.O., Yeboah, G.N., Brew-Daniels, H., Adi-Dako, O., Osei-Asare, C., Adase, E. and Appiah, A.A., 2024. Determination of consistency in pH of some commercial herbal formulations in Ghana. </w:t>
      </w:r>
      <w:r w:rsidRPr="00605319">
        <w:rPr>
          <w:rFonts w:ascii="Times New Roman" w:hAnsi="Times New Roman" w:cs="Times New Roman"/>
          <w:i/>
          <w:iCs/>
        </w:rPr>
        <w:t>Journal of Herbal Medicine</w:t>
      </w:r>
      <w:r w:rsidRPr="00605319">
        <w:rPr>
          <w:rFonts w:ascii="Times New Roman" w:hAnsi="Times New Roman" w:cs="Times New Roman"/>
        </w:rPr>
        <w:t>, </w:t>
      </w:r>
      <w:r w:rsidRPr="00605319">
        <w:rPr>
          <w:rFonts w:ascii="Times New Roman" w:hAnsi="Times New Roman" w:cs="Times New Roman"/>
          <w:i/>
          <w:iCs/>
        </w:rPr>
        <w:t>45</w:t>
      </w:r>
      <w:r w:rsidRPr="00605319">
        <w:rPr>
          <w:rFonts w:ascii="Times New Roman" w:hAnsi="Times New Roman" w:cs="Times New Roman"/>
        </w:rPr>
        <w:t>, p.100876.</w:t>
      </w:r>
    </w:p>
    <w:p w14:paraId="77C7940B"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Kumari, R. and Kotecha, M., 2016. A review on the standardization of herbal medicines. </w:t>
      </w:r>
      <w:r w:rsidRPr="00605319">
        <w:rPr>
          <w:rFonts w:ascii="Times New Roman" w:hAnsi="Times New Roman" w:cs="Times New Roman"/>
          <w:i/>
          <w:iCs/>
        </w:rPr>
        <w:t>International journal of pharma sciences and research</w:t>
      </w:r>
      <w:r w:rsidRPr="00605319">
        <w:rPr>
          <w:rFonts w:ascii="Times New Roman" w:hAnsi="Times New Roman" w:cs="Times New Roman"/>
        </w:rPr>
        <w:t>, </w:t>
      </w:r>
      <w:r w:rsidRPr="00605319">
        <w:rPr>
          <w:rFonts w:ascii="Times New Roman" w:hAnsi="Times New Roman" w:cs="Times New Roman"/>
          <w:i/>
          <w:iCs/>
        </w:rPr>
        <w:t>7</w:t>
      </w:r>
      <w:r w:rsidRPr="00605319">
        <w:rPr>
          <w:rFonts w:ascii="Times New Roman" w:hAnsi="Times New Roman" w:cs="Times New Roman"/>
        </w:rPr>
        <w:t>(2), pp.97-106.</w:t>
      </w:r>
    </w:p>
    <w:p w14:paraId="3E87694D" w14:textId="77777777" w:rsidR="00174F19" w:rsidRPr="00605319" w:rsidRDefault="00174F19" w:rsidP="00605319">
      <w:pPr>
        <w:pStyle w:val="ListParagraph"/>
        <w:numPr>
          <w:ilvl w:val="0"/>
          <w:numId w:val="1"/>
        </w:numPr>
        <w:jc w:val="both"/>
        <w:rPr>
          <w:rFonts w:ascii="Times New Roman" w:hAnsi="Times New Roman" w:cs="Times New Roman"/>
        </w:rPr>
      </w:pPr>
      <w:bookmarkStart w:id="16" w:name="_Hlk203936010"/>
      <w:r w:rsidRPr="00605319">
        <w:rPr>
          <w:rFonts w:ascii="Times New Roman" w:hAnsi="Times New Roman" w:cs="Times New Roman"/>
        </w:rPr>
        <w:t>Linke</w:t>
      </w:r>
      <w:bookmarkEnd w:id="16"/>
      <w:r w:rsidRPr="00605319">
        <w:rPr>
          <w:rFonts w:ascii="Times New Roman" w:hAnsi="Times New Roman" w:cs="Times New Roman"/>
        </w:rPr>
        <w:t>, B.G., Casagrande, T.A. and Cardoso, L.A., 2018. Food additives and their health effects: A review on preservative sodium benzoate. </w:t>
      </w:r>
      <w:r w:rsidRPr="00605319">
        <w:rPr>
          <w:rFonts w:ascii="Times New Roman" w:hAnsi="Times New Roman" w:cs="Times New Roman"/>
          <w:i/>
          <w:iCs/>
        </w:rPr>
        <w:t>African Journal of Biotechnology</w:t>
      </w:r>
      <w:r w:rsidRPr="00605319">
        <w:rPr>
          <w:rFonts w:ascii="Times New Roman" w:hAnsi="Times New Roman" w:cs="Times New Roman"/>
        </w:rPr>
        <w:t>, </w:t>
      </w:r>
      <w:r w:rsidRPr="00605319">
        <w:rPr>
          <w:rFonts w:ascii="Times New Roman" w:hAnsi="Times New Roman" w:cs="Times New Roman"/>
          <w:i/>
          <w:iCs/>
        </w:rPr>
        <w:t>17</w:t>
      </w:r>
      <w:r w:rsidRPr="00605319">
        <w:rPr>
          <w:rFonts w:ascii="Times New Roman" w:hAnsi="Times New Roman" w:cs="Times New Roman"/>
        </w:rPr>
        <w:t>(10), pp.306-310.</w:t>
      </w:r>
    </w:p>
    <w:p w14:paraId="6BDF79D3"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Manisha, D.R.B., Begam, A.M., Chahal, K.S. and Ashok, M.A., 2025. Medicinal Plants and Traditional Uses and Modern Applications. </w:t>
      </w:r>
      <w:r w:rsidRPr="00605319">
        <w:rPr>
          <w:rFonts w:ascii="Times New Roman" w:hAnsi="Times New Roman" w:cs="Times New Roman"/>
          <w:i/>
          <w:iCs/>
        </w:rPr>
        <w:t>Journal of Neonatal Surgery</w:t>
      </w:r>
      <w:r w:rsidRPr="00605319">
        <w:rPr>
          <w:rFonts w:ascii="Times New Roman" w:hAnsi="Times New Roman" w:cs="Times New Roman"/>
        </w:rPr>
        <w:t>, </w:t>
      </w:r>
      <w:r w:rsidRPr="00605319">
        <w:rPr>
          <w:rFonts w:ascii="Times New Roman" w:hAnsi="Times New Roman" w:cs="Times New Roman"/>
          <w:i/>
          <w:iCs/>
        </w:rPr>
        <w:t>14</w:t>
      </w:r>
      <w:r w:rsidRPr="00605319">
        <w:rPr>
          <w:rFonts w:ascii="Times New Roman" w:hAnsi="Times New Roman" w:cs="Times New Roman"/>
        </w:rPr>
        <w:t>(3).</w:t>
      </w:r>
    </w:p>
    <w:p w14:paraId="77517F19"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 xml:space="preserve">Mofokeng, M.M., Du Plooy, C.P., Araya, H.T., Amoo, S.O., Mokgehle, S.N., Pofu, K.M. and Mashela, P.W., 2022. Medicinal plant cultivation for sustainable use and </w:t>
      </w:r>
      <w:r w:rsidRPr="00605319">
        <w:rPr>
          <w:rFonts w:ascii="Times New Roman" w:hAnsi="Times New Roman" w:cs="Times New Roman"/>
        </w:rPr>
        <w:lastRenderedPageBreak/>
        <w:t>commercialisation of high-value crops. </w:t>
      </w:r>
      <w:r w:rsidRPr="00605319">
        <w:rPr>
          <w:rFonts w:ascii="Times New Roman" w:hAnsi="Times New Roman" w:cs="Times New Roman"/>
          <w:i/>
          <w:iCs/>
        </w:rPr>
        <w:t>South African Journal of Science</w:t>
      </w:r>
      <w:r w:rsidRPr="00605319">
        <w:rPr>
          <w:rFonts w:ascii="Times New Roman" w:hAnsi="Times New Roman" w:cs="Times New Roman"/>
        </w:rPr>
        <w:t>, </w:t>
      </w:r>
      <w:r w:rsidRPr="00605319">
        <w:rPr>
          <w:rFonts w:ascii="Times New Roman" w:hAnsi="Times New Roman" w:cs="Times New Roman"/>
          <w:i/>
          <w:iCs/>
        </w:rPr>
        <w:t>118</w:t>
      </w:r>
      <w:r w:rsidRPr="00605319">
        <w:rPr>
          <w:rFonts w:ascii="Times New Roman" w:hAnsi="Times New Roman" w:cs="Times New Roman"/>
        </w:rPr>
        <w:t>(7-8), pp.1-7.</w:t>
      </w:r>
    </w:p>
    <w:p w14:paraId="0C85CE35"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Mosihuzzaman, M. and Choudhary, M.I., 2008. Protocols on safety, efficacy, standardization, and documentation of herbal medicine (IUPAC Technical Report). </w:t>
      </w:r>
      <w:r w:rsidRPr="00605319">
        <w:rPr>
          <w:rFonts w:ascii="Times New Roman" w:hAnsi="Times New Roman" w:cs="Times New Roman"/>
          <w:i/>
          <w:iCs/>
        </w:rPr>
        <w:t>Pure and Applied chemistry</w:t>
      </w:r>
      <w:r w:rsidRPr="00605319">
        <w:rPr>
          <w:rFonts w:ascii="Times New Roman" w:hAnsi="Times New Roman" w:cs="Times New Roman"/>
        </w:rPr>
        <w:t>, </w:t>
      </w:r>
      <w:r w:rsidRPr="00605319">
        <w:rPr>
          <w:rFonts w:ascii="Times New Roman" w:hAnsi="Times New Roman" w:cs="Times New Roman"/>
          <w:i/>
          <w:iCs/>
        </w:rPr>
        <w:t>80</w:t>
      </w:r>
      <w:r w:rsidRPr="00605319">
        <w:rPr>
          <w:rFonts w:ascii="Times New Roman" w:hAnsi="Times New Roman" w:cs="Times New Roman"/>
        </w:rPr>
        <w:t>(10), pp.2195-2230.</w:t>
      </w:r>
    </w:p>
    <w:p w14:paraId="04447EEE"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Naz, M., Dai, Z., Hussain, S., Tariq, M., Danish, S., Khan, I.U., Qi, S. and Du, D., 2022. The soil pH and heavy metals revealed their impact on soil microbial community. </w:t>
      </w:r>
      <w:r w:rsidRPr="00605319">
        <w:rPr>
          <w:rFonts w:ascii="Times New Roman" w:hAnsi="Times New Roman" w:cs="Times New Roman"/>
          <w:i/>
          <w:iCs/>
        </w:rPr>
        <w:t>Journal of Environmental Management</w:t>
      </w:r>
      <w:r w:rsidRPr="00605319">
        <w:rPr>
          <w:rFonts w:ascii="Times New Roman" w:hAnsi="Times New Roman" w:cs="Times New Roman"/>
        </w:rPr>
        <w:t>, </w:t>
      </w:r>
      <w:r w:rsidRPr="00605319">
        <w:rPr>
          <w:rFonts w:ascii="Times New Roman" w:hAnsi="Times New Roman" w:cs="Times New Roman"/>
          <w:i/>
          <w:iCs/>
        </w:rPr>
        <w:t>321</w:t>
      </w:r>
      <w:r w:rsidRPr="00605319">
        <w:rPr>
          <w:rFonts w:ascii="Times New Roman" w:hAnsi="Times New Roman" w:cs="Times New Roman"/>
        </w:rPr>
        <w:t>, p.115770.</w:t>
      </w:r>
    </w:p>
    <w:p w14:paraId="52C6225D" w14:textId="77777777" w:rsidR="00174F19" w:rsidRPr="00605319" w:rsidRDefault="00174F19" w:rsidP="00605319">
      <w:pPr>
        <w:pStyle w:val="ListParagraph"/>
        <w:numPr>
          <w:ilvl w:val="0"/>
          <w:numId w:val="1"/>
        </w:numPr>
        <w:jc w:val="both"/>
        <w:rPr>
          <w:rFonts w:ascii="Times New Roman" w:hAnsi="Times New Roman" w:cs="Times New Roman"/>
        </w:rPr>
      </w:pPr>
      <w:bookmarkStart w:id="17" w:name="_Hlk204342113"/>
      <w:r w:rsidRPr="00605319">
        <w:rPr>
          <w:rFonts w:ascii="Times New Roman" w:hAnsi="Times New Roman" w:cs="Times New Roman"/>
        </w:rPr>
        <w:t>Rabiu</w:t>
      </w:r>
      <w:bookmarkEnd w:id="17"/>
      <w:r w:rsidRPr="00605319">
        <w:rPr>
          <w:rFonts w:ascii="Times New Roman" w:hAnsi="Times New Roman" w:cs="Times New Roman"/>
        </w:rPr>
        <w:t xml:space="preserve">, S., Abubakar, M.G., Sahabi, D.M., Makusidi, M.A., Dandare, A. and Bello, J.H., 2021. Benzoic </w:t>
      </w:r>
      <w:proofErr w:type="gramStart"/>
      <w:r w:rsidRPr="00605319">
        <w:rPr>
          <w:rFonts w:ascii="Times New Roman" w:hAnsi="Times New Roman" w:cs="Times New Roman"/>
        </w:rPr>
        <w:t>acid based</w:t>
      </w:r>
      <w:proofErr w:type="gramEnd"/>
      <w:r w:rsidRPr="00605319">
        <w:rPr>
          <w:rFonts w:ascii="Times New Roman" w:hAnsi="Times New Roman" w:cs="Times New Roman"/>
        </w:rPr>
        <w:t xml:space="preserve"> beverages: health implications. </w:t>
      </w:r>
      <w:r w:rsidRPr="00605319">
        <w:rPr>
          <w:rFonts w:ascii="Times New Roman" w:hAnsi="Times New Roman" w:cs="Times New Roman"/>
          <w:i/>
          <w:iCs/>
        </w:rPr>
        <w:t>Asian Food Science Journal</w:t>
      </w:r>
      <w:r w:rsidRPr="00605319">
        <w:rPr>
          <w:rFonts w:ascii="Times New Roman" w:hAnsi="Times New Roman" w:cs="Times New Roman"/>
        </w:rPr>
        <w:t>, </w:t>
      </w:r>
      <w:r w:rsidRPr="00605319">
        <w:rPr>
          <w:rFonts w:ascii="Times New Roman" w:hAnsi="Times New Roman" w:cs="Times New Roman"/>
          <w:i/>
          <w:iCs/>
        </w:rPr>
        <w:t>20</w:t>
      </w:r>
      <w:r w:rsidRPr="00605319">
        <w:rPr>
          <w:rFonts w:ascii="Times New Roman" w:hAnsi="Times New Roman" w:cs="Times New Roman"/>
        </w:rPr>
        <w:t>(4), pp.93-105.</w:t>
      </w:r>
    </w:p>
    <w:p w14:paraId="16212294" w14:textId="77777777" w:rsidR="00174F19" w:rsidRPr="00605319" w:rsidRDefault="00174F19" w:rsidP="00605319">
      <w:pPr>
        <w:pStyle w:val="ListParagraph"/>
        <w:numPr>
          <w:ilvl w:val="0"/>
          <w:numId w:val="1"/>
        </w:numPr>
        <w:jc w:val="both"/>
        <w:rPr>
          <w:rFonts w:ascii="Times New Roman" w:hAnsi="Times New Roman" w:cs="Times New Roman"/>
        </w:rPr>
      </w:pPr>
      <w:bookmarkStart w:id="18" w:name="_Hlk203841468"/>
      <w:r w:rsidRPr="00605319">
        <w:rPr>
          <w:rFonts w:ascii="Times New Roman" w:hAnsi="Times New Roman" w:cs="Times New Roman"/>
        </w:rPr>
        <w:t>Raphael, O. and Emmanuel</w:t>
      </w:r>
      <w:bookmarkEnd w:id="18"/>
      <w:r w:rsidRPr="00605319">
        <w:rPr>
          <w:rFonts w:ascii="Times New Roman" w:hAnsi="Times New Roman" w:cs="Times New Roman"/>
        </w:rPr>
        <w:t>, A.O., 2019. Quality assessment of some selected herbal medicinal products consumed in wukari, taraba state. </w:t>
      </w:r>
      <w:r w:rsidRPr="00605319">
        <w:rPr>
          <w:rFonts w:ascii="Times New Roman" w:hAnsi="Times New Roman" w:cs="Times New Roman"/>
          <w:i/>
          <w:iCs/>
        </w:rPr>
        <w:t>Acta Scientific Microbiology</w:t>
      </w:r>
      <w:r w:rsidRPr="00605319">
        <w:rPr>
          <w:rFonts w:ascii="Times New Roman" w:hAnsi="Times New Roman" w:cs="Times New Roman"/>
        </w:rPr>
        <w:t>, </w:t>
      </w:r>
      <w:r w:rsidRPr="00605319">
        <w:rPr>
          <w:rFonts w:ascii="Times New Roman" w:hAnsi="Times New Roman" w:cs="Times New Roman"/>
          <w:i/>
          <w:iCs/>
        </w:rPr>
        <w:t>2</w:t>
      </w:r>
      <w:r w:rsidRPr="00605319">
        <w:rPr>
          <w:rFonts w:ascii="Times New Roman" w:hAnsi="Times New Roman" w:cs="Times New Roman"/>
        </w:rPr>
        <w:t>(9), pp.28-36.</w:t>
      </w:r>
    </w:p>
    <w:p w14:paraId="1038449C"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Sadiku, M.N., Sadiku, J.O. and Musa, S.M., 2022. </w:t>
      </w:r>
      <w:r w:rsidRPr="00605319">
        <w:rPr>
          <w:rFonts w:ascii="Times New Roman" w:hAnsi="Times New Roman" w:cs="Times New Roman"/>
          <w:i/>
          <w:iCs/>
        </w:rPr>
        <w:t>Traditional Medicines Around the World</w:t>
      </w:r>
      <w:r w:rsidRPr="00605319">
        <w:rPr>
          <w:rFonts w:ascii="Times New Roman" w:hAnsi="Times New Roman" w:cs="Times New Roman"/>
        </w:rPr>
        <w:t>. IUniverse.</w:t>
      </w:r>
    </w:p>
    <w:p w14:paraId="59ACDB07"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Tfouni, S.A.V. and Toledo, M.C.F., 2002. Determination of benzoic and sorbic acids in Brazilian food. </w:t>
      </w:r>
      <w:r w:rsidRPr="00605319">
        <w:rPr>
          <w:rFonts w:ascii="Times New Roman" w:hAnsi="Times New Roman" w:cs="Times New Roman"/>
          <w:i/>
          <w:iCs/>
        </w:rPr>
        <w:t>Food control</w:t>
      </w:r>
      <w:r w:rsidRPr="00605319">
        <w:rPr>
          <w:rFonts w:ascii="Times New Roman" w:hAnsi="Times New Roman" w:cs="Times New Roman"/>
        </w:rPr>
        <w:t>, </w:t>
      </w:r>
      <w:r w:rsidRPr="00605319">
        <w:rPr>
          <w:rFonts w:ascii="Times New Roman" w:hAnsi="Times New Roman" w:cs="Times New Roman"/>
          <w:i/>
          <w:iCs/>
        </w:rPr>
        <w:t>13</w:t>
      </w:r>
      <w:r w:rsidRPr="00605319">
        <w:rPr>
          <w:rFonts w:ascii="Times New Roman" w:hAnsi="Times New Roman" w:cs="Times New Roman"/>
        </w:rPr>
        <w:t>(2), pp.117-123.</w:t>
      </w:r>
    </w:p>
    <w:p w14:paraId="03AEF704" w14:textId="06C25A3B" w:rsidR="00B31BC3" w:rsidRPr="00605319" w:rsidRDefault="00B31BC3" w:rsidP="00605319">
      <w:pPr>
        <w:pStyle w:val="ListParagraph"/>
        <w:numPr>
          <w:ilvl w:val="0"/>
          <w:numId w:val="1"/>
        </w:numPr>
        <w:rPr>
          <w:rFonts w:ascii="Times New Roman" w:hAnsi="Times New Roman" w:cs="Times New Roman"/>
          <w:color w:val="EE0000"/>
        </w:rPr>
      </w:pPr>
      <w:r w:rsidRPr="00605319">
        <w:rPr>
          <w:rFonts w:ascii="Times New Roman" w:hAnsi="Times New Roman" w:cs="Times New Roman"/>
          <w:color w:val="EE0000"/>
        </w:rPr>
        <w:t xml:space="preserve">Vojvodić, S., </w:t>
      </w:r>
      <w:proofErr w:type="spellStart"/>
      <w:r w:rsidRPr="00605319">
        <w:rPr>
          <w:rFonts w:ascii="Times New Roman" w:hAnsi="Times New Roman" w:cs="Times New Roman"/>
          <w:color w:val="EE0000"/>
        </w:rPr>
        <w:t>Srdjenović</w:t>
      </w:r>
      <w:proofErr w:type="spellEnd"/>
      <w:r w:rsidRPr="00605319">
        <w:rPr>
          <w:rFonts w:ascii="Times New Roman" w:hAnsi="Times New Roman" w:cs="Times New Roman"/>
          <w:color w:val="EE0000"/>
        </w:rPr>
        <w:t xml:space="preserve"> </w:t>
      </w:r>
      <w:proofErr w:type="spellStart"/>
      <w:r w:rsidRPr="00605319">
        <w:rPr>
          <w:rFonts w:ascii="Times New Roman" w:hAnsi="Times New Roman" w:cs="Times New Roman"/>
          <w:color w:val="EE0000"/>
        </w:rPr>
        <w:t>Čonić</w:t>
      </w:r>
      <w:proofErr w:type="spellEnd"/>
      <w:r w:rsidRPr="00605319">
        <w:rPr>
          <w:rFonts w:ascii="Times New Roman" w:hAnsi="Times New Roman" w:cs="Times New Roman"/>
          <w:color w:val="EE0000"/>
        </w:rPr>
        <w:t xml:space="preserve">, B., &amp; </w:t>
      </w:r>
      <w:proofErr w:type="spellStart"/>
      <w:r w:rsidRPr="00605319">
        <w:rPr>
          <w:rFonts w:ascii="Times New Roman" w:hAnsi="Times New Roman" w:cs="Times New Roman"/>
          <w:color w:val="EE0000"/>
        </w:rPr>
        <w:t>Torović</w:t>
      </w:r>
      <w:proofErr w:type="spellEnd"/>
      <w:r w:rsidRPr="00605319">
        <w:rPr>
          <w:rFonts w:ascii="Times New Roman" w:hAnsi="Times New Roman" w:cs="Times New Roman"/>
          <w:color w:val="EE0000"/>
        </w:rPr>
        <w:t>, L. (2023). Benzoates and in situ formed benzene in food supplements and risk assessment. </w:t>
      </w:r>
      <w:r w:rsidRPr="00605319">
        <w:rPr>
          <w:rFonts w:ascii="Times New Roman" w:hAnsi="Times New Roman" w:cs="Times New Roman"/>
          <w:i/>
          <w:iCs/>
          <w:color w:val="EE0000"/>
        </w:rPr>
        <w:t>Food Additives &amp; Contaminants: Part B</w:t>
      </w:r>
      <w:r w:rsidRPr="00605319">
        <w:rPr>
          <w:rFonts w:ascii="Times New Roman" w:hAnsi="Times New Roman" w:cs="Times New Roman"/>
          <w:color w:val="EE0000"/>
        </w:rPr>
        <w:t>, </w:t>
      </w:r>
      <w:r w:rsidRPr="00605319">
        <w:rPr>
          <w:rFonts w:ascii="Times New Roman" w:hAnsi="Times New Roman" w:cs="Times New Roman"/>
          <w:i/>
          <w:iCs/>
          <w:color w:val="EE0000"/>
        </w:rPr>
        <w:t>16</w:t>
      </w:r>
      <w:r w:rsidRPr="00605319">
        <w:rPr>
          <w:rFonts w:ascii="Times New Roman" w:hAnsi="Times New Roman" w:cs="Times New Roman"/>
          <w:color w:val="EE0000"/>
        </w:rPr>
        <w:t>(4), 321-331.</w:t>
      </w:r>
    </w:p>
    <w:p w14:paraId="575B8AE3" w14:textId="77777777" w:rsidR="00174F19" w:rsidRPr="00605319" w:rsidRDefault="00174F19" w:rsidP="00605319">
      <w:pPr>
        <w:pStyle w:val="ListParagraph"/>
        <w:numPr>
          <w:ilvl w:val="0"/>
          <w:numId w:val="1"/>
        </w:numPr>
        <w:jc w:val="both"/>
        <w:rPr>
          <w:rFonts w:ascii="Times New Roman" w:hAnsi="Times New Roman" w:cs="Times New Roman"/>
        </w:rPr>
      </w:pPr>
      <w:bookmarkStart w:id="19" w:name="_Hlk204342194"/>
      <w:r w:rsidRPr="00605319">
        <w:rPr>
          <w:rFonts w:ascii="Times New Roman" w:hAnsi="Times New Roman" w:cs="Times New Roman"/>
        </w:rPr>
        <w:t>Walczak-Nowicka, Ł.J. and Herbet</w:t>
      </w:r>
      <w:bookmarkEnd w:id="19"/>
      <w:r w:rsidRPr="00605319">
        <w:rPr>
          <w:rFonts w:ascii="Times New Roman" w:hAnsi="Times New Roman" w:cs="Times New Roman"/>
        </w:rPr>
        <w:t>, M., 2022. Sodium benzoate—Harmfulness and potential use in therapies for disorders related to the nervous system: A review. </w:t>
      </w:r>
      <w:r w:rsidRPr="00605319">
        <w:rPr>
          <w:rFonts w:ascii="Times New Roman" w:hAnsi="Times New Roman" w:cs="Times New Roman"/>
          <w:i/>
          <w:iCs/>
        </w:rPr>
        <w:t>Nutrients</w:t>
      </w:r>
      <w:r w:rsidRPr="00605319">
        <w:rPr>
          <w:rFonts w:ascii="Times New Roman" w:hAnsi="Times New Roman" w:cs="Times New Roman"/>
        </w:rPr>
        <w:t>, </w:t>
      </w:r>
      <w:r w:rsidRPr="00605319">
        <w:rPr>
          <w:rFonts w:ascii="Times New Roman" w:hAnsi="Times New Roman" w:cs="Times New Roman"/>
          <w:i/>
          <w:iCs/>
        </w:rPr>
        <w:t>14</w:t>
      </w:r>
      <w:r w:rsidRPr="00605319">
        <w:rPr>
          <w:rFonts w:ascii="Times New Roman" w:hAnsi="Times New Roman" w:cs="Times New Roman"/>
        </w:rPr>
        <w:t>(7), p.1497.</w:t>
      </w:r>
    </w:p>
    <w:p w14:paraId="6DEBFD28"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Wang, H., Chen, Y., Wang, L., Liu, Q., Yang, S. and Wang, C., 2023. Advancing herbal medicine: enhancing product quality and safety through robust quality control practices. </w:t>
      </w:r>
      <w:r w:rsidRPr="00605319">
        <w:rPr>
          <w:rFonts w:ascii="Times New Roman" w:hAnsi="Times New Roman" w:cs="Times New Roman"/>
          <w:i/>
          <w:iCs/>
        </w:rPr>
        <w:t>Frontiers in pharmacology</w:t>
      </w:r>
      <w:r w:rsidRPr="00605319">
        <w:rPr>
          <w:rFonts w:ascii="Times New Roman" w:hAnsi="Times New Roman" w:cs="Times New Roman"/>
        </w:rPr>
        <w:t>, </w:t>
      </w:r>
      <w:r w:rsidRPr="00605319">
        <w:rPr>
          <w:rFonts w:ascii="Times New Roman" w:hAnsi="Times New Roman" w:cs="Times New Roman"/>
          <w:i/>
          <w:iCs/>
        </w:rPr>
        <w:t>14</w:t>
      </w:r>
      <w:r w:rsidRPr="00605319">
        <w:rPr>
          <w:rFonts w:ascii="Times New Roman" w:hAnsi="Times New Roman" w:cs="Times New Roman"/>
        </w:rPr>
        <w:t>, p.1265178.</w:t>
      </w:r>
    </w:p>
    <w:p w14:paraId="115BC771"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Wijesekera, R.O.B., 2017. Plant-derived medicines and their role in global health. In </w:t>
      </w:r>
      <w:r w:rsidRPr="00605319">
        <w:rPr>
          <w:rFonts w:ascii="Times New Roman" w:hAnsi="Times New Roman" w:cs="Times New Roman"/>
          <w:i/>
          <w:iCs/>
        </w:rPr>
        <w:t>The medicinal plant Industry</w:t>
      </w:r>
      <w:r w:rsidRPr="00605319">
        <w:rPr>
          <w:rFonts w:ascii="Times New Roman" w:hAnsi="Times New Roman" w:cs="Times New Roman"/>
        </w:rPr>
        <w:t> (pp. 1-18). Routledge.</w:t>
      </w:r>
    </w:p>
    <w:p w14:paraId="08FF00B6" w14:textId="77777777" w:rsidR="00174F19" w:rsidRPr="00605319" w:rsidRDefault="00174F19" w:rsidP="00605319">
      <w:pPr>
        <w:pStyle w:val="ListParagraph"/>
        <w:numPr>
          <w:ilvl w:val="0"/>
          <w:numId w:val="1"/>
        </w:numPr>
        <w:jc w:val="both"/>
        <w:rPr>
          <w:rFonts w:ascii="Times New Roman" w:hAnsi="Times New Roman" w:cs="Times New Roman"/>
        </w:rPr>
      </w:pPr>
      <w:r w:rsidRPr="00605319">
        <w:rPr>
          <w:rFonts w:ascii="Times New Roman" w:hAnsi="Times New Roman" w:cs="Times New Roman"/>
        </w:rPr>
        <w:t>Yamamura, R., Inoue, K.Y., Nishino, K. and Yamasaki, S., 2023. Intestinal and fecal pH in human health. </w:t>
      </w:r>
      <w:r w:rsidRPr="00605319">
        <w:rPr>
          <w:rFonts w:ascii="Times New Roman" w:hAnsi="Times New Roman" w:cs="Times New Roman"/>
          <w:i/>
          <w:iCs/>
        </w:rPr>
        <w:t>Frontiers in Microbiomes</w:t>
      </w:r>
      <w:r w:rsidRPr="00605319">
        <w:rPr>
          <w:rFonts w:ascii="Times New Roman" w:hAnsi="Times New Roman" w:cs="Times New Roman"/>
        </w:rPr>
        <w:t>, </w:t>
      </w:r>
      <w:r w:rsidRPr="00605319">
        <w:rPr>
          <w:rFonts w:ascii="Times New Roman" w:hAnsi="Times New Roman" w:cs="Times New Roman"/>
          <w:i/>
          <w:iCs/>
        </w:rPr>
        <w:t>2</w:t>
      </w:r>
      <w:r w:rsidRPr="00605319">
        <w:rPr>
          <w:rFonts w:ascii="Times New Roman" w:hAnsi="Times New Roman" w:cs="Times New Roman"/>
        </w:rPr>
        <w:t>, p.1192316.</w:t>
      </w:r>
    </w:p>
    <w:bookmarkEnd w:id="7"/>
    <w:p w14:paraId="39CB049C" w14:textId="77777777" w:rsidR="00174F19" w:rsidRDefault="00174F19" w:rsidP="00174F19">
      <w:pPr>
        <w:jc w:val="both"/>
        <w:rPr>
          <w:rFonts w:ascii="Times New Roman" w:hAnsi="Times New Roman" w:cs="Times New Roman"/>
        </w:rPr>
      </w:pPr>
    </w:p>
    <w:p w14:paraId="3C7C9AE1" w14:textId="77777777" w:rsidR="00174F19" w:rsidRDefault="00174F19" w:rsidP="00174F19">
      <w:pPr>
        <w:jc w:val="both"/>
        <w:rPr>
          <w:rFonts w:ascii="Times New Roman" w:hAnsi="Times New Roman" w:cs="Times New Roman"/>
        </w:rPr>
      </w:pPr>
    </w:p>
    <w:p w14:paraId="134E8B26" w14:textId="77777777" w:rsidR="00174F19" w:rsidRDefault="00174F19" w:rsidP="00174F19">
      <w:pPr>
        <w:jc w:val="both"/>
        <w:rPr>
          <w:rFonts w:ascii="Times New Roman" w:hAnsi="Times New Roman" w:cs="Times New Roman"/>
        </w:rPr>
      </w:pPr>
    </w:p>
    <w:p w14:paraId="14D2BC02" w14:textId="77777777" w:rsidR="00174F19" w:rsidRPr="00174F19" w:rsidRDefault="00174F19" w:rsidP="00F16166">
      <w:pPr>
        <w:spacing w:line="360" w:lineRule="auto"/>
        <w:jc w:val="both"/>
        <w:rPr>
          <w:rFonts w:ascii="Times New Roman" w:hAnsi="Times New Roman" w:cs="Times New Roman"/>
          <w:b/>
          <w:bCs/>
        </w:rPr>
      </w:pPr>
    </w:p>
    <w:p w14:paraId="3C9990F2" w14:textId="77777777" w:rsidR="00F16166" w:rsidRDefault="00F16166" w:rsidP="00F16166">
      <w:pPr>
        <w:spacing w:line="360" w:lineRule="auto"/>
        <w:jc w:val="both"/>
        <w:rPr>
          <w:rFonts w:ascii="Times New Roman" w:hAnsi="Times New Roman" w:cs="Times New Roman"/>
        </w:rPr>
      </w:pPr>
    </w:p>
    <w:p w14:paraId="6A5A5AA5" w14:textId="77777777" w:rsidR="00F16166" w:rsidRDefault="00F16166" w:rsidP="00F16166">
      <w:pPr>
        <w:spacing w:line="360" w:lineRule="auto"/>
        <w:jc w:val="both"/>
        <w:rPr>
          <w:rFonts w:ascii="Times New Roman" w:hAnsi="Times New Roman" w:cs="Times New Roman"/>
        </w:rPr>
      </w:pPr>
    </w:p>
    <w:p w14:paraId="697E538D" w14:textId="77777777" w:rsidR="00C37D94" w:rsidRDefault="00C37D94"/>
    <w:p w14:paraId="71E232EF" w14:textId="77777777" w:rsidR="00F9311B" w:rsidRDefault="00F9311B"/>
    <w:p w14:paraId="703C6557" w14:textId="77777777" w:rsidR="00F9311B" w:rsidRDefault="00F9311B"/>
    <w:p w14:paraId="62D0BEE9" w14:textId="77777777" w:rsidR="00F9311B" w:rsidRDefault="00F9311B"/>
    <w:p w14:paraId="0ADBB942" w14:textId="77777777" w:rsidR="00F9311B" w:rsidRDefault="00F9311B"/>
    <w:p w14:paraId="1517EA50" w14:textId="77777777" w:rsidR="00F9311B" w:rsidRDefault="00F9311B"/>
    <w:p w14:paraId="69D0B4AA" w14:textId="77777777" w:rsidR="00F9311B" w:rsidRDefault="00F9311B"/>
    <w:p w14:paraId="23F43744" w14:textId="77777777" w:rsidR="00F9311B" w:rsidRDefault="00F9311B"/>
    <w:p w14:paraId="6A90A29F" w14:textId="77777777" w:rsidR="00F9311B" w:rsidRDefault="00F9311B"/>
    <w:p w14:paraId="3ACC6AED" w14:textId="77777777" w:rsidR="00F9311B" w:rsidRDefault="00F9311B"/>
    <w:p w14:paraId="55D2FA87" w14:textId="77777777" w:rsidR="00F9311B" w:rsidRDefault="00F9311B"/>
    <w:p w14:paraId="22DC8BA8" w14:textId="77777777" w:rsidR="00F9311B" w:rsidRDefault="00F9311B"/>
    <w:sectPr w:rsidR="00F931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20E6F" w14:textId="77777777" w:rsidR="008B63A8" w:rsidRDefault="008B63A8" w:rsidP="00F16166">
      <w:pPr>
        <w:spacing w:after="0" w:line="240" w:lineRule="auto"/>
      </w:pPr>
      <w:r>
        <w:separator/>
      </w:r>
    </w:p>
  </w:endnote>
  <w:endnote w:type="continuationSeparator" w:id="0">
    <w:p w14:paraId="70D344E0" w14:textId="77777777" w:rsidR="008B63A8" w:rsidRDefault="008B63A8" w:rsidP="00F1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radeGothic-Light">
    <w:altName w:val="MS Gothic"/>
    <w:panose1 w:val="00000000000000000000"/>
    <w:charset w:val="80"/>
    <w:family w:val="swiss"/>
    <w:notTrueType/>
    <w:pitch w:val="default"/>
    <w:sig w:usb0="00000001"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0536" w14:textId="77777777" w:rsidR="00350900" w:rsidRDefault="00350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179292"/>
      <w:docPartObj>
        <w:docPartGallery w:val="Page Numbers (Bottom of Page)"/>
        <w:docPartUnique/>
      </w:docPartObj>
    </w:sdtPr>
    <w:sdtEndPr>
      <w:rPr>
        <w:noProof/>
      </w:rPr>
    </w:sdtEndPr>
    <w:sdtContent>
      <w:p w14:paraId="6A9208A2" w14:textId="728376F9" w:rsidR="00F16166" w:rsidRDefault="00F16166" w:rsidP="00F16166">
        <w:pPr>
          <w:pStyle w:val="Footer"/>
          <w:tabs>
            <w:tab w:val="left" w:pos="1985"/>
          </w:tabs>
          <w:jc w:val="center"/>
        </w:pPr>
        <w:r>
          <w:fldChar w:fldCharType="begin"/>
        </w:r>
        <w:r>
          <w:instrText xml:space="preserve"> PAGE   \* MERGEFORMAT </w:instrText>
        </w:r>
        <w:r>
          <w:fldChar w:fldCharType="separate"/>
        </w:r>
        <w:r>
          <w:rPr>
            <w:noProof/>
          </w:rPr>
          <w:t>2</w:t>
        </w:r>
        <w:r>
          <w:rPr>
            <w:noProof/>
          </w:rPr>
          <w:fldChar w:fldCharType="end"/>
        </w:r>
      </w:p>
    </w:sdtContent>
  </w:sdt>
  <w:p w14:paraId="31CC0773" w14:textId="77777777" w:rsidR="00F16166" w:rsidRDefault="00F16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D80FC" w14:textId="77777777" w:rsidR="00350900" w:rsidRDefault="003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475C" w14:textId="77777777" w:rsidR="008B63A8" w:rsidRDefault="008B63A8" w:rsidP="00F16166">
      <w:pPr>
        <w:spacing w:after="0" w:line="240" w:lineRule="auto"/>
      </w:pPr>
      <w:r>
        <w:separator/>
      </w:r>
    </w:p>
  </w:footnote>
  <w:footnote w:type="continuationSeparator" w:id="0">
    <w:p w14:paraId="428906F2" w14:textId="77777777" w:rsidR="008B63A8" w:rsidRDefault="008B63A8" w:rsidP="00F1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3BC1" w14:textId="4B20ED8D" w:rsidR="00350900" w:rsidRDefault="008B63A8">
    <w:pPr>
      <w:pStyle w:val="Header"/>
    </w:pPr>
    <w:r>
      <w:rPr>
        <w:noProof/>
      </w:rPr>
      <w:pict w14:anchorId="2E749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711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02D6" w14:textId="41E60D2E" w:rsidR="00350900" w:rsidRDefault="008B63A8">
    <w:pPr>
      <w:pStyle w:val="Header"/>
    </w:pPr>
    <w:r>
      <w:rPr>
        <w:noProof/>
      </w:rPr>
      <w:pict w14:anchorId="4DF4C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711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7B2A" w14:textId="0023924C" w:rsidR="00350900" w:rsidRDefault="008B63A8">
    <w:pPr>
      <w:pStyle w:val="Header"/>
    </w:pPr>
    <w:r>
      <w:rPr>
        <w:noProof/>
      </w:rPr>
      <w:pict w14:anchorId="37A64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711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538D6"/>
    <w:multiLevelType w:val="hybridMultilevel"/>
    <w:tmpl w:val="3962A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NDI0MjQ0MbU0MjNW0lEKTi0uzszPAykwqgUAopj/kiwAAAA="/>
  </w:docVars>
  <w:rsids>
    <w:rsidRoot w:val="00F16166"/>
    <w:rsid w:val="00027A1E"/>
    <w:rsid w:val="000F2BFC"/>
    <w:rsid w:val="00174F19"/>
    <w:rsid w:val="0019404D"/>
    <w:rsid w:val="001A146A"/>
    <w:rsid w:val="001A7A65"/>
    <w:rsid w:val="001E2EF9"/>
    <w:rsid w:val="00222ECE"/>
    <w:rsid w:val="002526ED"/>
    <w:rsid w:val="002F4856"/>
    <w:rsid w:val="00350900"/>
    <w:rsid w:val="00377DF3"/>
    <w:rsid w:val="00390D71"/>
    <w:rsid w:val="003C4136"/>
    <w:rsid w:val="003E1D6A"/>
    <w:rsid w:val="00405041"/>
    <w:rsid w:val="00442953"/>
    <w:rsid w:val="00443D78"/>
    <w:rsid w:val="00485098"/>
    <w:rsid w:val="004F0895"/>
    <w:rsid w:val="004F27AD"/>
    <w:rsid w:val="005237D9"/>
    <w:rsid w:val="0057171F"/>
    <w:rsid w:val="005B58F2"/>
    <w:rsid w:val="00600E3A"/>
    <w:rsid w:val="00605319"/>
    <w:rsid w:val="0060643B"/>
    <w:rsid w:val="0061531D"/>
    <w:rsid w:val="006A1830"/>
    <w:rsid w:val="007701A1"/>
    <w:rsid w:val="00783607"/>
    <w:rsid w:val="007F511A"/>
    <w:rsid w:val="008005FC"/>
    <w:rsid w:val="008338B3"/>
    <w:rsid w:val="00885E30"/>
    <w:rsid w:val="008A4E6E"/>
    <w:rsid w:val="008B63A8"/>
    <w:rsid w:val="008E3A5B"/>
    <w:rsid w:val="009721A3"/>
    <w:rsid w:val="009B0A6E"/>
    <w:rsid w:val="009F7341"/>
    <w:rsid w:val="00A22B8D"/>
    <w:rsid w:val="00A95A29"/>
    <w:rsid w:val="00AE11FF"/>
    <w:rsid w:val="00B31BC3"/>
    <w:rsid w:val="00B6667C"/>
    <w:rsid w:val="00C37D94"/>
    <w:rsid w:val="00CE5152"/>
    <w:rsid w:val="00D113F8"/>
    <w:rsid w:val="00D31886"/>
    <w:rsid w:val="00D34799"/>
    <w:rsid w:val="00D61929"/>
    <w:rsid w:val="00D771C8"/>
    <w:rsid w:val="00DD4574"/>
    <w:rsid w:val="00E30425"/>
    <w:rsid w:val="00E52AA8"/>
    <w:rsid w:val="00E96C71"/>
    <w:rsid w:val="00F014A4"/>
    <w:rsid w:val="00F16166"/>
    <w:rsid w:val="00F34EB6"/>
    <w:rsid w:val="00F9311B"/>
    <w:rsid w:val="00FA079D"/>
    <w:rsid w:val="00FB1004"/>
    <w:rsid w:val="00FC1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4212D"/>
  <w15:chartTrackingRefBased/>
  <w15:docId w15:val="{D75CB1CE-1051-4951-A123-CFB75418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166"/>
  </w:style>
  <w:style w:type="paragraph" w:styleId="Heading1">
    <w:name w:val="heading 1"/>
    <w:basedOn w:val="Normal"/>
    <w:next w:val="Normal"/>
    <w:link w:val="Heading1Char"/>
    <w:uiPriority w:val="9"/>
    <w:qFormat/>
    <w:rsid w:val="00F16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66"/>
    <w:rPr>
      <w:rFonts w:eastAsiaTheme="majorEastAsia" w:cstheme="majorBidi"/>
      <w:color w:val="272727" w:themeColor="text1" w:themeTint="D8"/>
    </w:rPr>
  </w:style>
  <w:style w:type="paragraph" w:styleId="Title">
    <w:name w:val="Title"/>
    <w:basedOn w:val="Normal"/>
    <w:next w:val="Normal"/>
    <w:link w:val="TitleChar"/>
    <w:uiPriority w:val="10"/>
    <w:qFormat/>
    <w:rsid w:val="00F16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66"/>
    <w:pPr>
      <w:spacing w:before="160"/>
      <w:jc w:val="center"/>
    </w:pPr>
    <w:rPr>
      <w:i/>
      <w:iCs/>
      <w:color w:val="404040" w:themeColor="text1" w:themeTint="BF"/>
    </w:rPr>
  </w:style>
  <w:style w:type="character" w:customStyle="1" w:styleId="QuoteChar">
    <w:name w:val="Quote Char"/>
    <w:basedOn w:val="DefaultParagraphFont"/>
    <w:link w:val="Quote"/>
    <w:uiPriority w:val="29"/>
    <w:rsid w:val="00F16166"/>
    <w:rPr>
      <w:i/>
      <w:iCs/>
      <w:color w:val="404040" w:themeColor="text1" w:themeTint="BF"/>
    </w:rPr>
  </w:style>
  <w:style w:type="paragraph" w:styleId="ListParagraph">
    <w:name w:val="List Paragraph"/>
    <w:basedOn w:val="Normal"/>
    <w:uiPriority w:val="34"/>
    <w:qFormat/>
    <w:rsid w:val="00F16166"/>
    <w:pPr>
      <w:ind w:left="720"/>
      <w:contextualSpacing/>
    </w:pPr>
  </w:style>
  <w:style w:type="character" w:styleId="IntenseEmphasis">
    <w:name w:val="Intense Emphasis"/>
    <w:basedOn w:val="DefaultParagraphFont"/>
    <w:uiPriority w:val="21"/>
    <w:qFormat/>
    <w:rsid w:val="00F16166"/>
    <w:rPr>
      <w:i/>
      <w:iCs/>
      <w:color w:val="0F4761" w:themeColor="accent1" w:themeShade="BF"/>
    </w:rPr>
  </w:style>
  <w:style w:type="paragraph" w:styleId="IntenseQuote">
    <w:name w:val="Intense Quote"/>
    <w:basedOn w:val="Normal"/>
    <w:next w:val="Normal"/>
    <w:link w:val="IntenseQuoteChar"/>
    <w:uiPriority w:val="30"/>
    <w:qFormat/>
    <w:rsid w:val="00F16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66"/>
    <w:rPr>
      <w:i/>
      <w:iCs/>
      <w:color w:val="0F4761" w:themeColor="accent1" w:themeShade="BF"/>
    </w:rPr>
  </w:style>
  <w:style w:type="character" w:styleId="IntenseReference">
    <w:name w:val="Intense Reference"/>
    <w:basedOn w:val="DefaultParagraphFont"/>
    <w:uiPriority w:val="32"/>
    <w:qFormat/>
    <w:rsid w:val="00F16166"/>
    <w:rPr>
      <w:b/>
      <w:bCs/>
      <w:smallCaps/>
      <w:color w:val="0F4761" w:themeColor="accent1" w:themeShade="BF"/>
      <w:spacing w:val="5"/>
    </w:rPr>
  </w:style>
  <w:style w:type="table" w:styleId="TableGrid">
    <w:name w:val="Table Grid"/>
    <w:basedOn w:val="TableNormal"/>
    <w:uiPriority w:val="39"/>
    <w:rsid w:val="00F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166"/>
    <w:rPr>
      <w:color w:val="467886" w:themeColor="hyperlink"/>
      <w:u w:val="single"/>
    </w:rPr>
  </w:style>
  <w:style w:type="paragraph" w:styleId="Header">
    <w:name w:val="header"/>
    <w:basedOn w:val="Normal"/>
    <w:link w:val="HeaderChar"/>
    <w:uiPriority w:val="99"/>
    <w:unhideWhenUsed/>
    <w:rsid w:val="00F16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66"/>
  </w:style>
  <w:style w:type="paragraph" w:styleId="Footer">
    <w:name w:val="footer"/>
    <w:basedOn w:val="Normal"/>
    <w:link w:val="FooterChar"/>
    <w:uiPriority w:val="99"/>
    <w:unhideWhenUsed/>
    <w:rsid w:val="00F16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66"/>
  </w:style>
  <w:style w:type="paragraph" w:styleId="NormalWeb">
    <w:name w:val="Normal (Web)"/>
    <w:basedOn w:val="Normal"/>
    <w:uiPriority w:val="99"/>
    <w:semiHidden/>
    <w:unhideWhenUsed/>
    <w:rsid w:val="007F511A"/>
    <w:rPr>
      <w:rFonts w:ascii="Times New Roman" w:hAnsi="Times New Roman" w:cs="Times New Roman"/>
    </w:rPr>
  </w:style>
  <w:style w:type="character" w:styleId="UnresolvedMention">
    <w:name w:val="Unresolved Mention"/>
    <w:basedOn w:val="DefaultParagraphFont"/>
    <w:uiPriority w:val="99"/>
    <w:semiHidden/>
    <w:unhideWhenUsed/>
    <w:rsid w:val="00571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517</TotalTime>
  <Pages>15</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Kusi</dc:creator>
  <cp:keywords/>
  <dc:description/>
  <cp:lastModifiedBy>SDI 1020</cp:lastModifiedBy>
  <cp:revision>38</cp:revision>
  <dcterms:created xsi:type="dcterms:W3CDTF">2025-07-28T19:13:00Z</dcterms:created>
  <dcterms:modified xsi:type="dcterms:W3CDTF">2026-01-27T13:05:00Z</dcterms:modified>
</cp:coreProperties>
</file>