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498" w:rsidRDefault="00B631DA">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E70498" w:rsidRDefault="00B631DA">
                            <w:pPr>
                              <w:spacing w:line="240" w:lineRule="auto"/>
                              <w:contextualSpacing/>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French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French to English - </w:t>
                        </w:r>
                        <w:r>
                          <w:rPr>
                            <w:rFonts w:ascii="Roboto" w:hAnsi="Roboto"/>
                            <w:color w:val="0F2B46"/>
                            <w:sz w:val="18"/>
                            <w:szCs w:val="18"/>
                            <w:u w:val="single"/>
                          </w:rPr>
                          <w:t>www.onlinedoctranslator.com</w:t>
                        </w:r>
                      </w:hyperlink>
                    </w:p>
                  </w:txbxContent>
                </v:textbox>
                <w10:wrap anchorx="page" anchory="page"/>
              </v:shape>
            </w:pict>
          </mc:Fallback>
        </mc:AlternateContent>
      </w:r>
    </w:p>
    <w:p w:rsidR="00F43635" w:rsidRDefault="00B26E63" w:rsidP="00B26E63">
      <w:pPr>
        <w:pStyle w:val="NormalWeb"/>
        <w:jc w:val="both"/>
        <w:rPr>
          <w:b/>
          <w:bCs/>
          <w:sz w:val="40"/>
          <w:szCs w:val="40"/>
        </w:rPr>
      </w:pPr>
      <w:bookmarkStart w:id="0" w:name="_Hlk212104557"/>
      <w:bookmarkStart w:id="1" w:name="_Hlk219266964"/>
      <w:proofErr w:type="spellStart"/>
      <w:r w:rsidRPr="00EC7595">
        <w:rPr>
          <w:b/>
          <w:bCs/>
          <w:sz w:val="36"/>
          <w:szCs w:val="36"/>
        </w:rPr>
        <w:t>Supplementation</w:t>
      </w:r>
      <w:proofErr w:type="spellEnd"/>
      <w:r>
        <w:rPr>
          <w:b/>
          <w:bCs/>
          <w:sz w:val="40"/>
          <w:szCs w:val="40"/>
        </w:rPr>
        <w:t xml:space="preserve"> </w:t>
      </w:r>
      <w:r w:rsidRPr="00EC7595">
        <w:rPr>
          <w:b/>
          <w:bCs/>
          <w:sz w:val="36"/>
          <w:szCs w:val="36"/>
        </w:rPr>
        <w:t>in</w:t>
      </w:r>
      <w:r>
        <w:rPr>
          <w:b/>
          <w:bCs/>
          <w:sz w:val="40"/>
          <w:szCs w:val="40"/>
        </w:rPr>
        <w:t xml:space="preserve"> </w:t>
      </w:r>
      <w:proofErr w:type="spellStart"/>
      <w:r w:rsidRPr="00EC7595">
        <w:rPr>
          <w:b/>
          <w:bCs/>
          <w:sz w:val="36"/>
          <w:szCs w:val="36"/>
        </w:rPr>
        <w:t>Vitamin</w:t>
      </w:r>
      <w:proofErr w:type="spellEnd"/>
      <w:r w:rsidR="00130FA0">
        <w:rPr>
          <w:b/>
          <w:bCs/>
          <w:sz w:val="36"/>
          <w:szCs w:val="36"/>
        </w:rPr>
        <w:t xml:space="preserve"> </w:t>
      </w:r>
      <w:r>
        <w:rPr>
          <w:b/>
          <w:bCs/>
          <w:sz w:val="40"/>
          <w:szCs w:val="40"/>
        </w:rPr>
        <w:t>A and</w:t>
      </w:r>
      <w:r w:rsidR="001A75FE">
        <w:rPr>
          <w:b/>
          <w:bCs/>
          <w:sz w:val="40"/>
          <w:szCs w:val="40"/>
        </w:rPr>
        <w:t xml:space="preserve"> </w:t>
      </w:r>
      <w:r w:rsidRPr="00EC7595">
        <w:rPr>
          <w:b/>
          <w:bCs/>
          <w:sz w:val="36"/>
          <w:szCs w:val="36"/>
        </w:rPr>
        <w:t>Parasite control</w:t>
      </w:r>
      <w:r w:rsidR="00CD4B3F">
        <w:rPr>
          <w:b/>
          <w:bCs/>
          <w:sz w:val="36"/>
          <w:szCs w:val="36"/>
        </w:rPr>
        <w:t xml:space="preserve"> </w:t>
      </w:r>
      <w:r>
        <w:rPr>
          <w:b/>
          <w:bCs/>
          <w:sz w:val="40"/>
          <w:szCs w:val="40"/>
        </w:rPr>
        <w:t>(</w:t>
      </w:r>
      <w:r w:rsidRPr="00EC7595">
        <w:rPr>
          <w:b/>
          <w:bCs/>
          <w:sz w:val="36"/>
          <w:szCs w:val="36"/>
        </w:rPr>
        <w:t>SVAD</w:t>
      </w:r>
      <w:r>
        <w:rPr>
          <w:b/>
          <w:bCs/>
          <w:sz w:val="40"/>
          <w:szCs w:val="40"/>
        </w:rPr>
        <w:t>)</w:t>
      </w:r>
      <w:r w:rsidR="00CD4B3F">
        <w:rPr>
          <w:b/>
          <w:bCs/>
          <w:sz w:val="40"/>
          <w:szCs w:val="40"/>
        </w:rPr>
        <w:t xml:space="preserve"> </w:t>
      </w:r>
      <w:r w:rsidRPr="00EC7595">
        <w:rPr>
          <w:b/>
          <w:bCs/>
          <w:sz w:val="36"/>
          <w:szCs w:val="36"/>
        </w:rPr>
        <w:t>of the</w:t>
      </w:r>
      <w:r>
        <w:rPr>
          <w:b/>
          <w:bCs/>
          <w:sz w:val="40"/>
          <w:szCs w:val="40"/>
        </w:rPr>
        <w:t xml:space="preserve"> </w:t>
      </w:r>
      <w:proofErr w:type="spellStart"/>
      <w:r w:rsidRPr="00EC7595">
        <w:rPr>
          <w:b/>
          <w:bCs/>
          <w:sz w:val="36"/>
          <w:szCs w:val="36"/>
        </w:rPr>
        <w:t>Children</w:t>
      </w:r>
      <w:proofErr w:type="spellEnd"/>
      <w:r w:rsidR="00F43635">
        <w:rPr>
          <w:b/>
          <w:bCs/>
          <w:sz w:val="40"/>
          <w:szCs w:val="40"/>
        </w:rPr>
        <w:t xml:space="preserve"> </w:t>
      </w:r>
      <w:r w:rsidR="00F43635" w:rsidRPr="00EC7595">
        <w:rPr>
          <w:b/>
          <w:bCs/>
          <w:sz w:val="36"/>
          <w:szCs w:val="36"/>
        </w:rPr>
        <w:t>of</w:t>
      </w:r>
      <w:r w:rsidR="00F43635">
        <w:rPr>
          <w:b/>
          <w:bCs/>
          <w:sz w:val="40"/>
          <w:szCs w:val="40"/>
        </w:rPr>
        <w:t xml:space="preserve"> </w:t>
      </w:r>
      <w:proofErr w:type="spellStart"/>
      <w:r w:rsidR="0084431E">
        <w:rPr>
          <w:b/>
          <w:bCs/>
          <w:sz w:val="36"/>
          <w:szCs w:val="36"/>
        </w:rPr>
        <w:t>south</w:t>
      </w:r>
      <w:proofErr w:type="spellEnd"/>
      <w:r>
        <w:rPr>
          <w:b/>
          <w:bCs/>
          <w:sz w:val="40"/>
          <w:szCs w:val="40"/>
        </w:rPr>
        <w:t xml:space="preserve"> </w:t>
      </w:r>
      <w:proofErr w:type="spellStart"/>
      <w:r w:rsidR="0084431E">
        <w:rPr>
          <w:b/>
          <w:bCs/>
          <w:sz w:val="36"/>
          <w:szCs w:val="36"/>
        </w:rPr>
        <w:t>from</w:t>
      </w:r>
      <w:proofErr w:type="spellEnd"/>
      <w:r w:rsidR="0084431E">
        <w:rPr>
          <w:b/>
          <w:bCs/>
          <w:sz w:val="36"/>
          <w:szCs w:val="36"/>
        </w:rPr>
        <w:t xml:space="preserve"> Ivory Coast</w:t>
      </w:r>
      <w:r>
        <w:rPr>
          <w:b/>
          <w:bCs/>
          <w:sz w:val="40"/>
          <w:szCs w:val="40"/>
        </w:rPr>
        <w:t xml:space="preserve"> </w:t>
      </w:r>
      <w:r w:rsidRPr="00EC7595">
        <w:rPr>
          <w:b/>
          <w:bCs/>
          <w:sz w:val="36"/>
          <w:szCs w:val="36"/>
        </w:rPr>
        <w:t>At</w:t>
      </w:r>
      <w:r>
        <w:rPr>
          <w:b/>
          <w:bCs/>
          <w:sz w:val="40"/>
          <w:szCs w:val="40"/>
        </w:rPr>
        <w:t xml:space="preserve"> </w:t>
      </w:r>
      <w:r w:rsidRPr="00EC7595">
        <w:rPr>
          <w:b/>
          <w:bCs/>
          <w:sz w:val="36"/>
          <w:szCs w:val="36"/>
        </w:rPr>
        <w:t>1st</w:t>
      </w:r>
      <w:r>
        <w:rPr>
          <w:b/>
          <w:bCs/>
          <w:sz w:val="40"/>
          <w:szCs w:val="40"/>
        </w:rPr>
        <w:t xml:space="preserve"> </w:t>
      </w:r>
      <w:r w:rsidR="0084431E">
        <w:rPr>
          <w:b/>
          <w:bCs/>
          <w:sz w:val="32"/>
          <w:szCs w:val="32"/>
        </w:rPr>
        <w:t>half</w:t>
      </w:r>
      <w:r w:rsidR="00F43635">
        <w:rPr>
          <w:b/>
          <w:bCs/>
          <w:sz w:val="40"/>
          <w:szCs w:val="40"/>
        </w:rPr>
        <w:t xml:space="preserve"> </w:t>
      </w:r>
      <w:r w:rsidR="00F43635" w:rsidRPr="00EC7595">
        <w:rPr>
          <w:b/>
          <w:bCs/>
          <w:sz w:val="36"/>
          <w:szCs w:val="36"/>
        </w:rPr>
        <w:t>2025</w:t>
      </w:r>
    </w:p>
    <w:bookmarkEnd w:id="0"/>
    <w:p w:rsidR="00DD6C07" w:rsidRPr="00F23979" w:rsidRDefault="00EB688F" w:rsidP="005E619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32"/>
          <w:szCs w:val="32"/>
          <w14:ligatures w14:val="none"/>
        </w:rPr>
        <w:t>Abstr</w:t>
      </w:r>
      <w:bookmarkStart w:id="2" w:name="_GoBack"/>
      <w:bookmarkEnd w:id="2"/>
      <w:r>
        <w:rPr>
          <w:rFonts w:ascii="Times New Roman" w:eastAsia="Times New Roman" w:hAnsi="Times New Roman" w:cs="Times New Roman"/>
          <w:b/>
          <w:bCs/>
          <w:kern w:val="0"/>
          <w:sz w:val="32"/>
          <w:szCs w:val="32"/>
          <w14:ligatures w14:val="none"/>
        </w:rPr>
        <w:t>act</w:t>
      </w:r>
    </w:p>
    <w:p w:rsidR="00DD6C07" w:rsidRDefault="00DD6C07" w:rsidP="005E619A">
      <w:pPr>
        <w:spacing w:before="100" w:beforeAutospacing="1" w:after="100" w:afterAutospacing="1" w:line="240" w:lineRule="auto"/>
        <w:jc w:val="both"/>
        <w:outlineLvl w:val="3"/>
        <w:rPr>
          <w:rFonts w:ascii="Times New Roman" w:hAnsi="Times New Roman" w:cs="Times New Roman"/>
        </w:rPr>
      </w:pPr>
      <w:r w:rsidRPr="00DD6C07">
        <w:rPr>
          <w:rFonts w:ascii="Times New Roman" w:eastAsia="Times New Roman" w:hAnsi="Times New Roman" w:cs="Times New Roman"/>
          <w:kern w:val="0"/>
          <w14:ligatures w14:val="none"/>
        </w:rPr>
        <w:t>Vitamin A deficiency remains a major public health problem in Côte d'Ivoire, particularly among children under five. To address this, biannual supplementation campaigns combined with deworming are regularly organized to strengthen the prevention of malnutrition and parasitic infections. The 2025 post-event evaluation in the south of the country is a continuation of these national child health efforts. The evaluation aims to assess coverage levels and factors associated with vitamin A supplementation combined with deworming among children aged 6 to 59 months during the first round of the campaign in June 2025, as well as their evolution compared to previous years. A post-event survey was conducted using a cross-sectional approach, combining structured interviews with parents and verification of health records. Data were collected in several representative health districts in southern Côte d'Ivoire. Key indicators</w:t>
      </w:r>
      <w:r w:rsidR="009556FA">
        <w:rPr>
          <w:rFonts w:ascii="Times New Roman" w:hAnsi="Times New Roman" w:cs="Times New Roman"/>
        </w:rPr>
        <w:t>of use</w:t>
      </w:r>
      <w:r w:rsidRPr="00DD6C07">
        <w:rPr>
          <w:rFonts w:ascii="Times New Roman" w:eastAsia="Times New Roman" w:hAnsi="Times New Roman" w:cs="Times New Roman"/>
          <w:kern w:val="0"/>
          <w14:ligatures w14:val="none"/>
        </w:rPr>
        <w:t>analyzed included vitamin A coverage, deworming coverage, sociodemographic determinants, and associated logistics.</w:t>
      </w:r>
      <w:r w:rsidR="0076160F" w:rsidRPr="00DF7508">
        <w:rPr>
          <w:rFonts w:ascii="Times New Roman" w:hAnsi="Times New Roman" w:cs="Times New Roman"/>
        </w:rPr>
        <w:t>Of the 20 districts surveyed,</w:t>
      </w:r>
      <w:r w:rsidR="0076160F">
        <w:rPr>
          <w:rFonts w:ascii="Times New Roman" w:eastAsia="Times New Roman" w:hAnsi="Times New Roman" w:cs="Times New Roman"/>
          <w:kern w:val="0"/>
          <w14:ligatures w14:val="none"/>
        </w:rPr>
        <w:t>Overall vitamin A coverage (87.6%) exceeded 80%, reaching the minimum recommended threshold for a significant impact on public health, with improved coverage specifically for children aged 12 to 59 months. This result represents an improvement compared to 2024, attributable to better community mobilization and increased availability of supplies. However, deworming coverage (84.2%) remains slightly lower, reflecting disparities between districts, particularly in rural (78.4%) and peri-urban (82.1%) areas. Maternal education level, proximity to health services (58%), and community awareness emerged as the main factors associated with improved coverage.</w:t>
      </w:r>
      <w:bookmarkStart w:id="3" w:name="_Hlk220217242"/>
      <w:bookmarkStart w:id="4" w:name="_Hlk220217107"/>
      <w:bookmarkEnd w:id="3"/>
      <w:bookmarkEnd w:id="4"/>
      <w:r w:rsidR="00BC4D71" w:rsidRPr="00EC7595">
        <w:rPr>
          <w:rFonts w:ascii="Times New Roman" w:hAnsi="Times New Roman" w:cs="Times New Roman"/>
        </w:rPr>
        <w:t>The assessment reveals a notable improvement in vitamin A supplementation in southern Côte d'Ivoire by 2025, despite persistent regional disparities. Strengthening community-based strategies and expanding the use of digital monitoring tools are essential for sustainable integration and improved quality in future assessments.</w:t>
      </w:r>
    </w:p>
    <w:p w:rsidR="00887C49" w:rsidRPr="005E619A" w:rsidRDefault="00887C49" w:rsidP="005E619A">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A90263">
        <w:rPr>
          <w:rFonts w:ascii="Times New Roman" w:hAnsi="Times New Roman" w:cs="Times New Roman"/>
          <w:b/>
          <w:bCs/>
        </w:rPr>
        <w:t>Keywords</w:t>
      </w:r>
      <w:r>
        <w:rPr>
          <w:rFonts w:ascii="Times New Roman" w:hAnsi="Times New Roman" w:cs="Times New Roman"/>
        </w:rPr>
        <w:t>Vitamin A combined with deworming, child, Southern Ivory Coast</w:t>
      </w:r>
    </w:p>
    <w:p w:rsidR="00DD6C07" w:rsidRDefault="00DD6C07" w:rsidP="005C3364">
      <w:pPr>
        <w:spacing w:before="100" w:beforeAutospacing="1" w:after="100" w:afterAutospacing="1" w:line="240" w:lineRule="auto"/>
        <w:outlineLvl w:val="1"/>
      </w:pPr>
    </w:p>
    <w:p w:rsidR="00434177" w:rsidRDefault="00434177" w:rsidP="005E619A">
      <w:pPr>
        <w:spacing w:before="100" w:beforeAutospacing="1" w:after="100" w:afterAutospacing="1" w:line="240" w:lineRule="auto"/>
        <w:outlineLvl w:val="1"/>
      </w:pPr>
    </w:p>
    <w:p w:rsidR="005E619A" w:rsidRPr="00434177" w:rsidRDefault="005C3364" w:rsidP="00434177">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Introduction</w:t>
      </w:r>
    </w:p>
    <w:p w:rsidR="005C3364" w:rsidRPr="00434177" w:rsidRDefault="005C3364" w:rsidP="00434177">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434177">
        <w:rPr>
          <w:rFonts w:ascii="Times New Roman" w:eastAsia="Times New Roman" w:hAnsi="Times New Roman" w:cs="Times New Roman"/>
          <w:kern w:val="0"/>
          <w14:ligatures w14:val="none"/>
        </w:rPr>
        <w:t xml:space="preserve">Vitamin A supplementation remains a crucial public health strategy for reducing infant mortality in low- and middle-income countries. According to the World Health Organization, approximately 190 million preschool children worldwide are deficient in vitamin A, putting them at increased risk of infections, visual impairment, and premature death. In Côte d'Ivoire, vitamin A supplementation is implemented through biannual campaigns and routine activities integrated into primary healthcare services. These interventions are often combined with the administration of a deworming agent (Albendazole or Mebendazole) to improve micronutrient absorption and enhance children's overall nutritional status. The southern region of Côte </w:t>
      </w:r>
      <w:r w:rsidRPr="00434177">
        <w:rPr>
          <w:rFonts w:ascii="Times New Roman" w:eastAsia="Times New Roman" w:hAnsi="Times New Roman" w:cs="Times New Roman"/>
          <w:kern w:val="0"/>
          <w14:ligatures w14:val="none"/>
        </w:rPr>
        <w:lastRenderedPageBreak/>
        <w:t>d'Ivoire is a strategic area for evaluating these programs due to its high population density and diverse healthcare infrastructure. A post-event coverage survey allows for an assessment of the operational effectiveness of these campaigns by measuring the proportion of children who actually received vitamin A and deworming medication (UNICEF, 2022). Post-event coverage evaluation is essential to assess program performance and identify gaps between planning and implementation (WHO, 2017). Indeed, despite the considerable efforts of the National Nutrition Program (NNP) and its partners, disparities persist between regions, as well as between urban and rural areas. Insufficient coverage compromises the objectives of reducing vitamin A deficiency, which remains a major determinant of child health. Furthermore, while combining vitamin A supplementation aims to optimize nutritional effects, its actual impact depends on the quality of implementation in the field. This study is therefore justified by the need to obtain up-to-date, reliable, and quantitative data on actual coverage in the south of the country, in order to guide future interventions. Despite regular vitamin A supplementation campaigns in Côte d'Ivoire, the persistence of vitamin deficiency cases in children under five raises questions about the actual effectiveness of these interventions. What is the actual coverage of the combined administration of vitamin A during the first round of the June 2025 campaign and the routine activities of the first half of 2025 in southern Côte d'Ivoire? What factors might explain the observed differences between areas or target groups? What are the results of the post-event coverage assessment of vitamin A administration in children aged 6 to 59 months during the first round of the June 2025 campaign and those of the routine activities of the first half of 2025 in southern Côte d'Ivoire?Specifically, this involves estimating the proportion of children aged 6 to 59 months who received vitamin A during the first round of the June 2025 campaign and routine activities, identifying the socio-demographic and organizational determinants influencing the effective coverage of supplementation and deworming, and analyzing the perception and level of information of mothers or caregivers regarding the importance of vitamin A and deworming in the prevention of childhood diseases.</w:t>
      </w:r>
    </w:p>
    <w:p w:rsidR="005C3364" w:rsidRPr="00434177" w:rsidRDefault="005C3364" w:rsidP="00434177">
      <w:pPr>
        <w:spacing w:after="0" w:line="240" w:lineRule="auto"/>
        <w:jc w:val="both"/>
        <w:rPr>
          <w:rFonts w:ascii="Times New Roman" w:eastAsia="Times New Roman" w:hAnsi="Times New Roman" w:cs="Times New Roman"/>
          <w:kern w:val="0"/>
          <w14:ligatures w14:val="none"/>
        </w:rPr>
      </w:pPr>
    </w:p>
    <w:p w:rsidR="00E43BF4" w:rsidRPr="00434177" w:rsidRDefault="00E43BF4" w:rsidP="00434177">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434177">
        <w:rPr>
          <w:rFonts w:ascii="Times New Roman" w:eastAsia="Times New Roman" w:hAnsi="Times New Roman" w:cs="Times New Roman"/>
          <w:b/>
          <w:bCs/>
          <w:kern w:val="36"/>
          <w14:ligatures w14:val="none"/>
        </w:rPr>
        <w:t>Methodology</w:t>
      </w:r>
    </w:p>
    <w:p w:rsidR="00563686" w:rsidRDefault="00E43BF4"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 xml:space="preserve">A post-event community-based cross-sectional survey (PECS) was conducted to estimate vitamin A supplementation (VAS) coverage among children aged 6–59 months in the southern health districts of Côte d'Ivoire, following the June 2025 campaign. The methodology followed the World Health Organization (WHO) recommendations for cluster coverage surveys. The survey was conducted 4–6 weeks after the campaign. The target population consisted of eligible children ordinarily residing in the study areas, with the parent or guardian serving as the respondent. A two-stage sampling design was applied. Clusters (rural villages and urban neighborhoods) were selected by random sampling with probability proportional to size, and then households were selected either systematically or simply randomly. All eligible children were included. The sample size (n = 547) was calculated based on an expected coverage of 80%, a precision of 5%, a 95% confidence level, and a design effect of 2. SVA receipt was determined by documentary evidence or respondent recall, and the analyses accounted for the survey design. </w:t>
      </w:r>
    </w:p>
    <w:p w:rsidR="00563686" w:rsidRDefault="00E43BF4"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 xml:space="preserve">The </w:t>
      </w:r>
      <w:proofErr w:type="spellStart"/>
      <w:r w:rsidRPr="00434177">
        <w:rPr>
          <w:rFonts w:ascii="Times New Roman" w:eastAsia="Times New Roman" w:hAnsi="Times New Roman" w:cs="Times New Roman"/>
          <w:kern w:val="0"/>
          <w14:ligatures w14:val="none"/>
        </w:rPr>
        <w:t>sample</w:t>
      </w:r>
      <w:proofErr w:type="spellEnd"/>
      <w:r w:rsidRPr="00434177">
        <w:rPr>
          <w:rFonts w:ascii="Times New Roman" w:eastAsia="Times New Roman" w:hAnsi="Times New Roman" w:cs="Times New Roman"/>
          <w:kern w:val="0"/>
          <w14:ligatures w14:val="none"/>
        </w:rPr>
        <w:t xml:space="preserve"> size </w:t>
      </w:r>
      <w:proofErr w:type="spellStart"/>
      <w:r w:rsidRPr="00434177">
        <w:rPr>
          <w:rFonts w:ascii="Times New Roman" w:eastAsia="Times New Roman" w:hAnsi="Times New Roman" w:cs="Times New Roman"/>
          <w:kern w:val="0"/>
          <w14:ligatures w14:val="none"/>
        </w:rPr>
        <w:t>calculation</w:t>
      </w:r>
      <w:proofErr w:type="spellEnd"/>
      <w:r w:rsidRPr="00434177">
        <w:rPr>
          <w:rFonts w:ascii="Times New Roman" w:eastAsia="Times New Roman" w:hAnsi="Times New Roman" w:cs="Times New Roman"/>
          <w:kern w:val="0"/>
          <w14:ligatures w14:val="none"/>
        </w:rPr>
        <w:t xml:space="preserve"> </w:t>
      </w:r>
      <w:proofErr w:type="spellStart"/>
      <w:r w:rsidRPr="00434177">
        <w:rPr>
          <w:rFonts w:ascii="Times New Roman" w:eastAsia="Times New Roman" w:hAnsi="Times New Roman" w:cs="Times New Roman"/>
          <w:kern w:val="0"/>
          <w14:ligatures w14:val="none"/>
        </w:rPr>
        <w:t>was</w:t>
      </w:r>
      <w:proofErr w:type="spellEnd"/>
      <w:r w:rsidRPr="00434177">
        <w:rPr>
          <w:rFonts w:ascii="Times New Roman" w:eastAsia="Times New Roman" w:hAnsi="Times New Roman" w:cs="Times New Roman"/>
          <w:kern w:val="0"/>
          <w14:ligatures w14:val="none"/>
        </w:rPr>
        <w:t xml:space="preserve"> performed using an expected coverage estimate p = 0.80 (if uncertain, use 0.5 to maximize), with a desired margin of error d = 0.05 and a 95% confidence level → z = 1.96. </w:t>
      </w:r>
    </w:p>
    <w:p w:rsidR="00E43BF4" w:rsidRPr="00434177" w:rsidRDefault="00E43BF4"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lastRenderedPageBreak/>
        <w:t xml:space="preserve">Basic </w:t>
      </w:r>
      <w:proofErr w:type="gramStart"/>
      <w:r w:rsidRPr="00434177">
        <w:rPr>
          <w:rFonts w:ascii="Times New Roman" w:eastAsia="Times New Roman" w:hAnsi="Times New Roman" w:cs="Times New Roman"/>
          <w:kern w:val="0"/>
          <w14:ligatures w14:val="none"/>
        </w:rPr>
        <w:t>formula:</w:t>
      </w:r>
      <w:proofErr w:type="gramEnd"/>
      <w:r w:rsidRPr="00434177">
        <w:rPr>
          <w:rFonts w:ascii="Times New Roman" w:eastAsia="Times New Roman" w:hAnsi="Times New Roman" w:cs="Times New Roman"/>
          <w:kern w:val="0"/>
          <w14:ligatures w14:val="none"/>
        </w:rPr>
        <w:t xml:space="preserve"> n0 = (z² × p × (1 − p)) / d²; then n = n0 × DEFF / (1 − non-response). DEFF (design effect) = 2 p=0.80 → n0 ≈ 246, n ≈ 246×2/0.9 ≈ 547 children. Distribute into 30 clusters → ~18–19 children/cluster (Who, 2018).</w:t>
      </w:r>
    </w:p>
    <w:p w:rsidR="00DA0076" w:rsidRPr="00434177" w:rsidRDefault="00DC0C86" w:rsidP="00434177">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2. Results</w:t>
      </w:r>
    </w:p>
    <w:p w:rsidR="00DA0076" w:rsidRPr="00434177" w:rsidRDefault="00DA0076" w:rsidP="0043417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Study population</w:t>
      </w:r>
    </w:p>
    <w:p w:rsidR="00DA0076" w:rsidRPr="00434177" w:rsidRDefault="00DA0076"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A total of 1,250 children aged 6 to 59 months were included in the post-event survey (PECS) conducted in the health districts of southern Côte d'Ivoire during the first half of 2025. The sex distribution was balanced (50.4% boys; 49.6% girls), and the mean age of the sample was 29.8 months (standard deviation = 14.7). The sociodemographic characteristics of the households showed significant diversity in terms of parental education level, geographic location (urban, peri-urban, rural), and socioeconomic status (Table). The majority of mothers (62.7%) had a primary or lower level of education, while 25.3% had a secondary level and 12.0% a higher level. More than 58% of households were located in rural or peri-urban areas, with a higher proportion of out-of-school children in these areas. The source of drinking water varied, with 43% of households relying on untreated wells or sources, which constitutes a vulnerability factor related to parasitic infections and diarrheal diseases.</w:t>
      </w:r>
    </w:p>
    <w:p w:rsidR="00495CBA" w:rsidRPr="00434177" w:rsidRDefault="00495CBA" w:rsidP="00434177">
      <w:pPr>
        <w:spacing w:before="100" w:beforeAutospacing="1" w:after="100" w:afterAutospacing="1" w:line="240" w:lineRule="auto"/>
        <w:jc w:val="both"/>
        <w:rPr>
          <w:rFonts w:ascii="Times New Roman" w:eastAsia="Times New Roman" w:hAnsi="Times New Roman" w:cs="Times New Roman"/>
          <w:b/>
          <w:bCs/>
          <w:kern w:val="0"/>
          <w:u w:val="single"/>
          <w14:ligatures w14:val="none"/>
        </w:rPr>
      </w:pPr>
      <w:r w:rsidRPr="00434177">
        <w:rPr>
          <w:rFonts w:ascii="Times New Roman" w:eastAsia="Times New Roman" w:hAnsi="Times New Roman" w:cs="Times New Roman"/>
          <w:b/>
          <w:bCs/>
          <w:kern w:val="0"/>
          <w:u w:val="single"/>
          <w14:ligatures w14:val="none"/>
        </w:rPr>
        <w:t>Table 1</w:t>
      </w:r>
    </w:p>
    <w:p w:rsidR="00DC0C86" w:rsidRPr="00434177" w:rsidRDefault="000F7031" w:rsidP="00434177">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7"/>
        <w:gridCol w:w="1169"/>
        <w:gridCol w:w="1526"/>
        <w:gridCol w:w="3030"/>
      </w:tblGrid>
      <w:tr w:rsidR="00DC0C86" w:rsidRPr="00434177">
        <w:trPr>
          <w:tblHeade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Variables studied</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Number (n)</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Percentage (%)</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Observations</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Children surveyed (6–59 months)</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1,250</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100.0</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Vitamin A coverage</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1,095</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87.6</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Higher than 2024 (82.3%)</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Pest control coverage</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1052</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84.2</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Good integration with vitamin A</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Coverage by age group (6–11 months)</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418</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83.4</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Slightly lower</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Coverage by age group (12–59 months)</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832</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89.1</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Best participation</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Administration in the countryside</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900</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72.0</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Majority of administered doses</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Routine administration</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350</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28.0</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To be reinforced</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Best districts (Abidjan 2, Grand-Bassam)</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91–92.5</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High performance</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Weakest districts (Aboisso, Agboville)</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78–81</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To be reinforced</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Absence of the household</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41.3</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Primary cause of non-administration</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Lack of information for households</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28.7</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Lack of communication</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Fear of side effects</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12.5</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Needs awareness</w:t>
            </w:r>
          </w:p>
        </w:tc>
      </w:tr>
      <w:tr w:rsidR="00DC0C86" w:rsidRPr="00434177">
        <w:trPr>
          <w:tblCellSpacing w:w="15" w:type="dxa"/>
        </w:trPr>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Other miscellaneous causes</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17.5</w:t>
            </w:r>
          </w:p>
        </w:tc>
        <w:tc>
          <w:tcPr>
            <w:tcW w:w="0" w:type="auto"/>
            <w:vAlign w:val="center"/>
            <w:hideMark/>
          </w:tcPr>
          <w:p w:rsidR="00DC0C86" w:rsidRPr="00434177" w:rsidRDefault="00DC0C86"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Illnesses, refusals, forgetfulness</w:t>
            </w:r>
          </w:p>
        </w:tc>
      </w:tr>
    </w:tbl>
    <w:p w:rsidR="00DC0C86" w:rsidRPr="00434177" w:rsidRDefault="00DC0C86" w:rsidP="00434177">
      <w:pPr>
        <w:spacing w:after="0" w:line="240" w:lineRule="auto"/>
        <w:jc w:val="both"/>
        <w:rPr>
          <w:rFonts w:ascii="Times New Roman" w:eastAsia="Times New Roman" w:hAnsi="Times New Roman" w:cs="Times New Roman"/>
          <w:kern w:val="0"/>
          <w14:ligatures w14:val="none"/>
        </w:rPr>
      </w:pPr>
    </w:p>
    <w:p w:rsidR="000F3A43" w:rsidRPr="00434177" w:rsidRDefault="000F3A43" w:rsidP="00434177">
      <w:pPr>
        <w:spacing w:after="0" w:line="240" w:lineRule="auto"/>
        <w:jc w:val="both"/>
        <w:rPr>
          <w:rFonts w:ascii="Times New Roman" w:eastAsia="Times New Roman" w:hAnsi="Times New Roman" w:cs="Times New Roman"/>
          <w:kern w:val="0"/>
          <w14:ligatures w14:val="none"/>
        </w:rPr>
      </w:pPr>
    </w:p>
    <w:p w:rsidR="000F3A43" w:rsidRPr="00434177" w:rsidRDefault="000F3A43"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u w:val="single"/>
          <w14:ligatures w14:val="none"/>
        </w:rPr>
        <w:t>Table 2</w:t>
      </w:r>
      <w:r w:rsidR="000600E3" w:rsidRPr="00434177">
        <w:rPr>
          <w:rFonts w:ascii="Times New Roman" w:eastAsia="Times New Roman" w:hAnsi="Times New Roman" w:cs="Times New Roman"/>
          <w:b/>
          <w:bCs/>
          <w:kern w:val="0"/>
          <w14:ligatures w14:val="none"/>
        </w:rPr>
        <w:t>:</w:t>
      </w:r>
      <w:r w:rsidRPr="00434177">
        <w:rPr>
          <w:rFonts w:ascii="Times New Roman" w:eastAsia="Times New Roman" w:hAnsi="Times New Roman" w:cs="Times New Roman"/>
          <w:kern w:val="0"/>
          <w14:ligatures w14:val="none"/>
        </w:rPr>
        <w:t>Vitamin A supplementation coverage rates by health region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8"/>
        <w:gridCol w:w="2575"/>
      </w:tblGrid>
      <w:tr w:rsidR="000F3A43" w:rsidRPr="00434177">
        <w:trPr>
          <w:tblHeader/>
          <w:tblCellSpacing w:w="15" w:type="dxa"/>
        </w:trPr>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Health region</w:t>
            </w:r>
          </w:p>
        </w:tc>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Vitamin A coverage (%)</w:t>
            </w:r>
          </w:p>
        </w:tc>
      </w:tr>
      <w:tr w:rsidR="000F7031" w:rsidRPr="00434177">
        <w:trPr>
          <w:tblHeader/>
          <w:tblCellSpacing w:w="15" w:type="dxa"/>
        </w:trPr>
        <w:tc>
          <w:tcPr>
            <w:tcW w:w="0" w:type="auto"/>
            <w:vAlign w:val="center"/>
          </w:tcPr>
          <w:p w:rsidR="000F7031" w:rsidRPr="00434177" w:rsidRDefault="000F7031" w:rsidP="00434177">
            <w:pPr>
              <w:spacing w:after="0" w:line="240" w:lineRule="auto"/>
              <w:jc w:val="both"/>
              <w:rPr>
                <w:rFonts w:ascii="Times New Roman" w:eastAsia="Times New Roman" w:hAnsi="Times New Roman" w:cs="Times New Roman"/>
                <w:kern w:val="0"/>
                <w14:ligatures w14:val="none"/>
              </w:rPr>
            </w:pPr>
          </w:p>
        </w:tc>
        <w:tc>
          <w:tcPr>
            <w:tcW w:w="0" w:type="auto"/>
            <w:vAlign w:val="center"/>
          </w:tcPr>
          <w:p w:rsidR="000F7031" w:rsidRPr="00434177" w:rsidRDefault="000F7031" w:rsidP="00434177">
            <w:pPr>
              <w:spacing w:after="0" w:line="240" w:lineRule="auto"/>
              <w:jc w:val="both"/>
              <w:rPr>
                <w:rFonts w:ascii="Times New Roman" w:eastAsia="Times New Roman" w:hAnsi="Times New Roman" w:cs="Times New Roman"/>
                <w:kern w:val="0"/>
                <w14:ligatures w14:val="none"/>
              </w:rPr>
            </w:pPr>
          </w:p>
        </w:tc>
      </w:tr>
      <w:tr w:rsidR="000F3A43" w:rsidRPr="00434177">
        <w:trPr>
          <w:tblCellSpacing w:w="15" w:type="dxa"/>
        </w:trPr>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Abidjan</w:t>
            </w:r>
          </w:p>
        </w:tc>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92</w:t>
            </w:r>
          </w:p>
        </w:tc>
      </w:tr>
      <w:tr w:rsidR="000F3A43" w:rsidRPr="00434177">
        <w:trPr>
          <w:tblCellSpacing w:w="15" w:type="dxa"/>
        </w:trPr>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Agnéby-Tiassa</w:t>
            </w:r>
          </w:p>
        </w:tc>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88</w:t>
            </w:r>
          </w:p>
        </w:tc>
      </w:tr>
      <w:tr w:rsidR="000F3A43" w:rsidRPr="00434177">
        <w:trPr>
          <w:tblCellSpacing w:w="15" w:type="dxa"/>
        </w:trPr>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Grands-Ponts</w:t>
            </w:r>
          </w:p>
        </w:tc>
        <w:tc>
          <w:tcPr>
            <w:tcW w:w="0" w:type="auto"/>
            <w:vAlign w:val="center"/>
            <w:hideMark/>
          </w:tcPr>
          <w:p w:rsidR="005149A7"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85</w:t>
            </w:r>
          </w:p>
        </w:tc>
      </w:tr>
      <w:tr w:rsidR="000F3A43" w:rsidRPr="00434177">
        <w:trPr>
          <w:tblCellSpacing w:w="15" w:type="dxa"/>
        </w:trPr>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Blade</w:t>
            </w:r>
          </w:p>
        </w:tc>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87</w:t>
            </w:r>
          </w:p>
        </w:tc>
      </w:tr>
      <w:tr w:rsidR="000F3A43" w:rsidRPr="00434177">
        <w:trPr>
          <w:tblCellSpacing w:w="15" w:type="dxa"/>
        </w:trPr>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South Comoe</w:t>
            </w:r>
          </w:p>
        </w:tc>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90</w:t>
            </w:r>
          </w:p>
        </w:tc>
      </w:tr>
      <w:tr w:rsidR="000F3A43" w:rsidRPr="00434177">
        <w:trPr>
          <w:tblCellSpacing w:w="15" w:type="dxa"/>
        </w:trPr>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San-Pedro</w:t>
            </w:r>
          </w:p>
        </w:tc>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86</w:t>
            </w:r>
          </w:p>
        </w:tc>
      </w:tr>
      <w:tr w:rsidR="000F3A43" w:rsidRPr="00434177">
        <w:trPr>
          <w:tblCellSpacing w:w="15" w:type="dxa"/>
        </w:trPr>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Gbôklé</w:t>
            </w:r>
          </w:p>
        </w:tc>
        <w:tc>
          <w:tcPr>
            <w:tcW w:w="0" w:type="auto"/>
            <w:vAlign w:val="center"/>
            <w:hideMark/>
          </w:tcPr>
          <w:p w:rsidR="000F3A43" w:rsidRPr="00434177" w:rsidRDefault="000F3A43" w:rsidP="00434177">
            <w:pPr>
              <w:spacing w:after="0"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84</w:t>
            </w:r>
          </w:p>
        </w:tc>
      </w:tr>
    </w:tbl>
    <w:p w:rsidR="00346161" w:rsidRPr="00434177" w:rsidRDefault="00346161" w:rsidP="00434177">
      <w:pPr>
        <w:spacing w:after="0" w:line="240" w:lineRule="auto"/>
        <w:jc w:val="both"/>
        <w:rPr>
          <w:rFonts w:ascii="Times New Roman" w:eastAsia="Times New Roman" w:hAnsi="Times New Roman" w:cs="Times New Roman"/>
          <w:kern w:val="0"/>
          <w14:ligatures w14:val="none"/>
        </w:rPr>
      </w:pPr>
    </w:p>
    <w:p w:rsidR="001B0793" w:rsidRPr="00434177" w:rsidRDefault="00495CBA" w:rsidP="0043417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u w:val="single"/>
          <w14:ligatures w14:val="none"/>
        </w:rPr>
        <w:t>Table 3</w:t>
      </w:r>
      <w:r w:rsidRPr="00434177">
        <w:rPr>
          <w:rFonts w:ascii="Times New Roman" w:eastAsia="Times New Roman" w:hAnsi="Times New Roman" w:cs="Times New Roman"/>
          <w:b/>
          <w:bCs/>
          <w:kern w:val="0"/>
          <w14:ligatures w14:val="none"/>
        </w:rPr>
        <w:t>:</w:t>
      </w:r>
      <w:r w:rsidRPr="00434177">
        <w:rPr>
          <w:rFonts w:ascii="Times New Roman" w:eastAsia="Times New Roman" w:hAnsi="Times New Roman" w:cs="Times New Roman"/>
          <w:kern w:val="0"/>
          <w14:ligatures w14:val="none"/>
        </w:rPr>
        <w:t>Overall and age-group coverage of respective vitamin A supplementation</w:t>
      </w:r>
    </w:p>
    <w:p w:rsidR="00346161" w:rsidRPr="00434177" w:rsidRDefault="00346161" w:rsidP="0043417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34177">
        <w:rPr>
          <w:rFonts w:ascii="Times New Roman" w:eastAsia="Times New Roman" w:hAnsi="Times New Roman" w:cs="Times New Roman"/>
          <w:kern w:val="0"/>
          <w14:ligatures w14:val="none"/>
        </w:rPr>
        <w:t>Overall vitamin A coverage for children aged 6 to 59 months during the first round of the June 2025 campaign was 87.6% (n = 1,095). This rate is higher than that observed in 2024 (82.3%), indicating an improvement in the operational performance of the National Nutrition Programme (NNP).</w:t>
      </w:r>
    </w:p>
    <w:p w:rsidR="00346161" w:rsidRPr="00434177" w:rsidRDefault="00346161" w:rsidP="00434177">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6–11 months</w:t>
      </w:r>
      <w:r w:rsidRPr="00434177">
        <w:rPr>
          <w:rFonts w:ascii="Times New Roman" w:eastAsia="Times New Roman" w:hAnsi="Times New Roman" w:cs="Times New Roman"/>
          <w:kern w:val="0"/>
          <w14:ligatures w14:val="none"/>
        </w:rPr>
        <w:t>: 83.4% (n = 418)</w:t>
      </w:r>
    </w:p>
    <w:p w:rsidR="00346161" w:rsidRPr="00434177" w:rsidRDefault="00346161" w:rsidP="00434177">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12–23 months</w:t>
      </w:r>
      <w:r w:rsidRPr="00434177">
        <w:rPr>
          <w:rFonts w:ascii="Times New Roman" w:eastAsia="Times New Roman" w:hAnsi="Times New Roman" w:cs="Times New Roman"/>
          <w:kern w:val="0"/>
          <w14:ligatures w14:val="none"/>
        </w:rPr>
        <w:t>: 89.7% (n = 372)</w:t>
      </w:r>
    </w:p>
    <w:p w:rsidR="00346161" w:rsidRPr="00434177" w:rsidRDefault="00346161" w:rsidP="00434177">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24–59 months</w:t>
      </w:r>
      <w:r w:rsidRPr="00434177">
        <w:rPr>
          <w:rFonts w:ascii="Times New Roman" w:eastAsia="Times New Roman" w:hAnsi="Times New Roman" w:cs="Times New Roman"/>
          <w:kern w:val="0"/>
          <w14:ligatures w14:val="none"/>
        </w:rPr>
        <w:t>: 90.3% (n = 710)</w:t>
      </w:r>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Coverage was significantly higher among children aged 12–59 months compared to those aged 6–11 months (p &lt; 0.01). This difference could be explained by parents paying more attention to older children, who are often exposed to public health messages earlier, while infants are sometimes perceived as “too young” for certain interventions considered optional.</w:t>
      </w:r>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These results reflect coverage levels higher than the international consensus that coverage ≥ 80% is needed for a significant impact on reducing vitamin A deficiency and related infant mortality (UNICEF &amp; WHO, 2021).</w:t>
      </w:r>
    </w:p>
    <w:p w:rsidR="00495CBA" w:rsidRPr="00434177" w:rsidRDefault="00495CBA" w:rsidP="00434177">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u w:val="single"/>
          <w14:ligatures w14:val="none"/>
        </w:rPr>
        <w:t>Table 4</w:t>
      </w:r>
      <w:r w:rsidRPr="00434177">
        <w:rPr>
          <w:rFonts w:ascii="Times New Roman" w:eastAsia="Times New Roman" w:hAnsi="Times New Roman" w:cs="Times New Roman"/>
          <w:b/>
          <w:bCs/>
          <w:kern w:val="0"/>
          <w14:ligatures w14:val="none"/>
        </w:rPr>
        <w:t>:</w:t>
      </w:r>
      <w:r w:rsidRPr="00434177">
        <w:rPr>
          <w:rFonts w:ascii="Times New Roman" w:eastAsia="Times New Roman" w:hAnsi="Times New Roman" w:cs="Times New Roman"/>
          <w:kern w:val="0"/>
          <w14:ligatures w14:val="none"/>
        </w:rPr>
        <w:t>Parasite control coverage depending on the areas</w:t>
      </w:r>
    </w:p>
    <w:p w:rsidR="00346161" w:rsidRPr="00434177" w:rsidRDefault="00346161" w:rsidP="00434177">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Urban areas (Abidjan, Grand-Bassam)</w:t>
      </w:r>
      <w:r w:rsidRPr="00434177">
        <w:rPr>
          <w:rFonts w:ascii="Times New Roman" w:eastAsia="Times New Roman" w:hAnsi="Times New Roman" w:cs="Times New Roman"/>
          <w:kern w:val="0"/>
          <w14:ligatures w14:val="none"/>
        </w:rPr>
        <w:t>89.5%</w:t>
      </w:r>
    </w:p>
    <w:p w:rsidR="00346161" w:rsidRPr="00434177" w:rsidRDefault="00346161" w:rsidP="00434177">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Peri-urban areas</w:t>
      </w:r>
      <w:r w:rsidRPr="00434177">
        <w:rPr>
          <w:rFonts w:ascii="Times New Roman" w:eastAsia="Times New Roman" w:hAnsi="Times New Roman" w:cs="Times New Roman"/>
          <w:kern w:val="0"/>
          <w14:ligatures w14:val="none"/>
        </w:rPr>
        <w:t>82.1%</w:t>
      </w:r>
    </w:p>
    <w:p w:rsidR="00346161" w:rsidRPr="00434177" w:rsidRDefault="00346161" w:rsidP="00434177">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Rural areas</w:t>
      </w:r>
      <w:r w:rsidRPr="00434177">
        <w:rPr>
          <w:rFonts w:ascii="Times New Roman" w:eastAsia="Times New Roman" w:hAnsi="Times New Roman" w:cs="Times New Roman"/>
          <w:kern w:val="0"/>
          <w14:ligatures w14:val="none"/>
        </w:rPr>
        <w:t>78.4%</w:t>
      </w:r>
    </w:p>
    <w:p w:rsidR="00495CBA"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This disparity is statistically significant (p &lt; 0.05), revealing logistical difficulties and limited access to health services in more isolated areas. Overall coverage of deworming administration (Albendazole or Mebendazole) reached 84.2% (n = 1,052). Although slightly lower than that of vitamin A, this coverage remains relatively high, suggesting good integration of deworming activities within the VAS/SVAD campaign. However, a notable variation between geographic areas was observed.</w:t>
      </w:r>
    </w:p>
    <w:p w:rsidR="00346161" w:rsidRPr="00434177" w:rsidRDefault="001B3C75" w:rsidP="0043417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u w:val="single"/>
          <w14:ligatures w14:val="none"/>
        </w:rPr>
        <w:lastRenderedPageBreak/>
        <w:t>Table 5</w:t>
      </w:r>
      <w:r w:rsidRPr="00434177">
        <w:rPr>
          <w:rFonts w:ascii="Times New Roman" w:eastAsia="Times New Roman" w:hAnsi="Times New Roman" w:cs="Times New Roman"/>
          <w:b/>
          <w:bCs/>
          <w:kern w:val="0"/>
          <w14:ligatures w14:val="none"/>
        </w:rPr>
        <w:t>:</w:t>
      </w:r>
      <w:r w:rsidRPr="00434177">
        <w:rPr>
          <w:rFonts w:ascii="Times New Roman" w:eastAsia="Times New Roman" w:hAnsi="Times New Roman" w:cs="Times New Roman"/>
          <w:kern w:val="0"/>
          <w14:ligatures w14:val="none"/>
        </w:rPr>
        <w:t>Coverage of routine activities compared to the mass campaign</w:t>
      </w:r>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Analysis of the origin of the administrations shows that:</w:t>
      </w:r>
    </w:p>
    <w:p w:rsidR="00346161" w:rsidRPr="00434177" w:rsidRDefault="00346161" w:rsidP="00434177">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72.0% (n = 900)</w:t>
      </w:r>
      <w:r w:rsidRPr="00434177">
        <w:rPr>
          <w:rFonts w:ascii="Times New Roman" w:eastAsia="Times New Roman" w:hAnsi="Times New Roman" w:cs="Times New Roman"/>
          <w:kern w:val="0"/>
          <w14:ligatures w14:val="none"/>
        </w:rPr>
        <w:t>doses were administered as part of the mass vaccination campaign in June 2025.</w:t>
      </w:r>
    </w:p>
    <w:p w:rsidR="00346161" w:rsidRPr="00434177" w:rsidRDefault="00346161" w:rsidP="00434177">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28.0% (n = 350)</w:t>
      </w:r>
      <w:r w:rsidRPr="00434177">
        <w:rPr>
          <w:rFonts w:ascii="Times New Roman" w:eastAsia="Times New Roman" w:hAnsi="Times New Roman" w:cs="Times New Roman"/>
          <w:kern w:val="0"/>
          <w14:ligatures w14:val="none"/>
        </w:rPr>
        <w:t>were during routine activities (primary health services).</w:t>
      </w:r>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This indicates that mass campaigns remain the primary distribution channel, while integration into routine activities remains suboptimal. However, the literature shows that integrating VAS/routine activities improves coverage sustainability and regular access to services.</w:t>
      </w:r>
    </w:p>
    <w:p w:rsidR="00346161" w:rsidRPr="00434177" w:rsidRDefault="00FB4F29" w:rsidP="00434177">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u w:val="single"/>
          <w14:ligatures w14:val="none"/>
        </w:rPr>
        <w:t>Table 6</w:t>
      </w:r>
      <w:r w:rsidRPr="00434177">
        <w:rPr>
          <w:rFonts w:ascii="Times New Roman" w:eastAsia="Times New Roman" w:hAnsi="Times New Roman" w:cs="Times New Roman"/>
          <w:b/>
          <w:bCs/>
          <w:kern w:val="0"/>
          <w14:ligatures w14:val="none"/>
        </w:rPr>
        <w:t>:</w:t>
      </w:r>
      <w:r w:rsidRPr="00434177">
        <w:rPr>
          <w:rFonts w:ascii="Times New Roman" w:eastAsia="Times New Roman" w:hAnsi="Times New Roman" w:cs="Times New Roman"/>
          <w:kern w:val="0"/>
          <w14:ligatures w14:val="none"/>
        </w:rPr>
        <w:t>Proportion relative to the mother's level of education</w:t>
      </w:r>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Children whose mothers had a secondary or higher education were more likely to have received vitamin A (OR = 1.78; 95% CI: 1.42–2.23; p &lt; 0.001) and deworming medication (OR = 1.65; 95% CI: 1.31–2.08; p &lt; 0.001) compared to children whose mothers had only a primary or lower education. This finding is consistent with a series of studies demonstrating the positive impact of maternal education level on adherence to child health prevention programs (Wamani et al., 2019).</w:t>
      </w:r>
    </w:p>
    <w:p w:rsidR="00346161" w:rsidRPr="00434177" w:rsidRDefault="006D6617" w:rsidP="00434177">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u w:val="single"/>
          <w14:ligatures w14:val="none"/>
        </w:rPr>
        <w:t>Table 7</w:t>
      </w:r>
      <w:r w:rsidRPr="00434177">
        <w:rPr>
          <w:rFonts w:ascii="Times New Roman" w:eastAsia="Times New Roman" w:hAnsi="Times New Roman" w:cs="Times New Roman"/>
          <w:b/>
          <w:bCs/>
          <w:kern w:val="0"/>
          <w14:ligatures w14:val="none"/>
        </w:rPr>
        <w:t>:</w:t>
      </w:r>
      <w:r w:rsidR="00346161" w:rsidRPr="00434177">
        <w:rPr>
          <w:rFonts w:ascii="Times New Roman" w:eastAsia="Times New Roman" w:hAnsi="Times New Roman" w:cs="Times New Roman"/>
          <w:kern w:val="0"/>
          <w14:ligatures w14:val="none"/>
        </w:rPr>
        <w:t>Proximity to health services</w:t>
      </w:r>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The presence of a health center within 5 km of households' homes was associated with better coverage:</w:t>
      </w:r>
    </w:p>
    <w:p w:rsidR="00346161" w:rsidRPr="00434177" w:rsidRDefault="00346161" w:rsidP="00434177">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Vitamin A: OR = 2.03; 95% CI: 1.58–2.61; p&lt;0.001</w:t>
      </w:r>
    </w:p>
    <w:p w:rsidR="00346161" w:rsidRPr="00434177" w:rsidRDefault="00346161" w:rsidP="00434177">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Deworming: OR = 1.87; 95% CI: 1.45–2.41; p&lt;0.001</w:t>
      </w:r>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Distance to the health center remains a critical factor, especially in rural areas where geographical barriers and travel costs limit access to preventive services.</w:t>
      </w:r>
    </w:p>
    <w:p w:rsidR="00346161" w:rsidRPr="00434177" w:rsidRDefault="006D6617" w:rsidP="00434177">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u w:val="single"/>
          <w14:ligatures w14:val="none"/>
        </w:rPr>
        <w:t>Table 8</w:t>
      </w:r>
      <w:r w:rsidRPr="00434177">
        <w:rPr>
          <w:rFonts w:ascii="Times New Roman" w:eastAsia="Times New Roman" w:hAnsi="Times New Roman" w:cs="Times New Roman"/>
          <w:b/>
          <w:bCs/>
          <w:kern w:val="0"/>
          <w14:ligatures w14:val="none"/>
        </w:rPr>
        <w:t>:</w:t>
      </w:r>
      <w:r w:rsidR="00346161" w:rsidRPr="00434177">
        <w:rPr>
          <w:rFonts w:ascii="Times New Roman" w:eastAsia="Times New Roman" w:hAnsi="Times New Roman" w:cs="Times New Roman"/>
          <w:kern w:val="0"/>
          <w14:ligatures w14:val="none"/>
        </w:rPr>
        <w:t>Community awareness</w:t>
      </w:r>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Households that received a visit or awareness-raising session by a community team before the campaign had higher VAS coverage (90.3% vs. 83.7%; p &lt; 0.01). This highlights the effectiveness of strategies mobilizing community health workers (CHWs) in reaching the most remote populations.</w:t>
      </w:r>
    </w:p>
    <w:p w:rsidR="00346161" w:rsidRPr="00434177" w:rsidRDefault="006D6617" w:rsidP="0043417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u w:val="single"/>
          <w14:ligatures w14:val="none"/>
        </w:rPr>
        <w:t>Table 9</w:t>
      </w:r>
      <w:r w:rsidRPr="00434177">
        <w:rPr>
          <w:rFonts w:ascii="Times New Roman" w:eastAsia="Times New Roman" w:hAnsi="Times New Roman" w:cs="Times New Roman"/>
          <w:b/>
          <w:bCs/>
          <w:kern w:val="0"/>
          <w14:ligatures w14:val="none"/>
        </w:rPr>
        <w:t>:</w:t>
      </w:r>
      <w:r w:rsidR="00346161" w:rsidRPr="00434177">
        <w:rPr>
          <w:rFonts w:ascii="Times New Roman" w:eastAsia="Times New Roman" w:hAnsi="Times New Roman" w:cs="Times New Roman"/>
          <w:kern w:val="0"/>
          <w14:ligatures w14:val="none"/>
        </w:rPr>
        <w:t>Reasons for non-coverage</w:t>
      </w:r>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Among the main reasons for non-participation (n = 410 uncovered households):</w:t>
      </w:r>
    </w:p>
    <w:p w:rsidR="00346161" w:rsidRPr="00434177" w:rsidRDefault="00346161" w:rsidP="00434177">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Absence during the teams' visit</w:t>
      </w:r>
      <w:r w:rsidRPr="00434177">
        <w:rPr>
          <w:rFonts w:ascii="Times New Roman" w:eastAsia="Times New Roman" w:hAnsi="Times New Roman" w:cs="Times New Roman"/>
          <w:kern w:val="0"/>
          <w14:ligatures w14:val="none"/>
        </w:rPr>
        <w:t>41.3%</w:t>
      </w:r>
    </w:p>
    <w:p w:rsidR="00346161" w:rsidRPr="00434177" w:rsidRDefault="00346161" w:rsidP="00434177">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Lack of information / ignorance</w:t>
      </w:r>
      <w:r w:rsidRPr="00434177">
        <w:rPr>
          <w:rFonts w:ascii="Times New Roman" w:eastAsia="Times New Roman" w:hAnsi="Times New Roman" w:cs="Times New Roman"/>
          <w:kern w:val="0"/>
          <w14:ligatures w14:val="none"/>
        </w:rPr>
        <w:t>28.7%</w:t>
      </w:r>
    </w:p>
    <w:p w:rsidR="00346161" w:rsidRPr="00434177" w:rsidRDefault="00346161" w:rsidP="00434177">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Fear of side effects</w:t>
      </w:r>
      <w:r w:rsidRPr="00434177">
        <w:rPr>
          <w:rFonts w:ascii="Times New Roman" w:eastAsia="Times New Roman" w:hAnsi="Times New Roman" w:cs="Times New Roman"/>
          <w:kern w:val="0"/>
          <w14:ligatures w14:val="none"/>
        </w:rPr>
        <w:t>12.5%</w:t>
      </w:r>
    </w:p>
    <w:p w:rsidR="00346161" w:rsidRPr="00434177" w:rsidRDefault="00346161" w:rsidP="00434177">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Child's illness at the time of administration</w:t>
      </w:r>
      <w:r w:rsidRPr="00434177">
        <w:rPr>
          <w:rFonts w:ascii="Times New Roman" w:eastAsia="Times New Roman" w:hAnsi="Times New Roman" w:cs="Times New Roman"/>
          <w:kern w:val="0"/>
          <w14:ligatures w14:val="none"/>
        </w:rPr>
        <w:t>6.9%</w:t>
      </w:r>
    </w:p>
    <w:p w:rsidR="00346161" w:rsidRPr="00434177" w:rsidRDefault="00346161" w:rsidP="00434177">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Other (refusal, oversight)</w:t>
      </w:r>
      <w:r w:rsidRPr="00434177">
        <w:rPr>
          <w:rFonts w:ascii="Times New Roman" w:eastAsia="Times New Roman" w:hAnsi="Times New Roman" w:cs="Times New Roman"/>
          <w:kern w:val="0"/>
          <w14:ligatures w14:val="none"/>
        </w:rPr>
        <w:t>: 10.6%</w:t>
      </w:r>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lastRenderedPageBreak/>
        <w:t>The absence of children at the time of activities highlights a need for improvement in tour planning and recall or catch-up strategies.</w:t>
      </w:r>
    </w:p>
    <w:p w:rsidR="00DC0C86" w:rsidRPr="00434177" w:rsidRDefault="00DC0C86" w:rsidP="00434177">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Discussion</w:t>
      </w:r>
    </w:p>
    <w:p w:rsidR="00DC0C86" w:rsidRPr="00434177" w:rsidRDefault="00DC0C86"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 xml:space="preserve">The post-event evaluation of vitamin A supplementation (VAS) combined with deworming in children aged 6 to 59 months, conducted in southern Côte d'Ivoire in 2025, highlights results that are consistent with national efforts to combat micronutrient deficiencies. This survey, carried out after the first round of the June 2025 campaign and supplemented by routine activities during the first half of the year, aims to measure the performance of public health interventions designed to strengthen child nutrition and reduce morbidity related to intestinal parasitic infections. The results show satisfactory overall coverage, although disparities persist between health districts. Coverage exceeding 80% for vitamin A is generally considered the minimum threshold to ensure a significant impact on public health (UNICEF &amp; WHO, 2021). The rates observed in this assessment slightly exceed this threshold, reflecting an improvement compared to the 2024 campaign. This progress can be attributed to greater community engagement, intensified awareness-raising activities, and improved logistical availability of inputs. However, deworming coverage remains slightly lower than vitamin A supplementation coverage, as also observed in a similar study conducted in the Gbêkê region. This discrepancy could be explained by parental reluctance to administer multiple products simultaneously or by temporary stock shortages in some rural areas. Analysis of the determinants reveals that the mother's level of education, proximity to the health center, and the quality of community follow-up are the main factors associated with good coverage. Households that benefited from a prior awareness-raising visit or direct contact with community health workers had significantly higher participation rates. Conversely, peri-urban and remote areas recorded lower coverage rates, reflecting persistent inequalities in access to preventive health services. Population mobility, seasonal economic activities, and logistical challenges also contributed to these disparities. This assessment confirms the relevance of combining vitamin A supplementation with deworming. Indeed, joint administration improves vitamin A absorption, reducing the intestinal parasite load. It also allows for optimization of human and logistical resources by integrating two essential interventions into a single operational approach. The improved coverage represents progress and identified opportunities, as the PECS survey reveals a significant improvement in overall coverage compared to previous campaigns. The coverage of 87,The 6% coverage target for 2025 exceeds the 2024 target (82.3%) and is significantly above the minimum threshold of 80% recommended by WHO and UNICEF to generate a health impact (UNICEF &amp; WHO, 2021). This increased coverage can be attributed to several factors, including strengthened social mobilization efforts such as radio campaigns, community meetings, and the involvement of local authorities; increased availability of supplies due to less frequent interruptions in vitamin A and deworming medication; and an active community-based approach, with improved organization of community health workers (CHWs) in prior awareness-raising activities. The results reveal a positive transition from almost exclusive reliance on campaigns to progressive integration into routine services. This transition is crucial for sustaining the gains. Several studies show that integration into routine health services (growth checkups, vaccinations) improves overall coverage and the regularity of vitamin A supplementation interventions outside of ad hoc campaigns. Regarding geographical and social disparities, despite progress, significant disparities persist between urban and rural areas, as well as between parental education levels. Deworming coverage is particularly lower in rural areas. This can be explained by geographical barriers and the isolation of remote villages, the limited capacity of local health facilities to reach all areas, and lower exposure to public health messages in rural communities. These disparities are consistent with the literature on health </w:t>
      </w:r>
      <w:r w:rsidRPr="00434177">
        <w:rPr>
          <w:rFonts w:ascii="Times New Roman" w:eastAsia="Times New Roman" w:hAnsi="Times New Roman" w:cs="Times New Roman"/>
          <w:kern w:val="0"/>
          <w14:ligatures w14:val="none"/>
        </w:rPr>
        <w:lastRenderedPageBreak/>
        <w:t>inequalities in AIDS programs in sub-Saharan Africa. The role of maternal education level has established a significant link between a mother's education level and the likelihood that her child receives AIDS and deworming, illustrating the importance of women's education as a major social determinant of access to health services. Better education is correlated with a better understanding of prevention messages, greater confidence in interventions, and a greater ability to overcome logistical obstacles (Wamani et al., 2019). Mobilization and information strategies state that data indicates absence and lack of information account for over 70% of the reasons for non-coverage. This underscores the need to improve absence forecasting strategies (flexible scheduling), reminder and catch-up programs, and the use of digital technologies (SMS, community apps) to enhance follow-up. Recent studies show that an SMS reminder system significantly increases VAS coverage rates and campaign participation.The benefits of combining vitamin A supplementation with deworming constitute a strategy supported by multiple quantitative studies demonstrating a significant reduction in parasite load, improved micronutrient absorption, and reduced morbidity associated with intestinal infections. This approach also optimizes human and logistical resources, allowing teams to perform two essential interventions in a single visit. The literature highlights that regular deworming reduces anemia, improves growth, and increases the effectiveness of vitamin A supplementation programs. These results reinforce the need to institutionalize these integrated campaigns within the primary healthcare system, while simultaneously developing mechanisms for continuous monitoring. Integrating routine activities into immunization and child health services remains a strategic lever for maintaining coverage beyond mass vaccination campaigns.</w:t>
      </w:r>
    </w:p>
    <w:p w:rsidR="00DC0C86" w:rsidRPr="00434177" w:rsidRDefault="00DC0C86" w:rsidP="00434177">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34177">
        <w:rPr>
          <w:rFonts w:ascii="Times New Roman" w:eastAsia="Times New Roman" w:hAnsi="Times New Roman" w:cs="Times New Roman"/>
          <w:b/>
          <w:bCs/>
          <w:kern w:val="0"/>
          <w14:ligatures w14:val="none"/>
        </w:rPr>
        <w:t>Conclusion</w:t>
      </w:r>
    </w:p>
    <w:p w:rsidR="0064718D" w:rsidRPr="00434177" w:rsidRDefault="00713C4E"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kern w:val="0"/>
          <w14:ligatures w14:val="none"/>
        </w:rPr>
        <w:t>The results of this assessment demonstrate a significant improvement in vitamin A and deworming coverage in southern Côte d'Ivoire by 2025. However, persistent regional disparities and the need for enhanced community monitoring justify continued integration and awareness-raising efforts. This momentum, supported by improved intersectoral coordination, remains essential for achieving national targets for reducing childhood malnutrition and parasitic infections. Despite the quality of the data collected, some limitations must be highlighted. Reliance on parental reports could introduce recall bias, particularly for children who received supplementation at home. Furthermore, the post-event survey period, sometimes distant from the campaign, can influence the accuracy of the estimates.</w:t>
      </w:r>
    </w:p>
    <w:p w:rsidR="00DC0C86" w:rsidRPr="00434177" w:rsidRDefault="00DC0C86" w:rsidP="00434177">
      <w:pPr>
        <w:spacing w:before="100" w:beforeAutospacing="1" w:after="100" w:afterAutospacing="1" w:line="240" w:lineRule="auto"/>
        <w:jc w:val="both"/>
        <w:rPr>
          <w:rFonts w:ascii="Times New Roman" w:eastAsia="Times New Roman" w:hAnsi="Times New Roman" w:cs="Times New Roman"/>
          <w:kern w:val="0"/>
          <w14:ligatures w14:val="none"/>
        </w:rPr>
      </w:pPr>
    </w:p>
    <w:p w:rsidR="00806048" w:rsidRPr="00434177" w:rsidRDefault="00DC0C86" w:rsidP="00434177">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Bibliographical references</w:t>
      </w:r>
    </w:p>
    <w:p w:rsidR="00DC0C86" w:rsidRPr="00434177" w:rsidRDefault="00DC0C86"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kern w:val="0"/>
          <w14:ligatures w14:val="none"/>
        </w:rPr>
        <w:t>UNICEF</w:t>
      </w:r>
      <w:r w:rsidRPr="00434177">
        <w:rPr>
          <w:rFonts w:ascii="Times New Roman" w:eastAsia="Times New Roman" w:hAnsi="Times New Roman" w:cs="Times New Roman"/>
          <w:kern w:val="0"/>
          <w14:ligatures w14:val="none"/>
        </w:rPr>
        <w:t>&amp; World Health Organization (WHO). (2021). Global report on Vitamin A supplementation coverage 2020. Geneva.</w:t>
      </w:r>
    </w:p>
    <w:p w:rsidR="00027E95" w:rsidRPr="00434177" w:rsidRDefault="00027E95"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UNICEF. (2022).</w:t>
      </w:r>
      <w:r w:rsidRPr="00434177">
        <w:rPr>
          <w:rFonts w:ascii="Times New Roman" w:eastAsia="Times New Roman" w:hAnsi="Times New Roman" w:cs="Times New Roman"/>
          <w:kern w:val="0"/>
          <w14:ligatures w14:val="none"/>
        </w:rPr>
        <w:t>Post-Event Coverage Surveys: Methodological Guidelines for Vitamin A Supplementation. New York: UNICEF.</w:t>
      </w:r>
    </w:p>
    <w:p w:rsidR="0042426A" w:rsidRPr="00434177" w:rsidRDefault="0042426A"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WHO. (2017).</w:t>
      </w:r>
      <w:r w:rsidRPr="00434177">
        <w:rPr>
          <w:rFonts w:ascii="Times New Roman" w:eastAsia="Times New Roman" w:hAnsi="Times New Roman" w:cs="Times New Roman"/>
          <w:kern w:val="0"/>
          <w14:ligatures w14:val="none"/>
        </w:rPr>
        <w:t>Coverage Evaluation Surveys: A Toolkit for Immunization and Vitamin A Programs. Geneva: World Health Organization.</w:t>
      </w:r>
    </w:p>
    <w:p w:rsidR="00A54D4B" w:rsidRPr="00434177" w:rsidRDefault="00A54D4B"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t>World Health Organization. (2018)</w:t>
      </w:r>
      <w:r w:rsidRPr="00434177">
        <w:rPr>
          <w:rFonts w:ascii="Times New Roman" w:eastAsia="Times New Roman" w:hAnsi="Times New Roman" w:cs="Times New Roman"/>
          <w:kern w:val="0"/>
          <w14:ligatures w14:val="none"/>
        </w:rPr>
        <w:t>Vaccination Coverage Cluster Surveys: Reference Manual. WHO; (Reference manual for cluster coverage surveys, useful for design and analysis).</w:t>
      </w:r>
      <w:hyperlink r:id="rId9" w:tgtFrame="_blank" w:history="1">
        <w:r w:rsidRPr="00434177">
          <w:rPr>
            <w:rFonts w:ascii="Times New Roman" w:eastAsia="Times New Roman" w:hAnsi="Times New Roman" w:cs="Times New Roman"/>
            <w:color w:val="0000FF"/>
            <w:kern w:val="0"/>
            <w:u w:val="single"/>
            <w14:ligatures w14:val="none"/>
          </w:rPr>
          <w:t>World Health Organization+1</w:t>
        </w:r>
      </w:hyperlink>
    </w:p>
    <w:p w:rsidR="00346161" w:rsidRPr="00434177" w:rsidRDefault="00346161" w:rsidP="00434177">
      <w:pPr>
        <w:spacing w:before="100" w:beforeAutospacing="1" w:after="100" w:afterAutospacing="1" w:line="240" w:lineRule="auto"/>
        <w:jc w:val="both"/>
        <w:rPr>
          <w:rFonts w:ascii="Times New Roman" w:eastAsia="Times New Roman" w:hAnsi="Times New Roman" w:cs="Times New Roman"/>
          <w:kern w:val="0"/>
          <w14:ligatures w14:val="none"/>
        </w:rPr>
      </w:pPr>
      <w:r w:rsidRPr="00434177">
        <w:rPr>
          <w:rFonts w:ascii="Times New Roman" w:eastAsia="Times New Roman" w:hAnsi="Times New Roman" w:cs="Times New Roman"/>
          <w:b/>
          <w:bCs/>
          <w:kern w:val="0"/>
          <w14:ligatures w14:val="none"/>
        </w:rPr>
        <w:lastRenderedPageBreak/>
        <w:t>Wamani, H., et al. (2019).</w:t>
      </w:r>
      <w:r w:rsidRPr="00434177">
        <w:rPr>
          <w:rFonts w:ascii="Times New Roman" w:eastAsia="Times New Roman" w:hAnsi="Times New Roman" w:cs="Times New Roman"/>
          <w:kern w:val="0"/>
          <w14:ligatures w14:val="none"/>
        </w:rPr>
        <w:t>Education of mothers and child health outcomes in Africa, Social Science &amp; Medicine, 228, 130–137.</w:t>
      </w:r>
    </w:p>
    <w:p w:rsidR="00346161" w:rsidRPr="00434177" w:rsidRDefault="00346161" w:rsidP="00434177">
      <w:pPr>
        <w:spacing w:line="240" w:lineRule="auto"/>
        <w:jc w:val="both"/>
        <w:rPr>
          <w:rFonts w:ascii="Times New Roman" w:hAnsi="Times New Roman" w:cs="Times New Roman"/>
        </w:rPr>
      </w:pPr>
    </w:p>
    <w:p w:rsidR="00A54D4B" w:rsidRPr="00434177" w:rsidRDefault="00A54D4B" w:rsidP="00434177">
      <w:pPr>
        <w:spacing w:before="100" w:beforeAutospacing="1" w:after="100" w:afterAutospacing="1" w:line="240" w:lineRule="auto"/>
        <w:ind w:left="720"/>
        <w:jc w:val="both"/>
        <w:rPr>
          <w:rFonts w:ascii="Times New Roman" w:eastAsia="Times New Roman" w:hAnsi="Times New Roman" w:cs="Times New Roman"/>
          <w:kern w:val="0"/>
          <w14:ligatures w14:val="none"/>
        </w:rPr>
      </w:pPr>
    </w:p>
    <w:p w:rsidR="005C3364" w:rsidRPr="00434177" w:rsidRDefault="005C3364" w:rsidP="00434177">
      <w:pPr>
        <w:pBdr>
          <w:bottom w:val="single" w:sz="6" w:space="1" w:color="auto"/>
        </w:pBdr>
        <w:spacing w:after="0" w:line="240" w:lineRule="auto"/>
        <w:jc w:val="both"/>
        <w:rPr>
          <w:rFonts w:ascii="Times New Roman" w:eastAsia="Times New Roman" w:hAnsi="Times New Roman" w:cs="Times New Roman"/>
          <w:vanish/>
          <w:kern w:val="0"/>
          <w14:ligatures w14:val="none"/>
        </w:rPr>
      </w:pPr>
      <w:r w:rsidRPr="00434177">
        <w:rPr>
          <w:rFonts w:ascii="Times New Roman" w:eastAsia="Times New Roman" w:hAnsi="Times New Roman" w:cs="Times New Roman"/>
          <w:vanish/>
          <w:kern w:val="0"/>
          <w14:ligatures w14:val="none"/>
        </w:rPr>
        <w:t>Top of form</w:t>
      </w:r>
    </w:p>
    <w:p w:rsidR="005C3364" w:rsidRPr="00434177" w:rsidRDefault="005C3364" w:rsidP="00434177">
      <w:pPr>
        <w:pBdr>
          <w:top w:val="single" w:sz="6" w:space="1" w:color="auto"/>
        </w:pBdr>
        <w:spacing w:after="0" w:line="240" w:lineRule="auto"/>
        <w:jc w:val="both"/>
        <w:rPr>
          <w:rFonts w:ascii="Times New Roman" w:eastAsia="Times New Roman" w:hAnsi="Times New Roman" w:cs="Times New Roman"/>
          <w:vanish/>
          <w:kern w:val="0"/>
          <w14:ligatures w14:val="none"/>
        </w:rPr>
      </w:pPr>
      <w:r w:rsidRPr="00434177">
        <w:rPr>
          <w:rFonts w:ascii="Times New Roman" w:eastAsia="Times New Roman" w:hAnsi="Times New Roman" w:cs="Times New Roman"/>
          <w:vanish/>
          <w:kern w:val="0"/>
          <w14:ligatures w14:val="none"/>
        </w:rPr>
        <w:t>Bottom of the form</w:t>
      </w:r>
    </w:p>
    <w:bookmarkEnd w:id="1"/>
    <w:p w:rsidR="005C3364" w:rsidRPr="00434177" w:rsidRDefault="005C3364" w:rsidP="00434177">
      <w:pPr>
        <w:spacing w:line="240" w:lineRule="auto"/>
        <w:jc w:val="both"/>
        <w:rPr>
          <w:rFonts w:ascii="Times New Roman" w:hAnsi="Times New Roman" w:cs="Times New Roman"/>
        </w:rPr>
      </w:pPr>
    </w:p>
    <w:sectPr w:rsidR="005C3364" w:rsidRPr="0043417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7F4" w:rsidRDefault="006877F4" w:rsidP="000129C7">
      <w:pPr>
        <w:spacing w:after="0" w:line="240" w:lineRule="auto"/>
      </w:pPr>
      <w:r>
        <w:separator/>
      </w:r>
    </w:p>
  </w:endnote>
  <w:endnote w:type="continuationSeparator" w:id="0">
    <w:p w:rsidR="006877F4" w:rsidRDefault="006877F4" w:rsidP="0001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676238"/>
      <w:docPartObj>
        <w:docPartGallery w:val="Page Numbers (Bottom of Page)"/>
        <w:docPartUnique/>
      </w:docPartObj>
    </w:sdtPr>
    <w:sdtEndPr/>
    <w:sdtContent>
      <w:p w:rsidR="000129C7" w:rsidRDefault="000129C7">
        <w:pPr>
          <w:pStyle w:val="Footer"/>
          <w:jc w:val="right"/>
        </w:pPr>
        <w:r>
          <w:fldChar w:fldCharType="begin"/>
        </w:r>
        <w:r>
          <w:instrText>PAGE   \* MERGEFORMAT</w:instrText>
        </w:r>
        <w:r>
          <w:fldChar w:fldCharType="separate"/>
        </w:r>
        <w:r w:rsidR="000F7031" w:rsidRPr="000F7031">
          <w:rPr>
            <w:noProof/>
            <w:lang w:val="fr-FR"/>
          </w:rPr>
          <w:t>7</w:t>
        </w:r>
        <w:r>
          <w:fldChar w:fldCharType="end"/>
        </w:r>
      </w:p>
    </w:sdtContent>
  </w:sdt>
  <w:p w:rsidR="000129C7" w:rsidRDefault="00012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7F4" w:rsidRDefault="006877F4" w:rsidP="000129C7">
      <w:pPr>
        <w:spacing w:after="0" w:line="240" w:lineRule="auto"/>
      </w:pPr>
      <w:r>
        <w:separator/>
      </w:r>
    </w:p>
  </w:footnote>
  <w:footnote w:type="continuationSeparator" w:id="0">
    <w:p w:rsidR="006877F4" w:rsidRDefault="006877F4" w:rsidP="0001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2" style="width:0;height:1.5pt" o:hralign="center" o:bullet="t" o:hrstd="t" o:hr="t" fillcolor="#a0a0a0" stroked="f"/>
    </w:pict>
  </w:numPicBullet>
  <w:abstractNum w:abstractNumId="0" w15:restartNumberingAfterBreak="0">
    <w:nsid w:val="08F137F6"/>
    <w:multiLevelType w:val="multilevel"/>
    <w:tmpl w:val="33DA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C6A4C"/>
    <w:multiLevelType w:val="multilevel"/>
    <w:tmpl w:val="6D82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915A1"/>
    <w:multiLevelType w:val="multilevel"/>
    <w:tmpl w:val="D6D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13466"/>
    <w:multiLevelType w:val="multilevel"/>
    <w:tmpl w:val="D568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D5735"/>
    <w:multiLevelType w:val="multilevel"/>
    <w:tmpl w:val="971A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E0A06"/>
    <w:multiLevelType w:val="multilevel"/>
    <w:tmpl w:val="B73870D6"/>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D209F"/>
    <w:multiLevelType w:val="multilevel"/>
    <w:tmpl w:val="35DEC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E04FAD"/>
    <w:multiLevelType w:val="multilevel"/>
    <w:tmpl w:val="AB12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B0EC9"/>
    <w:multiLevelType w:val="multilevel"/>
    <w:tmpl w:val="DF5C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86CC9"/>
    <w:multiLevelType w:val="multilevel"/>
    <w:tmpl w:val="35A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37062"/>
    <w:multiLevelType w:val="multilevel"/>
    <w:tmpl w:val="534C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0204D"/>
    <w:multiLevelType w:val="multilevel"/>
    <w:tmpl w:val="A51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97290"/>
    <w:multiLevelType w:val="multilevel"/>
    <w:tmpl w:val="7E9E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05C4A"/>
    <w:multiLevelType w:val="multilevel"/>
    <w:tmpl w:val="928C6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D50D0"/>
    <w:multiLevelType w:val="multilevel"/>
    <w:tmpl w:val="F0B6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B2DEF"/>
    <w:multiLevelType w:val="multilevel"/>
    <w:tmpl w:val="EEA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B7323"/>
    <w:multiLevelType w:val="multilevel"/>
    <w:tmpl w:val="8E30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42C32"/>
    <w:multiLevelType w:val="multilevel"/>
    <w:tmpl w:val="7C844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C0069"/>
    <w:multiLevelType w:val="multilevel"/>
    <w:tmpl w:val="C3EE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56E47"/>
    <w:multiLevelType w:val="multilevel"/>
    <w:tmpl w:val="AE22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2E0717"/>
    <w:multiLevelType w:val="multilevel"/>
    <w:tmpl w:val="77F0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FE3ADA"/>
    <w:multiLevelType w:val="multilevel"/>
    <w:tmpl w:val="F1C0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16893"/>
    <w:multiLevelType w:val="multilevel"/>
    <w:tmpl w:val="3A04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1957DB"/>
    <w:multiLevelType w:val="multilevel"/>
    <w:tmpl w:val="4418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32532A"/>
    <w:multiLevelType w:val="multilevel"/>
    <w:tmpl w:val="7198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52169E"/>
    <w:multiLevelType w:val="multilevel"/>
    <w:tmpl w:val="B910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04112F"/>
    <w:multiLevelType w:val="multilevel"/>
    <w:tmpl w:val="BC2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3"/>
  </w:num>
  <w:num w:numId="4">
    <w:abstractNumId w:val="11"/>
  </w:num>
  <w:num w:numId="5">
    <w:abstractNumId w:val="7"/>
  </w:num>
  <w:num w:numId="6">
    <w:abstractNumId w:val="2"/>
  </w:num>
  <w:num w:numId="7">
    <w:abstractNumId w:val="16"/>
  </w:num>
  <w:num w:numId="8">
    <w:abstractNumId w:val="4"/>
  </w:num>
  <w:num w:numId="9">
    <w:abstractNumId w:val="21"/>
  </w:num>
  <w:num w:numId="10">
    <w:abstractNumId w:val="25"/>
  </w:num>
  <w:num w:numId="11">
    <w:abstractNumId w:val="20"/>
  </w:num>
  <w:num w:numId="12">
    <w:abstractNumId w:val="17"/>
  </w:num>
  <w:num w:numId="13">
    <w:abstractNumId w:val="10"/>
  </w:num>
  <w:num w:numId="14">
    <w:abstractNumId w:val="5"/>
  </w:num>
  <w:num w:numId="15">
    <w:abstractNumId w:val="24"/>
  </w:num>
  <w:num w:numId="16">
    <w:abstractNumId w:val="12"/>
  </w:num>
  <w:num w:numId="17">
    <w:abstractNumId w:val="8"/>
  </w:num>
  <w:num w:numId="18">
    <w:abstractNumId w:val="1"/>
  </w:num>
  <w:num w:numId="19">
    <w:abstractNumId w:val="3"/>
  </w:num>
  <w:num w:numId="20">
    <w:abstractNumId w:val="15"/>
  </w:num>
  <w:num w:numId="21">
    <w:abstractNumId w:val="23"/>
  </w:num>
  <w:num w:numId="22">
    <w:abstractNumId w:val="0"/>
  </w:num>
  <w:num w:numId="23">
    <w:abstractNumId w:val="26"/>
  </w:num>
  <w:num w:numId="24">
    <w:abstractNumId w:val="18"/>
  </w:num>
  <w:num w:numId="25">
    <w:abstractNumId w:val="22"/>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64"/>
    <w:rsid w:val="000129C7"/>
    <w:rsid w:val="00022E2D"/>
    <w:rsid w:val="00023B0C"/>
    <w:rsid w:val="00027E95"/>
    <w:rsid w:val="000600E3"/>
    <w:rsid w:val="000706DA"/>
    <w:rsid w:val="000806DF"/>
    <w:rsid w:val="000C0D40"/>
    <w:rsid w:val="000D1C45"/>
    <w:rsid w:val="000F3A43"/>
    <w:rsid w:val="000F7031"/>
    <w:rsid w:val="00130FA0"/>
    <w:rsid w:val="001539F5"/>
    <w:rsid w:val="001833C7"/>
    <w:rsid w:val="001A75FE"/>
    <w:rsid w:val="001B0793"/>
    <w:rsid w:val="001B3C75"/>
    <w:rsid w:val="001E5C42"/>
    <w:rsid w:val="00204E21"/>
    <w:rsid w:val="002316DE"/>
    <w:rsid w:val="00251F5D"/>
    <w:rsid w:val="002918B2"/>
    <w:rsid w:val="00293FC3"/>
    <w:rsid w:val="002D1EC4"/>
    <w:rsid w:val="003419B8"/>
    <w:rsid w:val="00346161"/>
    <w:rsid w:val="00351ABE"/>
    <w:rsid w:val="00375AAF"/>
    <w:rsid w:val="003B243E"/>
    <w:rsid w:val="00405ADB"/>
    <w:rsid w:val="00417424"/>
    <w:rsid w:val="0042426A"/>
    <w:rsid w:val="00434177"/>
    <w:rsid w:val="00441318"/>
    <w:rsid w:val="00444623"/>
    <w:rsid w:val="004857C4"/>
    <w:rsid w:val="004871D5"/>
    <w:rsid w:val="00495CBA"/>
    <w:rsid w:val="004A3007"/>
    <w:rsid w:val="004C6DCA"/>
    <w:rsid w:val="005149A7"/>
    <w:rsid w:val="00535702"/>
    <w:rsid w:val="00547FEC"/>
    <w:rsid w:val="00563686"/>
    <w:rsid w:val="005738B3"/>
    <w:rsid w:val="005C3364"/>
    <w:rsid w:val="005E619A"/>
    <w:rsid w:val="005F51B0"/>
    <w:rsid w:val="005F5FD9"/>
    <w:rsid w:val="006164D5"/>
    <w:rsid w:val="00636D5D"/>
    <w:rsid w:val="00643611"/>
    <w:rsid w:val="0064718D"/>
    <w:rsid w:val="006770F6"/>
    <w:rsid w:val="006877F4"/>
    <w:rsid w:val="00694C97"/>
    <w:rsid w:val="006D6617"/>
    <w:rsid w:val="006F246E"/>
    <w:rsid w:val="00705A30"/>
    <w:rsid w:val="00713C4E"/>
    <w:rsid w:val="007146FD"/>
    <w:rsid w:val="007604AC"/>
    <w:rsid w:val="0076160F"/>
    <w:rsid w:val="007B575A"/>
    <w:rsid w:val="007E0F4A"/>
    <w:rsid w:val="00806048"/>
    <w:rsid w:val="0084431E"/>
    <w:rsid w:val="00887C49"/>
    <w:rsid w:val="00894AB0"/>
    <w:rsid w:val="009556FA"/>
    <w:rsid w:val="009C02C4"/>
    <w:rsid w:val="00A54D4B"/>
    <w:rsid w:val="00A90263"/>
    <w:rsid w:val="00A952D7"/>
    <w:rsid w:val="00AB10C8"/>
    <w:rsid w:val="00B206D7"/>
    <w:rsid w:val="00B26E63"/>
    <w:rsid w:val="00B631DA"/>
    <w:rsid w:val="00BB2801"/>
    <w:rsid w:val="00BC4D71"/>
    <w:rsid w:val="00BD2678"/>
    <w:rsid w:val="00BD7794"/>
    <w:rsid w:val="00BF3ECD"/>
    <w:rsid w:val="00C11D97"/>
    <w:rsid w:val="00C15617"/>
    <w:rsid w:val="00C2226E"/>
    <w:rsid w:val="00C45971"/>
    <w:rsid w:val="00C45B94"/>
    <w:rsid w:val="00C55671"/>
    <w:rsid w:val="00CD4B3F"/>
    <w:rsid w:val="00CE5CAA"/>
    <w:rsid w:val="00D512F9"/>
    <w:rsid w:val="00D57F07"/>
    <w:rsid w:val="00D7098D"/>
    <w:rsid w:val="00D742EA"/>
    <w:rsid w:val="00DA0076"/>
    <w:rsid w:val="00DC0C86"/>
    <w:rsid w:val="00DD6C07"/>
    <w:rsid w:val="00DF7508"/>
    <w:rsid w:val="00E07D8B"/>
    <w:rsid w:val="00E11A36"/>
    <w:rsid w:val="00E43BF4"/>
    <w:rsid w:val="00E70498"/>
    <w:rsid w:val="00E725AE"/>
    <w:rsid w:val="00EA2834"/>
    <w:rsid w:val="00EB688F"/>
    <w:rsid w:val="00EC7595"/>
    <w:rsid w:val="00F23979"/>
    <w:rsid w:val="00F43635"/>
    <w:rsid w:val="00F55B84"/>
    <w:rsid w:val="00F669AF"/>
    <w:rsid w:val="00F8581C"/>
    <w:rsid w:val="00F920A1"/>
    <w:rsid w:val="00FB4F29"/>
  </w:rsids>
  <m:mathPr>
    <m:mathFont m:val="Cambria Math"/>
    <m:brkBin m:val="before"/>
    <m:brkBinSub m:val="--"/>
    <m:smallFrac m:val="0"/>
    <m:dispDef/>
    <m:lMargin m:val="0"/>
    <m:rMargin m:val="0"/>
    <m:defJc m:val="centerGroup"/>
    <m:wrapIndent m:val="1440"/>
    <m:intLim m:val="subSup"/>
    <m:naryLim m:val="undOvr"/>
  </m:mathPr>
  <w:themeFontLang w:val="fr-C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EA8B7"/>
  <w15:chartTrackingRefBased/>
  <w15:docId w15:val="{0A9CCAE2-B7D0-4CF1-9017-E3B7A984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CI"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C3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C33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3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3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C3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C3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364"/>
    <w:rPr>
      <w:rFonts w:eastAsiaTheme="majorEastAsia" w:cstheme="majorBidi"/>
      <w:color w:val="272727" w:themeColor="text1" w:themeTint="D8"/>
    </w:rPr>
  </w:style>
  <w:style w:type="paragraph" w:styleId="Title">
    <w:name w:val="Title"/>
    <w:basedOn w:val="Normal"/>
    <w:next w:val="Normal"/>
    <w:link w:val="TitleChar"/>
    <w:uiPriority w:val="10"/>
    <w:qFormat/>
    <w:rsid w:val="005C3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364"/>
    <w:pPr>
      <w:spacing w:before="160"/>
      <w:jc w:val="center"/>
    </w:pPr>
    <w:rPr>
      <w:i/>
      <w:iCs/>
      <w:color w:val="404040" w:themeColor="text1" w:themeTint="BF"/>
    </w:rPr>
  </w:style>
  <w:style w:type="character" w:customStyle="1" w:styleId="QuoteChar">
    <w:name w:val="Quote Char"/>
    <w:basedOn w:val="DefaultParagraphFont"/>
    <w:link w:val="Quote"/>
    <w:uiPriority w:val="29"/>
    <w:rsid w:val="005C3364"/>
    <w:rPr>
      <w:i/>
      <w:iCs/>
      <w:color w:val="404040" w:themeColor="text1" w:themeTint="BF"/>
    </w:rPr>
  </w:style>
  <w:style w:type="paragraph" w:styleId="ListParagraph">
    <w:name w:val="List Paragraph"/>
    <w:basedOn w:val="Normal"/>
    <w:uiPriority w:val="34"/>
    <w:qFormat/>
    <w:rsid w:val="005C3364"/>
    <w:pPr>
      <w:ind w:left="720"/>
      <w:contextualSpacing/>
    </w:pPr>
  </w:style>
  <w:style w:type="character" w:styleId="IntenseEmphasis">
    <w:name w:val="Intense Emphasis"/>
    <w:basedOn w:val="DefaultParagraphFont"/>
    <w:uiPriority w:val="21"/>
    <w:qFormat/>
    <w:rsid w:val="005C3364"/>
    <w:rPr>
      <w:i/>
      <w:iCs/>
      <w:color w:val="2F5496" w:themeColor="accent1" w:themeShade="BF"/>
    </w:rPr>
  </w:style>
  <w:style w:type="paragraph" w:styleId="IntenseQuote">
    <w:name w:val="Intense Quote"/>
    <w:basedOn w:val="Normal"/>
    <w:next w:val="Normal"/>
    <w:link w:val="IntenseQuoteChar"/>
    <w:uiPriority w:val="30"/>
    <w:qFormat/>
    <w:rsid w:val="005C3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364"/>
    <w:rPr>
      <w:i/>
      <w:iCs/>
      <w:color w:val="2F5496" w:themeColor="accent1" w:themeShade="BF"/>
    </w:rPr>
  </w:style>
  <w:style w:type="character" w:styleId="IntenseReference">
    <w:name w:val="Intense Reference"/>
    <w:basedOn w:val="DefaultParagraphFont"/>
    <w:uiPriority w:val="32"/>
    <w:qFormat/>
    <w:rsid w:val="005C3364"/>
    <w:rPr>
      <w:b/>
      <w:bCs/>
      <w:smallCaps/>
      <w:color w:val="2F5496" w:themeColor="accent1" w:themeShade="BF"/>
      <w:spacing w:val="5"/>
    </w:rPr>
  </w:style>
  <w:style w:type="character" w:styleId="Strong">
    <w:name w:val="Strong"/>
    <w:basedOn w:val="DefaultParagraphFont"/>
    <w:uiPriority w:val="22"/>
    <w:qFormat/>
    <w:rsid w:val="00DC0C86"/>
    <w:rPr>
      <w:b/>
      <w:bCs/>
    </w:rPr>
  </w:style>
  <w:style w:type="paragraph" w:styleId="NormalWeb">
    <w:name w:val="Normal (Web)"/>
    <w:basedOn w:val="Normal"/>
    <w:uiPriority w:val="99"/>
    <w:semiHidden/>
    <w:unhideWhenUsed/>
    <w:rsid w:val="00DC0C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C0C86"/>
    <w:rPr>
      <w:i/>
      <w:iCs/>
    </w:rPr>
  </w:style>
  <w:style w:type="character" w:styleId="Hyperlink">
    <w:name w:val="Hyperlink"/>
    <w:basedOn w:val="DefaultParagraphFont"/>
    <w:uiPriority w:val="99"/>
    <w:unhideWhenUsed/>
    <w:rsid w:val="00F920A1"/>
    <w:rPr>
      <w:color w:val="0563C1" w:themeColor="hyperlink"/>
      <w:u w:val="single"/>
    </w:rPr>
  </w:style>
  <w:style w:type="character" w:customStyle="1" w:styleId="Mentionnonrsolue1">
    <w:name w:val="Mention non résolue1"/>
    <w:basedOn w:val="DefaultParagraphFont"/>
    <w:uiPriority w:val="99"/>
    <w:semiHidden/>
    <w:unhideWhenUsed/>
    <w:rsid w:val="00F920A1"/>
    <w:rPr>
      <w:color w:val="605E5C"/>
      <w:shd w:val="clear" w:color="auto" w:fill="E1DFDD"/>
    </w:rPr>
  </w:style>
  <w:style w:type="paragraph" w:styleId="Header">
    <w:name w:val="header"/>
    <w:basedOn w:val="Normal"/>
    <w:link w:val="HeaderChar"/>
    <w:uiPriority w:val="99"/>
    <w:unhideWhenUsed/>
    <w:rsid w:val="000129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29C7"/>
  </w:style>
  <w:style w:type="paragraph" w:styleId="Footer">
    <w:name w:val="footer"/>
    <w:basedOn w:val="Normal"/>
    <w:link w:val="FooterChar"/>
    <w:uiPriority w:val="99"/>
    <w:unhideWhenUsed/>
    <w:rsid w:val="000129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ho.int/publications/i/item/WHO-IVB-18.09?utm_source=chatgp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8</Pages>
  <Words>3088</Words>
  <Characters>17608</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ADEPO</dc:creator>
  <cp:keywords/>
  <dc:description/>
  <cp:lastModifiedBy>SDI 1158</cp:lastModifiedBy>
  <cp:revision>124</cp:revision>
  <dcterms:created xsi:type="dcterms:W3CDTF">2025-10-21T17:41:00Z</dcterms:created>
  <dcterms:modified xsi:type="dcterms:W3CDTF">2026-01-31T11:28:00Z</dcterms:modified>
</cp:coreProperties>
</file>