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035" w14:textId="7723AED1" w:rsidR="009C7DE4" w:rsidRDefault="00F96F7A">
      <w:pPr>
        <w:rPr>
          <w:lang w:val="en-US"/>
        </w:rPr>
      </w:pPr>
      <w:bookmarkStart w:id="0" w:name="_Hlk217833627"/>
      <w:r>
        <w:t xml:space="preserve">When </w:t>
      </w:r>
      <w:r>
        <w:rPr>
          <w:lang w:val="en-US"/>
        </w:rPr>
        <w:t xml:space="preserve">Cardiomyopathy </w:t>
      </w:r>
      <w:r w:rsidR="00FE3F59">
        <w:rPr>
          <w:lang w:val="en-US"/>
        </w:rPr>
        <w:t>M</w:t>
      </w:r>
      <w:r>
        <w:rPr>
          <w:lang w:val="en-US"/>
        </w:rPr>
        <w:t>eet</w:t>
      </w:r>
      <w:r w:rsidR="00FE3F59">
        <w:rPr>
          <w:lang w:val="en-US"/>
        </w:rPr>
        <w:t>s</w:t>
      </w:r>
      <w:r>
        <w:rPr>
          <w:lang w:val="en-US"/>
        </w:rPr>
        <w:t xml:space="preserve"> </w:t>
      </w:r>
      <w:r w:rsidR="00FE3F59">
        <w:rPr>
          <w:lang w:val="en-US"/>
        </w:rPr>
        <w:t>N</w:t>
      </w:r>
      <w:r>
        <w:rPr>
          <w:lang w:val="en-US"/>
        </w:rPr>
        <w:t>ephrolithiasis</w:t>
      </w:r>
      <w:r>
        <w:t xml:space="preserve">: Tailored Anaesthesia </w:t>
      </w:r>
      <w:r>
        <w:rPr>
          <w:lang w:val="en-US"/>
        </w:rPr>
        <w:t>in Dilated Cardiomyopathy for Renal surgery</w:t>
      </w:r>
    </w:p>
    <w:p w14:paraId="0AD4C09F" w14:textId="77777777" w:rsidR="00770A0C" w:rsidRDefault="00770A0C">
      <w:pPr>
        <w:rPr>
          <w:lang w:val="en-US"/>
        </w:rPr>
      </w:pPr>
    </w:p>
    <w:p w14:paraId="0EF7E396" w14:textId="77777777" w:rsidR="009C7DE4" w:rsidRDefault="00F96F7A">
      <w:pPr>
        <w:rPr>
          <w:b/>
          <w:bCs/>
          <w:u w:val="single"/>
          <w:lang w:val="en-US"/>
        </w:rPr>
      </w:pPr>
      <w:r>
        <w:rPr>
          <w:b/>
          <w:bCs/>
          <w:u w:val="single"/>
          <w:lang w:val="en-US"/>
        </w:rPr>
        <w:t xml:space="preserve">ABSTRACT: </w:t>
      </w:r>
    </w:p>
    <w:p w14:paraId="56E29F46" w14:textId="77777777" w:rsidR="009C7DE4" w:rsidRDefault="00F96F7A">
      <w:pPr>
        <w:rPr>
          <w:lang w:val="en-US"/>
        </w:rPr>
      </w:pPr>
      <w:r>
        <w:rPr>
          <w:lang w:val="en-US"/>
        </w:rPr>
        <w:t xml:space="preserve">BACKGROUND – Dilated cardiomyopathy presents significant challenges due to impaired ventricular function, risk of perioperative decompensation, and sensitivity to fluids and </w:t>
      </w:r>
      <w:proofErr w:type="spellStart"/>
      <w:r>
        <w:rPr>
          <w:lang w:val="en-US"/>
        </w:rPr>
        <w:t>anaesthetic</w:t>
      </w:r>
      <w:proofErr w:type="spellEnd"/>
      <w:r>
        <w:rPr>
          <w:lang w:val="en-US"/>
        </w:rPr>
        <w:t xml:space="preserve"> agents. Percutaneous nephrolithotomy (PCNL) further increases physiological stress through prone positioning, potential blood loss, and fluctuations in preload.</w:t>
      </w:r>
    </w:p>
    <w:p w14:paraId="4F051998" w14:textId="168CA688" w:rsidR="009C7DE4" w:rsidRDefault="00F96F7A">
      <w:pPr>
        <w:rPr>
          <w:lang w:val="en-US"/>
        </w:rPr>
      </w:pPr>
      <w:r>
        <w:rPr>
          <w:lang w:val="en-US"/>
        </w:rPr>
        <w:t xml:space="preserve">CASE PRESENTATION – We report the </w:t>
      </w:r>
      <w:proofErr w:type="spellStart"/>
      <w:r>
        <w:rPr>
          <w:lang w:val="en-US"/>
        </w:rPr>
        <w:t>anaesthetic</w:t>
      </w:r>
      <w:proofErr w:type="spellEnd"/>
      <w:r>
        <w:rPr>
          <w:lang w:val="en-US"/>
        </w:rPr>
        <w:t xml:space="preserve"> management of a </w:t>
      </w:r>
      <w:r w:rsidR="006F67AF">
        <w:rPr>
          <w:lang w:val="en-US"/>
        </w:rPr>
        <w:t>middle aged male</w:t>
      </w:r>
      <w:r>
        <w:rPr>
          <w:lang w:val="en-US"/>
        </w:rPr>
        <w:t xml:space="preserve"> patient with known dilated cardiomyopathy </w:t>
      </w:r>
      <w:proofErr w:type="gramStart"/>
      <w:r>
        <w:rPr>
          <w:lang w:val="en-US"/>
        </w:rPr>
        <w:t>( ejection</w:t>
      </w:r>
      <w:proofErr w:type="gramEnd"/>
      <w:r>
        <w:rPr>
          <w:lang w:val="en-US"/>
        </w:rPr>
        <w:t xml:space="preserve"> fraction 15% ) scheduled for elective PCNL. Preoperative optimization included continuation of guideline – directed medical therapy and meticulous cardiovascular evaluation. Intraoperative management focused on maintaining </w:t>
      </w:r>
      <w:proofErr w:type="spellStart"/>
      <w:r>
        <w:rPr>
          <w:lang w:val="en-US"/>
        </w:rPr>
        <w:t>haemodynamic</w:t>
      </w:r>
      <w:proofErr w:type="spellEnd"/>
      <w:r>
        <w:rPr>
          <w:lang w:val="en-US"/>
        </w:rPr>
        <w:t xml:space="preserve"> stability using a balanced </w:t>
      </w:r>
      <w:proofErr w:type="spellStart"/>
      <w:r>
        <w:rPr>
          <w:lang w:val="en-US"/>
        </w:rPr>
        <w:t>anaesthetic</w:t>
      </w:r>
      <w:proofErr w:type="spellEnd"/>
      <w:r>
        <w:rPr>
          <w:lang w:val="en-US"/>
        </w:rPr>
        <w:t xml:space="preserve"> technique, invasive blood pressure monitoring, ultrasound guided central venous access and goal directed fluid therapy. Induction was achieved with cardio – stable agents, and ventilation was adjusted to avoid increases in pulmonary vascular resistance. The prone position was carefully executed with continuous vigilance on cardiac performance. The surgery proceeded uneventfully with stable </w:t>
      </w:r>
      <w:proofErr w:type="spellStart"/>
      <w:r>
        <w:rPr>
          <w:lang w:val="en-US"/>
        </w:rPr>
        <w:t>haemodynamics</w:t>
      </w:r>
      <w:proofErr w:type="spellEnd"/>
      <w:r>
        <w:rPr>
          <w:lang w:val="en-US"/>
        </w:rPr>
        <w:t xml:space="preserve"> throughout. Postoperatively, the patient was monitored in a high – dependency unit and recovered without complications.</w:t>
      </w:r>
    </w:p>
    <w:p w14:paraId="11B3BBE8" w14:textId="77777777" w:rsidR="009C7DE4" w:rsidRDefault="00F96F7A">
      <w:pPr>
        <w:rPr>
          <w:lang w:val="en-US"/>
        </w:rPr>
      </w:pPr>
      <w:r>
        <w:rPr>
          <w:lang w:val="en-US"/>
        </w:rPr>
        <w:t xml:space="preserve">CONCLUSION – PCNL in patients with DCM can be safely performed with meticulous perioperative planning. Judicious choice of </w:t>
      </w:r>
      <w:proofErr w:type="spellStart"/>
      <w:r>
        <w:rPr>
          <w:lang w:val="en-US"/>
        </w:rPr>
        <w:t>anaesthetic</w:t>
      </w:r>
      <w:proofErr w:type="spellEnd"/>
      <w:r>
        <w:rPr>
          <w:lang w:val="en-US"/>
        </w:rPr>
        <w:t xml:space="preserve"> agents, vigilant hemodynamic monitoring, and goal directed fluid therapy. The case highlights the importance of </w:t>
      </w:r>
      <w:proofErr w:type="spellStart"/>
      <w:proofErr w:type="gramStart"/>
      <w:r>
        <w:rPr>
          <w:lang w:val="en-US"/>
        </w:rPr>
        <w:t>a</w:t>
      </w:r>
      <w:proofErr w:type="spellEnd"/>
      <w:proofErr w:type="gramEnd"/>
      <w:r>
        <w:rPr>
          <w:lang w:val="en-US"/>
        </w:rPr>
        <w:t xml:space="preserve"> individualized, physiology based </w:t>
      </w:r>
      <w:proofErr w:type="spellStart"/>
      <w:r>
        <w:rPr>
          <w:lang w:val="en-US"/>
        </w:rPr>
        <w:t>anaesthetic</w:t>
      </w:r>
      <w:proofErr w:type="spellEnd"/>
      <w:r>
        <w:rPr>
          <w:lang w:val="en-US"/>
        </w:rPr>
        <w:t xml:space="preserve"> approach to minimize perioperative risk in patients with severe cardiac dysfunction.</w:t>
      </w:r>
    </w:p>
    <w:p w14:paraId="373C6509" w14:textId="77777777" w:rsidR="009C7DE4" w:rsidRDefault="009C7DE4">
      <w:pPr>
        <w:rPr>
          <w:b/>
          <w:bCs/>
          <w:u w:val="single"/>
          <w:lang w:val="en-US"/>
        </w:rPr>
      </w:pPr>
    </w:p>
    <w:p w14:paraId="22FCD520" w14:textId="6CC143E3" w:rsidR="009C7DE4" w:rsidRDefault="00F96F7A">
      <w:pPr>
        <w:rPr>
          <w:lang w:val="en-US"/>
        </w:rPr>
      </w:pPr>
      <w:r>
        <w:rPr>
          <w:b/>
          <w:bCs/>
          <w:u w:val="single"/>
          <w:lang w:val="en-US"/>
        </w:rPr>
        <w:t xml:space="preserve">KEYWORDS: </w:t>
      </w:r>
      <w:r>
        <w:t>Dilated cardiomyopathy, Anaesthetic management, Percutaneous nephrolithotomy, Prone position, Low ejection fraction, Hemodynamic stability, Goal directed fluid therapy</w:t>
      </w:r>
      <w:bookmarkStart w:id="1" w:name="_GoBack"/>
      <w:bookmarkEnd w:id="1"/>
    </w:p>
    <w:p w14:paraId="5888F1B5" w14:textId="77777777" w:rsidR="009C7DE4" w:rsidRDefault="009C7DE4">
      <w:pPr>
        <w:rPr>
          <w:b/>
          <w:bCs/>
          <w:u w:val="single"/>
          <w:lang w:val="en-US"/>
        </w:rPr>
      </w:pPr>
    </w:p>
    <w:p w14:paraId="18AD98BA" w14:textId="77777777" w:rsidR="009C7DE4" w:rsidRDefault="00F96F7A">
      <w:r>
        <w:rPr>
          <w:b/>
          <w:bCs/>
        </w:rPr>
        <w:t>INTRODUCTION</w:t>
      </w:r>
      <w:r>
        <w:t xml:space="preserve"> – Dilated Cardiomyopathy (DCM) is a myocardial disease characterised by left or biventricular dilatation with systolic dysfunction in the absence of abnormal loading conditions. It is typically defined by an ejection fraction &lt;40% or a fractional shortening &lt;25% on echocardiography. The </w:t>
      </w:r>
      <w:proofErr w:type="spellStart"/>
      <w:r>
        <w:t>etiology</w:t>
      </w:r>
      <w:proofErr w:type="spellEnd"/>
      <w:r>
        <w:t xml:space="preserve"> is multifactorial, ranging from idiopathic and familial causes to cardiogenic, autoimmune, endocrine and drug induced origins. Clinically, patients often present with symptoms of heart failure, progressive </w:t>
      </w:r>
      <w:proofErr w:type="spellStart"/>
      <w:r>
        <w:t>dyspnea</w:t>
      </w:r>
      <w:proofErr w:type="spellEnd"/>
      <w:r>
        <w:t xml:space="preserve"> on exertion and impaired exercise tolerance. DCM also predisposes to arrhythmias, thromboembolic events, and sudden cardiac death</w:t>
      </w:r>
      <w:r>
        <w:rPr>
          <w:vertAlign w:val="superscript"/>
        </w:rPr>
        <w:t>1</w:t>
      </w:r>
      <w:r>
        <w:t>.</w:t>
      </w:r>
    </w:p>
    <w:p w14:paraId="56C8E798" w14:textId="77777777" w:rsidR="009C7DE4" w:rsidRDefault="00F96F7A">
      <w:r>
        <w:t xml:space="preserve">Percutaneous </w:t>
      </w:r>
      <w:proofErr w:type="spellStart"/>
      <w:r>
        <w:t>nephrolithotripsy</w:t>
      </w:r>
      <w:proofErr w:type="spellEnd"/>
      <w:r>
        <w:t xml:space="preserve"> (PCNL) is a minimally invasive procedure used for renal stones &gt;2cm, staghorn calculi, and stones located in the upper calyces. Due to lower complication rates and faster recovery, it is considered the gold standard for such cases</w:t>
      </w:r>
      <w:r>
        <w:rPr>
          <w:vertAlign w:val="superscript"/>
        </w:rPr>
        <w:t>2</w:t>
      </w:r>
      <w:r>
        <w:t xml:space="preserve">. </w:t>
      </w:r>
    </w:p>
    <w:p w14:paraId="74698BC1" w14:textId="77777777" w:rsidR="009C7DE4" w:rsidRDefault="00F96F7A">
      <w:r>
        <w:t>Anaesthetising a patient with DCM is challenging due to the risk of perioperative heart failure, myocardial ischaemia, arrhythmias, and sudden cardiac death. Careful management is required to counteract the haemodynamic effects of anaesthesia, minimise myocardial depression, alleviate pain, maintain perfusion, prevent complications and treat them promptly.</w:t>
      </w:r>
    </w:p>
    <w:p w14:paraId="10236DA4" w14:textId="3F1A57EB" w:rsidR="009C7DE4" w:rsidRPr="004E63AF" w:rsidRDefault="00F96F7A">
      <w:pPr>
        <w:rPr>
          <w:b/>
        </w:rPr>
      </w:pPr>
      <w:r w:rsidRPr="004E63AF">
        <w:rPr>
          <w:b/>
        </w:rPr>
        <w:t>CASE REPORT</w:t>
      </w:r>
    </w:p>
    <w:p w14:paraId="4A920B82" w14:textId="6E90E2E5" w:rsidR="002160F2" w:rsidRDefault="002160F2">
      <w:r>
        <w:rPr>
          <w:noProof/>
        </w:rPr>
        <w:lastRenderedPageBreak/>
        <mc:AlternateContent>
          <mc:Choice Requires="wps">
            <w:drawing>
              <wp:anchor distT="45720" distB="45720" distL="114300" distR="114300" simplePos="0" relativeHeight="251659264" behindDoc="0" locked="0" layoutInCell="1" allowOverlap="1" wp14:anchorId="6EA1193E" wp14:editId="07E3681A">
                <wp:simplePos x="0" y="0"/>
                <wp:positionH relativeFrom="margin">
                  <wp:align>left</wp:align>
                </wp:positionH>
                <wp:positionV relativeFrom="paragraph">
                  <wp:posOffset>3156585</wp:posOffset>
                </wp:positionV>
                <wp:extent cx="63817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49012324" w14:textId="4B1DA73D" w:rsidR="002160F2" w:rsidRPr="002160F2" w:rsidRDefault="00BC0337">
                            <w:pPr>
                              <w:rPr>
                                <w:lang w:val="en-US"/>
                              </w:rPr>
                            </w:pPr>
                            <w:r>
                              <w:rPr>
                                <w:lang w:val="en-US"/>
                              </w:rPr>
                              <w:t xml:space="preserve">Fig 1: </w:t>
                            </w:r>
                            <w:r w:rsidR="002160F2">
                              <w:rPr>
                                <w:lang w:val="en-US"/>
                              </w:rPr>
                              <w:t>2D Echo image depicting the dilated left ventricle. (</w:t>
                            </w:r>
                            <w:r w:rsidR="002160F2">
                              <w:rPr>
                                <w:i/>
                                <w:iCs/>
                                <w:lang w:val="en-US"/>
                              </w:rPr>
                              <w:t xml:space="preserve">AA – Ascending aorta, AV – </w:t>
                            </w:r>
                            <w:proofErr w:type="spellStart"/>
                            <w:r w:rsidR="002160F2">
                              <w:rPr>
                                <w:i/>
                                <w:iCs/>
                                <w:lang w:val="en-US"/>
                              </w:rPr>
                              <w:t>Aorctic</w:t>
                            </w:r>
                            <w:proofErr w:type="spellEnd"/>
                            <w:r w:rsidR="002160F2">
                              <w:rPr>
                                <w:i/>
                                <w:iCs/>
                                <w:lang w:val="en-US"/>
                              </w:rPr>
                              <w:t xml:space="preserve"> valve, DTA – Descending thoracic aorta, LA – Left atrium, LV – Left ventricle, MV – Mitral valve, RV – Right ventricle)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1193E" id="_x0000_t202" coordsize="21600,21600" o:spt="202" path="m,l,21600r21600,l21600,xe">
                <v:stroke joinstyle="miter"/>
                <v:path gradientshapeok="t" o:connecttype="rect"/>
              </v:shapetype>
              <v:shape id="Text Box 2" o:spid="_x0000_s1026" type="#_x0000_t202" style="position:absolute;margin-left:0;margin-top:248.55pt;width:50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7gJQIAAEc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">
                <v:textbox style="mso-fit-shape-to-text:t">
                  <w:txbxContent>
                    <w:p w14:paraId="49012324" w14:textId="4B1DA73D" w:rsidR="002160F2" w:rsidRPr="002160F2" w:rsidRDefault="00BC0337">
                      <w:pPr>
                        <w:rPr>
                          <w:lang w:val="en-US"/>
                        </w:rPr>
                      </w:pPr>
                      <w:r>
                        <w:rPr>
                          <w:lang w:val="en-US"/>
                        </w:rPr>
                        <w:t xml:space="preserve">Fig 1: </w:t>
                      </w:r>
                      <w:r w:rsidR="002160F2">
                        <w:rPr>
                          <w:lang w:val="en-US"/>
                        </w:rPr>
                        <w:t>2D Echo image depicting the dilated left ventricle. (</w:t>
                      </w:r>
                      <w:r w:rsidR="002160F2">
                        <w:rPr>
                          <w:i/>
                          <w:iCs/>
                          <w:lang w:val="en-US"/>
                        </w:rPr>
                        <w:t xml:space="preserve">AA – Ascending aorta, AV – </w:t>
                      </w:r>
                      <w:proofErr w:type="spellStart"/>
                      <w:r w:rsidR="002160F2">
                        <w:rPr>
                          <w:i/>
                          <w:iCs/>
                          <w:lang w:val="en-US"/>
                        </w:rPr>
                        <w:t>Aorctic</w:t>
                      </w:r>
                      <w:proofErr w:type="spellEnd"/>
                      <w:r w:rsidR="002160F2">
                        <w:rPr>
                          <w:i/>
                          <w:iCs/>
                          <w:lang w:val="en-US"/>
                        </w:rPr>
                        <w:t xml:space="preserve"> valve, DTA – Descending thoracic aorta, LA – Left atrium, LV – Left ventricle, MV – Mitral valve, RV – Right ventricle)</w:t>
                      </w:r>
                    </w:p>
                  </w:txbxContent>
                </v:textbox>
                <w10:wrap type="square" anchorx="margin"/>
              </v:shape>
            </w:pict>
          </mc:Fallback>
        </mc:AlternateContent>
      </w:r>
      <w:r>
        <w:rPr>
          <w:noProof/>
        </w:rPr>
        <w:drawing>
          <wp:inline distT="0" distB="0" distL="0" distR="0" wp14:anchorId="43920A46" wp14:editId="3FB18415">
            <wp:extent cx="4343400" cy="3038454"/>
            <wp:effectExtent l="0" t="0" r="0" b="0"/>
            <wp:docPr id="211678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1501" cy="3051117"/>
                    </a:xfrm>
                    <a:prstGeom prst="rect">
                      <a:avLst/>
                    </a:prstGeom>
                    <a:noFill/>
                    <a:ln>
                      <a:noFill/>
                    </a:ln>
                  </pic:spPr>
                </pic:pic>
              </a:graphicData>
            </a:graphic>
          </wp:inline>
        </w:drawing>
      </w:r>
    </w:p>
    <w:p w14:paraId="3A31F03D" w14:textId="680C2098" w:rsidR="009C7DE4" w:rsidRDefault="00F96F7A">
      <w:r>
        <w:t xml:space="preserve">A </w:t>
      </w:r>
      <w:proofErr w:type="gramStart"/>
      <w:r w:rsidR="002160F2">
        <w:t>middle aged</w:t>
      </w:r>
      <w:proofErr w:type="gramEnd"/>
      <w:r>
        <w:t xml:space="preserve"> male presented with fever and burning micturition for two months. Ultrasonography revealed a right renal pelvic calculus, and he was scheduled for right sided PCNL after </w:t>
      </w:r>
      <w:r w:rsidR="00941639">
        <w:t xml:space="preserve">routine </w:t>
      </w:r>
      <w:r>
        <w:t xml:space="preserve">antibiotic </w:t>
      </w:r>
      <w:r w:rsidR="00941639">
        <w:t>prophylaxis</w:t>
      </w:r>
      <w:r w:rsidR="00547FDA">
        <w:t xml:space="preserve"> with Inj. Cef</w:t>
      </w:r>
      <w:r w:rsidR="00D305D9">
        <w:t>triaxone</w:t>
      </w:r>
      <w:r w:rsidR="00547FDA">
        <w:t xml:space="preserve"> </w:t>
      </w:r>
      <w:r w:rsidR="00941639">
        <w:t>1</w:t>
      </w:r>
      <w:r w:rsidR="00D305D9">
        <w:t>gm</w:t>
      </w:r>
      <w:r w:rsidR="00941639">
        <w:t xml:space="preserve"> BD as per institutional policy. </w:t>
      </w:r>
      <w:r>
        <w:t xml:space="preserve"> During pre </w:t>
      </w:r>
      <w:proofErr w:type="spellStart"/>
      <w:r>
        <w:t>anesthetic</w:t>
      </w:r>
      <w:proofErr w:type="spellEnd"/>
      <w:r>
        <w:t xml:space="preserve"> evaluation, it was discovered that six years earlier, he had presented with chest pain and </w:t>
      </w:r>
      <w:proofErr w:type="spellStart"/>
      <w:r>
        <w:t>dyspnea</w:t>
      </w:r>
      <w:proofErr w:type="spellEnd"/>
      <w:r>
        <w:t xml:space="preserve"> and had been diagnosed with dilated cardiomyopathy. His mother had died of sudden cardiac death.</w:t>
      </w:r>
    </w:p>
    <w:p w14:paraId="28DA2ED3" w14:textId="5079B942" w:rsidR="009C7DE4" w:rsidRDefault="00F96F7A">
      <w:r>
        <w:t xml:space="preserve">He was on guideline directed medical </w:t>
      </w:r>
      <w:proofErr w:type="gramStart"/>
      <w:r>
        <w:t>therapy :</w:t>
      </w:r>
      <w:proofErr w:type="gramEnd"/>
      <w:r>
        <w:t xml:space="preserve"> Sacubitril/Valsartan 24/26mg BD, Metoprolol 50mg OD, </w:t>
      </w:r>
      <w:proofErr w:type="spellStart"/>
      <w:r>
        <w:t>Lasilactone</w:t>
      </w:r>
      <w:proofErr w:type="spellEnd"/>
      <w:r>
        <w:t xml:space="preserve"> ( Furosemide 20mg + Spironolactone 50mg) OD,</w:t>
      </w:r>
      <w:r w:rsidR="00D9114D">
        <w:t xml:space="preserve"> Aspirin</w:t>
      </w:r>
      <w:r>
        <w:t xml:space="preserve"> 75</w:t>
      </w:r>
      <w:r w:rsidR="00D9114D">
        <w:t xml:space="preserve">mg and Atorvastatin </w:t>
      </w:r>
      <w:r>
        <w:t>20</w:t>
      </w:r>
      <w:r w:rsidR="00D9114D">
        <w:t xml:space="preserve">mg </w:t>
      </w:r>
      <w:r>
        <w:t xml:space="preserve">OD and Dapagliflozin 10mg OD. Dapagliflozin was stopped a week before surgery. On evaluation, he </w:t>
      </w:r>
      <w:proofErr w:type="gramStart"/>
      <w:r>
        <w:t>reported  improved</w:t>
      </w:r>
      <w:proofErr w:type="gramEnd"/>
      <w:r>
        <w:t xml:space="preserve"> functional capacity was able to perform daily activities with slight limitation (NYHA  II). Preoperative vital parameters: HR 60-80/min and BP 90-120/50-80 mmHg. ECG showed complete LBBB. Echocardiography performed four months earlier showed LV hypokinesia with EF 15-20% and mild -to-moderate mitral regurgitation. Renal parameters were normal apart from serum creatinine 1.6mg/dL. High-risk informed consent was obtained, including the risk of perioperative cardiac events and postoperative ventilation.</w:t>
      </w:r>
    </w:p>
    <w:p w14:paraId="55432640" w14:textId="2C1BA514" w:rsidR="009C7DE4" w:rsidRDefault="00F96F7A">
      <w:pPr>
        <w:rPr>
          <w:rFonts w:cs="Calibri"/>
        </w:rPr>
      </w:pPr>
      <w:r>
        <w:t xml:space="preserve">Intraoperative </w:t>
      </w:r>
      <w:proofErr w:type="gramStart"/>
      <w:r>
        <w:t>Management :</w:t>
      </w:r>
      <w:proofErr w:type="gramEnd"/>
      <w:r>
        <w:t xml:space="preserve"> Defibrillator, vasopressors, and inotropes were kept ready. Monitoring included 5 – lead ECG, NIBP, and pulse oximetry. Baseline vitals – HR 80/min, BP 110/80 mmHg, SpO2 100% on room air. Under local </w:t>
      </w:r>
      <w:proofErr w:type="spellStart"/>
      <w:r>
        <w:t>anesthesia</w:t>
      </w:r>
      <w:proofErr w:type="spellEnd"/>
      <w:r>
        <w:t>, a 20G radial arterial line was secured. Two 18G peripheral iv lines were placed. Noradrenaline infusion w</w:t>
      </w:r>
      <w:r w:rsidR="006F4F7F">
        <w:t>as</w:t>
      </w:r>
      <w:r>
        <w:t xml:space="preserve"> started at 0.01mic/kg/min. After preoxygenation, </w:t>
      </w:r>
      <w:r w:rsidR="002E5659">
        <w:t xml:space="preserve">iv </w:t>
      </w:r>
      <w:r>
        <w:t>midazolam 1mg,</w:t>
      </w:r>
      <w:r w:rsidR="002E5659">
        <w:t xml:space="preserve"> iv</w:t>
      </w:r>
      <w:r>
        <w:t xml:space="preserve"> fentanyl 2</w:t>
      </w:r>
      <w:r>
        <w:rPr>
          <w:rFonts w:cs="Calibri"/>
        </w:rPr>
        <w:t>µ</w:t>
      </w:r>
      <w:r>
        <w:t>g/kg</w:t>
      </w:r>
      <w:r w:rsidR="002E5659">
        <w:t xml:space="preserve"> were administered. Due to unavailability of etomidate, we induced the patient with graded dosing of iv propofol with ketamine, </w:t>
      </w:r>
      <w:proofErr w:type="spellStart"/>
      <w:r w:rsidR="002E5659">
        <w:t>upto</w:t>
      </w:r>
      <w:proofErr w:type="spellEnd"/>
      <w:r w:rsidR="002E5659">
        <w:t xml:space="preserve"> 1mg/kg each. </w:t>
      </w:r>
      <w:r>
        <w:rPr>
          <w:lang w:val="en-US"/>
        </w:rPr>
        <w:t xml:space="preserve">Neuromuscular blockade was achieved with </w:t>
      </w:r>
      <w:r w:rsidR="00AC3628">
        <w:rPr>
          <w:lang w:val="en-US"/>
        </w:rPr>
        <w:t>0.5mg/kg of atracurium and maintenance doses of 0.1mg/kg thereafter</w:t>
      </w:r>
      <w:r>
        <w:rPr>
          <w:lang w:val="en-US"/>
        </w:rPr>
        <w:t>. Tracheal intubation was uneventful.</w:t>
      </w:r>
      <w:r>
        <w:t xml:space="preserve"> Anaesthesia was maintained with isoflurane in 50% oxygen – air mixture with a cumulative MAC of 0.8-1. Post induction hypotension required escalation of adrenaline to 0.03</w:t>
      </w:r>
      <m:oMath>
        <m:r>
          <w:rPr>
            <w:rFonts w:ascii="Cambria Math" w:hAnsi="Cambria Math"/>
          </w:rPr>
          <m:t>µ</m:t>
        </m:r>
      </m:oMath>
      <w:r>
        <w:rPr>
          <w:rFonts w:eastAsia="SimSun"/>
        </w:rPr>
        <w:t xml:space="preserve">g/kg/min. Ultrasound-guided central venous cannulation was attempted in both internal jugular veins but guidewire advancement failed due to intraluminal thrombus. A left femoral 7Fr central line was secured. Pre – prone </w:t>
      </w:r>
      <w:proofErr w:type="gramStart"/>
      <w:r>
        <w:rPr>
          <w:rFonts w:eastAsia="SimSun"/>
        </w:rPr>
        <w:t>vitals :</w:t>
      </w:r>
      <w:proofErr w:type="gramEnd"/>
      <w:r>
        <w:rPr>
          <w:rFonts w:eastAsia="SimSun"/>
        </w:rPr>
        <w:t xml:space="preserve"> HR 80/min, BP </w:t>
      </w:r>
      <w:r>
        <w:rPr>
          <w:rFonts w:eastAsia="SimSun"/>
        </w:rPr>
        <w:lastRenderedPageBreak/>
        <w:t xml:space="preserve">86/50mmHg, SpO2 97%, EtCO2 35mmHg, Peak airway pressure 18cmH20. </w:t>
      </w:r>
      <w:proofErr w:type="spellStart"/>
      <w:r>
        <w:rPr>
          <w:rFonts w:eastAsia="SimSun"/>
        </w:rPr>
        <w:t>Mephentermine</w:t>
      </w:r>
      <w:proofErr w:type="spellEnd"/>
      <w:r>
        <w:rPr>
          <w:rFonts w:eastAsia="SimSun"/>
        </w:rPr>
        <w:t xml:space="preserve"> 3mg was administered and patient was turned prone with proper padding.</w:t>
      </w:r>
      <w:r>
        <w:t xml:space="preserve"> Post positioning </w:t>
      </w:r>
      <w:proofErr w:type="gramStart"/>
      <w:r>
        <w:t>vitals :</w:t>
      </w:r>
      <w:proofErr w:type="gramEnd"/>
      <w:r>
        <w:t xml:space="preserve"> HR 100/min, BP 90/50mmHg, peak airway pressure 20cmH20. Adrenaline (0.03</w:t>
      </w:r>
      <w:r>
        <w:rPr>
          <w:rFonts w:cs="Calibri"/>
        </w:rPr>
        <w:t>µ</w:t>
      </w:r>
      <w:r>
        <w:t>g/kg/min) and noradrenaline (0.01</w:t>
      </w:r>
      <w:r>
        <w:rPr>
          <w:rFonts w:cs="Calibri"/>
        </w:rPr>
        <w:t xml:space="preserve">µg/kg/min) were continued. </w:t>
      </w:r>
      <w:proofErr w:type="spellStart"/>
      <w:r>
        <w:rPr>
          <w:rFonts w:cs="Calibri"/>
        </w:rPr>
        <w:t>Hemodynamics</w:t>
      </w:r>
      <w:proofErr w:type="spellEnd"/>
      <w:r>
        <w:rPr>
          <w:rFonts w:cs="Calibri"/>
        </w:rPr>
        <w:t xml:space="preserve"> remained within HR 80-100/min, SBP 90-140 mmHg, DBP 50-90mmHg and SpO2 95-99% at FiO2 40%. An ABG after prone position revealed metabolic acidosis </w:t>
      </w:r>
      <w:proofErr w:type="gramStart"/>
      <w:r>
        <w:rPr>
          <w:rFonts w:cs="Calibri"/>
        </w:rPr>
        <w:t>( pH</w:t>
      </w:r>
      <w:proofErr w:type="gramEnd"/>
      <w:r>
        <w:rPr>
          <w:rFonts w:cs="Calibri"/>
        </w:rPr>
        <w:t xml:space="preserve"> 7.19, HCO3 15mmol/L</w:t>
      </w:r>
      <w:r w:rsidR="006F4F7F">
        <w:rPr>
          <w:rFonts w:cs="Calibri"/>
        </w:rPr>
        <w:t>, pCO2 3</w:t>
      </w:r>
      <w:r w:rsidR="00C55B60">
        <w:rPr>
          <w:rFonts w:cs="Calibri"/>
        </w:rPr>
        <w:t>8</w:t>
      </w:r>
      <w:r w:rsidR="006F4F7F">
        <w:rPr>
          <w:rFonts w:cs="Calibri"/>
        </w:rPr>
        <w:t>mmHg, serum lactate 2.2mmol/L</w:t>
      </w:r>
      <w:r w:rsidR="00C55B60">
        <w:rPr>
          <w:rFonts w:cs="Calibri"/>
        </w:rPr>
        <w:t>, rest parameters normal</w:t>
      </w:r>
      <w:r>
        <w:rPr>
          <w:rFonts w:cs="Calibri"/>
        </w:rPr>
        <w:t xml:space="preserve"> ). </w:t>
      </w:r>
      <w:r w:rsidR="00D305D9">
        <w:rPr>
          <w:rFonts w:cs="Calibri"/>
        </w:rPr>
        <w:t>The bicarbonate deficit calculated with serum bicarbonate of 15mmol/L and weight of 60kg came out to be 216mmol/L, out of which we administered 100mmol/L of sodium bicarbonate</w:t>
      </w:r>
      <w:r>
        <w:rPr>
          <w:rFonts w:cs="Calibri"/>
        </w:rPr>
        <w:t xml:space="preserve">. </w:t>
      </w:r>
      <w:r w:rsidR="00C55B60">
        <w:rPr>
          <w:rFonts w:cs="Calibri"/>
        </w:rPr>
        <w:t xml:space="preserve">We had increased respiratory rate from 12 to 15/min. </w:t>
      </w:r>
      <w:r>
        <w:rPr>
          <w:rFonts w:cs="Calibri"/>
        </w:rPr>
        <w:t xml:space="preserve">Repeat ABG at 30 mins showed pH 7.27, pCO2 of 50mmHg, HCO3 of 21.4mmol/L, lactate 3.2mmol/L. A brief episode of multiple PVCs were resolved with IV lignocaine 1mg/kg. Serum electrolytes remained normal. At the end of surgery, </w:t>
      </w:r>
      <w:r w:rsidR="00AF48BB">
        <w:rPr>
          <w:rFonts w:cs="Calibri"/>
        </w:rPr>
        <w:t xml:space="preserve">local anaesthetic 0.125% bupivacaine was infiltrated at the surgical site, </w:t>
      </w:r>
      <w:r>
        <w:rPr>
          <w:rFonts w:cs="Calibri"/>
        </w:rPr>
        <w:t xml:space="preserve">the patient was turned supine, inhalational agent discontinued and vasopressors tapered off. After resumption of spontaneous efforts, propofol 20mg was administered to facilitate smooth emergence. Neuromuscular blockade was reversed with neostigmine 0.05mg/kg and glycopyrrolate 0.01mg/kg. The patient was extubated with a nasopharyngeal airway </w:t>
      </w:r>
      <w:proofErr w:type="spellStart"/>
      <w:r>
        <w:rPr>
          <w:rFonts w:cs="Calibri"/>
        </w:rPr>
        <w:t>insitu</w:t>
      </w:r>
      <w:proofErr w:type="spellEnd"/>
      <w:r>
        <w:rPr>
          <w:rFonts w:cs="Calibri"/>
        </w:rPr>
        <w:t xml:space="preserve"> and oxygen supplementation. </w:t>
      </w:r>
    </w:p>
    <w:p w14:paraId="0C1F37AD" w14:textId="7CB0616E" w:rsidR="009C7DE4" w:rsidRDefault="00F96F7A">
      <w:pPr>
        <w:rPr>
          <w:lang w:val="en-US"/>
        </w:rPr>
      </w:pPr>
      <w:r>
        <w:rPr>
          <w:rFonts w:cs="Calibri"/>
        </w:rPr>
        <w:t xml:space="preserve">Pre transfer </w:t>
      </w:r>
      <w:proofErr w:type="gramStart"/>
      <w:r>
        <w:rPr>
          <w:rFonts w:cs="Calibri"/>
        </w:rPr>
        <w:t>vitals :</w:t>
      </w:r>
      <w:proofErr w:type="gramEnd"/>
      <w:r>
        <w:rPr>
          <w:rFonts w:cs="Calibri"/>
        </w:rPr>
        <w:t xml:space="preserve"> HR 100/min, BP 130/80mmHg, SpO2 100% on 4L/min O2. He remained stable in PACU for 8 hours and was shifted to the ward after acidosis resolved (pH 7.35</w:t>
      </w:r>
      <w:r w:rsidR="00D305D9">
        <w:rPr>
          <w:rFonts w:cs="Calibri"/>
        </w:rPr>
        <w:t>, pCO2 – 34mmHg, HCO3 – 22mmol/L, lactate 1.8mmol/L, serum electrolytes within normal limits</w:t>
      </w:r>
      <w:r>
        <w:rPr>
          <w:rFonts w:cs="Calibri"/>
        </w:rPr>
        <w:t>).</w:t>
      </w:r>
      <w:r w:rsidR="00AF48BB">
        <w:rPr>
          <w:rFonts w:cs="Calibri"/>
        </w:rPr>
        <w:t xml:space="preserve"> Postoperative pain was managed with IV Paracetamol 1gm </w:t>
      </w:r>
      <w:proofErr w:type="spellStart"/>
      <w:r w:rsidR="00AF48BB">
        <w:rPr>
          <w:rFonts w:cs="Calibri"/>
        </w:rPr>
        <w:t>qid</w:t>
      </w:r>
      <w:proofErr w:type="spellEnd"/>
      <w:r w:rsidR="00AF48BB">
        <w:rPr>
          <w:rFonts w:cs="Calibri"/>
        </w:rPr>
        <w:t xml:space="preserve"> for 2 days and then oral paracetamol 500mg and tramadol 50mg </w:t>
      </w:r>
      <w:proofErr w:type="spellStart"/>
      <w:r w:rsidR="00AF48BB">
        <w:rPr>
          <w:rFonts w:cs="Calibri"/>
        </w:rPr>
        <w:t>sos</w:t>
      </w:r>
      <w:proofErr w:type="spellEnd"/>
      <w:r w:rsidR="00C03F1A">
        <w:rPr>
          <w:rFonts w:cs="Calibri"/>
        </w:rPr>
        <w:t xml:space="preserve">. His </w:t>
      </w:r>
      <w:r w:rsidR="000D4433">
        <w:rPr>
          <w:rFonts w:cs="Calibri"/>
        </w:rPr>
        <w:t>NRS pain score in ward was 3-5 and was responding to the above medications.</w:t>
      </w:r>
    </w:p>
    <w:p w14:paraId="24A793D5" w14:textId="77777777" w:rsidR="009C7DE4" w:rsidRDefault="00F96F7A">
      <w:pPr>
        <w:rPr>
          <w:b/>
          <w:bCs/>
          <w:u w:val="single"/>
          <w:lang w:val="en-US"/>
        </w:rPr>
      </w:pPr>
      <w:r>
        <w:rPr>
          <w:b/>
          <w:bCs/>
          <w:u w:val="single"/>
          <w:lang w:val="en-US"/>
        </w:rPr>
        <w:t>DISCUSSION:</w:t>
      </w:r>
    </w:p>
    <w:p w14:paraId="4BDF1DC2" w14:textId="3ABDB77B" w:rsidR="009C7DE4" w:rsidRDefault="00F96F7A">
      <w:pPr>
        <w:rPr>
          <w:lang w:val="en-US"/>
        </w:rPr>
      </w:pPr>
      <w:r>
        <w:rPr>
          <w:lang w:val="en-US"/>
        </w:rPr>
        <w:t xml:space="preserve">Dilated cardiomyopathy is characterized by systolic dysfunction and dilation of left ventricle or both the ventricles of heart. The signs and symptoms are a result of reduced ejection fraction and cardiac output and elevated filling pressures which leads to impaired exercise tolerance, fatigue, and eventually heart failure. The disease most commonly presents around 30-40 years of age. </w:t>
      </w:r>
      <w:r w:rsidR="00AC3628">
        <w:rPr>
          <w:lang w:val="en-US"/>
        </w:rPr>
        <w:t>This</w:t>
      </w:r>
      <w:r>
        <w:rPr>
          <w:lang w:val="en-US"/>
        </w:rPr>
        <w:t xml:space="preserve"> patient got diagnosed with it at around 50 years of age. He also revealed a history of sudden cardiac death in his mother pointing to a possible genetic origin of his condition. Familial DCM accounts for 30-50% of all cases with an autosomal dominant pattern. Others causes include cardiogenic (ischemic heart disease, valvular heart disease), infections, medications, hemochromatosis, sarcoidosis, peripartum and stress induced cardiomyopathy</w:t>
      </w:r>
      <w:r>
        <w:rPr>
          <w:vertAlign w:val="superscript"/>
          <w:lang w:val="en-US"/>
        </w:rPr>
        <w:t>1</w:t>
      </w:r>
      <w:r>
        <w:rPr>
          <w:lang w:val="en-US"/>
        </w:rPr>
        <w:t>. He was having NYHA class 1 symptoms after taking medications.</w:t>
      </w:r>
    </w:p>
    <w:p w14:paraId="49856AFA" w14:textId="77777777" w:rsidR="009C7DE4" w:rsidRDefault="00F96F7A">
      <w:pPr>
        <w:rPr>
          <w:lang w:val="en-US"/>
        </w:rPr>
      </w:pPr>
      <w:r>
        <w:rPr>
          <w:lang w:val="en-US"/>
        </w:rPr>
        <w:t xml:space="preserve">The </w:t>
      </w:r>
      <w:proofErr w:type="spellStart"/>
      <w:r>
        <w:rPr>
          <w:lang w:val="en-US"/>
        </w:rPr>
        <w:t>anaesthetic</w:t>
      </w:r>
      <w:proofErr w:type="spellEnd"/>
      <w:r>
        <w:rPr>
          <w:lang w:val="en-US"/>
        </w:rPr>
        <w:t xml:space="preserve"> management of DCM is complex. Attention should be paid to avoid fluid overload, recognize and treat arrhythmias, maintain hemodynamics associated with the vasodilation post </w:t>
      </w:r>
      <w:proofErr w:type="spellStart"/>
      <w:r>
        <w:rPr>
          <w:lang w:val="en-US"/>
        </w:rPr>
        <w:t>anaesthesia</w:t>
      </w:r>
      <w:proofErr w:type="spellEnd"/>
      <w:r>
        <w:rPr>
          <w:lang w:val="en-US"/>
        </w:rPr>
        <w:t>, while maintaining adequate myocardial contractility and ejection fraction to maintain perfusion to tissues</w:t>
      </w:r>
      <w:r>
        <w:rPr>
          <w:vertAlign w:val="superscript"/>
          <w:lang w:val="en-US"/>
        </w:rPr>
        <w:t>4</w:t>
      </w:r>
      <w:r>
        <w:rPr>
          <w:lang w:val="en-US"/>
        </w:rPr>
        <w:t>.</w:t>
      </w:r>
    </w:p>
    <w:p w14:paraId="1E65C7F2" w14:textId="77777777" w:rsidR="009C7DE4" w:rsidRDefault="00F96F7A">
      <w:pPr>
        <w:rPr>
          <w:lang w:val="en-US"/>
        </w:rPr>
      </w:pPr>
      <w:r>
        <w:rPr>
          <w:lang w:val="en-US"/>
        </w:rPr>
        <w:t xml:space="preserve">Percutaneous </w:t>
      </w:r>
      <w:proofErr w:type="spellStart"/>
      <w:r>
        <w:rPr>
          <w:lang w:val="en-US"/>
        </w:rPr>
        <w:t>nephrolithotripsy</w:t>
      </w:r>
      <w:proofErr w:type="spellEnd"/>
      <w:r>
        <w:rPr>
          <w:lang w:val="en-US"/>
        </w:rPr>
        <w:t xml:space="preserve"> offers a direct method for accessing renal stones and causes less trauma to adjacent tissues. It involves creating a small incision to access kidney’s collecting system and breaking up the stones using ultrasonic or pneumatic lithotripters. The </w:t>
      </w:r>
      <w:proofErr w:type="spellStart"/>
      <w:r>
        <w:rPr>
          <w:lang w:val="en-US"/>
        </w:rPr>
        <w:t>anaesthesiologist</w:t>
      </w:r>
      <w:proofErr w:type="spellEnd"/>
      <w:r>
        <w:rPr>
          <w:lang w:val="en-US"/>
        </w:rPr>
        <w:t xml:space="preserve"> must be aware of risk of bleeding, pneumothorax, infection, inadvertent puncture of nearby organs and hypothermia due to prolonged use of irrigation fluids. The hazards of prone positioning involve accidental </w:t>
      </w:r>
      <w:proofErr w:type="spellStart"/>
      <w:r>
        <w:rPr>
          <w:lang w:val="en-US"/>
        </w:rPr>
        <w:t>extubation</w:t>
      </w:r>
      <w:proofErr w:type="spellEnd"/>
      <w:r>
        <w:rPr>
          <w:lang w:val="en-US"/>
        </w:rPr>
        <w:t>, decreased preload due to venous pooling leading to decreased cardiac output and compromised hemodynamics especially in patients with DCM potentially leading to arrhythmias and sudden cardiac arrest, and pressure injuries demanding careful padding</w:t>
      </w:r>
      <w:r>
        <w:rPr>
          <w:vertAlign w:val="superscript"/>
          <w:lang w:val="en-US"/>
        </w:rPr>
        <w:t>2</w:t>
      </w:r>
      <w:r>
        <w:rPr>
          <w:lang w:val="en-US"/>
        </w:rPr>
        <w:t xml:space="preserve">. </w:t>
      </w:r>
    </w:p>
    <w:p w14:paraId="1C603A73" w14:textId="4DB366AB" w:rsidR="00AF48BB" w:rsidRDefault="002160F2">
      <w:pPr>
        <w:rPr>
          <w:lang w:val="en-US"/>
        </w:rPr>
      </w:pPr>
      <w:r>
        <w:rPr>
          <w:lang w:val="en-US"/>
        </w:rPr>
        <w:lastRenderedPageBreak/>
        <w:t xml:space="preserve">The latest literature emphasizes on quadruple therapy and guideline directed medical therapy for the management of heart failure. They also highlight importance of early initiation and optimal sequencing of </w:t>
      </w:r>
      <w:proofErr w:type="spellStart"/>
      <w:r>
        <w:rPr>
          <w:lang w:val="en-US"/>
        </w:rPr>
        <w:t>ACEi</w:t>
      </w:r>
      <w:proofErr w:type="spellEnd"/>
      <w:r>
        <w:rPr>
          <w:lang w:val="en-US"/>
        </w:rPr>
        <w:t xml:space="preserve">/ARB or ARNI (e.g. sacubitril-valsartan), beta blockers, MRA (mineralocorticoid receptor antagonists) and SGLT2 inhibitors. All four are associated with reduced mortality and HF </w:t>
      </w:r>
      <w:proofErr w:type="spellStart"/>
      <w:r>
        <w:rPr>
          <w:lang w:val="en-US"/>
        </w:rPr>
        <w:t>hospitalisations</w:t>
      </w:r>
      <w:proofErr w:type="spellEnd"/>
      <w:r>
        <w:rPr>
          <w:lang w:val="en-US"/>
        </w:rPr>
        <w:t xml:space="preserve"> in </w:t>
      </w:r>
      <w:proofErr w:type="spellStart"/>
      <w:r>
        <w:rPr>
          <w:lang w:val="en-US"/>
        </w:rPr>
        <w:t>HFrEF</w:t>
      </w:r>
      <w:proofErr w:type="spellEnd"/>
      <w:r>
        <w:rPr>
          <w:lang w:val="en-US"/>
        </w:rPr>
        <w:t xml:space="preserve"> patients</w:t>
      </w:r>
      <w:r>
        <w:rPr>
          <w:vertAlign w:val="superscript"/>
          <w:lang w:val="en-US"/>
        </w:rPr>
        <w:t>3,10</w:t>
      </w:r>
      <w:r w:rsidR="00F96F7A">
        <w:rPr>
          <w:lang w:val="en-US"/>
        </w:rPr>
        <w:t xml:space="preserve">. </w:t>
      </w:r>
    </w:p>
    <w:p w14:paraId="41B4618F" w14:textId="4A7F9ABE" w:rsidR="009C7DE4" w:rsidRDefault="00AC3628">
      <w:pPr>
        <w:rPr>
          <w:lang w:val="en-US"/>
        </w:rPr>
      </w:pPr>
      <w:r>
        <w:rPr>
          <w:lang w:val="en-US"/>
        </w:rPr>
        <w:t>This</w:t>
      </w:r>
      <w:r w:rsidR="00F96F7A">
        <w:rPr>
          <w:lang w:val="en-US"/>
        </w:rPr>
        <w:t xml:space="preserve"> patient was on also on these medications and was </w:t>
      </w:r>
      <w:proofErr w:type="spellStart"/>
      <w:r w:rsidR="00F96F7A">
        <w:rPr>
          <w:lang w:val="en-US"/>
        </w:rPr>
        <w:t>adviced</w:t>
      </w:r>
      <w:proofErr w:type="spellEnd"/>
      <w:r w:rsidR="00F96F7A">
        <w:rPr>
          <w:lang w:val="en-US"/>
        </w:rPr>
        <w:t xml:space="preserve"> to continue the same to maintain his functional status and avoid complications. </w:t>
      </w:r>
    </w:p>
    <w:p w14:paraId="400F9233" w14:textId="77777777" w:rsidR="009C7DE4" w:rsidRDefault="00F96F7A">
      <w:pPr>
        <w:rPr>
          <w:lang w:val="en-US"/>
        </w:rPr>
      </w:pPr>
      <w:r>
        <w:rPr>
          <w:lang w:val="en-US"/>
        </w:rPr>
        <w:t xml:space="preserve">He had several poor prognostic indicators including an ejection fraction below 20%, a dilated and hypokinetic LV and a functional MR with PAH, thus warranting us to take an informed </w:t>
      </w:r>
      <w:proofErr w:type="gramStart"/>
      <w:r>
        <w:rPr>
          <w:lang w:val="en-US"/>
        </w:rPr>
        <w:t>high risk</w:t>
      </w:r>
      <w:proofErr w:type="gramEnd"/>
      <w:r>
        <w:rPr>
          <w:lang w:val="en-US"/>
        </w:rPr>
        <w:t xml:space="preserve"> consent for perioperative cardiac complications with a postoperative ICU bed. </w:t>
      </w:r>
    </w:p>
    <w:p w14:paraId="306893E8" w14:textId="77777777" w:rsidR="009C7DE4" w:rsidRDefault="00F96F7A">
      <w:pPr>
        <w:rPr>
          <w:lang w:val="en-US"/>
        </w:rPr>
      </w:pPr>
      <w:r>
        <w:rPr>
          <w:lang w:val="en-US"/>
        </w:rPr>
        <w:t xml:space="preserve">Our objectives of </w:t>
      </w:r>
      <w:proofErr w:type="spellStart"/>
      <w:r>
        <w:rPr>
          <w:lang w:val="en-US"/>
        </w:rPr>
        <w:t>anaesthetic</w:t>
      </w:r>
      <w:proofErr w:type="spellEnd"/>
      <w:r>
        <w:rPr>
          <w:lang w:val="en-US"/>
        </w:rPr>
        <w:t xml:space="preserve"> management includes maintaining sinus rhythm, maintain preload and adequate afterload, avoid fluid overload and exaggerated afterload, minimizing the risk of thromboembolic events, preserve sufficient myocardial contractility and cardiac output</w:t>
      </w:r>
      <w:r>
        <w:rPr>
          <w:vertAlign w:val="superscript"/>
          <w:lang w:val="en-US"/>
        </w:rPr>
        <w:t>5</w:t>
      </w:r>
      <w:r>
        <w:rPr>
          <w:lang w:val="en-US"/>
        </w:rPr>
        <w:t>.</w:t>
      </w:r>
    </w:p>
    <w:p w14:paraId="36FEFBE8" w14:textId="77777777" w:rsidR="009C7DE4" w:rsidRDefault="00F96F7A">
      <w:pPr>
        <w:rPr>
          <w:lang w:val="en-US"/>
        </w:rPr>
      </w:pPr>
      <w:r>
        <w:rPr>
          <w:lang w:val="en-US"/>
        </w:rPr>
        <w:t xml:space="preserve">After induction of </w:t>
      </w:r>
      <w:proofErr w:type="spellStart"/>
      <w:r>
        <w:rPr>
          <w:lang w:val="en-US"/>
        </w:rPr>
        <w:t>anaesthesia</w:t>
      </w:r>
      <w:proofErr w:type="spellEnd"/>
      <w:r>
        <w:rPr>
          <w:lang w:val="en-US"/>
        </w:rPr>
        <w:t xml:space="preserve"> there is exaggerated risk of hypotension as patient was taking diuretics. To counteract this risk, adrenaline and norepinephrine infusions were connected to separate iv lines prior to induction. Adrenaline would manage any abrupt decrease in blood pressure caused by reduced cardiac contractility while norepinephrine offers steady vasopressor support maintaining systemic vascular resistance, without causing a marked increase in heart rate. 6% HES was the iv fluid at induction to counteract hypotension followed by general </w:t>
      </w:r>
      <w:proofErr w:type="spellStart"/>
      <w:r>
        <w:rPr>
          <w:lang w:val="en-US"/>
        </w:rPr>
        <w:t>anaesthesia</w:t>
      </w:r>
      <w:proofErr w:type="spellEnd"/>
      <w:r>
        <w:rPr>
          <w:lang w:val="en-US"/>
        </w:rPr>
        <w:t xml:space="preserve">. The choice of induction agent should be one with least cardiovascular depression. Etomidate is a </w:t>
      </w:r>
      <w:proofErr w:type="spellStart"/>
      <w:r>
        <w:rPr>
          <w:lang w:val="en-US"/>
        </w:rPr>
        <w:t>cardiostable</w:t>
      </w:r>
      <w:proofErr w:type="spellEnd"/>
      <w:r>
        <w:rPr>
          <w:lang w:val="en-US"/>
        </w:rPr>
        <w:t xml:space="preserve"> agent but has an associated risk of adrenal suppression even with a single dose. We used </w:t>
      </w:r>
      <w:proofErr w:type="spellStart"/>
      <w:r>
        <w:rPr>
          <w:lang w:val="en-US"/>
        </w:rPr>
        <w:t>ketofol</w:t>
      </w:r>
      <w:proofErr w:type="spellEnd"/>
      <w:r>
        <w:rPr>
          <w:lang w:val="en-US"/>
        </w:rPr>
        <w:t xml:space="preserve">, - a mix of ketamine and propofol as our induction agent. Ketamine is a sympathomimetic, which increases heart rate and afterload while propofol decreases sympathetic tone and causes hypotension. </w:t>
      </w:r>
      <w:proofErr w:type="gramStart"/>
      <w:r>
        <w:rPr>
          <w:lang w:val="en-US"/>
        </w:rPr>
        <w:t>Thus</w:t>
      </w:r>
      <w:proofErr w:type="gramEnd"/>
      <w:r>
        <w:rPr>
          <w:lang w:val="en-US"/>
        </w:rPr>
        <w:t xml:space="preserve"> both of their effects nullify each other causing least cardiovascular compromise without the risk of adrenal suppression. Laryngoscopy response needs to be blunted with </w:t>
      </w:r>
      <w:proofErr w:type="spellStart"/>
      <w:r>
        <w:rPr>
          <w:lang w:val="en-US"/>
        </w:rPr>
        <w:t>opiods</w:t>
      </w:r>
      <w:proofErr w:type="spellEnd"/>
      <w:r>
        <w:rPr>
          <w:lang w:val="en-US"/>
        </w:rPr>
        <w:t xml:space="preserve"> or propofol or lignocaine 1.5mg/kg to avoid tachycardia and flash pulmonary edema. Maintenance of </w:t>
      </w:r>
      <w:proofErr w:type="spellStart"/>
      <w:r>
        <w:rPr>
          <w:lang w:val="en-US"/>
        </w:rPr>
        <w:t>anaesthesia</w:t>
      </w:r>
      <w:proofErr w:type="spellEnd"/>
      <w:r>
        <w:rPr>
          <w:lang w:val="en-US"/>
        </w:rPr>
        <w:t xml:space="preserve"> was done with isoflurane, 40% oxygen and air at a MAC of &lt;/= 1. Nitrous oxide has to be avoided as it reduces cardiac output with severe </w:t>
      </w:r>
      <w:proofErr w:type="spellStart"/>
      <w:proofErr w:type="gramStart"/>
      <w:r>
        <w:rPr>
          <w:lang w:val="en-US"/>
        </w:rPr>
        <w:t>pre existing</w:t>
      </w:r>
      <w:proofErr w:type="spellEnd"/>
      <w:proofErr w:type="gramEnd"/>
      <w:r>
        <w:rPr>
          <w:lang w:val="en-US"/>
        </w:rPr>
        <w:t xml:space="preserve"> LV dysfunction and can lead to hypotension and LV failure</w:t>
      </w:r>
      <w:r>
        <w:rPr>
          <w:vertAlign w:val="superscript"/>
          <w:lang w:val="en-US"/>
        </w:rPr>
        <w:t>6</w:t>
      </w:r>
      <w:r>
        <w:rPr>
          <w:lang w:val="en-US"/>
        </w:rPr>
        <w:t xml:space="preserve">. </w:t>
      </w:r>
    </w:p>
    <w:p w14:paraId="55389BCA" w14:textId="34FFFC01" w:rsidR="00AF48BB" w:rsidRDefault="00F96F7A">
      <w:pPr>
        <w:rPr>
          <w:lang w:val="en-US"/>
        </w:rPr>
      </w:pPr>
      <w:r>
        <w:rPr>
          <w:lang w:val="en-US"/>
        </w:rPr>
        <w:t>In patients with DCM, comprehensive hemodynamic monitoring is essential due to their compromised cardiac function. Invasive blood pressure monitoring which provided beat to beat readings is valuable for early detection and treatment of hypotension. We had secured an invasive arterial line prior to induction to monitor the hemodynamic changes associated with induction of anesthesia</w:t>
      </w:r>
      <w:r w:rsidR="00AF48BB">
        <w:rPr>
          <w:lang w:val="en-US"/>
        </w:rPr>
        <w:t xml:space="preserve"> and also to guide amount of intravenous fluid by pulse pressure variation</w:t>
      </w:r>
      <w:r>
        <w:rPr>
          <w:lang w:val="en-US"/>
        </w:rPr>
        <w:t xml:space="preserve">. Central venous </w:t>
      </w:r>
      <w:r w:rsidR="00966949">
        <w:rPr>
          <w:lang w:val="en-US"/>
        </w:rPr>
        <w:t xml:space="preserve">catheter </w:t>
      </w:r>
      <w:r>
        <w:rPr>
          <w:lang w:val="en-US"/>
        </w:rPr>
        <w:t xml:space="preserve">is a better route for administering inotropes and vasopressors. We encountered difficulty in securing a central venous catheter in IJV as we encountered clots and difficulty in passing guidewire in both the IJVs. </w:t>
      </w:r>
      <w:proofErr w:type="spellStart"/>
      <w:r>
        <w:rPr>
          <w:lang w:val="en-US"/>
        </w:rPr>
        <w:t>Thromoembolism</w:t>
      </w:r>
      <w:proofErr w:type="spellEnd"/>
      <w:r>
        <w:rPr>
          <w:lang w:val="en-US"/>
        </w:rPr>
        <w:t xml:space="preserve"> is a common complication associated with DCM as there is fluid overload and stasis due to the poor ejection fraction.</w:t>
      </w:r>
    </w:p>
    <w:p w14:paraId="3C2394AA" w14:textId="77777777" w:rsidR="009C7DE4" w:rsidRDefault="00F96F7A">
      <w:pPr>
        <w:rPr>
          <w:lang w:val="en-US"/>
        </w:rPr>
      </w:pPr>
      <w:r>
        <w:rPr>
          <w:lang w:val="en-US"/>
        </w:rPr>
        <w:t>Other advanced monitoring techniques</w:t>
      </w:r>
      <w:r>
        <w:rPr>
          <w:vertAlign w:val="superscript"/>
          <w:lang w:val="en-US"/>
        </w:rPr>
        <w:t>7</w:t>
      </w:r>
      <w:r>
        <w:rPr>
          <w:lang w:val="en-US"/>
        </w:rPr>
        <w:t xml:space="preserve"> such as pulmonary artery catheterization, transesophageal echocardiography, continuous cardiac output monitoring, </w:t>
      </w:r>
      <w:proofErr w:type="spellStart"/>
      <w:r>
        <w:rPr>
          <w:lang w:val="en-US"/>
        </w:rPr>
        <w:t>bispectral</w:t>
      </w:r>
      <w:proofErr w:type="spellEnd"/>
      <w:r>
        <w:rPr>
          <w:lang w:val="en-US"/>
        </w:rPr>
        <w:t xml:space="preserve"> index- have also proven beneficial in managing these patients, although invasive methods carry higher risks. Intraoperatively we used adrenaline and noradrenaline infusions whose infusion rate was increased to 0.03mic/kg/min and 0.01mic/kg/min respectively after induction and turning the patient prone, correlating with normal physiology. Our hemodynamic parameters remained stable on inotropes. </w:t>
      </w:r>
      <w:r>
        <w:rPr>
          <w:lang w:val="en-US"/>
        </w:rPr>
        <w:lastRenderedPageBreak/>
        <w:t xml:space="preserve">Intraoperative period was uneventful except for a post induction ABG showing metabolic acidosis which was corrected and a brief episode of PVCs abolished by 1mg/kg lignocaine. </w:t>
      </w:r>
    </w:p>
    <w:p w14:paraId="3C0B046A" w14:textId="07584340" w:rsidR="009C7DE4" w:rsidRDefault="00F96F7A">
      <w:pPr>
        <w:rPr>
          <w:lang w:val="en-US"/>
        </w:rPr>
      </w:pPr>
      <w:r>
        <w:rPr>
          <w:lang w:val="en-US"/>
        </w:rPr>
        <w:t xml:space="preserve">We extubated the patient under deep plane of </w:t>
      </w:r>
      <w:proofErr w:type="spellStart"/>
      <w:r>
        <w:rPr>
          <w:lang w:val="en-US"/>
        </w:rPr>
        <w:t>anaesthesia</w:t>
      </w:r>
      <w:proofErr w:type="spellEnd"/>
      <w:r>
        <w:rPr>
          <w:lang w:val="en-US"/>
        </w:rPr>
        <w:t xml:space="preserve"> with airway cart and emergency drugs ready. Till patient regained full consciousness we supplemented O2 with a face mask and appropriately sized nasopharyngeal airway in place. There was no tachycardia or hypertension associated with </w:t>
      </w:r>
      <w:proofErr w:type="spellStart"/>
      <w:r>
        <w:rPr>
          <w:lang w:val="en-US"/>
        </w:rPr>
        <w:t>extubation</w:t>
      </w:r>
      <w:proofErr w:type="spellEnd"/>
      <w:r>
        <w:rPr>
          <w:lang w:val="en-US"/>
        </w:rPr>
        <w:t>.</w:t>
      </w:r>
      <w:r w:rsidR="00AF48BB">
        <w:rPr>
          <w:lang w:val="en-US"/>
        </w:rPr>
        <w:t xml:space="preserve"> </w:t>
      </w:r>
    </w:p>
    <w:p w14:paraId="5B7451FF" w14:textId="32E18B48" w:rsidR="00AF48BB" w:rsidRDefault="00AF48BB">
      <w:pPr>
        <w:rPr>
          <w:lang w:val="en-US"/>
        </w:rPr>
      </w:pPr>
      <w:r>
        <w:rPr>
          <w:lang w:val="en-US"/>
        </w:rPr>
        <w:t xml:space="preserve">Regional </w:t>
      </w:r>
      <w:proofErr w:type="spellStart"/>
      <w:r>
        <w:rPr>
          <w:lang w:val="en-US"/>
        </w:rPr>
        <w:t>anaesthesia</w:t>
      </w:r>
      <w:proofErr w:type="spellEnd"/>
      <w:r>
        <w:rPr>
          <w:lang w:val="en-US"/>
        </w:rPr>
        <w:t xml:space="preserve"> techniques which could be undertaken include paravertebral block, erector spinae plane block, intercostal nerve block etc. Even though regional </w:t>
      </w:r>
      <w:proofErr w:type="spellStart"/>
      <w:r>
        <w:rPr>
          <w:lang w:val="en-US"/>
        </w:rPr>
        <w:t>anaesthesia</w:t>
      </w:r>
      <w:proofErr w:type="spellEnd"/>
      <w:r>
        <w:rPr>
          <w:lang w:val="en-US"/>
        </w:rPr>
        <w:t xml:space="preserve"> may offer better hemodynamics, in case of decompensation, it is difficult to secure airway at the earliest in prone position.</w:t>
      </w:r>
    </w:p>
    <w:p w14:paraId="0DB53B5D" w14:textId="77777777" w:rsidR="009C7DE4" w:rsidRDefault="00F96F7A">
      <w:pPr>
        <w:rPr>
          <w:b/>
          <w:bCs/>
          <w:u w:val="single"/>
          <w:lang w:val="en-US"/>
        </w:rPr>
      </w:pPr>
      <w:r>
        <w:rPr>
          <w:b/>
          <w:bCs/>
          <w:u w:val="single"/>
          <w:lang w:val="en-US"/>
        </w:rPr>
        <w:t>CONCLUSION:</w:t>
      </w:r>
    </w:p>
    <w:p w14:paraId="7CB324FD" w14:textId="77777777" w:rsidR="009C7DE4" w:rsidRDefault="00F96F7A">
      <w:pPr>
        <w:rPr>
          <w:lang w:val="en-US"/>
        </w:rPr>
      </w:pPr>
      <w:proofErr w:type="spellStart"/>
      <w:r>
        <w:rPr>
          <w:lang w:val="en-US"/>
        </w:rPr>
        <w:t>Anaesthetic</w:t>
      </w:r>
      <w:proofErr w:type="spellEnd"/>
      <w:r>
        <w:rPr>
          <w:lang w:val="en-US"/>
        </w:rPr>
        <w:t xml:space="preserve"> management of a patient with DCM with EF of 15-20% posted for PCNL is quite a challenge due to the poor cardiac status, complications associated with the surgery and positioning in itself. Key </w:t>
      </w:r>
      <w:proofErr w:type="spellStart"/>
      <w:r>
        <w:rPr>
          <w:lang w:val="en-US"/>
        </w:rPr>
        <w:t>anaesthetic</w:t>
      </w:r>
      <w:proofErr w:type="spellEnd"/>
      <w:r>
        <w:rPr>
          <w:lang w:val="en-US"/>
        </w:rPr>
        <w:t xml:space="preserve"> management goals include – avoiding myocardial depression through careful titration of </w:t>
      </w:r>
      <w:proofErr w:type="spellStart"/>
      <w:r>
        <w:rPr>
          <w:lang w:val="en-US"/>
        </w:rPr>
        <w:t>anaesthetic</w:t>
      </w:r>
      <w:proofErr w:type="spellEnd"/>
      <w:r>
        <w:rPr>
          <w:lang w:val="en-US"/>
        </w:rPr>
        <w:t xml:space="preserve"> agents, maintaining </w:t>
      </w:r>
      <w:proofErr w:type="spellStart"/>
      <w:r>
        <w:rPr>
          <w:lang w:val="en-US"/>
        </w:rPr>
        <w:t>normovolemia</w:t>
      </w:r>
      <w:proofErr w:type="spellEnd"/>
      <w:r>
        <w:rPr>
          <w:lang w:val="en-US"/>
        </w:rPr>
        <w:t xml:space="preserve">, preventing drug overdose during induction due to prolonged circulation time, </w:t>
      </w:r>
      <w:proofErr w:type="spellStart"/>
      <w:r>
        <w:rPr>
          <w:lang w:val="en-US"/>
        </w:rPr>
        <w:t>minimises</w:t>
      </w:r>
      <w:proofErr w:type="spellEnd"/>
      <w:r>
        <w:rPr>
          <w:lang w:val="en-US"/>
        </w:rPr>
        <w:t xml:space="preserve"> increases in ventricular afterload and avoiding sudden hypotension</w:t>
      </w:r>
      <w:r>
        <w:rPr>
          <w:vertAlign w:val="superscript"/>
          <w:lang w:val="en-US"/>
        </w:rPr>
        <w:t>8,9</w:t>
      </w:r>
      <w:r>
        <w:rPr>
          <w:lang w:val="en-US"/>
        </w:rPr>
        <w:t xml:space="preserve">. The complications we have to watch out for are heart failure, myocardial infarction, arrhythmias and sudden cardiac death. </w:t>
      </w:r>
    </w:p>
    <w:p w14:paraId="082105CC" w14:textId="0CD1EBD5" w:rsidR="001071EC" w:rsidRDefault="001071EC" w:rsidP="001071EC">
      <w:pPr>
        <w:rPr>
          <w:lang w:val="en-US"/>
        </w:rPr>
      </w:pPr>
      <w:r>
        <w:rPr>
          <w:b/>
          <w:bCs/>
          <w:u w:val="single"/>
          <w:lang w:val="en-US"/>
        </w:rPr>
        <w:t xml:space="preserve">ABBREVIATIONS: </w:t>
      </w:r>
      <w:r>
        <w:rPr>
          <w:lang w:val="en-US"/>
        </w:rPr>
        <w:t>DCM – Dilated Cardiomyopathy, EF – Ejection fraction, NYHA – New York Heart Association, PCNL – Percutaneous Nephrolithotomy, GA – General Anesthesia, ASA – American Society of Anesthesiologists, BP – Blood pressure, HR – Heart rate, ECG – Electrocardiogram, SpO2 – Peripheral Oxygen Saturation, ETCO2 – End tidal Carbon dioxide, FiO2 – Fraction of Inspired Oxygen, ICU – Intensive Care Unit, IV – Intravenous, OR – Operation Room, ECG – Electrocardiogram, IJV – Internal Jugular Vein, USG – Ultrasonography, CVC – Central Venous Catheter, MAC – Minimum Alveolar Concentration, pCO2 – Partial pressure of Carbon dioxide, PVC – Premature ventricular contractions, ABG – Arterial blood gas, PACU – Post Anesthesia Care Unit</w:t>
      </w:r>
      <w:r w:rsidR="005D005F">
        <w:rPr>
          <w:lang w:val="en-US"/>
        </w:rPr>
        <w:t xml:space="preserve">, </w:t>
      </w:r>
      <w:proofErr w:type="spellStart"/>
      <w:r w:rsidR="005D005F">
        <w:rPr>
          <w:lang w:val="en-US"/>
        </w:rPr>
        <w:t>ACEi</w:t>
      </w:r>
      <w:proofErr w:type="spellEnd"/>
      <w:r w:rsidR="005D005F">
        <w:rPr>
          <w:lang w:val="en-US"/>
        </w:rPr>
        <w:t xml:space="preserve"> – Angiotensin convertase enzyme inhibitor, ARB – Angiotensin receptor blockers, ARNI – Angiotensin receptor/</w:t>
      </w:r>
      <w:proofErr w:type="spellStart"/>
      <w:r w:rsidR="005D005F">
        <w:rPr>
          <w:lang w:val="en-US"/>
        </w:rPr>
        <w:t>neprilysin</w:t>
      </w:r>
      <w:proofErr w:type="spellEnd"/>
      <w:r w:rsidR="005D005F">
        <w:rPr>
          <w:lang w:val="en-US"/>
        </w:rPr>
        <w:t xml:space="preserve"> inhibitor, SGLT2 – Sodium-glucose transport protein 2</w:t>
      </w:r>
      <w:r w:rsidR="000D4433">
        <w:rPr>
          <w:lang w:val="en-US"/>
        </w:rPr>
        <w:t>, NRS – Numeric rating scale</w:t>
      </w:r>
    </w:p>
    <w:p w14:paraId="75E80CEB" w14:textId="77777777" w:rsidR="001071EC" w:rsidRDefault="001071EC" w:rsidP="001071EC">
      <w:pPr>
        <w:rPr>
          <w:b/>
          <w:bCs/>
          <w:u w:val="single"/>
          <w:lang w:val="en-US"/>
        </w:rPr>
      </w:pPr>
    </w:p>
    <w:p w14:paraId="56BEB133" w14:textId="77777777" w:rsidR="004E63AF" w:rsidRDefault="004E63AF" w:rsidP="001071EC">
      <w:pPr>
        <w:rPr>
          <w:b/>
          <w:bCs/>
          <w:u w:val="single"/>
          <w:lang w:val="en-US"/>
        </w:rPr>
      </w:pPr>
      <w:r>
        <w:rPr>
          <w:b/>
          <w:bCs/>
          <w:u w:val="single"/>
          <w:lang w:val="en-US"/>
        </w:rPr>
        <w:t>Consent:</w:t>
      </w:r>
    </w:p>
    <w:p w14:paraId="7D842AA7" w14:textId="40408573" w:rsidR="005B3561" w:rsidRDefault="004E63AF" w:rsidP="001071EC">
      <w:pPr>
        <w:rPr>
          <w:lang w:val="en-US"/>
        </w:rPr>
      </w:pPr>
      <w:r w:rsidRPr="004E63AF">
        <w:rPr>
          <w:lang w:val="en-US"/>
        </w:rPr>
        <w:t>As per international standards or university standards, patient(s) written consent has been collected and preserved by the author(s).</w:t>
      </w:r>
    </w:p>
    <w:p w14:paraId="13EB5647" w14:textId="46599A97" w:rsidR="005B3561" w:rsidRDefault="005B3561" w:rsidP="001071EC">
      <w:pPr>
        <w:rPr>
          <w:lang w:val="en-US"/>
        </w:rPr>
      </w:pPr>
    </w:p>
    <w:p w14:paraId="02610F4A" w14:textId="77777777" w:rsidR="005B3561" w:rsidRPr="004E63AF" w:rsidRDefault="005B3561" w:rsidP="005B3561">
      <w:pPr>
        <w:rPr>
          <w:rFonts w:cs="Times New Roman"/>
          <w:b/>
          <w:highlight w:val="yellow"/>
          <w:lang w:val="en-US"/>
        </w:rPr>
      </w:pPr>
      <w:bookmarkStart w:id="2" w:name="_Hlk197682619"/>
      <w:bookmarkStart w:id="3" w:name="_Hlk180402183"/>
      <w:bookmarkStart w:id="4" w:name="_Hlk183680988"/>
      <w:bookmarkStart w:id="5" w:name="_Hlk197351200"/>
      <w:r w:rsidRPr="004E63AF">
        <w:rPr>
          <w:rFonts w:cs="Times New Roman"/>
          <w:b/>
          <w:highlight w:val="yellow"/>
          <w:lang w:val="en-US"/>
        </w:rPr>
        <w:t>Disclaimer (Artificial intelligence)</w:t>
      </w:r>
    </w:p>
    <w:p w14:paraId="3441AA3B" w14:textId="77777777" w:rsidR="005B3561" w:rsidRPr="009C5487" w:rsidRDefault="005B3561" w:rsidP="005B3561">
      <w:pPr>
        <w:rPr>
          <w:rFonts w:cs="Times New Roman"/>
          <w:highlight w:val="yellow"/>
          <w:lang w:val="en-US"/>
        </w:rPr>
      </w:pPr>
      <w:r w:rsidRPr="009C5487">
        <w:rPr>
          <w:rFonts w:cs="Times New Roman"/>
          <w:highlight w:val="yellow"/>
          <w:lang w:val="en-US"/>
        </w:rPr>
        <w:t>Author(s) hereby declare that NO generative AI technologies such as Large Language Models (</w:t>
      </w:r>
      <w:proofErr w:type="spellStart"/>
      <w:r w:rsidRPr="009C5487">
        <w:rPr>
          <w:rFonts w:cs="Times New Roman"/>
          <w:highlight w:val="yellow"/>
          <w:lang w:val="en-US"/>
        </w:rPr>
        <w:t>ChatGPT</w:t>
      </w:r>
      <w:proofErr w:type="spellEnd"/>
      <w:r w:rsidRPr="009C5487">
        <w:rPr>
          <w:rFonts w:cs="Times New Roman"/>
          <w:highlight w:val="yellow"/>
          <w:lang w:val="en-US"/>
        </w:rPr>
        <w:t xml:space="preserve">, COPILOT, etc.) and text-to-image generators have been used during the writing or editing of this manuscript. </w:t>
      </w:r>
    </w:p>
    <w:bookmarkEnd w:id="2"/>
    <w:bookmarkEnd w:id="3"/>
    <w:bookmarkEnd w:id="4"/>
    <w:bookmarkEnd w:id="5"/>
    <w:p w14:paraId="768C608E" w14:textId="77777777" w:rsidR="005B3561" w:rsidRDefault="005B3561" w:rsidP="001071EC">
      <w:pPr>
        <w:rPr>
          <w:lang w:val="en-US"/>
        </w:rPr>
      </w:pPr>
    </w:p>
    <w:p w14:paraId="1F59016B" w14:textId="77777777" w:rsidR="001071EC" w:rsidRDefault="001071EC">
      <w:pPr>
        <w:rPr>
          <w:lang w:val="en-US"/>
        </w:rPr>
      </w:pPr>
    </w:p>
    <w:p w14:paraId="7F9F05AD" w14:textId="77777777" w:rsidR="009C7DE4" w:rsidRDefault="00F96F7A">
      <w:pPr>
        <w:rPr>
          <w:b/>
          <w:bCs/>
          <w:u w:val="single"/>
          <w:lang w:val="en-US"/>
        </w:rPr>
      </w:pPr>
      <w:r>
        <w:rPr>
          <w:b/>
          <w:bCs/>
          <w:u w:val="single"/>
          <w:lang w:val="en-US"/>
        </w:rPr>
        <w:t>REFERENCES:</w:t>
      </w:r>
    </w:p>
    <w:p w14:paraId="12A9C326" w14:textId="03BB581D" w:rsidR="009C7DE4" w:rsidRDefault="00F96F7A">
      <w:r>
        <w:lastRenderedPageBreak/>
        <w:t>1.</w:t>
      </w:r>
      <w:r w:rsidR="00A327E4" w:rsidRPr="00A327E4">
        <w:t xml:space="preserve"> Li, M., &amp; Huang, H. (2023). </w:t>
      </w:r>
      <w:proofErr w:type="spellStart"/>
      <w:r w:rsidR="00A327E4" w:rsidRPr="00A327E4">
        <w:t>Anesthetic</w:t>
      </w:r>
      <w:proofErr w:type="spellEnd"/>
      <w:r w:rsidR="00A327E4" w:rsidRPr="00A327E4">
        <w:t xml:space="preserve"> Management of Patients with Dilated Cardiomyopathy Undergoing Noncardiac Surgery. </w:t>
      </w:r>
      <w:proofErr w:type="spellStart"/>
      <w:r w:rsidR="00A327E4" w:rsidRPr="00A327E4">
        <w:t>Medicina</w:t>
      </w:r>
      <w:proofErr w:type="spellEnd"/>
      <w:r w:rsidR="00A327E4" w:rsidRPr="00A327E4">
        <w:t xml:space="preserve"> (Kaunas), 59(9), 1567. </w:t>
      </w:r>
      <w:hyperlink r:id="rId9" w:history="1">
        <w:r w:rsidR="00A327E4" w:rsidRPr="00036D59">
          <w:rPr>
            <w:rStyle w:val="Hyperlink"/>
          </w:rPr>
          <w:t>https://doi.org/10.3390/medicina59091567</w:t>
        </w:r>
      </w:hyperlink>
      <w:r w:rsidR="00A327E4">
        <w:t xml:space="preserve"> </w:t>
      </w:r>
    </w:p>
    <w:p w14:paraId="15B041AE" w14:textId="38E619E3" w:rsidR="009C7DE4" w:rsidRDefault="00F96F7A">
      <w:r>
        <w:t xml:space="preserve">2. </w:t>
      </w:r>
      <w:proofErr w:type="spellStart"/>
      <w:r w:rsidR="00FD2C15" w:rsidRPr="00FD2C15">
        <w:t>Rozentsveig</w:t>
      </w:r>
      <w:proofErr w:type="spellEnd"/>
      <w:r w:rsidR="00FD2C15" w:rsidRPr="00FD2C15">
        <w:t xml:space="preserve">, V., Neulander, E. Z., </w:t>
      </w:r>
      <w:proofErr w:type="spellStart"/>
      <w:r w:rsidR="00FD2C15" w:rsidRPr="00FD2C15">
        <w:t>Roussabrov</w:t>
      </w:r>
      <w:proofErr w:type="spellEnd"/>
      <w:r w:rsidR="00FD2C15" w:rsidRPr="00FD2C15">
        <w:t xml:space="preserve">, E., Schwartz, A., </w:t>
      </w:r>
      <w:proofErr w:type="spellStart"/>
      <w:r w:rsidR="00FD2C15" w:rsidRPr="00FD2C15">
        <w:t>Lismer</w:t>
      </w:r>
      <w:proofErr w:type="spellEnd"/>
      <w:r w:rsidR="00FD2C15" w:rsidRPr="00FD2C15">
        <w:t xml:space="preserve">, L., </w:t>
      </w:r>
      <w:proofErr w:type="spellStart"/>
      <w:r w:rsidR="00FD2C15" w:rsidRPr="00FD2C15">
        <w:t>Gurevich</w:t>
      </w:r>
      <w:proofErr w:type="spellEnd"/>
      <w:r w:rsidR="00FD2C15" w:rsidRPr="00FD2C15">
        <w:t xml:space="preserve">, B., &amp; Weksler, N. (2007). </w:t>
      </w:r>
      <w:proofErr w:type="spellStart"/>
      <w:r w:rsidR="00FD2C15" w:rsidRPr="00FD2C15">
        <w:t>Anesthetic</w:t>
      </w:r>
      <w:proofErr w:type="spellEnd"/>
      <w:r w:rsidR="00FD2C15" w:rsidRPr="00FD2C15">
        <w:t xml:space="preserve"> considerations during percutaneous nephrolithotomy. Journal of Clinical </w:t>
      </w:r>
      <w:proofErr w:type="spellStart"/>
      <w:r w:rsidR="00FD2C15" w:rsidRPr="00FD2C15">
        <w:t>Anesthesia</w:t>
      </w:r>
      <w:proofErr w:type="spellEnd"/>
      <w:r w:rsidR="00FD2C15" w:rsidRPr="00FD2C15">
        <w:t xml:space="preserve">, 19(5), 351–355. </w:t>
      </w:r>
      <w:hyperlink r:id="rId10" w:history="1">
        <w:r w:rsidR="00FD2C15" w:rsidRPr="00036D59">
          <w:rPr>
            <w:rStyle w:val="Hyperlink"/>
          </w:rPr>
          <w:t>https://doi.org/10.1016/j.jclinane.2007.02.01</w:t>
        </w:r>
      </w:hyperlink>
      <w:r w:rsidR="00FD2C15">
        <w:t xml:space="preserve"> </w:t>
      </w:r>
    </w:p>
    <w:p w14:paraId="25D45E85" w14:textId="3A3CAD6E" w:rsidR="009C7DE4" w:rsidRDefault="00F96F7A">
      <w:pPr>
        <w:rPr>
          <w:lang w:val="en-US"/>
        </w:rPr>
      </w:pPr>
      <w:r>
        <w:t xml:space="preserve">3. </w:t>
      </w:r>
      <w:r w:rsidR="002E3B91" w:rsidRPr="002E3B91">
        <w:t xml:space="preserve">Colucci, W. S., &amp; </w:t>
      </w:r>
      <w:proofErr w:type="spellStart"/>
      <w:r w:rsidR="002E3B91" w:rsidRPr="002E3B91">
        <w:t>Dunlay</w:t>
      </w:r>
      <w:proofErr w:type="spellEnd"/>
      <w:r w:rsidR="002E3B91" w:rsidRPr="002E3B91">
        <w:t xml:space="preserve">, S. M. (2024). Clinical manifestations and diagnosis of advanced heart failure. UpToDate. </w:t>
      </w:r>
      <w:hyperlink r:id="rId11" w:anchor="H2476024874" w:history="1">
        <w:r w:rsidR="002E3B91" w:rsidRPr="00036D59">
          <w:rPr>
            <w:rStyle w:val="Hyperlink"/>
          </w:rPr>
          <w:t>https://www.uptodate.com/contents/heart-failure-clinical-manifestations-and-diagnosis-in-adults?source=see_link#H2476024874</w:t>
        </w:r>
      </w:hyperlink>
      <w:r w:rsidR="002E3B91">
        <w:t xml:space="preserve"> </w:t>
      </w:r>
    </w:p>
    <w:p w14:paraId="5F3AD188" w14:textId="0D663547" w:rsidR="009C7DE4" w:rsidRDefault="00F96F7A">
      <w:r w:rsidRPr="00BC0337">
        <w:rPr>
          <w:lang w:val="nl-BE"/>
        </w:rPr>
        <w:t xml:space="preserve">4. </w:t>
      </w:r>
      <w:r w:rsidR="004F289A" w:rsidRPr="00BC0337">
        <w:rPr>
          <w:lang w:val="nl-BE"/>
        </w:rPr>
        <w:t xml:space="preserve">Wang, H., Zhu, Y., Nan, Y., &amp; Jin, X. (2024). </w:t>
      </w:r>
      <w:proofErr w:type="spellStart"/>
      <w:r w:rsidR="004F289A" w:rsidRPr="004F289A">
        <w:t>Anesthetic</w:t>
      </w:r>
      <w:proofErr w:type="spellEnd"/>
      <w:r w:rsidR="004F289A" w:rsidRPr="004F289A">
        <w:t xml:space="preserve"> management of a patient with dilated cardiomyopathy and purpura for interventional thrombectomy of both femoral artery: Case report. Medicine (Baltimore), 103(19), e37889. </w:t>
      </w:r>
      <w:hyperlink r:id="rId12" w:history="1">
        <w:r w:rsidR="004F289A" w:rsidRPr="00036D59">
          <w:rPr>
            <w:rStyle w:val="Hyperlink"/>
          </w:rPr>
          <w:t>https://doi.org/10.1097/MD.0000000000037889</w:t>
        </w:r>
      </w:hyperlink>
      <w:r w:rsidR="004F289A">
        <w:t xml:space="preserve"> </w:t>
      </w:r>
    </w:p>
    <w:p w14:paraId="6E85379A" w14:textId="41291581" w:rsidR="009C7DE4" w:rsidRPr="00BC0337" w:rsidRDefault="00F96F7A">
      <w:pPr>
        <w:rPr>
          <w:lang w:val="nl-BE"/>
        </w:rPr>
      </w:pPr>
      <w:r>
        <w:t xml:space="preserve">5. </w:t>
      </w:r>
      <w:r w:rsidR="00E441B1" w:rsidRPr="00E441B1">
        <w:t xml:space="preserve">Singh, C. S., Mishra, N., </w:t>
      </w:r>
      <w:proofErr w:type="spellStart"/>
      <w:r w:rsidR="00E441B1" w:rsidRPr="00E441B1">
        <w:t>Pathania</w:t>
      </w:r>
      <w:proofErr w:type="spellEnd"/>
      <w:r w:rsidR="00E441B1" w:rsidRPr="00E441B1">
        <w:t xml:space="preserve">, S., &amp; Rai, S. (2025). C-arm-Guided Paravertebral Block for Surgical </w:t>
      </w:r>
      <w:proofErr w:type="spellStart"/>
      <w:r w:rsidR="00E441B1" w:rsidRPr="00E441B1">
        <w:t>Anesthesia</w:t>
      </w:r>
      <w:proofErr w:type="spellEnd"/>
      <w:r w:rsidR="00E441B1" w:rsidRPr="00E441B1">
        <w:t xml:space="preserve"> in a High-Risk Cardiac Patient Undergoing Percutaneous Nephrolithotomy. </w:t>
      </w:r>
      <w:r w:rsidR="00E441B1" w:rsidRPr="00BC0337">
        <w:rPr>
          <w:lang w:val="nl-BE"/>
        </w:rPr>
        <w:t xml:space="preserve">Cureus. </w:t>
      </w:r>
      <w:r w:rsidR="00FF7186">
        <w:fldChar w:fldCharType="begin"/>
      </w:r>
      <w:r w:rsidR="00FF7186">
        <w:instrText xml:space="preserve"> HYPERLINK "https://ww</w:instrText>
      </w:r>
      <w:r w:rsidR="00FF7186">
        <w:instrText xml:space="preserve">w.ncbi.nlm.nih.gov/pmc/articles/PMC10878000/" </w:instrText>
      </w:r>
      <w:r w:rsidR="00FF7186">
        <w:fldChar w:fldCharType="separate"/>
      </w:r>
      <w:r w:rsidR="00E441B1" w:rsidRPr="00BC0337">
        <w:rPr>
          <w:rStyle w:val="Hyperlink"/>
          <w:lang w:val="nl-BE"/>
        </w:rPr>
        <w:t>https://www.ncbi.nlm.nih.gov/pmc/articles/PMC10878000/</w:t>
      </w:r>
      <w:r w:rsidR="00FF7186">
        <w:rPr>
          <w:rStyle w:val="Hyperlink"/>
          <w:lang w:val="nl-BE"/>
        </w:rPr>
        <w:fldChar w:fldCharType="end"/>
      </w:r>
      <w:r w:rsidR="00E441B1" w:rsidRPr="00BC0337">
        <w:rPr>
          <w:lang w:val="nl-BE"/>
        </w:rPr>
        <w:t xml:space="preserve"> </w:t>
      </w:r>
    </w:p>
    <w:p w14:paraId="07B3100D" w14:textId="3A7602A1" w:rsidR="009C7DE4" w:rsidRDefault="00F96F7A">
      <w:r>
        <w:t xml:space="preserve">6. </w:t>
      </w:r>
      <w:proofErr w:type="spellStart"/>
      <w:r w:rsidR="00FD4D20" w:rsidRPr="00FD4D20">
        <w:t>Samagh</w:t>
      </w:r>
      <w:proofErr w:type="spellEnd"/>
      <w:r w:rsidR="00FD4D20" w:rsidRPr="00FD4D20">
        <w:t xml:space="preserve">, N., </w:t>
      </w:r>
      <w:proofErr w:type="spellStart"/>
      <w:r w:rsidR="00FD4D20" w:rsidRPr="00FD4D20">
        <w:t>Sah</w:t>
      </w:r>
      <w:proofErr w:type="spellEnd"/>
      <w:r w:rsidR="00FD4D20" w:rsidRPr="00FD4D20">
        <w:t xml:space="preserve">, S., &amp; </w:t>
      </w:r>
      <w:proofErr w:type="spellStart"/>
      <w:r w:rsidR="00FD4D20" w:rsidRPr="00FD4D20">
        <w:t>Pruthi</w:t>
      </w:r>
      <w:proofErr w:type="spellEnd"/>
      <w:r w:rsidR="00FD4D20" w:rsidRPr="00FD4D20">
        <w:t xml:space="preserve">, G. (2025). </w:t>
      </w:r>
      <w:proofErr w:type="spellStart"/>
      <w:r w:rsidR="00FD4D20" w:rsidRPr="00FD4D20">
        <w:t>Anesthetic</w:t>
      </w:r>
      <w:proofErr w:type="spellEnd"/>
      <w:r w:rsidR="00FD4D20" w:rsidRPr="00FD4D20">
        <w:t xml:space="preserve"> Management of a Patient with Dilated Cardiomyopathy Undergoing Cerebral Aneurysm Clipping Surgery: A Case Report. Journal of </w:t>
      </w:r>
      <w:proofErr w:type="spellStart"/>
      <w:r w:rsidR="00FD4D20" w:rsidRPr="00FD4D20">
        <w:t>Neuroanaesthesiology</w:t>
      </w:r>
      <w:proofErr w:type="spellEnd"/>
      <w:r w:rsidR="00FD4D20" w:rsidRPr="00FD4D20">
        <w:t xml:space="preserve"> and Critical Care. </w:t>
      </w:r>
      <w:hyperlink r:id="rId13" w:history="1">
        <w:r w:rsidR="00FD4D20" w:rsidRPr="00036D59">
          <w:rPr>
            <w:rStyle w:val="Hyperlink"/>
          </w:rPr>
          <w:t>https://doi.org/10.1055/s-0044-1801262</w:t>
        </w:r>
      </w:hyperlink>
      <w:r w:rsidR="00FD4D20">
        <w:t xml:space="preserve"> </w:t>
      </w:r>
    </w:p>
    <w:p w14:paraId="7B7B74FF" w14:textId="39DDBDBB" w:rsidR="009C7DE4" w:rsidRDefault="00F96F7A">
      <w:r>
        <w:t xml:space="preserve">7. </w:t>
      </w:r>
      <w:r w:rsidR="005561EE" w:rsidRPr="005561EE">
        <w:t xml:space="preserve">Srivastava, V. K., </w:t>
      </w:r>
      <w:proofErr w:type="spellStart"/>
      <w:r w:rsidR="005561EE" w:rsidRPr="005561EE">
        <w:t>Gangireddy</w:t>
      </w:r>
      <w:proofErr w:type="spellEnd"/>
      <w:r w:rsidR="005561EE" w:rsidRPr="005561EE">
        <w:t xml:space="preserve">, H., </w:t>
      </w:r>
      <w:proofErr w:type="spellStart"/>
      <w:r w:rsidR="005561EE" w:rsidRPr="005561EE">
        <w:t>Hamsa</w:t>
      </w:r>
      <w:proofErr w:type="spellEnd"/>
      <w:r w:rsidR="005561EE" w:rsidRPr="005561EE">
        <w:t xml:space="preserve">, V. S., &amp; Krishna, Y. R. (2024). Anaesthetic management for a dilated cardiomyopathy patient, scheduled for lumbar spine surgery. *Apollo Medicine*, *21*, 5S-7S. </w:t>
      </w:r>
      <w:hyperlink r:id="rId14" w:history="1">
        <w:r w:rsidR="005561EE" w:rsidRPr="00036D59">
          <w:rPr>
            <w:rStyle w:val="Hyperlink"/>
          </w:rPr>
          <w:t>https://doi.org/10.1177/09760016241251977</w:t>
        </w:r>
      </w:hyperlink>
      <w:r w:rsidR="005561EE">
        <w:t xml:space="preserve"> </w:t>
      </w:r>
    </w:p>
    <w:p w14:paraId="4A445645" w14:textId="230B7A22" w:rsidR="009C7DE4" w:rsidRDefault="00F96F7A">
      <w:r>
        <w:t xml:space="preserve">8. </w:t>
      </w:r>
      <w:r w:rsidR="00493CD2" w:rsidRPr="00493CD2">
        <w:t xml:space="preserve">Madhusudan, M., Rao, M. H., Aditya, K., Rajasekhar, T., </w:t>
      </w:r>
      <w:proofErr w:type="spellStart"/>
      <w:r w:rsidR="00493CD2" w:rsidRPr="00493CD2">
        <w:t>Nayyara</w:t>
      </w:r>
      <w:proofErr w:type="spellEnd"/>
      <w:r w:rsidR="00493CD2" w:rsidRPr="00493CD2">
        <w:t xml:space="preserve"> Banu, S. M., &amp; </w:t>
      </w:r>
      <w:proofErr w:type="spellStart"/>
      <w:r w:rsidR="00493CD2" w:rsidRPr="00493CD2">
        <w:t>Samantaray</w:t>
      </w:r>
      <w:proofErr w:type="spellEnd"/>
      <w:r w:rsidR="00493CD2" w:rsidRPr="00493CD2">
        <w:t xml:space="preserve">, A. (2016). Anaesthetic management of a patient with dilated cardiomyopathy posted for non-cardiac surgery. Journal of Clinical and Scientific Research, 5, 184-187. </w:t>
      </w:r>
      <w:hyperlink r:id="rId15" w:history="1">
        <w:r w:rsidR="00493CD2" w:rsidRPr="00036D59">
          <w:rPr>
            <w:rStyle w:val="Hyperlink"/>
          </w:rPr>
          <w:t>https://doi.org/10.15380/2277-5706.JCSR.15.011</w:t>
        </w:r>
      </w:hyperlink>
      <w:r w:rsidR="00493CD2">
        <w:t xml:space="preserve"> </w:t>
      </w:r>
    </w:p>
    <w:p w14:paraId="7AA075E2" w14:textId="41A83771" w:rsidR="009C7DE4" w:rsidRDefault="00F96F7A">
      <w:r>
        <w:t xml:space="preserve"> 9. </w:t>
      </w:r>
      <w:r w:rsidRPr="00F96F7A">
        <w:t xml:space="preserve">Raj, R., Kumar, M., &amp; Batra, M. (2014). Anaesthetic management of a case of dilated cardiomyopathy for emergency appendectomy. </w:t>
      </w:r>
      <w:proofErr w:type="spellStart"/>
      <w:r w:rsidRPr="00F96F7A">
        <w:t>Anesthesia</w:t>
      </w:r>
      <w:proofErr w:type="spellEnd"/>
      <w:r w:rsidRPr="00F96F7A">
        <w:t xml:space="preserve">, Essays and Researches, 8(1), 105-107. </w:t>
      </w:r>
      <w:hyperlink r:id="rId16" w:history="1">
        <w:r w:rsidRPr="00036D59">
          <w:rPr>
            <w:rStyle w:val="Hyperlink"/>
          </w:rPr>
          <w:t>https://doi.org/10.4103/0259-1162.128925</w:t>
        </w:r>
      </w:hyperlink>
      <w:r>
        <w:t xml:space="preserve"> </w:t>
      </w:r>
      <w:bookmarkEnd w:id="0"/>
    </w:p>
    <w:p w14:paraId="4A177AF9" w14:textId="694EDEC4" w:rsidR="002160F2" w:rsidRDefault="002160F2">
      <w:r>
        <w:t xml:space="preserve">10. </w:t>
      </w:r>
      <w:r w:rsidRPr="002160F2">
        <w:t xml:space="preserve">Turgeon RD, Van MT, Loewen P, </w:t>
      </w:r>
      <w:proofErr w:type="spellStart"/>
      <w:r w:rsidRPr="002160F2">
        <w:t>Sadatsafavi</w:t>
      </w:r>
      <w:proofErr w:type="spellEnd"/>
      <w:r w:rsidRPr="002160F2">
        <w:t xml:space="preserve"> M, Zhang W, MacDonald BJ, MacKay K, Hawkins N. Comparison of Quadruple Therapy Sequencing Strategies for Heart Failure </w:t>
      </w:r>
      <w:proofErr w:type="gramStart"/>
      <w:r w:rsidRPr="002160F2">
        <w:t>With</w:t>
      </w:r>
      <w:proofErr w:type="gramEnd"/>
      <w:r w:rsidRPr="002160F2">
        <w:t xml:space="preserve"> Reduced Ejection Fraction. J Am Heart Assoc. 2025 Sep 16;14(18</w:t>
      </w:r>
      <w:proofErr w:type="gramStart"/>
      <w:r w:rsidRPr="002160F2">
        <w:t>):e</w:t>
      </w:r>
      <w:proofErr w:type="gramEnd"/>
      <w:r w:rsidRPr="002160F2">
        <w:t xml:space="preserve">042943. </w:t>
      </w:r>
      <w:proofErr w:type="spellStart"/>
      <w:r w:rsidRPr="002160F2">
        <w:t>doi</w:t>
      </w:r>
      <w:proofErr w:type="spellEnd"/>
      <w:r w:rsidRPr="002160F2">
        <w:t xml:space="preserve">: 10.1161/JAHA.125.042943. </w:t>
      </w:r>
      <w:proofErr w:type="spellStart"/>
      <w:r w:rsidRPr="002160F2">
        <w:t>Epub</w:t>
      </w:r>
      <w:proofErr w:type="spellEnd"/>
      <w:r w:rsidRPr="002160F2">
        <w:t xml:space="preserve"> 2025 Sep 11. PMID: 40932111; PMCID: PMC12554406.</w:t>
      </w:r>
    </w:p>
    <w:p w14:paraId="5EBB8630" w14:textId="432F271F" w:rsidR="002160F2" w:rsidRDefault="002160F2">
      <w:pPr>
        <w:rPr>
          <w:lang w:val="en-US"/>
        </w:rPr>
      </w:pPr>
    </w:p>
    <w:sectPr w:rsidR="002160F2" w:rsidSect="00E8275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B839" w14:textId="77777777" w:rsidR="00FF7186" w:rsidRDefault="00FF7186" w:rsidP="004963E8">
      <w:pPr>
        <w:spacing w:after="0" w:line="240" w:lineRule="auto"/>
      </w:pPr>
      <w:r>
        <w:separator/>
      </w:r>
    </w:p>
  </w:endnote>
  <w:endnote w:type="continuationSeparator" w:id="0">
    <w:p w14:paraId="5DC3E840" w14:textId="77777777" w:rsidR="00FF7186" w:rsidRDefault="00FF7186" w:rsidP="0049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D60C" w14:textId="77777777" w:rsidR="004963E8" w:rsidRDefault="0049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11B3" w14:textId="77777777" w:rsidR="004963E8" w:rsidRDefault="0049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03A6" w14:textId="77777777" w:rsidR="004963E8" w:rsidRDefault="0049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77689" w14:textId="77777777" w:rsidR="00FF7186" w:rsidRDefault="00FF7186" w:rsidP="004963E8">
      <w:pPr>
        <w:spacing w:after="0" w:line="240" w:lineRule="auto"/>
      </w:pPr>
      <w:r>
        <w:separator/>
      </w:r>
    </w:p>
  </w:footnote>
  <w:footnote w:type="continuationSeparator" w:id="0">
    <w:p w14:paraId="6199483A" w14:textId="77777777" w:rsidR="00FF7186" w:rsidRDefault="00FF7186" w:rsidP="0049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0025" w14:textId="0AA0DAD9" w:rsidR="004963E8" w:rsidRDefault="00FF7186">
    <w:pPr>
      <w:pStyle w:val="Header"/>
    </w:pPr>
    <w:r>
      <w:rPr>
        <w:noProof/>
      </w:rPr>
      <w:pict w14:anchorId="017B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4" o:spid="_x0000_s2050" type="#_x0000_t136" style="position:absolute;margin-left:0;margin-top:0;width:331.85pt;height:62.5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3223" w14:textId="4BB720A3" w:rsidR="004963E8" w:rsidRDefault="00FF7186">
    <w:pPr>
      <w:pStyle w:val="Header"/>
    </w:pPr>
    <w:r>
      <w:rPr>
        <w:noProof/>
      </w:rPr>
      <w:pict w14:anchorId="7244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5" o:spid="_x0000_s2051" type="#_x0000_t136" style="position:absolute;margin-left:0;margin-top:0;width:331.85pt;height:6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DCD6" w14:textId="21575558" w:rsidR="004963E8" w:rsidRDefault="00FF7186">
    <w:pPr>
      <w:pStyle w:val="Header"/>
    </w:pPr>
    <w:r>
      <w:rPr>
        <w:noProof/>
      </w:rPr>
      <w:pict w14:anchorId="2D7C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7203" o:spid="_x0000_s2049" type="#_x0000_t136" style="position:absolute;margin-left:0;margin-top:0;width:331.85pt;height:62.5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C2813"/>
    <w:multiLevelType w:val="multilevel"/>
    <w:tmpl w:val="49E8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4"/>
    <w:rsid w:val="000177A8"/>
    <w:rsid w:val="00023212"/>
    <w:rsid w:val="00035C59"/>
    <w:rsid w:val="00042F17"/>
    <w:rsid w:val="00046FEB"/>
    <w:rsid w:val="000843B1"/>
    <w:rsid w:val="00086D1B"/>
    <w:rsid w:val="000926A4"/>
    <w:rsid w:val="000C5516"/>
    <w:rsid w:val="000C7766"/>
    <w:rsid w:val="000D4433"/>
    <w:rsid w:val="000D6EA6"/>
    <w:rsid w:val="000D740C"/>
    <w:rsid w:val="00100E0C"/>
    <w:rsid w:val="001071EC"/>
    <w:rsid w:val="001152CC"/>
    <w:rsid w:val="00133971"/>
    <w:rsid w:val="0015422E"/>
    <w:rsid w:val="00172813"/>
    <w:rsid w:val="001771C7"/>
    <w:rsid w:val="00180D6F"/>
    <w:rsid w:val="001A5027"/>
    <w:rsid w:val="001C3F8F"/>
    <w:rsid w:val="001E4AB2"/>
    <w:rsid w:val="001E7002"/>
    <w:rsid w:val="00201651"/>
    <w:rsid w:val="002025ED"/>
    <w:rsid w:val="002160F2"/>
    <w:rsid w:val="00237FCB"/>
    <w:rsid w:val="00246BF5"/>
    <w:rsid w:val="00251CFD"/>
    <w:rsid w:val="002704B7"/>
    <w:rsid w:val="00273E93"/>
    <w:rsid w:val="00274D42"/>
    <w:rsid w:val="00286229"/>
    <w:rsid w:val="00295363"/>
    <w:rsid w:val="002A0DCF"/>
    <w:rsid w:val="002A76CB"/>
    <w:rsid w:val="002B281A"/>
    <w:rsid w:val="002B7C99"/>
    <w:rsid w:val="002E3B91"/>
    <w:rsid w:val="002E5659"/>
    <w:rsid w:val="002E6994"/>
    <w:rsid w:val="00315B3C"/>
    <w:rsid w:val="003224FF"/>
    <w:rsid w:val="00357471"/>
    <w:rsid w:val="003E31C6"/>
    <w:rsid w:val="003F401A"/>
    <w:rsid w:val="00403E97"/>
    <w:rsid w:val="00406DDE"/>
    <w:rsid w:val="00414FAC"/>
    <w:rsid w:val="00426DC1"/>
    <w:rsid w:val="00434026"/>
    <w:rsid w:val="00447C8E"/>
    <w:rsid w:val="00456B63"/>
    <w:rsid w:val="00463CDB"/>
    <w:rsid w:val="004935E2"/>
    <w:rsid w:val="00493CD2"/>
    <w:rsid w:val="004963E8"/>
    <w:rsid w:val="0049680D"/>
    <w:rsid w:val="004A22C2"/>
    <w:rsid w:val="004B4C57"/>
    <w:rsid w:val="004D4B2C"/>
    <w:rsid w:val="004E6160"/>
    <w:rsid w:val="004E63AF"/>
    <w:rsid w:val="004F289A"/>
    <w:rsid w:val="00501031"/>
    <w:rsid w:val="00512EAD"/>
    <w:rsid w:val="00547FDA"/>
    <w:rsid w:val="005561EE"/>
    <w:rsid w:val="00557A97"/>
    <w:rsid w:val="00563286"/>
    <w:rsid w:val="0056705A"/>
    <w:rsid w:val="005726D9"/>
    <w:rsid w:val="005862E2"/>
    <w:rsid w:val="0059429C"/>
    <w:rsid w:val="005A1741"/>
    <w:rsid w:val="005A5844"/>
    <w:rsid w:val="005A6AE9"/>
    <w:rsid w:val="005B3561"/>
    <w:rsid w:val="005B7EA9"/>
    <w:rsid w:val="005D005F"/>
    <w:rsid w:val="005D6850"/>
    <w:rsid w:val="005E29EE"/>
    <w:rsid w:val="005F429E"/>
    <w:rsid w:val="00615EB0"/>
    <w:rsid w:val="006328C4"/>
    <w:rsid w:val="00634F90"/>
    <w:rsid w:val="00642AB7"/>
    <w:rsid w:val="00653C74"/>
    <w:rsid w:val="00660CE2"/>
    <w:rsid w:val="00662A90"/>
    <w:rsid w:val="00674CB1"/>
    <w:rsid w:val="006D02FC"/>
    <w:rsid w:val="006D09FE"/>
    <w:rsid w:val="006E0B2D"/>
    <w:rsid w:val="006E2D65"/>
    <w:rsid w:val="006F4F7F"/>
    <w:rsid w:val="006F67AF"/>
    <w:rsid w:val="00714E3A"/>
    <w:rsid w:val="00735EA9"/>
    <w:rsid w:val="00736B59"/>
    <w:rsid w:val="0074389D"/>
    <w:rsid w:val="00765E54"/>
    <w:rsid w:val="00766DAA"/>
    <w:rsid w:val="00770A0C"/>
    <w:rsid w:val="007871BB"/>
    <w:rsid w:val="007A01CD"/>
    <w:rsid w:val="007A09BB"/>
    <w:rsid w:val="007A31DB"/>
    <w:rsid w:val="007D3589"/>
    <w:rsid w:val="008061B5"/>
    <w:rsid w:val="00811F0E"/>
    <w:rsid w:val="00825DA8"/>
    <w:rsid w:val="00835F3D"/>
    <w:rsid w:val="008362E8"/>
    <w:rsid w:val="008761D0"/>
    <w:rsid w:val="00891442"/>
    <w:rsid w:val="008A32EF"/>
    <w:rsid w:val="008B2860"/>
    <w:rsid w:val="008B752F"/>
    <w:rsid w:val="008C733E"/>
    <w:rsid w:val="00902149"/>
    <w:rsid w:val="0091035C"/>
    <w:rsid w:val="009200C5"/>
    <w:rsid w:val="00932814"/>
    <w:rsid w:val="00941639"/>
    <w:rsid w:val="009426FA"/>
    <w:rsid w:val="00966949"/>
    <w:rsid w:val="00982949"/>
    <w:rsid w:val="009C2FFD"/>
    <w:rsid w:val="009C7DE4"/>
    <w:rsid w:val="009F0B51"/>
    <w:rsid w:val="00A234CC"/>
    <w:rsid w:val="00A30861"/>
    <w:rsid w:val="00A327E4"/>
    <w:rsid w:val="00A52EEA"/>
    <w:rsid w:val="00A57788"/>
    <w:rsid w:val="00A63903"/>
    <w:rsid w:val="00A66C8A"/>
    <w:rsid w:val="00AB1A87"/>
    <w:rsid w:val="00AC03EA"/>
    <w:rsid w:val="00AC3628"/>
    <w:rsid w:val="00AD5B88"/>
    <w:rsid w:val="00AE1D53"/>
    <w:rsid w:val="00AE3CB8"/>
    <w:rsid w:val="00AF48BB"/>
    <w:rsid w:val="00AF5681"/>
    <w:rsid w:val="00B235A5"/>
    <w:rsid w:val="00B42CE9"/>
    <w:rsid w:val="00B46174"/>
    <w:rsid w:val="00B5559D"/>
    <w:rsid w:val="00B64328"/>
    <w:rsid w:val="00B844C7"/>
    <w:rsid w:val="00BA7592"/>
    <w:rsid w:val="00BB16D4"/>
    <w:rsid w:val="00BB1DD0"/>
    <w:rsid w:val="00BB4CE8"/>
    <w:rsid w:val="00BB621C"/>
    <w:rsid w:val="00BC0337"/>
    <w:rsid w:val="00BD48ED"/>
    <w:rsid w:val="00C03F1A"/>
    <w:rsid w:val="00C1513C"/>
    <w:rsid w:val="00C17FE0"/>
    <w:rsid w:val="00C3138D"/>
    <w:rsid w:val="00C34FEC"/>
    <w:rsid w:val="00C55B60"/>
    <w:rsid w:val="00C81500"/>
    <w:rsid w:val="00CA4C43"/>
    <w:rsid w:val="00CB20F2"/>
    <w:rsid w:val="00CB7599"/>
    <w:rsid w:val="00CE319E"/>
    <w:rsid w:val="00CF47C7"/>
    <w:rsid w:val="00D154DE"/>
    <w:rsid w:val="00D24C53"/>
    <w:rsid w:val="00D305D9"/>
    <w:rsid w:val="00D33341"/>
    <w:rsid w:val="00D373DA"/>
    <w:rsid w:val="00D45BC6"/>
    <w:rsid w:val="00D47FB2"/>
    <w:rsid w:val="00D54752"/>
    <w:rsid w:val="00D9114D"/>
    <w:rsid w:val="00D94CA2"/>
    <w:rsid w:val="00DD32CE"/>
    <w:rsid w:val="00E0170C"/>
    <w:rsid w:val="00E07A3F"/>
    <w:rsid w:val="00E314A4"/>
    <w:rsid w:val="00E441B1"/>
    <w:rsid w:val="00E7773E"/>
    <w:rsid w:val="00E8275F"/>
    <w:rsid w:val="00E8283A"/>
    <w:rsid w:val="00EA4E97"/>
    <w:rsid w:val="00EB3BFC"/>
    <w:rsid w:val="00EC2824"/>
    <w:rsid w:val="00EC5A42"/>
    <w:rsid w:val="00ED1EF9"/>
    <w:rsid w:val="00EE4FEF"/>
    <w:rsid w:val="00EF4E20"/>
    <w:rsid w:val="00EF5D9A"/>
    <w:rsid w:val="00F0608D"/>
    <w:rsid w:val="00F136FE"/>
    <w:rsid w:val="00F2187B"/>
    <w:rsid w:val="00F31229"/>
    <w:rsid w:val="00F341AB"/>
    <w:rsid w:val="00F5082C"/>
    <w:rsid w:val="00F73CE0"/>
    <w:rsid w:val="00F869E1"/>
    <w:rsid w:val="00F93F9E"/>
    <w:rsid w:val="00F96F7A"/>
    <w:rsid w:val="00FA6F8A"/>
    <w:rsid w:val="00FB749D"/>
    <w:rsid w:val="00FC52BC"/>
    <w:rsid w:val="00FD0192"/>
    <w:rsid w:val="00FD2C15"/>
    <w:rsid w:val="00FD4262"/>
    <w:rsid w:val="00FD4D20"/>
    <w:rsid w:val="00FE3F59"/>
    <w:rsid w:val="00FF27BF"/>
    <w:rsid w:val="00FF71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C3E7E"/>
  <w15:docId w15:val="{B2ED38D6-6921-4E27-AC9D-C6E372DF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semiHidden/>
    <w:unhideWhenUsed/>
    <w:rsid w:val="00EC5A42"/>
    <w:rPr>
      <w:color w:val="605E5C"/>
      <w:shd w:val="clear" w:color="auto" w:fill="E1DFDD"/>
    </w:rPr>
  </w:style>
  <w:style w:type="paragraph" w:styleId="Header">
    <w:name w:val="header"/>
    <w:basedOn w:val="Normal"/>
    <w:link w:val="HeaderChar"/>
    <w:uiPriority w:val="99"/>
    <w:unhideWhenUsed/>
    <w:rsid w:val="00496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E8"/>
  </w:style>
  <w:style w:type="paragraph" w:styleId="Footer">
    <w:name w:val="footer"/>
    <w:basedOn w:val="Normal"/>
    <w:link w:val="FooterChar"/>
    <w:uiPriority w:val="99"/>
    <w:unhideWhenUsed/>
    <w:rsid w:val="00496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E8"/>
  </w:style>
  <w:style w:type="paragraph" w:styleId="Revision">
    <w:name w:val="Revision"/>
    <w:hidden/>
    <w:uiPriority w:val="99"/>
    <w:semiHidden/>
    <w:rsid w:val="00295363"/>
    <w:pPr>
      <w:spacing w:after="0" w:line="240" w:lineRule="auto"/>
    </w:pPr>
  </w:style>
  <w:style w:type="character" w:styleId="LineNumber">
    <w:name w:val="line number"/>
    <w:basedOn w:val="DefaultParagraphFont"/>
    <w:uiPriority w:val="99"/>
    <w:semiHidden/>
    <w:unhideWhenUsed/>
    <w:rsid w:val="0029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5/s-0044-180126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97/MD.00000000000378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103/0259-1162.1289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todate.com/contents/heart-failure-clinical-manifestations-and-diagnosis-in-adults?source=see_li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380/2277-5706.JCSR.15.011" TargetMode="External"/><Relationship Id="rId23" Type="http://schemas.openxmlformats.org/officeDocument/2006/relationships/fontTable" Target="fontTable.xml"/><Relationship Id="rId10" Type="http://schemas.openxmlformats.org/officeDocument/2006/relationships/hyperlink" Target="https://doi.org/10.1016/j.jclinane.2007.02.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medicina59091567" TargetMode="External"/><Relationship Id="rId14" Type="http://schemas.openxmlformats.org/officeDocument/2006/relationships/hyperlink" Target="https://doi.org/10.1177/0976001624125197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6D83-3B5F-45ED-B9B4-46B4DF96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drsreelakshmi447@gmail.com</dc:creator>
  <cp:lastModifiedBy>Editor-1183</cp:lastModifiedBy>
  <cp:revision>3</cp:revision>
  <dcterms:created xsi:type="dcterms:W3CDTF">2026-01-28T15:03:00Z</dcterms:created>
  <dcterms:modified xsi:type="dcterms:W3CDTF">2026-02-02T11:59:00Z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c21b6eea67e04328b93b8b719bf576e7</vt:lpwstr>
  </property>
</Properties>
</file>